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FFD1D">
      <w:pPr>
        <w:jc w:val="center"/>
        <w:rPr>
          <w:rFonts w:ascii="宋体" w:hAnsi="宋体"/>
          <w:b/>
          <w:sz w:val="44"/>
          <w:szCs w:val="44"/>
          <w:highlight w:val="none"/>
          <w:u w:val="none"/>
        </w:rPr>
      </w:pPr>
      <w:bookmarkStart w:id="0" w:name="_Toc287620665"/>
    </w:p>
    <w:p w14:paraId="2E8D5FA9">
      <w:pPr>
        <w:spacing w:line="360" w:lineRule="auto"/>
        <w:jc w:val="center"/>
        <w:rPr>
          <w:rFonts w:hint="eastAsia" w:ascii="宋体" w:hAnsi="宋体" w:eastAsia="宋体"/>
          <w:kern w:val="0"/>
          <w:sz w:val="32"/>
          <w:szCs w:val="32"/>
          <w:highlight w:val="none"/>
          <w:u w:val="none"/>
          <w:lang w:eastAsia="zh-CN"/>
        </w:rPr>
      </w:pPr>
      <w:r>
        <w:rPr>
          <w:rFonts w:hint="eastAsia" w:ascii="宋体" w:hAnsi="宋体"/>
          <w:kern w:val="0"/>
          <w:sz w:val="32"/>
          <w:szCs w:val="32"/>
          <w:highlight w:val="none"/>
          <w:u w:val="none"/>
          <w:lang w:eastAsia="zh-CN"/>
        </w:rPr>
        <w:t>南岸区2025年供水管网更新改造工程（帷幄大厦应急整治工程）</w:t>
      </w:r>
    </w:p>
    <w:p w14:paraId="4CBE2611">
      <w:pPr>
        <w:autoSpaceDE w:val="0"/>
        <w:autoSpaceDN w:val="0"/>
        <w:adjustRightInd w:val="0"/>
        <w:snapToGrid w:val="0"/>
        <w:spacing w:line="360" w:lineRule="auto"/>
        <w:jc w:val="left"/>
        <w:rPr>
          <w:rFonts w:ascii="宋体" w:hAnsi="宋体"/>
          <w:kern w:val="0"/>
          <w:sz w:val="20"/>
          <w:szCs w:val="20"/>
          <w:highlight w:val="none"/>
        </w:rPr>
      </w:pPr>
    </w:p>
    <w:p w14:paraId="6BEC985F">
      <w:pPr>
        <w:autoSpaceDE w:val="0"/>
        <w:autoSpaceDN w:val="0"/>
        <w:adjustRightInd w:val="0"/>
        <w:snapToGrid w:val="0"/>
        <w:spacing w:line="360" w:lineRule="auto"/>
        <w:jc w:val="left"/>
        <w:rPr>
          <w:rFonts w:ascii="宋体" w:hAnsi="宋体"/>
          <w:kern w:val="0"/>
          <w:sz w:val="20"/>
          <w:szCs w:val="20"/>
          <w:highlight w:val="none"/>
        </w:rPr>
      </w:pPr>
    </w:p>
    <w:p w14:paraId="65047A7D">
      <w:pPr>
        <w:autoSpaceDE w:val="0"/>
        <w:autoSpaceDN w:val="0"/>
        <w:adjustRightInd w:val="0"/>
        <w:snapToGrid w:val="0"/>
        <w:spacing w:line="360" w:lineRule="auto"/>
        <w:jc w:val="left"/>
        <w:rPr>
          <w:rFonts w:ascii="宋体" w:hAnsi="宋体"/>
          <w:kern w:val="0"/>
          <w:sz w:val="20"/>
          <w:szCs w:val="20"/>
          <w:highlight w:val="none"/>
        </w:rPr>
      </w:pPr>
    </w:p>
    <w:p w14:paraId="3DBBBBD2">
      <w:pPr>
        <w:autoSpaceDE w:val="0"/>
        <w:autoSpaceDN w:val="0"/>
        <w:adjustRightInd w:val="0"/>
        <w:snapToGrid w:val="0"/>
        <w:spacing w:line="360" w:lineRule="auto"/>
        <w:jc w:val="left"/>
        <w:rPr>
          <w:rFonts w:ascii="宋体" w:hAnsi="宋体"/>
          <w:kern w:val="0"/>
          <w:sz w:val="20"/>
          <w:szCs w:val="20"/>
          <w:highlight w:val="none"/>
        </w:rPr>
      </w:pPr>
    </w:p>
    <w:p w14:paraId="44136703">
      <w:pPr>
        <w:autoSpaceDE w:val="0"/>
        <w:autoSpaceDN w:val="0"/>
        <w:adjustRightInd w:val="0"/>
        <w:snapToGrid w:val="0"/>
        <w:spacing w:line="360" w:lineRule="auto"/>
        <w:jc w:val="left"/>
        <w:rPr>
          <w:rFonts w:ascii="宋体" w:hAnsi="宋体"/>
          <w:kern w:val="0"/>
          <w:sz w:val="20"/>
          <w:szCs w:val="20"/>
          <w:highlight w:val="none"/>
        </w:rPr>
      </w:pPr>
    </w:p>
    <w:p w14:paraId="7E7F97A8">
      <w:pPr>
        <w:autoSpaceDE w:val="0"/>
        <w:autoSpaceDN w:val="0"/>
        <w:adjustRightInd w:val="0"/>
        <w:snapToGrid w:val="0"/>
        <w:spacing w:line="360" w:lineRule="auto"/>
        <w:jc w:val="left"/>
        <w:rPr>
          <w:rFonts w:ascii="宋体" w:hAnsi="宋体"/>
          <w:kern w:val="0"/>
          <w:sz w:val="20"/>
          <w:szCs w:val="20"/>
          <w:highlight w:val="none"/>
        </w:rPr>
      </w:pPr>
    </w:p>
    <w:p w14:paraId="6A58406E">
      <w:pPr>
        <w:autoSpaceDE w:val="0"/>
        <w:autoSpaceDN w:val="0"/>
        <w:adjustRightInd w:val="0"/>
        <w:snapToGrid w:val="0"/>
        <w:spacing w:line="360" w:lineRule="auto"/>
        <w:jc w:val="center"/>
        <w:rPr>
          <w:rFonts w:hint="eastAsia" w:ascii="宋体" w:hAnsi="宋体" w:eastAsia="宋体"/>
          <w:kern w:val="0"/>
          <w:sz w:val="72"/>
          <w:szCs w:val="72"/>
          <w:highlight w:val="none"/>
          <w:lang w:eastAsia="zh-CN"/>
        </w:rPr>
      </w:pPr>
      <w:r>
        <w:rPr>
          <w:rFonts w:hint="eastAsia" w:ascii="宋体" w:hAnsi="宋体"/>
          <w:kern w:val="0"/>
          <w:sz w:val="72"/>
          <w:szCs w:val="72"/>
          <w:highlight w:val="none"/>
          <w:lang w:eastAsia="zh-CN"/>
        </w:rPr>
        <w:t>竞争性比选文件</w:t>
      </w:r>
    </w:p>
    <w:p w14:paraId="1A6BD317">
      <w:pPr>
        <w:autoSpaceDE w:val="0"/>
        <w:autoSpaceDN w:val="0"/>
        <w:adjustRightInd w:val="0"/>
        <w:snapToGrid w:val="0"/>
        <w:spacing w:line="360" w:lineRule="auto"/>
        <w:jc w:val="left"/>
        <w:rPr>
          <w:rFonts w:ascii="宋体" w:hAnsi="宋体"/>
          <w:kern w:val="0"/>
          <w:sz w:val="10"/>
          <w:szCs w:val="10"/>
          <w:highlight w:val="none"/>
        </w:rPr>
      </w:pPr>
    </w:p>
    <w:p w14:paraId="4B1DB50C">
      <w:pPr>
        <w:autoSpaceDE w:val="0"/>
        <w:autoSpaceDN w:val="0"/>
        <w:adjustRightInd w:val="0"/>
        <w:snapToGrid w:val="0"/>
        <w:spacing w:line="360" w:lineRule="auto"/>
        <w:jc w:val="left"/>
        <w:rPr>
          <w:rFonts w:ascii="宋体" w:hAnsi="宋体"/>
          <w:kern w:val="0"/>
          <w:sz w:val="20"/>
          <w:szCs w:val="20"/>
          <w:highlight w:val="none"/>
        </w:rPr>
      </w:pPr>
    </w:p>
    <w:p w14:paraId="68A27939">
      <w:pPr>
        <w:autoSpaceDE w:val="0"/>
        <w:autoSpaceDN w:val="0"/>
        <w:adjustRightInd w:val="0"/>
        <w:snapToGrid w:val="0"/>
        <w:spacing w:line="360" w:lineRule="auto"/>
        <w:jc w:val="left"/>
        <w:rPr>
          <w:rFonts w:ascii="宋体" w:hAnsi="宋体"/>
          <w:kern w:val="0"/>
          <w:sz w:val="20"/>
          <w:szCs w:val="20"/>
          <w:highlight w:val="none"/>
        </w:rPr>
      </w:pPr>
    </w:p>
    <w:p w14:paraId="4A1EC9F5">
      <w:pPr>
        <w:autoSpaceDE w:val="0"/>
        <w:autoSpaceDN w:val="0"/>
        <w:adjustRightInd w:val="0"/>
        <w:snapToGrid w:val="0"/>
        <w:spacing w:line="360" w:lineRule="auto"/>
        <w:jc w:val="left"/>
        <w:rPr>
          <w:rFonts w:ascii="宋体" w:hAnsi="宋体"/>
          <w:kern w:val="0"/>
          <w:sz w:val="20"/>
          <w:szCs w:val="20"/>
          <w:highlight w:val="none"/>
        </w:rPr>
      </w:pPr>
    </w:p>
    <w:p w14:paraId="69010005">
      <w:pPr>
        <w:autoSpaceDE w:val="0"/>
        <w:autoSpaceDN w:val="0"/>
        <w:adjustRightInd w:val="0"/>
        <w:snapToGrid w:val="0"/>
        <w:spacing w:line="360" w:lineRule="auto"/>
        <w:jc w:val="left"/>
        <w:rPr>
          <w:rFonts w:ascii="宋体" w:hAnsi="宋体"/>
          <w:kern w:val="0"/>
          <w:sz w:val="20"/>
          <w:szCs w:val="20"/>
          <w:highlight w:val="none"/>
        </w:rPr>
      </w:pPr>
    </w:p>
    <w:p w14:paraId="1204571C">
      <w:pPr>
        <w:autoSpaceDE w:val="0"/>
        <w:autoSpaceDN w:val="0"/>
        <w:adjustRightInd w:val="0"/>
        <w:snapToGrid w:val="0"/>
        <w:spacing w:line="360" w:lineRule="auto"/>
        <w:jc w:val="left"/>
        <w:rPr>
          <w:rFonts w:ascii="宋体" w:hAnsi="宋体"/>
          <w:kern w:val="0"/>
          <w:sz w:val="20"/>
          <w:szCs w:val="20"/>
          <w:highlight w:val="none"/>
        </w:rPr>
      </w:pPr>
    </w:p>
    <w:p w14:paraId="22C2586A">
      <w:pPr>
        <w:autoSpaceDE w:val="0"/>
        <w:autoSpaceDN w:val="0"/>
        <w:adjustRightInd w:val="0"/>
        <w:snapToGrid w:val="0"/>
        <w:spacing w:line="360" w:lineRule="auto"/>
        <w:jc w:val="left"/>
        <w:rPr>
          <w:rFonts w:ascii="宋体" w:hAnsi="宋体"/>
          <w:kern w:val="0"/>
          <w:sz w:val="20"/>
          <w:szCs w:val="20"/>
          <w:highlight w:val="none"/>
        </w:rPr>
      </w:pPr>
    </w:p>
    <w:p w14:paraId="40856C53">
      <w:pPr>
        <w:autoSpaceDE w:val="0"/>
        <w:autoSpaceDN w:val="0"/>
        <w:adjustRightInd w:val="0"/>
        <w:snapToGrid w:val="0"/>
        <w:spacing w:line="360" w:lineRule="auto"/>
        <w:jc w:val="left"/>
        <w:rPr>
          <w:rFonts w:ascii="宋体" w:hAnsi="宋体"/>
          <w:kern w:val="0"/>
          <w:sz w:val="20"/>
          <w:szCs w:val="20"/>
          <w:highlight w:val="none"/>
        </w:rPr>
      </w:pPr>
    </w:p>
    <w:p w14:paraId="0A658F01">
      <w:pPr>
        <w:autoSpaceDE w:val="0"/>
        <w:autoSpaceDN w:val="0"/>
        <w:adjustRightInd w:val="0"/>
        <w:snapToGrid w:val="0"/>
        <w:spacing w:line="360" w:lineRule="auto"/>
        <w:rPr>
          <w:rFonts w:ascii="宋体" w:hAnsi="宋体"/>
          <w:kern w:val="0"/>
          <w:sz w:val="20"/>
          <w:szCs w:val="20"/>
          <w:highlight w:val="none"/>
        </w:rPr>
      </w:pPr>
    </w:p>
    <w:p w14:paraId="31AFAA7B">
      <w:pPr>
        <w:autoSpaceDE w:val="0"/>
        <w:autoSpaceDN w:val="0"/>
        <w:adjustRightInd w:val="0"/>
        <w:snapToGrid w:val="0"/>
        <w:spacing w:line="360" w:lineRule="auto"/>
        <w:jc w:val="left"/>
        <w:rPr>
          <w:rFonts w:ascii="宋体" w:hAnsi="宋体"/>
          <w:kern w:val="0"/>
          <w:sz w:val="20"/>
          <w:szCs w:val="20"/>
          <w:highlight w:val="none"/>
        </w:rPr>
      </w:pPr>
    </w:p>
    <w:p w14:paraId="0376A0F4">
      <w:pPr>
        <w:autoSpaceDE w:val="0"/>
        <w:autoSpaceDN w:val="0"/>
        <w:adjustRightInd w:val="0"/>
        <w:snapToGrid w:val="0"/>
        <w:spacing w:line="360" w:lineRule="auto"/>
        <w:rPr>
          <w:rFonts w:ascii="宋体" w:hAnsi="宋体"/>
          <w:kern w:val="0"/>
          <w:sz w:val="20"/>
          <w:szCs w:val="20"/>
          <w:highlight w:val="none"/>
        </w:rPr>
      </w:pPr>
    </w:p>
    <w:p w14:paraId="1B596166">
      <w:pPr>
        <w:autoSpaceDE w:val="0"/>
        <w:autoSpaceDN w:val="0"/>
        <w:adjustRightInd w:val="0"/>
        <w:snapToGrid w:val="0"/>
        <w:spacing w:line="360" w:lineRule="auto"/>
        <w:rPr>
          <w:rFonts w:ascii="宋体" w:hAnsi="宋体"/>
          <w:kern w:val="0"/>
          <w:sz w:val="20"/>
          <w:szCs w:val="20"/>
          <w:highlight w:val="none"/>
        </w:rPr>
      </w:pPr>
    </w:p>
    <w:p w14:paraId="49076CB1">
      <w:pPr>
        <w:autoSpaceDE w:val="0"/>
        <w:autoSpaceDN w:val="0"/>
        <w:adjustRightInd w:val="0"/>
        <w:snapToGrid w:val="0"/>
        <w:spacing w:line="360" w:lineRule="auto"/>
        <w:rPr>
          <w:rFonts w:ascii="宋体" w:hAnsi="宋体"/>
          <w:kern w:val="0"/>
          <w:sz w:val="20"/>
          <w:szCs w:val="20"/>
          <w:highlight w:val="none"/>
        </w:rPr>
      </w:pPr>
    </w:p>
    <w:p w14:paraId="4FC251EA">
      <w:pPr>
        <w:tabs>
          <w:tab w:val="left" w:pos="6219"/>
        </w:tabs>
        <w:autoSpaceDE w:val="0"/>
        <w:autoSpaceDN w:val="0"/>
        <w:adjustRightInd w:val="0"/>
        <w:snapToGrid w:val="0"/>
        <w:spacing w:line="360" w:lineRule="auto"/>
        <w:jc w:val="center"/>
        <w:rPr>
          <w:rFonts w:ascii="宋体" w:hAnsi="宋体"/>
          <w:bCs/>
          <w:w w:val="99"/>
          <w:kern w:val="0"/>
          <w:sz w:val="28"/>
          <w:szCs w:val="28"/>
          <w:highlight w:val="none"/>
        </w:rPr>
      </w:pPr>
      <w:r>
        <w:rPr>
          <w:rFonts w:hint="eastAsia" w:ascii="宋体" w:hAnsi="宋体"/>
          <w:bCs/>
          <w:w w:val="99"/>
          <w:kern w:val="0"/>
          <w:sz w:val="28"/>
          <w:szCs w:val="28"/>
          <w:highlight w:val="none"/>
          <w:lang w:eastAsia="zh-CN"/>
        </w:rPr>
        <w:t>比选人</w:t>
      </w:r>
      <w:r>
        <w:rPr>
          <w:rFonts w:ascii="宋体" w:hAnsi="宋体"/>
          <w:bCs/>
          <w:w w:val="99"/>
          <w:kern w:val="0"/>
          <w:sz w:val="28"/>
          <w:szCs w:val="28"/>
          <w:highlight w:val="none"/>
        </w:rPr>
        <w:t>：</w:t>
      </w:r>
      <w:r>
        <w:rPr>
          <w:rFonts w:hint="eastAsia" w:ascii="宋体" w:hAnsi="宋体"/>
          <w:bCs/>
          <w:kern w:val="0"/>
          <w:sz w:val="28"/>
          <w:szCs w:val="28"/>
          <w:highlight w:val="none"/>
          <w:u w:val="single"/>
          <w:lang w:val="en-US" w:eastAsia="zh-CN"/>
        </w:rPr>
        <w:t>重庆市江南城市建设发展(集团)有限公司</w:t>
      </w:r>
      <w:r>
        <w:rPr>
          <w:rFonts w:ascii="宋体" w:hAnsi="宋体"/>
          <w:bCs/>
          <w:w w:val="99"/>
          <w:kern w:val="0"/>
          <w:sz w:val="28"/>
          <w:szCs w:val="28"/>
          <w:highlight w:val="none"/>
        </w:rPr>
        <w:t>（盖单位法人章）</w:t>
      </w:r>
    </w:p>
    <w:p w14:paraId="042D7D4A">
      <w:pPr>
        <w:tabs>
          <w:tab w:val="left" w:pos="6252"/>
        </w:tabs>
        <w:autoSpaceDE w:val="0"/>
        <w:autoSpaceDN w:val="0"/>
        <w:adjustRightInd w:val="0"/>
        <w:snapToGrid w:val="0"/>
        <w:spacing w:line="360" w:lineRule="auto"/>
        <w:jc w:val="center"/>
        <w:rPr>
          <w:rFonts w:ascii="宋体" w:hAnsi="宋体"/>
          <w:bCs/>
          <w:w w:val="99"/>
          <w:kern w:val="0"/>
          <w:sz w:val="28"/>
          <w:szCs w:val="28"/>
          <w:highlight w:val="none"/>
        </w:rPr>
      </w:pPr>
      <w:r>
        <w:rPr>
          <w:rFonts w:hint="eastAsia" w:ascii="宋体" w:hAnsi="宋体"/>
          <w:bCs/>
          <w:spacing w:val="8"/>
          <w:kern w:val="0"/>
          <w:sz w:val="28"/>
          <w:szCs w:val="28"/>
          <w:highlight w:val="none"/>
          <w:lang w:eastAsia="zh-CN"/>
        </w:rPr>
        <w:t>比选代理机构</w:t>
      </w:r>
      <w:r>
        <w:rPr>
          <w:rFonts w:ascii="宋体" w:hAnsi="宋体"/>
          <w:bCs/>
          <w:spacing w:val="8"/>
          <w:kern w:val="0"/>
          <w:sz w:val="28"/>
          <w:szCs w:val="28"/>
          <w:highlight w:val="none"/>
        </w:rPr>
        <w:t>：</w:t>
      </w:r>
      <w:r>
        <w:rPr>
          <w:rFonts w:hint="eastAsia" w:ascii="宋体" w:hAnsi="宋体"/>
          <w:bCs/>
          <w:kern w:val="0"/>
          <w:sz w:val="28"/>
          <w:szCs w:val="28"/>
          <w:highlight w:val="none"/>
          <w:u w:val="single"/>
          <w:lang w:val="en-US" w:eastAsia="zh-CN"/>
        </w:rPr>
        <w:t>红城国际工程项目管理有限公司</w:t>
      </w:r>
      <w:r>
        <w:rPr>
          <w:rFonts w:ascii="宋体" w:hAnsi="宋体"/>
          <w:bCs/>
          <w:w w:val="99"/>
          <w:kern w:val="0"/>
          <w:sz w:val="28"/>
          <w:szCs w:val="28"/>
          <w:highlight w:val="none"/>
        </w:rPr>
        <w:t>（盖单位法人章）</w:t>
      </w:r>
    </w:p>
    <w:p w14:paraId="5DB3D743">
      <w:pPr>
        <w:autoSpaceDE w:val="0"/>
        <w:autoSpaceDN w:val="0"/>
        <w:adjustRightInd w:val="0"/>
        <w:snapToGrid w:val="0"/>
        <w:spacing w:line="360" w:lineRule="auto"/>
        <w:jc w:val="center"/>
        <w:rPr>
          <w:rFonts w:ascii="宋体" w:hAnsi="宋体"/>
          <w:bCs/>
          <w:kern w:val="0"/>
          <w:sz w:val="20"/>
          <w:szCs w:val="20"/>
          <w:highlight w:val="none"/>
        </w:rPr>
      </w:pPr>
    </w:p>
    <w:p w14:paraId="23ECDB33">
      <w:pPr>
        <w:autoSpaceDE w:val="0"/>
        <w:autoSpaceDN w:val="0"/>
        <w:adjustRightInd w:val="0"/>
        <w:snapToGrid w:val="0"/>
        <w:spacing w:line="360" w:lineRule="auto"/>
        <w:jc w:val="center"/>
        <w:rPr>
          <w:rFonts w:ascii="宋体" w:hAnsi="宋体"/>
          <w:bCs/>
          <w:kern w:val="0"/>
          <w:sz w:val="28"/>
          <w:szCs w:val="28"/>
          <w:highlight w:val="none"/>
        </w:rPr>
      </w:pPr>
    </w:p>
    <w:p w14:paraId="5498F7A9">
      <w:pPr>
        <w:autoSpaceDE w:val="0"/>
        <w:autoSpaceDN w:val="0"/>
        <w:adjustRightInd w:val="0"/>
        <w:snapToGrid w:val="0"/>
        <w:spacing w:line="360" w:lineRule="auto"/>
        <w:jc w:val="center"/>
        <w:rPr>
          <w:rFonts w:ascii="宋体" w:hAnsi="宋体"/>
          <w:bCs/>
          <w:kern w:val="0"/>
          <w:sz w:val="28"/>
          <w:szCs w:val="28"/>
          <w:highlight w:val="none"/>
        </w:rPr>
      </w:pPr>
    </w:p>
    <w:p w14:paraId="6585E03E">
      <w:pPr>
        <w:autoSpaceDE w:val="0"/>
        <w:autoSpaceDN w:val="0"/>
        <w:adjustRightInd w:val="0"/>
        <w:snapToGrid w:val="0"/>
        <w:spacing w:line="360" w:lineRule="auto"/>
        <w:rPr>
          <w:rFonts w:ascii="宋体" w:hAnsi="宋体"/>
          <w:bCs/>
          <w:kern w:val="0"/>
          <w:sz w:val="20"/>
          <w:szCs w:val="20"/>
          <w:highlight w:val="none"/>
        </w:rPr>
      </w:pPr>
    </w:p>
    <w:p w14:paraId="4A1F66FD">
      <w:pPr>
        <w:pStyle w:val="3"/>
        <w:spacing w:line="360" w:lineRule="auto"/>
        <w:rPr>
          <w:rFonts w:ascii="宋体" w:hAnsi="宋体"/>
          <w:w w:val="99"/>
          <w:kern w:val="0"/>
          <w:sz w:val="24"/>
          <w:highlight w:val="none"/>
        </w:rPr>
        <w:sectPr>
          <w:headerReference r:id="rId3" w:type="default"/>
          <w:footerReference r:id="rId4" w:type="default"/>
          <w:pgSz w:w="11907" w:h="16840"/>
          <w:pgMar w:top="1304" w:right="1134" w:bottom="1304" w:left="1304" w:header="851" w:footer="992" w:gutter="0"/>
          <w:pgNumType w:fmt="numberInDash" w:start="1"/>
          <w:cols w:space="720" w:num="1"/>
          <w:docGrid w:linePitch="312" w:charSpace="0"/>
        </w:sectPr>
      </w:pPr>
    </w:p>
    <w:p w14:paraId="7D3E96EB">
      <w:pPr>
        <w:pStyle w:val="22"/>
        <w:jc w:val="center"/>
        <w:rPr>
          <w:rFonts w:ascii="宋体" w:hAnsi="宋体"/>
          <w:i w:val="0"/>
          <w:iCs w:val="0"/>
          <w:color w:val="auto"/>
          <w:sz w:val="44"/>
          <w:szCs w:val="44"/>
          <w:highlight w:val="none"/>
        </w:rPr>
      </w:pPr>
      <w:bookmarkStart w:id="1" w:name="_Toc23843"/>
      <w:r>
        <w:rPr>
          <w:rFonts w:ascii="宋体" w:hAnsi="宋体"/>
          <w:i w:val="0"/>
          <w:iCs w:val="0"/>
          <w:color w:val="auto"/>
          <w:sz w:val="44"/>
          <w:szCs w:val="44"/>
          <w:highlight w:val="none"/>
          <w:lang w:val="zh-CN"/>
        </w:rPr>
        <w:t>目</w:t>
      </w:r>
      <w:r>
        <w:rPr>
          <w:rFonts w:hint="eastAsia" w:ascii="宋体" w:hAnsi="宋体"/>
          <w:i w:val="0"/>
          <w:iCs w:val="0"/>
          <w:color w:val="auto"/>
          <w:sz w:val="44"/>
          <w:szCs w:val="44"/>
          <w:highlight w:val="none"/>
          <w:lang w:val="zh-CN"/>
        </w:rPr>
        <w:t xml:space="preserve"> </w:t>
      </w:r>
      <w:r>
        <w:rPr>
          <w:rFonts w:ascii="宋体" w:hAnsi="宋体"/>
          <w:i w:val="0"/>
          <w:iCs w:val="0"/>
          <w:color w:val="auto"/>
          <w:sz w:val="44"/>
          <w:szCs w:val="44"/>
          <w:highlight w:val="none"/>
          <w:lang w:val="zh-CN"/>
        </w:rPr>
        <w:t>录</w:t>
      </w:r>
      <w:bookmarkEnd w:id="1"/>
    </w:p>
    <w:p w14:paraId="0C1AC026">
      <w:pPr>
        <w:pStyle w:val="12"/>
        <w:tabs>
          <w:tab w:val="right" w:leader="dot" w:pos="9469"/>
        </w:tabs>
        <w:rPr>
          <w:i w:val="0"/>
          <w:iCs w:val="0"/>
        </w:rPr>
      </w:pPr>
      <w:r>
        <w:rPr>
          <w:rFonts w:ascii="宋体" w:hAnsi="宋体"/>
          <w:i w:val="0"/>
          <w:iCs w:val="0"/>
          <w:highlight w:val="none"/>
        </w:rPr>
        <w:fldChar w:fldCharType="begin"/>
      </w:r>
      <w:r>
        <w:rPr>
          <w:rFonts w:ascii="宋体" w:hAnsi="宋体"/>
          <w:i w:val="0"/>
          <w:iCs w:val="0"/>
          <w:highlight w:val="none"/>
        </w:rPr>
        <w:instrText xml:space="preserve"> TOC \o "1-3" \h \z \u </w:instrText>
      </w:r>
      <w:r>
        <w:rPr>
          <w:rFonts w:ascii="宋体" w:hAnsi="宋体"/>
          <w:i w:val="0"/>
          <w:iCs w:val="0"/>
          <w:highlight w:val="none"/>
        </w:rPr>
        <w:fldChar w:fldCharType="separate"/>
      </w:r>
      <w:r>
        <w:rPr>
          <w:rFonts w:ascii="宋体" w:hAnsi="宋体"/>
          <w:i w:val="0"/>
          <w:iCs w:val="0"/>
          <w:highlight w:val="none"/>
        </w:rPr>
        <w:fldChar w:fldCharType="begin"/>
      </w:r>
      <w:r>
        <w:rPr>
          <w:rFonts w:ascii="宋体" w:hAnsi="宋体"/>
          <w:i w:val="0"/>
          <w:iCs w:val="0"/>
          <w:highlight w:val="none"/>
        </w:rPr>
        <w:instrText xml:space="preserve"> HYPERLINK \l _Toc22439 </w:instrText>
      </w:r>
      <w:r>
        <w:rPr>
          <w:rFonts w:ascii="宋体" w:hAnsi="宋体"/>
          <w:i w:val="0"/>
          <w:iCs w:val="0"/>
          <w:highlight w:val="none"/>
        </w:rPr>
        <w:fldChar w:fldCharType="separate"/>
      </w:r>
      <w:r>
        <w:rPr>
          <w:rFonts w:hint="eastAsia" w:ascii="宋体" w:hAnsi="宋体"/>
          <w:i w:val="0"/>
          <w:iCs w:val="0"/>
          <w:szCs w:val="52"/>
          <w:highlight w:val="none"/>
        </w:rPr>
        <w:t>第 一 卷</w:t>
      </w:r>
      <w:r>
        <w:rPr>
          <w:i w:val="0"/>
          <w:iCs w:val="0"/>
        </w:rPr>
        <w:tab/>
      </w:r>
      <w:r>
        <w:rPr>
          <w:i w:val="0"/>
          <w:iCs w:val="0"/>
        </w:rPr>
        <w:fldChar w:fldCharType="begin"/>
      </w:r>
      <w:r>
        <w:rPr>
          <w:i w:val="0"/>
          <w:iCs w:val="0"/>
        </w:rPr>
        <w:instrText xml:space="preserve"> PAGEREF _Toc22439 \h </w:instrText>
      </w:r>
      <w:r>
        <w:rPr>
          <w:i w:val="0"/>
          <w:iCs w:val="0"/>
        </w:rPr>
        <w:fldChar w:fldCharType="separate"/>
      </w:r>
      <w:r>
        <w:rPr>
          <w:i w:val="0"/>
          <w:iCs w:val="0"/>
        </w:rPr>
        <w:t>3</w:t>
      </w:r>
      <w:r>
        <w:rPr>
          <w:i w:val="0"/>
          <w:iCs w:val="0"/>
        </w:rPr>
        <w:fldChar w:fldCharType="end"/>
      </w:r>
      <w:r>
        <w:rPr>
          <w:rFonts w:ascii="宋体" w:hAnsi="宋体"/>
          <w:i w:val="0"/>
          <w:iCs w:val="0"/>
          <w:highlight w:val="none"/>
        </w:rPr>
        <w:fldChar w:fldCharType="end"/>
      </w:r>
    </w:p>
    <w:p w14:paraId="130A3020">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_Toc6898 </w:instrText>
      </w:r>
      <w:r>
        <w:rPr>
          <w:rFonts w:ascii="宋体" w:hAnsi="宋体"/>
          <w:bCs/>
          <w:i w:val="0"/>
          <w:iCs w:val="0"/>
          <w:szCs w:val="20"/>
          <w:highlight w:val="none"/>
          <w:lang w:val="zh-CN"/>
        </w:rPr>
        <w:fldChar w:fldCharType="separate"/>
      </w:r>
      <w:r>
        <w:rPr>
          <w:rFonts w:ascii="宋体" w:hAnsi="宋体"/>
          <w:i w:val="0"/>
          <w:iCs w:val="0"/>
          <w:snapToGrid w:val="0"/>
          <w:kern w:val="0"/>
          <w:highlight w:val="none"/>
        </w:rPr>
        <w:t xml:space="preserve">第一章  </w:t>
      </w:r>
      <w:r>
        <w:rPr>
          <w:rFonts w:hint="eastAsia" w:ascii="宋体" w:hAnsi="宋体"/>
          <w:i w:val="0"/>
          <w:iCs w:val="0"/>
          <w:snapToGrid w:val="0"/>
          <w:kern w:val="0"/>
          <w:highlight w:val="none"/>
          <w:lang w:eastAsia="zh-CN"/>
        </w:rPr>
        <w:t>竞争性比选公告</w:t>
      </w:r>
      <w:r>
        <w:rPr>
          <w:i w:val="0"/>
          <w:iCs w:val="0"/>
        </w:rPr>
        <w:tab/>
      </w:r>
      <w:r>
        <w:rPr>
          <w:i w:val="0"/>
          <w:iCs w:val="0"/>
        </w:rPr>
        <w:fldChar w:fldCharType="begin"/>
      </w:r>
      <w:r>
        <w:rPr>
          <w:i w:val="0"/>
          <w:iCs w:val="0"/>
        </w:rPr>
        <w:instrText xml:space="preserve"> PAGEREF _Toc6898 \h </w:instrText>
      </w:r>
      <w:r>
        <w:rPr>
          <w:i w:val="0"/>
          <w:iCs w:val="0"/>
        </w:rPr>
        <w:fldChar w:fldCharType="separate"/>
      </w:r>
      <w:r>
        <w:rPr>
          <w:i w:val="0"/>
          <w:iCs w:val="0"/>
        </w:rPr>
        <w:t>4</w:t>
      </w:r>
      <w:r>
        <w:rPr>
          <w:i w:val="0"/>
          <w:iCs w:val="0"/>
        </w:rPr>
        <w:fldChar w:fldCharType="end"/>
      </w:r>
      <w:r>
        <w:rPr>
          <w:rFonts w:ascii="宋体" w:hAnsi="宋体"/>
          <w:bCs/>
          <w:i w:val="0"/>
          <w:iCs w:val="0"/>
          <w:szCs w:val="20"/>
          <w:highlight w:val="none"/>
          <w:lang w:val="zh-CN"/>
        </w:rPr>
        <w:fldChar w:fldCharType="end"/>
      </w:r>
    </w:p>
    <w:p w14:paraId="0CE188A4">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_Toc19772 </w:instrText>
      </w:r>
      <w:r>
        <w:rPr>
          <w:rFonts w:ascii="宋体" w:hAnsi="宋体"/>
          <w:bCs/>
          <w:i w:val="0"/>
          <w:iCs w:val="0"/>
          <w:szCs w:val="20"/>
          <w:highlight w:val="none"/>
          <w:lang w:val="zh-CN"/>
        </w:rPr>
        <w:fldChar w:fldCharType="separate"/>
      </w:r>
      <w:r>
        <w:rPr>
          <w:rFonts w:ascii="宋体" w:hAnsi="宋体"/>
          <w:i w:val="0"/>
          <w:iCs w:val="0"/>
          <w:snapToGrid w:val="0"/>
          <w:szCs w:val="28"/>
          <w:highlight w:val="none"/>
        </w:rPr>
        <w:t xml:space="preserve">1. </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招标条件</w:t>
      </w:r>
      <w:r>
        <w:rPr>
          <w:i w:val="0"/>
          <w:iCs w:val="0"/>
        </w:rPr>
        <w:tab/>
      </w:r>
      <w:r>
        <w:rPr>
          <w:i w:val="0"/>
          <w:iCs w:val="0"/>
        </w:rPr>
        <w:fldChar w:fldCharType="begin"/>
      </w:r>
      <w:r>
        <w:rPr>
          <w:i w:val="0"/>
          <w:iCs w:val="0"/>
        </w:rPr>
        <w:instrText xml:space="preserve"> PAGEREF _Toc19772 \h </w:instrText>
      </w:r>
      <w:r>
        <w:rPr>
          <w:i w:val="0"/>
          <w:iCs w:val="0"/>
        </w:rPr>
        <w:fldChar w:fldCharType="separate"/>
      </w:r>
      <w:r>
        <w:rPr>
          <w:i w:val="0"/>
          <w:iCs w:val="0"/>
        </w:rPr>
        <w:t>4</w:t>
      </w:r>
      <w:r>
        <w:rPr>
          <w:i w:val="0"/>
          <w:iCs w:val="0"/>
        </w:rPr>
        <w:fldChar w:fldCharType="end"/>
      </w:r>
      <w:r>
        <w:rPr>
          <w:rFonts w:ascii="宋体" w:hAnsi="宋体"/>
          <w:bCs/>
          <w:i w:val="0"/>
          <w:iCs w:val="0"/>
          <w:szCs w:val="20"/>
          <w:highlight w:val="none"/>
          <w:lang w:val="zh-CN"/>
        </w:rPr>
        <w:fldChar w:fldCharType="end"/>
      </w:r>
    </w:p>
    <w:p w14:paraId="6FDC603D">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_Toc3815 </w:instrText>
      </w:r>
      <w:r>
        <w:rPr>
          <w:rFonts w:ascii="宋体" w:hAnsi="宋体"/>
          <w:bCs/>
          <w:i w:val="0"/>
          <w:iCs w:val="0"/>
          <w:szCs w:val="20"/>
          <w:highlight w:val="none"/>
          <w:lang w:val="zh-CN"/>
        </w:rPr>
        <w:fldChar w:fldCharType="separate"/>
      </w:r>
      <w:r>
        <w:rPr>
          <w:rFonts w:ascii="宋体" w:hAnsi="宋体"/>
          <w:i w:val="0"/>
          <w:iCs w:val="0"/>
          <w:snapToGrid w:val="0"/>
          <w:szCs w:val="28"/>
          <w:highlight w:val="none"/>
        </w:rPr>
        <w:t>2.</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 xml:space="preserve"> 项目概况与招标范围</w:t>
      </w:r>
      <w:r>
        <w:rPr>
          <w:i w:val="0"/>
          <w:iCs w:val="0"/>
        </w:rPr>
        <w:tab/>
      </w:r>
      <w:r>
        <w:rPr>
          <w:i w:val="0"/>
          <w:iCs w:val="0"/>
        </w:rPr>
        <w:fldChar w:fldCharType="begin"/>
      </w:r>
      <w:r>
        <w:rPr>
          <w:i w:val="0"/>
          <w:iCs w:val="0"/>
        </w:rPr>
        <w:instrText xml:space="preserve"> PAGEREF _Toc3815 \h </w:instrText>
      </w:r>
      <w:r>
        <w:rPr>
          <w:i w:val="0"/>
          <w:iCs w:val="0"/>
        </w:rPr>
        <w:fldChar w:fldCharType="separate"/>
      </w:r>
      <w:r>
        <w:rPr>
          <w:i w:val="0"/>
          <w:iCs w:val="0"/>
        </w:rPr>
        <w:t>4</w:t>
      </w:r>
      <w:r>
        <w:rPr>
          <w:i w:val="0"/>
          <w:iCs w:val="0"/>
        </w:rPr>
        <w:fldChar w:fldCharType="end"/>
      </w:r>
      <w:r>
        <w:rPr>
          <w:rFonts w:ascii="宋体" w:hAnsi="宋体"/>
          <w:bCs/>
          <w:i w:val="0"/>
          <w:iCs w:val="0"/>
          <w:szCs w:val="20"/>
          <w:highlight w:val="none"/>
          <w:lang w:val="zh-CN"/>
        </w:rPr>
        <w:fldChar w:fldCharType="end"/>
      </w:r>
    </w:p>
    <w:p w14:paraId="412D8A56">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_Toc12841 </w:instrText>
      </w:r>
      <w:r>
        <w:rPr>
          <w:rFonts w:ascii="宋体" w:hAnsi="宋体"/>
          <w:bCs/>
          <w:i w:val="0"/>
          <w:iCs w:val="0"/>
          <w:szCs w:val="20"/>
          <w:highlight w:val="none"/>
          <w:lang w:val="zh-CN"/>
        </w:rPr>
        <w:fldChar w:fldCharType="separate"/>
      </w:r>
      <w:r>
        <w:rPr>
          <w:rFonts w:hint="eastAsia" w:ascii="宋体" w:hAnsi="宋体"/>
          <w:i w:val="0"/>
          <w:iCs w:val="0"/>
          <w:snapToGrid w:val="0"/>
          <w:szCs w:val="28"/>
          <w:highlight w:val="none"/>
          <w:lang w:val="en-US" w:eastAsia="zh-CN"/>
        </w:rPr>
        <w:t>3</w:t>
      </w:r>
      <w:r>
        <w:rPr>
          <w:rFonts w:ascii="宋体" w:hAnsi="宋体"/>
          <w:i w:val="0"/>
          <w:iCs w:val="0"/>
          <w:snapToGrid w:val="0"/>
          <w:szCs w:val="28"/>
          <w:highlight w:val="none"/>
        </w:rPr>
        <w:t xml:space="preserve">. </w:t>
      </w:r>
      <w:r>
        <w:rPr>
          <w:rFonts w:hint="eastAsia" w:ascii="宋体" w:hAnsi="宋体"/>
          <w:i w:val="0"/>
          <w:iCs w:val="0"/>
          <w:snapToGrid w:val="0"/>
          <w:szCs w:val="28"/>
          <w:highlight w:val="none"/>
        </w:rPr>
        <w:t xml:space="preserve"> </w:t>
      </w:r>
      <w:r>
        <w:rPr>
          <w:rFonts w:hint="eastAsia" w:ascii="宋体" w:hAnsi="宋体"/>
          <w:i w:val="0"/>
          <w:iCs w:val="0"/>
          <w:snapToGrid w:val="0"/>
          <w:szCs w:val="28"/>
          <w:highlight w:val="none"/>
          <w:lang w:val="en-US" w:eastAsia="zh-CN"/>
        </w:rPr>
        <w:t>政府采购工程</w:t>
      </w:r>
      <w:r>
        <w:rPr>
          <w:i w:val="0"/>
          <w:iCs w:val="0"/>
        </w:rPr>
        <w:tab/>
      </w:r>
      <w:r>
        <w:rPr>
          <w:i w:val="0"/>
          <w:iCs w:val="0"/>
        </w:rPr>
        <w:fldChar w:fldCharType="begin"/>
      </w:r>
      <w:r>
        <w:rPr>
          <w:i w:val="0"/>
          <w:iCs w:val="0"/>
        </w:rPr>
        <w:instrText xml:space="preserve"> PAGEREF _Toc12841 \h </w:instrText>
      </w:r>
      <w:r>
        <w:rPr>
          <w:i w:val="0"/>
          <w:iCs w:val="0"/>
        </w:rPr>
        <w:fldChar w:fldCharType="separate"/>
      </w:r>
      <w:r>
        <w:rPr>
          <w:i w:val="0"/>
          <w:iCs w:val="0"/>
        </w:rPr>
        <w:t>4</w:t>
      </w:r>
      <w:r>
        <w:rPr>
          <w:i w:val="0"/>
          <w:iCs w:val="0"/>
        </w:rPr>
        <w:fldChar w:fldCharType="end"/>
      </w:r>
      <w:r>
        <w:rPr>
          <w:rFonts w:ascii="宋体" w:hAnsi="宋体"/>
          <w:bCs/>
          <w:i w:val="0"/>
          <w:iCs w:val="0"/>
          <w:szCs w:val="20"/>
          <w:highlight w:val="none"/>
          <w:lang w:val="zh-CN"/>
        </w:rPr>
        <w:fldChar w:fldCharType="end"/>
      </w:r>
    </w:p>
    <w:p w14:paraId="1F967342">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_Toc27465 </w:instrText>
      </w:r>
      <w:r>
        <w:rPr>
          <w:rFonts w:ascii="宋体" w:hAnsi="宋体"/>
          <w:bCs/>
          <w:i w:val="0"/>
          <w:iCs w:val="0"/>
          <w:szCs w:val="20"/>
          <w:highlight w:val="none"/>
          <w:lang w:val="zh-CN"/>
        </w:rPr>
        <w:fldChar w:fldCharType="separate"/>
      </w:r>
      <w:r>
        <w:rPr>
          <w:rFonts w:hint="eastAsia" w:ascii="宋体" w:hAnsi="宋体"/>
          <w:i w:val="0"/>
          <w:iCs w:val="0"/>
          <w:snapToGrid w:val="0"/>
          <w:szCs w:val="28"/>
          <w:highlight w:val="none"/>
          <w:lang w:val="en-US" w:eastAsia="zh-CN"/>
        </w:rPr>
        <w:t>4</w:t>
      </w:r>
      <w:r>
        <w:rPr>
          <w:rFonts w:ascii="宋体" w:hAnsi="宋体"/>
          <w:i w:val="0"/>
          <w:iCs w:val="0"/>
          <w:snapToGrid w:val="0"/>
          <w:szCs w:val="28"/>
          <w:highlight w:val="none"/>
        </w:rPr>
        <w:t xml:space="preserve">. </w:t>
      </w:r>
      <w:r>
        <w:rPr>
          <w:rFonts w:hint="eastAsia" w:ascii="宋体" w:hAnsi="宋体"/>
          <w:i w:val="0"/>
          <w:iCs w:val="0"/>
          <w:snapToGrid w:val="0"/>
          <w:szCs w:val="28"/>
          <w:highlight w:val="none"/>
        </w:rPr>
        <w:t xml:space="preserve"> </w:t>
      </w:r>
      <w:r>
        <w:rPr>
          <w:rFonts w:hint="eastAsia" w:ascii="宋体" w:hAnsi="宋体"/>
          <w:i w:val="0"/>
          <w:iCs w:val="0"/>
          <w:snapToGrid w:val="0"/>
          <w:szCs w:val="28"/>
          <w:highlight w:val="none"/>
          <w:lang w:eastAsia="zh-CN"/>
        </w:rPr>
        <w:t>比选申请人</w:t>
      </w:r>
      <w:r>
        <w:rPr>
          <w:rFonts w:ascii="宋体" w:hAnsi="宋体"/>
          <w:i w:val="0"/>
          <w:iCs w:val="0"/>
          <w:snapToGrid w:val="0"/>
          <w:szCs w:val="28"/>
          <w:highlight w:val="none"/>
        </w:rPr>
        <w:t>资格要求</w:t>
      </w:r>
      <w:r>
        <w:rPr>
          <w:i w:val="0"/>
          <w:iCs w:val="0"/>
        </w:rPr>
        <w:tab/>
      </w:r>
      <w:r>
        <w:rPr>
          <w:i w:val="0"/>
          <w:iCs w:val="0"/>
        </w:rPr>
        <w:fldChar w:fldCharType="begin"/>
      </w:r>
      <w:r>
        <w:rPr>
          <w:i w:val="0"/>
          <w:iCs w:val="0"/>
        </w:rPr>
        <w:instrText xml:space="preserve"> PAGEREF _Toc27465 \h </w:instrText>
      </w:r>
      <w:r>
        <w:rPr>
          <w:i w:val="0"/>
          <w:iCs w:val="0"/>
        </w:rPr>
        <w:fldChar w:fldCharType="separate"/>
      </w:r>
      <w:r>
        <w:rPr>
          <w:i w:val="0"/>
          <w:iCs w:val="0"/>
        </w:rPr>
        <w:t>4</w:t>
      </w:r>
      <w:r>
        <w:rPr>
          <w:i w:val="0"/>
          <w:iCs w:val="0"/>
        </w:rPr>
        <w:fldChar w:fldCharType="end"/>
      </w:r>
      <w:r>
        <w:rPr>
          <w:rFonts w:ascii="宋体" w:hAnsi="宋体"/>
          <w:bCs/>
          <w:i w:val="0"/>
          <w:iCs w:val="0"/>
          <w:szCs w:val="20"/>
          <w:highlight w:val="none"/>
          <w:lang w:val="zh-CN"/>
        </w:rPr>
        <w:fldChar w:fldCharType="end"/>
      </w:r>
    </w:p>
    <w:p w14:paraId="3906051E">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_Toc1061 </w:instrText>
      </w:r>
      <w:r>
        <w:rPr>
          <w:rFonts w:ascii="宋体" w:hAnsi="宋体"/>
          <w:bCs/>
          <w:i w:val="0"/>
          <w:iCs w:val="0"/>
          <w:szCs w:val="20"/>
          <w:highlight w:val="none"/>
          <w:lang w:val="zh-CN"/>
        </w:rPr>
        <w:fldChar w:fldCharType="separate"/>
      </w:r>
      <w:r>
        <w:rPr>
          <w:rFonts w:hint="eastAsia" w:ascii="宋体" w:hAnsi="宋体"/>
          <w:i w:val="0"/>
          <w:iCs w:val="0"/>
          <w:snapToGrid w:val="0"/>
          <w:szCs w:val="28"/>
          <w:highlight w:val="none"/>
          <w:lang w:val="en-US" w:eastAsia="zh-CN"/>
        </w:rPr>
        <w:t>5</w:t>
      </w:r>
      <w:r>
        <w:rPr>
          <w:rFonts w:ascii="宋体" w:hAnsi="宋体"/>
          <w:i w:val="0"/>
          <w:iCs w:val="0"/>
          <w:snapToGrid w:val="0"/>
          <w:szCs w:val="28"/>
          <w:highlight w:val="none"/>
        </w:rPr>
        <w:t xml:space="preserve">. </w:t>
      </w:r>
      <w:r>
        <w:rPr>
          <w:rFonts w:hint="eastAsia" w:ascii="宋体" w:hAnsi="宋体"/>
          <w:i w:val="0"/>
          <w:iCs w:val="0"/>
          <w:snapToGrid w:val="0"/>
          <w:szCs w:val="28"/>
          <w:highlight w:val="none"/>
        </w:rPr>
        <w:t xml:space="preserve"> </w:t>
      </w:r>
      <w:r>
        <w:rPr>
          <w:rFonts w:hint="eastAsia" w:ascii="宋体" w:hAnsi="宋体"/>
          <w:i w:val="0"/>
          <w:iCs w:val="0"/>
          <w:snapToGrid w:val="0"/>
          <w:szCs w:val="28"/>
          <w:highlight w:val="none"/>
          <w:lang w:eastAsia="zh-CN"/>
        </w:rPr>
        <w:t>竞争性比选文件</w:t>
      </w:r>
      <w:r>
        <w:rPr>
          <w:rFonts w:ascii="宋体" w:hAnsi="宋体"/>
          <w:i w:val="0"/>
          <w:iCs w:val="0"/>
          <w:snapToGrid w:val="0"/>
          <w:szCs w:val="28"/>
          <w:highlight w:val="none"/>
        </w:rPr>
        <w:t>的获取</w:t>
      </w:r>
      <w:r>
        <w:rPr>
          <w:i w:val="0"/>
          <w:iCs w:val="0"/>
        </w:rPr>
        <w:tab/>
      </w:r>
      <w:r>
        <w:rPr>
          <w:i w:val="0"/>
          <w:iCs w:val="0"/>
        </w:rPr>
        <w:fldChar w:fldCharType="begin"/>
      </w:r>
      <w:r>
        <w:rPr>
          <w:i w:val="0"/>
          <w:iCs w:val="0"/>
        </w:rPr>
        <w:instrText xml:space="preserve"> PAGEREF _Toc1061 \h </w:instrText>
      </w:r>
      <w:r>
        <w:rPr>
          <w:i w:val="0"/>
          <w:iCs w:val="0"/>
        </w:rPr>
        <w:fldChar w:fldCharType="separate"/>
      </w:r>
      <w:r>
        <w:rPr>
          <w:i w:val="0"/>
          <w:iCs w:val="0"/>
        </w:rPr>
        <w:t>5</w:t>
      </w:r>
      <w:r>
        <w:rPr>
          <w:i w:val="0"/>
          <w:iCs w:val="0"/>
        </w:rPr>
        <w:fldChar w:fldCharType="end"/>
      </w:r>
      <w:r>
        <w:rPr>
          <w:rFonts w:ascii="宋体" w:hAnsi="宋体"/>
          <w:bCs/>
          <w:i w:val="0"/>
          <w:iCs w:val="0"/>
          <w:szCs w:val="20"/>
          <w:highlight w:val="none"/>
          <w:lang w:val="zh-CN"/>
        </w:rPr>
        <w:fldChar w:fldCharType="end"/>
      </w:r>
    </w:p>
    <w:p w14:paraId="49C3779D">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_Toc9737 </w:instrText>
      </w:r>
      <w:r>
        <w:rPr>
          <w:rFonts w:ascii="宋体" w:hAnsi="宋体"/>
          <w:bCs/>
          <w:i w:val="0"/>
          <w:iCs w:val="0"/>
          <w:szCs w:val="20"/>
          <w:highlight w:val="none"/>
          <w:lang w:val="zh-CN"/>
        </w:rPr>
        <w:fldChar w:fldCharType="separate"/>
      </w:r>
      <w:r>
        <w:rPr>
          <w:rFonts w:hint="eastAsia" w:ascii="宋体" w:hAnsi="宋体"/>
          <w:i w:val="0"/>
          <w:iCs w:val="0"/>
          <w:snapToGrid w:val="0"/>
          <w:szCs w:val="28"/>
          <w:highlight w:val="none"/>
          <w:lang w:val="en-US" w:eastAsia="zh-CN"/>
        </w:rPr>
        <w:t>6</w:t>
      </w:r>
      <w:r>
        <w:rPr>
          <w:rFonts w:ascii="宋体" w:hAnsi="宋体"/>
          <w:i w:val="0"/>
          <w:iCs w:val="0"/>
          <w:snapToGrid w:val="0"/>
          <w:szCs w:val="28"/>
          <w:highlight w:val="none"/>
        </w:rPr>
        <w:t xml:space="preserve">. </w:t>
      </w:r>
      <w:r>
        <w:rPr>
          <w:rFonts w:hint="eastAsia" w:ascii="宋体" w:hAnsi="宋体"/>
          <w:i w:val="0"/>
          <w:iCs w:val="0"/>
          <w:snapToGrid w:val="0"/>
          <w:szCs w:val="28"/>
          <w:highlight w:val="none"/>
        </w:rPr>
        <w:t xml:space="preserve"> </w:t>
      </w:r>
      <w:r>
        <w:rPr>
          <w:rFonts w:hint="eastAsia" w:ascii="宋体" w:hAnsi="宋体"/>
          <w:i w:val="0"/>
          <w:iCs w:val="0"/>
          <w:snapToGrid w:val="0"/>
          <w:szCs w:val="28"/>
          <w:highlight w:val="none"/>
          <w:lang w:eastAsia="zh-CN"/>
        </w:rPr>
        <w:t>比选申请文件</w:t>
      </w:r>
      <w:r>
        <w:rPr>
          <w:rFonts w:ascii="宋体" w:hAnsi="宋体"/>
          <w:i w:val="0"/>
          <w:iCs w:val="0"/>
          <w:snapToGrid w:val="0"/>
          <w:szCs w:val="28"/>
          <w:highlight w:val="none"/>
        </w:rPr>
        <w:t>的递交</w:t>
      </w:r>
      <w:r>
        <w:rPr>
          <w:i w:val="0"/>
          <w:iCs w:val="0"/>
        </w:rPr>
        <w:tab/>
      </w:r>
      <w:r>
        <w:rPr>
          <w:i w:val="0"/>
          <w:iCs w:val="0"/>
        </w:rPr>
        <w:fldChar w:fldCharType="begin"/>
      </w:r>
      <w:r>
        <w:rPr>
          <w:i w:val="0"/>
          <w:iCs w:val="0"/>
        </w:rPr>
        <w:instrText xml:space="preserve"> PAGEREF _Toc9737 \h </w:instrText>
      </w:r>
      <w:r>
        <w:rPr>
          <w:i w:val="0"/>
          <w:iCs w:val="0"/>
        </w:rPr>
        <w:fldChar w:fldCharType="separate"/>
      </w:r>
      <w:r>
        <w:rPr>
          <w:i w:val="0"/>
          <w:iCs w:val="0"/>
        </w:rPr>
        <w:t>5</w:t>
      </w:r>
      <w:r>
        <w:rPr>
          <w:i w:val="0"/>
          <w:iCs w:val="0"/>
        </w:rPr>
        <w:fldChar w:fldCharType="end"/>
      </w:r>
      <w:r>
        <w:rPr>
          <w:rFonts w:ascii="宋体" w:hAnsi="宋体"/>
          <w:bCs/>
          <w:i w:val="0"/>
          <w:iCs w:val="0"/>
          <w:szCs w:val="20"/>
          <w:highlight w:val="none"/>
          <w:lang w:val="zh-CN"/>
        </w:rPr>
        <w:fldChar w:fldCharType="end"/>
      </w:r>
    </w:p>
    <w:p w14:paraId="7CC224E3">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_Toc3934 </w:instrText>
      </w:r>
      <w:r>
        <w:rPr>
          <w:rFonts w:ascii="宋体" w:hAnsi="宋体"/>
          <w:bCs/>
          <w:i w:val="0"/>
          <w:iCs w:val="0"/>
          <w:szCs w:val="20"/>
          <w:highlight w:val="none"/>
          <w:lang w:val="zh-CN"/>
        </w:rPr>
        <w:fldChar w:fldCharType="separate"/>
      </w:r>
      <w:r>
        <w:rPr>
          <w:rFonts w:hint="eastAsia" w:ascii="宋体" w:hAnsi="宋体"/>
          <w:i w:val="0"/>
          <w:iCs w:val="0"/>
          <w:snapToGrid w:val="0"/>
          <w:szCs w:val="28"/>
          <w:highlight w:val="none"/>
          <w:lang w:val="en-US" w:eastAsia="zh-CN"/>
        </w:rPr>
        <w:t>7</w:t>
      </w:r>
      <w:r>
        <w:rPr>
          <w:rFonts w:ascii="宋体" w:hAnsi="宋体"/>
          <w:i w:val="0"/>
          <w:iCs w:val="0"/>
          <w:snapToGrid w:val="0"/>
          <w:szCs w:val="28"/>
          <w:highlight w:val="none"/>
        </w:rPr>
        <w:t xml:space="preserve">. </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发布公告的媒介</w:t>
      </w:r>
      <w:r>
        <w:rPr>
          <w:i w:val="0"/>
          <w:iCs w:val="0"/>
        </w:rPr>
        <w:tab/>
      </w:r>
      <w:r>
        <w:rPr>
          <w:i w:val="0"/>
          <w:iCs w:val="0"/>
        </w:rPr>
        <w:fldChar w:fldCharType="begin"/>
      </w:r>
      <w:r>
        <w:rPr>
          <w:i w:val="0"/>
          <w:iCs w:val="0"/>
        </w:rPr>
        <w:instrText xml:space="preserve"> PAGEREF _Toc3934 \h </w:instrText>
      </w:r>
      <w:r>
        <w:rPr>
          <w:i w:val="0"/>
          <w:iCs w:val="0"/>
        </w:rPr>
        <w:fldChar w:fldCharType="separate"/>
      </w:r>
      <w:r>
        <w:rPr>
          <w:i w:val="0"/>
          <w:iCs w:val="0"/>
        </w:rPr>
        <w:t>5</w:t>
      </w:r>
      <w:r>
        <w:rPr>
          <w:i w:val="0"/>
          <w:iCs w:val="0"/>
        </w:rPr>
        <w:fldChar w:fldCharType="end"/>
      </w:r>
      <w:r>
        <w:rPr>
          <w:rFonts w:ascii="宋体" w:hAnsi="宋体"/>
          <w:bCs/>
          <w:i w:val="0"/>
          <w:iCs w:val="0"/>
          <w:szCs w:val="20"/>
          <w:highlight w:val="none"/>
          <w:lang w:val="zh-CN"/>
        </w:rPr>
        <w:fldChar w:fldCharType="end"/>
      </w:r>
    </w:p>
    <w:p w14:paraId="517E50C8">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_Toc26893 </w:instrText>
      </w:r>
      <w:r>
        <w:rPr>
          <w:rFonts w:ascii="宋体" w:hAnsi="宋体"/>
          <w:bCs/>
          <w:i w:val="0"/>
          <w:iCs w:val="0"/>
          <w:szCs w:val="20"/>
          <w:highlight w:val="none"/>
          <w:lang w:val="zh-CN"/>
        </w:rPr>
        <w:fldChar w:fldCharType="separate"/>
      </w:r>
      <w:r>
        <w:rPr>
          <w:rFonts w:hint="eastAsia" w:ascii="宋体" w:hAnsi="宋体"/>
          <w:i w:val="0"/>
          <w:iCs w:val="0"/>
          <w:snapToGrid w:val="0"/>
          <w:szCs w:val="28"/>
          <w:highlight w:val="none"/>
          <w:lang w:val="en-US" w:eastAsia="zh-CN"/>
        </w:rPr>
        <w:t>8</w:t>
      </w:r>
      <w:r>
        <w:rPr>
          <w:rFonts w:ascii="宋体" w:hAnsi="宋体"/>
          <w:i w:val="0"/>
          <w:iCs w:val="0"/>
          <w:snapToGrid w:val="0"/>
          <w:szCs w:val="28"/>
          <w:highlight w:val="none"/>
        </w:rPr>
        <w:t xml:space="preserve">. </w:t>
      </w:r>
      <w:r>
        <w:rPr>
          <w:rFonts w:hint="eastAsia" w:ascii="宋体" w:hAnsi="宋体"/>
          <w:i w:val="0"/>
          <w:iCs w:val="0"/>
          <w:snapToGrid w:val="0"/>
          <w:szCs w:val="28"/>
          <w:highlight w:val="none"/>
        </w:rPr>
        <w:t xml:space="preserve"> </w:t>
      </w:r>
      <w:r>
        <w:rPr>
          <w:rFonts w:ascii="宋体" w:hAnsi="宋体"/>
          <w:i w:val="0"/>
          <w:iCs w:val="0"/>
          <w:snapToGrid w:val="0"/>
          <w:szCs w:val="28"/>
          <w:highlight w:val="none"/>
        </w:rPr>
        <w:t>联系方式</w:t>
      </w:r>
      <w:r>
        <w:rPr>
          <w:i w:val="0"/>
          <w:iCs w:val="0"/>
        </w:rPr>
        <w:tab/>
      </w:r>
      <w:r>
        <w:rPr>
          <w:i w:val="0"/>
          <w:iCs w:val="0"/>
        </w:rPr>
        <w:fldChar w:fldCharType="begin"/>
      </w:r>
      <w:r>
        <w:rPr>
          <w:i w:val="0"/>
          <w:iCs w:val="0"/>
        </w:rPr>
        <w:instrText xml:space="preserve"> PAGEREF _Toc26893 \h </w:instrText>
      </w:r>
      <w:r>
        <w:rPr>
          <w:i w:val="0"/>
          <w:iCs w:val="0"/>
        </w:rPr>
        <w:fldChar w:fldCharType="separate"/>
      </w:r>
      <w:r>
        <w:rPr>
          <w:i w:val="0"/>
          <w:iCs w:val="0"/>
        </w:rPr>
        <w:t>5</w:t>
      </w:r>
      <w:r>
        <w:rPr>
          <w:i w:val="0"/>
          <w:iCs w:val="0"/>
        </w:rPr>
        <w:fldChar w:fldCharType="end"/>
      </w:r>
      <w:r>
        <w:rPr>
          <w:rFonts w:ascii="宋体" w:hAnsi="宋体"/>
          <w:bCs/>
          <w:i w:val="0"/>
          <w:iCs w:val="0"/>
          <w:szCs w:val="20"/>
          <w:highlight w:val="none"/>
          <w:lang w:val="zh-CN"/>
        </w:rPr>
        <w:fldChar w:fldCharType="end"/>
      </w:r>
    </w:p>
    <w:p w14:paraId="010415E9">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_Toc21224 </w:instrText>
      </w:r>
      <w:r>
        <w:rPr>
          <w:rFonts w:ascii="宋体" w:hAnsi="宋体"/>
          <w:bCs/>
          <w:i w:val="0"/>
          <w:iCs w:val="0"/>
          <w:szCs w:val="20"/>
          <w:highlight w:val="none"/>
          <w:lang w:val="zh-CN"/>
        </w:rPr>
        <w:fldChar w:fldCharType="separate"/>
      </w:r>
      <w:r>
        <w:rPr>
          <w:rFonts w:ascii="宋体" w:hAnsi="宋体"/>
          <w:i w:val="0"/>
          <w:iCs w:val="0"/>
          <w:snapToGrid w:val="0"/>
          <w:kern w:val="0"/>
          <w:highlight w:val="none"/>
        </w:rPr>
        <w:t xml:space="preserve">第二章  </w:t>
      </w:r>
      <w:r>
        <w:rPr>
          <w:rFonts w:hint="eastAsia" w:ascii="宋体" w:hAnsi="宋体"/>
          <w:i w:val="0"/>
          <w:iCs w:val="0"/>
          <w:snapToGrid w:val="0"/>
          <w:kern w:val="0"/>
          <w:highlight w:val="none"/>
          <w:lang w:eastAsia="zh-CN"/>
        </w:rPr>
        <w:t>比选申请人</w:t>
      </w:r>
      <w:r>
        <w:rPr>
          <w:rFonts w:ascii="宋体" w:hAnsi="宋体"/>
          <w:i w:val="0"/>
          <w:iCs w:val="0"/>
          <w:snapToGrid w:val="0"/>
          <w:kern w:val="0"/>
          <w:highlight w:val="none"/>
        </w:rPr>
        <w:t>须知</w:t>
      </w:r>
      <w:r>
        <w:rPr>
          <w:i w:val="0"/>
          <w:iCs w:val="0"/>
        </w:rPr>
        <w:tab/>
      </w:r>
      <w:r>
        <w:rPr>
          <w:i w:val="0"/>
          <w:iCs w:val="0"/>
        </w:rPr>
        <w:fldChar w:fldCharType="begin"/>
      </w:r>
      <w:r>
        <w:rPr>
          <w:i w:val="0"/>
          <w:iCs w:val="0"/>
        </w:rPr>
        <w:instrText xml:space="preserve"> PAGEREF _Toc21224 \h </w:instrText>
      </w:r>
      <w:r>
        <w:rPr>
          <w:i w:val="0"/>
          <w:iCs w:val="0"/>
        </w:rPr>
        <w:fldChar w:fldCharType="separate"/>
      </w:r>
      <w:r>
        <w:rPr>
          <w:i w:val="0"/>
          <w:iCs w:val="0"/>
        </w:rPr>
        <w:t>7</w:t>
      </w:r>
      <w:r>
        <w:rPr>
          <w:i w:val="0"/>
          <w:iCs w:val="0"/>
        </w:rPr>
        <w:fldChar w:fldCharType="end"/>
      </w:r>
      <w:r>
        <w:rPr>
          <w:rFonts w:ascii="宋体" w:hAnsi="宋体"/>
          <w:bCs/>
          <w:i w:val="0"/>
          <w:iCs w:val="0"/>
          <w:szCs w:val="20"/>
          <w:highlight w:val="none"/>
          <w:lang w:val="zh-CN"/>
        </w:rPr>
        <w:fldChar w:fldCharType="end"/>
      </w:r>
    </w:p>
    <w:p w14:paraId="7AD5A451">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_Toc18639 </w:instrText>
      </w:r>
      <w:r>
        <w:rPr>
          <w:rFonts w:ascii="宋体" w:hAnsi="宋体"/>
          <w:bCs/>
          <w:i w:val="0"/>
          <w:iCs w:val="0"/>
          <w:szCs w:val="20"/>
          <w:highlight w:val="none"/>
          <w:lang w:val="zh-CN"/>
        </w:rPr>
        <w:fldChar w:fldCharType="separate"/>
      </w:r>
      <w:r>
        <w:rPr>
          <w:rFonts w:hint="eastAsia" w:ascii="宋体" w:hAnsi="宋体"/>
          <w:i w:val="0"/>
          <w:iCs w:val="0"/>
          <w:highlight w:val="none"/>
          <w:lang w:eastAsia="zh-CN"/>
        </w:rPr>
        <w:t>比选申请人</w:t>
      </w:r>
      <w:r>
        <w:rPr>
          <w:rFonts w:hint="eastAsia" w:ascii="宋体" w:hAnsi="宋体"/>
          <w:i w:val="0"/>
          <w:iCs w:val="0"/>
          <w:highlight w:val="none"/>
        </w:rPr>
        <w:t>须知前附表</w:t>
      </w:r>
      <w:r>
        <w:rPr>
          <w:i w:val="0"/>
          <w:iCs w:val="0"/>
        </w:rPr>
        <w:tab/>
      </w:r>
      <w:r>
        <w:rPr>
          <w:i w:val="0"/>
          <w:iCs w:val="0"/>
        </w:rPr>
        <w:fldChar w:fldCharType="begin"/>
      </w:r>
      <w:r>
        <w:rPr>
          <w:i w:val="0"/>
          <w:iCs w:val="0"/>
        </w:rPr>
        <w:instrText xml:space="preserve"> PAGEREF _Toc18639 \h </w:instrText>
      </w:r>
      <w:r>
        <w:rPr>
          <w:i w:val="0"/>
          <w:iCs w:val="0"/>
        </w:rPr>
        <w:fldChar w:fldCharType="separate"/>
      </w:r>
      <w:r>
        <w:rPr>
          <w:i w:val="0"/>
          <w:iCs w:val="0"/>
        </w:rPr>
        <w:t>7</w:t>
      </w:r>
      <w:r>
        <w:rPr>
          <w:i w:val="0"/>
          <w:iCs w:val="0"/>
        </w:rPr>
        <w:fldChar w:fldCharType="end"/>
      </w:r>
      <w:r>
        <w:rPr>
          <w:rFonts w:ascii="宋体" w:hAnsi="宋体"/>
          <w:bCs/>
          <w:i w:val="0"/>
          <w:iCs w:val="0"/>
          <w:szCs w:val="20"/>
          <w:highlight w:val="none"/>
          <w:lang w:val="zh-CN"/>
        </w:rPr>
        <w:fldChar w:fldCharType="end"/>
      </w:r>
    </w:p>
    <w:p w14:paraId="38523947">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_Toc17446 </w:instrText>
      </w:r>
      <w:r>
        <w:rPr>
          <w:rFonts w:ascii="宋体" w:hAnsi="宋体"/>
          <w:bCs/>
          <w:i w:val="0"/>
          <w:iCs w:val="0"/>
          <w:szCs w:val="20"/>
          <w:highlight w:val="none"/>
          <w:lang w:val="zh-CN"/>
        </w:rPr>
        <w:fldChar w:fldCharType="separate"/>
      </w:r>
      <w:r>
        <w:rPr>
          <w:rFonts w:ascii="宋体" w:hAnsi="宋体"/>
          <w:i w:val="0"/>
          <w:iCs w:val="0"/>
          <w:snapToGrid w:val="0"/>
          <w:highlight w:val="none"/>
        </w:rPr>
        <w:t>1.  总则</w:t>
      </w:r>
      <w:r>
        <w:rPr>
          <w:i w:val="0"/>
          <w:iCs w:val="0"/>
        </w:rPr>
        <w:tab/>
      </w:r>
      <w:r>
        <w:rPr>
          <w:i w:val="0"/>
          <w:iCs w:val="0"/>
        </w:rPr>
        <w:fldChar w:fldCharType="begin"/>
      </w:r>
      <w:r>
        <w:rPr>
          <w:i w:val="0"/>
          <w:iCs w:val="0"/>
        </w:rPr>
        <w:instrText xml:space="preserve"> PAGEREF _Toc17446 \h </w:instrText>
      </w:r>
      <w:r>
        <w:rPr>
          <w:i w:val="0"/>
          <w:iCs w:val="0"/>
        </w:rPr>
        <w:fldChar w:fldCharType="separate"/>
      </w:r>
      <w:r>
        <w:rPr>
          <w:i w:val="0"/>
          <w:iCs w:val="0"/>
        </w:rPr>
        <w:t>20</w:t>
      </w:r>
      <w:r>
        <w:rPr>
          <w:i w:val="0"/>
          <w:iCs w:val="0"/>
        </w:rPr>
        <w:fldChar w:fldCharType="end"/>
      </w:r>
      <w:r>
        <w:rPr>
          <w:rFonts w:ascii="宋体" w:hAnsi="宋体"/>
          <w:bCs/>
          <w:i w:val="0"/>
          <w:iCs w:val="0"/>
          <w:szCs w:val="20"/>
          <w:highlight w:val="none"/>
          <w:lang w:val="zh-CN"/>
        </w:rPr>
        <w:fldChar w:fldCharType="end"/>
      </w:r>
    </w:p>
    <w:p w14:paraId="6D8497E6">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_Toc5297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1.1  项目概况</w:t>
      </w:r>
      <w:r>
        <w:rPr>
          <w:i w:val="0"/>
          <w:iCs w:val="0"/>
        </w:rPr>
        <w:tab/>
      </w:r>
      <w:r>
        <w:rPr>
          <w:i w:val="0"/>
          <w:iCs w:val="0"/>
        </w:rPr>
        <w:fldChar w:fldCharType="begin"/>
      </w:r>
      <w:r>
        <w:rPr>
          <w:i w:val="0"/>
          <w:iCs w:val="0"/>
        </w:rPr>
        <w:instrText xml:space="preserve"> PAGEREF _Toc5297 \h </w:instrText>
      </w:r>
      <w:r>
        <w:rPr>
          <w:i w:val="0"/>
          <w:iCs w:val="0"/>
        </w:rPr>
        <w:fldChar w:fldCharType="separate"/>
      </w:r>
      <w:r>
        <w:rPr>
          <w:i w:val="0"/>
          <w:iCs w:val="0"/>
        </w:rPr>
        <w:t>20</w:t>
      </w:r>
      <w:r>
        <w:rPr>
          <w:i w:val="0"/>
          <w:iCs w:val="0"/>
        </w:rPr>
        <w:fldChar w:fldCharType="end"/>
      </w:r>
      <w:r>
        <w:rPr>
          <w:rFonts w:ascii="宋体" w:hAnsi="宋体"/>
          <w:bCs/>
          <w:i w:val="0"/>
          <w:iCs w:val="0"/>
          <w:szCs w:val="20"/>
          <w:highlight w:val="none"/>
          <w:lang w:val="zh-CN"/>
        </w:rPr>
        <w:fldChar w:fldCharType="end"/>
      </w:r>
    </w:p>
    <w:p w14:paraId="3F2386B8">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_Toc3664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1.2  资金来源和落实情况</w:t>
      </w:r>
      <w:r>
        <w:rPr>
          <w:i w:val="0"/>
          <w:iCs w:val="0"/>
        </w:rPr>
        <w:tab/>
      </w:r>
      <w:r>
        <w:rPr>
          <w:i w:val="0"/>
          <w:iCs w:val="0"/>
        </w:rPr>
        <w:fldChar w:fldCharType="begin"/>
      </w:r>
      <w:r>
        <w:rPr>
          <w:i w:val="0"/>
          <w:iCs w:val="0"/>
        </w:rPr>
        <w:instrText xml:space="preserve"> PAGEREF _Toc3664 \h </w:instrText>
      </w:r>
      <w:r>
        <w:rPr>
          <w:i w:val="0"/>
          <w:iCs w:val="0"/>
        </w:rPr>
        <w:fldChar w:fldCharType="separate"/>
      </w:r>
      <w:r>
        <w:rPr>
          <w:i w:val="0"/>
          <w:iCs w:val="0"/>
        </w:rPr>
        <w:t>20</w:t>
      </w:r>
      <w:r>
        <w:rPr>
          <w:i w:val="0"/>
          <w:iCs w:val="0"/>
        </w:rPr>
        <w:fldChar w:fldCharType="end"/>
      </w:r>
      <w:r>
        <w:rPr>
          <w:rFonts w:ascii="宋体" w:hAnsi="宋体"/>
          <w:bCs/>
          <w:i w:val="0"/>
          <w:iCs w:val="0"/>
          <w:szCs w:val="20"/>
          <w:highlight w:val="none"/>
          <w:lang w:val="zh-CN"/>
        </w:rPr>
        <w:fldChar w:fldCharType="end"/>
      </w:r>
    </w:p>
    <w:p w14:paraId="5F24436B">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_Toc1761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1.3  招标范围、计划工期和质量要求</w:t>
      </w:r>
      <w:r>
        <w:rPr>
          <w:i w:val="0"/>
          <w:iCs w:val="0"/>
        </w:rPr>
        <w:tab/>
      </w:r>
      <w:r>
        <w:rPr>
          <w:i w:val="0"/>
          <w:iCs w:val="0"/>
        </w:rPr>
        <w:fldChar w:fldCharType="begin"/>
      </w:r>
      <w:r>
        <w:rPr>
          <w:i w:val="0"/>
          <w:iCs w:val="0"/>
        </w:rPr>
        <w:instrText xml:space="preserve"> PAGEREF _Toc1761 \h </w:instrText>
      </w:r>
      <w:r>
        <w:rPr>
          <w:i w:val="0"/>
          <w:iCs w:val="0"/>
        </w:rPr>
        <w:fldChar w:fldCharType="separate"/>
      </w:r>
      <w:r>
        <w:rPr>
          <w:i w:val="0"/>
          <w:iCs w:val="0"/>
        </w:rPr>
        <w:t>20</w:t>
      </w:r>
      <w:r>
        <w:rPr>
          <w:i w:val="0"/>
          <w:iCs w:val="0"/>
        </w:rPr>
        <w:fldChar w:fldCharType="end"/>
      </w:r>
      <w:r>
        <w:rPr>
          <w:rFonts w:ascii="宋体" w:hAnsi="宋体"/>
          <w:bCs/>
          <w:i w:val="0"/>
          <w:iCs w:val="0"/>
          <w:szCs w:val="20"/>
          <w:highlight w:val="none"/>
          <w:lang w:val="zh-CN"/>
        </w:rPr>
        <w:fldChar w:fldCharType="end"/>
      </w:r>
    </w:p>
    <w:p w14:paraId="44E8692A">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_Toc14158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1.4  </w:t>
      </w:r>
      <w:r>
        <w:rPr>
          <w:rFonts w:hint="eastAsia" w:ascii="宋体" w:hAnsi="宋体"/>
          <w:i w:val="0"/>
          <w:iCs w:val="0"/>
          <w:snapToGrid w:val="0"/>
          <w:szCs w:val="24"/>
          <w:highlight w:val="none"/>
          <w:lang w:eastAsia="zh-CN"/>
        </w:rPr>
        <w:t>比选申请人</w:t>
      </w:r>
      <w:r>
        <w:rPr>
          <w:rFonts w:ascii="宋体" w:hAnsi="宋体"/>
          <w:i w:val="0"/>
          <w:iCs w:val="0"/>
          <w:snapToGrid w:val="0"/>
          <w:szCs w:val="24"/>
          <w:highlight w:val="none"/>
        </w:rPr>
        <w:t>资格要求</w:t>
      </w:r>
      <w:r>
        <w:rPr>
          <w:i w:val="0"/>
          <w:iCs w:val="0"/>
        </w:rPr>
        <w:tab/>
      </w:r>
      <w:r>
        <w:rPr>
          <w:i w:val="0"/>
          <w:iCs w:val="0"/>
        </w:rPr>
        <w:fldChar w:fldCharType="begin"/>
      </w:r>
      <w:r>
        <w:rPr>
          <w:i w:val="0"/>
          <w:iCs w:val="0"/>
        </w:rPr>
        <w:instrText xml:space="preserve"> PAGEREF _Toc14158 \h </w:instrText>
      </w:r>
      <w:r>
        <w:rPr>
          <w:i w:val="0"/>
          <w:iCs w:val="0"/>
        </w:rPr>
        <w:fldChar w:fldCharType="separate"/>
      </w:r>
      <w:r>
        <w:rPr>
          <w:i w:val="0"/>
          <w:iCs w:val="0"/>
        </w:rPr>
        <w:t>20</w:t>
      </w:r>
      <w:r>
        <w:rPr>
          <w:i w:val="0"/>
          <w:iCs w:val="0"/>
        </w:rPr>
        <w:fldChar w:fldCharType="end"/>
      </w:r>
      <w:r>
        <w:rPr>
          <w:rFonts w:ascii="宋体" w:hAnsi="宋体"/>
          <w:bCs/>
          <w:i w:val="0"/>
          <w:iCs w:val="0"/>
          <w:szCs w:val="20"/>
          <w:highlight w:val="none"/>
          <w:lang w:val="zh-CN"/>
        </w:rPr>
        <w:fldChar w:fldCharType="end"/>
      </w:r>
    </w:p>
    <w:p w14:paraId="76DCCFB7">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_Toc14423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1.5  费用承担</w:t>
      </w:r>
      <w:r>
        <w:rPr>
          <w:i w:val="0"/>
          <w:iCs w:val="0"/>
        </w:rPr>
        <w:tab/>
      </w:r>
      <w:r>
        <w:rPr>
          <w:i w:val="0"/>
          <w:iCs w:val="0"/>
        </w:rPr>
        <w:fldChar w:fldCharType="begin"/>
      </w:r>
      <w:r>
        <w:rPr>
          <w:i w:val="0"/>
          <w:iCs w:val="0"/>
        </w:rPr>
        <w:instrText xml:space="preserve"> PAGEREF _Toc14423 \h </w:instrText>
      </w:r>
      <w:r>
        <w:rPr>
          <w:i w:val="0"/>
          <w:iCs w:val="0"/>
        </w:rPr>
        <w:fldChar w:fldCharType="separate"/>
      </w:r>
      <w:r>
        <w:rPr>
          <w:i w:val="0"/>
          <w:iCs w:val="0"/>
        </w:rPr>
        <w:t>21</w:t>
      </w:r>
      <w:r>
        <w:rPr>
          <w:i w:val="0"/>
          <w:iCs w:val="0"/>
        </w:rPr>
        <w:fldChar w:fldCharType="end"/>
      </w:r>
      <w:r>
        <w:rPr>
          <w:rFonts w:ascii="宋体" w:hAnsi="宋体"/>
          <w:bCs/>
          <w:i w:val="0"/>
          <w:iCs w:val="0"/>
          <w:szCs w:val="20"/>
          <w:highlight w:val="none"/>
          <w:lang w:val="zh-CN"/>
        </w:rPr>
        <w:fldChar w:fldCharType="end"/>
      </w:r>
    </w:p>
    <w:p w14:paraId="6EAAC417">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_Toc7231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1.6  保密</w:t>
      </w:r>
      <w:r>
        <w:rPr>
          <w:i w:val="0"/>
          <w:iCs w:val="0"/>
        </w:rPr>
        <w:tab/>
      </w:r>
      <w:r>
        <w:rPr>
          <w:i w:val="0"/>
          <w:iCs w:val="0"/>
        </w:rPr>
        <w:fldChar w:fldCharType="begin"/>
      </w:r>
      <w:r>
        <w:rPr>
          <w:i w:val="0"/>
          <w:iCs w:val="0"/>
        </w:rPr>
        <w:instrText xml:space="preserve"> PAGEREF _Toc7231 \h </w:instrText>
      </w:r>
      <w:r>
        <w:rPr>
          <w:i w:val="0"/>
          <w:iCs w:val="0"/>
        </w:rPr>
        <w:fldChar w:fldCharType="separate"/>
      </w:r>
      <w:r>
        <w:rPr>
          <w:i w:val="0"/>
          <w:iCs w:val="0"/>
        </w:rPr>
        <w:t>21</w:t>
      </w:r>
      <w:r>
        <w:rPr>
          <w:i w:val="0"/>
          <w:iCs w:val="0"/>
        </w:rPr>
        <w:fldChar w:fldCharType="end"/>
      </w:r>
      <w:r>
        <w:rPr>
          <w:rFonts w:ascii="宋体" w:hAnsi="宋体"/>
          <w:bCs/>
          <w:i w:val="0"/>
          <w:iCs w:val="0"/>
          <w:szCs w:val="20"/>
          <w:highlight w:val="none"/>
          <w:lang w:val="zh-CN"/>
        </w:rPr>
        <w:fldChar w:fldCharType="end"/>
      </w:r>
    </w:p>
    <w:p w14:paraId="7BE8E547">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_Toc8621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1.7  语言文字</w:t>
      </w:r>
      <w:r>
        <w:rPr>
          <w:i w:val="0"/>
          <w:iCs w:val="0"/>
        </w:rPr>
        <w:tab/>
      </w:r>
      <w:r>
        <w:rPr>
          <w:i w:val="0"/>
          <w:iCs w:val="0"/>
        </w:rPr>
        <w:fldChar w:fldCharType="begin"/>
      </w:r>
      <w:r>
        <w:rPr>
          <w:i w:val="0"/>
          <w:iCs w:val="0"/>
        </w:rPr>
        <w:instrText xml:space="preserve"> PAGEREF _Toc8621 \h </w:instrText>
      </w:r>
      <w:r>
        <w:rPr>
          <w:i w:val="0"/>
          <w:iCs w:val="0"/>
        </w:rPr>
        <w:fldChar w:fldCharType="separate"/>
      </w:r>
      <w:r>
        <w:rPr>
          <w:i w:val="0"/>
          <w:iCs w:val="0"/>
        </w:rPr>
        <w:t>21</w:t>
      </w:r>
      <w:r>
        <w:rPr>
          <w:i w:val="0"/>
          <w:iCs w:val="0"/>
        </w:rPr>
        <w:fldChar w:fldCharType="end"/>
      </w:r>
      <w:r>
        <w:rPr>
          <w:rFonts w:ascii="宋体" w:hAnsi="宋体"/>
          <w:bCs/>
          <w:i w:val="0"/>
          <w:iCs w:val="0"/>
          <w:szCs w:val="20"/>
          <w:highlight w:val="none"/>
          <w:lang w:val="zh-CN"/>
        </w:rPr>
        <w:fldChar w:fldCharType="end"/>
      </w:r>
    </w:p>
    <w:p w14:paraId="428F0CF8">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_Toc2916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1.8  计量单位</w:t>
      </w:r>
      <w:r>
        <w:rPr>
          <w:i w:val="0"/>
          <w:iCs w:val="0"/>
        </w:rPr>
        <w:tab/>
      </w:r>
      <w:r>
        <w:rPr>
          <w:i w:val="0"/>
          <w:iCs w:val="0"/>
        </w:rPr>
        <w:fldChar w:fldCharType="begin"/>
      </w:r>
      <w:r>
        <w:rPr>
          <w:i w:val="0"/>
          <w:iCs w:val="0"/>
        </w:rPr>
        <w:instrText xml:space="preserve"> PAGEREF _Toc2916 \h </w:instrText>
      </w:r>
      <w:r>
        <w:rPr>
          <w:i w:val="0"/>
          <w:iCs w:val="0"/>
        </w:rPr>
        <w:fldChar w:fldCharType="separate"/>
      </w:r>
      <w:r>
        <w:rPr>
          <w:i w:val="0"/>
          <w:iCs w:val="0"/>
        </w:rPr>
        <w:t>21</w:t>
      </w:r>
      <w:r>
        <w:rPr>
          <w:i w:val="0"/>
          <w:iCs w:val="0"/>
        </w:rPr>
        <w:fldChar w:fldCharType="end"/>
      </w:r>
      <w:r>
        <w:rPr>
          <w:rFonts w:ascii="宋体" w:hAnsi="宋体"/>
          <w:bCs/>
          <w:i w:val="0"/>
          <w:iCs w:val="0"/>
          <w:szCs w:val="20"/>
          <w:highlight w:val="none"/>
          <w:lang w:val="zh-CN"/>
        </w:rPr>
        <w:fldChar w:fldCharType="end"/>
      </w:r>
    </w:p>
    <w:p w14:paraId="2CDA2D7E">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_Toc30697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1.9  踏勘现场</w:t>
      </w:r>
      <w:r>
        <w:rPr>
          <w:i w:val="0"/>
          <w:iCs w:val="0"/>
        </w:rPr>
        <w:tab/>
      </w:r>
      <w:r>
        <w:rPr>
          <w:i w:val="0"/>
          <w:iCs w:val="0"/>
        </w:rPr>
        <w:fldChar w:fldCharType="begin"/>
      </w:r>
      <w:r>
        <w:rPr>
          <w:i w:val="0"/>
          <w:iCs w:val="0"/>
        </w:rPr>
        <w:instrText xml:space="preserve"> PAGEREF _Toc30697 \h </w:instrText>
      </w:r>
      <w:r>
        <w:rPr>
          <w:i w:val="0"/>
          <w:iCs w:val="0"/>
        </w:rPr>
        <w:fldChar w:fldCharType="separate"/>
      </w:r>
      <w:r>
        <w:rPr>
          <w:i w:val="0"/>
          <w:iCs w:val="0"/>
        </w:rPr>
        <w:t>21</w:t>
      </w:r>
      <w:r>
        <w:rPr>
          <w:i w:val="0"/>
          <w:iCs w:val="0"/>
        </w:rPr>
        <w:fldChar w:fldCharType="end"/>
      </w:r>
      <w:r>
        <w:rPr>
          <w:rFonts w:ascii="宋体" w:hAnsi="宋体"/>
          <w:bCs/>
          <w:i w:val="0"/>
          <w:iCs w:val="0"/>
          <w:szCs w:val="20"/>
          <w:highlight w:val="none"/>
          <w:lang w:val="zh-CN"/>
        </w:rPr>
        <w:fldChar w:fldCharType="end"/>
      </w:r>
    </w:p>
    <w:p w14:paraId="40B127F4">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_Toc11855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1.10  投标预备会</w:t>
      </w:r>
      <w:r>
        <w:rPr>
          <w:i w:val="0"/>
          <w:iCs w:val="0"/>
        </w:rPr>
        <w:tab/>
      </w:r>
      <w:r>
        <w:rPr>
          <w:i w:val="0"/>
          <w:iCs w:val="0"/>
        </w:rPr>
        <w:fldChar w:fldCharType="begin"/>
      </w:r>
      <w:r>
        <w:rPr>
          <w:i w:val="0"/>
          <w:iCs w:val="0"/>
        </w:rPr>
        <w:instrText xml:space="preserve"> PAGEREF _Toc11855 \h </w:instrText>
      </w:r>
      <w:r>
        <w:rPr>
          <w:i w:val="0"/>
          <w:iCs w:val="0"/>
        </w:rPr>
        <w:fldChar w:fldCharType="separate"/>
      </w:r>
      <w:r>
        <w:rPr>
          <w:i w:val="0"/>
          <w:iCs w:val="0"/>
        </w:rPr>
        <w:t>21</w:t>
      </w:r>
      <w:r>
        <w:rPr>
          <w:i w:val="0"/>
          <w:iCs w:val="0"/>
        </w:rPr>
        <w:fldChar w:fldCharType="end"/>
      </w:r>
      <w:r>
        <w:rPr>
          <w:rFonts w:ascii="宋体" w:hAnsi="宋体"/>
          <w:bCs/>
          <w:i w:val="0"/>
          <w:iCs w:val="0"/>
          <w:szCs w:val="20"/>
          <w:highlight w:val="none"/>
          <w:lang w:val="zh-CN"/>
        </w:rPr>
        <w:fldChar w:fldCharType="end"/>
      </w:r>
    </w:p>
    <w:p w14:paraId="0B42AA75">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_Toc27761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1.11  分包</w:t>
      </w:r>
      <w:r>
        <w:rPr>
          <w:i w:val="0"/>
          <w:iCs w:val="0"/>
        </w:rPr>
        <w:tab/>
      </w:r>
      <w:r>
        <w:rPr>
          <w:i w:val="0"/>
          <w:iCs w:val="0"/>
        </w:rPr>
        <w:fldChar w:fldCharType="begin"/>
      </w:r>
      <w:r>
        <w:rPr>
          <w:i w:val="0"/>
          <w:iCs w:val="0"/>
        </w:rPr>
        <w:instrText xml:space="preserve"> PAGEREF _Toc27761 \h </w:instrText>
      </w:r>
      <w:r>
        <w:rPr>
          <w:i w:val="0"/>
          <w:iCs w:val="0"/>
        </w:rPr>
        <w:fldChar w:fldCharType="separate"/>
      </w:r>
      <w:r>
        <w:rPr>
          <w:i w:val="0"/>
          <w:iCs w:val="0"/>
        </w:rPr>
        <w:t>22</w:t>
      </w:r>
      <w:r>
        <w:rPr>
          <w:i w:val="0"/>
          <w:iCs w:val="0"/>
        </w:rPr>
        <w:fldChar w:fldCharType="end"/>
      </w:r>
      <w:r>
        <w:rPr>
          <w:rFonts w:ascii="宋体" w:hAnsi="宋体"/>
          <w:bCs/>
          <w:i w:val="0"/>
          <w:iCs w:val="0"/>
          <w:szCs w:val="20"/>
          <w:highlight w:val="none"/>
          <w:lang w:val="zh-CN"/>
        </w:rPr>
        <w:fldChar w:fldCharType="end"/>
      </w:r>
    </w:p>
    <w:p w14:paraId="5C250529">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_Toc20089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1.12  偏离</w:t>
      </w:r>
      <w:r>
        <w:rPr>
          <w:i w:val="0"/>
          <w:iCs w:val="0"/>
        </w:rPr>
        <w:tab/>
      </w:r>
      <w:r>
        <w:rPr>
          <w:i w:val="0"/>
          <w:iCs w:val="0"/>
        </w:rPr>
        <w:fldChar w:fldCharType="begin"/>
      </w:r>
      <w:r>
        <w:rPr>
          <w:i w:val="0"/>
          <w:iCs w:val="0"/>
        </w:rPr>
        <w:instrText xml:space="preserve"> PAGEREF _Toc20089 \h </w:instrText>
      </w:r>
      <w:r>
        <w:rPr>
          <w:i w:val="0"/>
          <w:iCs w:val="0"/>
        </w:rPr>
        <w:fldChar w:fldCharType="separate"/>
      </w:r>
      <w:r>
        <w:rPr>
          <w:i w:val="0"/>
          <w:iCs w:val="0"/>
        </w:rPr>
        <w:t>22</w:t>
      </w:r>
      <w:r>
        <w:rPr>
          <w:i w:val="0"/>
          <w:iCs w:val="0"/>
        </w:rPr>
        <w:fldChar w:fldCharType="end"/>
      </w:r>
      <w:r>
        <w:rPr>
          <w:rFonts w:ascii="宋体" w:hAnsi="宋体"/>
          <w:bCs/>
          <w:i w:val="0"/>
          <w:iCs w:val="0"/>
          <w:szCs w:val="20"/>
          <w:highlight w:val="none"/>
          <w:lang w:val="zh-CN"/>
        </w:rPr>
        <w:fldChar w:fldCharType="end"/>
      </w:r>
    </w:p>
    <w:p w14:paraId="0DA95593">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_Toc20930 </w:instrText>
      </w:r>
      <w:r>
        <w:rPr>
          <w:rFonts w:ascii="宋体" w:hAnsi="宋体"/>
          <w:bCs/>
          <w:i w:val="0"/>
          <w:iCs w:val="0"/>
          <w:szCs w:val="20"/>
          <w:highlight w:val="none"/>
          <w:lang w:val="zh-CN"/>
        </w:rPr>
        <w:fldChar w:fldCharType="separate"/>
      </w:r>
      <w:r>
        <w:rPr>
          <w:rFonts w:ascii="宋体" w:hAnsi="宋体"/>
          <w:i w:val="0"/>
          <w:iCs w:val="0"/>
          <w:snapToGrid w:val="0"/>
          <w:highlight w:val="none"/>
        </w:rPr>
        <w:t xml:space="preserve">2.  </w:t>
      </w:r>
      <w:r>
        <w:rPr>
          <w:rFonts w:hint="eastAsia" w:ascii="宋体" w:hAnsi="宋体"/>
          <w:i w:val="0"/>
          <w:iCs w:val="0"/>
          <w:snapToGrid w:val="0"/>
          <w:highlight w:val="none"/>
          <w:lang w:eastAsia="zh-CN"/>
        </w:rPr>
        <w:t>竞争性比选文件</w:t>
      </w:r>
      <w:r>
        <w:rPr>
          <w:i w:val="0"/>
          <w:iCs w:val="0"/>
        </w:rPr>
        <w:tab/>
      </w:r>
      <w:r>
        <w:rPr>
          <w:i w:val="0"/>
          <w:iCs w:val="0"/>
        </w:rPr>
        <w:fldChar w:fldCharType="begin"/>
      </w:r>
      <w:r>
        <w:rPr>
          <w:i w:val="0"/>
          <w:iCs w:val="0"/>
        </w:rPr>
        <w:instrText xml:space="preserve"> PAGEREF _Toc20930 \h </w:instrText>
      </w:r>
      <w:r>
        <w:rPr>
          <w:i w:val="0"/>
          <w:iCs w:val="0"/>
        </w:rPr>
        <w:fldChar w:fldCharType="separate"/>
      </w:r>
      <w:r>
        <w:rPr>
          <w:i w:val="0"/>
          <w:iCs w:val="0"/>
        </w:rPr>
        <w:t>22</w:t>
      </w:r>
      <w:r>
        <w:rPr>
          <w:i w:val="0"/>
          <w:iCs w:val="0"/>
        </w:rPr>
        <w:fldChar w:fldCharType="end"/>
      </w:r>
      <w:r>
        <w:rPr>
          <w:rFonts w:ascii="宋体" w:hAnsi="宋体"/>
          <w:bCs/>
          <w:i w:val="0"/>
          <w:iCs w:val="0"/>
          <w:szCs w:val="20"/>
          <w:highlight w:val="none"/>
          <w:lang w:val="zh-CN"/>
        </w:rPr>
        <w:fldChar w:fldCharType="end"/>
      </w:r>
    </w:p>
    <w:p w14:paraId="62083B24">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_Toc4024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2.1  </w:t>
      </w:r>
      <w:r>
        <w:rPr>
          <w:rFonts w:hint="eastAsia" w:ascii="宋体" w:hAnsi="宋体"/>
          <w:i w:val="0"/>
          <w:iCs w:val="0"/>
          <w:snapToGrid w:val="0"/>
          <w:szCs w:val="24"/>
          <w:highlight w:val="none"/>
          <w:lang w:eastAsia="zh-CN"/>
        </w:rPr>
        <w:t>竞争性比选文件</w:t>
      </w:r>
      <w:r>
        <w:rPr>
          <w:rFonts w:ascii="宋体" w:hAnsi="宋体"/>
          <w:i w:val="0"/>
          <w:iCs w:val="0"/>
          <w:snapToGrid w:val="0"/>
          <w:szCs w:val="24"/>
          <w:highlight w:val="none"/>
        </w:rPr>
        <w:t>的组成</w:t>
      </w:r>
      <w:r>
        <w:rPr>
          <w:i w:val="0"/>
          <w:iCs w:val="0"/>
        </w:rPr>
        <w:tab/>
      </w:r>
      <w:r>
        <w:rPr>
          <w:i w:val="0"/>
          <w:iCs w:val="0"/>
        </w:rPr>
        <w:fldChar w:fldCharType="begin"/>
      </w:r>
      <w:r>
        <w:rPr>
          <w:i w:val="0"/>
          <w:iCs w:val="0"/>
        </w:rPr>
        <w:instrText xml:space="preserve"> PAGEREF _Toc4024 \h </w:instrText>
      </w:r>
      <w:r>
        <w:rPr>
          <w:i w:val="0"/>
          <w:iCs w:val="0"/>
        </w:rPr>
        <w:fldChar w:fldCharType="separate"/>
      </w:r>
      <w:r>
        <w:rPr>
          <w:i w:val="0"/>
          <w:iCs w:val="0"/>
        </w:rPr>
        <w:t>22</w:t>
      </w:r>
      <w:r>
        <w:rPr>
          <w:i w:val="0"/>
          <w:iCs w:val="0"/>
        </w:rPr>
        <w:fldChar w:fldCharType="end"/>
      </w:r>
      <w:r>
        <w:rPr>
          <w:rFonts w:ascii="宋体" w:hAnsi="宋体"/>
          <w:bCs/>
          <w:i w:val="0"/>
          <w:iCs w:val="0"/>
          <w:szCs w:val="20"/>
          <w:highlight w:val="none"/>
          <w:lang w:val="zh-CN"/>
        </w:rPr>
        <w:fldChar w:fldCharType="end"/>
      </w:r>
    </w:p>
    <w:p w14:paraId="10DF17CB">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_Toc29334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2.2  </w:t>
      </w:r>
      <w:r>
        <w:rPr>
          <w:rFonts w:hint="eastAsia" w:ascii="宋体" w:hAnsi="宋体"/>
          <w:i w:val="0"/>
          <w:iCs w:val="0"/>
          <w:snapToGrid w:val="0"/>
          <w:szCs w:val="24"/>
          <w:highlight w:val="none"/>
          <w:lang w:eastAsia="zh-CN"/>
        </w:rPr>
        <w:t>竞争性比选文件</w:t>
      </w:r>
      <w:r>
        <w:rPr>
          <w:rFonts w:ascii="宋体" w:hAnsi="宋体"/>
          <w:i w:val="0"/>
          <w:iCs w:val="0"/>
          <w:snapToGrid w:val="0"/>
          <w:szCs w:val="24"/>
          <w:highlight w:val="none"/>
        </w:rPr>
        <w:t>的澄清</w:t>
      </w:r>
      <w:r>
        <w:rPr>
          <w:i w:val="0"/>
          <w:iCs w:val="0"/>
        </w:rPr>
        <w:tab/>
      </w:r>
      <w:r>
        <w:rPr>
          <w:i w:val="0"/>
          <w:iCs w:val="0"/>
        </w:rPr>
        <w:fldChar w:fldCharType="begin"/>
      </w:r>
      <w:r>
        <w:rPr>
          <w:i w:val="0"/>
          <w:iCs w:val="0"/>
        </w:rPr>
        <w:instrText xml:space="preserve"> PAGEREF _Toc29334 \h </w:instrText>
      </w:r>
      <w:r>
        <w:rPr>
          <w:i w:val="0"/>
          <w:iCs w:val="0"/>
        </w:rPr>
        <w:fldChar w:fldCharType="separate"/>
      </w:r>
      <w:r>
        <w:rPr>
          <w:i w:val="0"/>
          <w:iCs w:val="0"/>
        </w:rPr>
        <w:t>22</w:t>
      </w:r>
      <w:r>
        <w:rPr>
          <w:i w:val="0"/>
          <w:iCs w:val="0"/>
        </w:rPr>
        <w:fldChar w:fldCharType="end"/>
      </w:r>
      <w:r>
        <w:rPr>
          <w:rFonts w:ascii="宋体" w:hAnsi="宋体"/>
          <w:bCs/>
          <w:i w:val="0"/>
          <w:iCs w:val="0"/>
          <w:szCs w:val="20"/>
          <w:highlight w:val="none"/>
          <w:lang w:val="zh-CN"/>
        </w:rPr>
        <w:fldChar w:fldCharType="end"/>
      </w:r>
    </w:p>
    <w:p w14:paraId="0BA8D449">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_Toc22310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2.3  </w:t>
      </w:r>
      <w:r>
        <w:rPr>
          <w:rFonts w:hint="eastAsia" w:ascii="宋体" w:hAnsi="宋体"/>
          <w:i w:val="0"/>
          <w:iCs w:val="0"/>
          <w:snapToGrid w:val="0"/>
          <w:szCs w:val="24"/>
          <w:highlight w:val="none"/>
          <w:lang w:eastAsia="zh-CN"/>
        </w:rPr>
        <w:t>竞争性比选文件</w:t>
      </w:r>
      <w:r>
        <w:rPr>
          <w:rFonts w:ascii="宋体" w:hAnsi="宋体"/>
          <w:i w:val="0"/>
          <w:iCs w:val="0"/>
          <w:snapToGrid w:val="0"/>
          <w:szCs w:val="24"/>
          <w:highlight w:val="none"/>
        </w:rPr>
        <w:t>的修改</w:t>
      </w:r>
      <w:r>
        <w:rPr>
          <w:i w:val="0"/>
          <w:iCs w:val="0"/>
        </w:rPr>
        <w:tab/>
      </w:r>
      <w:r>
        <w:rPr>
          <w:i w:val="0"/>
          <w:iCs w:val="0"/>
        </w:rPr>
        <w:fldChar w:fldCharType="begin"/>
      </w:r>
      <w:r>
        <w:rPr>
          <w:i w:val="0"/>
          <w:iCs w:val="0"/>
        </w:rPr>
        <w:instrText xml:space="preserve"> PAGEREF _Toc22310 \h </w:instrText>
      </w:r>
      <w:r>
        <w:rPr>
          <w:i w:val="0"/>
          <w:iCs w:val="0"/>
        </w:rPr>
        <w:fldChar w:fldCharType="separate"/>
      </w:r>
      <w:r>
        <w:rPr>
          <w:i w:val="0"/>
          <w:iCs w:val="0"/>
        </w:rPr>
        <w:t>22</w:t>
      </w:r>
      <w:r>
        <w:rPr>
          <w:i w:val="0"/>
          <w:iCs w:val="0"/>
        </w:rPr>
        <w:fldChar w:fldCharType="end"/>
      </w:r>
      <w:r>
        <w:rPr>
          <w:rFonts w:ascii="宋体" w:hAnsi="宋体"/>
          <w:bCs/>
          <w:i w:val="0"/>
          <w:iCs w:val="0"/>
          <w:szCs w:val="20"/>
          <w:highlight w:val="none"/>
          <w:lang w:val="zh-CN"/>
        </w:rPr>
        <w:fldChar w:fldCharType="end"/>
      </w:r>
    </w:p>
    <w:p w14:paraId="3FFFBDD9">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_Toc6058 </w:instrText>
      </w:r>
      <w:r>
        <w:rPr>
          <w:rFonts w:ascii="宋体" w:hAnsi="宋体"/>
          <w:bCs/>
          <w:i w:val="0"/>
          <w:iCs w:val="0"/>
          <w:szCs w:val="20"/>
          <w:highlight w:val="none"/>
          <w:lang w:val="zh-CN"/>
        </w:rPr>
        <w:fldChar w:fldCharType="separate"/>
      </w:r>
      <w:r>
        <w:rPr>
          <w:rFonts w:ascii="宋体" w:hAnsi="宋体"/>
          <w:i w:val="0"/>
          <w:iCs w:val="0"/>
          <w:snapToGrid w:val="0"/>
          <w:highlight w:val="none"/>
        </w:rPr>
        <w:t xml:space="preserve">3.  </w:t>
      </w:r>
      <w:r>
        <w:rPr>
          <w:rFonts w:hint="eastAsia" w:ascii="宋体" w:hAnsi="宋体"/>
          <w:i w:val="0"/>
          <w:iCs w:val="0"/>
          <w:snapToGrid w:val="0"/>
          <w:highlight w:val="none"/>
          <w:lang w:eastAsia="zh-CN"/>
        </w:rPr>
        <w:t>比选申请文件</w:t>
      </w:r>
      <w:r>
        <w:rPr>
          <w:i w:val="0"/>
          <w:iCs w:val="0"/>
        </w:rPr>
        <w:tab/>
      </w:r>
      <w:r>
        <w:rPr>
          <w:i w:val="0"/>
          <w:iCs w:val="0"/>
        </w:rPr>
        <w:fldChar w:fldCharType="begin"/>
      </w:r>
      <w:r>
        <w:rPr>
          <w:i w:val="0"/>
          <w:iCs w:val="0"/>
        </w:rPr>
        <w:instrText xml:space="preserve"> PAGEREF _Toc6058 \h </w:instrText>
      </w:r>
      <w:r>
        <w:rPr>
          <w:i w:val="0"/>
          <w:iCs w:val="0"/>
        </w:rPr>
        <w:fldChar w:fldCharType="separate"/>
      </w:r>
      <w:r>
        <w:rPr>
          <w:i w:val="0"/>
          <w:iCs w:val="0"/>
        </w:rPr>
        <w:t>23</w:t>
      </w:r>
      <w:r>
        <w:rPr>
          <w:i w:val="0"/>
          <w:iCs w:val="0"/>
        </w:rPr>
        <w:fldChar w:fldCharType="end"/>
      </w:r>
      <w:r>
        <w:rPr>
          <w:rFonts w:ascii="宋体" w:hAnsi="宋体"/>
          <w:bCs/>
          <w:i w:val="0"/>
          <w:iCs w:val="0"/>
          <w:szCs w:val="20"/>
          <w:highlight w:val="none"/>
          <w:lang w:val="zh-CN"/>
        </w:rPr>
        <w:fldChar w:fldCharType="end"/>
      </w:r>
    </w:p>
    <w:p w14:paraId="424D7EE3">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_Toc2677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3.1  </w:t>
      </w:r>
      <w:r>
        <w:rPr>
          <w:rFonts w:hint="eastAsia" w:ascii="宋体" w:hAnsi="宋体"/>
          <w:i w:val="0"/>
          <w:iCs w:val="0"/>
          <w:snapToGrid w:val="0"/>
          <w:szCs w:val="24"/>
          <w:highlight w:val="none"/>
          <w:lang w:eastAsia="zh-CN"/>
        </w:rPr>
        <w:t>比选申请文件</w:t>
      </w:r>
      <w:r>
        <w:rPr>
          <w:rFonts w:ascii="宋体" w:hAnsi="宋体"/>
          <w:i w:val="0"/>
          <w:iCs w:val="0"/>
          <w:snapToGrid w:val="0"/>
          <w:szCs w:val="24"/>
          <w:highlight w:val="none"/>
        </w:rPr>
        <w:t>的组成</w:t>
      </w:r>
      <w:r>
        <w:rPr>
          <w:i w:val="0"/>
          <w:iCs w:val="0"/>
        </w:rPr>
        <w:tab/>
      </w:r>
      <w:r>
        <w:rPr>
          <w:i w:val="0"/>
          <w:iCs w:val="0"/>
        </w:rPr>
        <w:fldChar w:fldCharType="begin"/>
      </w:r>
      <w:r>
        <w:rPr>
          <w:i w:val="0"/>
          <w:iCs w:val="0"/>
        </w:rPr>
        <w:instrText xml:space="preserve"> PAGEREF _Toc2677 \h </w:instrText>
      </w:r>
      <w:r>
        <w:rPr>
          <w:i w:val="0"/>
          <w:iCs w:val="0"/>
        </w:rPr>
        <w:fldChar w:fldCharType="separate"/>
      </w:r>
      <w:r>
        <w:rPr>
          <w:i w:val="0"/>
          <w:iCs w:val="0"/>
        </w:rPr>
        <w:t>23</w:t>
      </w:r>
      <w:r>
        <w:rPr>
          <w:i w:val="0"/>
          <w:iCs w:val="0"/>
        </w:rPr>
        <w:fldChar w:fldCharType="end"/>
      </w:r>
      <w:r>
        <w:rPr>
          <w:rFonts w:ascii="宋体" w:hAnsi="宋体"/>
          <w:bCs/>
          <w:i w:val="0"/>
          <w:iCs w:val="0"/>
          <w:szCs w:val="20"/>
          <w:highlight w:val="none"/>
          <w:lang w:val="zh-CN"/>
        </w:rPr>
        <w:fldChar w:fldCharType="end"/>
      </w:r>
    </w:p>
    <w:p w14:paraId="196A61B0">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_Toc22592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3.2  投标报价</w:t>
      </w:r>
      <w:r>
        <w:rPr>
          <w:i w:val="0"/>
          <w:iCs w:val="0"/>
        </w:rPr>
        <w:tab/>
      </w:r>
      <w:r>
        <w:rPr>
          <w:i w:val="0"/>
          <w:iCs w:val="0"/>
        </w:rPr>
        <w:fldChar w:fldCharType="begin"/>
      </w:r>
      <w:r>
        <w:rPr>
          <w:i w:val="0"/>
          <w:iCs w:val="0"/>
        </w:rPr>
        <w:instrText xml:space="preserve"> PAGEREF _Toc22592 \h </w:instrText>
      </w:r>
      <w:r>
        <w:rPr>
          <w:i w:val="0"/>
          <w:iCs w:val="0"/>
        </w:rPr>
        <w:fldChar w:fldCharType="separate"/>
      </w:r>
      <w:r>
        <w:rPr>
          <w:i w:val="0"/>
          <w:iCs w:val="0"/>
        </w:rPr>
        <w:t>23</w:t>
      </w:r>
      <w:r>
        <w:rPr>
          <w:i w:val="0"/>
          <w:iCs w:val="0"/>
        </w:rPr>
        <w:fldChar w:fldCharType="end"/>
      </w:r>
      <w:r>
        <w:rPr>
          <w:rFonts w:ascii="宋体" w:hAnsi="宋体"/>
          <w:bCs/>
          <w:i w:val="0"/>
          <w:iCs w:val="0"/>
          <w:szCs w:val="20"/>
          <w:highlight w:val="none"/>
          <w:lang w:val="zh-CN"/>
        </w:rPr>
        <w:fldChar w:fldCharType="end"/>
      </w:r>
    </w:p>
    <w:p w14:paraId="2863A748">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_Toc29389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3.3  投标有效期</w:t>
      </w:r>
      <w:r>
        <w:rPr>
          <w:i w:val="0"/>
          <w:iCs w:val="0"/>
        </w:rPr>
        <w:tab/>
      </w:r>
      <w:r>
        <w:rPr>
          <w:i w:val="0"/>
          <w:iCs w:val="0"/>
        </w:rPr>
        <w:fldChar w:fldCharType="begin"/>
      </w:r>
      <w:r>
        <w:rPr>
          <w:i w:val="0"/>
          <w:iCs w:val="0"/>
        </w:rPr>
        <w:instrText xml:space="preserve"> PAGEREF _Toc29389 \h </w:instrText>
      </w:r>
      <w:r>
        <w:rPr>
          <w:i w:val="0"/>
          <w:iCs w:val="0"/>
        </w:rPr>
        <w:fldChar w:fldCharType="separate"/>
      </w:r>
      <w:r>
        <w:rPr>
          <w:i w:val="0"/>
          <w:iCs w:val="0"/>
        </w:rPr>
        <w:t>23</w:t>
      </w:r>
      <w:r>
        <w:rPr>
          <w:i w:val="0"/>
          <w:iCs w:val="0"/>
        </w:rPr>
        <w:fldChar w:fldCharType="end"/>
      </w:r>
      <w:r>
        <w:rPr>
          <w:rFonts w:ascii="宋体" w:hAnsi="宋体"/>
          <w:bCs/>
          <w:i w:val="0"/>
          <w:iCs w:val="0"/>
          <w:szCs w:val="20"/>
          <w:highlight w:val="none"/>
          <w:lang w:val="zh-CN"/>
        </w:rPr>
        <w:fldChar w:fldCharType="end"/>
      </w:r>
    </w:p>
    <w:p w14:paraId="06D25A51">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_Toc29704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3.4  投标</w:t>
      </w:r>
      <w:r>
        <w:rPr>
          <w:rFonts w:hint="eastAsia" w:ascii="宋体" w:hAnsi="宋体"/>
          <w:i w:val="0"/>
          <w:iCs w:val="0"/>
          <w:snapToGrid w:val="0"/>
          <w:szCs w:val="24"/>
          <w:highlight w:val="none"/>
        </w:rPr>
        <w:t>保证金</w:t>
      </w:r>
      <w:r>
        <w:rPr>
          <w:i w:val="0"/>
          <w:iCs w:val="0"/>
        </w:rPr>
        <w:tab/>
      </w:r>
      <w:r>
        <w:rPr>
          <w:i w:val="0"/>
          <w:iCs w:val="0"/>
        </w:rPr>
        <w:fldChar w:fldCharType="begin"/>
      </w:r>
      <w:r>
        <w:rPr>
          <w:i w:val="0"/>
          <w:iCs w:val="0"/>
        </w:rPr>
        <w:instrText xml:space="preserve"> PAGEREF _Toc29704 \h </w:instrText>
      </w:r>
      <w:r>
        <w:rPr>
          <w:i w:val="0"/>
          <w:iCs w:val="0"/>
        </w:rPr>
        <w:fldChar w:fldCharType="separate"/>
      </w:r>
      <w:r>
        <w:rPr>
          <w:i w:val="0"/>
          <w:iCs w:val="0"/>
        </w:rPr>
        <w:t>24</w:t>
      </w:r>
      <w:r>
        <w:rPr>
          <w:i w:val="0"/>
          <w:iCs w:val="0"/>
        </w:rPr>
        <w:fldChar w:fldCharType="end"/>
      </w:r>
      <w:r>
        <w:rPr>
          <w:rFonts w:ascii="宋体" w:hAnsi="宋体"/>
          <w:bCs/>
          <w:i w:val="0"/>
          <w:iCs w:val="0"/>
          <w:szCs w:val="20"/>
          <w:highlight w:val="none"/>
          <w:lang w:val="zh-CN"/>
        </w:rPr>
        <w:fldChar w:fldCharType="end"/>
      </w:r>
    </w:p>
    <w:p w14:paraId="7BD375F5">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_Toc10146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3.5  资格审查资料</w:t>
      </w:r>
      <w:r>
        <w:rPr>
          <w:i w:val="0"/>
          <w:iCs w:val="0"/>
        </w:rPr>
        <w:tab/>
      </w:r>
      <w:r>
        <w:rPr>
          <w:i w:val="0"/>
          <w:iCs w:val="0"/>
        </w:rPr>
        <w:fldChar w:fldCharType="begin"/>
      </w:r>
      <w:r>
        <w:rPr>
          <w:i w:val="0"/>
          <w:iCs w:val="0"/>
        </w:rPr>
        <w:instrText xml:space="preserve"> PAGEREF _Toc10146 \h </w:instrText>
      </w:r>
      <w:r>
        <w:rPr>
          <w:i w:val="0"/>
          <w:iCs w:val="0"/>
        </w:rPr>
        <w:fldChar w:fldCharType="separate"/>
      </w:r>
      <w:r>
        <w:rPr>
          <w:i w:val="0"/>
          <w:iCs w:val="0"/>
        </w:rPr>
        <w:t>24</w:t>
      </w:r>
      <w:r>
        <w:rPr>
          <w:i w:val="0"/>
          <w:iCs w:val="0"/>
        </w:rPr>
        <w:fldChar w:fldCharType="end"/>
      </w:r>
      <w:r>
        <w:rPr>
          <w:rFonts w:ascii="宋体" w:hAnsi="宋体"/>
          <w:bCs/>
          <w:i w:val="0"/>
          <w:iCs w:val="0"/>
          <w:szCs w:val="20"/>
          <w:highlight w:val="none"/>
          <w:lang w:val="zh-CN"/>
        </w:rPr>
        <w:fldChar w:fldCharType="end"/>
      </w:r>
    </w:p>
    <w:p w14:paraId="3A6A3C25">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_Toc10531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3.6  备选投标方案</w:t>
      </w:r>
      <w:r>
        <w:rPr>
          <w:i w:val="0"/>
          <w:iCs w:val="0"/>
        </w:rPr>
        <w:tab/>
      </w:r>
      <w:r>
        <w:rPr>
          <w:i w:val="0"/>
          <w:iCs w:val="0"/>
        </w:rPr>
        <w:fldChar w:fldCharType="begin"/>
      </w:r>
      <w:r>
        <w:rPr>
          <w:i w:val="0"/>
          <w:iCs w:val="0"/>
        </w:rPr>
        <w:instrText xml:space="preserve"> PAGEREF _Toc10531 \h </w:instrText>
      </w:r>
      <w:r>
        <w:rPr>
          <w:i w:val="0"/>
          <w:iCs w:val="0"/>
        </w:rPr>
        <w:fldChar w:fldCharType="separate"/>
      </w:r>
      <w:r>
        <w:rPr>
          <w:i w:val="0"/>
          <w:iCs w:val="0"/>
        </w:rPr>
        <w:t>24</w:t>
      </w:r>
      <w:r>
        <w:rPr>
          <w:i w:val="0"/>
          <w:iCs w:val="0"/>
        </w:rPr>
        <w:fldChar w:fldCharType="end"/>
      </w:r>
      <w:r>
        <w:rPr>
          <w:rFonts w:ascii="宋体" w:hAnsi="宋体"/>
          <w:bCs/>
          <w:i w:val="0"/>
          <w:iCs w:val="0"/>
          <w:szCs w:val="20"/>
          <w:highlight w:val="none"/>
          <w:lang w:val="zh-CN"/>
        </w:rPr>
        <w:fldChar w:fldCharType="end"/>
      </w:r>
    </w:p>
    <w:p w14:paraId="7BDB440B">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_Toc18721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3.7  </w:t>
      </w:r>
      <w:r>
        <w:rPr>
          <w:rFonts w:hint="eastAsia" w:ascii="宋体" w:hAnsi="宋体"/>
          <w:i w:val="0"/>
          <w:iCs w:val="0"/>
          <w:snapToGrid w:val="0"/>
          <w:szCs w:val="24"/>
          <w:highlight w:val="none"/>
          <w:lang w:eastAsia="zh-CN"/>
        </w:rPr>
        <w:t>比选申请文件</w:t>
      </w:r>
      <w:r>
        <w:rPr>
          <w:rFonts w:ascii="宋体" w:hAnsi="宋体"/>
          <w:i w:val="0"/>
          <w:iCs w:val="0"/>
          <w:snapToGrid w:val="0"/>
          <w:szCs w:val="24"/>
          <w:highlight w:val="none"/>
        </w:rPr>
        <w:t>的编制</w:t>
      </w:r>
      <w:r>
        <w:rPr>
          <w:i w:val="0"/>
          <w:iCs w:val="0"/>
        </w:rPr>
        <w:tab/>
      </w:r>
      <w:r>
        <w:rPr>
          <w:i w:val="0"/>
          <w:iCs w:val="0"/>
        </w:rPr>
        <w:fldChar w:fldCharType="begin"/>
      </w:r>
      <w:r>
        <w:rPr>
          <w:i w:val="0"/>
          <w:iCs w:val="0"/>
        </w:rPr>
        <w:instrText xml:space="preserve"> PAGEREF _Toc18721 \h </w:instrText>
      </w:r>
      <w:r>
        <w:rPr>
          <w:i w:val="0"/>
          <w:iCs w:val="0"/>
        </w:rPr>
        <w:fldChar w:fldCharType="separate"/>
      </w:r>
      <w:r>
        <w:rPr>
          <w:i w:val="0"/>
          <w:iCs w:val="0"/>
        </w:rPr>
        <w:t>24</w:t>
      </w:r>
      <w:r>
        <w:rPr>
          <w:i w:val="0"/>
          <w:iCs w:val="0"/>
        </w:rPr>
        <w:fldChar w:fldCharType="end"/>
      </w:r>
      <w:r>
        <w:rPr>
          <w:rFonts w:ascii="宋体" w:hAnsi="宋体"/>
          <w:bCs/>
          <w:i w:val="0"/>
          <w:iCs w:val="0"/>
          <w:szCs w:val="20"/>
          <w:highlight w:val="none"/>
          <w:lang w:val="zh-CN"/>
        </w:rPr>
        <w:fldChar w:fldCharType="end"/>
      </w:r>
    </w:p>
    <w:p w14:paraId="6836FB7E">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_Toc20307 </w:instrText>
      </w:r>
      <w:r>
        <w:rPr>
          <w:rFonts w:ascii="宋体" w:hAnsi="宋体"/>
          <w:bCs/>
          <w:i w:val="0"/>
          <w:iCs w:val="0"/>
          <w:szCs w:val="20"/>
          <w:highlight w:val="none"/>
          <w:lang w:val="zh-CN"/>
        </w:rPr>
        <w:fldChar w:fldCharType="separate"/>
      </w:r>
      <w:r>
        <w:rPr>
          <w:rFonts w:ascii="宋体" w:hAnsi="宋体"/>
          <w:i w:val="0"/>
          <w:iCs w:val="0"/>
          <w:snapToGrid w:val="0"/>
          <w:highlight w:val="none"/>
        </w:rPr>
        <w:t>4.  投标</w:t>
      </w:r>
      <w:r>
        <w:rPr>
          <w:i w:val="0"/>
          <w:iCs w:val="0"/>
        </w:rPr>
        <w:tab/>
      </w:r>
      <w:r>
        <w:rPr>
          <w:i w:val="0"/>
          <w:iCs w:val="0"/>
        </w:rPr>
        <w:fldChar w:fldCharType="begin"/>
      </w:r>
      <w:r>
        <w:rPr>
          <w:i w:val="0"/>
          <w:iCs w:val="0"/>
        </w:rPr>
        <w:instrText xml:space="preserve"> PAGEREF _Toc20307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706B757D">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_Toc20265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4.1  </w:t>
      </w:r>
      <w:r>
        <w:rPr>
          <w:rFonts w:hint="eastAsia" w:ascii="宋体" w:hAnsi="宋体"/>
          <w:i w:val="0"/>
          <w:iCs w:val="0"/>
          <w:snapToGrid w:val="0"/>
          <w:szCs w:val="24"/>
          <w:highlight w:val="none"/>
          <w:lang w:eastAsia="zh-CN"/>
        </w:rPr>
        <w:t>比选申请文件</w:t>
      </w:r>
      <w:r>
        <w:rPr>
          <w:rFonts w:ascii="宋体" w:hAnsi="宋体"/>
          <w:i w:val="0"/>
          <w:iCs w:val="0"/>
          <w:snapToGrid w:val="0"/>
          <w:szCs w:val="24"/>
          <w:highlight w:val="none"/>
        </w:rPr>
        <w:t>的密封和标记</w:t>
      </w:r>
      <w:r>
        <w:rPr>
          <w:i w:val="0"/>
          <w:iCs w:val="0"/>
        </w:rPr>
        <w:tab/>
      </w:r>
      <w:r>
        <w:rPr>
          <w:i w:val="0"/>
          <w:iCs w:val="0"/>
        </w:rPr>
        <w:fldChar w:fldCharType="begin"/>
      </w:r>
      <w:r>
        <w:rPr>
          <w:i w:val="0"/>
          <w:iCs w:val="0"/>
        </w:rPr>
        <w:instrText xml:space="preserve"> PAGEREF _Toc20265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09C3FB0E">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_Toc2456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4.2  </w:t>
      </w:r>
      <w:r>
        <w:rPr>
          <w:rFonts w:hint="eastAsia" w:ascii="宋体" w:hAnsi="宋体"/>
          <w:i w:val="0"/>
          <w:iCs w:val="0"/>
          <w:snapToGrid w:val="0"/>
          <w:szCs w:val="24"/>
          <w:highlight w:val="none"/>
          <w:lang w:eastAsia="zh-CN"/>
        </w:rPr>
        <w:t>比选申请文件</w:t>
      </w:r>
      <w:r>
        <w:rPr>
          <w:rFonts w:ascii="宋体" w:hAnsi="宋体"/>
          <w:i w:val="0"/>
          <w:iCs w:val="0"/>
          <w:snapToGrid w:val="0"/>
          <w:szCs w:val="24"/>
          <w:highlight w:val="none"/>
        </w:rPr>
        <w:t>的递交</w:t>
      </w:r>
      <w:r>
        <w:rPr>
          <w:i w:val="0"/>
          <w:iCs w:val="0"/>
        </w:rPr>
        <w:tab/>
      </w:r>
      <w:r>
        <w:rPr>
          <w:i w:val="0"/>
          <w:iCs w:val="0"/>
        </w:rPr>
        <w:fldChar w:fldCharType="begin"/>
      </w:r>
      <w:r>
        <w:rPr>
          <w:i w:val="0"/>
          <w:iCs w:val="0"/>
        </w:rPr>
        <w:instrText xml:space="preserve"> PAGEREF _Toc2456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05CB458D">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_Toc6377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4.3  </w:t>
      </w:r>
      <w:r>
        <w:rPr>
          <w:rFonts w:hint="eastAsia" w:ascii="宋体" w:hAnsi="宋体"/>
          <w:i w:val="0"/>
          <w:iCs w:val="0"/>
          <w:snapToGrid w:val="0"/>
          <w:szCs w:val="24"/>
          <w:highlight w:val="none"/>
          <w:lang w:eastAsia="zh-CN"/>
        </w:rPr>
        <w:t>比选申请文件</w:t>
      </w:r>
      <w:r>
        <w:rPr>
          <w:rFonts w:ascii="宋体" w:hAnsi="宋体"/>
          <w:i w:val="0"/>
          <w:iCs w:val="0"/>
          <w:snapToGrid w:val="0"/>
          <w:szCs w:val="24"/>
          <w:highlight w:val="none"/>
        </w:rPr>
        <w:t>的修改与撤回</w:t>
      </w:r>
      <w:r>
        <w:rPr>
          <w:i w:val="0"/>
          <w:iCs w:val="0"/>
        </w:rPr>
        <w:tab/>
      </w:r>
      <w:r>
        <w:rPr>
          <w:i w:val="0"/>
          <w:iCs w:val="0"/>
        </w:rPr>
        <w:fldChar w:fldCharType="begin"/>
      </w:r>
      <w:r>
        <w:rPr>
          <w:i w:val="0"/>
          <w:iCs w:val="0"/>
        </w:rPr>
        <w:instrText xml:space="preserve"> PAGEREF _Toc6377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102C19E8">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_Toc10698 </w:instrText>
      </w:r>
      <w:r>
        <w:rPr>
          <w:rFonts w:ascii="宋体" w:hAnsi="宋体"/>
          <w:bCs/>
          <w:i w:val="0"/>
          <w:iCs w:val="0"/>
          <w:szCs w:val="20"/>
          <w:highlight w:val="none"/>
          <w:lang w:val="zh-CN"/>
        </w:rPr>
        <w:fldChar w:fldCharType="separate"/>
      </w:r>
      <w:r>
        <w:rPr>
          <w:rFonts w:ascii="宋体" w:hAnsi="宋体"/>
          <w:i w:val="0"/>
          <w:iCs w:val="0"/>
          <w:snapToGrid w:val="0"/>
          <w:highlight w:val="none"/>
        </w:rPr>
        <w:t>5.  开标</w:t>
      </w:r>
      <w:r>
        <w:rPr>
          <w:i w:val="0"/>
          <w:iCs w:val="0"/>
        </w:rPr>
        <w:tab/>
      </w:r>
      <w:r>
        <w:rPr>
          <w:i w:val="0"/>
          <w:iCs w:val="0"/>
        </w:rPr>
        <w:fldChar w:fldCharType="begin"/>
      </w:r>
      <w:r>
        <w:rPr>
          <w:i w:val="0"/>
          <w:iCs w:val="0"/>
        </w:rPr>
        <w:instrText xml:space="preserve"> PAGEREF _Toc10698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66CC92A7">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_Toc2717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5.1  开标时间和地点</w:t>
      </w:r>
      <w:r>
        <w:rPr>
          <w:i w:val="0"/>
          <w:iCs w:val="0"/>
        </w:rPr>
        <w:tab/>
      </w:r>
      <w:r>
        <w:rPr>
          <w:i w:val="0"/>
          <w:iCs w:val="0"/>
        </w:rPr>
        <w:fldChar w:fldCharType="begin"/>
      </w:r>
      <w:r>
        <w:rPr>
          <w:i w:val="0"/>
          <w:iCs w:val="0"/>
        </w:rPr>
        <w:instrText xml:space="preserve"> PAGEREF _Toc2717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01C27100">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_Toc32240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5.2  开标程序</w:t>
      </w:r>
      <w:r>
        <w:rPr>
          <w:i w:val="0"/>
          <w:iCs w:val="0"/>
        </w:rPr>
        <w:tab/>
      </w:r>
      <w:r>
        <w:rPr>
          <w:i w:val="0"/>
          <w:iCs w:val="0"/>
        </w:rPr>
        <w:fldChar w:fldCharType="begin"/>
      </w:r>
      <w:r>
        <w:rPr>
          <w:i w:val="0"/>
          <w:iCs w:val="0"/>
        </w:rPr>
        <w:instrText xml:space="preserve"> PAGEREF _Toc32240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1C3862E1">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_Toc12801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5.</w:t>
      </w:r>
      <w:r>
        <w:rPr>
          <w:rFonts w:hint="eastAsia" w:ascii="宋体" w:hAnsi="宋体"/>
          <w:i w:val="0"/>
          <w:iCs w:val="0"/>
          <w:snapToGrid w:val="0"/>
          <w:szCs w:val="24"/>
          <w:highlight w:val="none"/>
        </w:rPr>
        <w:t>3</w:t>
      </w:r>
      <w:r>
        <w:rPr>
          <w:rFonts w:ascii="宋体" w:hAnsi="宋体"/>
          <w:i w:val="0"/>
          <w:iCs w:val="0"/>
          <w:snapToGrid w:val="0"/>
          <w:szCs w:val="24"/>
          <w:highlight w:val="none"/>
        </w:rPr>
        <w:t xml:space="preserve">  </w:t>
      </w:r>
      <w:r>
        <w:rPr>
          <w:rFonts w:hint="eastAsia" w:ascii="宋体" w:hAnsi="宋体"/>
          <w:i w:val="0"/>
          <w:iCs w:val="0"/>
          <w:snapToGrid w:val="0"/>
          <w:szCs w:val="24"/>
          <w:highlight w:val="none"/>
        </w:rPr>
        <w:t>开标异议</w:t>
      </w:r>
      <w:r>
        <w:rPr>
          <w:i w:val="0"/>
          <w:iCs w:val="0"/>
        </w:rPr>
        <w:tab/>
      </w:r>
      <w:r>
        <w:rPr>
          <w:i w:val="0"/>
          <w:iCs w:val="0"/>
        </w:rPr>
        <w:fldChar w:fldCharType="begin"/>
      </w:r>
      <w:r>
        <w:rPr>
          <w:i w:val="0"/>
          <w:iCs w:val="0"/>
        </w:rPr>
        <w:instrText xml:space="preserve"> PAGEREF _Toc12801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5F87B868">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_Toc15717 </w:instrText>
      </w:r>
      <w:r>
        <w:rPr>
          <w:rFonts w:ascii="宋体" w:hAnsi="宋体"/>
          <w:bCs/>
          <w:i w:val="0"/>
          <w:iCs w:val="0"/>
          <w:szCs w:val="20"/>
          <w:highlight w:val="none"/>
          <w:lang w:val="zh-CN"/>
        </w:rPr>
        <w:fldChar w:fldCharType="separate"/>
      </w:r>
      <w:r>
        <w:rPr>
          <w:rFonts w:ascii="宋体" w:hAnsi="宋体"/>
          <w:i w:val="0"/>
          <w:iCs w:val="0"/>
          <w:snapToGrid w:val="0"/>
          <w:highlight w:val="none"/>
        </w:rPr>
        <w:t>6.  评标</w:t>
      </w:r>
      <w:r>
        <w:rPr>
          <w:i w:val="0"/>
          <w:iCs w:val="0"/>
        </w:rPr>
        <w:tab/>
      </w:r>
      <w:r>
        <w:rPr>
          <w:i w:val="0"/>
          <w:iCs w:val="0"/>
        </w:rPr>
        <w:fldChar w:fldCharType="begin"/>
      </w:r>
      <w:r>
        <w:rPr>
          <w:i w:val="0"/>
          <w:iCs w:val="0"/>
        </w:rPr>
        <w:instrText xml:space="preserve"> PAGEREF _Toc15717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4C67BDA7">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_Toc28518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6.1  评标委员会</w:t>
      </w:r>
      <w:r>
        <w:rPr>
          <w:i w:val="0"/>
          <w:iCs w:val="0"/>
        </w:rPr>
        <w:tab/>
      </w:r>
      <w:r>
        <w:rPr>
          <w:i w:val="0"/>
          <w:iCs w:val="0"/>
        </w:rPr>
        <w:fldChar w:fldCharType="begin"/>
      </w:r>
      <w:r>
        <w:rPr>
          <w:i w:val="0"/>
          <w:iCs w:val="0"/>
        </w:rPr>
        <w:instrText xml:space="preserve"> PAGEREF _Toc28518 \h </w:instrText>
      </w:r>
      <w:r>
        <w:rPr>
          <w:i w:val="0"/>
          <w:iCs w:val="0"/>
        </w:rPr>
        <w:fldChar w:fldCharType="separate"/>
      </w:r>
      <w:r>
        <w:rPr>
          <w:i w:val="0"/>
          <w:iCs w:val="0"/>
        </w:rPr>
        <w:t>25</w:t>
      </w:r>
      <w:r>
        <w:rPr>
          <w:i w:val="0"/>
          <w:iCs w:val="0"/>
        </w:rPr>
        <w:fldChar w:fldCharType="end"/>
      </w:r>
      <w:r>
        <w:rPr>
          <w:rFonts w:ascii="宋体" w:hAnsi="宋体"/>
          <w:bCs/>
          <w:i w:val="0"/>
          <w:iCs w:val="0"/>
          <w:szCs w:val="20"/>
          <w:highlight w:val="none"/>
          <w:lang w:val="zh-CN"/>
        </w:rPr>
        <w:fldChar w:fldCharType="end"/>
      </w:r>
    </w:p>
    <w:p w14:paraId="298538EF">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_Toc15368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6.2  评标原则</w:t>
      </w:r>
      <w:r>
        <w:rPr>
          <w:i w:val="0"/>
          <w:iCs w:val="0"/>
        </w:rPr>
        <w:tab/>
      </w:r>
      <w:r>
        <w:rPr>
          <w:i w:val="0"/>
          <w:iCs w:val="0"/>
        </w:rPr>
        <w:fldChar w:fldCharType="begin"/>
      </w:r>
      <w:r>
        <w:rPr>
          <w:i w:val="0"/>
          <w:iCs w:val="0"/>
        </w:rPr>
        <w:instrText xml:space="preserve"> PAGEREF _Toc15368 \h </w:instrText>
      </w:r>
      <w:r>
        <w:rPr>
          <w:i w:val="0"/>
          <w:iCs w:val="0"/>
        </w:rPr>
        <w:fldChar w:fldCharType="separate"/>
      </w:r>
      <w:r>
        <w:rPr>
          <w:i w:val="0"/>
          <w:iCs w:val="0"/>
        </w:rPr>
        <w:t>26</w:t>
      </w:r>
      <w:r>
        <w:rPr>
          <w:i w:val="0"/>
          <w:iCs w:val="0"/>
        </w:rPr>
        <w:fldChar w:fldCharType="end"/>
      </w:r>
      <w:r>
        <w:rPr>
          <w:rFonts w:ascii="宋体" w:hAnsi="宋体"/>
          <w:bCs/>
          <w:i w:val="0"/>
          <w:iCs w:val="0"/>
          <w:szCs w:val="20"/>
          <w:highlight w:val="none"/>
          <w:lang w:val="zh-CN"/>
        </w:rPr>
        <w:fldChar w:fldCharType="end"/>
      </w:r>
    </w:p>
    <w:p w14:paraId="5CC84C30">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_Toc20641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6.3  评标</w:t>
      </w:r>
      <w:r>
        <w:rPr>
          <w:i w:val="0"/>
          <w:iCs w:val="0"/>
        </w:rPr>
        <w:tab/>
      </w:r>
      <w:r>
        <w:rPr>
          <w:i w:val="0"/>
          <w:iCs w:val="0"/>
        </w:rPr>
        <w:fldChar w:fldCharType="begin"/>
      </w:r>
      <w:r>
        <w:rPr>
          <w:i w:val="0"/>
          <w:iCs w:val="0"/>
        </w:rPr>
        <w:instrText xml:space="preserve"> PAGEREF _Toc20641 \h </w:instrText>
      </w:r>
      <w:r>
        <w:rPr>
          <w:i w:val="0"/>
          <w:iCs w:val="0"/>
        </w:rPr>
        <w:fldChar w:fldCharType="separate"/>
      </w:r>
      <w:r>
        <w:rPr>
          <w:i w:val="0"/>
          <w:iCs w:val="0"/>
        </w:rPr>
        <w:t>26</w:t>
      </w:r>
      <w:r>
        <w:rPr>
          <w:i w:val="0"/>
          <w:iCs w:val="0"/>
        </w:rPr>
        <w:fldChar w:fldCharType="end"/>
      </w:r>
      <w:r>
        <w:rPr>
          <w:rFonts w:ascii="宋体" w:hAnsi="宋体"/>
          <w:bCs/>
          <w:i w:val="0"/>
          <w:iCs w:val="0"/>
          <w:szCs w:val="20"/>
          <w:highlight w:val="none"/>
          <w:lang w:val="zh-CN"/>
        </w:rPr>
        <w:fldChar w:fldCharType="end"/>
      </w:r>
    </w:p>
    <w:p w14:paraId="14A7C5DC">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_Toc31755 </w:instrText>
      </w:r>
      <w:r>
        <w:rPr>
          <w:rFonts w:ascii="宋体" w:hAnsi="宋体"/>
          <w:bCs/>
          <w:i w:val="0"/>
          <w:iCs w:val="0"/>
          <w:szCs w:val="20"/>
          <w:highlight w:val="none"/>
          <w:lang w:val="zh-CN"/>
        </w:rPr>
        <w:fldChar w:fldCharType="separate"/>
      </w:r>
      <w:r>
        <w:rPr>
          <w:rFonts w:ascii="宋体" w:hAnsi="宋体"/>
          <w:i w:val="0"/>
          <w:iCs w:val="0"/>
          <w:snapToGrid w:val="0"/>
          <w:highlight w:val="none"/>
        </w:rPr>
        <w:t>7.  合同授予</w:t>
      </w:r>
      <w:r>
        <w:rPr>
          <w:i w:val="0"/>
          <w:iCs w:val="0"/>
        </w:rPr>
        <w:tab/>
      </w:r>
      <w:r>
        <w:rPr>
          <w:i w:val="0"/>
          <w:iCs w:val="0"/>
        </w:rPr>
        <w:fldChar w:fldCharType="begin"/>
      </w:r>
      <w:r>
        <w:rPr>
          <w:i w:val="0"/>
          <w:iCs w:val="0"/>
        </w:rPr>
        <w:instrText xml:space="preserve"> PAGEREF _Toc31755 \h </w:instrText>
      </w:r>
      <w:r>
        <w:rPr>
          <w:i w:val="0"/>
          <w:iCs w:val="0"/>
        </w:rPr>
        <w:fldChar w:fldCharType="separate"/>
      </w:r>
      <w:r>
        <w:rPr>
          <w:i w:val="0"/>
          <w:iCs w:val="0"/>
        </w:rPr>
        <w:t>26</w:t>
      </w:r>
      <w:r>
        <w:rPr>
          <w:i w:val="0"/>
          <w:iCs w:val="0"/>
        </w:rPr>
        <w:fldChar w:fldCharType="end"/>
      </w:r>
      <w:r>
        <w:rPr>
          <w:rFonts w:ascii="宋体" w:hAnsi="宋体"/>
          <w:bCs/>
          <w:i w:val="0"/>
          <w:iCs w:val="0"/>
          <w:szCs w:val="20"/>
          <w:highlight w:val="none"/>
          <w:lang w:val="zh-CN"/>
        </w:rPr>
        <w:fldChar w:fldCharType="end"/>
      </w:r>
    </w:p>
    <w:p w14:paraId="7AC23144">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_Toc29727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7.1  定标方式</w:t>
      </w:r>
      <w:r>
        <w:rPr>
          <w:i w:val="0"/>
          <w:iCs w:val="0"/>
        </w:rPr>
        <w:tab/>
      </w:r>
      <w:r>
        <w:rPr>
          <w:i w:val="0"/>
          <w:iCs w:val="0"/>
        </w:rPr>
        <w:fldChar w:fldCharType="begin"/>
      </w:r>
      <w:r>
        <w:rPr>
          <w:i w:val="0"/>
          <w:iCs w:val="0"/>
        </w:rPr>
        <w:instrText xml:space="preserve"> PAGEREF _Toc29727 \h </w:instrText>
      </w:r>
      <w:r>
        <w:rPr>
          <w:i w:val="0"/>
          <w:iCs w:val="0"/>
        </w:rPr>
        <w:fldChar w:fldCharType="separate"/>
      </w:r>
      <w:r>
        <w:rPr>
          <w:i w:val="0"/>
          <w:iCs w:val="0"/>
        </w:rPr>
        <w:t>26</w:t>
      </w:r>
      <w:r>
        <w:rPr>
          <w:i w:val="0"/>
          <w:iCs w:val="0"/>
        </w:rPr>
        <w:fldChar w:fldCharType="end"/>
      </w:r>
      <w:r>
        <w:rPr>
          <w:rFonts w:ascii="宋体" w:hAnsi="宋体"/>
          <w:bCs/>
          <w:i w:val="0"/>
          <w:iCs w:val="0"/>
          <w:szCs w:val="20"/>
          <w:highlight w:val="none"/>
          <w:lang w:val="zh-CN"/>
        </w:rPr>
        <w:fldChar w:fldCharType="end"/>
      </w:r>
    </w:p>
    <w:p w14:paraId="44B259EA">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_Toc15133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7.2  中标公示及中标通知</w:t>
      </w:r>
      <w:r>
        <w:rPr>
          <w:i w:val="0"/>
          <w:iCs w:val="0"/>
        </w:rPr>
        <w:tab/>
      </w:r>
      <w:r>
        <w:rPr>
          <w:i w:val="0"/>
          <w:iCs w:val="0"/>
        </w:rPr>
        <w:fldChar w:fldCharType="begin"/>
      </w:r>
      <w:r>
        <w:rPr>
          <w:i w:val="0"/>
          <w:iCs w:val="0"/>
        </w:rPr>
        <w:instrText xml:space="preserve"> PAGEREF _Toc15133 \h </w:instrText>
      </w:r>
      <w:r>
        <w:rPr>
          <w:i w:val="0"/>
          <w:iCs w:val="0"/>
        </w:rPr>
        <w:fldChar w:fldCharType="separate"/>
      </w:r>
      <w:r>
        <w:rPr>
          <w:i w:val="0"/>
          <w:iCs w:val="0"/>
        </w:rPr>
        <w:t>26</w:t>
      </w:r>
      <w:r>
        <w:rPr>
          <w:i w:val="0"/>
          <w:iCs w:val="0"/>
        </w:rPr>
        <w:fldChar w:fldCharType="end"/>
      </w:r>
      <w:r>
        <w:rPr>
          <w:rFonts w:ascii="宋体" w:hAnsi="宋体"/>
          <w:bCs/>
          <w:i w:val="0"/>
          <w:iCs w:val="0"/>
          <w:szCs w:val="20"/>
          <w:highlight w:val="none"/>
          <w:lang w:val="zh-CN"/>
        </w:rPr>
        <w:fldChar w:fldCharType="end"/>
      </w:r>
    </w:p>
    <w:p w14:paraId="7C19CBD8">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_Toc15841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7.3  履约担保</w:t>
      </w:r>
      <w:r>
        <w:rPr>
          <w:i w:val="0"/>
          <w:iCs w:val="0"/>
        </w:rPr>
        <w:tab/>
      </w:r>
      <w:r>
        <w:rPr>
          <w:i w:val="0"/>
          <w:iCs w:val="0"/>
        </w:rPr>
        <w:fldChar w:fldCharType="begin"/>
      </w:r>
      <w:r>
        <w:rPr>
          <w:i w:val="0"/>
          <w:iCs w:val="0"/>
        </w:rPr>
        <w:instrText xml:space="preserve"> PAGEREF _Toc15841 \h </w:instrText>
      </w:r>
      <w:r>
        <w:rPr>
          <w:i w:val="0"/>
          <w:iCs w:val="0"/>
        </w:rPr>
        <w:fldChar w:fldCharType="separate"/>
      </w:r>
      <w:r>
        <w:rPr>
          <w:i w:val="0"/>
          <w:iCs w:val="0"/>
        </w:rPr>
        <w:t>26</w:t>
      </w:r>
      <w:r>
        <w:rPr>
          <w:i w:val="0"/>
          <w:iCs w:val="0"/>
        </w:rPr>
        <w:fldChar w:fldCharType="end"/>
      </w:r>
      <w:r>
        <w:rPr>
          <w:rFonts w:ascii="宋体" w:hAnsi="宋体"/>
          <w:bCs/>
          <w:i w:val="0"/>
          <w:iCs w:val="0"/>
          <w:szCs w:val="20"/>
          <w:highlight w:val="none"/>
          <w:lang w:val="zh-CN"/>
        </w:rPr>
        <w:fldChar w:fldCharType="end"/>
      </w:r>
    </w:p>
    <w:p w14:paraId="3CD8A76C">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_Toc15877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7.4  签订合同</w:t>
      </w:r>
      <w:r>
        <w:rPr>
          <w:i w:val="0"/>
          <w:iCs w:val="0"/>
        </w:rPr>
        <w:tab/>
      </w:r>
      <w:r>
        <w:rPr>
          <w:i w:val="0"/>
          <w:iCs w:val="0"/>
        </w:rPr>
        <w:fldChar w:fldCharType="begin"/>
      </w:r>
      <w:r>
        <w:rPr>
          <w:i w:val="0"/>
          <w:iCs w:val="0"/>
        </w:rPr>
        <w:instrText xml:space="preserve"> PAGEREF _Toc15877 \h </w:instrText>
      </w:r>
      <w:r>
        <w:rPr>
          <w:i w:val="0"/>
          <w:iCs w:val="0"/>
        </w:rPr>
        <w:fldChar w:fldCharType="separate"/>
      </w:r>
      <w:r>
        <w:rPr>
          <w:i w:val="0"/>
          <w:iCs w:val="0"/>
        </w:rPr>
        <w:t>27</w:t>
      </w:r>
      <w:r>
        <w:rPr>
          <w:i w:val="0"/>
          <w:iCs w:val="0"/>
        </w:rPr>
        <w:fldChar w:fldCharType="end"/>
      </w:r>
      <w:r>
        <w:rPr>
          <w:rFonts w:ascii="宋体" w:hAnsi="宋体"/>
          <w:bCs/>
          <w:i w:val="0"/>
          <w:iCs w:val="0"/>
          <w:szCs w:val="20"/>
          <w:highlight w:val="none"/>
          <w:lang w:val="zh-CN"/>
        </w:rPr>
        <w:fldChar w:fldCharType="end"/>
      </w:r>
    </w:p>
    <w:p w14:paraId="4CA7BF80">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_Toc13628 </w:instrText>
      </w:r>
      <w:r>
        <w:rPr>
          <w:rFonts w:ascii="宋体" w:hAnsi="宋体"/>
          <w:bCs/>
          <w:i w:val="0"/>
          <w:iCs w:val="0"/>
          <w:szCs w:val="20"/>
          <w:highlight w:val="none"/>
          <w:lang w:val="zh-CN"/>
        </w:rPr>
        <w:fldChar w:fldCharType="separate"/>
      </w:r>
      <w:r>
        <w:rPr>
          <w:rFonts w:ascii="宋体" w:hAnsi="宋体"/>
          <w:i w:val="0"/>
          <w:iCs w:val="0"/>
          <w:snapToGrid w:val="0"/>
          <w:highlight w:val="none"/>
        </w:rPr>
        <w:t>8.  重新招标和不再招标</w:t>
      </w:r>
      <w:r>
        <w:rPr>
          <w:i w:val="0"/>
          <w:iCs w:val="0"/>
        </w:rPr>
        <w:tab/>
      </w:r>
      <w:r>
        <w:rPr>
          <w:i w:val="0"/>
          <w:iCs w:val="0"/>
        </w:rPr>
        <w:fldChar w:fldCharType="begin"/>
      </w:r>
      <w:r>
        <w:rPr>
          <w:i w:val="0"/>
          <w:iCs w:val="0"/>
        </w:rPr>
        <w:instrText xml:space="preserve"> PAGEREF _Toc13628 \h </w:instrText>
      </w:r>
      <w:r>
        <w:rPr>
          <w:i w:val="0"/>
          <w:iCs w:val="0"/>
        </w:rPr>
        <w:fldChar w:fldCharType="separate"/>
      </w:r>
      <w:r>
        <w:rPr>
          <w:i w:val="0"/>
          <w:iCs w:val="0"/>
        </w:rPr>
        <w:t>27</w:t>
      </w:r>
      <w:r>
        <w:rPr>
          <w:i w:val="0"/>
          <w:iCs w:val="0"/>
        </w:rPr>
        <w:fldChar w:fldCharType="end"/>
      </w:r>
      <w:r>
        <w:rPr>
          <w:rFonts w:ascii="宋体" w:hAnsi="宋体"/>
          <w:bCs/>
          <w:i w:val="0"/>
          <w:iCs w:val="0"/>
          <w:szCs w:val="20"/>
          <w:highlight w:val="none"/>
          <w:lang w:val="zh-CN"/>
        </w:rPr>
        <w:fldChar w:fldCharType="end"/>
      </w:r>
    </w:p>
    <w:p w14:paraId="512B181F">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_Toc30178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8.1  重新招标</w:t>
      </w:r>
      <w:r>
        <w:rPr>
          <w:rFonts w:hint="eastAsia" w:ascii="宋体" w:hAnsi="宋体"/>
          <w:i w:val="0"/>
          <w:iCs w:val="0"/>
          <w:snapToGrid w:val="0"/>
          <w:szCs w:val="24"/>
          <w:highlight w:val="none"/>
        </w:rPr>
        <w:t>的情形</w:t>
      </w:r>
      <w:r>
        <w:rPr>
          <w:i w:val="0"/>
          <w:iCs w:val="0"/>
        </w:rPr>
        <w:tab/>
      </w:r>
      <w:r>
        <w:rPr>
          <w:i w:val="0"/>
          <w:iCs w:val="0"/>
        </w:rPr>
        <w:fldChar w:fldCharType="begin"/>
      </w:r>
      <w:r>
        <w:rPr>
          <w:i w:val="0"/>
          <w:iCs w:val="0"/>
        </w:rPr>
        <w:instrText xml:space="preserve"> PAGEREF _Toc30178 \h </w:instrText>
      </w:r>
      <w:r>
        <w:rPr>
          <w:i w:val="0"/>
          <w:iCs w:val="0"/>
        </w:rPr>
        <w:fldChar w:fldCharType="separate"/>
      </w:r>
      <w:r>
        <w:rPr>
          <w:i w:val="0"/>
          <w:iCs w:val="0"/>
        </w:rPr>
        <w:t>27</w:t>
      </w:r>
      <w:r>
        <w:rPr>
          <w:i w:val="0"/>
          <w:iCs w:val="0"/>
        </w:rPr>
        <w:fldChar w:fldCharType="end"/>
      </w:r>
      <w:r>
        <w:rPr>
          <w:rFonts w:ascii="宋体" w:hAnsi="宋体"/>
          <w:bCs/>
          <w:i w:val="0"/>
          <w:iCs w:val="0"/>
          <w:szCs w:val="20"/>
          <w:highlight w:val="none"/>
          <w:lang w:val="zh-CN"/>
        </w:rPr>
        <w:fldChar w:fldCharType="end"/>
      </w:r>
    </w:p>
    <w:p w14:paraId="67A60E2E">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_Toc22909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8.2  </w:t>
      </w:r>
      <w:r>
        <w:rPr>
          <w:rFonts w:hint="eastAsia" w:ascii="宋体" w:hAnsi="宋体"/>
          <w:i w:val="0"/>
          <w:iCs w:val="0"/>
          <w:snapToGrid w:val="0"/>
          <w:szCs w:val="24"/>
          <w:highlight w:val="none"/>
        </w:rPr>
        <w:t>重新</w:t>
      </w:r>
      <w:r>
        <w:rPr>
          <w:rFonts w:ascii="宋体" w:hAnsi="宋体"/>
          <w:i w:val="0"/>
          <w:iCs w:val="0"/>
          <w:snapToGrid w:val="0"/>
          <w:szCs w:val="24"/>
          <w:highlight w:val="none"/>
        </w:rPr>
        <w:t>招标和不再招标</w:t>
      </w:r>
      <w:r>
        <w:rPr>
          <w:i w:val="0"/>
          <w:iCs w:val="0"/>
        </w:rPr>
        <w:tab/>
      </w:r>
      <w:r>
        <w:rPr>
          <w:i w:val="0"/>
          <w:iCs w:val="0"/>
        </w:rPr>
        <w:fldChar w:fldCharType="begin"/>
      </w:r>
      <w:r>
        <w:rPr>
          <w:i w:val="0"/>
          <w:iCs w:val="0"/>
        </w:rPr>
        <w:instrText xml:space="preserve"> PAGEREF _Toc22909 \h </w:instrText>
      </w:r>
      <w:r>
        <w:rPr>
          <w:i w:val="0"/>
          <w:iCs w:val="0"/>
        </w:rPr>
        <w:fldChar w:fldCharType="separate"/>
      </w:r>
      <w:r>
        <w:rPr>
          <w:i w:val="0"/>
          <w:iCs w:val="0"/>
        </w:rPr>
        <w:t>27</w:t>
      </w:r>
      <w:r>
        <w:rPr>
          <w:i w:val="0"/>
          <w:iCs w:val="0"/>
        </w:rPr>
        <w:fldChar w:fldCharType="end"/>
      </w:r>
      <w:r>
        <w:rPr>
          <w:rFonts w:ascii="宋体" w:hAnsi="宋体"/>
          <w:bCs/>
          <w:i w:val="0"/>
          <w:iCs w:val="0"/>
          <w:szCs w:val="20"/>
          <w:highlight w:val="none"/>
          <w:lang w:val="zh-CN"/>
        </w:rPr>
        <w:fldChar w:fldCharType="end"/>
      </w:r>
    </w:p>
    <w:p w14:paraId="3882E440">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_Toc13491 </w:instrText>
      </w:r>
      <w:r>
        <w:rPr>
          <w:rFonts w:ascii="宋体" w:hAnsi="宋体"/>
          <w:bCs/>
          <w:i w:val="0"/>
          <w:iCs w:val="0"/>
          <w:szCs w:val="20"/>
          <w:highlight w:val="none"/>
          <w:lang w:val="zh-CN"/>
        </w:rPr>
        <w:fldChar w:fldCharType="separate"/>
      </w:r>
      <w:r>
        <w:rPr>
          <w:rFonts w:ascii="宋体" w:hAnsi="宋体"/>
          <w:i w:val="0"/>
          <w:iCs w:val="0"/>
          <w:snapToGrid w:val="0"/>
          <w:highlight w:val="none"/>
        </w:rPr>
        <w:t>9.  纪律和监督</w:t>
      </w:r>
      <w:r>
        <w:rPr>
          <w:i w:val="0"/>
          <w:iCs w:val="0"/>
        </w:rPr>
        <w:tab/>
      </w:r>
      <w:r>
        <w:rPr>
          <w:i w:val="0"/>
          <w:iCs w:val="0"/>
        </w:rPr>
        <w:fldChar w:fldCharType="begin"/>
      </w:r>
      <w:r>
        <w:rPr>
          <w:i w:val="0"/>
          <w:iCs w:val="0"/>
        </w:rPr>
        <w:instrText xml:space="preserve"> PAGEREF _Toc13491 \h </w:instrText>
      </w:r>
      <w:r>
        <w:rPr>
          <w:i w:val="0"/>
          <w:iCs w:val="0"/>
        </w:rPr>
        <w:fldChar w:fldCharType="separate"/>
      </w:r>
      <w:r>
        <w:rPr>
          <w:i w:val="0"/>
          <w:iCs w:val="0"/>
        </w:rPr>
        <w:t>27</w:t>
      </w:r>
      <w:r>
        <w:rPr>
          <w:i w:val="0"/>
          <w:iCs w:val="0"/>
        </w:rPr>
        <w:fldChar w:fldCharType="end"/>
      </w:r>
      <w:r>
        <w:rPr>
          <w:rFonts w:ascii="宋体" w:hAnsi="宋体"/>
          <w:bCs/>
          <w:i w:val="0"/>
          <w:iCs w:val="0"/>
          <w:szCs w:val="20"/>
          <w:highlight w:val="none"/>
          <w:lang w:val="zh-CN"/>
        </w:rPr>
        <w:fldChar w:fldCharType="end"/>
      </w:r>
    </w:p>
    <w:p w14:paraId="64B0BE2F">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_Toc27888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9.1  对</w:t>
      </w:r>
      <w:r>
        <w:rPr>
          <w:rFonts w:hint="eastAsia" w:ascii="宋体" w:hAnsi="宋体"/>
          <w:i w:val="0"/>
          <w:iCs w:val="0"/>
          <w:snapToGrid w:val="0"/>
          <w:szCs w:val="24"/>
          <w:highlight w:val="none"/>
          <w:lang w:eastAsia="zh-CN"/>
        </w:rPr>
        <w:t>比选人</w:t>
      </w:r>
      <w:r>
        <w:rPr>
          <w:rFonts w:ascii="宋体" w:hAnsi="宋体"/>
          <w:i w:val="0"/>
          <w:iCs w:val="0"/>
          <w:snapToGrid w:val="0"/>
          <w:szCs w:val="24"/>
          <w:highlight w:val="none"/>
        </w:rPr>
        <w:t>的纪律要求</w:t>
      </w:r>
      <w:r>
        <w:rPr>
          <w:i w:val="0"/>
          <w:iCs w:val="0"/>
        </w:rPr>
        <w:tab/>
      </w:r>
      <w:r>
        <w:rPr>
          <w:i w:val="0"/>
          <w:iCs w:val="0"/>
        </w:rPr>
        <w:fldChar w:fldCharType="begin"/>
      </w:r>
      <w:r>
        <w:rPr>
          <w:i w:val="0"/>
          <w:iCs w:val="0"/>
        </w:rPr>
        <w:instrText xml:space="preserve"> PAGEREF _Toc27888 \h </w:instrText>
      </w:r>
      <w:r>
        <w:rPr>
          <w:i w:val="0"/>
          <w:iCs w:val="0"/>
        </w:rPr>
        <w:fldChar w:fldCharType="separate"/>
      </w:r>
      <w:r>
        <w:rPr>
          <w:i w:val="0"/>
          <w:iCs w:val="0"/>
        </w:rPr>
        <w:t>27</w:t>
      </w:r>
      <w:r>
        <w:rPr>
          <w:i w:val="0"/>
          <w:iCs w:val="0"/>
        </w:rPr>
        <w:fldChar w:fldCharType="end"/>
      </w:r>
      <w:r>
        <w:rPr>
          <w:rFonts w:ascii="宋体" w:hAnsi="宋体"/>
          <w:bCs/>
          <w:i w:val="0"/>
          <w:iCs w:val="0"/>
          <w:szCs w:val="20"/>
          <w:highlight w:val="none"/>
          <w:lang w:val="zh-CN"/>
        </w:rPr>
        <w:fldChar w:fldCharType="end"/>
      </w:r>
    </w:p>
    <w:p w14:paraId="6829EC49">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_Toc4816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9.2  对</w:t>
      </w:r>
      <w:r>
        <w:rPr>
          <w:rFonts w:hint="eastAsia" w:ascii="宋体" w:hAnsi="宋体"/>
          <w:i w:val="0"/>
          <w:iCs w:val="0"/>
          <w:snapToGrid w:val="0"/>
          <w:szCs w:val="24"/>
          <w:highlight w:val="none"/>
          <w:lang w:eastAsia="zh-CN"/>
        </w:rPr>
        <w:t>比选申请人</w:t>
      </w:r>
      <w:r>
        <w:rPr>
          <w:rFonts w:ascii="宋体" w:hAnsi="宋体"/>
          <w:i w:val="0"/>
          <w:iCs w:val="0"/>
          <w:snapToGrid w:val="0"/>
          <w:szCs w:val="24"/>
          <w:highlight w:val="none"/>
        </w:rPr>
        <w:t>的纪律要求</w:t>
      </w:r>
      <w:r>
        <w:rPr>
          <w:i w:val="0"/>
          <w:iCs w:val="0"/>
        </w:rPr>
        <w:tab/>
      </w:r>
      <w:r>
        <w:rPr>
          <w:i w:val="0"/>
          <w:iCs w:val="0"/>
        </w:rPr>
        <w:fldChar w:fldCharType="begin"/>
      </w:r>
      <w:r>
        <w:rPr>
          <w:i w:val="0"/>
          <w:iCs w:val="0"/>
        </w:rPr>
        <w:instrText xml:space="preserve"> PAGEREF _Toc4816 \h </w:instrText>
      </w:r>
      <w:r>
        <w:rPr>
          <w:i w:val="0"/>
          <w:iCs w:val="0"/>
        </w:rPr>
        <w:fldChar w:fldCharType="separate"/>
      </w:r>
      <w:r>
        <w:rPr>
          <w:i w:val="0"/>
          <w:iCs w:val="0"/>
        </w:rPr>
        <w:t>27</w:t>
      </w:r>
      <w:r>
        <w:rPr>
          <w:i w:val="0"/>
          <w:iCs w:val="0"/>
        </w:rPr>
        <w:fldChar w:fldCharType="end"/>
      </w:r>
      <w:r>
        <w:rPr>
          <w:rFonts w:ascii="宋体" w:hAnsi="宋体"/>
          <w:bCs/>
          <w:i w:val="0"/>
          <w:iCs w:val="0"/>
          <w:szCs w:val="20"/>
          <w:highlight w:val="none"/>
          <w:lang w:val="zh-CN"/>
        </w:rPr>
        <w:fldChar w:fldCharType="end"/>
      </w:r>
    </w:p>
    <w:p w14:paraId="5F495B9E">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_Toc28886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9.3  对评标委员会成员的纪律要求</w:t>
      </w:r>
      <w:r>
        <w:rPr>
          <w:i w:val="0"/>
          <w:iCs w:val="0"/>
        </w:rPr>
        <w:tab/>
      </w:r>
      <w:r>
        <w:rPr>
          <w:i w:val="0"/>
          <w:iCs w:val="0"/>
        </w:rPr>
        <w:fldChar w:fldCharType="begin"/>
      </w:r>
      <w:r>
        <w:rPr>
          <w:i w:val="0"/>
          <w:iCs w:val="0"/>
        </w:rPr>
        <w:instrText xml:space="preserve"> PAGEREF _Toc28886 \h </w:instrText>
      </w:r>
      <w:r>
        <w:rPr>
          <w:i w:val="0"/>
          <w:iCs w:val="0"/>
        </w:rPr>
        <w:fldChar w:fldCharType="separate"/>
      </w:r>
      <w:r>
        <w:rPr>
          <w:i w:val="0"/>
          <w:iCs w:val="0"/>
        </w:rPr>
        <w:t>28</w:t>
      </w:r>
      <w:r>
        <w:rPr>
          <w:i w:val="0"/>
          <w:iCs w:val="0"/>
        </w:rPr>
        <w:fldChar w:fldCharType="end"/>
      </w:r>
      <w:r>
        <w:rPr>
          <w:rFonts w:ascii="宋体" w:hAnsi="宋体"/>
          <w:bCs/>
          <w:i w:val="0"/>
          <w:iCs w:val="0"/>
          <w:szCs w:val="20"/>
          <w:highlight w:val="none"/>
          <w:lang w:val="zh-CN"/>
        </w:rPr>
        <w:fldChar w:fldCharType="end"/>
      </w:r>
    </w:p>
    <w:p w14:paraId="07A5A1F3">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_Toc30077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9.4  对与评标活动有关的工作人员的纪律要求</w:t>
      </w:r>
      <w:r>
        <w:rPr>
          <w:i w:val="0"/>
          <w:iCs w:val="0"/>
        </w:rPr>
        <w:tab/>
      </w:r>
      <w:r>
        <w:rPr>
          <w:i w:val="0"/>
          <w:iCs w:val="0"/>
        </w:rPr>
        <w:fldChar w:fldCharType="begin"/>
      </w:r>
      <w:r>
        <w:rPr>
          <w:i w:val="0"/>
          <w:iCs w:val="0"/>
        </w:rPr>
        <w:instrText xml:space="preserve"> PAGEREF _Toc30077 \h </w:instrText>
      </w:r>
      <w:r>
        <w:rPr>
          <w:i w:val="0"/>
          <w:iCs w:val="0"/>
        </w:rPr>
        <w:fldChar w:fldCharType="separate"/>
      </w:r>
      <w:r>
        <w:rPr>
          <w:i w:val="0"/>
          <w:iCs w:val="0"/>
        </w:rPr>
        <w:t>28</w:t>
      </w:r>
      <w:r>
        <w:rPr>
          <w:i w:val="0"/>
          <w:iCs w:val="0"/>
        </w:rPr>
        <w:fldChar w:fldCharType="end"/>
      </w:r>
      <w:r>
        <w:rPr>
          <w:rFonts w:ascii="宋体" w:hAnsi="宋体"/>
          <w:bCs/>
          <w:i w:val="0"/>
          <w:iCs w:val="0"/>
          <w:szCs w:val="20"/>
          <w:highlight w:val="none"/>
          <w:lang w:val="zh-CN"/>
        </w:rPr>
        <w:fldChar w:fldCharType="end"/>
      </w:r>
    </w:p>
    <w:p w14:paraId="1F4F692B">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_Toc8782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9.5  投诉</w:t>
      </w:r>
      <w:r>
        <w:rPr>
          <w:i w:val="0"/>
          <w:iCs w:val="0"/>
        </w:rPr>
        <w:tab/>
      </w:r>
      <w:r>
        <w:rPr>
          <w:i w:val="0"/>
          <w:iCs w:val="0"/>
        </w:rPr>
        <w:fldChar w:fldCharType="begin"/>
      </w:r>
      <w:r>
        <w:rPr>
          <w:i w:val="0"/>
          <w:iCs w:val="0"/>
        </w:rPr>
        <w:instrText xml:space="preserve"> PAGEREF _Toc8782 \h </w:instrText>
      </w:r>
      <w:r>
        <w:rPr>
          <w:i w:val="0"/>
          <w:iCs w:val="0"/>
        </w:rPr>
        <w:fldChar w:fldCharType="separate"/>
      </w:r>
      <w:r>
        <w:rPr>
          <w:i w:val="0"/>
          <w:iCs w:val="0"/>
        </w:rPr>
        <w:t>29</w:t>
      </w:r>
      <w:r>
        <w:rPr>
          <w:i w:val="0"/>
          <w:iCs w:val="0"/>
        </w:rPr>
        <w:fldChar w:fldCharType="end"/>
      </w:r>
      <w:r>
        <w:rPr>
          <w:rFonts w:ascii="宋体" w:hAnsi="宋体"/>
          <w:bCs/>
          <w:i w:val="0"/>
          <w:iCs w:val="0"/>
          <w:szCs w:val="20"/>
          <w:highlight w:val="none"/>
          <w:lang w:val="zh-CN"/>
        </w:rPr>
        <w:fldChar w:fldCharType="end"/>
      </w:r>
    </w:p>
    <w:p w14:paraId="4220EE0F">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_Toc26302 </w:instrText>
      </w:r>
      <w:r>
        <w:rPr>
          <w:rFonts w:ascii="宋体" w:hAnsi="宋体"/>
          <w:bCs/>
          <w:i w:val="0"/>
          <w:iCs w:val="0"/>
          <w:szCs w:val="20"/>
          <w:highlight w:val="none"/>
          <w:lang w:val="zh-CN"/>
        </w:rPr>
        <w:fldChar w:fldCharType="separate"/>
      </w:r>
      <w:r>
        <w:rPr>
          <w:rFonts w:ascii="宋体" w:hAnsi="宋体"/>
          <w:i w:val="0"/>
          <w:iCs w:val="0"/>
          <w:snapToGrid w:val="0"/>
          <w:highlight w:val="none"/>
        </w:rPr>
        <w:t>10. 需要补充的其他内容</w:t>
      </w:r>
      <w:r>
        <w:rPr>
          <w:i w:val="0"/>
          <w:iCs w:val="0"/>
        </w:rPr>
        <w:tab/>
      </w:r>
      <w:r>
        <w:rPr>
          <w:i w:val="0"/>
          <w:iCs w:val="0"/>
        </w:rPr>
        <w:fldChar w:fldCharType="begin"/>
      </w:r>
      <w:r>
        <w:rPr>
          <w:i w:val="0"/>
          <w:iCs w:val="0"/>
        </w:rPr>
        <w:instrText xml:space="preserve"> PAGEREF _Toc26302 \h </w:instrText>
      </w:r>
      <w:r>
        <w:rPr>
          <w:i w:val="0"/>
          <w:iCs w:val="0"/>
        </w:rPr>
        <w:fldChar w:fldCharType="separate"/>
      </w:r>
      <w:r>
        <w:rPr>
          <w:i w:val="0"/>
          <w:iCs w:val="0"/>
        </w:rPr>
        <w:t>29</w:t>
      </w:r>
      <w:r>
        <w:rPr>
          <w:i w:val="0"/>
          <w:iCs w:val="0"/>
        </w:rPr>
        <w:fldChar w:fldCharType="end"/>
      </w:r>
      <w:r>
        <w:rPr>
          <w:rFonts w:ascii="宋体" w:hAnsi="宋体"/>
          <w:bCs/>
          <w:i w:val="0"/>
          <w:iCs w:val="0"/>
          <w:szCs w:val="20"/>
          <w:highlight w:val="none"/>
          <w:lang w:val="zh-CN"/>
        </w:rPr>
        <w:fldChar w:fldCharType="end"/>
      </w:r>
    </w:p>
    <w:p w14:paraId="2275489D">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_Toc1850 </w:instrText>
      </w:r>
      <w:r>
        <w:rPr>
          <w:rFonts w:ascii="宋体" w:hAnsi="宋体"/>
          <w:bCs/>
          <w:i w:val="0"/>
          <w:iCs w:val="0"/>
          <w:szCs w:val="20"/>
          <w:highlight w:val="none"/>
          <w:lang w:val="zh-CN"/>
        </w:rPr>
        <w:fldChar w:fldCharType="separate"/>
      </w:r>
      <w:r>
        <w:rPr>
          <w:rFonts w:ascii="宋体" w:hAnsi="宋体"/>
          <w:i w:val="0"/>
          <w:iCs w:val="0"/>
          <w:highlight w:val="none"/>
        </w:rPr>
        <w:t xml:space="preserve">第三章 </w:t>
      </w:r>
      <w:r>
        <w:rPr>
          <w:rFonts w:hint="eastAsia" w:ascii="宋体" w:hAnsi="宋体"/>
          <w:i w:val="0"/>
          <w:iCs w:val="0"/>
          <w:highlight w:val="none"/>
        </w:rPr>
        <w:t xml:space="preserve"> </w:t>
      </w:r>
      <w:r>
        <w:rPr>
          <w:rFonts w:ascii="宋体" w:hAnsi="宋体"/>
          <w:i w:val="0"/>
          <w:iCs w:val="0"/>
          <w:highlight w:val="none"/>
        </w:rPr>
        <w:t>评标办法（综合评估法）</w:t>
      </w:r>
      <w:r>
        <w:rPr>
          <w:i w:val="0"/>
          <w:iCs w:val="0"/>
        </w:rPr>
        <w:tab/>
      </w:r>
      <w:r>
        <w:rPr>
          <w:i w:val="0"/>
          <w:iCs w:val="0"/>
        </w:rPr>
        <w:fldChar w:fldCharType="begin"/>
      </w:r>
      <w:r>
        <w:rPr>
          <w:i w:val="0"/>
          <w:iCs w:val="0"/>
        </w:rPr>
        <w:instrText xml:space="preserve"> PAGEREF _Toc1850 \h </w:instrText>
      </w:r>
      <w:r>
        <w:rPr>
          <w:i w:val="0"/>
          <w:iCs w:val="0"/>
        </w:rPr>
        <w:fldChar w:fldCharType="separate"/>
      </w:r>
      <w:r>
        <w:rPr>
          <w:i w:val="0"/>
          <w:iCs w:val="0"/>
        </w:rPr>
        <w:t>32</w:t>
      </w:r>
      <w:r>
        <w:rPr>
          <w:i w:val="0"/>
          <w:iCs w:val="0"/>
        </w:rPr>
        <w:fldChar w:fldCharType="end"/>
      </w:r>
      <w:r>
        <w:rPr>
          <w:rFonts w:ascii="宋体" w:hAnsi="宋体"/>
          <w:bCs/>
          <w:i w:val="0"/>
          <w:iCs w:val="0"/>
          <w:szCs w:val="20"/>
          <w:highlight w:val="none"/>
          <w:lang w:val="zh-CN"/>
        </w:rPr>
        <w:fldChar w:fldCharType="end"/>
      </w:r>
    </w:p>
    <w:p w14:paraId="0B974998">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_Toc12557 </w:instrText>
      </w:r>
      <w:r>
        <w:rPr>
          <w:rFonts w:ascii="宋体" w:hAnsi="宋体"/>
          <w:bCs/>
          <w:i w:val="0"/>
          <w:iCs w:val="0"/>
          <w:szCs w:val="20"/>
          <w:highlight w:val="none"/>
          <w:lang w:val="zh-CN"/>
        </w:rPr>
        <w:fldChar w:fldCharType="separate"/>
      </w:r>
      <w:r>
        <w:rPr>
          <w:rFonts w:hint="eastAsia" w:ascii="宋体" w:hAnsi="宋体"/>
          <w:i w:val="0"/>
          <w:iCs w:val="0"/>
          <w:highlight w:val="none"/>
        </w:rPr>
        <w:t>评标办法前附表</w:t>
      </w:r>
      <w:r>
        <w:rPr>
          <w:i w:val="0"/>
          <w:iCs w:val="0"/>
        </w:rPr>
        <w:tab/>
      </w:r>
      <w:r>
        <w:rPr>
          <w:i w:val="0"/>
          <w:iCs w:val="0"/>
        </w:rPr>
        <w:fldChar w:fldCharType="begin"/>
      </w:r>
      <w:r>
        <w:rPr>
          <w:i w:val="0"/>
          <w:iCs w:val="0"/>
        </w:rPr>
        <w:instrText xml:space="preserve"> PAGEREF _Toc12557 \h </w:instrText>
      </w:r>
      <w:r>
        <w:rPr>
          <w:i w:val="0"/>
          <w:iCs w:val="0"/>
        </w:rPr>
        <w:fldChar w:fldCharType="separate"/>
      </w:r>
      <w:r>
        <w:rPr>
          <w:i w:val="0"/>
          <w:iCs w:val="0"/>
        </w:rPr>
        <w:t>32</w:t>
      </w:r>
      <w:r>
        <w:rPr>
          <w:i w:val="0"/>
          <w:iCs w:val="0"/>
        </w:rPr>
        <w:fldChar w:fldCharType="end"/>
      </w:r>
      <w:r>
        <w:rPr>
          <w:rFonts w:ascii="宋体" w:hAnsi="宋体"/>
          <w:bCs/>
          <w:i w:val="0"/>
          <w:iCs w:val="0"/>
          <w:szCs w:val="20"/>
          <w:highlight w:val="none"/>
          <w:lang w:val="zh-CN"/>
        </w:rPr>
        <w:fldChar w:fldCharType="end"/>
      </w:r>
    </w:p>
    <w:p w14:paraId="43DB9922">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_Toc21422 </w:instrText>
      </w:r>
      <w:r>
        <w:rPr>
          <w:rFonts w:ascii="宋体" w:hAnsi="宋体"/>
          <w:bCs/>
          <w:i w:val="0"/>
          <w:iCs w:val="0"/>
          <w:szCs w:val="20"/>
          <w:highlight w:val="none"/>
          <w:lang w:val="zh-CN"/>
        </w:rPr>
        <w:fldChar w:fldCharType="separate"/>
      </w:r>
      <w:r>
        <w:rPr>
          <w:rFonts w:ascii="宋体" w:hAnsi="宋体"/>
          <w:i w:val="0"/>
          <w:iCs w:val="0"/>
          <w:snapToGrid w:val="0"/>
          <w:highlight w:val="none"/>
        </w:rPr>
        <w:t>1.  评标方法</w:t>
      </w:r>
      <w:r>
        <w:rPr>
          <w:i w:val="0"/>
          <w:iCs w:val="0"/>
        </w:rPr>
        <w:tab/>
      </w:r>
      <w:r>
        <w:rPr>
          <w:i w:val="0"/>
          <w:iCs w:val="0"/>
        </w:rPr>
        <w:fldChar w:fldCharType="begin"/>
      </w:r>
      <w:r>
        <w:rPr>
          <w:i w:val="0"/>
          <w:iCs w:val="0"/>
        </w:rPr>
        <w:instrText xml:space="preserve"> PAGEREF _Toc21422 \h </w:instrText>
      </w:r>
      <w:r>
        <w:rPr>
          <w:i w:val="0"/>
          <w:iCs w:val="0"/>
        </w:rPr>
        <w:fldChar w:fldCharType="separate"/>
      </w:r>
      <w:r>
        <w:rPr>
          <w:i w:val="0"/>
          <w:iCs w:val="0"/>
        </w:rPr>
        <w:t>39</w:t>
      </w:r>
      <w:r>
        <w:rPr>
          <w:i w:val="0"/>
          <w:iCs w:val="0"/>
        </w:rPr>
        <w:fldChar w:fldCharType="end"/>
      </w:r>
      <w:r>
        <w:rPr>
          <w:rFonts w:ascii="宋体" w:hAnsi="宋体"/>
          <w:bCs/>
          <w:i w:val="0"/>
          <w:iCs w:val="0"/>
          <w:szCs w:val="20"/>
          <w:highlight w:val="none"/>
          <w:lang w:val="zh-CN"/>
        </w:rPr>
        <w:fldChar w:fldCharType="end"/>
      </w:r>
    </w:p>
    <w:p w14:paraId="373DC3D9">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_Toc1457 </w:instrText>
      </w:r>
      <w:r>
        <w:rPr>
          <w:rFonts w:ascii="宋体" w:hAnsi="宋体"/>
          <w:bCs/>
          <w:i w:val="0"/>
          <w:iCs w:val="0"/>
          <w:szCs w:val="20"/>
          <w:highlight w:val="none"/>
          <w:lang w:val="zh-CN"/>
        </w:rPr>
        <w:fldChar w:fldCharType="separate"/>
      </w:r>
      <w:r>
        <w:rPr>
          <w:rFonts w:ascii="宋体" w:hAnsi="宋体"/>
          <w:i w:val="0"/>
          <w:iCs w:val="0"/>
          <w:snapToGrid w:val="0"/>
          <w:highlight w:val="none"/>
        </w:rPr>
        <w:t>2.  评审标准</w:t>
      </w:r>
      <w:r>
        <w:rPr>
          <w:i w:val="0"/>
          <w:iCs w:val="0"/>
        </w:rPr>
        <w:tab/>
      </w:r>
      <w:r>
        <w:rPr>
          <w:i w:val="0"/>
          <w:iCs w:val="0"/>
        </w:rPr>
        <w:fldChar w:fldCharType="begin"/>
      </w:r>
      <w:r>
        <w:rPr>
          <w:i w:val="0"/>
          <w:iCs w:val="0"/>
        </w:rPr>
        <w:instrText xml:space="preserve"> PAGEREF _Toc1457 \h </w:instrText>
      </w:r>
      <w:r>
        <w:rPr>
          <w:i w:val="0"/>
          <w:iCs w:val="0"/>
        </w:rPr>
        <w:fldChar w:fldCharType="separate"/>
      </w:r>
      <w:r>
        <w:rPr>
          <w:i w:val="0"/>
          <w:iCs w:val="0"/>
        </w:rPr>
        <w:t>39</w:t>
      </w:r>
      <w:r>
        <w:rPr>
          <w:i w:val="0"/>
          <w:iCs w:val="0"/>
        </w:rPr>
        <w:fldChar w:fldCharType="end"/>
      </w:r>
      <w:r>
        <w:rPr>
          <w:rFonts w:ascii="宋体" w:hAnsi="宋体"/>
          <w:bCs/>
          <w:i w:val="0"/>
          <w:iCs w:val="0"/>
          <w:szCs w:val="20"/>
          <w:highlight w:val="none"/>
          <w:lang w:val="zh-CN"/>
        </w:rPr>
        <w:fldChar w:fldCharType="end"/>
      </w:r>
    </w:p>
    <w:p w14:paraId="265A26DB">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_Toc29541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2.1  初步评审标准</w:t>
      </w:r>
      <w:r>
        <w:rPr>
          <w:i w:val="0"/>
          <w:iCs w:val="0"/>
        </w:rPr>
        <w:tab/>
      </w:r>
      <w:r>
        <w:rPr>
          <w:i w:val="0"/>
          <w:iCs w:val="0"/>
        </w:rPr>
        <w:fldChar w:fldCharType="begin"/>
      </w:r>
      <w:r>
        <w:rPr>
          <w:i w:val="0"/>
          <w:iCs w:val="0"/>
        </w:rPr>
        <w:instrText xml:space="preserve"> PAGEREF _Toc29541 \h </w:instrText>
      </w:r>
      <w:r>
        <w:rPr>
          <w:i w:val="0"/>
          <w:iCs w:val="0"/>
        </w:rPr>
        <w:fldChar w:fldCharType="separate"/>
      </w:r>
      <w:r>
        <w:rPr>
          <w:i w:val="0"/>
          <w:iCs w:val="0"/>
        </w:rPr>
        <w:t>39</w:t>
      </w:r>
      <w:r>
        <w:rPr>
          <w:i w:val="0"/>
          <w:iCs w:val="0"/>
        </w:rPr>
        <w:fldChar w:fldCharType="end"/>
      </w:r>
      <w:r>
        <w:rPr>
          <w:rFonts w:ascii="宋体" w:hAnsi="宋体"/>
          <w:bCs/>
          <w:i w:val="0"/>
          <w:iCs w:val="0"/>
          <w:szCs w:val="20"/>
          <w:highlight w:val="none"/>
          <w:lang w:val="zh-CN"/>
        </w:rPr>
        <w:fldChar w:fldCharType="end"/>
      </w:r>
    </w:p>
    <w:p w14:paraId="0075316C">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_Toc27323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2.2  分值构成与评分标准</w:t>
      </w:r>
      <w:r>
        <w:rPr>
          <w:i w:val="0"/>
          <w:iCs w:val="0"/>
        </w:rPr>
        <w:tab/>
      </w:r>
      <w:r>
        <w:rPr>
          <w:i w:val="0"/>
          <w:iCs w:val="0"/>
        </w:rPr>
        <w:fldChar w:fldCharType="begin"/>
      </w:r>
      <w:r>
        <w:rPr>
          <w:i w:val="0"/>
          <w:iCs w:val="0"/>
        </w:rPr>
        <w:instrText xml:space="preserve"> PAGEREF _Toc27323 \h </w:instrText>
      </w:r>
      <w:r>
        <w:rPr>
          <w:i w:val="0"/>
          <w:iCs w:val="0"/>
        </w:rPr>
        <w:fldChar w:fldCharType="separate"/>
      </w:r>
      <w:r>
        <w:rPr>
          <w:i w:val="0"/>
          <w:iCs w:val="0"/>
        </w:rPr>
        <w:t>39</w:t>
      </w:r>
      <w:r>
        <w:rPr>
          <w:i w:val="0"/>
          <w:iCs w:val="0"/>
        </w:rPr>
        <w:fldChar w:fldCharType="end"/>
      </w:r>
      <w:r>
        <w:rPr>
          <w:rFonts w:ascii="宋体" w:hAnsi="宋体"/>
          <w:bCs/>
          <w:i w:val="0"/>
          <w:iCs w:val="0"/>
          <w:szCs w:val="20"/>
          <w:highlight w:val="none"/>
          <w:lang w:val="zh-CN"/>
        </w:rPr>
        <w:fldChar w:fldCharType="end"/>
      </w:r>
    </w:p>
    <w:p w14:paraId="53C4CB58">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_Toc8274 </w:instrText>
      </w:r>
      <w:r>
        <w:rPr>
          <w:rFonts w:ascii="宋体" w:hAnsi="宋体"/>
          <w:bCs/>
          <w:i w:val="0"/>
          <w:iCs w:val="0"/>
          <w:szCs w:val="20"/>
          <w:highlight w:val="none"/>
          <w:lang w:val="zh-CN"/>
        </w:rPr>
        <w:fldChar w:fldCharType="separate"/>
      </w:r>
      <w:r>
        <w:rPr>
          <w:rFonts w:ascii="宋体" w:hAnsi="宋体"/>
          <w:i w:val="0"/>
          <w:iCs w:val="0"/>
          <w:snapToGrid w:val="0"/>
          <w:highlight w:val="none"/>
        </w:rPr>
        <w:t>3.  评标程序</w:t>
      </w:r>
      <w:r>
        <w:rPr>
          <w:i w:val="0"/>
          <w:iCs w:val="0"/>
        </w:rPr>
        <w:tab/>
      </w:r>
      <w:r>
        <w:rPr>
          <w:i w:val="0"/>
          <w:iCs w:val="0"/>
        </w:rPr>
        <w:fldChar w:fldCharType="begin"/>
      </w:r>
      <w:r>
        <w:rPr>
          <w:i w:val="0"/>
          <w:iCs w:val="0"/>
        </w:rPr>
        <w:instrText xml:space="preserve"> PAGEREF _Toc8274 \h </w:instrText>
      </w:r>
      <w:r>
        <w:rPr>
          <w:i w:val="0"/>
          <w:iCs w:val="0"/>
        </w:rPr>
        <w:fldChar w:fldCharType="separate"/>
      </w:r>
      <w:r>
        <w:rPr>
          <w:i w:val="0"/>
          <w:iCs w:val="0"/>
        </w:rPr>
        <w:t>39</w:t>
      </w:r>
      <w:r>
        <w:rPr>
          <w:i w:val="0"/>
          <w:iCs w:val="0"/>
        </w:rPr>
        <w:fldChar w:fldCharType="end"/>
      </w:r>
      <w:r>
        <w:rPr>
          <w:rFonts w:ascii="宋体" w:hAnsi="宋体"/>
          <w:bCs/>
          <w:i w:val="0"/>
          <w:iCs w:val="0"/>
          <w:szCs w:val="20"/>
          <w:highlight w:val="none"/>
          <w:lang w:val="zh-CN"/>
        </w:rPr>
        <w:fldChar w:fldCharType="end"/>
      </w:r>
    </w:p>
    <w:p w14:paraId="7F5268BB">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_Toc22005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3.1  初步评审</w:t>
      </w:r>
      <w:r>
        <w:rPr>
          <w:i w:val="0"/>
          <w:iCs w:val="0"/>
        </w:rPr>
        <w:tab/>
      </w:r>
      <w:r>
        <w:rPr>
          <w:i w:val="0"/>
          <w:iCs w:val="0"/>
        </w:rPr>
        <w:fldChar w:fldCharType="begin"/>
      </w:r>
      <w:r>
        <w:rPr>
          <w:i w:val="0"/>
          <w:iCs w:val="0"/>
        </w:rPr>
        <w:instrText xml:space="preserve"> PAGEREF _Toc22005 \h </w:instrText>
      </w:r>
      <w:r>
        <w:rPr>
          <w:i w:val="0"/>
          <w:iCs w:val="0"/>
        </w:rPr>
        <w:fldChar w:fldCharType="separate"/>
      </w:r>
      <w:r>
        <w:rPr>
          <w:i w:val="0"/>
          <w:iCs w:val="0"/>
        </w:rPr>
        <w:t>39</w:t>
      </w:r>
      <w:r>
        <w:rPr>
          <w:i w:val="0"/>
          <w:iCs w:val="0"/>
        </w:rPr>
        <w:fldChar w:fldCharType="end"/>
      </w:r>
      <w:r>
        <w:rPr>
          <w:rFonts w:ascii="宋体" w:hAnsi="宋体"/>
          <w:bCs/>
          <w:i w:val="0"/>
          <w:iCs w:val="0"/>
          <w:szCs w:val="20"/>
          <w:highlight w:val="none"/>
          <w:lang w:val="zh-CN"/>
        </w:rPr>
        <w:fldChar w:fldCharType="end"/>
      </w:r>
    </w:p>
    <w:p w14:paraId="063554D3">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_Toc30280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3.2  详细评审</w:t>
      </w:r>
      <w:r>
        <w:rPr>
          <w:i w:val="0"/>
          <w:iCs w:val="0"/>
        </w:rPr>
        <w:tab/>
      </w:r>
      <w:r>
        <w:rPr>
          <w:i w:val="0"/>
          <w:iCs w:val="0"/>
        </w:rPr>
        <w:fldChar w:fldCharType="begin"/>
      </w:r>
      <w:r>
        <w:rPr>
          <w:i w:val="0"/>
          <w:iCs w:val="0"/>
        </w:rPr>
        <w:instrText xml:space="preserve"> PAGEREF _Toc30280 \h </w:instrText>
      </w:r>
      <w:r>
        <w:rPr>
          <w:i w:val="0"/>
          <w:iCs w:val="0"/>
        </w:rPr>
        <w:fldChar w:fldCharType="separate"/>
      </w:r>
      <w:r>
        <w:rPr>
          <w:i w:val="0"/>
          <w:iCs w:val="0"/>
        </w:rPr>
        <w:t>39</w:t>
      </w:r>
      <w:r>
        <w:rPr>
          <w:i w:val="0"/>
          <w:iCs w:val="0"/>
        </w:rPr>
        <w:fldChar w:fldCharType="end"/>
      </w:r>
      <w:r>
        <w:rPr>
          <w:rFonts w:ascii="宋体" w:hAnsi="宋体"/>
          <w:bCs/>
          <w:i w:val="0"/>
          <w:iCs w:val="0"/>
          <w:szCs w:val="20"/>
          <w:highlight w:val="none"/>
          <w:lang w:val="zh-CN"/>
        </w:rPr>
        <w:fldChar w:fldCharType="end"/>
      </w:r>
    </w:p>
    <w:p w14:paraId="7BB5BC53">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_Toc17481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 xml:space="preserve">3.3  </w:t>
      </w:r>
      <w:r>
        <w:rPr>
          <w:rFonts w:hint="eastAsia" w:ascii="宋体" w:hAnsi="宋体"/>
          <w:i w:val="0"/>
          <w:iCs w:val="0"/>
          <w:snapToGrid w:val="0"/>
          <w:szCs w:val="24"/>
          <w:highlight w:val="none"/>
          <w:lang w:eastAsia="zh-CN"/>
        </w:rPr>
        <w:t>比选申请文件</w:t>
      </w:r>
      <w:r>
        <w:rPr>
          <w:rFonts w:ascii="宋体" w:hAnsi="宋体"/>
          <w:i w:val="0"/>
          <w:iCs w:val="0"/>
          <w:snapToGrid w:val="0"/>
          <w:szCs w:val="24"/>
          <w:highlight w:val="none"/>
        </w:rPr>
        <w:t>的澄清和补正</w:t>
      </w:r>
      <w:r>
        <w:rPr>
          <w:i w:val="0"/>
          <w:iCs w:val="0"/>
        </w:rPr>
        <w:tab/>
      </w:r>
      <w:r>
        <w:rPr>
          <w:i w:val="0"/>
          <w:iCs w:val="0"/>
        </w:rPr>
        <w:fldChar w:fldCharType="begin"/>
      </w:r>
      <w:r>
        <w:rPr>
          <w:i w:val="0"/>
          <w:iCs w:val="0"/>
        </w:rPr>
        <w:instrText xml:space="preserve"> PAGEREF _Toc17481 \h </w:instrText>
      </w:r>
      <w:r>
        <w:rPr>
          <w:i w:val="0"/>
          <w:iCs w:val="0"/>
        </w:rPr>
        <w:fldChar w:fldCharType="separate"/>
      </w:r>
      <w:r>
        <w:rPr>
          <w:i w:val="0"/>
          <w:iCs w:val="0"/>
        </w:rPr>
        <w:t>40</w:t>
      </w:r>
      <w:r>
        <w:rPr>
          <w:i w:val="0"/>
          <w:iCs w:val="0"/>
        </w:rPr>
        <w:fldChar w:fldCharType="end"/>
      </w:r>
      <w:r>
        <w:rPr>
          <w:rFonts w:ascii="宋体" w:hAnsi="宋体"/>
          <w:bCs/>
          <w:i w:val="0"/>
          <w:iCs w:val="0"/>
          <w:szCs w:val="20"/>
          <w:highlight w:val="none"/>
          <w:lang w:val="zh-CN"/>
        </w:rPr>
        <w:fldChar w:fldCharType="end"/>
      </w:r>
    </w:p>
    <w:p w14:paraId="3AA322B7">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_Toc13641 </w:instrText>
      </w:r>
      <w:r>
        <w:rPr>
          <w:rFonts w:ascii="宋体" w:hAnsi="宋体"/>
          <w:bCs/>
          <w:i w:val="0"/>
          <w:iCs w:val="0"/>
          <w:szCs w:val="20"/>
          <w:highlight w:val="none"/>
          <w:lang w:val="zh-CN"/>
        </w:rPr>
        <w:fldChar w:fldCharType="separate"/>
      </w:r>
      <w:r>
        <w:rPr>
          <w:rFonts w:ascii="宋体" w:hAnsi="宋体"/>
          <w:i w:val="0"/>
          <w:iCs w:val="0"/>
          <w:snapToGrid w:val="0"/>
          <w:szCs w:val="24"/>
          <w:highlight w:val="none"/>
        </w:rPr>
        <w:t>3.4  评标结果</w:t>
      </w:r>
      <w:r>
        <w:rPr>
          <w:i w:val="0"/>
          <w:iCs w:val="0"/>
        </w:rPr>
        <w:tab/>
      </w:r>
      <w:r>
        <w:rPr>
          <w:i w:val="0"/>
          <w:iCs w:val="0"/>
        </w:rPr>
        <w:fldChar w:fldCharType="begin"/>
      </w:r>
      <w:r>
        <w:rPr>
          <w:i w:val="0"/>
          <w:iCs w:val="0"/>
        </w:rPr>
        <w:instrText xml:space="preserve"> PAGEREF _Toc13641 \h </w:instrText>
      </w:r>
      <w:r>
        <w:rPr>
          <w:i w:val="0"/>
          <w:iCs w:val="0"/>
        </w:rPr>
        <w:fldChar w:fldCharType="separate"/>
      </w:r>
      <w:r>
        <w:rPr>
          <w:i w:val="0"/>
          <w:iCs w:val="0"/>
        </w:rPr>
        <w:t>40</w:t>
      </w:r>
      <w:r>
        <w:rPr>
          <w:i w:val="0"/>
          <w:iCs w:val="0"/>
        </w:rPr>
        <w:fldChar w:fldCharType="end"/>
      </w:r>
      <w:r>
        <w:rPr>
          <w:rFonts w:ascii="宋体" w:hAnsi="宋体"/>
          <w:bCs/>
          <w:i w:val="0"/>
          <w:iCs w:val="0"/>
          <w:szCs w:val="20"/>
          <w:highlight w:val="none"/>
          <w:lang w:val="zh-CN"/>
        </w:rPr>
        <w:fldChar w:fldCharType="end"/>
      </w:r>
    </w:p>
    <w:p w14:paraId="3818840E">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_Toc22893 </w:instrText>
      </w:r>
      <w:r>
        <w:rPr>
          <w:rFonts w:ascii="宋体" w:hAnsi="宋体"/>
          <w:bCs/>
          <w:i w:val="0"/>
          <w:iCs w:val="0"/>
          <w:szCs w:val="20"/>
          <w:highlight w:val="none"/>
          <w:lang w:val="zh-CN"/>
        </w:rPr>
        <w:fldChar w:fldCharType="separate"/>
      </w:r>
      <w:r>
        <w:rPr>
          <w:rFonts w:hint="eastAsia" w:ascii="宋体" w:hAnsi="宋体"/>
          <w:i w:val="0"/>
          <w:iCs w:val="0"/>
          <w:kern w:val="0"/>
          <w:highlight w:val="none"/>
        </w:rPr>
        <w:t>第四章  合同条款及格式</w:t>
      </w:r>
      <w:r>
        <w:rPr>
          <w:i w:val="0"/>
          <w:iCs w:val="0"/>
        </w:rPr>
        <w:tab/>
      </w:r>
      <w:r>
        <w:rPr>
          <w:i w:val="0"/>
          <w:iCs w:val="0"/>
        </w:rPr>
        <w:fldChar w:fldCharType="begin"/>
      </w:r>
      <w:r>
        <w:rPr>
          <w:i w:val="0"/>
          <w:iCs w:val="0"/>
        </w:rPr>
        <w:instrText xml:space="preserve"> PAGEREF _Toc22893 \h </w:instrText>
      </w:r>
      <w:r>
        <w:rPr>
          <w:i w:val="0"/>
          <w:iCs w:val="0"/>
        </w:rPr>
        <w:fldChar w:fldCharType="separate"/>
      </w:r>
      <w:r>
        <w:rPr>
          <w:i w:val="0"/>
          <w:iCs w:val="0"/>
        </w:rPr>
        <w:t>44</w:t>
      </w:r>
      <w:r>
        <w:rPr>
          <w:i w:val="0"/>
          <w:iCs w:val="0"/>
        </w:rPr>
        <w:fldChar w:fldCharType="end"/>
      </w:r>
      <w:r>
        <w:rPr>
          <w:rFonts w:ascii="宋体" w:hAnsi="宋体"/>
          <w:bCs/>
          <w:i w:val="0"/>
          <w:iCs w:val="0"/>
          <w:szCs w:val="20"/>
          <w:highlight w:val="none"/>
          <w:lang w:val="zh-CN"/>
        </w:rPr>
        <w:fldChar w:fldCharType="end"/>
      </w:r>
    </w:p>
    <w:p w14:paraId="236496CD">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_Toc12041 </w:instrText>
      </w:r>
      <w:r>
        <w:rPr>
          <w:rFonts w:ascii="宋体" w:hAnsi="宋体"/>
          <w:bCs/>
          <w:i w:val="0"/>
          <w:iCs w:val="0"/>
          <w:szCs w:val="20"/>
          <w:highlight w:val="none"/>
          <w:lang w:val="zh-CN"/>
        </w:rPr>
        <w:fldChar w:fldCharType="separate"/>
      </w:r>
      <w:r>
        <w:rPr>
          <w:rFonts w:ascii="宋体" w:hAnsi="宋体"/>
          <w:i w:val="0"/>
          <w:iCs w:val="0"/>
          <w:szCs w:val="44"/>
          <w:highlight w:val="none"/>
        </w:rPr>
        <w:t>第一部分 合同协议书</w:t>
      </w:r>
      <w:r>
        <w:rPr>
          <w:i w:val="0"/>
          <w:iCs w:val="0"/>
        </w:rPr>
        <w:tab/>
      </w:r>
      <w:r>
        <w:rPr>
          <w:i w:val="0"/>
          <w:iCs w:val="0"/>
        </w:rPr>
        <w:fldChar w:fldCharType="begin"/>
      </w:r>
      <w:r>
        <w:rPr>
          <w:i w:val="0"/>
          <w:iCs w:val="0"/>
        </w:rPr>
        <w:instrText xml:space="preserve"> PAGEREF _Toc12041 \h </w:instrText>
      </w:r>
      <w:r>
        <w:rPr>
          <w:i w:val="0"/>
          <w:iCs w:val="0"/>
        </w:rPr>
        <w:fldChar w:fldCharType="separate"/>
      </w:r>
      <w:r>
        <w:rPr>
          <w:i w:val="0"/>
          <w:iCs w:val="0"/>
        </w:rPr>
        <w:t>46</w:t>
      </w:r>
      <w:r>
        <w:rPr>
          <w:i w:val="0"/>
          <w:iCs w:val="0"/>
        </w:rPr>
        <w:fldChar w:fldCharType="end"/>
      </w:r>
      <w:r>
        <w:rPr>
          <w:rFonts w:ascii="宋体" w:hAnsi="宋体"/>
          <w:bCs/>
          <w:i w:val="0"/>
          <w:iCs w:val="0"/>
          <w:szCs w:val="20"/>
          <w:highlight w:val="none"/>
          <w:lang w:val="zh-CN"/>
        </w:rPr>
        <w:fldChar w:fldCharType="end"/>
      </w:r>
    </w:p>
    <w:p w14:paraId="0926E5C8">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_Toc12753 </w:instrText>
      </w:r>
      <w:r>
        <w:rPr>
          <w:rFonts w:ascii="宋体" w:hAnsi="宋体"/>
          <w:bCs/>
          <w:i w:val="0"/>
          <w:iCs w:val="0"/>
          <w:szCs w:val="20"/>
          <w:highlight w:val="none"/>
          <w:lang w:val="zh-CN"/>
        </w:rPr>
        <w:fldChar w:fldCharType="separate"/>
      </w:r>
      <w:r>
        <w:rPr>
          <w:rFonts w:hint="eastAsia" w:ascii="宋体" w:hAnsi="宋体"/>
          <w:i w:val="0"/>
          <w:iCs w:val="0"/>
          <w:szCs w:val="44"/>
          <w:highlight w:val="none"/>
        </w:rPr>
        <w:t>第二部分 通用合同条款</w:t>
      </w:r>
      <w:r>
        <w:rPr>
          <w:i w:val="0"/>
          <w:iCs w:val="0"/>
        </w:rPr>
        <w:tab/>
      </w:r>
      <w:r>
        <w:rPr>
          <w:i w:val="0"/>
          <w:iCs w:val="0"/>
        </w:rPr>
        <w:fldChar w:fldCharType="begin"/>
      </w:r>
      <w:r>
        <w:rPr>
          <w:i w:val="0"/>
          <w:iCs w:val="0"/>
        </w:rPr>
        <w:instrText xml:space="preserve"> PAGEREF _Toc12753 \h </w:instrText>
      </w:r>
      <w:r>
        <w:rPr>
          <w:i w:val="0"/>
          <w:iCs w:val="0"/>
        </w:rPr>
        <w:fldChar w:fldCharType="separate"/>
      </w:r>
      <w:r>
        <w:rPr>
          <w:i w:val="0"/>
          <w:iCs w:val="0"/>
        </w:rPr>
        <w:t>51</w:t>
      </w:r>
      <w:r>
        <w:rPr>
          <w:i w:val="0"/>
          <w:iCs w:val="0"/>
        </w:rPr>
        <w:fldChar w:fldCharType="end"/>
      </w:r>
      <w:r>
        <w:rPr>
          <w:rFonts w:ascii="宋体" w:hAnsi="宋体"/>
          <w:bCs/>
          <w:i w:val="0"/>
          <w:iCs w:val="0"/>
          <w:szCs w:val="20"/>
          <w:highlight w:val="none"/>
          <w:lang w:val="zh-CN"/>
        </w:rPr>
        <w:fldChar w:fldCharType="end"/>
      </w:r>
    </w:p>
    <w:p w14:paraId="65BB1D5E">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_Toc404 </w:instrText>
      </w:r>
      <w:r>
        <w:rPr>
          <w:rFonts w:ascii="宋体" w:hAnsi="宋体"/>
          <w:bCs/>
          <w:i w:val="0"/>
          <w:iCs w:val="0"/>
          <w:szCs w:val="20"/>
          <w:highlight w:val="none"/>
          <w:lang w:val="zh-CN"/>
        </w:rPr>
        <w:fldChar w:fldCharType="separate"/>
      </w:r>
      <w:r>
        <w:rPr>
          <w:rFonts w:hint="eastAsia" w:ascii="宋体" w:hAnsi="宋体"/>
          <w:i w:val="0"/>
          <w:iCs w:val="0"/>
          <w:szCs w:val="44"/>
          <w:highlight w:val="none"/>
        </w:rPr>
        <w:t>第三部分 专用合同条款</w:t>
      </w:r>
      <w:r>
        <w:rPr>
          <w:i w:val="0"/>
          <w:iCs w:val="0"/>
        </w:rPr>
        <w:tab/>
      </w:r>
      <w:r>
        <w:rPr>
          <w:i w:val="0"/>
          <w:iCs w:val="0"/>
        </w:rPr>
        <w:fldChar w:fldCharType="begin"/>
      </w:r>
      <w:r>
        <w:rPr>
          <w:i w:val="0"/>
          <w:iCs w:val="0"/>
        </w:rPr>
        <w:instrText xml:space="preserve"> PAGEREF _Toc404 \h </w:instrText>
      </w:r>
      <w:r>
        <w:rPr>
          <w:i w:val="0"/>
          <w:iCs w:val="0"/>
        </w:rPr>
        <w:fldChar w:fldCharType="separate"/>
      </w:r>
      <w:r>
        <w:rPr>
          <w:i w:val="0"/>
          <w:iCs w:val="0"/>
        </w:rPr>
        <w:t>104</w:t>
      </w:r>
      <w:r>
        <w:rPr>
          <w:i w:val="0"/>
          <w:iCs w:val="0"/>
        </w:rPr>
        <w:fldChar w:fldCharType="end"/>
      </w:r>
      <w:r>
        <w:rPr>
          <w:rFonts w:ascii="宋体" w:hAnsi="宋体"/>
          <w:bCs/>
          <w:i w:val="0"/>
          <w:iCs w:val="0"/>
          <w:szCs w:val="20"/>
          <w:highlight w:val="none"/>
          <w:lang w:val="zh-CN"/>
        </w:rPr>
        <w:fldChar w:fldCharType="end"/>
      </w:r>
    </w:p>
    <w:p w14:paraId="5DAB5CF2">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_Toc8487 </w:instrText>
      </w:r>
      <w:r>
        <w:rPr>
          <w:rFonts w:ascii="宋体" w:hAnsi="宋体"/>
          <w:bCs/>
          <w:i w:val="0"/>
          <w:iCs w:val="0"/>
          <w:szCs w:val="20"/>
          <w:highlight w:val="none"/>
          <w:lang w:val="zh-CN"/>
        </w:rPr>
        <w:fldChar w:fldCharType="separate"/>
      </w:r>
      <w:r>
        <w:rPr>
          <w:rFonts w:ascii="宋体" w:hAnsi="宋体"/>
          <w:i w:val="0"/>
          <w:iCs w:val="0"/>
          <w:szCs w:val="52"/>
          <w:highlight w:val="none"/>
        </w:rPr>
        <w:t>第 二 卷</w:t>
      </w:r>
      <w:r>
        <w:rPr>
          <w:i w:val="0"/>
          <w:iCs w:val="0"/>
        </w:rPr>
        <w:tab/>
      </w:r>
      <w:r>
        <w:rPr>
          <w:i w:val="0"/>
          <w:iCs w:val="0"/>
        </w:rPr>
        <w:fldChar w:fldCharType="begin"/>
      </w:r>
      <w:r>
        <w:rPr>
          <w:i w:val="0"/>
          <w:iCs w:val="0"/>
        </w:rPr>
        <w:instrText xml:space="preserve"> PAGEREF _Toc8487 \h </w:instrText>
      </w:r>
      <w:r>
        <w:rPr>
          <w:i w:val="0"/>
          <w:iCs w:val="0"/>
        </w:rPr>
        <w:fldChar w:fldCharType="separate"/>
      </w:r>
      <w:r>
        <w:rPr>
          <w:i w:val="0"/>
          <w:iCs w:val="0"/>
        </w:rPr>
        <w:t>175</w:t>
      </w:r>
      <w:r>
        <w:rPr>
          <w:i w:val="0"/>
          <w:iCs w:val="0"/>
        </w:rPr>
        <w:fldChar w:fldCharType="end"/>
      </w:r>
      <w:r>
        <w:rPr>
          <w:rFonts w:ascii="宋体" w:hAnsi="宋体"/>
          <w:bCs/>
          <w:i w:val="0"/>
          <w:iCs w:val="0"/>
          <w:szCs w:val="20"/>
          <w:highlight w:val="none"/>
          <w:lang w:val="zh-CN"/>
        </w:rPr>
        <w:fldChar w:fldCharType="end"/>
      </w:r>
    </w:p>
    <w:p w14:paraId="63F72932">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_Toc4170 </w:instrText>
      </w:r>
      <w:r>
        <w:rPr>
          <w:rFonts w:ascii="宋体" w:hAnsi="宋体"/>
          <w:bCs/>
          <w:i w:val="0"/>
          <w:iCs w:val="0"/>
          <w:szCs w:val="20"/>
          <w:highlight w:val="none"/>
          <w:lang w:val="zh-CN"/>
        </w:rPr>
        <w:fldChar w:fldCharType="separate"/>
      </w:r>
      <w:r>
        <w:rPr>
          <w:rFonts w:hint="eastAsia" w:ascii="宋体" w:hAnsi="宋体"/>
          <w:i w:val="0"/>
          <w:iCs w:val="0"/>
          <w:highlight w:val="none"/>
        </w:rPr>
        <w:t>第六章  图纸</w:t>
      </w:r>
      <w:r>
        <w:rPr>
          <w:i w:val="0"/>
          <w:iCs w:val="0"/>
        </w:rPr>
        <w:tab/>
      </w:r>
      <w:r>
        <w:rPr>
          <w:i w:val="0"/>
          <w:iCs w:val="0"/>
        </w:rPr>
        <w:fldChar w:fldCharType="begin"/>
      </w:r>
      <w:r>
        <w:rPr>
          <w:i w:val="0"/>
          <w:iCs w:val="0"/>
        </w:rPr>
        <w:instrText xml:space="preserve"> PAGEREF _Toc4170 \h </w:instrText>
      </w:r>
      <w:r>
        <w:rPr>
          <w:i w:val="0"/>
          <w:iCs w:val="0"/>
        </w:rPr>
        <w:fldChar w:fldCharType="separate"/>
      </w:r>
      <w:r>
        <w:rPr>
          <w:i w:val="0"/>
          <w:iCs w:val="0"/>
        </w:rPr>
        <w:t>176</w:t>
      </w:r>
      <w:r>
        <w:rPr>
          <w:i w:val="0"/>
          <w:iCs w:val="0"/>
        </w:rPr>
        <w:fldChar w:fldCharType="end"/>
      </w:r>
      <w:r>
        <w:rPr>
          <w:rFonts w:ascii="宋体" w:hAnsi="宋体"/>
          <w:bCs/>
          <w:i w:val="0"/>
          <w:iCs w:val="0"/>
          <w:szCs w:val="20"/>
          <w:highlight w:val="none"/>
          <w:lang w:val="zh-CN"/>
        </w:rPr>
        <w:fldChar w:fldCharType="end"/>
      </w:r>
    </w:p>
    <w:p w14:paraId="14654472">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_Toc10747 </w:instrText>
      </w:r>
      <w:r>
        <w:rPr>
          <w:rFonts w:ascii="宋体" w:hAnsi="宋体"/>
          <w:bCs/>
          <w:i w:val="0"/>
          <w:iCs w:val="0"/>
          <w:szCs w:val="20"/>
          <w:highlight w:val="none"/>
          <w:lang w:val="zh-CN"/>
        </w:rPr>
        <w:fldChar w:fldCharType="separate"/>
      </w:r>
      <w:r>
        <w:rPr>
          <w:rFonts w:hint="eastAsia" w:ascii="宋体" w:hAnsi="宋体"/>
          <w:i w:val="0"/>
          <w:iCs w:val="0"/>
          <w:szCs w:val="52"/>
          <w:highlight w:val="none"/>
        </w:rPr>
        <w:t>第 三 卷</w:t>
      </w:r>
      <w:r>
        <w:rPr>
          <w:i w:val="0"/>
          <w:iCs w:val="0"/>
        </w:rPr>
        <w:tab/>
      </w:r>
      <w:r>
        <w:rPr>
          <w:i w:val="0"/>
          <w:iCs w:val="0"/>
        </w:rPr>
        <w:fldChar w:fldCharType="begin"/>
      </w:r>
      <w:r>
        <w:rPr>
          <w:i w:val="0"/>
          <w:iCs w:val="0"/>
        </w:rPr>
        <w:instrText xml:space="preserve"> PAGEREF _Toc10747 \h </w:instrText>
      </w:r>
      <w:r>
        <w:rPr>
          <w:i w:val="0"/>
          <w:iCs w:val="0"/>
        </w:rPr>
        <w:fldChar w:fldCharType="separate"/>
      </w:r>
      <w:r>
        <w:rPr>
          <w:i w:val="0"/>
          <w:iCs w:val="0"/>
        </w:rPr>
        <w:t>177</w:t>
      </w:r>
      <w:r>
        <w:rPr>
          <w:i w:val="0"/>
          <w:iCs w:val="0"/>
        </w:rPr>
        <w:fldChar w:fldCharType="end"/>
      </w:r>
      <w:r>
        <w:rPr>
          <w:rFonts w:ascii="宋体" w:hAnsi="宋体"/>
          <w:bCs/>
          <w:i w:val="0"/>
          <w:iCs w:val="0"/>
          <w:szCs w:val="20"/>
          <w:highlight w:val="none"/>
          <w:lang w:val="zh-CN"/>
        </w:rPr>
        <w:fldChar w:fldCharType="end"/>
      </w:r>
    </w:p>
    <w:p w14:paraId="33CE331D">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_Toc30088 </w:instrText>
      </w:r>
      <w:r>
        <w:rPr>
          <w:rFonts w:ascii="宋体" w:hAnsi="宋体"/>
          <w:bCs/>
          <w:i w:val="0"/>
          <w:iCs w:val="0"/>
          <w:szCs w:val="20"/>
          <w:highlight w:val="none"/>
          <w:lang w:val="zh-CN"/>
        </w:rPr>
        <w:fldChar w:fldCharType="separate"/>
      </w:r>
      <w:r>
        <w:rPr>
          <w:rFonts w:ascii="宋体" w:hAnsi="宋体"/>
          <w:i w:val="0"/>
          <w:iCs w:val="0"/>
          <w:highlight w:val="none"/>
        </w:rPr>
        <w:t>第七章</w:t>
      </w:r>
      <w:r>
        <w:rPr>
          <w:rFonts w:hint="eastAsia" w:ascii="宋体" w:hAnsi="宋体"/>
          <w:i w:val="0"/>
          <w:iCs w:val="0"/>
          <w:highlight w:val="none"/>
        </w:rPr>
        <w:t xml:space="preserve">  </w:t>
      </w:r>
      <w:r>
        <w:rPr>
          <w:rFonts w:ascii="宋体" w:hAnsi="宋体"/>
          <w:i w:val="0"/>
          <w:iCs w:val="0"/>
          <w:highlight w:val="none"/>
        </w:rPr>
        <w:t>技术标准和要求</w:t>
      </w:r>
      <w:r>
        <w:rPr>
          <w:i w:val="0"/>
          <w:iCs w:val="0"/>
        </w:rPr>
        <w:tab/>
      </w:r>
      <w:r>
        <w:rPr>
          <w:i w:val="0"/>
          <w:iCs w:val="0"/>
        </w:rPr>
        <w:fldChar w:fldCharType="begin"/>
      </w:r>
      <w:r>
        <w:rPr>
          <w:i w:val="0"/>
          <w:iCs w:val="0"/>
        </w:rPr>
        <w:instrText xml:space="preserve"> PAGEREF _Toc30088 \h </w:instrText>
      </w:r>
      <w:r>
        <w:rPr>
          <w:i w:val="0"/>
          <w:iCs w:val="0"/>
        </w:rPr>
        <w:fldChar w:fldCharType="separate"/>
      </w:r>
      <w:r>
        <w:rPr>
          <w:i w:val="0"/>
          <w:iCs w:val="0"/>
        </w:rPr>
        <w:t>178</w:t>
      </w:r>
      <w:r>
        <w:rPr>
          <w:i w:val="0"/>
          <w:iCs w:val="0"/>
        </w:rPr>
        <w:fldChar w:fldCharType="end"/>
      </w:r>
      <w:r>
        <w:rPr>
          <w:rFonts w:ascii="宋体" w:hAnsi="宋体"/>
          <w:bCs/>
          <w:i w:val="0"/>
          <w:iCs w:val="0"/>
          <w:szCs w:val="20"/>
          <w:highlight w:val="none"/>
          <w:lang w:val="zh-CN"/>
        </w:rPr>
        <w:fldChar w:fldCharType="end"/>
      </w:r>
    </w:p>
    <w:p w14:paraId="54EEBF10">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_Toc7987 </w:instrText>
      </w:r>
      <w:r>
        <w:rPr>
          <w:rFonts w:ascii="宋体" w:hAnsi="宋体"/>
          <w:bCs/>
          <w:i w:val="0"/>
          <w:iCs w:val="0"/>
          <w:szCs w:val="20"/>
          <w:highlight w:val="none"/>
          <w:lang w:val="zh-CN"/>
        </w:rPr>
        <w:fldChar w:fldCharType="separate"/>
      </w:r>
      <w:r>
        <w:rPr>
          <w:rFonts w:ascii="宋体" w:hAnsi="宋体"/>
          <w:i w:val="0"/>
          <w:iCs w:val="0"/>
          <w:szCs w:val="52"/>
          <w:highlight w:val="none"/>
        </w:rPr>
        <w:t>第 四 卷</w:t>
      </w:r>
      <w:r>
        <w:rPr>
          <w:i w:val="0"/>
          <w:iCs w:val="0"/>
        </w:rPr>
        <w:tab/>
      </w:r>
      <w:r>
        <w:rPr>
          <w:i w:val="0"/>
          <w:iCs w:val="0"/>
        </w:rPr>
        <w:fldChar w:fldCharType="begin"/>
      </w:r>
      <w:r>
        <w:rPr>
          <w:i w:val="0"/>
          <w:iCs w:val="0"/>
        </w:rPr>
        <w:instrText xml:space="preserve"> PAGEREF _Toc7987 \h </w:instrText>
      </w:r>
      <w:r>
        <w:rPr>
          <w:i w:val="0"/>
          <w:iCs w:val="0"/>
        </w:rPr>
        <w:fldChar w:fldCharType="separate"/>
      </w:r>
      <w:r>
        <w:rPr>
          <w:i w:val="0"/>
          <w:iCs w:val="0"/>
        </w:rPr>
        <w:t>179</w:t>
      </w:r>
      <w:r>
        <w:rPr>
          <w:i w:val="0"/>
          <w:iCs w:val="0"/>
        </w:rPr>
        <w:fldChar w:fldCharType="end"/>
      </w:r>
      <w:r>
        <w:rPr>
          <w:rFonts w:ascii="宋体" w:hAnsi="宋体"/>
          <w:bCs/>
          <w:i w:val="0"/>
          <w:iCs w:val="0"/>
          <w:szCs w:val="20"/>
          <w:highlight w:val="none"/>
          <w:lang w:val="zh-CN"/>
        </w:rPr>
        <w:fldChar w:fldCharType="end"/>
      </w:r>
    </w:p>
    <w:p w14:paraId="2F866C90">
      <w:pPr>
        <w:pStyle w:val="12"/>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_Toc15022 </w:instrText>
      </w:r>
      <w:r>
        <w:rPr>
          <w:rFonts w:ascii="宋体" w:hAnsi="宋体"/>
          <w:bCs/>
          <w:i w:val="0"/>
          <w:iCs w:val="0"/>
          <w:szCs w:val="20"/>
          <w:highlight w:val="none"/>
          <w:lang w:val="zh-CN"/>
        </w:rPr>
        <w:fldChar w:fldCharType="separate"/>
      </w:r>
      <w:r>
        <w:rPr>
          <w:rFonts w:hint="eastAsia" w:ascii="宋体" w:hAnsi="宋体"/>
          <w:i w:val="0"/>
          <w:iCs w:val="0"/>
          <w:highlight w:val="none"/>
        </w:rPr>
        <w:t xml:space="preserve">第八章  </w:t>
      </w:r>
      <w:r>
        <w:rPr>
          <w:rFonts w:hint="eastAsia" w:ascii="宋体" w:hAnsi="宋体"/>
          <w:i w:val="0"/>
          <w:iCs w:val="0"/>
          <w:highlight w:val="none"/>
          <w:lang w:eastAsia="zh-CN"/>
        </w:rPr>
        <w:t>比选申请文件</w:t>
      </w:r>
      <w:r>
        <w:rPr>
          <w:rFonts w:hint="eastAsia" w:ascii="宋体" w:hAnsi="宋体"/>
          <w:i w:val="0"/>
          <w:iCs w:val="0"/>
          <w:highlight w:val="none"/>
        </w:rPr>
        <w:t>格式</w:t>
      </w:r>
      <w:r>
        <w:rPr>
          <w:i w:val="0"/>
          <w:iCs w:val="0"/>
        </w:rPr>
        <w:tab/>
      </w:r>
      <w:r>
        <w:rPr>
          <w:i w:val="0"/>
          <w:iCs w:val="0"/>
        </w:rPr>
        <w:fldChar w:fldCharType="begin"/>
      </w:r>
      <w:r>
        <w:rPr>
          <w:i w:val="0"/>
          <w:iCs w:val="0"/>
        </w:rPr>
        <w:instrText xml:space="preserve"> PAGEREF _Toc15022 \h </w:instrText>
      </w:r>
      <w:r>
        <w:rPr>
          <w:i w:val="0"/>
          <w:iCs w:val="0"/>
        </w:rPr>
        <w:fldChar w:fldCharType="separate"/>
      </w:r>
      <w:r>
        <w:rPr>
          <w:i w:val="0"/>
          <w:iCs w:val="0"/>
        </w:rPr>
        <w:t>180</w:t>
      </w:r>
      <w:r>
        <w:rPr>
          <w:i w:val="0"/>
          <w:iCs w:val="0"/>
        </w:rPr>
        <w:fldChar w:fldCharType="end"/>
      </w:r>
      <w:r>
        <w:rPr>
          <w:rFonts w:ascii="宋体" w:hAnsi="宋体"/>
          <w:bCs/>
          <w:i w:val="0"/>
          <w:iCs w:val="0"/>
          <w:szCs w:val="20"/>
          <w:highlight w:val="none"/>
          <w:lang w:val="zh-CN"/>
        </w:rPr>
        <w:fldChar w:fldCharType="end"/>
      </w:r>
    </w:p>
    <w:p w14:paraId="673BF95F">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_Toc9843 </w:instrText>
      </w:r>
      <w:r>
        <w:rPr>
          <w:rFonts w:ascii="宋体" w:hAnsi="宋体"/>
          <w:bCs/>
          <w:i w:val="0"/>
          <w:iCs w:val="0"/>
          <w:szCs w:val="20"/>
          <w:highlight w:val="none"/>
          <w:lang w:val="zh-CN"/>
        </w:rPr>
        <w:fldChar w:fldCharType="separate"/>
      </w:r>
      <w:r>
        <w:rPr>
          <w:rFonts w:hint="eastAsia" w:ascii="宋体" w:hAnsi="宋体"/>
          <w:bCs w:val="0"/>
          <w:i w:val="0"/>
          <w:iCs w:val="0"/>
          <w:szCs w:val="44"/>
          <w:highlight w:val="none"/>
        </w:rPr>
        <w:t>一、投标函部分</w:t>
      </w:r>
      <w:r>
        <w:rPr>
          <w:i w:val="0"/>
          <w:iCs w:val="0"/>
        </w:rPr>
        <w:tab/>
      </w:r>
      <w:r>
        <w:rPr>
          <w:i w:val="0"/>
          <w:iCs w:val="0"/>
        </w:rPr>
        <w:fldChar w:fldCharType="begin"/>
      </w:r>
      <w:r>
        <w:rPr>
          <w:i w:val="0"/>
          <w:iCs w:val="0"/>
        </w:rPr>
        <w:instrText xml:space="preserve"> PAGEREF _Toc9843 \h </w:instrText>
      </w:r>
      <w:r>
        <w:rPr>
          <w:i w:val="0"/>
          <w:iCs w:val="0"/>
        </w:rPr>
        <w:fldChar w:fldCharType="separate"/>
      </w:r>
      <w:r>
        <w:rPr>
          <w:i w:val="0"/>
          <w:iCs w:val="0"/>
        </w:rPr>
        <w:t>182</w:t>
      </w:r>
      <w:r>
        <w:rPr>
          <w:i w:val="0"/>
          <w:iCs w:val="0"/>
        </w:rPr>
        <w:fldChar w:fldCharType="end"/>
      </w:r>
      <w:r>
        <w:rPr>
          <w:rFonts w:ascii="宋体" w:hAnsi="宋体"/>
          <w:bCs/>
          <w:i w:val="0"/>
          <w:iCs w:val="0"/>
          <w:szCs w:val="20"/>
          <w:highlight w:val="none"/>
          <w:lang w:val="zh-CN"/>
        </w:rPr>
        <w:fldChar w:fldCharType="end"/>
      </w:r>
    </w:p>
    <w:p w14:paraId="6CFDF437">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_Toc20851 </w:instrText>
      </w:r>
      <w:r>
        <w:rPr>
          <w:rFonts w:ascii="宋体" w:hAnsi="宋体"/>
          <w:bCs/>
          <w:i w:val="0"/>
          <w:iCs w:val="0"/>
          <w:szCs w:val="20"/>
          <w:highlight w:val="none"/>
          <w:lang w:val="zh-CN"/>
        </w:rPr>
        <w:fldChar w:fldCharType="separate"/>
      </w:r>
      <w:r>
        <w:rPr>
          <w:rFonts w:hint="eastAsia" w:ascii="宋体" w:hAnsi="宋体"/>
          <w:bCs w:val="0"/>
          <w:i w:val="0"/>
          <w:iCs w:val="0"/>
          <w:highlight w:val="none"/>
        </w:rPr>
        <w:t>（一）投标函</w:t>
      </w:r>
      <w:r>
        <w:rPr>
          <w:i w:val="0"/>
          <w:iCs w:val="0"/>
        </w:rPr>
        <w:tab/>
      </w:r>
      <w:r>
        <w:rPr>
          <w:i w:val="0"/>
          <w:iCs w:val="0"/>
        </w:rPr>
        <w:fldChar w:fldCharType="begin"/>
      </w:r>
      <w:r>
        <w:rPr>
          <w:i w:val="0"/>
          <w:iCs w:val="0"/>
        </w:rPr>
        <w:instrText xml:space="preserve"> PAGEREF _Toc20851 \h </w:instrText>
      </w:r>
      <w:r>
        <w:rPr>
          <w:i w:val="0"/>
          <w:iCs w:val="0"/>
        </w:rPr>
        <w:fldChar w:fldCharType="separate"/>
      </w:r>
      <w:r>
        <w:rPr>
          <w:i w:val="0"/>
          <w:iCs w:val="0"/>
        </w:rPr>
        <w:t>185</w:t>
      </w:r>
      <w:r>
        <w:rPr>
          <w:i w:val="0"/>
          <w:iCs w:val="0"/>
        </w:rPr>
        <w:fldChar w:fldCharType="end"/>
      </w:r>
      <w:r>
        <w:rPr>
          <w:rFonts w:ascii="宋体" w:hAnsi="宋体"/>
          <w:bCs/>
          <w:i w:val="0"/>
          <w:iCs w:val="0"/>
          <w:szCs w:val="20"/>
          <w:highlight w:val="none"/>
          <w:lang w:val="zh-CN"/>
        </w:rPr>
        <w:fldChar w:fldCharType="end"/>
      </w:r>
    </w:p>
    <w:p w14:paraId="3DAF5807">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_Toc19126 </w:instrText>
      </w:r>
      <w:r>
        <w:rPr>
          <w:rFonts w:ascii="宋体" w:hAnsi="宋体"/>
          <w:bCs/>
          <w:i w:val="0"/>
          <w:iCs w:val="0"/>
          <w:szCs w:val="20"/>
          <w:highlight w:val="none"/>
          <w:lang w:val="zh-CN"/>
        </w:rPr>
        <w:fldChar w:fldCharType="separate"/>
      </w:r>
      <w:r>
        <w:rPr>
          <w:rFonts w:ascii="宋体" w:hAnsi="宋体"/>
          <w:bCs w:val="0"/>
          <w:i w:val="0"/>
          <w:iCs w:val="0"/>
          <w:highlight w:val="none"/>
        </w:rPr>
        <w:t>（二）投标函附录</w:t>
      </w:r>
      <w:r>
        <w:rPr>
          <w:i w:val="0"/>
          <w:iCs w:val="0"/>
        </w:rPr>
        <w:tab/>
      </w:r>
      <w:r>
        <w:rPr>
          <w:i w:val="0"/>
          <w:iCs w:val="0"/>
        </w:rPr>
        <w:fldChar w:fldCharType="begin"/>
      </w:r>
      <w:r>
        <w:rPr>
          <w:i w:val="0"/>
          <w:iCs w:val="0"/>
        </w:rPr>
        <w:instrText xml:space="preserve"> PAGEREF _Toc19126 \h </w:instrText>
      </w:r>
      <w:r>
        <w:rPr>
          <w:i w:val="0"/>
          <w:iCs w:val="0"/>
        </w:rPr>
        <w:fldChar w:fldCharType="separate"/>
      </w:r>
      <w:r>
        <w:rPr>
          <w:i w:val="0"/>
          <w:iCs w:val="0"/>
        </w:rPr>
        <w:t>186</w:t>
      </w:r>
      <w:r>
        <w:rPr>
          <w:i w:val="0"/>
          <w:iCs w:val="0"/>
        </w:rPr>
        <w:fldChar w:fldCharType="end"/>
      </w:r>
      <w:r>
        <w:rPr>
          <w:rFonts w:ascii="宋体" w:hAnsi="宋体"/>
          <w:bCs/>
          <w:i w:val="0"/>
          <w:iCs w:val="0"/>
          <w:szCs w:val="20"/>
          <w:highlight w:val="none"/>
          <w:lang w:val="zh-CN"/>
        </w:rPr>
        <w:fldChar w:fldCharType="end"/>
      </w:r>
    </w:p>
    <w:p w14:paraId="0D22DE01">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_Toc24729 </w:instrText>
      </w:r>
      <w:r>
        <w:rPr>
          <w:rFonts w:ascii="宋体" w:hAnsi="宋体"/>
          <w:bCs/>
          <w:i w:val="0"/>
          <w:iCs w:val="0"/>
          <w:szCs w:val="20"/>
          <w:highlight w:val="none"/>
          <w:lang w:val="zh-CN"/>
        </w:rPr>
        <w:fldChar w:fldCharType="separate"/>
      </w:r>
      <w:r>
        <w:rPr>
          <w:rFonts w:ascii="宋体" w:hAnsi="宋体"/>
          <w:bCs w:val="0"/>
          <w:i w:val="0"/>
          <w:iCs w:val="0"/>
          <w:highlight w:val="none"/>
        </w:rPr>
        <w:t>（</w:t>
      </w:r>
      <w:r>
        <w:rPr>
          <w:rFonts w:hint="eastAsia" w:ascii="宋体" w:hAnsi="宋体"/>
          <w:bCs w:val="0"/>
          <w:i w:val="0"/>
          <w:iCs w:val="0"/>
          <w:highlight w:val="none"/>
          <w:lang w:val="en-US" w:eastAsia="zh-CN"/>
        </w:rPr>
        <w:t>三</w:t>
      </w:r>
      <w:r>
        <w:rPr>
          <w:rFonts w:ascii="宋体" w:hAnsi="宋体"/>
          <w:bCs w:val="0"/>
          <w:i w:val="0"/>
          <w:iCs w:val="0"/>
          <w:highlight w:val="none"/>
        </w:rPr>
        <w:t>）</w:t>
      </w:r>
      <w:r>
        <w:rPr>
          <w:rFonts w:hint="eastAsia" w:ascii="宋体" w:hAnsi="宋体"/>
          <w:bCs w:val="0"/>
          <w:i w:val="0"/>
          <w:iCs w:val="0"/>
          <w:highlight w:val="none"/>
        </w:rPr>
        <w:t>投标报价合理性说明</w:t>
      </w:r>
      <w:r>
        <w:rPr>
          <w:rFonts w:hint="eastAsia" w:ascii="宋体" w:hAnsi="宋体"/>
          <w:bCs w:val="0"/>
          <w:i w:val="0"/>
          <w:iCs w:val="0"/>
          <w:highlight w:val="none"/>
          <w:lang w:eastAsia="zh-CN"/>
        </w:rPr>
        <w:t>（</w:t>
      </w:r>
      <w:r>
        <w:rPr>
          <w:rFonts w:hint="eastAsia" w:ascii="宋体" w:hAnsi="宋体"/>
          <w:bCs w:val="0"/>
          <w:i w:val="0"/>
          <w:iCs w:val="0"/>
          <w:highlight w:val="none"/>
          <w:lang w:val="en-US" w:eastAsia="zh-CN"/>
        </w:rPr>
        <w:t>如有</w:t>
      </w:r>
      <w:r>
        <w:rPr>
          <w:rFonts w:hint="eastAsia" w:ascii="宋体" w:hAnsi="宋体"/>
          <w:bCs w:val="0"/>
          <w:i w:val="0"/>
          <w:iCs w:val="0"/>
          <w:highlight w:val="none"/>
          <w:lang w:eastAsia="zh-CN"/>
        </w:rPr>
        <w:t>）</w:t>
      </w:r>
      <w:r>
        <w:rPr>
          <w:i w:val="0"/>
          <w:iCs w:val="0"/>
        </w:rPr>
        <w:tab/>
      </w:r>
      <w:r>
        <w:rPr>
          <w:i w:val="0"/>
          <w:iCs w:val="0"/>
        </w:rPr>
        <w:fldChar w:fldCharType="begin"/>
      </w:r>
      <w:r>
        <w:rPr>
          <w:i w:val="0"/>
          <w:iCs w:val="0"/>
        </w:rPr>
        <w:instrText xml:space="preserve"> PAGEREF _Toc24729 \h </w:instrText>
      </w:r>
      <w:r>
        <w:rPr>
          <w:i w:val="0"/>
          <w:iCs w:val="0"/>
        </w:rPr>
        <w:fldChar w:fldCharType="separate"/>
      </w:r>
      <w:r>
        <w:rPr>
          <w:i w:val="0"/>
          <w:iCs w:val="0"/>
        </w:rPr>
        <w:t>187</w:t>
      </w:r>
      <w:r>
        <w:rPr>
          <w:i w:val="0"/>
          <w:iCs w:val="0"/>
        </w:rPr>
        <w:fldChar w:fldCharType="end"/>
      </w:r>
      <w:r>
        <w:rPr>
          <w:rFonts w:ascii="宋体" w:hAnsi="宋体"/>
          <w:bCs/>
          <w:i w:val="0"/>
          <w:iCs w:val="0"/>
          <w:szCs w:val="20"/>
          <w:highlight w:val="none"/>
          <w:lang w:val="zh-CN"/>
        </w:rPr>
        <w:fldChar w:fldCharType="end"/>
      </w:r>
    </w:p>
    <w:p w14:paraId="69A040CA">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_Toc2203 </w:instrText>
      </w:r>
      <w:r>
        <w:rPr>
          <w:rFonts w:ascii="宋体" w:hAnsi="宋体"/>
          <w:bCs/>
          <w:i w:val="0"/>
          <w:iCs w:val="0"/>
          <w:szCs w:val="20"/>
          <w:highlight w:val="none"/>
          <w:lang w:val="zh-CN"/>
        </w:rPr>
        <w:fldChar w:fldCharType="separate"/>
      </w:r>
      <w:r>
        <w:rPr>
          <w:rFonts w:ascii="宋体" w:hAnsi="宋体"/>
          <w:bCs w:val="0"/>
          <w:i w:val="0"/>
          <w:iCs w:val="0"/>
          <w:highlight w:val="none"/>
        </w:rPr>
        <w:t>（</w:t>
      </w:r>
      <w:r>
        <w:rPr>
          <w:rFonts w:hint="eastAsia" w:ascii="宋体" w:hAnsi="宋体"/>
          <w:bCs w:val="0"/>
          <w:i w:val="0"/>
          <w:iCs w:val="0"/>
          <w:highlight w:val="none"/>
          <w:lang w:val="en-US" w:eastAsia="zh-CN"/>
        </w:rPr>
        <w:t>四</w:t>
      </w:r>
      <w:r>
        <w:rPr>
          <w:rFonts w:ascii="宋体" w:hAnsi="宋体"/>
          <w:bCs w:val="0"/>
          <w:i w:val="0"/>
          <w:iCs w:val="0"/>
          <w:highlight w:val="none"/>
        </w:rPr>
        <w:t>）</w:t>
      </w:r>
      <w:r>
        <w:rPr>
          <w:rFonts w:hint="eastAsia" w:ascii="宋体" w:hAnsi="宋体"/>
          <w:bCs w:val="0"/>
          <w:i w:val="0"/>
          <w:iCs w:val="0"/>
          <w:highlight w:val="none"/>
        </w:rPr>
        <w:t>法定代表人身份证明或授权委托书</w:t>
      </w:r>
      <w:r>
        <w:rPr>
          <w:i w:val="0"/>
          <w:iCs w:val="0"/>
        </w:rPr>
        <w:tab/>
      </w:r>
      <w:r>
        <w:rPr>
          <w:i w:val="0"/>
          <w:iCs w:val="0"/>
        </w:rPr>
        <w:fldChar w:fldCharType="begin"/>
      </w:r>
      <w:r>
        <w:rPr>
          <w:i w:val="0"/>
          <w:iCs w:val="0"/>
        </w:rPr>
        <w:instrText xml:space="preserve"> PAGEREF _Toc2203 \h </w:instrText>
      </w:r>
      <w:r>
        <w:rPr>
          <w:i w:val="0"/>
          <w:iCs w:val="0"/>
        </w:rPr>
        <w:fldChar w:fldCharType="separate"/>
      </w:r>
      <w:r>
        <w:rPr>
          <w:i w:val="0"/>
          <w:iCs w:val="0"/>
        </w:rPr>
        <w:t>188</w:t>
      </w:r>
      <w:r>
        <w:rPr>
          <w:i w:val="0"/>
          <w:iCs w:val="0"/>
        </w:rPr>
        <w:fldChar w:fldCharType="end"/>
      </w:r>
      <w:r>
        <w:rPr>
          <w:rFonts w:ascii="宋体" w:hAnsi="宋体"/>
          <w:bCs/>
          <w:i w:val="0"/>
          <w:iCs w:val="0"/>
          <w:szCs w:val="20"/>
          <w:highlight w:val="none"/>
          <w:lang w:val="zh-CN"/>
        </w:rPr>
        <w:fldChar w:fldCharType="end"/>
      </w:r>
    </w:p>
    <w:p w14:paraId="1DB77D24">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_Toc18306 </w:instrText>
      </w:r>
      <w:r>
        <w:rPr>
          <w:rFonts w:ascii="宋体" w:hAnsi="宋体"/>
          <w:bCs/>
          <w:i w:val="0"/>
          <w:iCs w:val="0"/>
          <w:szCs w:val="20"/>
          <w:highlight w:val="none"/>
          <w:lang w:val="zh-CN"/>
        </w:rPr>
        <w:fldChar w:fldCharType="separate"/>
      </w:r>
      <w:r>
        <w:rPr>
          <w:rFonts w:hint="eastAsia" w:ascii="宋体" w:hAnsi="宋体"/>
          <w:bCs w:val="0"/>
          <w:i w:val="0"/>
          <w:iCs w:val="0"/>
          <w:szCs w:val="44"/>
          <w:highlight w:val="none"/>
        </w:rPr>
        <w:t>二、</w:t>
      </w:r>
      <w:r>
        <w:rPr>
          <w:rFonts w:hint="eastAsia" w:ascii="宋体" w:hAnsi="宋体"/>
          <w:bCs w:val="0"/>
          <w:i w:val="0"/>
          <w:iCs w:val="0"/>
          <w:szCs w:val="44"/>
          <w:highlight w:val="none"/>
          <w:lang w:val="en-US" w:eastAsia="zh-CN"/>
        </w:rPr>
        <w:t>报价</w:t>
      </w:r>
      <w:r>
        <w:rPr>
          <w:rFonts w:hint="eastAsia" w:ascii="宋体" w:hAnsi="宋体"/>
          <w:bCs w:val="0"/>
          <w:i w:val="0"/>
          <w:iCs w:val="0"/>
          <w:szCs w:val="44"/>
          <w:highlight w:val="none"/>
        </w:rPr>
        <w:t>部分</w:t>
      </w:r>
      <w:r>
        <w:rPr>
          <w:i w:val="0"/>
          <w:iCs w:val="0"/>
        </w:rPr>
        <w:tab/>
      </w:r>
      <w:r>
        <w:rPr>
          <w:i w:val="0"/>
          <w:iCs w:val="0"/>
        </w:rPr>
        <w:fldChar w:fldCharType="begin"/>
      </w:r>
      <w:r>
        <w:rPr>
          <w:i w:val="0"/>
          <w:iCs w:val="0"/>
        </w:rPr>
        <w:instrText xml:space="preserve"> PAGEREF _Toc18306 \h </w:instrText>
      </w:r>
      <w:r>
        <w:rPr>
          <w:i w:val="0"/>
          <w:iCs w:val="0"/>
        </w:rPr>
        <w:fldChar w:fldCharType="separate"/>
      </w:r>
      <w:r>
        <w:rPr>
          <w:i w:val="0"/>
          <w:iCs w:val="0"/>
        </w:rPr>
        <w:t>190</w:t>
      </w:r>
      <w:r>
        <w:rPr>
          <w:i w:val="0"/>
          <w:iCs w:val="0"/>
        </w:rPr>
        <w:fldChar w:fldCharType="end"/>
      </w:r>
      <w:r>
        <w:rPr>
          <w:rFonts w:ascii="宋体" w:hAnsi="宋体"/>
          <w:bCs/>
          <w:i w:val="0"/>
          <w:iCs w:val="0"/>
          <w:szCs w:val="20"/>
          <w:highlight w:val="none"/>
          <w:lang w:val="zh-CN"/>
        </w:rPr>
        <w:fldChar w:fldCharType="end"/>
      </w:r>
    </w:p>
    <w:p w14:paraId="19096C45">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_Toc19002 </w:instrText>
      </w:r>
      <w:r>
        <w:rPr>
          <w:rFonts w:ascii="宋体" w:hAnsi="宋体"/>
          <w:bCs/>
          <w:i w:val="0"/>
          <w:iCs w:val="0"/>
          <w:szCs w:val="20"/>
          <w:highlight w:val="none"/>
          <w:lang w:val="zh-CN"/>
        </w:rPr>
        <w:fldChar w:fldCharType="separate"/>
      </w:r>
      <w:r>
        <w:rPr>
          <w:rFonts w:hint="eastAsia" w:ascii="宋体" w:hAnsi="宋体"/>
          <w:bCs w:val="0"/>
          <w:i w:val="0"/>
          <w:iCs w:val="0"/>
          <w:highlight w:val="none"/>
        </w:rPr>
        <w:t>（一）已标价工程量清单</w:t>
      </w:r>
      <w:r>
        <w:rPr>
          <w:i w:val="0"/>
          <w:iCs w:val="0"/>
        </w:rPr>
        <w:tab/>
      </w:r>
      <w:r>
        <w:rPr>
          <w:i w:val="0"/>
          <w:iCs w:val="0"/>
        </w:rPr>
        <w:fldChar w:fldCharType="begin"/>
      </w:r>
      <w:r>
        <w:rPr>
          <w:i w:val="0"/>
          <w:iCs w:val="0"/>
        </w:rPr>
        <w:instrText xml:space="preserve"> PAGEREF _Toc19002 \h </w:instrText>
      </w:r>
      <w:r>
        <w:rPr>
          <w:i w:val="0"/>
          <w:iCs w:val="0"/>
        </w:rPr>
        <w:fldChar w:fldCharType="separate"/>
      </w:r>
      <w:r>
        <w:rPr>
          <w:i w:val="0"/>
          <w:iCs w:val="0"/>
        </w:rPr>
        <w:t>193</w:t>
      </w:r>
      <w:r>
        <w:rPr>
          <w:i w:val="0"/>
          <w:iCs w:val="0"/>
        </w:rPr>
        <w:fldChar w:fldCharType="end"/>
      </w:r>
      <w:r>
        <w:rPr>
          <w:rFonts w:ascii="宋体" w:hAnsi="宋体"/>
          <w:bCs/>
          <w:i w:val="0"/>
          <w:iCs w:val="0"/>
          <w:szCs w:val="20"/>
          <w:highlight w:val="none"/>
          <w:lang w:val="zh-CN"/>
        </w:rPr>
        <w:fldChar w:fldCharType="end"/>
      </w:r>
    </w:p>
    <w:p w14:paraId="09E22953">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_Toc5944 </w:instrText>
      </w:r>
      <w:r>
        <w:rPr>
          <w:rFonts w:ascii="宋体" w:hAnsi="宋体"/>
          <w:bCs/>
          <w:i w:val="0"/>
          <w:iCs w:val="0"/>
          <w:szCs w:val="20"/>
          <w:highlight w:val="none"/>
          <w:lang w:val="zh-CN"/>
        </w:rPr>
        <w:fldChar w:fldCharType="separate"/>
      </w:r>
      <w:r>
        <w:rPr>
          <w:rFonts w:hint="eastAsia" w:ascii="宋体" w:hAnsi="宋体"/>
          <w:bCs w:val="0"/>
          <w:i w:val="0"/>
          <w:iCs w:val="0"/>
          <w:szCs w:val="44"/>
          <w:highlight w:val="none"/>
          <w:lang w:val="en-US" w:eastAsia="zh-CN"/>
        </w:rPr>
        <w:t>四</w:t>
      </w:r>
      <w:r>
        <w:rPr>
          <w:rFonts w:hint="eastAsia" w:ascii="宋体" w:hAnsi="宋体"/>
          <w:bCs w:val="0"/>
          <w:i w:val="0"/>
          <w:iCs w:val="0"/>
          <w:szCs w:val="44"/>
          <w:highlight w:val="none"/>
        </w:rPr>
        <w:t>、技术部分</w:t>
      </w:r>
      <w:r>
        <w:rPr>
          <w:i w:val="0"/>
          <w:iCs w:val="0"/>
        </w:rPr>
        <w:tab/>
      </w:r>
      <w:r>
        <w:rPr>
          <w:i w:val="0"/>
          <w:iCs w:val="0"/>
        </w:rPr>
        <w:fldChar w:fldCharType="begin"/>
      </w:r>
      <w:r>
        <w:rPr>
          <w:i w:val="0"/>
          <w:iCs w:val="0"/>
        </w:rPr>
        <w:instrText xml:space="preserve"> PAGEREF _Toc5944 \h </w:instrText>
      </w:r>
      <w:r>
        <w:rPr>
          <w:i w:val="0"/>
          <w:iCs w:val="0"/>
        </w:rPr>
        <w:fldChar w:fldCharType="separate"/>
      </w:r>
      <w:r>
        <w:rPr>
          <w:i w:val="0"/>
          <w:iCs w:val="0"/>
        </w:rPr>
        <w:t>194</w:t>
      </w:r>
      <w:r>
        <w:rPr>
          <w:i w:val="0"/>
          <w:iCs w:val="0"/>
        </w:rPr>
        <w:fldChar w:fldCharType="end"/>
      </w:r>
      <w:r>
        <w:rPr>
          <w:rFonts w:ascii="宋体" w:hAnsi="宋体"/>
          <w:bCs/>
          <w:i w:val="0"/>
          <w:iCs w:val="0"/>
          <w:szCs w:val="20"/>
          <w:highlight w:val="none"/>
          <w:lang w:val="zh-CN"/>
        </w:rPr>
        <w:fldChar w:fldCharType="end"/>
      </w:r>
    </w:p>
    <w:p w14:paraId="4BB15C2B">
      <w:pPr>
        <w:pStyle w:val="14"/>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_Toc13949 </w:instrText>
      </w:r>
      <w:r>
        <w:rPr>
          <w:rFonts w:ascii="宋体" w:hAnsi="宋体"/>
          <w:bCs/>
          <w:i w:val="0"/>
          <w:iCs w:val="0"/>
          <w:szCs w:val="20"/>
          <w:highlight w:val="none"/>
          <w:lang w:val="zh-CN"/>
        </w:rPr>
        <w:fldChar w:fldCharType="separate"/>
      </w:r>
      <w:r>
        <w:rPr>
          <w:rFonts w:hint="eastAsia" w:ascii="宋体" w:hAnsi="宋体"/>
          <w:bCs w:val="0"/>
          <w:i w:val="0"/>
          <w:iCs w:val="0"/>
          <w:szCs w:val="44"/>
          <w:highlight w:val="none"/>
          <w:lang w:val="en-US" w:eastAsia="zh-CN"/>
        </w:rPr>
        <w:t>五</w:t>
      </w:r>
      <w:r>
        <w:rPr>
          <w:rFonts w:hint="eastAsia" w:ascii="宋体" w:hAnsi="宋体"/>
          <w:bCs w:val="0"/>
          <w:i w:val="0"/>
          <w:iCs w:val="0"/>
          <w:szCs w:val="44"/>
          <w:highlight w:val="none"/>
        </w:rPr>
        <w:t>、资格审查部分</w:t>
      </w:r>
      <w:r>
        <w:rPr>
          <w:i w:val="0"/>
          <w:iCs w:val="0"/>
        </w:rPr>
        <w:tab/>
      </w:r>
      <w:r>
        <w:rPr>
          <w:i w:val="0"/>
          <w:iCs w:val="0"/>
        </w:rPr>
        <w:fldChar w:fldCharType="begin"/>
      </w:r>
      <w:r>
        <w:rPr>
          <w:i w:val="0"/>
          <w:iCs w:val="0"/>
        </w:rPr>
        <w:instrText xml:space="preserve"> PAGEREF _Toc13949 \h </w:instrText>
      </w:r>
      <w:r>
        <w:rPr>
          <w:i w:val="0"/>
          <w:iCs w:val="0"/>
        </w:rPr>
        <w:fldChar w:fldCharType="separate"/>
      </w:r>
      <w:r>
        <w:rPr>
          <w:i w:val="0"/>
          <w:iCs w:val="0"/>
        </w:rPr>
        <w:t>196</w:t>
      </w:r>
      <w:r>
        <w:rPr>
          <w:i w:val="0"/>
          <w:iCs w:val="0"/>
        </w:rPr>
        <w:fldChar w:fldCharType="end"/>
      </w:r>
      <w:r>
        <w:rPr>
          <w:rFonts w:ascii="宋体" w:hAnsi="宋体"/>
          <w:bCs/>
          <w:i w:val="0"/>
          <w:iCs w:val="0"/>
          <w:szCs w:val="20"/>
          <w:highlight w:val="none"/>
          <w:lang w:val="zh-CN"/>
        </w:rPr>
        <w:fldChar w:fldCharType="end"/>
      </w:r>
    </w:p>
    <w:p w14:paraId="17703460">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_Toc29922 </w:instrText>
      </w:r>
      <w:r>
        <w:rPr>
          <w:rFonts w:ascii="宋体" w:hAnsi="宋体"/>
          <w:bCs/>
          <w:i w:val="0"/>
          <w:iCs w:val="0"/>
          <w:szCs w:val="20"/>
          <w:highlight w:val="none"/>
          <w:lang w:val="zh-CN"/>
        </w:rPr>
        <w:fldChar w:fldCharType="separate"/>
      </w:r>
      <w:r>
        <w:rPr>
          <w:rFonts w:hint="eastAsia" w:ascii="宋体" w:hAnsi="宋体"/>
          <w:bCs w:val="0"/>
          <w:i w:val="0"/>
          <w:iCs w:val="0"/>
          <w:highlight w:val="none"/>
        </w:rPr>
        <w:t>（一）法定代表人身份证明或授权委托书</w:t>
      </w:r>
      <w:r>
        <w:rPr>
          <w:i w:val="0"/>
          <w:iCs w:val="0"/>
        </w:rPr>
        <w:tab/>
      </w:r>
      <w:r>
        <w:rPr>
          <w:i w:val="0"/>
          <w:iCs w:val="0"/>
        </w:rPr>
        <w:fldChar w:fldCharType="begin"/>
      </w:r>
      <w:r>
        <w:rPr>
          <w:i w:val="0"/>
          <w:iCs w:val="0"/>
        </w:rPr>
        <w:instrText xml:space="preserve"> PAGEREF _Toc29922 \h </w:instrText>
      </w:r>
      <w:r>
        <w:rPr>
          <w:i w:val="0"/>
          <w:iCs w:val="0"/>
        </w:rPr>
        <w:fldChar w:fldCharType="separate"/>
      </w:r>
      <w:r>
        <w:rPr>
          <w:i w:val="0"/>
          <w:iCs w:val="0"/>
        </w:rPr>
        <w:t>199</w:t>
      </w:r>
      <w:r>
        <w:rPr>
          <w:i w:val="0"/>
          <w:iCs w:val="0"/>
        </w:rPr>
        <w:fldChar w:fldCharType="end"/>
      </w:r>
      <w:r>
        <w:rPr>
          <w:rFonts w:ascii="宋体" w:hAnsi="宋体"/>
          <w:bCs/>
          <w:i w:val="0"/>
          <w:iCs w:val="0"/>
          <w:szCs w:val="20"/>
          <w:highlight w:val="none"/>
          <w:lang w:val="zh-CN"/>
        </w:rPr>
        <w:fldChar w:fldCharType="end"/>
      </w:r>
    </w:p>
    <w:p w14:paraId="53E6F5B1">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_Toc6216 </w:instrText>
      </w:r>
      <w:r>
        <w:rPr>
          <w:rFonts w:ascii="宋体" w:hAnsi="宋体"/>
          <w:bCs/>
          <w:i w:val="0"/>
          <w:iCs w:val="0"/>
          <w:szCs w:val="20"/>
          <w:highlight w:val="none"/>
          <w:lang w:val="zh-CN"/>
        </w:rPr>
        <w:fldChar w:fldCharType="separate"/>
      </w:r>
      <w:r>
        <w:rPr>
          <w:rFonts w:hint="eastAsia" w:ascii="宋体" w:hAnsi="宋体"/>
          <w:bCs w:val="0"/>
          <w:i w:val="0"/>
          <w:iCs w:val="0"/>
          <w:highlight w:val="none"/>
          <w:lang w:eastAsia="zh-CN"/>
        </w:rPr>
        <w:t>（</w:t>
      </w:r>
      <w:r>
        <w:rPr>
          <w:rFonts w:hint="eastAsia" w:ascii="宋体" w:hAnsi="宋体"/>
          <w:bCs w:val="0"/>
          <w:i w:val="0"/>
          <w:iCs w:val="0"/>
          <w:highlight w:val="none"/>
          <w:lang w:val="en-US" w:eastAsia="zh-CN"/>
        </w:rPr>
        <w:t>二</w:t>
      </w:r>
      <w:r>
        <w:rPr>
          <w:rFonts w:hint="eastAsia" w:ascii="宋体" w:hAnsi="宋体"/>
          <w:bCs w:val="0"/>
          <w:i w:val="0"/>
          <w:iCs w:val="0"/>
          <w:highlight w:val="none"/>
          <w:lang w:eastAsia="zh-CN"/>
        </w:rPr>
        <w:t>）</w:t>
      </w:r>
      <w:r>
        <w:rPr>
          <w:rFonts w:hint="eastAsia" w:ascii="宋体" w:hAnsi="宋体"/>
          <w:bCs w:val="0"/>
          <w:i w:val="0"/>
          <w:iCs w:val="0"/>
          <w:highlight w:val="none"/>
          <w:lang w:val="en-US" w:eastAsia="zh-CN"/>
        </w:rPr>
        <w:t>承诺</w:t>
      </w:r>
      <w:r>
        <w:rPr>
          <w:i w:val="0"/>
          <w:iCs w:val="0"/>
        </w:rPr>
        <w:tab/>
      </w:r>
      <w:r>
        <w:rPr>
          <w:i w:val="0"/>
          <w:iCs w:val="0"/>
        </w:rPr>
        <w:fldChar w:fldCharType="begin"/>
      </w:r>
      <w:r>
        <w:rPr>
          <w:i w:val="0"/>
          <w:iCs w:val="0"/>
        </w:rPr>
        <w:instrText xml:space="preserve"> PAGEREF _Toc6216 \h </w:instrText>
      </w:r>
      <w:r>
        <w:rPr>
          <w:i w:val="0"/>
          <w:iCs w:val="0"/>
        </w:rPr>
        <w:fldChar w:fldCharType="separate"/>
      </w:r>
      <w:r>
        <w:rPr>
          <w:i w:val="0"/>
          <w:iCs w:val="0"/>
        </w:rPr>
        <w:t>201</w:t>
      </w:r>
      <w:r>
        <w:rPr>
          <w:i w:val="0"/>
          <w:iCs w:val="0"/>
        </w:rPr>
        <w:fldChar w:fldCharType="end"/>
      </w:r>
      <w:r>
        <w:rPr>
          <w:rFonts w:ascii="宋体" w:hAnsi="宋体"/>
          <w:bCs/>
          <w:i w:val="0"/>
          <w:iCs w:val="0"/>
          <w:szCs w:val="20"/>
          <w:highlight w:val="none"/>
          <w:lang w:val="zh-CN"/>
        </w:rPr>
        <w:fldChar w:fldCharType="end"/>
      </w:r>
    </w:p>
    <w:p w14:paraId="57AB7E69">
      <w:pPr>
        <w:pStyle w:val="9"/>
        <w:tabs>
          <w:tab w:val="right" w:leader="dot" w:pos="9469"/>
        </w:tabs>
        <w:rPr>
          <w:i w:val="0"/>
          <w:iCs w:val="0"/>
        </w:rPr>
      </w:pPr>
      <w:r>
        <w:rPr>
          <w:rFonts w:ascii="宋体" w:hAnsi="宋体"/>
          <w:bCs/>
          <w:i w:val="0"/>
          <w:iCs w:val="0"/>
          <w:szCs w:val="20"/>
          <w:highlight w:val="none"/>
          <w:lang w:val="zh-CN"/>
        </w:rPr>
        <w:fldChar w:fldCharType="begin"/>
      </w:r>
      <w:r>
        <w:rPr>
          <w:rFonts w:ascii="宋体" w:hAnsi="宋体"/>
          <w:bCs/>
          <w:i w:val="0"/>
          <w:iCs w:val="0"/>
          <w:szCs w:val="20"/>
          <w:highlight w:val="none"/>
          <w:lang w:val="zh-CN"/>
        </w:rPr>
        <w:instrText xml:space="preserve"> HYPERLINK \l _Toc14530 </w:instrText>
      </w:r>
      <w:r>
        <w:rPr>
          <w:rFonts w:ascii="宋体" w:hAnsi="宋体"/>
          <w:bCs/>
          <w:i w:val="0"/>
          <w:iCs w:val="0"/>
          <w:szCs w:val="20"/>
          <w:highlight w:val="none"/>
          <w:lang w:val="zh-CN"/>
        </w:rPr>
        <w:fldChar w:fldCharType="separate"/>
      </w:r>
      <w:r>
        <w:rPr>
          <w:rFonts w:hint="eastAsia" w:ascii="宋体" w:hAnsi="宋体"/>
          <w:i w:val="0"/>
          <w:iCs w:val="0"/>
          <w:highlight w:val="none"/>
        </w:rPr>
        <w:t>（</w:t>
      </w:r>
      <w:r>
        <w:rPr>
          <w:rFonts w:hint="eastAsia" w:ascii="宋体" w:hAnsi="宋体"/>
          <w:i w:val="0"/>
          <w:iCs w:val="0"/>
          <w:highlight w:val="none"/>
          <w:lang w:val="en-US" w:eastAsia="zh-CN"/>
        </w:rPr>
        <w:t>三</w:t>
      </w:r>
      <w:r>
        <w:rPr>
          <w:rFonts w:hint="eastAsia" w:ascii="宋体" w:hAnsi="宋体"/>
          <w:i w:val="0"/>
          <w:iCs w:val="0"/>
          <w:highlight w:val="none"/>
        </w:rPr>
        <w:t>）其他资料</w:t>
      </w:r>
      <w:r>
        <w:rPr>
          <w:i w:val="0"/>
          <w:iCs w:val="0"/>
        </w:rPr>
        <w:tab/>
      </w:r>
      <w:r>
        <w:rPr>
          <w:i w:val="0"/>
          <w:iCs w:val="0"/>
        </w:rPr>
        <w:fldChar w:fldCharType="begin"/>
      </w:r>
      <w:r>
        <w:rPr>
          <w:i w:val="0"/>
          <w:iCs w:val="0"/>
        </w:rPr>
        <w:instrText xml:space="preserve"> PAGEREF _Toc14530 \h </w:instrText>
      </w:r>
      <w:r>
        <w:rPr>
          <w:i w:val="0"/>
          <w:iCs w:val="0"/>
        </w:rPr>
        <w:fldChar w:fldCharType="separate"/>
      </w:r>
      <w:r>
        <w:rPr>
          <w:i w:val="0"/>
          <w:iCs w:val="0"/>
        </w:rPr>
        <w:t>203</w:t>
      </w:r>
      <w:r>
        <w:rPr>
          <w:i w:val="0"/>
          <w:iCs w:val="0"/>
        </w:rPr>
        <w:fldChar w:fldCharType="end"/>
      </w:r>
      <w:r>
        <w:rPr>
          <w:rFonts w:ascii="宋体" w:hAnsi="宋体"/>
          <w:bCs/>
          <w:i w:val="0"/>
          <w:iCs w:val="0"/>
          <w:szCs w:val="20"/>
          <w:highlight w:val="none"/>
          <w:lang w:val="zh-CN"/>
        </w:rPr>
        <w:fldChar w:fldCharType="end"/>
      </w:r>
    </w:p>
    <w:p w14:paraId="7711C6D9">
      <w:pPr>
        <w:pStyle w:val="9"/>
        <w:tabs>
          <w:tab w:val="right" w:leader="dot" w:pos="9469"/>
        </w:tabs>
        <w:ind w:left="0" w:leftChars="0" w:firstLine="0" w:firstLineChars="0"/>
        <w:rPr>
          <w:rFonts w:ascii="宋体" w:hAnsi="宋体"/>
          <w:i w:val="0"/>
          <w:iCs w:val="0"/>
          <w:highlight w:val="none"/>
        </w:rPr>
        <w:sectPr>
          <w:footerReference r:id="rId5" w:type="default"/>
          <w:pgSz w:w="11907" w:h="16840"/>
          <w:pgMar w:top="1304" w:right="1134" w:bottom="1304" w:left="1304" w:header="851" w:footer="992" w:gutter="0"/>
          <w:pgNumType w:fmt="numberInDash" w:start="1"/>
          <w:cols w:space="720" w:num="1"/>
          <w:docGrid w:linePitch="312" w:charSpace="0"/>
        </w:sectPr>
      </w:pPr>
      <w:r>
        <w:rPr>
          <w:rFonts w:ascii="宋体" w:hAnsi="宋体"/>
          <w:bCs/>
          <w:i w:val="0"/>
          <w:iCs w:val="0"/>
          <w:szCs w:val="20"/>
          <w:highlight w:val="none"/>
          <w:lang w:val="zh-CN"/>
        </w:rPr>
        <w:fldChar w:fldCharType="end"/>
      </w:r>
      <w:bookmarkEnd w:id="0"/>
      <w:bookmarkStart w:id="2" w:name="_Toc430530414"/>
      <w:bookmarkEnd w:id="2"/>
    </w:p>
    <w:p w14:paraId="559C4031">
      <w:pPr>
        <w:spacing w:line="360" w:lineRule="auto"/>
        <w:rPr>
          <w:rFonts w:ascii="宋体" w:hAnsi="宋体"/>
          <w:highlight w:val="none"/>
        </w:rPr>
      </w:pPr>
    </w:p>
    <w:p w14:paraId="06A5C3CF">
      <w:pPr>
        <w:pStyle w:val="3"/>
        <w:spacing w:before="0" w:after="0" w:line="480" w:lineRule="auto"/>
        <w:jc w:val="center"/>
        <w:rPr>
          <w:rFonts w:ascii="宋体" w:hAnsi="宋体"/>
          <w:sz w:val="52"/>
          <w:szCs w:val="52"/>
          <w:highlight w:val="none"/>
        </w:rPr>
      </w:pPr>
      <w:bookmarkStart w:id="3" w:name="_Toc22439"/>
      <w:bookmarkStart w:id="4" w:name="_Toc509218690"/>
      <w:bookmarkStart w:id="5" w:name="_Toc15277"/>
      <w:r>
        <w:rPr>
          <w:rFonts w:hint="eastAsia" w:ascii="宋体" w:hAnsi="宋体"/>
          <w:sz w:val="52"/>
          <w:szCs w:val="52"/>
          <w:highlight w:val="none"/>
        </w:rPr>
        <w:t>第 一 卷</w:t>
      </w:r>
      <w:bookmarkEnd w:id="3"/>
      <w:bookmarkEnd w:id="4"/>
      <w:bookmarkEnd w:id="5"/>
    </w:p>
    <w:p w14:paraId="2906223C">
      <w:pPr>
        <w:spacing w:line="200" w:lineRule="exact"/>
        <w:rPr>
          <w:rFonts w:ascii="宋体" w:hAnsi="宋体"/>
          <w:highlight w:val="none"/>
        </w:rPr>
      </w:pPr>
      <w:r>
        <w:rPr>
          <w:rFonts w:ascii="宋体" w:hAnsi="宋体"/>
          <w:highlight w:val="none"/>
        </w:rPr>
        <w:br w:type="page"/>
      </w:r>
    </w:p>
    <w:p w14:paraId="4BC8C54D">
      <w:pPr>
        <w:pStyle w:val="3"/>
        <w:spacing w:line="360" w:lineRule="auto"/>
        <w:jc w:val="center"/>
        <w:rPr>
          <w:rFonts w:hint="eastAsia" w:ascii="宋体" w:hAnsi="宋体" w:eastAsia="宋体"/>
          <w:snapToGrid w:val="0"/>
          <w:kern w:val="0"/>
          <w:highlight w:val="none"/>
          <w:lang w:eastAsia="zh-CN"/>
        </w:rPr>
      </w:pPr>
      <w:bookmarkStart w:id="6" w:name="_Toc287607727"/>
      <w:bookmarkStart w:id="7" w:name="_Toc277082535"/>
      <w:bookmarkStart w:id="8" w:name="_Toc509218691"/>
      <w:bookmarkStart w:id="9" w:name="_Toc224103298"/>
      <w:bookmarkStart w:id="10" w:name="_Toc287620666"/>
      <w:bookmarkStart w:id="11" w:name="_Toc10054"/>
      <w:bookmarkStart w:id="12" w:name="_Toc430530415"/>
      <w:bookmarkStart w:id="13" w:name="_Toc6898"/>
      <w:r>
        <w:rPr>
          <w:rFonts w:ascii="宋体" w:hAnsi="宋体"/>
          <w:snapToGrid w:val="0"/>
          <w:kern w:val="0"/>
          <w:highlight w:val="none"/>
        </w:rPr>
        <w:t xml:space="preserve">第一章  </w:t>
      </w:r>
      <w:bookmarkEnd w:id="6"/>
      <w:bookmarkEnd w:id="7"/>
      <w:bookmarkEnd w:id="8"/>
      <w:bookmarkEnd w:id="9"/>
      <w:bookmarkEnd w:id="10"/>
      <w:bookmarkEnd w:id="11"/>
      <w:bookmarkEnd w:id="12"/>
      <w:r>
        <w:rPr>
          <w:rFonts w:hint="eastAsia" w:ascii="宋体" w:hAnsi="宋体"/>
          <w:snapToGrid w:val="0"/>
          <w:kern w:val="0"/>
          <w:highlight w:val="none"/>
          <w:lang w:eastAsia="zh-CN"/>
        </w:rPr>
        <w:t>竞争性比选公告</w:t>
      </w:r>
      <w:bookmarkEnd w:id="13"/>
    </w:p>
    <w:p w14:paraId="5E970CE2">
      <w:pPr>
        <w:autoSpaceDE w:val="0"/>
        <w:autoSpaceDN w:val="0"/>
        <w:adjustRightInd w:val="0"/>
        <w:snapToGrid w:val="0"/>
        <w:spacing w:line="360" w:lineRule="auto"/>
        <w:jc w:val="center"/>
        <w:rPr>
          <w:rFonts w:hint="eastAsia" w:ascii="宋体" w:hAnsi="宋体"/>
          <w:snapToGrid w:val="0"/>
          <w:kern w:val="0"/>
          <w:sz w:val="28"/>
          <w:szCs w:val="28"/>
          <w:highlight w:val="none"/>
          <w:u w:val="single"/>
          <w:lang w:eastAsia="zh-CN"/>
        </w:rPr>
      </w:pPr>
      <w:r>
        <w:rPr>
          <w:rFonts w:ascii="宋体" w:hAnsi="宋体"/>
          <w:snapToGrid w:val="0"/>
          <w:kern w:val="0"/>
          <w:sz w:val="28"/>
          <w:szCs w:val="28"/>
          <w:highlight w:val="none"/>
          <w:u w:val="single"/>
        </w:rPr>
        <w:t xml:space="preserve"> </w:t>
      </w:r>
      <w:r>
        <w:rPr>
          <w:rFonts w:hint="eastAsia" w:ascii="宋体" w:hAnsi="宋体"/>
          <w:snapToGrid w:val="0"/>
          <w:kern w:val="0"/>
          <w:sz w:val="28"/>
          <w:szCs w:val="28"/>
          <w:highlight w:val="none"/>
          <w:u w:val="single"/>
          <w:lang w:eastAsia="zh-CN"/>
        </w:rPr>
        <w:t>南岸区2025年供水管网更新改造工程（帷幄大厦应急整治工程）</w:t>
      </w:r>
    </w:p>
    <w:p w14:paraId="2B1C4990">
      <w:pPr>
        <w:autoSpaceDE w:val="0"/>
        <w:autoSpaceDN w:val="0"/>
        <w:adjustRightInd w:val="0"/>
        <w:snapToGrid w:val="0"/>
        <w:spacing w:line="360" w:lineRule="auto"/>
        <w:jc w:val="center"/>
        <w:rPr>
          <w:rFonts w:hint="eastAsia" w:ascii="宋体" w:hAnsi="宋体" w:eastAsia="宋体"/>
          <w:snapToGrid w:val="0"/>
          <w:kern w:val="0"/>
          <w:sz w:val="28"/>
          <w:szCs w:val="28"/>
          <w:highlight w:val="none"/>
          <w:lang w:eastAsia="zh-CN"/>
        </w:rPr>
      </w:pPr>
      <w:r>
        <w:rPr>
          <w:rFonts w:hint="eastAsia" w:ascii="宋体" w:hAnsi="宋体"/>
          <w:snapToGrid w:val="0"/>
          <w:w w:val="99"/>
          <w:kern w:val="0"/>
          <w:sz w:val="28"/>
          <w:szCs w:val="28"/>
          <w:highlight w:val="none"/>
          <w:lang w:eastAsia="zh-CN"/>
        </w:rPr>
        <w:t>竞争性比选公告</w:t>
      </w:r>
    </w:p>
    <w:p w14:paraId="4F295615">
      <w:pPr>
        <w:pStyle w:val="4"/>
        <w:spacing w:before="0" w:after="0" w:line="360" w:lineRule="auto"/>
        <w:rPr>
          <w:rFonts w:ascii="宋体" w:hAnsi="宋体"/>
          <w:snapToGrid w:val="0"/>
          <w:sz w:val="28"/>
          <w:szCs w:val="28"/>
          <w:highlight w:val="none"/>
        </w:rPr>
      </w:pPr>
      <w:bookmarkStart w:id="14" w:name="_Toc430530416"/>
      <w:bookmarkStart w:id="15" w:name="_Toc200359427"/>
      <w:bookmarkStart w:id="16" w:name="_Toc224103299"/>
      <w:bookmarkStart w:id="17" w:name="_Toc24274"/>
      <w:bookmarkStart w:id="18" w:name="_Toc509218692"/>
      <w:bookmarkStart w:id="19" w:name="_Toc287620667"/>
      <w:bookmarkStart w:id="20" w:name="_Toc277082536"/>
      <w:bookmarkStart w:id="21" w:name="_Toc287607728"/>
      <w:bookmarkStart w:id="22" w:name="_Toc19772"/>
      <w:bookmarkStart w:id="23" w:name="_Toc200359238"/>
      <w:r>
        <w:rPr>
          <w:rFonts w:ascii="宋体" w:hAnsi="宋体"/>
          <w:snapToGrid w:val="0"/>
          <w:sz w:val="28"/>
          <w:szCs w:val="28"/>
          <w:highlight w:val="none"/>
        </w:rPr>
        <w:t xml:space="preserve">1. </w:t>
      </w:r>
      <w:r>
        <w:rPr>
          <w:rFonts w:hint="eastAsia" w:ascii="宋体" w:hAnsi="宋体"/>
          <w:snapToGrid w:val="0"/>
          <w:sz w:val="28"/>
          <w:szCs w:val="28"/>
          <w:highlight w:val="none"/>
        </w:rPr>
        <w:t xml:space="preserve"> </w:t>
      </w:r>
      <w:r>
        <w:rPr>
          <w:rFonts w:ascii="宋体" w:hAnsi="宋体"/>
          <w:snapToGrid w:val="0"/>
          <w:sz w:val="28"/>
          <w:szCs w:val="28"/>
          <w:highlight w:val="none"/>
        </w:rPr>
        <w:t>招标条件</w:t>
      </w:r>
      <w:bookmarkEnd w:id="14"/>
      <w:bookmarkEnd w:id="15"/>
      <w:bookmarkEnd w:id="16"/>
      <w:bookmarkEnd w:id="17"/>
      <w:bookmarkEnd w:id="18"/>
      <w:bookmarkEnd w:id="19"/>
      <w:bookmarkEnd w:id="20"/>
      <w:bookmarkEnd w:id="21"/>
      <w:bookmarkEnd w:id="22"/>
      <w:bookmarkEnd w:id="23"/>
    </w:p>
    <w:p w14:paraId="0F46A061">
      <w:pPr>
        <w:tabs>
          <w:tab w:val="left" w:pos="3315"/>
          <w:tab w:val="left" w:pos="3390"/>
          <w:tab w:val="left" w:pos="6120"/>
          <w:tab w:val="left" w:pos="8850"/>
        </w:tabs>
        <w:autoSpaceDE w:val="0"/>
        <w:autoSpaceDN w:val="0"/>
        <w:adjustRightInd w:val="0"/>
        <w:snapToGrid w:val="0"/>
        <w:spacing w:line="360" w:lineRule="auto"/>
        <w:ind w:firstLine="420"/>
        <w:jc w:val="left"/>
        <w:rPr>
          <w:rFonts w:hint="default" w:ascii="宋体" w:hAnsi="宋体" w:eastAsia="宋体"/>
          <w:snapToGrid w:val="0"/>
          <w:kern w:val="0"/>
          <w:szCs w:val="21"/>
          <w:highlight w:val="none"/>
          <w:lang w:val="en-US" w:eastAsia="zh-CN"/>
        </w:rPr>
      </w:pPr>
      <w:r>
        <w:rPr>
          <w:rFonts w:ascii="宋体" w:hAnsi="宋体"/>
          <w:snapToGrid w:val="0"/>
          <w:kern w:val="0"/>
          <w:szCs w:val="21"/>
          <w:highlight w:val="none"/>
        </w:rPr>
        <w:t>本招标项目</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eastAsia="zh-CN"/>
        </w:rPr>
        <w:t>南岸区2025年供水管网更新改造工程</w:t>
      </w:r>
      <w:r>
        <w:rPr>
          <w:rFonts w:hint="eastAsia" w:ascii="宋体" w:hAnsi="宋体"/>
          <w:snapToGrid w:val="0"/>
          <w:kern w:val="0"/>
          <w:szCs w:val="21"/>
          <w:highlight w:val="none"/>
          <w:u w:val="single"/>
          <w:lang w:val="en-US" w:eastAsia="zh-CN"/>
        </w:rPr>
        <w:t xml:space="preserve"> </w:t>
      </w:r>
      <w:r>
        <w:rPr>
          <w:rFonts w:ascii="宋体" w:hAnsi="宋体"/>
          <w:snapToGrid w:val="0"/>
          <w:kern w:val="0"/>
          <w:szCs w:val="21"/>
          <w:highlight w:val="none"/>
        </w:rPr>
        <w:t>已批准建设，项目业主为</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重庆市江南城市建设发展(集团)有限公司</w:t>
      </w:r>
      <w:r>
        <w:rPr>
          <w:rFonts w:ascii="宋体" w:hAnsi="宋体"/>
          <w:snapToGrid w:val="0"/>
          <w:kern w:val="0"/>
          <w:szCs w:val="21"/>
          <w:highlight w:val="none"/>
        </w:rPr>
        <w:t>，建设资金来自</w:t>
      </w:r>
      <w:r>
        <w:rPr>
          <w:rFonts w:hint="eastAsia" w:ascii="宋体" w:hAnsi="宋体"/>
          <w:snapToGrid w:val="0"/>
          <w:kern w:val="0"/>
          <w:szCs w:val="21"/>
          <w:highlight w:val="none"/>
          <w:u w:val="single"/>
        </w:rPr>
        <w:t xml:space="preserve"> 财政资金</w:t>
      </w:r>
      <w:r>
        <w:rPr>
          <w:rFonts w:hint="eastAsia" w:ascii="宋体" w:hAnsi="宋体"/>
          <w:snapToGrid w:val="0"/>
          <w:kern w:val="0"/>
          <w:szCs w:val="21"/>
          <w:highlight w:val="none"/>
          <w:u w:val="single"/>
          <w:lang w:val="en-US" w:eastAsia="zh-CN"/>
        </w:rPr>
        <w:t xml:space="preserve"> </w:t>
      </w:r>
      <w:r>
        <w:rPr>
          <w:rFonts w:ascii="宋体" w:hAnsi="宋体"/>
          <w:snapToGrid w:val="0"/>
          <w:kern w:val="0"/>
          <w:szCs w:val="21"/>
          <w:highlight w:val="none"/>
        </w:rPr>
        <w:t>，项目出资比例为</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100%</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w:t>
      </w:r>
      <w:r>
        <w:rPr>
          <w:rFonts w:hint="eastAsia" w:ascii="宋体" w:hAnsi="宋体"/>
          <w:snapToGrid w:val="0"/>
          <w:kern w:val="0"/>
          <w:szCs w:val="21"/>
          <w:highlight w:val="none"/>
          <w:lang w:val="en-US" w:eastAsia="zh-CN"/>
        </w:rPr>
        <w:t>比选人</w:t>
      </w:r>
      <w:r>
        <w:rPr>
          <w:rFonts w:hint="eastAsia" w:ascii="宋体" w:hAnsi="宋体"/>
          <w:snapToGrid w:val="0"/>
          <w:kern w:val="0"/>
          <w:szCs w:val="21"/>
          <w:highlight w:val="none"/>
        </w:rPr>
        <w:t>为</w:t>
      </w:r>
      <w:r>
        <w:rPr>
          <w:rFonts w:hint="eastAsia" w:ascii="宋体" w:hAnsi="宋体"/>
          <w:snapToGrid w:val="0"/>
          <w:kern w:val="0"/>
          <w:szCs w:val="21"/>
          <w:highlight w:val="none"/>
          <w:u w:val="single"/>
          <w:lang w:val="en-US" w:eastAsia="zh-CN"/>
        </w:rPr>
        <w:t xml:space="preserve"> </w:t>
      </w:r>
      <w:r>
        <w:rPr>
          <w:rFonts w:hint="eastAsia" w:ascii="宋体" w:hAnsi="宋体"/>
          <w:snapToGrid w:val="0"/>
          <w:kern w:val="0"/>
          <w:szCs w:val="21"/>
          <w:highlight w:val="none"/>
          <w:u w:val="single"/>
          <w:lang w:eastAsia="zh-CN"/>
        </w:rPr>
        <w:t>重庆市江南城市建设发展(集团)有限公司</w:t>
      </w:r>
      <w:r>
        <w:rPr>
          <w:rFonts w:ascii="宋体" w:hAnsi="宋体"/>
          <w:snapToGrid w:val="0"/>
          <w:kern w:val="0"/>
          <w:position w:val="-2"/>
          <w:szCs w:val="21"/>
          <w:highlight w:val="none"/>
        </w:rPr>
        <w:t>。项目已具备招标条件，现对</w:t>
      </w:r>
      <w:r>
        <w:rPr>
          <w:rFonts w:hint="eastAsia" w:ascii="宋体" w:hAnsi="宋体"/>
          <w:snapToGrid w:val="0"/>
          <w:kern w:val="0"/>
          <w:position w:val="-2"/>
          <w:szCs w:val="21"/>
          <w:highlight w:val="none"/>
          <w:u w:val="single"/>
        </w:rPr>
        <w:t>该项目的施工</w:t>
      </w:r>
      <w:r>
        <w:rPr>
          <w:rFonts w:ascii="宋体" w:hAnsi="宋体"/>
          <w:snapToGrid w:val="0"/>
          <w:kern w:val="0"/>
          <w:position w:val="-2"/>
          <w:szCs w:val="21"/>
          <w:highlight w:val="none"/>
        </w:rPr>
        <w:t>进行公开招标</w:t>
      </w:r>
      <w:r>
        <w:rPr>
          <w:rFonts w:hint="eastAsia" w:ascii="宋体" w:hAnsi="宋体"/>
          <w:snapToGrid w:val="0"/>
          <w:kern w:val="0"/>
          <w:position w:val="-2"/>
          <w:szCs w:val="21"/>
          <w:highlight w:val="none"/>
          <w:lang w:eastAsia="zh-CN"/>
        </w:rPr>
        <w:t>，</w:t>
      </w:r>
      <w:r>
        <w:rPr>
          <w:rFonts w:hint="eastAsia" w:ascii="宋体" w:hAnsi="宋体"/>
          <w:snapToGrid w:val="0"/>
          <w:kern w:val="0"/>
          <w:position w:val="-2"/>
          <w:szCs w:val="21"/>
          <w:highlight w:val="none"/>
          <w:lang w:val="en-US" w:eastAsia="zh-CN"/>
        </w:rPr>
        <w:t>评标办法采用</w:t>
      </w:r>
      <w:r>
        <w:rPr>
          <w:rFonts w:hint="eastAsia" w:ascii="宋体" w:hAnsi="宋体"/>
          <w:snapToGrid w:val="0"/>
          <w:kern w:val="0"/>
          <w:position w:val="-2"/>
          <w:szCs w:val="21"/>
          <w:highlight w:val="none"/>
        </w:rPr>
        <w:t>综合评估法</w:t>
      </w:r>
      <w:r>
        <w:rPr>
          <w:rFonts w:hint="eastAsia" w:ascii="宋体" w:hAnsi="宋体"/>
          <w:snapToGrid w:val="0"/>
          <w:kern w:val="0"/>
          <w:position w:val="-2"/>
          <w:szCs w:val="21"/>
          <w:highlight w:val="none"/>
          <w:lang w:eastAsia="zh-CN"/>
        </w:rPr>
        <w:t>。</w:t>
      </w:r>
    </w:p>
    <w:p w14:paraId="79212367">
      <w:pPr>
        <w:pStyle w:val="4"/>
        <w:spacing w:before="0" w:after="0" w:line="360" w:lineRule="auto"/>
        <w:rPr>
          <w:rFonts w:ascii="宋体" w:hAnsi="宋体"/>
          <w:snapToGrid w:val="0"/>
          <w:sz w:val="28"/>
          <w:szCs w:val="28"/>
          <w:highlight w:val="none"/>
        </w:rPr>
      </w:pPr>
      <w:bookmarkStart w:id="24" w:name="_Toc287620668"/>
      <w:bookmarkStart w:id="25" w:name="_Toc3815"/>
      <w:bookmarkStart w:id="26" w:name="_Toc8532"/>
      <w:bookmarkStart w:id="27" w:name="_Toc430530417"/>
      <w:bookmarkStart w:id="28" w:name="_Toc224103300"/>
      <w:bookmarkStart w:id="29" w:name="_Toc200359239"/>
      <w:bookmarkStart w:id="30" w:name="_Toc277082537"/>
      <w:bookmarkStart w:id="31" w:name="_Toc200359428"/>
      <w:bookmarkStart w:id="32" w:name="_Toc509218693"/>
      <w:bookmarkStart w:id="33" w:name="_Toc287607729"/>
      <w:r>
        <w:rPr>
          <w:rFonts w:ascii="宋体" w:hAnsi="宋体"/>
          <w:snapToGrid w:val="0"/>
          <w:sz w:val="28"/>
          <w:szCs w:val="28"/>
          <w:highlight w:val="none"/>
        </w:rPr>
        <w:t>2.</w:t>
      </w:r>
      <w:r>
        <w:rPr>
          <w:rFonts w:hint="eastAsia" w:ascii="宋体" w:hAnsi="宋体"/>
          <w:snapToGrid w:val="0"/>
          <w:sz w:val="28"/>
          <w:szCs w:val="28"/>
          <w:highlight w:val="none"/>
        </w:rPr>
        <w:t xml:space="preserve"> </w:t>
      </w:r>
      <w:r>
        <w:rPr>
          <w:rFonts w:ascii="宋体" w:hAnsi="宋体"/>
          <w:snapToGrid w:val="0"/>
          <w:sz w:val="28"/>
          <w:szCs w:val="28"/>
          <w:highlight w:val="none"/>
        </w:rPr>
        <w:t xml:space="preserve"> 项目概况与招标范围</w:t>
      </w:r>
      <w:bookmarkEnd w:id="24"/>
      <w:bookmarkEnd w:id="25"/>
      <w:bookmarkEnd w:id="26"/>
      <w:bookmarkEnd w:id="27"/>
      <w:bookmarkEnd w:id="28"/>
      <w:bookmarkEnd w:id="29"/>
      <w:bookmarkEnd w:id="30"/>
      <w:bookmarkEnd w:id="31"/>
      <w:bookmarkEnd w:id="32"/>
      <w:bookmarkEnd w:id="33"/>
    </w:p>
    <w:p w14:paraId="357B70AF">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u w:val="single"/>
        </w:rPr>
      </w:pPr>
      <w:r>
        <w:rPr>
          <w:rFonts w:hint="eastAsia" w:ascii="宋体" w:hAnsi="宋体"/>
          <w:snapToGrid w:val="0"/>
          <w:kern w:val="0"/>
          <w:szCs w:val="21"/>
          <w:highlight w:val="none"/>
        </w:rPr>
        <w:t>2.1 建设地点：</w:t>
      </w:r>
      <w:r>
        <w:rPr>
          <w:rFonts w:hint="eastAsia" w:ascii="宋体" w:hAnsi="宋体"/>
          <w:snapToGrid w:val="0"/>
          <w:kern w:val="0"/>
          <w:szCs w:val="21"/>
          <w:highlight w:val="none"/>
          <w:u w:val="single"/>
        </w:rPr>
        <w:t xml:space="preserve"> </w:t>
      </w:r>
      <w:r>
        <w:rPr>
          <w:rFonts w:hint="eastAsia" w:ascii="宋体" w:hAnsi="宋体"/>
          <w:snapToGrid w:val="0"/>
          <w:color w:val="auto"/>
          <w:kern w:val="0"/>
          <w:szCs w:val="21"/>
          <w:highlight w:val="none"/>
          <w:u w:val="single"/>
          <w:lang w:val="en-US" w:eastAsia="zh-CN"/>
        </w:rPr>
        <w:t>重庆市南岸区南坪东路15号</w:t>
      </w:r>
      <w:r>
        <w:rPr>
          <w:rFonts w:hint="eastAsia" w:ascii="宋体" w:hAnsi="宋体"/>
          <w:snapToGrid w:val="0"/>
          <w:kern w:val="0"/>
          <w:szCs w:val="21"/>
          <w:highlight w:val="none"/>
          <w:u w:val="single"/>
          <w:lang w:val="en-US" w:eastAsia="zh-CN"/>
        </w:rPr>
        <w:t>。</w:t>
      </w:r>
      <w:r>
        <w:rPr>
          <w:rFonts w:hint="eastAsia" w:ascii="宋体" w:hAnsi="宋体"/>
          <w:snapToGrid w:val="0"/>
          <w:kern w:val="0"/>
          <w:szCs w:val="21"/>
          <w:highlight w:val="none"/>
          <w:u w:val="single"/>
        </w:rPr>
        <w:t xml:space="preserve"> </w:t>
      </w:r>
    </w:p>
    <w:p w14:paraId="56EB73EE">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rPr>
      </w:pPr>
      <w:r>
        <w:rPr>
          <w:rFonts w:hint="eastAsia" w:ascii="宋体" w:hAnsi="宋体"/>
          <w:snapToGrid w:val="0"/>
          <w:kern w:val="0"/>
          <w:szCs w:val="21"/>
          <w:highlight w:val="none"/>
        </w:rPr>
        <w:t>2.2 项目概况与建设规模：</w:t>
      </w:r>
      <w:r>
        <w:rPr>
          <w:rFonts w:hint="eastAsia" w:ascii="宋体" w:hAnsi="宋体"/>
          <w:snapToGrid w:val="0"/>
          <w:kern w:val="0"/>
          <w:szCs w:val="21"/>
          <w:highlight w:val="none"/>
          <w:u w:val="single"/>
          <w:lang w:val="en-US" w:eastAsia="zh-CN"/>
        </w:rPr>
        <w:t>本次改造含建筑1栋，为商住混合楼，现状供水分区：1-5层为直供，6-20层为二供。每层楼6户，直供周户为30户，二次供水总户数为：90户。包含庭院、立管及表后管道、水泵及用户水表改造安装。</w:t>
      </w:r>
    </w:p>
    <w:p w14:paraId="664FB3C5">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u w:val="single"/>
        </w:rPr>
      </w:pPr>
      <w:r>
        <w:rPr>
          <w:rFonts w:hint="eastAsia" w:ascii="宋体" w:hAnsi="宋体"/>
          <w:snapToGrid w:val="0"/>
          <w:kern w:val="0"/>
          <w:szCs w:val="21"/>
          <w:highlight w:val="none"/>
        </w:rPr>
        <w:t>2.3 本次招标项目合同金额：</w:t>
      </w:r>
      <w:r>
        <w:rPr>
          <w:rFonts w:hint="eastAsia" w:ascii="宋体" w:hAnsi="宋体"/>
          <w:snapToGrid w:val="0"/>
          <w:kern w:val="0"/>
          <w:szCs w:val="21"/>
          <w:highlight w:val="none"/>
          <w:u w:val="single"/>
          <w:lang w:val="en-US" w:eastAsia="zh-CN"/>
        </w:rPr>
        <w:t>465124.97</w:t>
      </w:r>
      <w:r>
        <w:rPr>
          <w:rFonts w:hint="eastAsia" w:ascii="宋体" w:hAnsi="宋体"/>
          <w:snapToGrid w:val="0"/>
          <w:kern w:val="0"/>
          <w:szCs w:val="21"/>
          <w:highlight w:val="none"/>
          <w:u w:val="single"/>
          <w:lang w:val="en-US" w:eastAsia="zh-CN"/>
        </w:rPr>
        <w:t>元</w:t>
      </w:r>
      <w:r>
        <w:rPr>
          <w:rFonts w:hint="eastAsia" w:ascii="宋体" w:hAnsi="宋体"/>
          <w:snapToGrid w:val="0"/>
          <w:kern w:val="0"/>
          <w:szCs w:val="21"/>
          <w:highlight w:val="none"/>
          <w:u w:val="single"/>
        </w:rPr>
        <w:t xml:space="preserve">  </w:t>
      </w:r>
    </w:p>
    <w:p w14:paraId="60F29CA1">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u w:val="single"/>
        </w:rPr>
      </w:pPr>
      <w:r>
        <w:rPr>
          <w:rFonts w:hint="eastAsia" w:ascii="宋体" w:hAnsi="宋体"/>
          <w:snapToGrid w:val="0"/>
          <w:kern w:val="0"/>
          <w:szCs w:val="21"/>
          <w:highlight w:val="none"/>
        </w:rPr>
        <w:t>2.4 招标范围：</w:t>
      </w:r>
      <w:r>
        <w:rPr>
          <w:rFonts w:hint="eastAsia" w:ascii="宋体" w:hAnsi="宋体"/>
          <w:snapToGrid w:val="0"/>
          <w:kern w:val="0"/>
          <w:szCs w:val="21"/>
          <w:highlight w:val="none"/>
          <w:u w:val="single"/>
        </w:rPr>
        <w:t xml:space="preserve">具体范围详见施工图及工程量清单，若施工图及工程量清单不一致时，以工程量清单为准。  </w:t>
      </w:r>
    </w:p>
    <w:p w14:paraId="0980F0DC">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u w:val="single"/>
        </w:rPr>
      </w:pPr>
      <w:r>
        <w:rPr>
          <w:rFonts w:hint="eastAsia" w:ascii="宋体" w:hAnsi="宋体"/>
          <w:snapToGrid w:val="0"/>
          <w:kern w:val="0"/>
          <w:szCs w:val="21"/>
          <w:highlight w:val="none"/>
        </w:rPr>
        <w:t>2.5 工期要求：</w:t>
      </w:r>
      <w:r>
        <w:rPr>
          <w:rFonts w:hint="eastAsia" w:ascii="宋体" w:hAnsi="宋体"/>
          <w:snapToGrid w:val="0"/>
          <w:kern w:val="0"/>
          <w:szCs w:val="21"/>
          <w:highlight w:val="none"/>
          <w:u w:val="single"/>
          <w:lang w:val="en-US" w:eastAsia="zh-CN"/>
        </w:rPr>
        <w:t>90</w:t>
      </w:r>
      <w:r>
        <w:rPr>
          <w:rFonts w:hint="eastAsia" w:ascii="宋体" w:hAnsi="宋体"/>
          <w:snapToGrid w:val="0"/>
          <w:kern w:val="0"/>
          <w:szCs w:val="21"/>
          <w:highlight w:val="none"/>
          <w:u w:val="single"/>
        </w:rPr>
        <w:t>日历天</w:t>
      </w:r>
      <w:bookmarkStart w:id="2296" w:name="_GoBack"/>
      <w:bookmarkEnd w:id="2296"/>
    </w:p>
    <w:p w14:paraId="779460D7">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rPr>
      </w:pPr>
      <w:r>
        <w:rPr>
          <w:rFonts w:hint="eastAsia" w:ascii="宋体" w:hAnsi="宋体"/>
          <w:snapToGrid w:val="0"/>
          <w:kern w:val="0"/>
          <w:szCs w:val="21"/>
          <w:highlight w:val="none"/>
        </w:rPr>
        <w:t xml:space="preserve">    缺陷责任期要求：</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24</w:t>
      </w:r>
      <w:r>
        <w:rPr>
          <w:rFonts w:hint="eastAsia" w:ascii="宋体" w:hAnsi="宋体"/>
          <w:snapToGrid w:val="0"/>
          <w:kern w:val="0"/>
          <w:szCs w:val="21"/>
          <w:highlight w:val="none"/>
          <w:u w:val="single"/>
        </w:rPr>
        <w:t xml:space="preserve"> 个月</w:t>
      </w:r>
    </w:p>
    <w:p w14:paraId="37B8EA12">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rPr>
      </w:pPr>
      <w:r>
        <w:rPr>
          <w:rFonts w:hint="eastAsia" w:ascii="宋体" w:hAnsi="宋体"/>
          <w:snapToGrid w:val="0"/>
          <w:kern w:val="0"/>
          <w:szCs w:val="21"/>
          <w:highlight w:val="none"/>
        </w:rPr>
        <w:t>2.6 标段划分（如有）：</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w:t>
      </w:r>
      <w:r>
        <w:rPr>
          <w:rFonts w:hint="eastAsia" w:ascii="宋体" w:hAnsi="宋体"/>
          <w:snapToGrid w:val="0"/>
          <w:kern w:val="0"/>
          <w:szCs w:val="21"/>
          <w:highlight w:val="none"/>
          <w:u w:val="single"/>
        </w:rPr>
        <w:t xml:space="preserve">   </w:t>
      </w:r>
    </w:p>
    <w:p w14:paraId="3FFDF270">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rPr>
      </w:pPr>
      <w:r>
        <w:rPr>
          <w:rFonts w:hint="eastAsia" w:ascii="宋体" w:hAnsi="宋体"/>
          <w:snapToGrid w:val="0"/>
          <w:kern w:val="0"/>
          <w:szCs w:val="21"/>
          <w:highlight w:val="none"/>
          <w:lang w:val="en-US" w:eastAsia="zh-CN"/>
        </w:rPr>
        <w:t>2.</w:t>
      </w:r>
      <w:r>
        <w:rPr>
          <w:rFonts w:hint="default" w:ascii="宋体" w:hAnsi="宋体"/>
          <w:snapToGrid w:val="0"/>
          <w:kern w:val="0"/>
          <w:szCs w:val="21"/>
          <w:highlight w:val="none"/>
          <w:lang w:val="en-US"/>
        </w:rPr>
        <w:t>7</w:t>
      </w:r>
      <w:r>
        <w:rPr>
          <w:rFonts w:hint="eastAsia" w:ascii="宋体" w:hAnsi="宋体"/>
          <w:snapToGrid w:val="0"/>
          <w:kern w:val="0"/>
          <w:szCs w:val="21"/>
          <w:highlight w:val="none"/>
        </w:rPr>
        <w:t xml:space="preserve"> 其他：</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w:t>
      </w:r>
      <w:r>
        <w:rPr>
          <w:rFonts w:hint="eastAsia" w:ascii="宋体" w:hAnsi="宋体"/>
          <w:snapToGrid w:val="0"/>
          <w:kern w:val="0"/>
          <w:szCs w:val="21"/>
          <w:highlight w:val="none"/>
          <w:u w:val="single"/>
        </w:rPr>
        <w:t xml:space="preserve">   </w:t>
      </w:r>
    </w:p>
    <w:p w14:paraId="4DA2D359">
      <w:pPr>
        <w:pStyle w:val="4"/>
        <w:spacing w:before="0" w:after="0" w:line="360" w:lineRule="auto"/>
        <w:rPr>
          <w:rFonts w:hint="default" w:ascii="宋体" w:hAnsi="宋体" w:eastAsia="宋体"/>
          <w:snapToGrid w:val="0"/>
          <w:sz w:val="28"/>
          <w:szCs w:val="28"/>
          <w:highlight w:val="none"/>
          <w:lang w:val="en-US" w:eastAsia="zh-CN"/>
        </w:rPr>
      </w:pPr>
      <w:bookmarkStart w:id="34" w:name="_Toc12841"/>
      <w:r>
        <w:rPr>
          <w:rFonts w:hint="eastAsia" w:ascii="宋体" w:hAnsi="宋体"/>
          <w:snapToGrid w:val="0"/>
          <w:sz w:val="28"/>
          <w:szCs w:val="28"/>
          <w:highlight w:val="none"/>
          <w:lang w:val="en-US" w:eastAsia="zh-CN"/>
        </w:rPr>
        <w:t>3</w:t>
      </w:r>
      <w:r>
        <w:rPr>
          <w:rFonts w:ascii="宋体" w:hAnsi="宋体"/>
          <w:snapToGrid w:val="0"/>
          <w:sz w:val="28"/>
          <w:szCs w:val="28"/>
          <w:highlight w:val="none"/>
        </w:rPr>
        <w:t xml:space="preserve">. </w:t>
      </w:r>
      <w:r>
        <w:rPr>
          <w:rFonts w:hint="eastAsia" w:ascii="宋体" w:hAnsi="宋体"/>
          <w:snapToGrid w:val="0"/>
          <w:sz w:val="28"/>
          <w:szCs w:val="28"/>
          <w:highlight w:val="none"/>
        </w:rPr>
        <w:t xml:space="preserve"> </w:t>
      </w:r>
      <w:r>
        <w:rPr>
          <w:rFonts w:hint="eastAsia" w:ascii="宋体" w:hAnsi="宋体"/>
          <w:snapToGrid w:val="0"/>
          <w:sz w:val="28"/>
          <w:szCs w:val="28"/>
          <w:highlight w:val="none"/>
          <w:lang w:val="en-US" w:eastAsia="zh-CN"/>
        </w:rPr>
        <w:t>政府采购工程</w:t>
      </w:r>
      <w:bookmarkEnd w:id="34"/>
    </w:p>
    <w:p w14:paraId="2D7931BE">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default" w:ascii="宋体" w:hAnsi="宋体"/>
          <w:snapToGrid w:val="0"/>
          <w:kern w:val="0"/>
          <w:szCs w:val="21"/>
          <w:highlight w:val="none"/>
          <w:lang w:val="en-US" w:eastAsia="zh-CN"/>
        </w:rPr>
      </w:pPr>
      <w:bookmarkStart w:id="35" w:name="_Toc200359429"/>
      <w:bookmarkStart w:id="36" w:name="_Toc430530418"/>
      <w:bookmarkStart w:id="37" w:name="_Toc21962"/>
      <w:bookmarkStart w:id="38" w:name="_Toc287620669"/>
      <w:bookmarkStart w:id="39" w:name="_Toc287607730"/>
      <w:bookmarkStart w:id="40" w:name="_Toc224103301"/>
      <w:bookmarkStart w:id="41" w:name="_Toc200359240"/>
      <w:bookmarkStart w:id="42" w:name="_Toc509218694"/>
      <w:bookmarkStart w:id="43" w:name="_Toc277082538"/>
      <w:r>
        <w:rPr>
          <w:rFonts w:hint="eastAsia" w:ascii="宋体" w:hAnsi="宋体"/>
          <w:snapToGrid w:val="0"/>
          <w:kern w:val="0"/>
          <w:szCs w:val="21"/>
          <w:highlight w:val="none"/>
          <w:lang w:val="en-US" w:eastAsia="zh-CN"/>
        </w:rPr>
        <w:t xml:space="preserve">3.1 </w:t>
      </w:r>
      <w:r>
        <w:rPr>
          <w:rFonts w:hint="eastAsia" w:ascii="宋体" w:hAnsi="宋体"/>
          <w:snapToGrid w:val="0"/>
          <w:kern w:val="0"/>
          <w:szCs w:val="21"/>
          <w:highlight w:val="none"/>
        </w:rPr>
        <w:t>是否属于政府采购工程</w:t>
      </w:r>
      <w:r>
        <w:rPr>
          <w:rFonts w:hint="eastAsia" w:ascii="宋体" w:hAnsi="宋体"/>
          <w:snapToGrid w:val="0"/>
          <w:kern w:val="0"/>
          <w:szCs w:val="21"/>
          <w:highlight w:val="none"/>
          <w:lang w:eastAsia="zh-CN"/>
        </w:rPr>
        <w:t>：</w:t>
      </w:r>
      <w:r>
        <w:rPr>
          <w:rFonts w:hint="eastAsia" w:ascii="宋体" w:hAnsi="宋体"/>
          <w:snapToGrid w:val="0"/>
          <w:kern w:val="0"/>
          <w:szCs w:val="21"/>
          <w:highlight w:val="none"/>
        </w:rPr>
        <w:t>否</w:t>
      </w:r>
    </w:p>
    <w:p w14:paraId="649F4F69">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strike w:val="0"/>
          <w:dstrike w:val="0"/>
          <w:snapToGrid w:val="0"/>
          <w:color w:val="auto"/>
          <w:kern w:val="0"/>
          <w:szCs w:val="21"/>
          <w:highlight w:val="none"/>
          <w:lang w:eastAsia="zh-CN"/>
        </w:rPr>
      </w:pPr>
      <w:r>
        <w:rPr>
          <w:rFonts w:hint="eastAsia" w:ascii="宋体" w:hAnsi="宋体"/>
          <w:strike w:val="0"/>
          <w:dstrike w:val="0"/>
          <w:snapToGrid w:val="0"/>
          <w:color w:val="auto"/>
          <w:kern w:val="0"/>
          <w:szCs w:val="21"/>
          <w:highlight w:val="none"/>
          <w:lang w:val="en-US" w:eastAsia="zh-CN"/>
        </w:rPr>
        <w:t xml:space="preserve">3.2 </w:t>
      </w:r>
      <w:r>
        <w:rPr>
          <w:rFonts w:hint="eastAsia" w:ascii="宋体" w:hAnsi="宋体"/>
          <w:strike w:val="0"/>
          <w:dstrike w:val="0"/>
          <w:snapToGrid w:val="0"/>
          <w:color w:val="auto"/>
          <w:kern w:val="0"/>
          <w:szCs w:val="21"/>
          <w:highlight w:val="none"/>
        </w:rPr>
        <w:t>是否专门面向中小企业预留：</w:t>
      </w:r>
      <w:r>
        <w:rPr>
          <w:rFonts w:hint="eastAsia" w:ascii="宋体" w:hAnsi="宋体"/>
          <w:strike w:val="0"/>
          <w:dstrike w:val="0"/>
          <w:snapToGrid w:val="0"/>
          <w:color w:val="auto"/>
          <w:kern w:val="0"/>
          <w:szCs w:val="21"/>
          <w:highlight w:val="none"/>
          <w:u w:val="single"/>
        </w:rPr>
        <w:t>否</w:t>
      </w:r>
      <w:r>
        <w:rPr>
          <w:rFonts w:hint="eastAsia" w:ascii="宋体" w:hAnsi="宋体"/>
          <w:strike w:val="0"/>
          <w:dstrike w:val="0"/>
          <w:snapToGrid w:val="0"/>
          <w:color w:val="auto"/>
          <w:kern w:val="0"/>
          <w:szCs w:val="21"/>
          <w:highlight w:val="none"/>
          <w:u w:val="single"/>
          <w:lang w:eastAsia="zh-CN"/>
        </w:rPr>
        <w:t>，</w:t>
      </w:r>
      <w:r>
        <w:rPr>
          <w:rFonts w:hint="eastAsia" w:ascii="宋体" w:hAnsi="宋体"/>
          <w:strike w:val="0"/>
          <w:dstrike w:val="0"/>
          <w:snapToGrid w:val="0"/>
          <w:color w:val="auto"/>
          <w:kern w:val="0"/>
          <w:szCs w:val="21"/>
          <w:highlight w:val="none"/>
          <w:u w:val="single"/>
        </w:rPr>
        <w:t>本项目</w:t>
      </w:r>
      <w:r>
        <w:rPr>
          <w:rFonts w:hint="eastAsia" w:ascii="宋体" w:hAnsi="宋体"/>
          <w:strike w:val="0"/>
          <w:dstrike w:val="0"/>
          <w:snapToGrid w:val="0"/>
          <w:color w:val="auto"/>
          <w:kern w:val="0"/>
          <w:szCs w:val="21"/>
          <w:highlight w:val="none"/>
          <w:u w:val="single"/>
          <w:lang w:eastAsia="zh-CN"/>
        </w:rPr>
        <w:t>比选人</w:t>
      </w:r>
      <w:r>
        <w:rPr>
          <w:rFonts w:hint="eastAsia" w:ascii="宋体" w:hAnsi="宋体"/>
          <w:strike w:val="0"/>
          <w:dstrike w:val="0"/>
          <w:snapToGrid w:val="0"/>
          <w:color w:val="auto"/>
          <w:kern w:val="0"/>
          <w:szCs w:val="21"/>
          <w:highlight w:val="none"/>
          <w:u w:val="single"/>
        </w:rPr>
        <w:t>不属于国家机关、事业单位和团体组织</w:t>
      </w:r>
      <w:r>
        <w:rPr>
          <w:rFonts w:hint="eastAsia" w:ascii="宋体" w:hAnsi="宋体"/>
          <w:strike w:val="0"/>
          <w:dstrike w:val="0"/>
          <w:snapToGrid w:val="0"/>
          <w:color w:val="auto"/>
          <w:kern w:val="0"/>
          <w:szCs w:val="21"/>
          <w:highlight w:val="none"/>
        </w:rPr>
        <w:t>。</w:t>
      </w:r>
    </w:p>
    <w:p w14:paraId="438C096A">
      <w:pPr>
        <w:pStyle w:val="4"/>
        <w:spacing w:before="0" w:after="0" w:line="360" w:lineRule="auto"/>
        <w:rPr>
          <w:rFonts w:ascii="宋体" w:hAnsi="宋体"/>
          <w:snapToGrid w:val="0"/>
          <w:sz w:val="28"/>
          <w:szCs w:val="28"/>
          <w:highlight w:val="none"/>
        </w:rPr>
      </w:pPr>
      <w:bookmarkStart w:id="44" w:name="_Toc27465"/>
      <w:r>
        <w:rPr>
          <w:rFonts w:hint="eastAsia" w:ascii="宋体" w:hAnsi="宋体"/>
          <w:snapToGrid w:val="0"/>
          <w:sz w:val="28"/>
          <w:szCs w:val="28"/>
          <w:highlight w:val="none"/>
          <w:lang w:val="en-US" w:eastAsia="zh-CN"/>
        </w:rPr>
        <w:t>4</w:t>
      </w:r>
      <w:r>
        <w:rPr>
          <w:rFonts w:ascii="宋体" w:hAnsi="宋体"/>
          <w:snapToGrid w:val="0"/>
          <w:sz w:val="28"/>
          <w:szCs w:val="28"/>
          <w:highlight w:val="none"/>
        </w:rPr>
        <w:t xml:space="preserve">. </w:t>
      </w:r>
      <w:r>
        <w:rPr>
          <w:rFonts w:hint="eastAsia" w:ascii="宋体" w:hAnsi="宋体"/>
          <w:snapToGrid w:val="0"/>
          <w:sz w:val="28"/>
          <w:szCs w:val="28"/>
          <w:highlight w:val="none"/>
        </w:rPr>
        <w:t xml:space="preserve"> </w:t>
      </w:r>
      <w:r>
        <w:rPr>
          <w:rFonts w:hint="eastAsia" w:ascii="宋体" w:hAnsi="宋体"/>
          <w:snapToGrid w:val="0"/>
          <w:sz w:val="28"/>
          <w:szCs w:val="28"/>
          <w:highlight w:val="none"/>
          <w:lang w:eastAsia="zh-CN"/>
        </w:rPr>
        <w:t>比选申请人</w:t>
      </w:r>
      <w:r>
        <w:rPr>
          <w:rFonts w:ascii="宋体" w:hAnsi="宋体"/>
          <w:snapToGrid w:val="0"/>
          <w:sz w:val="28"/>
          <w:szCs w:val="28"/>
          <w:highlight w:val="none"/>
        </w:rPr>
        <w:t>资格要求</w:t>
      </w:r>
      <w:bookmarkEnd w:id="35"/>
      <w:bookmarkEnd w:id="36"/>
      <w:bookmarkEnd w:id="37"/>
      <w:bookmarkEnd w:id="38"/>
      <w:bookmarkEnd w:id="39"/>
      <w:bookmarkEnd w:id="40"/>
      <w:bookmarkEnd w:id="41"/>
      <w:bookmarkEnd w:id="42"/>
      <w:bookmarkEnd w:id="43"/>
      <w:bookmarkEnd w:id="44"/>
    </w:p>
    <w:p w14:paraId="2C4578BF">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rPr>
      </w:pPr>
      <w:r>
        <w:rPr>
          <w:rFonts w:hint="eastAsia" w:ascii="宋体" w:hAnsi="宋体"/>
          <w:snapToGrid w:val="0"/>
          <w:kern w:val="0"/>
          <w:szCs w:val="21"/>
          <w:highlight w:val="none"/>
          <w:lang w:val="en-US" w:eastAsia="zh-CN"/>
        </w:rPr>
        <w:t>4</w:t>
      </w:r>
      <w:r>
        <w:rPr>
          <w:rFonts w:ascii="宋体" w:hAnsi="宋体"/>
          <w:snapToGrid w:val="0"/>
          <w:kern w:val="0"/>
          <w:szCs w:val="21"/>
          <w:highlight w:val="none"/>
        </w:rPr>
        <w:t>.1  本次招标要求</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须具备</w:t>
      </w:r>
      <w:r>
        <w:rPr>
          <w:rFonts w:hint="eastAsia" w:ascii="宋体" w:hAnsi="宋体"/>
          <w:snapToGrid w:val="0"/>
          <w:kern w:val="0"/>
          <w:szCs w:val="21"/>
          <w:highlight w:val="none"/>
        </w:rPr>
        <w:t>以下条件：</w:t>
      </w:r>
    </w:p>
    <w:p w14:paraId="432ECC76">
      <w:pPr>
        <w:tabs>
          <w:tab w:val="left" w:pos="3840"/>
          <w:tab w:val="left" w:pos="5300"/>
        </w:tabs>
        <w:autoSpaceDE w:val="0"/>
        <w:autoSpaceDN w:val="0"/>
        <w:adjustRightInd w:val="0"/>
        <w:snapToGrid w:val="0"/>
        <w:spacing w:line="360" w:lineRule="auto"/>
        <w:ind w:firstLine="420" w:firstLineChars="200"/>
        <w:jc w:val="left"/>
        <w:rPr>
          <w:rFonts w:ascii="宋体" w:hAnsi="宋体"/>
          <w:snapToGrid w:val="0"/>
          <w:kern w:val="0"/>
          <w:szCs w:val="21"/>
          <w:highlight w:val="none"/>
        </w:rPr>
      </w:pPr>
      <w:r>
        <w:rPr>
          <w:rFonts w:hint="eastAsia" w:ascii="宋体" w:hAnsi="宋体"/>
          <w:snapToGrid w:val="0"/>
          <w:kern w:val="0"/>
          <w:szCs w:val="21"/>
          <w:highlight w:val="none"/>
          <w:lang w:val="en-US" w:eastAsia="zh-CN"/>
        </w:rPr>
        <w:t>4</w:t>
      </w:r>
      <w:r>
        <w:rPr>
          <w:rFonts w:hint="eastAsia" w:ascii="宋体" w:hAnsi="宋体"/>
          <w:snapToGrid w:val="0"/>
          <w:kern w:val="0"/>
          <w:szCs w:val="21"/>
          <w:highlight w:val="none"/>
        </w:rPr>
        <w:t>.1.1 本次招标要求</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具备的资质条件：</w:t>
      </w:r>
      <w:r>
        <w:rPr>
          <w:rFonts w:hint="eastAsia" w:ascii="宋体" w:hAnsi="宋体"/>
          <w:snapToGrid w:val="0"/>
          <w:kern w:val="0"/>
          <w:szCs w:val="21"/>
          <w:highlight w:val="none"/>
          <w:u w:val="single"/>
        </w:rPr>
        <w:t xml:space="preserve"> 具备建设行政主管部门颁发的</w:t>
      </w:r>
      <w:r>
        <w:rPr>
          <w:rFonts w:hint="eastAsia" w:ascii="宋体" w:hAnsi="宋体"/>
          <w:snapToGrid w:val="0"/>
          <w:kern w:val="0"/>
          <w:szCs w:val="21"/>
          <w:highlight w:val="none"/>
          <w:u w:val="single"/>
          <w:lang w:val="en-US" w:eastAsia="zh-CN"/>
        </w:rPr>
        <w:t>市政公用</w:t>
      </w:r>
      <w:r>
        <w:rPr>
          <w:rFonts w:hint="eastAsia" w:ascii="宋体" w:hAnsi="宋体"/>
          <w:snapToGrid w:val="0"/>
          <w:kern w:val="0"/>
          <w:szCs w:val="21"/>
          <w:highlight w:val="none"/>
          <w:u w:val="single"/>
        </w:rPr>
        <w:t xml:space="preserve">工程施工总承包三级及以上资质 </w:t>
      </w:r>
      <w:r>
        <w:rPr>
          <w:rFonts w:hint="eastAsia" w:ascii="宋体" w:hAnsi="宋体"/>
          <w:snapToGrid w:val="0"/>
          <w:kern w:val="0"/>
          <w:szCs w:val="21"/>
          <w:highlight w:val="none"/>
        </w:rPr>
        <w:t>；</w:t>
      </w:r>
    </w:p>
    <w:p w14:paraId="43275194">
      <w:pPr>
        <w:tabs>
          <w:tab w:val="left" w:pos="3840"/>
          <w:tab w:val="left" w:pos="5300"/>
        </w:tabs>
        <w:autoSpaceDE w:val="0"/>
        <w:autoSpaceDN w:val="0"/>
        <w:adjustRightInd w:val="0"/>
        <w:snapToGrid w:val="0"/>
        <w:spacing w:line="360" w:lineRule="auto"/>
        <w:ind w:firstLine="420" w:firstLineChars="200"/>
        <w:jc w:val="left"/>
        <w:rPr>
          <w:rFonts w:ascii="宋体" w:hAnsi="宋体"/>
          <w:szCs w:val="21"/>
          <w:highlight w:val="none"/>
        </w:rPr>
      </w:pPr>
      <w:r>
        <w:rPr>
          <w:rFonts w:hint="eastAsia" w:ascii="宋体" w:hAnsi="宋体"/>
          <w:snapToGrid w:val="0"/>
          <w:kern w:val="0"/>
          <w:szCs w:val="21"/>
          <w:highlight w:val="none"/>
          <w:lang w:val="en-US" w:eastAsia="zh-CN"/>
        </w:rPr>
        <w:t>4</w:t>
      </w:r>
      <w:r>
        <w:rPr>
          <w:rFonts w:hint="eastAsia" w:ascii="宋体" w:hAnsi="宋体"/>
          <w:snapToGrid w:val="0"/>
          <w:kern w:val="0"/>
          <w:szCs w:val="21"/>
          <w:highlight w:val="none"/>
        </w:rPr>
        <w:t>.1.</w:t>
      </w:r>
      <w:r>
        <w:rPr>
          <w:rFonts w:hint="eastAsia" w:ascii="宋体" w:hAnsi="宋体"/>
          <w:snapToGrid w:val="0"/>
          <w:kern w:val="0"/>
          <w:szCs w:val="21"/>
          <w:highlight w:val="none"/>
          <w:lang w:val="en-US" w:eastAsia="zh-CN"/>
        </w:rPr>
        <w:t>2</w:t>
      </w:r>
      <w:r>
        <w:rPr>
          <w:rFonts w:hint="eastAsia" w:ascii="宋体" w:hAnsi="宋体"/>
          <w:snapToGrid w:val="0"/>
          <w:kern w:val="0"/>
          <w:szCs w:val="21"/>
          <w:highlight w:val="none"/>
        </w:rPr>
        <w:t xml:space="preserve"> </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还应在人员、</w:t>
      </w:r>
      <w:r>
        <w:rPr>
          <w:rFonts w:hint="eastAsia" w:ascii="宋体" w:hAnsi="宋体"/>
          <w:snapToGrid w:val="0"/>
          <w:kern w:val="0"/>
          <w:szCs w:val="21"/>
          <w:highlight w:val="none"/>
          <w:lang w:val="en-US" w:eastAsia="zh-CN"/>
        </w:rPr>
        <w:t>业绩、</w:t>
      </w:r>
      <w:r>
        <w:rPr>
          <w:rFonts w:hint="eastAsia" w:ascii="宋体" w:hAnsi="宋体"/>
          <w:snapToGrid w:val="0"/>
          <w:kern w:val="0"/>
          <w:szCs w:val="21"/>
          <w:highlight w:val="none"/>
        </w:rPr>
        <w:t>设备、资金等方面具有相应的施工能力，详见</w:t>
      </w:r>
      <w:r>
        <w:rPr>
          <w:rFonts w:hint="eastAsia" w:ascii="宋体" w:hAnsi="宋体"/>
          <w:snapToGrid w:val="0"/>
          <w:kern w:val="0"/>
          <w:szCs w:val="21"/>
          <w:highlight w:val="none"/>
          <w:lang w:eastAsia="zh-CN"/>
        </w:rPr>
        <w:t>竞争性比选文件</w:t>
      </w:r>
      <w:r>
        <w:rPr>
          <w:rFonts w:hint="eastAsia" w:ascii="宋体" w:hAnsi="宋体"/>
          <w:snapToGrid w:val="0"/>
          <w:kern w:val="0"/>
          <w:szCs w:val="21"/>
          <w:highlight w:val="none"/>
        </w:rPr>
        <w:t>第二章</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须知前附表第1.4.1项内容。</w:t>
      </w:r>
    </w:p>
    <w:p w14:paraId="5385DF19">
      <w:pPr>
        <w:tabs>
          <w:tab w:val="left" w:pos="3045"/>
          <w:tab w:val="left" w:pos="8310"/>
        </w:tabs>
        <w:autoSpaceDE w:val="0"/>
        <w:autoSpaceDN w:val="0"/>
        <w:adjustRightInd w:val="0"/>
        <w:snapToGrid w:val="0"/>
        <w:spacing w:line="360" w:lineRule="auto"/>
        <w:ind w:firstLine="420" w:firstLineChars="200"/>
        <w:rPr>
          <w:rFonts w:ascii="宋体" w:hAnsi="宋体"/>
          <w:snapToGrid w:val="0"/>
          <w:kern w:val="0"/>
          <w:szCs w:val="21"/>
          <w:highlight w:val="none"/>
        </w:rPr>
      </w:pPr>
      <w:r>
        <w:rPr>
          <w:rFonts w:hint="eastAsia" w:ascii="宋体" w:hAnsi="宋体"/>
          <w:snapToGrid w:val="0"/>
          <w:kern w:val="0"/>
          <w:szCs w:val="21"/>
          <w:highlight w:val="none"/>
          <w:lang w:val="en-US" w:eastAsia="zh-CN"/>
        </w:rPr>
        <w:t>4</w:t>
      </w:r>
      <w:r>
        <w:rPr>
          <w:rFonts w:ascii="宋体" w:hAnsi="宋体"/>
          <w:snapToGrid w:val="0"/>
          <w:kern w:val="0"/>
          <w:szCs w:val="21"/>
          <w:highlight w:val="none"/>
        </w:rPr>
        <w:t>.2  本次招标</w:t>
      </w:r>
      <w:r>
        <w:rPr>
          <w:rFonts w:hint="eastAsia" w:ascii="宋体" w:hAnsi="宋体"/>
          <w:snapToGrid w:val="0"/>
          <w:kern w:val="0"/>
          <w:szCs w:val="21"/>
          <w:highlight w:val="none"/>
        </w:rPr>
        <w:t>不接受</w:t>
      </w:r>
      <w:r>
        <w:rPr>
          <w:rFonts w:ascii="宋体" w:hAnsi="宋体"/>
          <w:snapToGrid w:val="0"/>
          <w:kern w:val="0"/>
          <w:szCs w:val="21"/>
          <w:highlight w:val="none"/>
        </w:rPr>
        <w:t>联合体投标。</w:t>
      </w:r>
    </w:p>
    <w:p w14:paraId="7869F664">
      <w:pPr>
        <w:pStyle w:val="4"/>
        <w:spacing w:before="0" w:after="0" w:line="360" w:lineRule="auto"/>
        <w:rPr>
          <w:rFonts w:ascii="宋体" w:hAnsi="宋体"/>
          <w:snapToGrid w:val="0"/>
          <w:sz w:val="28"/>
          <w:szCs w:val="28"/>
          <w:highlight w:val="none"/>
        </w:rPr>
      </w:pPr>
      <w:bookmarkStart w:id="45" w:name="_Toc224103302"/>
      <w:bookmarkStart w:id="46" w:name="_Toc24104"/>
      <w:bookmarkStart w:id="47" w:name="_Toc200359430"/>
      <w:bookmarkStart w:id="48" w:name="_Toc277082539"/>
      <w:bookmarkStart w:id="49" w:name="_Toc287607731"/>
      <w:bookmarkStart w:id="50" w:name="_Toc430530419"/>
      <w:bookmarkStart w:id="51" w:name="_Toc1061"/>
      <w:bookmarkStart w:id="52" w:name="_Toc287620670"/>
      <w:bookmarkStart w:id="53" w:name="_Toc509218695"/>
      <w:bookmarkStart w:id="54" w:name="_Toc200359241"/>
      <w:r>
        <w:rPr>
          <w:rFonts w:hint="eastAsia" w:ascii="宋体" w:hAnsi="宋体"/>
          <w:snapToGrid w:val="0"/>
          <w:sz w:val="28"/>
          <w:szCs w:val="28"/>
          <w:highlight w:val="none"/>
          <w:lang w:val="en-US" w:eastAsia="zh-CN"/>
        </w:rPr>
        <w:t>5</w:t>
      </w:r>
      <w:r>
        <w:rPr>
          <w:rFonts w:ascii="宋体" w:hAnsi="宋体"/>
          <w:snapToGrid w:val="0"/>
          <w:sz w:val="28"/>
          <w:szCs w:val="28"/>
          <w:highlight w:val="none"/>
        </w:rPr>
        <w:t xml:space="preserve">. </w:t>
      </w:r>
      <w:r>
        <w:rPr>
          <w:rFonts w:hint="eastAsia" w:ascii="宋体" w:hAnsi="宋体"/>
          <w:snapToGrid w:val="0"/>
          <w:sz w:val="28"/>
          <w:szCs w:val="28"/>
          <w:highlight w:val="none"/>
        </w:rPr>
        <w:t xml:space="preserve"> </w:t>
      </w:r>
      <w:r>
        <w:rPr>
          <w:rFonts w:hint="eastAsia" w:ascii="宋体" w:hAnsi="宋体"/>
          <w:snapToGrid w:val="0"/>
          <w:sz w:val="28"/>
          <w:szCs w:val="28"/>
          <w:highlight w:val="none"/>
          <w:lang w:eastAsia="zh-CN"/>
        </w:rPr>
        <w:t>竞争性比选文件</w:t>
      </w:r>
      <w:r>
        <w:rPr>
          <w:rFonts w:ascii="宋体" w:hAnsi="宋体"/>
          <w:snapToGrid w:val="0"/>
          <w:sz w:val="28"/>
          <w:szCs w:val="28"/>
          <w:highlight w:val="none"/>
        </w:rPr>
        <w:t>的获取</w:t>
      </w:r>
      <w:bookmarkEnd w:id="45"/>
      <w:bookmarkEnd w:id="46"/>
      <w:bookmarkEnd w:id="47"/>
      <w:bookmarkEnd w:id="48"/>
      <w:bookmarkEnd w:id="49"/>
      <w:bookmarkEnd w:id="50"/>
      <w:bookmarkEnd w:id="51"/>
      <w:bookmarkEnd w:id="52"/>
      <w:bookmarkEnd w:id="53"/>
      <w:bookmarkEnd w:id="54"/>
    </w:p>
    <w:p w14:paraId="3BA8FBA0">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Times New Roman"/>
          <w:snapToGrid w:val="0"/>
          <w:kern w:val="0"/>
          <w:szCs w:val="21"/>
          <w:highlight w:val="none"/>
          <w:lang w:eastAsia="zh-CN"/>
        </w:rPr>
      </w:pPr>
      <w:bookmarkStart w:id="55" w:name="_Toc509218696"/>
      <w:bookmarkStart w:id="56" w:name="_Toc287620671"/>
      <w:bookmarkStart w:id="57" w:name="_Toc200359242"/>
      <w:bookmarkStart w:id="58" w:name="_Toc18111"/>
      <w:bookmarkStart w:id="59" w:name="_Toc287607732"/>
      <w:bookmarkStart w:id="60" w:name="_Toc224103303"/>
      <w:bookmarkStart w:id="61" w:name="_Toc430530420"/>
      <w:bookmarkStart w:id="62" w:name="_Toc277082540"/>
      <w:bookmarkStart w:id="63" w:name="_Toc200359431"/>
      <w:r>
        <w:rPr>
          <w:rFonts w:hint="eastAsia" w:ascii="宋体" w:hAnsi="宋体" w:eastAsia="宋体" w:cs="Times New Roman"/>
          <w:snapToGrid w:val="0"/>
          <w:kern w:val="0"/>
          <w:szCs w:val="21"/>
          <w:highlight w:val="none"/>
          <w:lang w:eastAsia="zh-CN"/>
        </w:rPr>
        <w:t>5.1  请有意参加本项目的</w:t>
      </w:r>
      <w:r>
        <w:rPr>
          <w:rFonts w:hint="eastAsia" w:ascii="宋体" w:hAnsi="宋体" w:eastAsia="宋体" w:cs="Times New Roman"/>
          <w:snapToGrid w:val="0"/>
          <w:kern w:val="0"/>
          <w:szCs w:val="21"/>
          <w:highlight w:val="none"/>
          <w:lang w:val="en-US" w:eastAsia="zh-CN"/>
        </w:rPr>
        <w:t>比选申请人</w:t>
      </w:r>
      <w:r>
        <w:rPr>
          <w:rFonts w:hint="eastAsia" w:ascii="宋体" w:hAnsi="宋体" w:eastAsia="宋体" w:cs="Times New Roman"/>
          <w:snapToGrid w:val="0"/>
          <w:kern w:val="0"/>
          <w:szCs w:val="21"/>
          <w:highlight w:val="none"/>
          <w:lang w:eastAsia="zh-CN"/>
        </w:rPr>
        <w:t xml:space="preserve">按要求进行注册，通过“行采家”（ </w:t>
      </w:r>
      <w:r>
        <w:rPr>
          <w:rFonts w:hint="eastAsia" w:ascii="宋体" w:hAnsi="宋体" w:eastAsia="宋体" w:cs="Times New Roman"/>
          <w:snapToGrid w:val="0"/>
          <w:kern w:val="0"/>
          <w:szCs w:val="21"/>
          <w:highlight w:val="none"/>
          <w:lang w:eastAsia="zh-CN"/>
        </w:rPr>
        <w:fldChar w:fldCharType="begin"/>
      </w:r>
      <w:r>
        <w:rPr>
          <w:rFonts w:hint="eastAsia" w:ascii="宋体" w:hAnsi="宋体" w:eastAsia="宋体" w:cs="Times New Roman"/>
          <w:snapToGrid w:val="0"/>
          <w:kern w:val="0"/>
          <w:szCs w:val="21"/>
          <w:highlight w:val="none"/>
          <w:lang w:eastAsia="zh-CN"/>
        </w:rPr>
        <w:instrText xml:space="preserve"> HYPERLINK "https://www.gec123.com/），登记加入" </w:instrText>
      </w:r>
      <w:r>
        <w:rPr>
          <w:rFonts w:hint="eastAsia" w:ascii="宋体" w:hAnsi="宋体" w:eastAsia="宋体" w:cs="Times New Roman"/>
          <w:snapToGrid w:val="0"/>
          <w:kern w:val="0"/>
          <w:szCs w:val="21"/>
          <w:highlight w:val="none"/>
          <w:lang w:eastAsia="zh-CN"/>
        </w:rPr>
        <w:fldChar w:fldCharType="separate"/>
      </w:r>
      <w:r>
        <w:rPr>
          <w:rFonts w:hint="eastAsia" w:ascii="宋体" w:hAnsi="宋体" w:eastAsia="宋体" w:cs="Times New Roman"/>
          <w:snapToGrid w:val="0"/>
          <w:kern w:val="0"/>
          <w:szCs w:val="21"/>
          <w:highlight w:val="none"/>
          <w:lang w:eastAsia="zh-CN"/>
        </w:rPr>
        <w:t>https://www.gec123.com/），登记加入“行采家供应商库”。</w:t>
      </w:r>
      <w:r>
        <w:rPr>
          <w:rFonts w:hint="eastAsia" w:ascii="宋体" w:hAnsi="宋体" w:eastAsia="宋体" w:cs="Times New Roman"/>
          <w:snapToGrid w:val="0"/>
          <w:kern w:val="0"/>
          <w:szCs w:val="21"/>
          <w:highlight w:val="none"/>
          <w:lang w:eastAsia="zh-CN"/>
        </w:rPr>
        <w:fldChar w:fldCharType="end"/>
      </w:r>
    </w:p>
    <w:p w14:paraId="292DA075">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val="en-US" w:eastAsia="zh-CN"/>
        </w:rPr>
        <w:t>5.2  比选申请人</w:t>
      </w:r>
      <w:r>
        <w:rPr>
          <w:rFonts w:hint="eastAsia" w:ascii="宋体" w:hAnsi="宋体" w:eastAsia="宋体" w:cs="Times New Roman"/>
          <w:snapToGrid w:val="0"/>
          <w:kern w:val="0"/>
          <w:szCs w:val="21"/>
          <w:highlight w:val="none"/>
          <w:lang w:eastAsia="zh-CN"/>
        </w:rPr>
        <w:t>请在“行采家”（ https://www.gec123.com/）网上下载本项目</w:t>
      </w:r>
      <w:r>
        <w:rPr>
          <w:rFonts w:hint="eastAsia" w:ascii="宋体" w:hAnsi="宋体" w:eastAsia="宋体" w:cs="Times New Roman"/>
          <w:snapToGrid w:val="0"/>
          <w:kern w:val="0"/>
          <w:szCs w:val="21"/>
          <w:highlight w:val="none"/>
          <w:lang w:val="en-US" w:eastAsia="zh-CN"/>
        </w:rPr>
        <w:t>竞争性比选文件</w:t>
      </w:r>
      <w:r>
        <w:rPr>
          <w:rFonts w:hint="eastAsia" w:ascii="宋体" w:hAnsi="宋体" w:eastAsia="宋体" w:cs="Times New Roman"/>
          <w:snapToGrid w:val="0"/>
          <w:kern w:val="0"/>
          <w:szCs w:val="21"/>
          <w:highlight w:val="none"/>
          <w:lang w:eastAsia="zh-CN"/>
        </w:rPr>
        <w:t>以及图纸、澄清等</w:t>
      </w:r>
      <w:r>
        <w:rPr>
          <w:rFonts w:hint="eastAsia" w:ascii="宋体" w:hAnsi="宋体" w:eastAsia="宋体" w:cs="Times New Roman"/>
          <w:snapToGrid w:val="0"/>
          <w:kern w:val="0"/>
          <w:szCs w:val="21"/>
          <w:highlight w:val="none"/>
          <w:lang w:val="en-US" w:eastAsia="zh-CN"/>
        </w:rPr>
        <w:t>开标</w:t>
      </w:r>
      <w:r>
        <w:rPr>
          <w:rFonts w:hint="eastAsia" w:ascii="宋体" w:hAnsi="宋体" w:eastAsia="宋体" w:cs="Times New Roman"/>
          <w:snapToGrid w:val="0"/>
          <w:kern w:val="0"/>
          <w:szCs w:val="21"/>
          <w:highlight w:val="none"/>
          <w:lang w:eastAsia="zh-CN"/>
        </w:rPr>
        <w:t>前公布的所有项目资料，无论</w:t>
      </w:r>
      <w:r>
        <w:rPr>
          <w:rFonts w:hint="eastAsia" w:ascii="宋体" w:hAnsi="宋体" w:eastAsia="宋体" w:cs="Times New Roman"/>
          <w:snapToGrid w:val="0"/>
          <w:kern w:val="0"/>
          <w:szCs w:val="21"/>
          <w:highlight w:val="none"/>
          <w:lang w:val="en-US" w:eastAsia="zh-CN"/>
        </w:rPr>
        <w:t>比选申请人</w:t>
      </w:r>
      <w:r>
        <w:rPr>
          <w:rFonts w:hint="eastAsia" w:ascii="宋体" w:hAnsi="宋体" w:eastAsia="宋体" w:cs="Times New Roman"/>
          <w:snapToGrid w:val="0"/>
          <w:kern w:val="0"/>
          <w:szCs w:val="21"/>
          <w:highlight w:val="none"/>
          <w:lang w:eastAsia="zh-CN"/>
        </w:rPr>
        <w:t>下载与否，均视为已知晓所有</w:t>
      </w:r>
      <w:r>
        <w:rPr>
          <w:rFonts w:hint="eastAsia" w:ascii="宋体" w:hAnsi="宋体" w:eastAsia="宋体" w:cs="Times New Roman"/>
          <w:snapToGrid w:val="0"/>
          <w:kern w:val="0"/>
          <w:szCs w:val="21"/>
          <w:highlight w:val="none"/>
          <w:lang w:val="en-US" w:eastAsia="zh-CN"/>
        </w:rPr>
        <w:t>招标</w:t>
      </w:r>
      <w:r>
        <w:rPr>
          <w:rFonts w:hint="eastAsia" w:ascii="宋体" w:hAnsi="宋体" w:eastAsia="宋体" w:cs="Times New Roman"/>
          <w:snapToGrid w:val="0"/>
          <w:kern w:val="0"/>
          <w:szCs w:val="21"/>
          <w:highlight w:val="none"/>
          <w:lang w:eastAsia="zh-CN"/>
        </w:rPr>
        <w:t>实质性要求内容。</w:t>
      </w:r>
    </w:p>
    <w:p w14:paraId="05D0E1CB">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val="en-US" w:eastAsia="zh-CN"/>
        </w:rPr>
        <w:t>5</w:t>
      </w:r>
      <w:r>
        <w:rPr>
          <w:rFonts w:hint="eastAsia" w:ascii="宋体" w:hAnsi="宋体" w:eastAsia="宋体" w:cs="Times New Roman"/>
          <w:snapToGrid w:val="0"/>
          <w:kern w:val="0"/>
          <w:szCs w:val="21"/>
          <w:highlight w:val="none"/>
          <w:lang w:eastAsia="zh-CN"/>
        </w:rPr>
        <w:t>.</w:t>
      </w:r>
      <w:r>
        <w:rPr>
          <w:rFonts w:hint="eastAsia" w:ascii="宋体" w:hAnsi="宋体" w:eastAsia="宋体" w:cs="Times New Roman"/>
          <w:snapToGrid w:val="0"/>
          <w:kern w:val="0"/>
          <w:szCs w:val="21"/>
          <w:highlight w:val="none"/>
          <w:lang w:val="en-US" w:eastAsia="zh-CN"/>
        </w:rPr>
        <w:t xml:space="preserve">3  </w:t>
      </w:r>
      <w:r>
        <w:rPr>
          <w:rFonts w:hint="eastAsia" w:ascii="宋体" w:hAnsi="宋体" w:eastAsia="宋体" w:cs="Times New Roman"/>
          <w:snapToGrid w:val="0"/>
          <w:kern w:val="0"/>
          <w:szCs w:val="21"/>
          <w:highlight w:val="none"/>
          <w:lang w:eastAsia="zh-CN"/>
        </w:rPr>
        <w:t>凡有意</w:t>
      </w:r>
      <w:r>
        <w:rPr>
          <w:rFonts w:hint="eastAsia" w:ascii="宋体" w:hAnsi="宋体" w:eastAsia="宋体" w:cs="Times New Roman"/>
          <w:snapToGrid w:val="0"/>
          <w:kern w:val="0"/>
          <w:szCs w:val="21"/>
          <w:highlight w:val="none"/>
          <w:lang w:val="en-US" w:eastAsia="zh-CN"/>
        </w:rPr>
        <w:t>本项目</w:t>
      </w:r>
      <w:r>
        <w:rPr>
          <w:rFonts w:hint="eastAsia" w:ascii="宋体" w:hAnsi="宋体" w:eastAsia="宋体" w:cs="Times New Roman"/>
          <w:snapToGrid w:val="0"/>
          <w:kern w:val="0"/>
          <w:szCs w:val="21"/>
          <w:highlight w:val="none"/>
          <w:lang w:eastAsia="zh-CN"/>
        </w:rPr>
        <w:t>参加的</w:t>
      </w:r>
      <w:r>
        <w:rPr>
          <w:rFonts w:hint="eastAsia" w:ascii="宋体" w:hAnsi="宋体" w:eastAsia="宋体" w:cs="Times New Roman"/>
          <w:snapToGrid w:val="0"/>
          <w:kern w:val="0"/>
          <w:szCs w:val="21"/>
          <w:highlight w:val="none"/>
          <w:lang w:val="en-US" w:eastAsia="zh-CN"/>
        </w:rPr>
        <w:t>比选申请人</w:t>
      </w:r>
      <w:r>
        <w:rPr>
          <w:rFonts w:hint="eastAsia" w:ascii="宋体" w:hAnsi="宋体" w:eastAsia="宋体" w:cs="Times New Roman"/>
          <w:snapToGrid w:val="0"/>
          <w:kern w:val="0"/>
          <w:szCs w:val="21"/>
          <w:highlight w:val="none"/>
          <w:lang w:eastAsia="zh-CN"/>
        </w:rPr>
        <w:t>，请于202</w:t>
      </w:r>
      <w:r>
        <w:rPr>
          <w:rFonts w:hint="eastAsia" w:ascii="宋体" w:hAnsi="宋体" w:eastAsia="宋体" w:cs="Times New Roman"/>
          <w:snapToGrid w:val="0"/>
          <w:kern w:val="0"/>
          <w:szCs w:val="21"/>
          <w:highlight w:val="none"/>
          <w:lang w:val="en-US" w:eastAsia="zh-CN"/>
        </w:rPr>
        <w:t>6</w:t>
      </w:r>
      <w:r>
        <w:rPr>
          <w:rFonts w:hint="eastAsia" w:ascii="宋体" w:hAnsi="宋体" w:eastAsia="宋体" w:cs="Times New Roman"/>
          <w:snapToGrid w:val="0"/>
          <w:kern w:val="0"/>
          <w:szCs w:val="21"/>
          <w:highlight w:val="none"/>
          <w:lang w:eastAsia="zh-CN"/>
        </w:rPr>
        <w:t>年</w:t>
      </w:r>
      <w:r>
        <w:rPr>
          <w:rFonts w:hint="eastAsia" w:ascii="宋体" w:hAnsi="宋体" w:cs="Times New Roman"/>
          <w:snapToGrid w:val="0"/>
          <w:kern w:val="0"/>
          <w:szCs w:val="21"/>
          <w:highlight w:val="none"/>
          <w:lang w:val="en-US" w:eastAsia="zh-CN"/>
        </w:rPr>
        <w:t>7</w:t>
      </w:r>
      <w:r>
        <w:rPr>
          <w:rFonts w:hint="eastAsia" w:ascii="宋体" w:hAnsi="宋体" w:eastAsia="宋体" w:cs="Times New Roman"/>
          <w:snapToGrid w:val="0"/>
          <w:kern w:val="0"/>
          <w:szCs w:val="21"/>
          <w:highlight w:val="none"/>
          <w:lang w:eastAsia="zh-CN"/>
        </w:rPr>
        <w:t>月</w:t>
      </w:r>
      <w:r>
        <w:rPr>
          <w:rFonts w:hint="eastAsia" w:ascii="宋体" w:hAnsi="宋体" w:cs="Times New Roman"/>
          <w:snapToGrid w:val="0"/>
          <w:kern w:val="0"/>
          <w:szCs w:val="21"/>
          <w:highlight w:val="none"/>
          <w:lang w:val="en-US" w:eastAsia="zh-CN"/>
        </w:rPr>
        <w:t>27</w:t>
      </w:r>
      <w:r>
        <w:rPr>
          <w:rFonts w:hint="eastAsia" w:ascii="宋体" w:hAnsi="宋体" w:eastAsia="宋体" w:cs="Times New Roman"/>
          <w:snapToGrid w:val="0"/>
          <w:kern w:val="0"/>
          <w:szCs w:val="21"/>
          <w:highlight w:val="none"/>
          <w:lang w:eastAsia="zh-CN"/>
        </w:rPr>
        <w:t>日起-</w:t>
      </w:r>
      <w:r>
        <w:rPr>
          <w:rFonts w:hint="eastAsia" w:ascii="宋体" w:hAnsi="宋体" w:cs="Times New Roman"/>
          <w:snapToGrid w:val="0"/>
          <w:kern w:val="0"/>
          <w:szCs w:val="21"/>
          <w:highlight w:val="none"/>
          <w:lang w:val="en-US" w:eastAsia="zh-CN"/>
        </w:rPr>
        <w:t>7</w:t>
      </w:r>
      <w:r>
        <w:rPr>
          <w:rFonts w:hint="eastAsia" w:ascii="宋体" w:hAnsi="宋体" w:eastAsia="宋体" w:cs="Times New Roman"/>
          <w:snapToGrid w:val="0"/>
          <w:kern w:val="0"/>
          <w:szCs w:val="21"/>
          <w:highlight w:val="none"/>
          <w:lang w:eastAsia="zh-CN"/>
        </w:rPr>
        <w:t>月</w:t>
      </w:r>
      <w:r>
        <w:rPr>
          <w:rFonts w:hint="eastAsia" w:ascii="宋体" w:hAnsi="宋体" w:cs="Times New Roman"/>
          <w:snapToGrid w:val="0"/>
          <w:kern w:val="0"/>
          <w:szCs w:val="21"/>
          <w:highlight w:val="none"/>
          <w:lang w:val="en-US" w:eastAsia="zh-CN"/>
        </w:rPr>
        <w:t>29</w:t>
      </w:r>
      <w:r>
        <w:rPr>
          <w:rFonts w:hint="eastAsia" w:ascii="宋体" w:hAnsi="宋体" w:eastAsia="宋体" w:cs="Times New Roman"/>
          <w:snapToGrid w:val="0"/>
          <w:kern w:val="0"/>
          <w:szCs w:val="21"/>
          <w:highlight w:val="none"/>
          <w:lang w:eastAsia="zh-CN"/>
        </w:rPr>
        <w:t>日（9:00-17:00）内完成报名，未在规定时间内完成报名不得参与竞标。报名方式为：</w:t>
      </w:r>
    </w:p>
    <w:p w14:paraId="20DEAAA7">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val="en-US" w:eastAsia="zh-CN"/>
        </w:rPr>
        <w:t>5</w:t>
      </w:r>
      <w:r>
        <w:rPr>
          <w:rFonts w:hint="eastAsia" w:ascii="宋体" w:hAnsi="宋体" w:eastAsia="宋体" w:cs="Times New Roman"/>
          <w:snapToGrid w:val="0"/>
          <w:kern w:val="0"/>
          <w:szCs w:val="21"/>
          <w:highlight w:val="none"/>
          <w:lang w:eastAsia="zh-CN"/>
        </w:rPr>
        <w:t>.3.1</w:t>
      </w:r>
      <w:r>
        <w:rPr>
          <w:rFonts w:hint="eastAsia" w:ascii="宋体" w:hAnsi="宋体" w:eastAsia="宋体" w:cs="Times New Roman"/>
          <w:snapToGrid w:val="0"/>
          <w:kern w:val="0"/>
          <w:szCs w:val="21"/>
          <w:highlight w:val="none"/>
          <w:lang w:val="en-US" w:eastAsia="zh-CN"/>
        </w:rPr>
        <w:t xml:space="preserve"> 竞争性比选文件</w:t>
      </w:r>
      <w:r>
        <w:rPr>
          <w:rFonts w:hint="eastAsia" w:ascii="宋体" w:hAnsi="宋体" w:eastAsia="宋体" w:cs="Times New Roman"/>
          <w:snapToGrid w:val="0"/>
          <w:kern w:val="0"/>
          <w:szCs w:val="21"/>
          <w:highlight w:val="none"/>
          <w:lang w:eastAsia="zh-CN"/>
        </w:rPr>
        <w:t>售价：</w:t>
      </w:r>
      <w:r>
        <w:rPr>
          <w:rFonts w:hint="eastAsia" w:ascii="宋体" w:hAnsi="宋体" w:eastAsia="宋体" w:cs="Times New Roman"/>
          <w:snapToGrid w:val="0"/>
          <w:kern w:val="0"/>
          <w:szCs w:val="21"/>
          <w:highlight w:val="none"/>
          <w:lang w:val="en-US" w:eastAsia="zh-CN"/>
        </w:rPr>
        <w:t>50</w:t>
      </w:r>
      <w:r>
        <w:rPr>
          <w:rFonts w:hint="eastAsia" w:ascii="宋体" w:hAnsi="宋体" w:eastAsia="宋体" w:cs="Times New Roman"/>
          <w:snapToGrid w:val="0"/>
          <w:kern w:val="0"/>
          <w:szCs w:val="21"/>
          <w:highlight w:val="none"/>
          <w:lang w:eastAsia="zh-CN"/>
        </w:rPr>
        <w:t>0元（售后不退），在递交</w:t>
      </w:r>
      <w:r>
        <w:rPr>
          <w:rFonts w:hint="eastAsia" w:ascii="宋体" w:hAnsi="宋体" w:eastAsia="宋体" w:cs="Times New Roman"/>
          <w:snapToGrid w:val="0"/>
          <w:kern w:val="0"/>
          <w:szCs w:val="21"/>
          <w:highlight w:val="none"/>
          <w:lang w:val="en-US" w:eastAsia="zh-CN"/>
        </w:rPr>
        <w:t>比选申请文件</w:t>
      </w:r>
      <w:r>
        <w:rPr>
          <w:rFonts w:hint="eastAsia" w:ascii="宋体" w:hAnsi="宋体" w:eastAsia="宋体" w:cs="Times New Roman"/>
          <w:snapToGrid w:val="0"/>
          <w:kern w:val="0"/>
          <w:szCs w:val="21"/>
          <w:highlight w:val="none"/>
          <w:lang w:eastAsia="zh-CN"/>
        </w:rPr>
        <w:t>时支付</w:t>
      </w:r>
      <w:r>
        <w:rPr>
          <w:rFonts w:hint="eastAsia" w:ascii="宋体" w:hAnsi="宋体" w:eastAsia="宋体" w:cs="Times New Roman"/>
          <w:snapToGrid w:val="0"/>
          <w:kern w:val="0"/>
          <w:szCs w:val="21"/>
          <w:highlight w:val="none"/>
          <w:lang w:val="en-US" w:eastAsia="zh-CN"/>
        </w:rPr>
        <w:t>竞争性比选文件</w:t>
      </w:r>
      <w:r>
        <w:rPr>
          <w:rFonts w:hint="eastAsia" w:ascii="宋体" w:hAnsi="宋体" w:eastAsia="宋体" w:cs="Times New Roman"/>
          <w:snapToGrid w:val="0"/>
          <w:kern w:val="0"/>
          <w:szCs w:val="21"/>
          <w:highlight w:val="none"/>
          <w:lang w:eastAsia="zh-CN"/>
        </w:rPr>
        <w:t>费用，售后不退。</w:t>
      </w:r>
    </w:p>
    <w:p w14:paraId="6C1641B0">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val="en-US" w:eastAsia="zh-CN"/>
        </w:rPr>
        <w:t>5</w:t>
      </w:r>
      <w:r>
        <w:rPr>
          <w:rFonts w:hint="eastAsia" w:ascii="宋体" w:hAnsi="宋体" w:eastAsia="宋体" w:cs="Times New Roman"/>
          <w:snapToGrid w:val="0"/>
          <w:kern w:val="0"/>
          <w:szCs w:val="21"/>
          <w:highlight w:val="none"/>
          <w:lang w:eastAsia="zh-CN"/>
        </w:rPr>
        <w:t>.3.2</w:t>
      </w:r>
      <w:r>
        <w:rPr>
          <w:rFonts w:hint="eastAsia" w:ascii="宋体" w:hAnsi="宋体" w:eastAsia="宋体" w:cs="Times New Roman"/>
          <w:snapToGrid w:val="0"/>
          <w:kern w:val="0"/>
          <w:szCs w:val="21"/>
          <w:highlight w:val="none"/>
          <w:lang w:val="en-US" w:eastAsia="zh-CN"/>
        </w:rPr>
        <w:t xml:space="preserve"> </w:t>
      </w:r>
      <w:r>
        <w:rPr>
          <w:rFonts w:hint="eastAsia" w:ascii="宋体" w:hAnsi="宋体" w:eastAsia="宋体" w:cs="Times New Roman"/>
          <w:snapToGrid w:val="0"/>
          <w:kern w:val="0"/>
          <w:szCs w:val="21"/>
          <w:highlight w:val="none"/>
          <w:lang w:eastAsia="zh-CN"/>
        </w:rPr>
        <w:t>潜在</w:t>
      </w:r>
      <w:r>
        <w:rPr>
          <w:rFonts w:hint="eastAsia" w:ascii="宋体" w:hAnsi="宋体" w:eastAsia="宋体" w:cs="Times New Roman"/>
          <w:snapToGrid w:val="0"/>
          <w:kern w:val="0"/>
          <w:szCs w:val="21"/>
          <w:highlight w:val="none"/>
          <w:lang w:val="en-US" w:eastAsia="zh-CN"/>
        </w:rPr>
        <w:t>比选申请人</w:t>
      </w:r>
      <w:r>
        <w:rPr>
          <w:rFonts w:hint="eastAsia" w:ascii="宋体" w:hAnsi="宋体" w:eastAsia="宋体" w:cs="Times New Roman"/>
          <w:snapToGrid w:val="0"/>
          <w:kern w:val="0"/>
          <w:szCs w:val="21"/>
          <w:highlight w:val="none"/>
          <w:lang w:eastAsia="zh-CN"/>
        </w:rPr>
        <w:t>将《</w:t>
      </w:r>
      <w:r>
        <w:rPr>
          <w:rFonts w:hint="eastAsia" w:ascii="宋体" w:hAnsi="宋体" w:eastAsia="宋体" w:cs="Times New Roman"/>
          <w:snapToGrid w:val="0"/>
          <w:kern w:val="0"/>
          <w:szCs w:val="21"/>
          <w:highlight w:val="none"/>
          <w:lang w:val="en-US" w:eastAsia="zh-CN"/>
        </w:rPr>
        <w:t>竞争性比选文件</w:t>
      </w:r>
      <w:r>
        <w:rPr>
          <w:rFonts w:hint="eastAsia" w:ascii="宋体" w:hAnsi="宋体" w:eastAsia="宋体" w:cs="Times New Roman"/>
          <w:snapToGrid w:val="0"/>
          <w:kern w:val="0"/>
          <w:szCs w:val="21"/>
          <w:highlight w:val="none"/>
          <w:lang w:eastAsia="zh-CN"/>
        </w:rPr>
        <w:t>发售登记表》（加盖</w:t>
      </w:r>
      <w:r>
        <w:rPr>
          <w:rFonts w:hint="eastAsia" w:ascii="宋体" w:hAnsi="宋体" w:eastAsia="宋体" w:cs="Times New Roman"/>
          <w:snapToGrid w:val="0"/>
          <w:kern w:val="0"/>
          <w:szCs w:val="21"/>
          <w:highlight w:val="none"/>
          <w:lang w:val="en-US" w:eastAsia="zh-CN"/>
        </w:rPr>
        <w:t>比选申请人</w:t>
      </w:r>
      <w:r>
        <w:rPr>
          <w:rFonts w:hint="eastAsia" w:ascii="宋体" w:hAnsi="宋体" w:eastAsia="宋体" w:cs="Times New Roman"/>
          <w:snapToGrid w:val="0"/>
          <w:kern w:val="0"/>
          <w:szCs w:val="21"/>
          <w:highlight w:val="none"/>
          <w:lang w:eastAsia="zh-CN"/>
        </w:rPr>
        <w:t>公章）扫描后发送至</w:t>
      </w:r>
      <w:r>
        <w:rPr>
          <w:rFonts w:hint="eastAsia" w:ascii="宋体" w:hAnsi="宋体" w:eastAsia="宋体" w:cs="Times New Roman"/>
          <w:snapToGrid w:val="0"/>
          <w:kern w:val="0"/>
          <w:szCs w:val="21"/>
          <w:highlight w:val="none"/>
          <w:lang w:val="en-US" w:eastAsia="zh-CN"/>
        </w:rPr>
        <w:t>23924962@qq.com</w:t>
      </w:r>
      <w:r>
        <w:rPr>
          <w:rFonts w:hint="eastAsia" w:ascii="宋体" w:hAnsi="宋体" w:eastAsia="宋体" w:cs="Times New Roman"/>
          <w:snapToGrid w:val="0"/>
          <w:kern w:val="0"/>
          <w:szCs w:val="21"/>
          <w:highlight w:val="none"/>
          <w:lang w:eastAsia="zh-CN"/>
        </w:rPr>
        <w:t>邮箱进行报名。</w:t>
      </w:r>
    </w:p>
    <w:p w14:paraId="11CCF66E">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eastAsia="zh-CN"/>
        </w:rPr>
        <w:t>注：</w:t>
      </w:r>
      <w:r>
        <w:rPr>
          <w:rFonts w:hint="eastAsia" w:ascii="宋体" w:hAnsi="宋体" w:eastAsia="宋体" w:cs="Times New Roman"/>
          <w:snapToGrid w:val="0"/>
          <w:kern w:val="0"/>
          <w:szCs w:val="21"/>
          <w:highlight w:val="none"/>
          <w:lang w:val="en-US" w:eastAsia="zh-CN"/>
        </w:rPr>
        <w:t>比选申请人</w:t>
      </w:r>
      <w:r>
        <w:rPr>
          <w:rFonts w:hint="eastAsia" w:ascii="宋体" w:hAnsi="宋体" w:eastAsia="宋体" w:cs="Times New Roman"/>
          <w:snapToGrid w:val="0"/>
          <w:kern w:val="0"/>
          <w:szCs w:val="21"/>
          <w:highlight w:val="none"/>
          <w:lang w:eastAsia="zh-CN"/>
        </w:rPr>
        <w:t>须满足以下要求，其</w:t>
      </w:r>
      <w:r>
        <w:rPr>
          <w:rFonts w:hint="eastAsia" w:ascii="宋体" w:hAnsi="宋体" w:eastAsia="宋体" w:cs="Times New Roman"/>
          <w:snapToGrid w:val="0"/>
          <w:kern w:val="0"/>
          <w:szCs w:val="21"/>
          <w:highlight w:val="none"/>
          <w:lang w:val="en-US" w:eastAsia="zh-CN"/>
        </w:rPr>
        <w:t>比选申请文件</w:t>
      </w:r>
      <w:r>
        <w:rPr>
          <w:rFonts w:hint="eastAsia" w:ascii="宋体" w:hAnsi="宋体" w:eastAsia="宋体" w:cs="Times New Roman"/>
          <w:snapToGrid w:val="0"/>
          <w:kern w:val="0"/>
          <w:szCs w:val="21"/>
          <w:highlight w:val="none"/>
          <w:lang w:eastAsia="zh-CN"/>
        </w:rPr>
        <w:t>才被接受：</w:t>
      </w:r>
    </w:p>
    <w:p w14:paraId="706984B9">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eastAsia="zh-CN"/>
        </w:rPr>
        <w:t>（1）按时报名；</w:t>
      </w:r>
    </w:p>
    <w:p w14:paraId="42B1E43D">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eastAsia="zh-CN"/>
        </w:rPr>
        <w:t>（2）按时签到并递交</w:t>
      </w:r>
      <w:r>
        <w:rPr>
          <w:rFonts w:hint="eastAsia" w:ascii="宋体" w:hAnsi="宋体" w:eastAsia="宋体" w:cs="Times New Roman"/>
          <w:snapToGrid w:val="0"/>
          <w:kern w:val="0"/>
          <w:szCs w:val="21"/>
          <w:highlight w:val="none"/>
          <w:lang w:val="en-US" w:eastAsia="zh-CN"/>
        </w:rPr>
        <w:t>比选申请文件</w:t>
      </w:r>
      <w:r>
        <w:rPr>
          <w:rFonts w:hint="eastAsia" w:ascii="宋体" w:hAnsi="宋体" w:eastAsia="宋体" w:cs="Times New Roman"/>
          <w:snapToGrid w:val="0"/>
          <w:kern w:val="0"/>
          <w:szCs w:val="21"/>
          <w:highlight w:val="none"/>
          <w:lang w:eastAsia="zh-CN"/>
        </w:rPr>
        <w:t>。</w:t>
      </w:r>
    </w:p>
    <w:p w14:paraId="1ACF24E8">
      <w:pPr>
        <w:pStyle w:val="4"/>
        <w:pageBreakBefore w:val="0"/>
        <w:widowControl w:val="0"/>
        <w:kinsoku/>
        <w:wordWrap/>
        <w:overflowPunct/>
        <w:topLinePunct w:val="0"/>
        <w:bidi w:val="0"/>
        <w:spacing w:before="0" w:after="0" w:line="360" w:lineRule="auto"/>
        <w:textAlignment w:val="auto"/>
        <w:rPr>
          <w:rFonts w:ascii="宋体" w:hAnsi="宋体"/>
          <w:snapToGrid w:val="0"/>
          <w:sz w:val="28"/>
          <w:szCs w:val="28"/>
          <w:highlight w:val="none"/>
        </w:rPr>
      </w:pPr>
      <w:bookmarkStart w:id="64" w:name="_Toc9737"/>
      <w:r>
        <w:rPr>
          <w:rFonts w:hint="eastAsia" w:ascii="宋体" w:hAnsi="宋体"/>
          <w:snapToGrid w:val="0"/>
          <w:sz w:val="28"/>
          <w:szCs w:val="28"/>
          <w:highlight w:val="none"/>
          <w:lang w:val="en-US" w:eastAsia="zh-CN"/>
        </w:rPr>
        <w:t>6</w:t>
      </w:r>
      <w:r>
        <w:rPr>
          <w:rFonts w:ascii="宋体" w:hAnsi="宋体"/>
          <w:snapToGrid w:val="0"/>
          <w:sz w:val="28"/>
          <w:szCs w:val="28"/>
          <w:highlight w:val="none"/>
        </w:rPr>
        <w:t xml:space="preserve">. </w:t>
      </w:r>
      <w:r>
        <w:rPr>
          <w:rFonts w:hint="eastAsia" w:ascii="宋体" w:hAnsi="宋体"/>
          <w:snapToGrid w:val="0"/>
          <w:sz w:val="28"/>
          <w:szCs w:val="28"/>
          <w:highlight w:val="none"/>
        </w:rPr>
        <w:t xml:space="preserve"> </w:t>
      </w:r>
      <w:r>
        <w:rPr>
          <w:rFonts w:hint="eastAsia" w:ascii="宋体" w:hAnsi="宋体"/>
          <w:snapToGrid w:val="0"/>
          <w:sz w:val="28"/>
          <w:szCs w:val="28"/>
          <w:highlight w:val="none"/>
          <w:lang w:eastAsia="zh-CN"/>
        </w:rPr>
        <w:t>比选申请文件</w:t>
      </w:r>
      <w:r>
        <w:rPr>
          <w:rFonts w:ascii="宋体" w:hAnsi="宋体"/>
          <w:snapToGrid w:val="0"/>
          <w:sz w:val="28"/>
          <w:szCs w:val="28"/>
          <w:highlight w:val="none"/>
        </w:rPr>
        <w:t>的递交</w:t>
      </w:r>
      <w:bookmarkEnd w:id="55"/>
      <w:bookmarkEnd w:id="56"/>
      <w:bookmarkEnd w:id="57"/>
      <w:bookmarkEnd w:id="58"/>
      <w:bookmarkEnd w:id="59"/>
      <w:bookmarkEnd w:id="60"/>
      <w:bookmarkEnd w:id="61"/>
      <w:bookmarkEnd w:id="62"/>
      <w:bookmarkEnd w:id="63"/>
      <w:bookmarkEnd w:id="64"/>
    </w:p>
    <w:p w14:paraId="0CACF9B5">
      <w:pPr>
        <w:pageBreakBefore w:val="0"/>
        <w:widowControl w:val="0"/>
        <w:tabs>
          <w:tab w:val="left" w:pos="2000"/>
          <w:tab w:val="left" w:pos="5580"/>
          <w:tab w:val="left" w:pos="6220"/>
          <w:tab w:val="left" w:pos="6840"/>
          <w:tab w:val="left" w:pos="7460"/>
          <w:tab w:val="left" w:pos="8100"/>
        </w:tabs>
        <w:kinsoku/>
        <w:wordWrap/>
        <w:overflowPunct/>
        <w:topLinePunct w:val="0"/>
        <w:autoSpaceDE w:val="0"/>
        <w:autoSpaceDN w:val="0"/>
        <w:bidi w:val="0"/>
        <w:adjustRightInd w:val="0"/>
        <w:snapToGrid w:val="0"/>
        <w:spacing w:line="360" w:lineRule="auto"/>
        <w:ind w:firstLine="420" w:firstLineChars="200"/>
        <w:textAlignment w:val="auto"/>
        <w:rPr>
          <w:rFonts w:ascii="宋体" w:hAnsi="宋体"/>
          <w:snapToGrid w:val="0"/>
          <w:color w:val="auto"/>
          <w:kern w:val="0"/>
          <w:szCs w:val="21"/>
          <w:highlight w:val="none"/>
        </w:rPr>
      </w:pPr>
      <w:bookmarkStart w:id="65" w:name="_Toc200359432"/>
      <w:bookmarkStart w:id="66" w:name="_Toc509218697"/>
      <w:bookmarkStart w:id="67" w:name="_Toc430530421"/>
      <w:bookmarkStart w:id="68" w:name="_Toc277082541"/>
      <w:bookmarkStart w:id="69" w:name="_Toc287620672"/>
      <w:bookmarkStart w:id="70" w:name="_Toc28442"/>
      <w:bookmarkStart w:id="71" w:name="_Toc287607733"/>
      <w:bookmarkStart w:id="72" w:name="_Toc200359243"/>
      <w:bookmarkStart w:id="73" w:name="_Toc224103304"/>
      <w:r>
        <w:rPr>
          <w:rFonts w:ascii="宋体" w:hAnsi="宋体"/>
          <w:snapToGrid w:val="0"/>
          <w:color w:val="auto"/>
          <w:kern w:val="0"/>
          <w:szCs w:val="21"/>
          <w:highlight w:val="none"/>
        </w:rPr>
        <w:t xml:space="preserve">6.1  </w:t>
      </w:r>
      <w:r>
        <w:rPr>
          <w:rFonts w:hint="eastAsia" w:ascii="宋体" w:hAnsi="宋体"/>
          <w:snapToGrid w:val="0"/>
          <w:color w:val="auto"/>
          <w:kern w:val="0"/>
          <w:szCs w:val="21"/>
          <w:highlight w:val="none"/>
          <w:lang w:eastAsia="zh-CN"/>
        </w:rPr>
        <w:t>比选申请文件</w:t>
      </w:r>
      <w:r>
        <w:rPr>
          <w:rFonts w:ascii="宋体" w:hAnsi="宋体"/>
          <w:snapToGrid w:val="0"/>
          <w:color w:val="auto"/>
          <w:kern w:val="0"/>
          <w:szCs w:val="21"/>
          <w:highlight w:val="none"/>
        </w:rPr>
        <w:t>递交的截止时间（投标截止时间，下同）为</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val="en-US" w:eastAsia="zh-CN"/>
        </w:rPr>
        <w:t>2026</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年</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val="en-US" w:eastAsia="zh-CN"/>
        </w:rPr>
        <w:t>7</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月</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val="en-US" w:eastAsia="zh-CN"/>
        </w:rPr>
        <w:t>31</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日</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val="en-US" w:eastAsia="zh-CN"/>
        </w:rPr>
        <w:t>10</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时</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val="en-US" w:eastAsia="zh-CN"/>
        </w:rPr>
        <w:t>00</w:t>
      </w:r>
      <w:r>
        <w:rPr>
          <w:rFonts w:ascii="宋体" w:hAnsi="宋体"/>
          <w:snapToGrid w:val="0"/>
          <w:color w:val="auto"/>
          <w:kern w:val="0"/>
          <w:szCs w:val="21"/>
          <w:highlight w:val="none"/>
          <w:u w:val="single"/>
        </w:rPr>
        <w:t xml:space="preserve"> </w:t>
      </w:r>
      <w:r>
        <w:rPr>
          <w:rFonts w:ascii="宋体" w:hAnsi="宋体"/>
          <w:snapToGrid w:val="0"/>
          <w:color w:val="auto"/>
          <w:kern w:val="0"/>
          <w:szCs w:val="21"/>
          <w:highlight w:val="none"/>
        </w:rPr>
        <w:t>分，地点为</w:t>
      </w:r>
      <w:r>
        <w:rPr>
          <w:rFonts w:hint="eastAsia" w:ascii="宋体" w:hAnsi="宋体"/>
          <w:snapToGrid w:val="0"/>
          <w:color w:val="auto"/>
          <w:kern w:val="0"/>
          <w:szCs w:val="21"/>
          <w:highlight w:val="none"/>
          <w:u w:val="single"/>
        </w:rPr>
        <w:t xml:space="preserve"> 南岸区公共资源交易平台（汇南公司）（地址：重庆市南岸区茶园新区广福大道12号行政中心B区2号楼4楼）</w:t>
      </w:r>
      <w:r>
        <w:rPr>
          <w:rFonts w:ascii="宋体" w:hAnsi="宋体"/>
          <w:snapToGrid w:val="0"/>
          <w:color w:val="auto"/>
          <w:kern w:val="0"/>
          <w:szCs w:val="21"/>
          <w:highlight w:val="none"/>
        </w:rPr>
        <w:t>。</w:t>
      </w:r>
    </w:p>
    <w:p w14:paraId="62F44CE0">
      <w:pPr>
        <w:tabs>
          <w:tab w:val="left" w:pos="4950"/>
        </w:tabs>
        <w:autoSpaceDE w:val="0"/>
        <w:autoSpaceDN w:val="0"/>
        <w:adjustRightInd w:val="0"/>
        <w:snapToGrid w:val="0"/>
        <w:spacing w:line="360" w:lineRule="auto"/>
        <w:ind w:firstLine="420" w:firstLineChars="200"/>
        <w:rPr>
          <w:rFonts w:ascii="宋体" w:hAnsi="宋体" w:eastAsia="宋体" w:cs="Times New Roman"/>
          <w:snapToGrid w:val="0"/>
          <w:kern w:val="0"/>
          <w:szCs w:val="21"/>
          <w:highlight w:val="none"/>
        </w:rPr>
      </w:pPr>
      <w:r>
        <w:rPr>
          <w:rFonts w:ascii="宋体" w:hAnsi="宋体" w:eastAsia="宋体" w:cs="Times New Roman"/>
          <w:snapToGrid w:val="0"/>
          <w:kern w:val="0"/>
          <w:szCs w:val="21"/>
          <w:highlight w:val="none"/>
        </w:rPr>
        <w:t>6.2  逾期送达的或者未送达指定地点的</w:t>
      </w:r>
      <w:r>
        <w:rPr>
          <w:rFonts w:hint="eastAsia" w:ascii="宋体" w:hAnsi="宋体" w:eastAsia="宋体" w:cs="Times New Roman"/>
          <w:snapToGrid w:val="0"/>
          <w:kern w:val="0"/>
          <w:szCs w:val="21"/>
          <w:highlight w:val="none"/>
          <w:lang w:eastAsia="zh-CN"/>
        </w:rPr>
        <w:t>比选申请文件</w:t>
      </w:r>
      <w:r>
        <w:rPr>
          <w:rFonts w:ascii="宋体" w:hAnsi="宋体" w:eastAsia="宋体" w:cs="Times New Roman"/>
          <w:snapToGrid w:val="0"/>
          <w:kern w:val="0"/>
          <w:szCs w:val="21"/>
          <w:highlight w:val="none"/>
        </w:rPr>
        <w:t>，</w:t>
      </w:r>
      <w:r>
        <w:rPr>
          <w:rFonts w:hint="eastAsia" w:ascii="宋体" w:hAnsi="宋体" w:eastAsia="宋体" w:cs="Times New Roman"/>
          <w:snapToGrid w:val="0"/>
          <w:kern w:val="0"/>
          <w:szCs w:val="21"/>
          <w:highlight w:val="none"/>
          <w:lang w:eastAsia="zh-CN"/>
        </w:rPr>
        <w:t>比选人</w:t>
      </w:r>
      <w:r>
        <w:rPr>
          <w:rFonts w:ascii="宋体" w:hAnsi="宋体" w:eastAsia="宋体" w:cs="Times New Roman"/>
          <w:snapToGrid w:val="0"/>
          <w:kern w:val="0"/>
          <w:szCs w:val="21"/>
          <w:highlight w:val="none"/>
        </w:rPr>
        <w:t>不予受理。</w:t>
      </w:r>
    </w:p>
    <w:p w14:paraId="11F1CDD6">
      <w:pPr>
        <w:pStyle w:val="4"/>
        <w:spacing w:before="0" w:after="0" w:line="360" w:lineRule="auto"/>
        <w:rPr>
          <w:rFonts w:ascii="宋体" w:hAnsi="宋体"/>
          <w:snapToGrid w:val="0"/>
          <w:sz w:val="28"/>
          <w:szCs w:val="28"/>
          <w:highlight w:val="none"/>
        </w:rPr>
      </w:pPr>
      <w:bookmarkStart w:id="74" w:name="_Toc3934"/>
      <w:r>
        <w:rPr>
          <w:rFonts w:hint="eastAsia" w:ascii="宋体" w:hAnsi="宋体"/>
          <w:snapToGrid w:val="0"/>
          <w:sz w:val="28"/>
          <w:szCs w:val="28"/>
          <w:highlight w:val="none"/>
          <w:lang w:val="en-US" w:eastAsia="zh-CN"/>
        </w:rPr>
        <w:t>7</w:t>
      </w:r>
      <w:r>
        <w:rPr>
          <w:rFonts w:ascii="宋体" w:hAnsi="宋体"/>
          <w:snapToGrid w:val="0"/>
          <w:sz w:val="28"/>
          <w:szCs w:val="28"/>
          <w:highlight w:val="none"/>
        </w:rPr>
        <w:t xml:space="preserve">. </w:t>
      </w:r>
      <w:r>
        <w:rPr>
          <w:rFonts w:hint="eastAsia" w:ascii="宋体" w:hAnsi="宋体"/>
          <w:snapToGrid w:val="0"/>
          <w:sz w:val="28"/>
          <w:szCs w:val="28"/>
          <w:highlight w:val="none"/>
        </w:rPr>
        <w:t xml:space="preserve"> </w:t>
      </w:r>
      <w:r>
        <w:rPr>
          <w:rFonts w:ascii="宋体" w:hAnsi="宋体"/>
          <w:snapToGrid w:val="0"/>
          <w:sz w:val="28"/>
          <w:szCs w:val="28"/>
          <w:highlight w:val="none"/>
        </w:rPr>
        <w:t>发布公告的媒介</w:t>
      </w:r>
      <w:bookmarkEnd w:id="65"/>
      <w:bookmarkEnd w:id="66"/>
      <w:bookmarkEnd w:id="67"/>
      <w:bookmarkEnd w:id="68"/>
      <w:bookmarkEnd w:id="69"/>
      <w:bookmarkEnd w:id="70"/>
      <w:bookmarkEnd w:id="71"/>
      <w:bookmarkEnd w:id="72"/>
      <w:bookmarkEnd w:id="73"/>
      <w:bookmarkEnd w:id="74"/>
    </w:p>
    <w:p w14:paraId="2107776C">
      <w:pPr>
        <w:keepNext w:val="0"/>
        <w:keepLines w:val="0"/>
        <w:pageBreakBefore w:val="0"/>
        <w:widowControl w:val="0"/>
        <w:tabs>
          <w:tab w:val="left" w:pos="4950"/>
        </w:tabs>
        <w:kinsoku/>
        <w:wordWrap/>
        <w:overflowPunct/>
        <w:topLinePunct w:val="0"/>
        <w:autoSpaceDE w:val="0"/>
        <w:autoSpaceDN w:val="0"/>
        <w:bidi w:val="0"/>
        <w:adjustRightInd w:val="0"/>
        <w:snapToGrid w:val="0"/>
        <w:spacing w:line="360" w:lineRule="auto"/>
        <w:ind w:firstLine="420" w:firstLineChars="200"/>
        <w:textAlignment w:val="auto"/>
        <w:rPr>
          <w:rFonts w:ascii="宋体" w:hAnsi="宋体"/>
          <w:snapToGrid w:val="0"/>
          <w:color w:val="auto"/>
          <w:kern w:val="0"/>
          <w:szCs w:val="21"/>
          <w:highlight w:val="none"/>
        </w:rPr>
      </w:pPr>
      <w:bookmarkStart w:id="75" w:name="_Toc509218698"/>
      <w:bookmarkStart w:id="76" w:name="_Toc277082542"/>
      <w:bookmarkStart w:id="77" w:name="_Toc23065"/>
      <w:bookmarkStart w:id="78" w:name="_Toc287607734"/>
      <w:bookmarkStart w:id="79" w:name="_Toc430530422"/>
      <w:bookmarkStart w:id="80" w:name="_Toc287620673"/>
      <w:bookmarkStart w:id="81" w:name="_Toc224103305"/>
      <w:r>
        <w:rPr>
          <w:rFonts w:hint="eastAsia" w:ascii="宋体" w:hAnsi="宋体"/>
          <w:snapToGrid w:val="0"/>
          <w:color w:val="auto"/>
          <w:kern w:val="0"/>
          <w:szCs w:val="21"/>
          <w:highlight w:val="none"/>
          <w:lang w:eastAsia="zh-CN"/>
        </w:rPr>
        <w:t>本次比选</w:t>
      </w:r>
      <w:r>
        <w:rPr>
          <w:rFonts w:ascii="宋体" w:hAnsi="宋体"/>
          <w:snapToGrid w:val="0"/>
          <w:color w:val="auto"/>
          <w:kern w:val="0"/>
          <w:szCs w:val="21"/>
          <w:highlight w:val="none"/>
        </w:rPr>
        <w:t>公告在</w:t>
      </w:r>
      <w:r>
        <w:rPr>
          <w:rFonts w:hint="eastAsia" w:ascii="宋体" w:hAnsi="宋体"/>
          <w:snapToGrid w:val="0"/>
          <w:color w:val="auto"/>
          <w:kern w:val="0"/>
          <w:szCs w:val="21"/>
          <w:highlight w:val="none"/>
          <w:u w:val="single"/>
        </w:rPr>
        <w:t xml:space="preserve"> 行采家（https://www.gec123.com/）</w:t>
      </w:r>
      <w:r>
        <w:rPr>
          <w:rFonts w:ascii="宋体" w:hAnsi="宋体"/>
          <w:snapToGrid w:val="0"/>
          <w:color w:val="auto"/>
          <w:kern w:val="0"/>
          <w:szCs w:val="21"/>
          <w:highlight w:val="none"/>
        </w:rPr>
        <w:t>上发布。</w:t>
      </w:r>
    </w:p>
    <w:p w14:paraId="53337309">
      <w:pPr>
        <w:pStyle w:val="4"/>
        <w:spacing w:before="0" w:after="0" w:line="360" w:lineRule="auto"/>
        <w:rPr>
          <w:rFonts w:ascii="宋体" w:hAnsi="宋体"/>
          <w:snapToGrid w:val="0"/>
          <w:sz w:val="28"/>
          <w:szCs w:val="28"/>
          <w:highlight w:val="none"/>
        </w:rPr>
      </w:pPr>
      <w:bookmarkStart w:id="82" w:name="_Toc26893"/>
      <w:r>
        <w:rPr>
          <w:rFonts w:hint="eastAsia" w:ascii="宋体" w:hAnsi="宋体"/>
          <w:snapToGrid w:val="0"/>
          <w:sz w:val="28"/>
          <w:szCs w:val="28"/>
          <w:highlight w:val="none"/>
          <w:lang w:val="en-US" w:eastAsia="zh-CN"/>
        </w:rPr>
        <w:t>8</w:t>
      </w:r>
      <w:r>
        <w:rPr>
          <w:rFonts w:ascii="宋体" w:hAnsi="宋体"/>
          <w:snapToGrid w:val="0"/>
          <w:sz w:val="28"/>
          <w:szCs w:val="28"/>
          <w:highlight w:val="none"/>
        </w:rPr>
        <w:t xml:space="preserve">. </w:t>
      </w:r>
      <w:r>
        <w:rPr>
          <w:rFonts w:hint="eastAsia" w:ascii="宋体" w:hAnsi="宋体"/>
          <w:snapToGrid w:val="0"/>
          <w:sz w:val="28"/>
          <w:szCs w:val="28"/>
          <w:highlight w:val="none"/>
        </w:rPr>
        <w:t xml:space="preserve"> </w:t>
      </w:r>
      <w:r>
        <w:rPr>
          <w:rFonts w:ascii="宋体" w:hAnsi="宋体"/>
          <w:snapToGrid w:val="0"/>
          <w:sz w:val="28"/>
          <w:szCs w:val="28"/>
          <w:highlight w:val="none"/>
        </w:rPr>
        <w:t>联系方式</w:t>
      </w:r>
      <w:bookmarkEnd w:id="75"/>
      <w:bookmarkEnd w:id="76"/>
      <w:bookmarkEnd w:id="77"/>
      <w:bookmarkEnd w:id="78"/>
      <w:bookmarkEnd w:id="79"/>
      <w:bookmarkEnd w:id="80"/>
      <w:bookmarkEnd w:id="81"/>
      <w:bookmarkEnd w:id="82"/>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2985"/>
        <w:gridCol w:w="1675"/>
        <w:gridCol w:w="2910"/>
      </w:tblGrid>
      <w:tr w14:paraId="5F3DC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9" w:type="dxa"/>
            <w:vAlign w:val="center"/>
          </w:tcPr>
          <w:p w14:paraId="29ADD0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napToGrid w:val="0"/>
                <w:kern w:val="0"/>
                <w:sz w:val="21"/>
                <w:szCs w:val="21"/>
                <w:lang w:val="en-US" w:eastAsia="zh-CN"/>
              </w:rPr>
              <w:t>比 选</w:t>
            </w:r>
            <w:r>
              <w:rPr>
                <w:rFonts w:hint="eastAsia" w:asciiTheme="minorEastAsia" w:hAnsiTheme="minorEastAsia" w:eastAsiaTheme="minorEastAsia" w:cstheme="minorEastAsia"/>
                <w:snapToGrid w:val="0"/>
                <w:kern w:val="0"/>
                <w:sz w:val="21"/>
                <w:szCs w:val="21"/>
              </w:rPr>
              <w:t xml:space="preserve"> 人：</w:t>
            </w:r>
          </w:p>
        </w:tc>
        <w:tc>
          <w:tcPr>
            <w:tcW w:w="2985" w:type="dxa"/>
            <w:vAlign w:val="center"/>
          </w:tcPr>
          <w:p w14:paraId="62B744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rPr>
            </w:pPr>
            <w:r>
              <w:rPr>
                <w:rFonts w:hint="eastAsia" w:asciiTheme="minorEastAsia" w:hAnsiTheme="minorEastAsia" w:eastAsiaTheme="minorEastAsia" w:cstheme="minorEastAsia"/>
                <w:snapToGrid w:val="0"/>
                <w:kern w:val="0"/>
                <w:sz w:val="21"/>
                <w:szCs w:val="21"/>
                <w:u w:val="single"/>
                <w:lang w:eastAsia="zh-CN"/>
              </w:rPr>
              <w:t>重庆市江南城市建设发展(集团)有限公司</w:t>
            </w:r>
          </w:p>
        </w:tc>
        <w:tc>
          <w:tcPr>
            <w:tcW w:w="1675" w:type="dxa"/>
            <w:vAlign w:val="center"/>
          </w:tcPr>
          <w:p w14:paraId="2EC3F7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napToGrid w:val="0"/>
                <w:kern w:val="0"/>
                <w:sz w:val="21"/>
                <w:szCs w:val="21"/>
                <w:lang w:val="en-US" w:eastAsia="zh-CN"/>
              </w:rPr>
              <w:t>比选</w:t>
            </w:r>
            <w:r>
              <w:rPr>
                <w:rFonts w:hint="eastAsia" w:asciiTheme="minorEastAsia" w:hAnsiTheme="minorEastAsia" w:eastAsiaTheme="minorEastAsia" w:cstheme="minorEastAsia"/>
                <w:snapToGrid w:val="0"/>
                <w:kern w:val="0"/>
                <w:sz w:val="21"/>
                <w:szCs w:val="21"/>
              </w:rPr>
              <w:t>代理机构：</w:t>
            </w:r>
          </w:p>
        </w:tc>
        <w:tc>
          <w:tcPr>
            <w:tcW w:w="2910" w:type="dxa"/>
            <w:vAlign w:val="center"/>
          </w:tcPr>
          <w:p w14:paraId="054873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rPr>
            </w:pPr>
            <w:r>
              <w:rPr>
                <w:rFonts w:hint="eastAsia" w:asciiTheme="minorEastAsia" w:hAnsiTheme="minorEastAsia" w:eastAsiaTheme="minorEastAsia" w:cstheme="minorEastAsia"/>
                <w:snapToGrid w:val="0"/>
                <w:kern w:val="0"/>
                <w:sz w:val="21"/>
                <w:szCs w:val="21"/>
                <w:u w:val="single"/>
                <w:lang w:val="en-US" w:eastAsia="zh-CN"/>
              </w:rPr>
              <w:t>红城国际工程项目管理有限公司</w:t>
            </w:r>
          </w:p>
        </w:tc>
      </w:tr>
      <w:tr w14:paraId="13C35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9" w:type="dxa"/>
            <w:vAlign w:val="center"/>
          </w:tcPr>
          <w:p w14:paraId="27DE22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napToGrid w:val="0"/>
                <w:kern w:val="0"/>
                <w:sz w:val="21"/>
                <w:szCs w:val="21"/>
              </w:rPr>
              <w:t>地    址：</w:t>
            </w:r>
          </w:p>
        </w:tc>
        <w:tc>
          <w:tcPr>
            <w:tcW w:w="2985" w:type="dxa"/>
            <w:vAlign w:val="center"/>
          </w:tcPr>
          <w:p w14:paraId="5C2501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rPr>
            </w:pPr>
            <w:r>
              <w:rPr>
                <w:rFonts w:hint="eastAsia" w:asciiTheme="minorEastAsia" w:hAnsiTheme="minorEastAsia" w:eastAsiaTheme="minorEastAsia" w:cstheme="minorEastAsia"/>
                <w:kern w:val="0"/>
                <w:sz w:val="21"/>
                <w:szCs w:val="21"/>
                <w:highlight w:val="none"/>
                <w:u w:val="single"/>
                <w:lang w:val="en-US" w:eastAsia="zh-CN"/>
              </w:rPr>
              <w:t>重庆市茶园新区通江大道米兰路电子信息标准厂房2号楼</w:t>
            </w:r>
          </w:p>
        </w:tc>
        <w:tc>
          <w:tcPr>
            <w:tcW w:w="1675" w:type="dxa"/>
            <w:vAlign w:val="center"/>
          </w:tcPr>
          <w:p w14:paraId="0730FB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napToGrid w:val="0"/>
                <w:kern w:val="0"/>
                <w:sz w:val="21"/>
                <w:szCs w:val="21"/>
              </w:rPr>
              <w:t>地    址：</w:t>
            </w:r>
          </w:p>
        </w:tc>
        <w:tc>
          <w:tcPr>
            <w:tcW w:w="2910" w:type="dxa"/>
            <w:vAlign w:val="center"/>
          </w:tcPr>
          <w:p w14:paraId="41B953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lang w:val="en-US"/>
              </w:rPr>
            </w:pPr>
            <w:r>
              <w:rPr>
                <w:rFonts w:hint="eastAsia" w:asciiTheme="minorEastAsia" w:hAnsiTheme="minorEastAsia" w:eastAsiaTheme="minorEastAsia" w:cstheme="minorEastAsia"/>
                <w:snapToGrid w:val="0"/>
                <w:kern w:val="0"/>
                <w:sz w:val="21"/>
                <w:szCs w:val="21"/>
                <w:highlight w:val="none"/>
                <w:u w:val="single"/>
              </w:rPr>
              <w:t>重庆市</w:t>
            </w:r>
            <w:r>
              <w:rPr>
                <w:rFonts w:hint="eastAsia" w:asciiTheme="minorEastAsia" w:hAnsiTheme="minorEastAsia" w:eastAsiaTheme="minorEastAsia" w:cstheme="minorEastAsia"/>
                <w:snapToGrid w:val="0"/>
                <w:kern w:val="0"/>
                <w:sz w:val="21"/>
                <w:szCs w:val="21"/>
                <w:highlight w:val="none"/>
                <w:u w:val="single"/>
                <w:lang w:val="en-US" w:eastAsia="zh-CN"/>
              </w:rPr>
              <w:t>两江新区</w:t>
            </w:r>
            <w:r>
              <w:rPr>
                <w:rFonts w:hint="eastAsia" w:asciiTheme="minorEastAsia" w:hAnsiTheme="minorEastAsia" w:eastAsiaTheme="minorEastAsia" w:cstheme="minorEastAsia"/>
                <w:snapToGrid w:val="0"/>
                <w:kern w:val="0"/>
                <w:sz w:val="21"/>
                <w:szCs w:val="21"/>
                <w:highlight w:val="none"/>
                <w:u w:val="single"/>
                <w:lang w:eastAsia="zh-CN"/>
              </w:rPr>
              <w:t>黄山大道中段两江新界</w:t>
            </w:r>
            <w:r>
              <w:rPr>
                <w:rFonts w:hint="eastAsia" w:asciiTheme="minorEastAsia" w:hAnsiTheme="minorEastAsia" w:eastAsiaTheme="minorEastAsia" w:cstheme="minorEastAsia"/>
                <w:snapToGrid w:val="0"/>
                <w:kern w:val="0"/>
                <w:sz w:val="21"/>
                <w:szCs w:val="21"/>
                <w:highlight w:val="none"/>
                <w:u w:val="single"/>
                <w:lang w:val="en-US" w:eastAsia="zh-CN"/>
              </w:rPr>
              <w:t>2栋17楼1号</w:t>
            </w:r>
          </w:p>
        </w:tc>
      </w:tr>
      <w:tr w14:paraId="76A36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9" w:type="dxa"/>
            <w:vAlign w:val="center"/>
          </w:tcPr>
          <w:p w14:paraId="210301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napToGrid w:val="0"/>
                <w:kern w:val="0"/>
                <w:position w:val="-3"/>
                <w:sz w:val="21"/>
                <w:szCs w:val="21"/>
              </w:rPr>
              <w:t>邮    编：</w:t>
            </w:r>
          </w:p>
        </w:tc>
        <w:tc>
          <w:tcPr>
            <w:tcW w:w="2985" w:type="dxa"/>
            <w:vAlign w:val="center"/>
          </w:tcPr>
          <w:p w14:paraId="0D7660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rPr>
            </w:pPr>
            <w:r>
              <w:rPr>
                <w:rFonts w:hint="eastAsia" w:asciiTheme="minorEastAsia" w:hAnsiTheme="minorEastAsia" w:eastAsiaTheme="minorEastAsia" w:cstheme="minorEastAsia"/>
                <w:color w:val="auto"/>
                <w:kern w:val="2"/>
                <w:sz w:val="21"/>
                <w:szCs w:val="21"/>
                <w:u w:val="single"/>
              </w:rPr>
              <w:t>401336</w:t>
            </w:r>
          </w:p>
        </w:tc>
        <w:tc>
          <w:tcPr>
            <w:tcW w:w="1675" w:type="dxa"/>
            <w:vAlign w:val="center"/>
          </w:tcPr>
          <w:p w14:paraId="0F1652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napToGrid w:val="0"/>
                <w:kern w:val="0"/>
                <w:position w:val="-3"/>
                <w:sz w:val="21"/>
                <w:szCs w:val="21"/>
              </w:rPr>
              <w:t>邮    编：</w:t>
            </w:r>
          </w:p>
        </w:tc>
        <w:tc>
          <w:tcPr>
            <w:tcW w:w="2910" w:type="dxa"/>
            <w:vAlign w:val="center"/>
          </w:tcPr>
          <w:p w14:paraId="2DB3FE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rPr>
            </w:pPr>
            <w:r>
              <w:rPr>
                <w:rFonts w:hint="eastAsia" w:asciiTheme="minorEastAsia" w:hAnsiTheme="minorEastAsia" w:eastAsiaTheme="minorEastAsia" w:cstheme="minorEastAsia"/>
                <w:sz w:val="21"/>
                <w:szCs w:val="21"/>
                <w:u w:val="single"/>
                <w:vertAlign w:val="baseline"/>
                <w:lang w:val="en-US" w:eastAsia="zh-CN"/>
              </w:rPr>
              <w:t>401120</w:t>
            </w:r>
          </w:p>
        </w:tc>
      </w:tr>
      <w:tr w14:paraId="7E063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9" w:type="dxa"/>
            <w:vAlign w:val="center"/>
          </w:tcPr>
          <w:p w14:paraId="40B23E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kern w:val="0"/>
                <w:position w:val="-3"/>
                <w:sz w:val="21"/>
                <w:szCs w:val="21"/>
              </w:rPr>
            </w:pPr>
            <w:r>
              <w:rPr>
                <w:rFonts w:hint="eastAsia" w:asciiTheme="minorEastAsia" w:hAnsiTheme="minorEastAsia" w:eastAsiaTheme="minorEastAsia" w:cstheme="minorEastAsia"/>
                <w:snapToGrid w:val="0"/>
                <w:kern w:val="0"/>
                <w:sz w:val="21"/>
                <w:szCs w:val="21"/>
                <w:lang w:val="en-US" w:eastAsia="zh-CN"/>
              </w:rPr>
              <w:t>项目负责人</w:t>
            </w:r>
            <w:r>
              <w:rPr>
                <w:rFonts w:hint="eastAsia" w:asciiTheme="minorEastAsia" w:hAnsiTheme="minorEastAsia" w:eastAsiaTheme="minorEastAsia" w:cstheme="minorEastAsia"/>
                <w:snapToGrid w:val="0"/>
                <w:kern w:val="0"/>
                <w:sz w:val="21"/>
                <w:szCs w:val="21"/>
              </w:rPr>
              <w:t>：</w:t>
            </w:r>
          </w:p>
        </w:tc>
        <w:tc>
          <w:tcPr>
            <w:tcW w:w="2985" w:type="dxa"/>
            <w:vAlign w:val="center"/>
          </w:tcPr>
          <w:p w14:paraId="269DE9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lang w:val="en-US" w:eastAsia="zh-CN"/>
              </w:rPr>
            </w:pPr>
            <w:r>
              <w:rPr>
                <w:rFonts w:hint="eastAsia" w:asciiTheme="minorEastAsia" w:hAnsiTheme="minorEastAsia" w:eastAsiaTheme="minorEastAsia" w:cstheme="minorEastAsia"/>
                <w:sz w:val="21"/>
                <w:szCs w:val="21"/>
                <w:u w:val="single"/>
                <w:vertAlign w:val="baseline"/>
                <w:lang w:val="en-US" w:eastAsia="zh-CN"/>
              </w:rPr>
              <w:t>赵老师</w:t>
            </w:r>
          </w:p>
        </w:tc>
        <w:tc>
          <w:tcPr>
            <w:tcW w:w="1675" w:type="dxa"/>
            <w:vAlign w:val="center"/>
          </w:tcPr>
          <w:p w14:paraId="5B1547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napToGrid w:val="0"/>
                <w:kern w:val="0"/>
                <w:sz w:val="21"/>
                <w:szCs w:val="21"/>
                <w:lang w:val="en-US" w:eastAsia="zh-CN"/>
              </w:rPr>
              <w:t>项目负责人</w:t>
            </w:r>
            <w:r>
              <w:rPr>
                <w:rFonts w:hint="eastAsia" w:asciiTheme="minorEastAsia" w:hAnsiTheme="minorEastAsia" w:eastAsiaTheme="minorEastAsia" w:cstheme="minorEastAsia"/>
                <w:snapToGrid w:val="0"/>
                <w:kern w:val="0"/>
                <w:sz w:val="21"/>
                <w:szCs w:val="21"/>
              </w:rPr>
              <w:t>：</w:t>
            </w:r>
          </w:p>
        </w:tc>
        <w:tc>
          <w:tcPr>
            <w:tcW w:w="2910" w:type="dxa"/>
            <w:vAlign w:val="center"/>
          </w:tcPr>
          <w:p w14:paraId="256FF2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lang w:val="en-US" w:eastAsia="zh-CN"/>
              </w:rPr>
            </w:pPr>
            <w:r>
              <w:rPr>
                <w:rFonts w:hint="eastAsia" w:asciiTheme="minorEastAsia" w:hAnsiTheme="minorEastAsia" w:eastAsiaTheme="minorEastAsia" w:cstheme="minorEastAsia"/>
                <w:sz w:val="21"/>
                <w:szCs w:val="21"/>
                <w:u w:val="single"/>
                <w:vertAlign w:val="baseline"/>
                <w:lang w:val="en-US" w:eastAsia="zh-CN"/>
              </w:rPr>
              <w:t>彭爽</w:t>
            </w:r>
          </w:p>
        </w:tc>
      </w:tr>
      <w:tr w14:paraId="470C8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89" w:type="dxa"/>
            <w:vAlign w:val="center"/>
          </w:tcPr>
          <w:p w14:paraId="567CB8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kern w:val="0"/>
                <w:position w:val="-3"/>
                <w:sz w:val="21"/>
                <w:szCs w:val="21"/>
              </w:rPr>
            </w:pPr>
            <w:r>
              <w:rPr>
                <w:rFonts w:hint="eastAsia" w:asciiTheme="minorEastAsia" w:hAnsiTheme="minorEastAsia" w:eastAsiaTheme="minorEastAsia" w:cstheme="minorEastAsia"/>
                <w:snapToGrid w:val="0"/>
                <w:kern w:val="0"/>
                <w:sz w:val="21"/>
                <w:szCs w:val="21"/>
              </w:rPr>
              <w:t>电    话：</w:t>
            </w:r>
          </w:p>
        </w:tc>
        <w:tc>
          <w:tcPr>
            <w:tcW w:w="2985" w:type="dxa"/>
            <w:vAlign w:val="center"/>
          </w:tcPr>
          <w:p w14:paraId="017878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rPr>
            </w:pPr>
            <w:r>
              <w:rPr>
                <w:rFonts w:hint="eastAsia" w:asciiTheme="minorEastAsia" w:hAnsiTheme="minorEastAsia" w:eastAsiaTheme="minorEastAsia" w:cstheme="minorEastAsia"/>
                <w:kern w:val="0"/>
                <w:sz w:val="21"/>
                <w:szCs w:val="21"/>
                <w:highlight w:val="none"/>
                <w:u w:val="single"/>
                <w:lang w:val="en-US" w:eastAsia="zh-CN"/>
              </w:rPr>
              <w:t>023-62820331</w:t>
            </w:r>
          </w:p>
        </w:tc>
        <w:tc>
          <w:tcPr>
            <w:tcW w:w="1675" w:type="dxa"/>
            <w:vAlign w:val="center"/>
          </w:tcPr>
          <w:p w14:paraId="4884BE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vertAlign w:val="baseline"/>
              </w:rPr>
            </w:pPr>
            <w:r>
              <w:rPr>
                <w:rFonts w:hint="eastAsia" w:asciiTheme="minorEastAsia" w:hAnsiTheme="minorEastAsia" w:eastAsiaTheme="minorEastAsia" w:cstheme="minorEastAsia"/>
                <w:snapToGrid w:val="0"/>
                <w:kern w:val="0"/>
                <w:sz w:val="21"/>
                <w:szCs w:val="21"/>
              </w:rPr>
              <w:t>电    话：</w:t>
            </w:r>
          </w:p>
        </w:tc>
        <w:tc>
          <w:tcPr>
            <w:tcW w:w="2910" w:type="dxa"/>
            <w:vAlign w:val="center"/>
          </w:tcPr>
          <w:p w14:paraId="6A894A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u w:val="single"/>
                <w:vertAlign w:val="baseline"/>
                <w:lang w:val="en-US" w:eastAsia="zh-CN"/>
              </w:rPr>
            </w:pPr>
            <w:r>
              <w:rPr>
                <w:rFonts w:hint="eastAsia" w:asciiTheme="minorEastAsia" w:hAnsiTheme="minorEastAsia" w:eastAsiaTheme="minorEastAsia" w:cstheme="minorEastAsia"/>
                <w:sz w:val="21"/>
                <w:szCs w:val="21"/>
                <w:u w:val="single"/>
                <w:vertAlign w:val="baseline"/>
                <w:lang w:val="en-US" w:eastAsia="zh-CN"/>
              </w:rPr>
              <w:t>023-67559507</w:t>
            </w:r>
          </w:p>
        </w:tc>
      </w:tr>
    </w:tbl>
    <w:p w14:paraId="435289C8">
      <w:pPr>
        <w:tabs>
          <w:tab w:val="left" w:pos="5140"/>
          <w:tab w:val="left" w:pos="8520"/>
        </w:tabs>
        <w:autoSpaceDE w:val="0"/>
        <w:autoSpaceDN w:val="0"/>
        <w:adjustRightInd w:val="0"/>
        <w:snapToGrid w:val="0"/>
        <w:spacing w:line="360" w:lineRule="auto"/>
        <w:ind w:firstLine="420" w:firstLineChars="200"/>
        <w:jc w:val="left"/>
        <w:rPr>
          <w:rFonts w:hint="eastAsia" w:ascii="宋体" w:hAnsi="宋体"/>
          <w:snapToGrid w:val="0"/>
          <w:kern w:val="0"/>
          <w:szCs w:val="21"/>
          <w:highlight w:val="none"/>
          <w:lang w:val="en-US" w:eastAsia="zh-CN"/>
        </w:rPr>
      </w:pPr>
    </w:p>
    <w:p w14:paraId="6CE6CB90">
      <w:pPr>
        <w:tabs>
          <w:tab w:val="left" w:pos="5140"/>
          <w:tab w:val="left" w:pos="8520"/>
        </w:tabs>
        <w:autoSpaceDE w:val="0"/>
        <w:autoSpaceDN w:val="0"/>
        <w:adjustRightInd w:val="0"/>
        <w:snapToGrid w:val="0"/>
        <w:spacing w:line="360" w:lineRule="auto"/>
        <w:ind w:firstLine="420" w:firstLineChars="200"/>
        <w:jc w:val="left"/>
        <w:rPr>
          <w:rFonts w:hint="eastAsia" w:ascii="宋体" w:hAnsi="宋体"/>
          <w:snapToGrid w:val="0"/>
          <w:kern w:val="0"/>
          <w:szCs w:val="21"/>
          <w:highlight w:val="none"/>
          <w:u w:val="single"/>
        </w:rPr>
      </w:pPr>
      <w:r>
        <w:rPr>
          <w:rFonts w:hint="eastAsia" w:ascii="宋体" w:hAnsi="宋体"/>
          <w:snapToGrid w:val="0"/>
          <w:kern w:val="0"/>
          <w:szCs w:val="21"/>
          <w:highlight w:val="none"/>
          <w:lang w:val="en-US" w:eastAsia="zh-CN"/>
        </w:rPr>
        <w:t>监督部门</w:t>
      </w:r>
      <w:r>
        <w:rPr>
          <w:rFonts w:ascii="宋体" w:hAnsi="宋体"/>
          <w:snapToGrid w:val="0"/>
          <w:kern w:val="0"/>
          <w:szCs w:val="21"/>
          <w:highlight w:val="none"/>
        </w:rPr>
        <w:t>：</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lang w:eastAsia="zh-CN"/>
        </w:rPr>
        <w:t>重庆市江南城市建设发展(集团)有限公司审计法务部</w:t>
      </w:r>
      <w:r>
        <w:rPr>
          <w:rFonts w:hint="eastAsia" w:ascii="宋体" w:hAnsi="宋体"/>
          <w:snapToGrid w:val="0"/>
          <w:kern w:val="0"/>
          <w:szCs w:val="21"/>
          <w:highlight w:val="none"/>
          <w:u w:val="single"/>
          <w:lang w:val="en-US" w:eastAsia="zh-CN"/>
        </w:rPr>
        <w:t xml:space="preserve">  </w:t>
      </w:r>
    </w:p>
    <w:p w14:paraId="0FCF7D5A">
      <w:pPr>
        <w:tabs>
          <w:tab w:val="left" w:pos="5140"/>
          <w:tab w:val="left" w:pos="8420"/>
        </w:tabs>
        <w:autoSpaceDE w:val="0"/>
        <w:autoSpaceDN w:val="0"/>
        <w:adjustRightInd w:val="0"/>
        <w:snapToGrid w:val="0"/>
        <w:spacing w:line="360" w:lineRule="auto"/>
        <w:ind w:firstLine="420" w:firstLineChars="200"/>
        <w:jc w:val="left"/>
        <w:rPr>
          <w:rFonts w:ascii="宋体" w:hAnsi="宋体"/>
          <w:snapToGrid w:val="0"/>
          <w:kern w:val="0"/>
          <w:szCs w:val="21"/>
          <w:highlight w:val="none"/>
          <w:u w:val="single"/>
        </w:rPr>
      </w:pPr>
      <w:r>
        <w:rPr>
          <w:rFonts w:hint="eastAsia" w:ascii="宋体" w:hAnsi="宋体"/>
          <w:snapToGrid w:val="0"/>
          <w:kern w:val="0"/>
          <w:szCs w:val="21"/>
          <w:highlight w:val="none"/>
          <w:lang w:val="en-US" w:eastAsia="zh-CN"/>
        </w:rPr>
        <w:t>电</w:t>
      </w:r>
      <w:r>
        <w:rPr>
          <w:rFonts w:ascii="宋体" w:hAnsi="宋体"/>
          <w:snapToGrid w:val="0"/>
          <w:kern w:val="0"/>
          <w:szCs w:val="21"/>
          <w:highlight w:val="none"/>
        </w:rPr>
        <w:t xml:space="preserve">    </w:t>
      </w:r>
      <w:r>
        <w:rPr>
          <w:rFonts w:hint="eastAsia" w:ascii="宋体" w:hAnsi="宋体"/>
          <w:snapToGrid w:val="0"/>
          <w:kern w:val="0"/>
          <w:szCs w:val="21"/>
          <w:highlight w:val="none"/>
          <w:lang w:val="en-US" w:eastAsia="zh-CN"/>
        </w:rPr>
        <w:t>话</w:t>
      </w:r>
      <w:r>
        <w:rPr>
          <w:rFonts w:ascii="宋体" w:hAnsi="宋体"/>
          <w:snapToGrid w:val="0"/>
          <w:kern w:val="0"/>
          <w:szCs w:val="21"/>
          <w:highlight w:val="none"/>
        </w:rPr>
        <w:t>：</w:t>
      </w:r>
      <w:r>
        <w:rPr>
          <w:rFonts w:hint="eastAsia" w:ascii="宋体" w:hAnsi="宋体"/>
          <w:snapToGrid w:val="0"/>
          <w:kern w:val="0"/>
          <w:szCs w:val="21"/>
          <w:highlight w:val="none"/>
          <w:u w:val="single"/>
          <w:lang w:val="en-US" w:eastAsia="zh-CN"/>
        </w:rPr>
        <w:t xml:space="preserve"> 19888730766</w:t>
      </w:r>
    </w:p>
    <w:p w14:paraId="7C478482">
      <w:pPr>
        <w:tabs>
          <w:tab w:val="left" w:pos="5140"/>
          <w:tab w:val="left" w:pos="8420"/>
        </w:tabs>
        <w:autoSpaceDE w:val="0"/>
        <w:autoSpaceDN w:val="0"/>
        <w:adjustRightInd w:val="0"/>
        <w:snapToGrid w:val="0"/>
        <w:spacing w:line="360" w:lineRule="auto"/>
        <w:ind w:firstLine="420" w:firstLineChars="200"/>
        <w:jc w:val="left"/>
        <w:rPr>
          <w:rFonts w:ascii="宋体" w:hAnsi="宋体"/>
          <w:snapToGrid w:val="0"/>
          <w:kern w:val="0"/>
          <w:szCs w:val="21"/>
          <w:highlight w:val="none"/>
          <w:u w:val="single"/>
        </w:rPr>
      </w:pPr>
    </w:p>
    <w:p w14:paraId="242A533F">
      <w:pPr>
        <w:tabs>
          <w:tab w:val="left" w:pos="5140"/>
          <w:tab w:val="left" w:pos="8420"/>
        </w:tabs>
        <w:autoSpaceDE w:val="0"/>
        <w:autoSpaceDN w:val="0"/>
        <w:adjustRightInd w:val="0"/>
        <w:snapToGrid w:val="0"/>
        <w:spacing w:line="360" w:lineRule="auto"/>
        <w:jc w:val="left"/>
        <w:rPr>
          <w:rFonts w:ascii="宋体" w:hAnsi="宋体"/>
          <w:snapToGrid w:val="0"/>
          <w:kern w:val="0"/>
          <w:szCs w:val="21"/>
          <w:highlight w:val="none"/>
          <w:u w:val="single"/>
        </w:rPr>
      </w:pPr>
    </w:p>
    <w:p w14:paraId="4FC4A5DA">
      <w:pPr>
        <w:autoSpaceDE w:val="0"/>
        <w:autoSpaceDN w:val="0"/>
        <w:adjustRightInd w:val="0"/>
        <w:snapToGrid w:val="0"/>
        <w:spacing w:line="360" w:lineRule="auto"/>
        <w:ind w:firstLine="3906" w:firstLineChars="1860"/>
        <w:jc w:val="right"/>
        <w:rPr>
          <w:rFonts w:ascii="宋体" w:hAnsi="宋体"/>
          <w:snapToGrid w:val="0"/>
          <w:kern w:val="0"/>
          <w:szCs w:val="21"/>
          <w:highlight w:val="none"/>
        </w:rPr>
      </w:pP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2026</w:t>
      </w:r>
      <w:r>
        <w:rPr>
          <w:rFonts w:ascii="宋体" w:hAnsi="宋体"/>
          <w:snapToGrid w:val="0"/>
          <w:kern w:val="0"/>
          <w:szCs w:val="21"/>
          <w:highlight w:val="none"/>
          <w:u w:val="single"/>
        </w:rPr>
        <w:t xml:space="preserve">  </w:t>
      </w:r>
      <w:r>
        <w:rPr>
          <w:rFonts w:ascii="宋体" w:hAnsi="宋体"/>
          <w:snapToGrid w:val="0"/>
          <w:kern w:val="0"/>
          <w:szCs w:val="21"/>
          <w:highlight w:val="none"/>
        </w:rPr>
        <w:t>年</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7</w:t>
      </w:r>
      <w:r>
        <w:rPr>
          <w:rFonts w:ascii="宋体" w:hAnsi="宋体"/>
          <w:snapToGrid w:val="0"/>
          <w:kern w:val="0"/>
          <w:szCs w:val="21"/>
          <w:highlight w:val="none"/>
          <w:u w:val="single"/>
        </w:rPr>
        <w:t xml:space="preserve">  </w:t>
      </w:r>
      <w:r>
        <w:rPr>
          <w:rFonts w:ascii="宋体" w:hAnsi="宋体"/>
          <w:snapToGrid w:val="0"/>
          <w:kern w:val="0"/>
          <w:szCs w:val="21"/>
          <w:highlight w:val="none"/>
        </w:rPr>
        <w:t>月</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 xml:space="preserve">27 </w:t>
      </w:r>
      <w:r>
        <w:rPr>
          <w:rFonts w:ascii="宋体" w:hAnsi="宋体"/>
          <w:snapToGrid w:val="0"/>
          <w:kern w:val="0"/>
          <w:szCs w:val="21"/>
          <w:highlight w:val="none"/>
          <w:u w:val="single"/>
        </w:rPr>
        <w:t xml:space="preserve"> </w:t>
      </w:r>
      <w:r>
        <w:rPr>
          <w:rFonts w:ascii="宋体" w:hAnsi="宋体"/>
          <w:snapToGrid w:val="0"/>
          <w:kern w:val="0"/>
          <w:szCs w:val="21"/>
          <w:highlight w:val="none"/>
        </w:rPr>
        <w:t>日</w:t>
      </w:r>
    </w:p>
    <w:p w14:paraId="00B2733D">
      <w:pPr>
        <w:pStyle w:val="3"/>
        <w:spacing w:before="0" w:after="0" w:line="360" w:lineRule="auto"/>
        <w:jc w:val="center"/>
        <w:rPr>
          <w:rFonts w:ascii="宋体" w:hAnsi="宋体"/>
          <w:snapToGrid w:val="0"/>
          <w:kern w:val="0"/>
          <w:szCs w:val="21"/>
          <w:highlight w:val="none"/>
        </w:rPr>
      </w:pPr>
      <w:r>
        <w:rPr>
          <w:rFonts w:ascii="宋体" w:hAnsi="宋体"/>
          <w:snapToGrid w:val="0"/>
          <w:kern w:val="0"/>
          <w:szCs w:val="21"/>
          <w:highlight w:val="none"/>
        </w:rPr>
        <w:br w:type="page"/>
      </w:r>
      <w:bookmarkStart w:id="83" w:name="_Toc430530423"/>
      <w:bookmarkStart w:id="84" w:name="_Toc287607735"/>
      <w:bookmarkStart w:id="85" w:name="_Toc224103306"/>
      <w:bookmarkStart w:id="86" w:name="_Toc287620674"/>
    </w:p>
    <w:bookmarkEnd w:id="83"/>
    <w:bookmarkEnd w:id="84"/>
    <w:bookmarkEnd w:id="85"/>
    <w:bookmarkEnd w:id="86"/>
    <w:p w14:paraId="0C431B0E">
      <w:pPr>
        <w:pStyle w:val="3"/>
        <w:spacing w:line="360" w:lineRule="auto"/>
        <w:jc w:val="center"/>
        <w:rPr>
          <w:rFonts w:ascii="宋体" w:hAnsi="宋体"/>
          <w:bCs w:val="0"/>
          <w:snapToGrid w:val="0"/>
          <w:kern w:val="0"/>
          <w:highlight w:val="none"/>
        </w:rPr>
      </w:pPr>
      <w:bookmarkStart w:id="87" w:name="_Toc21224"/>
      <w:bookmarkStart w:id="88" w:name="_Toc287620683"/>
      <w:bookmarkStart w:id="89" w:name="_Toc287607744"/>
      <w:bookmarkStart w:id="90" w:name="_Toc224103315"/>
      <w:bookmarkStart w:id="91" w:name="_Toc23562"/>
      <w:bookmarkStart w:id="92" w:name="_Toc430530432"/>
      <w:r>
        <w:rPr>
          <w:rFonts w:ascii="宋体" w:hAnsi="宋体"/>
          <w:snapToGrid w:val="0"/>
          <w:kern w:val="0"/>
          <w:highlight w:val="none"/>
        </w:rPr>
        <w:t xml:space="preserve">第二章  </w:t>
      </w:r>
      <w:r>
        <w:rPr>
          <w:rFonts w:hint="eastAsia" w:ascii="宋体" w:hAnsi="宋体"/>
          <w:snapToGrid w:val="0"/>
          <w:kern w:val="0"/>
          <w:highlight w:val="none"/>
          <w:lang w:eastAsia="zh-CN"/>
        </w:rPr>
        <w:t>比选申请人</w:t>
      </w:r>
      <w:r>
        <w:rPr>
          <w:rFonts w:ascii="宋体" w:hAnsi="宋体"/>
          <w:snapToGrid w:val="0"/>
          <w:kern w:val="0"/>
          <w:highlight w:val="none"/>
        </w:rPr>
        <w:t>须知</w:t>
      </w:r>
      <w:bookmarkEnd w:id="87"/>
      <w:bookmarkEnd w:id="88"/>
      <w:bookmarkEnd w:id="89"/>
      <w:bookmarkEnd w:id="90"/>
      <w:bookmarkEnd w:id="91"/>
      <w:bookmarkEnd w:id="92"/>
      <w:bookmarkStart w:id="93" w:name="_Toc430530433"/>
      <w:bookmarkStart w:id="94" w:name="_Toc287607745"/>
      <w:bookmarkStart w:id="95" w:name="_Toc224103316"/>
      <w:bookmarkStart w:id="96" w:name="_Toc287620684"/>
      <w:bookmarkStart w:id="97" w:name="_Toc277082551"/>
    </w:p>
    <w:p w14:paraId="17C7B5B6">
      <w:pPr>
        <w:pStyle w:val="4"/>
        <w:spacing w:before="100" w:after="100" w:line="360" w:lineRule="auto"/>
        <w:rPr>
          <w:rFonts w:ascii="宋体" w:hAnsi="宋体"/>
          <w:highlight w:val="none"/>
        </w:rPr>
      </w:pPr>
      <w:bookmarkStart w:id="98" w:name="_Toc18639"/>
      <w:bookmarkStart w:id="99" w:name="_Toc14054"/>
      <w:bookmarkStart w:id="100" w:name="_Toc509218708"/>
      <w:r>
        <w:rPr>
          <w:rFonts w:hint="eastAsia" w:ascii="宋体" w:hAnsi="宋体"/>
          <w:highlight w:val="none"/>
          <w:lang w:eastAsia="zh-CN"/>
        </w:rPr>
        <w:t>比选申请人</w:t>
      </w:r>
      <w:r>
        <w:rPr>
          <w:rFonts w:hint="eastAsia" w:ascii="宋体" w:hAnsi="宋体"/>
          <w:highlight w:val="none"/>
        </w:rPr>
        <w:t>须知前附表</w:t>
      </w:r>
      <w:bookmarkEnd w:id="93"/>
      <w:bookmarkEnd w:id="94"/>
      <w:bookmarkEnd w:id="95"/>
      <w:bookmarkEnd w:id="96"/>
      <w:bookmarkEnd w:id="97"/>
      <w:bookmarkEnd w:id="98"/>
      <w:bookmarkEnd w:id="99"/>
      <w:bookmarkEnd w:id="100"/>
    </w:p>
    <w:p w14:paraId="5E90CB08">
      <w:pPr>
        <w:spacing w:line="360" w:lineRule="auto"/>
        <w:ind w:firstLine="420" w:firstLineChars="200"/>
        <w:rPr>
          <w:rFonts w:ascii="宋体" w:hAnsi="宋体"/>
          <w:szCs w:val="21"/>
          <w:highlight w:val="none"/>
        </w:rPr>
      </w:pPr>
      <w:r>
        <w:rPr>
          <w:rFonts w:ascii="宋体" w:hAnsi="宋体"/>
          <w:szCs w:val="21"/>
          <w:highlight w:val="none"/>
        </w:rPr>
        <w:t>正文内容不允许修改。若</w:t>
      </w:r>
      <w:r>
        <w:rPr>
          <w:rFonts w:hint="eastAsia" w:ascii="宋体" w:hAnsi="宋体"/>
          <w:szCs w:val="21"/>
          <w:highlight w:val="none"/>
          <w:lang w:eastAsia="zh-CN"/>
        </w:rPr>
        <w:t>比选申请人</w:t>
      </w:r>
      <w:r>
        <w:rPr>
          <w:rFonts w:ascii="宋体" w:hAnsi="宋体"/>
          <w:szCs w:val="21"/>
          <w:highlight w:val="none"/>
        </w:rPr>
        <w:t>须知前附表与正文不一致的地方，以</w:t>
      </w:r>
      <w:r>
        <w:rPr>
          <w:rFonts w:hint="eastAsia" w:ascii="宋体" w:hAnsi="宋体"/>
          <w:szCs w:val="21"/>
          <w:highlight w:val="none"/>
          <w:lang w:eastAsia="zh-CN"/>
        </w:rPr>
        <w:t>比选申请人</w:t>
      </w:r>
      <w:r>
        <w:rPr>
          <w:rFonts w:ascii="宋体" w:hAnsi="宋体"/>
          <w:szCs w:val="21"/>
          <w:highlight w:val="none"/>
        </w:rPr>
        <w:t>须知前附表为准。</w:t>
      </w:r>
    </w:p>
    <w:tbl>
      <w:tblPr>
        <w:tblStyle w:val="17"/>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44"/>
        <w:gridCol w:w="6490"/>
      </w:tblGrid>
      <w:tr w14:paraId="6F8F17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5DC2E09">
            <w:pPr>
              <w:keepNext w:val="0"/>
              <w:keepLines w:val="0"/>
              <w:pageBreakBefore w:val="0"/>
              <w:kinsoku/>
              <w:wordWrap/>
              <w:overflowPunct/>
              <w:topLinePunct w:val="0"/>
              <w:bidi w:val="0"/>
              <w:snapToGrid w:val="0"/>
              <w:spacing w:line="400" w:lineRule="exact"/>
              <w:jc w:val="center"/>
              <w:textAlignment w:val="auto"/>
              <w:rPr>
                <w:rFonts w:ascii="宋体" w:hAnsi="宋体"/>
                <w:b/>
                <w:kern w:val="0"/>
                <w:szCs w:val="21"/>
                <w:highlight w:val="none"/>
              </w:rPr>
            </w:pPr>
            <w:r>
              <w:rPr>
                <w:rFonts w:ascii="宋体" w:hAnsi="宋体"/>
                <w:b/>
                <w:kern w:val="0"/>
                <w:szCs w:val="21"/>
                <w:highlight w:val="none"/>
              </w:rPr>
              <w:t>条 款 号</w:t>
            </w:r>
          </w:p>
        </w:tc>
        <w:tc>
          <w:tcPr>
            <w:tcW w:w="1644" w:type="dxa"/>
            <w:vAlign w:val="center"/>
          </w:tcPr>
          <w:p w14:paraId="1C739DFB">
            <w:pPr>
              <w:keepNext w:val="0"/>
              <w:keepLines w:val="0"/>
              <w:pageBreakBefore w:val="0"/>
              <w:kinsoku/>
              <w:wordWrap/>
              <w:overflowPunct/>
              <w:topLinePunct w:val="0"/>
              <w:bidi w:val="0"/>
              <w:snapToGrid w:val="0"/>
              <w:spacing w:line="400" w:lineRule="exact"/>
              <w:jc w:val="center"/>
              <w:textAlignment w:val="auto"/>
              <w:rPr>
                <w:rFonts w:ascii="宋体" w:hAnsi="宋体"/>
                <w:b/>
                <w:kern w:val="0"/>
                <w:szCs w:val="21"/>
                <w:highlight w:val="none"/>
              </w:rPr>
            </w:pPr>
            <w:r>
              <w:rPr>
                <w:rFonts w:ascii="宋体" w:hAnsi="宋体"/>
                <w:b/>
                <w:kern w:val="0"/>
                <w:szCs w:val="21"/>
                <w:highlight w:val="none"/>
              </w:rPr>
              <w:t>条款名称</w:t>
            </w:r>
          </w:p>
        </w:tc>
        <w:tc>
          <w:tcPr>
            <w:tcW w:w="6490" w:type="dxa"/>
            <w:vAlign w:val="center"/>
          </w:tcPr>
          <w:p w14:paraId="24D2CDD6">
            <w:pPr>
              <w:keepNext w:val="0"/>
              <w:keepLines w:val="0"/>
              <w:pageBreakBefore w:val="0"/>
              <w:kinsoku/>
              <w:wordWrap/>
              <w:overflowPunct/>
              <w:topLinePunct w:val="0"/>
              <w:bidi w:val="0"/>
              <w:snapToGrid w:val="0"/>
              <w:spacing w:line="400" w:lineRule="exact"/>
              <w:jc w:val="center"/>
              <w:textAlignment w:val="auto"/>
              <w:rPr>
                <w:rFonts w:ascii="宋体" w:hAnsi="宋体"/>
                <w:b/>
                <w:kern w:val="0"/>
                <w:szCs w:val="21"/>
                <w:highlight w:val="none"/>
              </w:rPr>
            </w:pPr>
            <w:r>
              <w:rPr>
                <w:rFonts w:ascii="宋体" w:hAnsi="宋体"/>
                <w:b/>
                <w:kern w:val="0"/>
                <w:szCs w:val="21"/>
                <w:highlight w:val="none"/>
              </w:rPr>
              <w:t>编  列  内  容</w:t>
            </w:r>
          </w:p>
        </w:tc>
      </w:tr>
      <w:tr w14:paraId="6FEF2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9321D4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1.1.2</w:t>
            </w:r>
          </w:p>
        </w:tc>
        <w:tc>
          <w:tcPr>
            <w:tcW w:w="1644" w:type="dxa"/>
            <w:vAlign w:val="center"/>
          </w:tcPr>
          <w:p w14:paraId="78417BEF">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kern w:val="0"/>
                <w:szCs w:val="21"/>
                <w:highlight w:val="none"/>
                <w:lang w:eastAsia="zh-CN"/>
              </w:rPr>
            </w:pPr>
            <w:r>
              <w:rPr>
                <w:rFonts w:hint="eastAsia" w:ascii="宋体" w:hAnsi="宋体"/>
                <w:kern w:val="0"/>
                <w:szCs w:val="21"/>
                <w:highlight w:val="none"/>
                <w:lang w:eastAsia="zh-CN"/>
              </w:rPr>
              <w:t>比选人</w:t>
            </w:r>
          </w:p>
        </w:tc>
        <w:tc>
          <w:tcPr>
            <w:tcW w:w="6490" w:type="dxa"/>
            <w:vAlign w:val="center"/>
          </w:tcPr>
          <w:p w14:paraId="698B7514">
            <w:pPr>
              <w:keepNext w:val="0"/>
              <w:keepLines w:val="0"/>
              <w:pageBreakBefore w:val="0"/>
              <w:kinsoku/>
              <w:wordWrap/>
              <w:overflowPunct/>
              <w:topLinePunct w:val="0"/>
              <w:bidi w:val="0"/>
              <w:snapToGrid w:val="0"/>
              <w:spacing w:line="400" w:lineRule="exact"/>
              <w:textAlignment w:val="auto"/>
              <w:rPr>
                <w:rFonts w:ascii="宋体" w:hAnsi="宋体"/>
                <w:kern w:val="0"/>
                <w:szCs w:val="21"/>
                <w:highlight w:val="none"/>
                <w:u w:val="none"/>
              </w:rPr>
            </w:pPr>
            <w:r>
              <w:rPr>
                <w:rFonts w:ascii="宋体" w:hAnsi="宋体"/>
                <w:kern w:val="0"/>
                <w:szCs w:val="21"/>
                <w:highlight w:val="none"/>
                <w:u w:val="none"/>
              </w:rPr>
              <w:t>名称：</w:t>
            </w:r>
            <w:r>
              <w:rPr>
                <w:rFonts w:hint="eastAsia" w:ascii="宋体" w:hAnsi="宋体"/>
                <w:kern w:val="0"/>
                <w:szCs w:val="21"/>
                <w:highlight w:val="none"/>
                <w:u w:val="none"/>
                <w:lang w:eastAsia="zh-CN"/>
              </w:rPr>
              <w:t>重庆市江南城市建设发展(集团)有限公司</w:t>
            </w:r>
          </w:p>
          <w:p w14:paraId="58AE305B">
            <w:pPr>
              <w:keepNext w:val="0"/>
              <w:keepLines w:val="0"/>
              <w:pageBreakBefore w:val="0"/>
              <w:kinsoku/>
              <w:wordWrap/>
              <w:overflowPunct/>
              <w:topLinePunct w:val="0"/>
              <w:bidi w:val="0"/>
              <w:snapToGrid w:val="0"/>
              <w:spacing w:line="400" w:lineRule="exact"/>
              <w:textAlignment w:val="auto"/>
              <w:rPr>
                <w:rFonts w:ascii="宋体" w:hAnsi="宋体"/>
                <w:kern w:val="0"/>
                <w:szCs w:val="21"/>
                <w:highlight w:val="none"/>
                <w:u w:val="none"/>
              </w:rPr>
            </w:pPr>
            <w:r>
              <w:rPr>
                <w:rFonts w:ascii="宋体" w:hAnsi="宋体"/>
                <w:kern w:val="0"/>
                <w:szCs w:val="21"/>
                <w:highlight w:val="none"/>
                <w:u w:val="none"/>
              </w:rPr>
              <w:t>地址：</w:t>
            </w:r>
            <w:r>
              <w:rPr>
                <w:rFonts w:hint="eastAsia" w:ascii="宋体" w:hAnsi="宋体"/>
                <w:kern w:val="0"/>
                <w:szCs w:val="21"/>
                <w:highlight w:val="none"/>
                <w:u w:val="none"/>
                <w:lang w:val="en-US" w:eastAsia="zh-CN"/>
              </w:rPr>
              <w:t>重庆市茶园新区通江大道米兰路电子信息标准厂房2号楼</w:t>
            </w:r>
          </w:p>
          <w:p w14:paraId="11386ED4">
            <w:pPr>
              <w:keepNext w:val="0"/>
              <w:keepLines w:val="0"/>
              <w:pageBreakBefore w:val="0"/>
              <w:kinsoku/>
              <w:wordWrap/>
              <w:overflowPunct/>
              <w:topLinePunct w:val="0"/>
              <w:bidi w:val="0"/>
              <w:snapToGrid w:val="0"/>
              <w:spacing w:line="400" w:lineRule="exact"/>
              <w:textAlignment w:val="auto"/>
              <w:rPr>
                <w:rFonts w:ascii="宋体" w:hAnsi="宋体"/>
                <w:kern w:val="0"/>
                <w:szCs w:val="21"/>
                <w:highlight w:val="none"/>
                <w:u w:val="none"/>
              </w:rPr>
            </w:pPr>
            <w:r>
              <w:rPr>
                <w:rFonts w:hint="eastAsia" w:ascii="宋体" w:hAnsi="宋体"/>
                <w:snapToGrid w:val="0"/>
                <w:kern w:val="0"/>
                <w:szCs w:val="21"/>
                <w:highlight w:val="none"/>
                <w:u w:val="none"/>
                <w:lang w:val="en-US" w:eastAsia="zh-CN"/>
              </w:rPr>
              <w:t>项目负责人</w:t>
            </w:r>
            <w:r>
              <w:rPr>
                <w:rFonts w:ascii="宋体" w:hAnsi="宋体"/>
                <w:kern w:val="0"/>
                <w:szCs w:val="21"/>
                <w:highlight w:val="none"/>
                <w:u w:val="none"/>
              </w:rPr>
              <w:t>：</w:t>
            </w:r>
            <w:r>
              <w:rPr>
                <w:rFonts w:hint="eastAsia" w:ascii="宋体" w:hAnsi="宋体"/>
                <w:snapToGrid w:val="0"/>
                <w:kern w:val="0"/>
                <w:szCs w:val="21"/>
                <w:highlight w:val="none"/>
                <w:u w:val="none"/>
                <w:lang w:val="en-US" w:eastAsia="zh-CN"/>
              </w:rPr>
              <w:t>赵老师</w:t>
            </w:r>
          </w:p>
          <w:p w14:paraId="0F5EB40E">
            <w:pPr>
              <w:keepNext w:val="0"/>
              <w:keepLines w:val="0"/>
              <w:pageBreakBefore w:val="0"/>
              <w:kinsoku/>
              <w:wordWrap/>
              <w:overflowPunct/>
              <w:topLinePunct w:val="0"/>
              <w:bidi w:val="0"/>
              <w:snapToGrid w:val="0"/>
              <w:spacing w:line="400" w:lineRule="exact"/>
              <w:textAlignment w:val="auto"/>
              <w:rPr>
                <w:rFonts w:ascii="宋体" w:hAnsi="宋体"/>
                <w:kern w:val="0"/>
                <w:szCs w:val="21"/>
                <w:highlight w:val="none"/>
                <w:u w:val="none"/>
              </w:rPr>
            </w:pPr>
            <w:r>
              <w:rPr>
                <w:rFonts w:ascii="宋体" w:hAnsi="宋体"/>
                <w:kern w:val="0"/>
                <w:szCs w:val="21"/>
                <w:highlight w:val="none"/>
                <w:u w:val="none"/>
              </w:rPr>
              <w:t>电话：</w:t>
            </w:r>
            <w:r>
              <w:rPr>
                <w:rFonts w:hint="eastAsia" w:ascii="宋体" w:hAnsi="宋体"/>
                <w:kern w:val="0"/>
                <w:szCs w:val="21"/>
                <w:highlight w:val="none"/>
                <w:u w:val="none"/>
                <w:lang w:val="en-US" w:eastAsia="zh-CN"/>
              </w:rPr>
              <w:t>023-62820162</w:t>
            </w:r>
          </w:p>
        </w:tc>
      </w:tr>
      <w:tr w14:paraId="314785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FEC013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1.1.3</w:t>
            </w:r>
          </w:p>
        </w:tc>
        <w:tc>
          <w:tcPr>
            <w:tcW w:w="1644" w:type="dxa"/>
            <w:vAlign w:val="center"/>
          </w:tcPr>
          <w:p w14:paraId="16DE481D">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kern w:val="0"/>
                <w:szCs w:val="21"/>
                <w:highlight w:val="none"/>
                <w:lang w:eastAsia="zh-CN"/>
              </w:rPr>
            </w:pPr>
            <w:r>
              <w:rPr>
                <w:rFonts w:hint="eastAsia" w:ascii="宋体" w:hAnsi="宋体"/>
                <w:kern w:val="0"/>
                <w:szCs w:val="21"/>
                <w:highlight w:val="none"/>
                <w:lang w:eastAsia="zh-CN"/>
              </w:rPr>
              <w:t>比选代理机构</w:t>
            </w:r>
          </w:p>
        </w:tc>
        <w:tc>
          <w:tcPr>
            <w:tcW w:w="6490" w:type="dxa"/>
            <w:vAlign w:val="center"/>
          </w:tcPr>
          <w:p w14:paraId="7A575F5B">
            <w:pPr>
              <w:keepNext w:val="0"/>
              <w:keepLines w:val="0"/>
              <w:pageBreakBefore w:val="0"/>
              <w:kinsoku/>
              <w:wordWrap/>
              <w:overflowPunct/>
              <w:topLinePunct w:val="0"/>
              <w:bidi w:val="0"/>
              <w:snapToGrid w:val="0"/>
              <w:spacing w:line="400" w:lineRule="exact"/>
              <w:textAlignment w:val="auto"/>
              <w:rPr>
                <w:rFonts w:ascii="宋体" w:hAnsi="宋体"/>
                <w:kern w:val="0"/>
                <w:szCs w:val="21"/>
                <w:highlight w:val="none"/>
                <w:u w:val="none"/>
              </w:rPr>
            </w:pPr>
            <w:r>
              <w:rPr>
                <w:rFonts w:ascii="宋体" w:hAnsi="宋体"/>
                <w:kern w:val="0"/>
                <w:szCs w:val="21"/>
                <w:highlight w:val="none"/>
                <w:u w:val="none"/>
              </w:rPr>
              <w:t>名称：</w:t>
            </w:r>
            <w:r>
              <w:rPr>
                <w:rFonts w:hint="eastAsia" w:ascii="宋体" w:hAnsi="宋体"/>
                <w:snapToGrid w:val="0"/>
                <w:kern w:val="0"/>
                <w:szCs w:val="21"/>
                <w:highlight w:val="none"/>
                <w:u w:val="none"/>
                <w:lang w:eastAsia="zh-CN"/>
              </w:rPr>
              <w:t>红城国际工程项目管理有限公司</w:t>
            </w:r>
          </w:p>
          <w:p w14:paraId="3044D355">
            <w:pPr>
              <w:keepNext w:val="0"/>
              <w:keepLines w:val="0"/>
              <w:pageBreakBefore w:val="0"/>
              <w:kinsoku/>
              <w:wordWrap/>
              <w:overflowPunct/>
              <w:topLinePunct w:val="0"/>
              <w:bidi w:val="0"/>
              <w:snapToGrid w:val="0"/>
              <w:spacing w:line="400" w:lineRule="exact"/>
              <w:textAlignment w:val="auto"/>
              <w:rPr>
                <w:rFonts w:hint="default" w:ascii="宋体" w:hAnsi="宋体"/>
                <w:kern w:val="0"/>
                <w:szCs w:val="21"/>
                <w:highlight w:val="none"/>
                <w:u w:val="none"/>
                <w:lang w:val="en-US"/>
              </w:rPr>
            </w:pPr>
            <w:r>
              <w:rPr>
                <w:rFonts w:ascii="宋体" w:hAnsi="宋体"/>
                <w:kern w:val="0"/>
                <w:szCs w:val="21"/>
                <w:highlight w:val="none"/>
                <w:u w:val="none"/>
              </w:rPr>
              <w:t>地址：</w:t>
            </w:r>
            <w:r>
              <w:rPr>
                <w:rFonts w:hint="eastAsia" w:ascii="宋体" w:hAnsi="宋体"/>
                <w:snapToGrid w:val="0"/>
                <w:kern w:val="0"/>
                <w:szCs w:val="21"/>
                <w:highlight w:val="none"/>
                <w:u w:val="none"/>
              </w:rPr>
              <w:t>重庆市</w:t>
            </w:r>
            <w:r>
              <w:rPr>
                <w:rFonts w:hint="eastAsia" w:ascii="宋体" w:hAnsi="宋体"/>
                <w:snapToGrid w:val="0"/>
                <w:kern w:val="0"/>
                <w:szCs w:val="21"/>
                <w:highlight w:val="none"/>
                <w:u w:val="none"/>
                <w:lang w:eastAsia="zh-CN"/>
              </w:rPr>
              <w:t>渝北区黄山大道中段两江新界</w:t>
            </w:r>
            <w:r>
              <w:rPr>
                <w:rFonts w:hint="eastAsia" w:ascii="宋体" w:hAnsi="宋体"/>
                <w:snapToGrid w:val="0"/>
                <w:kern w:val="0"/>
                <w:szCs w:val="21"/>
                <w:highlight w:val="none"/>
                <w:u w:val="none"/>
                <w:lang w:val="en-US" w:eastAsia="zh-CN"/>
              </w:rPr>
              <w:t>2栋17楼1号</w:t>
            </w:r>
          </w:p>
          <w:p w14:paraId="022F2F1E">
            <w:pPr>
              <w:keepNext w:val="0"/>
              <w:keepLines w:val="0"/>
              <w:pageBreakBefore w:val="0"/>
              <w:kinsoku/>
              <w:wordWrap/>
              <w:overflowPunct/>
              <w:topLinePunct w:val="0"/>
              <w:bidi w:val="0"/>
              <w:snapToGrid w:val="0"/>
              <w:spacing w:line="400" w:lineRule="exact"/>
              <w:textAlignment w:val="auto"/>
              <w:rPr>
                <w:rFonts w:ascii="宋体" w:hAnsi="宋体"/>
                <w:kern w:val="0"/>
                <w:szCs w:val="21"/>
                <w:highlight w:val="none"/>
                <w:u w:val="none"/>
              </w:rPr>
            </w:pPr>
            <w:r>
              <w:rPr>
                <w:rFonts w:hint="eastAsia" w:ascii="宋体" w:hAnsi="宋体"/>
                <w:snapToGrid w:val="0"/>
                <w:kern w:val="0"/>
                <w:szCs w:val="21"/>
                <w:highlight w:val="none"/>
                <w:u w:val="none"/>
                <w:lang w:val="en-US" w:eastAsia="zh-CN"/>
              </w:rPr>
              <w:t>项目负责人</w:t>
            </w:r>
            <w:r>
              <w:rPr>
                <w:rFonts w:ascii="宋体" w:hAnsi="宋体"/>
                <w:kern w:val="0"/>
                <w:szCs w:val="21"/>
                <w:highlight w:val="none"/>
                <w:u w:val="none"/>
              </w:rPr>
              <w:t>：</w:t>
            </w:r>
            <w:r>
              <w:rPr>
                <w:rFonts w:hint="eastAsia" w:ascii="宋体" w:hAnsi="宋体"/>
                <w:kern w:val="0"/>
                <w:szCs w:val="21"/>
                <w:highlight w:val="none"/>
                <w:u w:val="none"/>
                <w:lang w:val="en-US" w:eastAsia="zh-CN"/>
              </w:rPr>
              <w:t>彭爽</w:t>
            </w:r>
          </w:p>
          <w:p w14:paraId="36B010C7">
            <w:pPr>
              <w:keepNext w:val="0"/>
              <w:keepLines w:val="0"/>
              <w:pageBreakBefore w:val="0"/>
              <w:kinsoku/>
              <w:wordWrap/>
              <w:overflowPunct/>
              <w:topLinePunct w:val="0"/>
              <w:bidi w:val="0"/>
              <w:snapToGrid w:val="0"/>
              <w:spacing w:line="400" w:lineRule="exact"/>
              <w:textAlignment w:val="auto"/>
              <w:rPr>
                <w:rFonts w:ascii="宋体" w:hAnsi="宋体"/>
                <w:kern w:val="0"/>
                <w:szCs w:val="21"/>
                <w:highlight w:val="none"/>
                <w:u w:val="none"/>
              </w:rPr>
            </w:pPr>
            <w:r>
              <w:rPr>
                <w:rFonts w:ascii="宋体" w:hAnsi="宋体"/>
                <w:kern w:val="0"/>
                <w:szCs w:val="21"/>
                <w:highlight w:val="none"/>
                <w:u w:val="none"/>
              </w:rPr>
              <w:t>电话：</w:t>
            </w:r>
            <w:r>
              <w:rPr>
                <w:rFonts w:hint="eastAsia" w:ascii="宋体" w:hAnsi="宋体"/>
                <w:kern w:val="0"/>
                <w:szCs w:val="21"/>
                <w:highlight w:val="none"/>
                <w:u w:val="none"/>
                <w:lang w:val="en-US" w:eastAsia="zh-CN"/>
              </w:rPr>
              <w:t>023-67559507</w:t>
            </w:r>
          </w:p>
        </w:tc>
      </w:tr>
      <w:tr w14:paraId="41A87D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5A3FCB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1.1.4</w:t>
            </w:r>
          </w:p>
        </w:tc>
        <w:tc>
          <w:tcPr>
            <w:tcW w:w="1644" w:type="dxa"/>
            <w:vAlign w:val="center"/>
          </w:tcPr>
          <w:p w14:paraId="1061AAC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项目名称</w:t>
            </w:r>
          </w:p>
        </w:tc>
        <w:tc>
          <w:tcPr>
            <w:tcW w:w="6490" w:type="dxa"/>
            <w:vAlign w:val="center"/>
          </w:tcPr>
          <w:p w14:paraId="38F91C32">
            <w:pPr>
              <w:keepNext w:val="0"/>
              <w:keepLines w:val="0"/>
              <w:pageBreakBefore w:val="0"/>
              <w:kinsoku/>
              <w:wordWrap/>
              <w:overflowPunct/>
              <w:topLinePunct w:val="0"/>
              <w:bidi w:val="0"/>
              <w:snapToGrid w:val="0"/>
              <w:spacing w:line="400" w:lineRule="exact"/>
              <w:jc w:val="left"/>
              <w:textAlignment w:val="auto"/>
              <w:rPr>
                <w:rFonts w:ascii="宋体" w:hAnsi="宋体"/>
                <w:szCs w:val="21"/>
                <w:highlight w:val="none"/>
                <w:u w:val="none"/>
              </w:rPr>
            </w:pPr>
            <w:r>
              <w:rPr>
                <w:rFonts w:hint="eastAsia" w:ascii="宋体" w:hAnsi="宋体" w:cs="Times New Roman"/>
                <w:snapToGrid w:val="0"/>
                <w:kern w:val="0"/>
                <w:szCs w:val="21"/>
                <w:highlight w:val="none"/>
                <w:u w:val="none"/>
                <w:lang w:eastAsia="zh-CN"/>
              </w:rPr>
              <w:t>南岸区2025年供水管网更新改造工程（帷幄大厦应急整治工程）</w:t>
            </w:r>
            <w:r>
              <w:rPr>
                <w:rFonts w:hint="eastAsia" w:ascii="宋体" w:hAnsi="宋体" w:eastAsia="宋体" w:cs="Times New Roman"/>
                <w:snapToGrid w:val="0"/>
                <w:kern w:val="0"/>
                <w:szCs w:val="21"/>
                <w:highlight w:val="none"/>
                <w:u w:val="none"/>
                <w:lang w:val="en-US" w:eastAsia="zh-CN"/>
              </w:rPr>
              <w:t xml:space="preserve">   </w:t>
            </w:r>
            <w:r>
              <w:rPr>
                <w:rFonts w:hint="eastAsia" w:asciiTheme="minorEastAsia" w:hAnsiTheme="minorEastAsia" w:eastAsiaTheme="minorEastAsia" w:cstheme="minorEastAsia"/>
                <w:color w:val="auto"/>
                <w:szCs w:val="21"/>
                <w:highlight w:val="none"/>
                <w:u w:val="none"/>
                <w:lang w:val="en-US" w:eastAsia="zh-CN"/>
              </w:rPr>
              <w:t xml:space="preserve">     </w:t>
            </w:r>
          </w:p>
        </w:tc>
      </w:tr>
      <w:tr w14:paraId="16B0E9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A8C7A8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1.1.5</w:t>
            </w:r>
          </w:p>
        </w:tc>
        <w:tc>
          <w:tcPr>
            <w:tcW w:w="1644" w:type="dxa"/>
            <w:vAlign w:val="center"/>
          </w:tcPr>
          <w:p w14:paraId="4750268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建设地点</w:t>
            </w:r>
          </w:p>
        </w:tc>
        <w:tc>
          <w:tcPr>
            <w:tcW w:w="6490" w:type="dxa"/>
            <w:vAlign w:val="center"/>
          </w:tcPr>
          <w:p w14:paraId="3B14CCC5">
            <w:pPr>
              <w:keepNext w:val="0"/>
              <w:keepLines w:val="0"/>
              <w:pageBreakBefore w:val="0"/>
              <w:kinsoku/>
              <w:wordWrap/>
              <w:overflowPunct/>
              <w:topLinePunct w:val="0"/>
              <w:bidi w:val="0"/>
              <w:snapToGrid w:val="0"/>
              <w:spacing w:line="400" w:lineRule="exact"/>
              <w:jc w:val="left"/>
              <w:textAlignment w:val="auto"/>
              <w:rPr>
                <w:rFonts w:ascii="宋体" w:hAnsi="宋体"/>
                <w:szCs w:val="21"/>
                <w:highlight w:val="none"/>
                <w:u w:val="none"/>
              </w:rPr>
            </w:pPr>
            <w:r>
              <w:rPr>
                <w:rFonts w:hint="eastAsia" w:ascii="宋体" w:hAnsi="宋体"/>
                <w:snapToGrid w:val="0"/>
                <w:color w:val="auto"/>
                <w:kern w:val="0"/>
                <w:szCs w:val="21"/>
                <w:highlight w:val="none"/>
                <w:u w:val="single"/>
                <w:lang w:val="en-US" w:eastAsia="zh-CN"/>
              </w:rPr>
              <w:t>重庆市南岸区南坪东路15号</w:t>
            </w:r>
          </w:p>
        </w:tc>
      </w:tr>
      <w:tr w14:paraId="646B69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E6A44D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1.1.6</w:t>
            </w:r>
          </w:p>
        </w:tc>
        <w:tc>
          <w:tcPr>
            <w:tcW w:w="1644" w:type="dxa"/>
            <w:vAlign w:val="center"/>
          </w:tcPr>
          <w:p w14:paraId="61156EA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建设规模</w:t>
            </w:r>
          </w:p>
        </w:tc>
        <w:tc>
          <w:tcPr>
            <w:tcW w:w="6490" w:type="dxa"/>
            <w:vAlign w:val="center"/>
          </w:tcPr>
          <w:p w14:paraId="03553A1E">
            <w:pPr>
              <w:keepNext w:val="0"/>
              <w:keepLines w:val="0"/>
              <w:pageBreakBefore w:val="0"/>
              <w:tabs>
                <w:tab w:val="left" w:pos="3840"/>
                <w:tab w:val="left" w:pos="5300"/>
              </w:tabs>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i/>
                <w:snapToGrid w:val="0"/>
                <w:kern w:val="0"/>
                <w:szCs w:val="21"/>
                <w:highlight w:val="none"/>
              </w:rPr>
            </w:pPr>
            <w:r>
              <w:rPr>
                <w:rFonts w:hint="eastAsia" w:ascii="宋体" w:hAnsi="宋体"/>
                <w:snapToGrid w:val="0"/>
                <w:kern w:val="0"/>
                <w:szCs w:val="21"/>
                <w:highlight w:val="none"/>
                <w:u w:val="single"/>
                <w:lang w:val="en-US" w:eastAsia="zh-CN"/>
              </w:rPr>
              <w:t>本次改造含建筑1栋，为商住混合楼，现状供水分区：1-5层为直供，6-20层为二供。每层楼6户，直供周户为30户，二次供水总户数为：90户。包含庭院、立管及表后管道、水泵及用户水表改造安装。</w:t>
            </w:r>
          </w:p>
        </w:tc>
      </w:tr>
      <w:tr w14:paraId="5250F0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60B978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1.2.1</w:t>
            </w:r>
          </w:p>
        </w:tc>
        <w:tc>
          <w:tcPr>
            <w:tcW w:w="1644" w:type="dxa"/>
            <w:vAlign w:val="center"/>
          </w:tcPr>
          <w:p w14:paraId="5E7B146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资金来源</w:t>
            </w:r>
          </w:p>
        </w:tc>
        <w:tc>
          <w:tcPr>
            <w:tcW w:w="6490" w:type="dxa"/>
            <w:vAlign w:val="center"/>
          </w:tcPr>
          <w:p w14:paraId="46FE741A">
            <w:pPr>
              <w:keepNext w:val="0"/>
              <w:keepLines w:val="0"/>
              <w:pageBreakBefore w:val="0"/>
              <w:tabs>
                <w:tab w:val="left" w:pos="3840"/>
                <w:tab w:val="left" w:pos="5300"/>
              </w:tabs>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napToGrid w:val="0"/>
                <w:kern w:val="0"/>
                <w:szCs w:val="21"/>
                <w:highlight w:val="none"/>
              </w:rPr>
            </w:pPr>
            <w:r>
              <w:rPr>
                <w:rFonts w:hint="eastAsia" w:ascii="宋体" w:hAnsi="宋体"/>
                <w:snapToGrid w:val="0"/>
                <w:kern w:val="0"/>
                <w:szCs w:val="21"/>
                <w:highlight w:val="none"/>
                <w:u w:val="single"/>
                <w:lang w:val="en-US" w:eastAsia="zh-CN"/>
              </w:rPr>
              <w:t>财政资金</w:t>
            </w:r>
          </w:p>
        </w:tc>
      </w:tr>
      <w:tr w14:paraId="455369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2BB13F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1.2.2</w:t>
            </w:r>
          </w:p>
        </w:tc>
        <w:tc>
          <w:tcPr>
            <w:tcW w:w="1644" w:type="dxa"/>
            <w:vAlign w:val="center"/>
          </w:tcPr>
          <w:p w14:paraId="6E2206D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出资比例</w:t>
            </w:r>
          </w:p>
        </w:tc>
        <w:tc>
          <w:tcPr>
            <w:tcW w:w="6490" w:type="dxa"/>
            <w:vAlign w:val="center"/>
          </w:tcPr>
          <w:p w14:paraId="2CA8FB8D">
            <w:pPr>
              <w:keepNext w:val="0"/>
              <w:keepLines w:val="0"/>
              <w:pageBreakBefore w:val="0"/>
              <w:kinsoku/>
              <w:wordWrap/>
              <w:overflowPunct/>
              <w:topLinePunct w:val="0"/>
              <w:bidi w:val="0"/>
              <w:snapToGrid w:val="0"/>
              <w:spacing w:line="400" w:lineRule="exact"/>
              <w:ind w:firstLine="420" w:firstLineChars="200"/>
              <w:jc w:val="left"/>
              <w:textAlignment w:val="auto"/>
              <w:rPr>
                <w:rFonts w:ascii="宋体" w:hAnsi="宋体"/>
                <w:szCs w:val="21"/>
                <w:highlight w:val="none"/>
                <w:u w:val="single"/>
              </w:rPr>
            </w:pPr>
            <w:r>
              <w:rPr>
                <w:rFonts w:hint="eastAsia" w:ascii="宋体" w:hAnsi="宋体"/>
                <w:szCs w:val="21"/>
                <w:highlight w:val="none"/>
                <w:u w:val="single"/>
              </w:rPr>
              <w:t>100%</w:t>
            </w:r>
          </w:p>
        </w:tc>
      </w:tr>
      <w:tr w14:paraId="2A4E0B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A01D5D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1.2.3</w:t>
            </w:r>
          </w:p>
        </w:tc>
        <w:tc>
          <w:tcPr>
            <w:tcW w:w="1644" w:type="dxa"/>
            <w:vAlign w:val="center"/>
          </w:tcPr>
          <w:p w14:paraId="4DDC212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资金落实情况</w:t>
            </w:r>
          </w:p>
        </w:tc>
        <w:tc>
          <w:tcPr>
            <w:tcW w:w="6490" w:type="dxa"/>
            <w:vAlign w:val="center"/>
          </w:tcPr>
          <w:p w14:paraId="4B1D9441">
            <w:pPr>
              <w:keepNext w:val="0"/>
              <w:keepLines w:val="0"/>
              <w:pageBreakBefore w:val="0"/>
              <w:kinsoku/>
              <w:wordWrap/>
              <w:overflowPunct/>
              <w:topLinePunct w:val="0"/>
              <w:bidi w:val="0"/>
              <w:snapToGrid w:val="0"/>
              <w:spacing w:line="400" w:lineRule="exact"/>
              <w:ind w:firstLine="420" w:firstLineChars="200"/>
              <w:jc w:val="left"/>
              <w:textAlignment w:val="auto"/>
              <w:rPr>
                <w:rFonts w:ascii="宋体" w:hAnsi="宋体"/>
                <w:szCs w:val="21"/>
                <w:highlight w:val="none"/>
                <w:u w:val="single"/>
              </w:rPr>
            </w:pPr>
            <w:r>
              <w:rPr>
                <w:rFonts w:hint="eastAsia" w:ascii="宋体" w:hAnsi="宋体"/>
                <w:szCs w:val="21"/>
                <w:highlight w:val="none"/>
                <w:u w:val="single"/>
              </w:rPr>
              <w:t>已落实</w:t>
            </w:r>
          </w:p>
        </w:tc>
      </w:tr>
      <w:tr w14:paraId="44F32C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4EBDB1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1.3.1</w:t>
            </w:r>
          </w:p>
        </w:tc>
        <w:tc>
          <w:tcPr>
            <w:tcW w:w="1644" w:type="dxa"/>
            <w:vAlign w:val="center"/>
          </w:tcPr>
          <w:p w14:paraId="4C33488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招标范围</w:t>
            </w:r>
          </w:p>
        </w:tc>
        <w:tc>
          <w:tcPr>
            <w:tcW w:w="6490" w:type="dxa"/>
            <w:vAlign w:val="center"/>
          </w:tcPr>
          <w:p w14:paraId="5EC592A0">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i/>
                <w:szCs w:val="21"/>
                <w:highlight w:val="none"/>
              </w:rPr>
            </w:pPr>
            <w:r>
              <w:rPr>
                <w:rFonts w:hint="eastAsia" w:ascii="宋体" w:hAnsi="宋体"/>
                <w:snapToGrid w:val="0"/>
                <w:kern w:val="0"/>
                <w:szCs w:val="21"/>
                <w:highlight w:val="none"/>
                <w:u w:val="single"/>
              </w:rPr>
              <w:t>具体范围详见施工图及工程量清单，若施工图及工程量清单不一致时，以工程量清单为准。</w:t>
            </w:r>
          </w:p>
        </w:tc>
      </w:tr>
      <w:tr w14:paraId="69C68C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A47456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1.3.2</w:t>
            </w:r>
          </w:p>
        </w:tc>
        <w:tc>
          <w:tcPr>
            <w:tcW w:w="1644" w:type="dxa"/>
            <w:vAlign w:val="center"/>
          </w:tcPr>
          <w:p w14:paraId="6EC6487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计划工期</w:t>
            </w:r>
          </w:p>
          <w:p w14:paraId="16ADCDC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缺陷责任期</w:t>
            </w:r>
          </w:p>
        </w:tc>
        <w:tc>
          <w:tcPr>
            <w:tcW w:w="6490" w:type="dxa"/>
            <w:vAlign w:val="center"/>
          </w:tcPr>
          <w:p w14:paraId="5BE18C2D">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napToGrid w:val="0"/>
                <w:kern w:val="0"/>
                <w:szCs w:val="21"/>
                <w:highlight w:val="none"/>
                <w:u w:val="single"/>
              </w:rPr>
            </w:pPr>
            <w:r>
              <w:rPr>
                <w:rFonts w:hint="eastAsia" w:ascii="宋体" w:hAnsi="宋体"/>
                <w:kern w:val="0"/>
                <w:szCs w:val="21"/>
                <w:highlight w:val="none"/>
              </w:rPr>
              <w:t>工期：</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90</w:t>
            </w:r>
            <w:r>
              <w:rPr>
                <w:rFonts w:hint="eastAsia" w:ascii="宋体" w:hAnsi="宋体"/>
                <w:snapToGrid w:val="0"/>
                <w:kern w:val="0"/>
                <w:szCs w:val="21"/>
                <w:highlight w:val="none"/>
                <w:u w:val="single"/>
              </w:rPr>
              <w:t>日历天</w:t>
            </w:r>
          </w:p>
          <w:p w14:paraId="4CC8FC04">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缺陷责任期：</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24</w:t>
            </w:r>
            <w:r>
              <w:rPr>
                <w:rFonts w:hint="eastAsia" w:ascii="宋体" w:hAnsi="宋体"/>
                <w:snapToGrid w:val="0"/>
                <w:kern w:val="0"/>
                <w:szCs w:val="21"/>
                <w:highlight w:val="none"/>
                <w:u w:val="single"/>
              </w:rPr>
              <w:t>个月</w:t>
            </w:r>
          </w:p>
        </w:tc>
      </w:tr>
      <w:tr w14:paraId="17690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8CED77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1.3.3</w:t>
            </w:r>
          </w:p>
        </w:tc>
        <w:tc>
          <w:tcPr>
            <w:tcW w:w="1644" w:type="dxa"/>
            <w:vAlign w:val="center"/>
          </w:tcPr>
          <w:p w14:paraId="585BAB7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质量要求</w:t>
            </w:r>
          </w:p>
        </w:tc>
        <w:tc>
          <w:tcPr>
            <w:tcW w:w="6490" w:type="dxa"/>
            <w:vAlign w:val="center"/>
          </w:tcPr>
          <w:p w14:paraId="05089E30">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符合强制性质量标准，</w:t>
            </w:r>
            <w:r>
              <w:rPr>
                <w:rFonts w:hint="eastAsia" w:ascii="宋体" w:hAnsi="宋体"/>
                <w:szCs w:val="21"/>
                <w:highlight w:val="none"/>
                <w:u w:val="single"/>
              </w:rPr>
              <w:t>符合</w:t>
            </w:r>
            <w:r>
              <w:rPr>
                <w:rFonts w:ascii="宋体" w:hAnsi="宋体"/>
                <w:szCs w:val="21"/>
                <w:highlight w:val="none"/>
                <w:u w:val="single"/>
              </w:rPr>
              <w:t>国家和重庆市现行有关施工质量验收规范要求，并达到合格标准</w:t>
            </w:r>
            <w:r>
              <w:rPr>
                <w:rFonts w:ascii="宋体" w:hAnsi="宋体"/>
                <w:szCs w:val="21"/>
                <w:highlight w:val="none"/>
              </w:rPr>
              <w:t>。</w:t>
            </w:r>
          </w:p>
        </w:tc>
      </w:tr>
      <w:tr w14:paraId="031C0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56AD0D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07BE33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4B40C2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73E6C7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248753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4E3A65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BC6BD0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DE03C5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5759E4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061CA0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4FD48F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3E93A6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6743E7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3A6066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9A7C73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4623E1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5F9591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97B315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1.4.1</w:t>
            </w:r>
          </w:p>
          <w:p w14:paraId="2056699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251353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9E7AB1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8D9D5D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832940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1992F5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A847A9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A5C5D9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51A733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D5988D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11DE36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949705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DBAD52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11E318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227CE5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3098B3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AB92FF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2F42C7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7EB874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64B934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EB3F9A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32822C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40181C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B89884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548B2B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D49A4E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81E058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C14966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0A98A0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1070AB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98400C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074037C">
            <w:pPr>
              <w:pStyle w:val="2"/>
              <w:rPr>
                <w:rFonts w:ascii="宋体" w:hAnsi="宋体"/>
                <w:kern w:val="0"/>
                <w:szCs w:val="21"/>
                <w:highlight w:val="none"/>
              </w:rPr>
            </w:pPr>
          </w:p>
          <w:p w14:paraId="330E480B">
            <w:pPr>
              <w:rPr>
                <w:rFonts w:ascii="宋体" w:hAnsi="宋体"/>
                <w:kern w:val="0"/>
                <w:szCs w:val="21"/>
                <w:highlight w:val="none"/>
              </w:rPr>
            </w:pPr>
          </w:p>
          <w:p w14:paraId="5589F31F">
            <w:pPr>
              <w:pStyle w:val="2"/>
              <w:rPr>
                <w:rFonts w:ascii="宋体" w:hAnsi="宋体"/>
                <w:kern w:val="0"/>
                <w:szCs w:val="21"/>
                <w:highlight w:val="none"/>
              </w:rPr>
            </w:pPr>
          </w:p>
          <w:p w14:paraId="054AF02C">
            <w:pPr>
              <w:rPr>
                <w:rFonts w:ascii="宋体" w:hAnsi="宋体"/>
                <w:kern w:val="0"/>
                <w:szCs w:val="21"/>
                <w:highlight w:val="none"/>
              </w:rPr>
            </w:pPr>
          </w:p>
          <w:p w14:paraId="54B23E94">
            <w:pPr>
              <w:pStyle w:val="2"/>
              <w:rPr>
                <w:highlight w:val="none"/>
              </w:rPr>
            </w:pPr>
          </w:p>
          <w:p w14:paraId="60CE548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1.4.1</w:t>
            </w:r>
          </w:p>
          <w:p w14:paraId="5CBF6E5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443E59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011223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41B2FF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7C042C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13A774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9B26F4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11E80A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1A3C24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2427C2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44AA2A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0C8B17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7984BF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9F7AD5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29A53A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2BE898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15DFD7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C143EC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FDDD7F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3C9593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87A84C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ADA75A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CAEFBC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C97C9B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F2B276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8534E4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690660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7A14D6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95DED6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EA1D44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798D57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B07078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B0B5513">
            <w:pPr>
              <w:pStyle w:val="2"/>
              <w:rPr>
                <w:rFonts w:ascii="宋体" w:hAnsi="宋体"/>
                <w:kern w:val="0"/>
                <w:szCs w:val="21"/>
                <w:highlight w:val="none"/>
              </w:rPr>
            </w:pPr>
          </w:p>
          <w:p w14:paraId="25C53A64"/>
          <w:p w14:paraId="10A9656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1.4.1</w:t>
            </w:r>
          </w:p>
          <w:p w14:paraId="592B0D1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91DDE4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8D3398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97C5AB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8DF1DD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140CA3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1B7F7C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0B6656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303668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CD959C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29FBC6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036DE6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82EC45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2AA7E5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3CA3E8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24B998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864F87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D33750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AB994F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6F601A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8DB4A87">
            <w:pPr>
              <w:keepNext w:val="0"/>
              <w:keepLines w:val="0"/>
              <w:pageBreakBefore w:val="0"/>
              <w:kinsoku/>
              <w:wordWrap/>
              <w:overflowPunct/>
              <w:topLinePunct w:val="0"/>
              <w:bidi w:val="0"/>
              <w:snapToGrid w:val="0"/>
              <w:spacing w:line="400" w:lineRule="exact"/>
              <w:jc w:val="both"/>
              <w:textAlignment w:val="auto"/>
              <w:rPr>
                <w:rFonts w:ascii="宋体" w:hAnsi="宋体"/>
                <w:kern w:val="0"/>
                <w:szCs w:val="21"/>
                <w:highlight w:val="none"/>
              </w:rPr>
            </w:pPr>
          </w:p>
          <w:p w14:paraId="41B76B3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tc>
        <w:tc>
          <w:tcPr>
            <w:tcW w:w="1644" w:type="dxa"/>
            <w:vAlign w:val="center"/>
          </w:tcPr>
          <w:p w14:paraId="2C999B6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3B3911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4AF162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10C056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BFBFDB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5E53E6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C78BC6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AC10B7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ABBB52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015BCC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C88EDE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8A3E36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85CABF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C9EB82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F728CA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CFE02B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A0BA0E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9F99EA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lang w:eastAsia="zh-CN"/>
              </w:rPr>
              <w:t>比选申请人</w:t>
            </w:r>
            <w:r>
              <w:rPr>
                <w:rFonts w:ascii="宋体" w:hAnsi="宋体"/>
                <w:kern w:val="0"/>
                <w:szCs w:val="21"/>
                <w:highlight w:val="none"/>
              </w:rPr>
              <w:t>资质条件、能力和信誉</w:t>
            </w:r>
          </w:p>
          <w:p w14:paraId="06F944D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3D1DF4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5000E0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BCDF90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11DC7F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A01AC9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C56B28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6490BB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0FF594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F20354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4C386D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CB6CF7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538B81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855739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07B6C5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644DD0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5EFC32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2CF970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3D59B5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90913B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334A65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1687AC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28E7FB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60BD2F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3314D3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57A93A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B77DCD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A66E7D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16343F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C67CCD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16A3878">
            <w:pPr>
              <w:pStyle w:val="2"/>
              <w:rPr>
                <w:rFonts w:ascii="宋体" w:hAnsi="宋体"/>
                <w:kern w:val="0"/>
                <w:szCs w:val="21"/>
                <w:highlight w:val="none"/>
              </w:rPr>
            </w:pPr>
          </w:p>
          <w:p w14:paraId="7C37F7F1">
            <w:pPr>
              <w:rPr>
                <w:rFonts w:ascii="宋体" w:hAnsi="宋体"/>
                <w:kern w:val="0"/>
                <w:szCs w:val="21"/>
                <w:highlight w:val="none"/>
              </w:rPr>
            </w:pPr>
          </w:p>
          <w:p w14:paraId="30780D56">
            <w:pPr>
              <w:pStyle w:val="2"/>
              <w:rPr>
                <w:rFonts w:ascii="宋体" w:hAnsi="宋体"/>
                <w:kern w:val="0"/>
                <w:szCs w:val="21"/>
                <w:highlight w:val="none"/>
              </w:rPr>
            </w:pPr>
          </w:p>
          <w:p w14:paraId="7C8F1636">
            <w:pPr>
              <w:rPr>
                <w:highlight w:val="none"/>
              </w:rPr>
            </w:pPr>
          </w:p>
          <w:p w14:paraId="27D0596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lang w:eastAsia="zh-CN"/>
              </w:rPr>
              <w:t>比选申请人</w:t>
            </w:r>
            <w:r>
              <w:rPr>
                <w:rFonts w:ascii="宋体" w:hAnsi="宋体"/>
                <w:kern w:val="0"/>
                <w:szCs w:val="21"/>
                <w:highlight w:val="none"/>
              </w:rPr>
              <w:t>资质条件、能力和信誉</w:t>
            </w:r>
          </w:p>
          <w:p w14:paraId="011CB91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EE089B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ECA653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041C72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FE1975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3AD224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0676B2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2761BD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CEE3E9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3A5810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6A63B3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A4443B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326F77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43FD60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BDB0A3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7D7487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28E681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0BEA75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1653EE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155028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08F10DF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C442FB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37A679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1429D8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312E8D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07EEDC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61F66D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1E4749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17D5A9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7D5BBB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7BBC99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C72A04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lang w:eastAsia="zh-CN"/>
              </w:rPr>
              <w:t>比选申请人</w:t>
            </w:r>
            <w:r>
              <w:rPr>
                <w:rFonts w:ascii="宋体" w:hAnsi="宋体"/>
                <w:kern w:val="0"/>
                <w:szCs w:val="21"/>
                <w:highlight w:val="none"/>
              </w:rPr>
              <w:t>资质条件、能力和信誉</w:t>
            </w:r>
          </w:p>
          <w:p w14:paraId="5F152DF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7AEEEF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489731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186170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F4F192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DB78FF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801417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4E7E3E0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9BCEC2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FED1A6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33368AF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24B421B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34834D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643C91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9278CD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18F598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48E984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6BA8F8A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17AC23A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737C2E4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p w14:paraId="5AF92891">
            <w:pPr>
              <w:keepNext w:val="0"/>
              <w:keepLines w:val="0"/>
              <w:pageBreakBefore w:val="0"/>
              <w:kinsoku/>
              <w:wordWrap/>
              <w:overflowPunct/>
              <w:topLinePunct w:val="0"/>
              <w:bidi w:val="0"/>
              <w:snapToGrid w:val="0"/>
              <w:spacing w:line="400" w:lineRule="exact"/>
              <w:jc w:val="both"/>
              <w:textAlignment w:val="auto"/>
              <w:rPr>
                <w:rFonts w:ascii="宋体" w:hAnsi="宋体"/>
                <w:kern w:val="0"/>
                <w:szCs w:val="21"/>
                <w:highlight w:val="none"/>
              </w:rPr>
            </w:pPr>
          </w:p>
        </w:tc>
        <w:tc>
          <w:tcPr>
            <w:tcW w:w="6490" w:type="dxa"/>
            <w:vAlign w:val="center"/>
          </w:tcPr>
          <w:p w14:paraId="5B74D3DA">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bookmarkStart w:id="101" w:name="OLE_LINK1"/>
            <w:r>
              <w:rPr>
                <w:rFonts w:ascii="宋体" w:hAnsi="宋体"/>
                <w:szCs w:val="21"/>
                <w:highlight w:val="none"/>
              </w:rPr>
              <w:t>本工程施工招标实行资格后审，</w:t>
            </w:r>
            <w:r>
              <w:rPr>
                <w:rFonts w:hint="eastAsia" w:ascii="宋体" w:hAnsi="宋体"/>
                <w:szCs w:val="21"/>
                <w:highlight w:val="none"/>
                <w:lang w:eastAsia="zh-CN"/>
              </w:rPr>
              <w:t>比选申请人</w:t>
            </w:r>
            <w:r>
              <w:rPr>
                <w:rFonts w:ascii="宋体" w:hAnsi="宋体"/>
                <w:szCs w:val="21"/>
                <w:highlight w:val="none"/>
              </w:rPr>
              <w:t>应</w:t>
            </w:r>
            <w:bookmarkStart w:id="102" w:name="一是"/>
            <w:bookmarkEnd w:id="102"/>
            <w:r>
              <w:rPr>
                <w:rFonts w:ascii="宋体" w:hAnsi="宋体"/>
                <w:szCs w:val="21"/>
                <w:highlight w:val="none"/>
              </w:rPr>
              <w:t>具备以下资格条件：</w:t>
            </w:r>
          </w:p>
          <w:bookmarkEnd w:id="101"/>
          <w:p w14:paraId="5F4B1919">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auto"/>
              <w:rPr>
                <w:rFonts w:ascii="宋体" w:hAnsi="宋体"/>
                <w:b/>
                <w:szCs w:val="21"/>
                <w:highlight w:val="none"/>
              </w:rPr>
            </w:pPr>
            <w:r>
              <w:rPr>
                <w:rFonts w:ascii="宋体" w:hAnsi="宋体"/>
                <w:b/>
                <w:szCs w:val="21"/>
                <w:highlight w:val="none"/>
              </w:rPr>
              <w:t>1.资质条件、</w:t>
            </w:r>
            <w:r>
              <w:rPr>
                <w:rFonts w:hint="eastAsia" w:ascii="宋体" w:hAnsi="宋体"/>
                <w:b/>
                <w:szCs w:val="21"/>
                <w:highlight w:val="none"/>
                <w:lang w:eastAsia="zh-CN"/>
              </w:rPr>
              <w:t>独立法人资格</w:t>
            </w:r>
            <w:r>
              <w:rPr>
                <w:rFonts w:ascii="宋体" w:hAnsi="宋体"/>
                <w:b/>
                <w:szCs w:val="21"/>
                <w:highlight w:val="none"/>
              </w:rPr>
              <w:t>及安全生产条件</w:t>
            </w:r>
          </w:p>
          <w:p w14:paraId="0213DC87">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r>
              <w:rPr>
                <w:rFonts w:ascii="宋体" w:hAnsi="宋体"/>
                <w:szCs w:val="21"/>
                <w:highlight w:val="none"/>
              </w:rPr>
              <w:t>（1）具备建设行政主管部门颁发的有效的</w:t>
            </w:r>
            <w:r>
              <w:rPr>
                <w:rFonts w:hint="eastAsia" w:ascii="宋体" w:hAnsi="宋体"/>
                <w:highlight w:val="none"/>
                <w:u w:val="single"/>
              </w:rPr>
              <w:t xml:space="preserve"> </w:t>
            </w:r>
            <w:r>
              <w:rPr>
                <w:rFonts w:hint="eastAsia" w:ascii="宋体" w:hAnsi="宋体"/>
                <w:snapToGrid w:val="0"/>
                <w:kern w:val="0"/>
                <w:szCs w:val="21"/>
                <w:highlight w:val="none"/>
                <w:u w:val="single"/>
                <w:lang w:val="en-US" w:eastAsia="zh-CN"/>
              </w:rPr>
              <w:t>市政公用</w:t>
            </w:r>
            <w:r>
              <w:rPr>
                <w:rFonts w:hint="eastAsia" w:ascii="宋体" w:hAnsi="宋体"/>
                <w:snapToGrid w:val="0"/>
                <w:kern w:val="0"/>
                <w:szCs w:val="21"/>
                <w:highlight w:val="none"/>
                <w:u w:val="single"/>
              </w:rPr>
              <w:t>工程施工总承包三级</w:t>
            </w:r>
            <w:r>
              <w:rPr>
                <w:rFonts w:ascii="宋体" w:hAnsi="宋体"/>
                <w:szCs w:val="21"/>
                <w:highlight w:val="none"/>
                <w:u w:val="single"/>
              </w:rPr>
              <w:t>及以上</w:t>
            </w:r>
            <w:r>
              <w:rPr>
                <w:rFonts w:hint="eastAsia" w:ascii="宋体" w:hAnsi="宋体"/>
                <w:szCs w:val="21"/>
                <w:highlight w:val="none"/>
              </w:rPr>
              <w:t>资质</w:t>
            </w:r>
            <w:r>
              <w:rPr>
                <w:rFonts w:ascii="宋体" w:hAnsi="宋体"/>
                <w:szCs w:val="21"/>
                <w:highlight w:val="none"/>
              </w:rPr>
              <w:t>。</w:t>
            </w:r>
          </w:p>
          <w:p w14:paraId="1E9EFA07">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r>
              <w:rPr>
                <w:rFonts w:ascii="宋体" w:hAnsi="宋体"/>
                <w:szCs w:val="21"/>
                <w:highlight w:val="none"/>
              </w:rPr>
              <w:t>提供</w:t>
            </w:r>
            <w:r>
              <w:rPr>
                <w:rFonts w:hint="eastAsia" w:ascii="宋体" w:hAnsi="宋体"/>
                <w:szCs w:val="21"/>
                <w:highlight w:val="none"/>
                <w:lang w:eastAsia="zh-CN"/>
              </w:rPr>
              <w:t>：</w:t>
            </w:r>
            <w:r>
              <w:rPr>
                <w:rFonts w:hint="eastAsia" w:ascii="宋体" w:hAnsi="宋体"/>
                <w:szCs w:val="21"/>
                <w:highlight w:val="none"/>
              </w:rPr>
              <w:t>有效的资质证书</w:t>
            </w:r>
            <w:r>
              <w:rPr>
                <w:rFonts w:ascii="宋体" w:hAnsi="宋体"/>
                <w:szCs w:val="21"/>
                <w:highlight w:val="none"/>
              </w:rPr>
              <w:t>。</w:t>
            </w:r>
          </w:p>
          <w:p w14:paraId="69BF0393">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r>
              <w:rPr>
                <w:rFonts w:ascii="宋体" w:hAnsi="宋体"/>
                <w:szCs w:val="21"/>
                <w:highlight w:val="none"/>
              </w:rPr>
              <w:t>（2）具备</w:t>
            </w:r>
            <w:r>
              <w:rPr>
                <w:rFonts w:hint="eastAsia" w:ascii="宋体" w:hAnsi="宋体"/>
                <w:szCs w:val="21"/>
                <w:highlight w:val="none"/>
                <w:lang w:val="en-US" w:eastAsia="zh-CN"/>
              </w:rPr>
              <w:t>独立法人资格</w:t>
            </w:r>
            <w:r>
              <w:rPr>
                <w:rFonts w:ascii="宋体" w:hAnsi="宋体"/>
                <w:szCs w:val="21"/>
                <w:highlight w:val="none"/>
              </w:rPr>
              <w:t>。</w:t>
            </w:r>
          </w:p>
          <w:p w14:paraId="6AE67D4A">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r>
              <w:rPr>
                <w:rFonts w:ascii="宋体" w:hAnsi="宋体"/>
                <w:szCs w:val="21"/>
                <w:highlight w:val="none"/>
              </w:rPr>
              <w:t>提供</w:t>
            </w:r>
            <w:r>
              <w:rPr>
                <w:rFonts w:hint="eastAsia" w:ascii="宋体" w:hAnsi="宋体"/>
                <w:szCs w:val="21"/>
                <w:highlight w:val="none"/>
                <w:lang w:eastAsia="zh-CN"/>
              </w:rPr>
              <w:t>：</w:t>
            </w:r>
            <w:r>
              <w:rPr>
                <w:rFonts w:ascii="宋体" w:hAnsi="宋体"/>
                <w:szCs w:val="21"/>
                <w:highlight w:val="none"/>
              </w:rPr>
              <w:t>有效的营业执照。</w:t>
            </w:r>
          </w:p>
          <w:p w14:paraId="7434508F">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注：不得将</w:t>
            </w:r>
            <w:r>
              <w:rPr>
                <w:rFonts w:hint="eastAsia" w:ascii="宋体" w:hAnsi="宋体"/>
                <w:szCs w:val="21"/>
                <w:highlight w:val="none"/>
                <w:lang w:eastAsia="zh-CN"/>
              </w:rPr>
              <w:t>比选申请人</w:t>
            </w:r>
            <w:r>
              <w:rPr>
                <w:rFonts w:hint="eastAsia" w:ascii="宋体" w:hAnsi="宋体"/>
                <w:szCs w:val="21"/>
                <w:highlight w:val="none"/>
              </w:rPr>
              <w:t>营业执照记载的经营范围作为评审因素。</w:t>
            </w:r>
          </w:p>
          <w:p w14:paraId="47540965">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r>
              <w:rPr>
                <w:rFonts w:ascii="宋体" w:hAnsi="宋体"/>
                <w:szCs w:val="21"/>
                <w:highlight w:val="none"/>
              </w:rPr>
              <w:t>（3）具备建设行政主管部门颁发的有效的安全生产许可证，企业</w:t>
            </w:r>
            <w:r>
              <w:rPr>
                <w:rFonts w:hint="eastAsia" w:ascii="宋体" w:hAnsi="宋体"/>
                <w:szCs w:val="21"/>
                <w:highlight w:val="none"/>
              </w:rPr>
              <w:t>主要</w:t>
            </w:r>
            <w:r>
              <w:rPr>
                <w:rFonts w:ascii="宋体" w:hAnsi="宋体"/>
                <w:szCs w:val="21"/>
                <w:highlight w:val="none"/>
              </w:rPr>
              <w:t>负责人、</w:t>
            </w:r>
            <w:r>
              <w:rPr>
                <w:rFonts w:hint="eastAsia" w:ascii="宋体" w:hAnsi="宋体"/>
                <w:szCs w:val="21"/>
                <w:highlight w:val="none"/>
                <w:lang w:val="en-US" w:eastAsia="zh-CN"/>
              </w:rPr>
              <w:t>拟派</w:t>
            </w:r>
            <w:r>
              <w:rPr>
                <w:rFonts w:ascii="宋体" w:hAnsi="宋体"/>
                <w:szCs w:val="21"/>
                <w:highlight w:val="none"/>
              </w:rPr>
              <w:t>项目经理具备相应的由建设行政主管部门颁发的有效的安全生产考核合格证书</w:t>
            </w:r>
            <w:r>
              <w:rPr>
                <w:rFonts w:hint="eastAsia" w:ascii="宋体" w:hAnsi="宋体"/>
                <w:szCs w:val="21"/>
                <w:highlight w:val="none"/>
              </w:rPr>
              <w:t>。</w:t>
            </w:r>
          </w:p>
          <w:p w14:paraId="0F325F3A">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提供</w:t>
            </w:r>
            <w:r>
              <w:rPr>
                <w:rFonts w:hint="eastAsia" w:ascii="宋体" w:hAnsi="宋体"/>
                <w:szCs w:val="21"/>
                <w:highlight w:val="none"/>
                <w:lang w:eastAsia="zh-CN"/>
              </w:rPr>
              <w:t>：</w:t>
            </w:r>
            <w:r>
              <w:rPr>
                <w:rFonts w:hint="eastAsia" w:ascii="宋体" w:hAnsi="宋体"/>
                <w:szCs w:val="21"/>
                <w:highlight w:val="none"/>
              </w:rPr>
              <w:t>有效的安全生产许可证</w:t>
            </w:r>
            <w:r>
              <w:rPr>
                <w:rFonts w:ascii="宋体" w:hAnsi="宋体"/>
                <w:szCs w:val="21"/>
                <w:highlight w:val="none"/>
              </w:rPr>
              <w:t>及安全生产考核合格证书。</w:t>
            </w:r>
          </w:p>
          <w:p w14:paraId="3ABAF2E0">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auto"/>
              <w:rPr>
                <w:rFonts w:ascii="宋体" w:hAnsi="宋体"/>
                <w:b/>
                <w:szCs w:val="21"/>
                <w:highlight w:val="none"/>
              </w:rPr>
            </w:pPr>
            <w:r>
              <w:rPr>
                <w:rFonts w:hint="eastAsia" w:ascii="宋体" w:hAnsi="宋体"/>
                <w:b/>
                <w:szCs w:val="21"/>
                <w:highlight w:val="none"/>
                <w:lang w:eastAsia="zh-CN"/>
              </w:rPr>
              <w:t>☑</w:t>
            </w:r>
            <w:r>
              <w:rPr>
                <w:rFonts w:ascii="宋体" w:hAnsi="宋体"/>
                <w:b/>
                <w:szCs w:val="21"/>
                <w:highlight w:val="none"/>
              </w:rPr>
              <w:t>2.财务要求</w:t>
            </w:r>
          </w:p>
          <w:p w14:paraId="3AA739B8">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u w:val="single"/>
                <w:lang w:val="en-US" w:eastAsia="zh-CN"/>
              </w:rPr>
              <w:t>2025</w:t>
            </w:r>
            <w:r>
              <w:rPr>
                <w:rFonts w:hint="eastAsia" w:asciiTheme="minorEastAsia" w:hAnsiTheme="minorEastAsia" w:eastAsiaTheme="minorEastAsia" w:cstheme="minorEastAsia"/>
                <w:color w:val="auto"/>
                <w:kern w:val="0"/>
                <w:szCs w:val="21"/>
                <w:highlight w:val="none"/>
                <w:u w:val="single"/>
              </w:rPr>
              <w:t xml:space="preserve"> </w:t>
            </w:r>
            <w:r>
              <w:rPr>
                <w:rFonts w:hint="eastAsia" w:asciiTheme="minorEastAsia" w:hAnsiTheme="minorEastAsia" w:eastAsiaTheme="minorEastAsia" w:cstheme="minorEastAsia"/>
                <w:color w:val="auto"/>
                <w:kern w:val="0"/>
                <w:szCs w:val="21"/>
                <w:highlight w:val="none"/>
              </w:rPr>
              <w:t>年的年度财务状况不亏损。</w:t>
            </w:r>
          </w:p>
          <w:p w14:paraId="09689BE6">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提供</w:t>
            </w:r>
            <w:r>
              <w:rPr>
                <w:rFonts w:hint="eastAsia" w:ascii="宋体" w:hAnsi="宋体"/>
                <w:kern w:val="0"/>
                <w:szCs w:val="21"/>
                <w:highlight w:val="none"/>
                <w:lang w:eastAsia="zh-CN"/>
              </w:rPr>
              <w:t>：</w:t>
            </w:r>
            <w:r>
              <w:rPr>
                <w:rFonts w:hint="eastAsia" w:ascii="宋体" w:hAnsi="宋体"/>
                <w:kern w:val="0"/>
                <w:szCs w:val="21"/>
                <w:highlight w:val="none"/>
              </w:rPr>
              <w:t>会计师事务所或审计机构出具的合法有效的财务审计报告及财务报表，财务报表须至少包括现金流量表、资产负债表、利润表。</w:t>
            </w:r>
          </w:p>
          <w:p w14:paraId="3B45FAAB">
            <w:pPr>
              <w:keepNext w:val="0"/>
              <w:keepLines w:val="0"/>
              <w:pageBreakBefore w:val="0"/>
              <w:kinsoku/>
              <w:wordWrap/>
              <w:overflowPunct/>
              <w:topLinePunct w:val="0"/>
              <w:bidi w:val="0"/>
              <w:adjustRightInd w:val="0"/>
              <w:snapToGrid w:val="0"/>
              <w:spacing w:line="400" w:lineRule="exact"/>
              <w:ind w:firstLine="422" w:firstLineChars="200"/>
              <w:textAlignment w:val="auto"/>
              <w:rPr>
                <w:rFonts w:ascii="宋体" w:hAnsi="宋体"/>
                <w:b/>
                <w:szCs w:val="21"/>
                <w:highlight w:val="none"/>
              </w:rPr>
            </w:pPr>
            <w:r>
              <w:rPr>
                <w:rFonts w:hint="eastAsia" w:ascii="宋体" w:hAnsi="宋体"/>
                <w:b/>
                <w:szCs w:val="21"/>
                <w:highlight w:val="none"/>
                <w:lang w:val="en-US" w:eastAsia="zh-CN"/>
              </w:rPr>
              <w:t>3</w:t>
            </w:r>
            <w:r>
              <w:rPr>
                <w:rFonts w:ascii="宋体" w:hAnsi="宋体"/>
                <w:b/>
                <w:szCs w:val="21"/>
                <w:highlight w:val="none"/>
              </w:rPr>
              <w:t>.投标截止日投标资格情况</w:t>
            </w:r>
          </w:p>
          <w:p w14:paraId="2EE6D46C">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lang w:eastAsia="zh-CN"/>
              </w:rPr>
              <w:t>比选申请人</w:t>
            </w:r>
            <w:r>
              <w:rPr>
                <w:rFonts w:hint="eastAsia" w:ascii="宋体" w:hAnsi="宋体"/>
                <w:szCs w:val="21"/>
                <w:highlight w:val="none"/>
              </w:rPr>
              <w:t>不得存在下列情形之一：</w:t>
            </w:r>
          </w:p>
          <w:p w14:paraId="3F3D517E">
            <w:pPr>
              <w:keepNext w:val="0"/>
              <w:keepLines w:val="0"/>
              <w:pageBreakBefore w:val="0"/>
              <w:kinsoku/>
              <w:wordWrap/>
              <w:overflowPunct/>
              <w:topLinePunct w:val="0"/>
              <w:bidi w:val="0"/>
              <w:snapToGrid w:val="0"/>
              <w:spacing w:line="400" w:lineRule="exact"/>
              <w:ind w:firstLine="420" w:firstLineChars="200"/>
              <w:jc w:val="left"/>
              <w:textAlignment w:val="auto"/>
              <w:rPr>
                <w:rFonts w:ascii="宋体" w:hAnsi="宋体"/>
                <w:szCs w:val="21"/>
                <w:highlight w:val="none"/>
              </w:rPr>
            </w:pPr>
            <w:r>
              <w:rPr>
                <w:rFonts w:hint="eastAsia" w:ascii="宋体" w:hAnsi="宋体"/>
                <w:szCs w:val="21"/>
                <w:highlight w:val="none"/>
              </w:rPr>
              <w:t>（1）被人民法院列入失信被执行人名单且在被执行期内；</w:t>
            </w:r>
          </w:p>
          <w:p w14:paraId="3D7B53CD">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）被国家、重庆市（含市或任意区县）有关行政部门处以暂停投标资格行政处罚</w:t>
            </w:r>
            <w:r>
              <w:rPr>
                <w:rFonts w:hint="eastAsia" w:ascii="宋体" w:hAnsi="宋体" w:eastAsia="宋体" w:cs="Times New Roman"/>
                <w:color w:val="auto"/>
                <w:sz w:val="21"/>
                <w:szCs w:val="21"/>
                <w:highlight w:val="none"/>
                <w:lang w:val="en-US" w:eastAsia="zh-CN"/>
              </w:rPr>
              <w:t>或暂停在渝承揽新业务</w:t>
            </w:r>
            <w:r>
              <w:rPr>
                <w:rFonts w:hint="eastAsia" w:ascii="宋体" w:hAnsi="宋体"/>
                <w:szCs w:val="21"/>
                <w:highlight w:val="none"/>
                <w:lang w:eastAsia="zh-CN"/>
              </w:rPr>
              <w:t>，</w:t>
            </w:r>
            <w:r>
              <w:rPr>
                <w:rFonts w:hint="eastAsia" w:ascii="宋体" w:hAnsi="宋体"/>
                <w:szCs w:val="21"/>
                <w:highlight w:val="none"/>
                <w:lang w:val="en-US" w:eastAsia="zh-CN"/>
              </w:rPr>
              <w:t>且在暂停期限内</w:t>
            </w:r>
            <w:r>
              <w:rPr>
                <w:rFonts w:hint="eastAsia" w:ascii="宋体" w:hAnsi="宋体"/>
                <w:szCs w:val="21"/>
                <w:highlight w:val="none"/>
                <w:lang w:eastAsia="zh-CN"/>
              </w:rPr>
              <w:t>；</w:t>
            </w:r>
          </w:p>
          <w:p w14:paraId="04E5B4A8">
            <w:pPr>
              <w:keepNext w:val="0"/>
              <w:keepLines w:val="0"/>
              <w:pageBreakBefore w:val="0"/>
              <w:kinsoku/>
              <w:wordWrap/>
              <w:overflowPunct/>
              <w:topLinePunct w:val="0"/>
              <w:bidi w:val="0"/>
              <w:spacing w:line="400" w:lineRule="exact"/>
              <w:ind w:firstLine="420" w:firstLineChars="200"/>
              <w:textAlignment w:val="auto"/>
              <w:rPr>
                <w:rFonts w:hint="eastAsia" w:ascii="宋体" w:hAnsi="宋体" w:eastAsia="宋体" w:cs="宋体"/>
                <w:kern w:val="0"/>
                <w:highlight w:val="none"/>
                <w:lang w:val="en-US" w:eastAsia="zh-CN"/>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3</w:t>
            </w:r>
            <w:r>
              <w:rPr>
                <w:rFonts w:hint="eastAsia" w:ascii="宋体" w:hAnsi="宋体" w:eastAsia="宋体" w:cs="宋体"/>
                <w:highlight w:val="none"/>
                <w:lang w:eastAsia="zh-CN"/>
              </w:rPr>
              <w:t>）</w:t>
            </w:r>
            <w:r>
              <w:rPr>
                <w:rFonts w:hint="eastAsia" w:ascii="宋体" w:hAnsi="宋体" w:eastAsia="宋体" w:cs="宋体"/>
                <w:kern w:val="0"/>
                <w:highlight w:val="none"/>
              </w:rPr>
              <w:t>第二章“</w:t>
            </w:r>
            <w:r>
              <w:rPr>
                <w:rFonts w:hint="eastAsia" w:ascii="宋体" w:hAnsi="宋体" w:cs="宋体"/>
                <w:kern w:val="0"/>
                <w:highlight w:val="none"/>
                <w:lang w:eastAsia="zh-CN"/>
              </w:rPr>
              <w:t>比选申请人</w:t>
            </w:r>
            <w:r>
              <w:rPr>
                <w:rFonts w:hint="eastAsia" w:ascii="宋体" w:hAnsi="宋体" w:eastAsia="宋体" w:cs="宋体"/>
                <w:kern w:val="0"/>
                <w:highlight w:val="none"/>
              </w:rPr>
              <w:t>须知”第1.4.3项规定</w:t>
            </w:r>
            <w:r>
              <w:rPr>
                <w:rFonts w:hint="eastAsia" w:ascii="宋体" w:hAnsi="宋体" w:eastAsia="宋体" w:cs="宋体"/>
                <w:kern w:val="0"/>
                <w:highlight w:val="none"/>
                <w:lang w:val="en-US" w:eastAsia="zh-CN"/>
              </w:rPr>
              <w:t>的情形之一</w:t>
            </w:r>
            <w:r>
              <w:rPr>
                <w:rFonts w:hint="eastAsia" w:ascii="宋体" w:hAnsi="宋体" w:eastAsia="宋体" w:cs="宋体"/>
                <w:kern w:val="0"/>
                <w:highlight w:val="none"/>
                <w:lang w:eastAsia="zh-CN"/>
              </w:rPr>
              <w:t>；</w:t>
            </w:r>
            <w:r>
              <w:rPr>
                <w:rFonts w:hint="eastAsia" w:ascii="宋体" w:hAnsi="宋体" w:eastAsia="宋体" w:cs="宋体"/>
                <w:kern w:val="0"/>
                <w:highlight w:val="none"/>
                <w:lang w:val="en-US" w:eastAsia="zh-CN"/>
              </w:rPr>
              <w:t>第二章“</w:t>
            </w:r>
            <w:r>
              <w:rPr>
                <w:rFonts w:hint="eastAsia" w:ascii="宋体" w:hAnsi="宋体" w:cs="宋体"/>
                <w:kern w:val="0"/>
                <w:highlight w:val="none"/>
                <w:lang w:val="en-US" w:eastAsia="zh-CN"/>
              </w:rPr>
              <w:t>比选申请人</w:t>
            </w:r>
            <w:r>
              <w:rPr>
                <w:rFonts w:hint="eastAsia" w:ascii="宋体" w:hAnsi="宋体" w:eastAsia="宋体" w:cs="宋体"/>
                <w:kern w:val="0"/>
                <w:highlight w:val="none"/>
                <w:lang w:val="en-US" w:eastAsia="zh-CN"/>
              </w:rPr>
              <w:t>须知”第9.2款规定的情形之一。</w:t>
            </w:r>
          </w:p>
          <w:p w14:paraId="53438E97">
            <w:pPr>
              <w:keepNext w:val="0"/>
              <w:keepLines w:val="0"/>
              <w:pageBreakBefore w:val="0"/>
              <w:kinsoku/>
              <w:wordWrap/>
              <w:overflowPunct/>
              <w:topLinePunct w:val="0"/>
              <w:bidi w:val="0"/>
              <w:spacing w:line="400" w:lineRule="exact"/>
              <w:ind w:firstLine="420" w:firstLineChars="200"/>
              <w:textAlignment w:val="auto"/>
              <w:rPr>
                <w:highlight w:val="none"/>
              </w:rPr>
            </w:pPr>
            <w:r>
              <w:rPr>
                <w:rFonts w:hint="eastAsia"/>
                <w:highlight w:val="none"/>
              </w:rPr>
              <w:t>提供</w:t>
            </w:r>
            <w:r>
              <w:rPr>
                <w:rFonts w:hint="eastAsia"/>
                <w:highlight w:val="none"/>
                <w:lang w:eastAsia="zh-CN"/>
              </w:rPr>
              <w:t>：</w:t>
            </w:r>
            <w:r>
              <w:rPr>
                <w:rFonts w:hint="eastAsia"/>
                <w:highlight w:val="none"/>
              </w:rPr>
              <w:t>承诺</w:t>
            </w:r>
            <w:r>
              <w:rPr>
                <w:rFonts w:hint="eastAsia"/>
                <w:highlight w:val="none"/>
                <w:lang w:eastAsia="zh-CN"/>
              </w:rPr>
              <w:t>（</w:t>
            </w:r>
            <w:r>
              <w:rPr>
                <w:rFonts w:hint="eastAsia" w:asciiTheme="minorEastAsia" w:hAnsiTheme="minorEastAsia" w:eastAsiaTheme="minorEastAsia" w:cstheme="minorEastAsia"/>
                <w:color w:val="auto"/>
                <w:szCs w:val="21"/>
                <w:highlight w:val="none"/>
                <w:lang w:val="en-US" w:eastAsia="zh-CN"/>
              </w:rPr>
              <w:t>格式见第八章比选申请文件格式</w:t>
            </w:r>
            <w:r>
              <w:rPr>
                <w:rFonts w:hint="eastAsia"/>
                <w:highlight w:val="none"/>
                <w:lang w:eastAsia="zh-CN"/>
              </w:rPr>
              <w:t>）</w:t>
            </w:r>
            <w:r>
              <w:rPr>
                <w:rFonts w:hint="eastAsia"/>
                <w:highlight w:val="none"/>
              </w:rPr>
              <w:t>。</w:t>
            </w:r>
          </w:p>
          <w:p w14:paraId="60FD38A6">
            <w:pPr>
              <w:keepNext w:val="0"/>
              <w:keepLines w:val="0"/>
              <w:pageBreakBefore w:val="0"/>
              <w:kinsoku/>
              <w:wordWrap/>
              <w:overflowPunct/>
              <w:topLinePunct w:val="0"/>
              <w:bidi w:val="0"/>
              <w:snapToGrid w:val="0"/>
              <w:spacing w:line="400" w:lineRule="exact"/>
              <w:ind w:firstLine="422" w:firstLineChars="200"/>
              <w:textAlignment w:val="auto"/>
              <w:rPr>
                <w:rFonts w:ascii="宋体" w:hAnsi="宋体"/>
                <w:b/>
                <w:szCs w:val="21"/>
                <w:highlight w:val="none"/>
              </w:rPr>
            </w:pPr>
            <w:r>
              <w:rPr>
                <w:rFonts w:hint="eastAsia" w:ascii="宋体" w:hAnsi="宋体"/>
                <w:b/>
                <w:szCs w:val="21"/>
                <w:highlight w:val="none"/>
                <w:lang w:val="en-US" w:eastAsia="zh-CN"/>
              </w:rPr>
              <w:t>4</w:t>
            </w:r>
            <w:r>
              <w:rPr>
                <w:rFonts w:ascii="宋体" w:hAnsi="宋体"/>
                <w:b/>
                <w:szCs w:val="21"/>
                <w:highlight w:val="none"/>
              </w:rPr>
              <w:t>.项目经理资格要求</w:t>
            </w:r>
          </w:p>
          <w:p w14:paraId="2A8B968D">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.1</w:t>
            </w:r>
            <w:r>
              <w:rPr>
                <w:rFonts w:hint="eastAsia"/>
                <w:szCs w:val="21"/>
                <w:highlight w:val="none"/>
                <w:lang w:eastAsia="zh-CN"/>
              </w:rPr>
              <w:t>比选申请人</w:t>
            </w:r>
            <w:r>
              <w:rPr>
                <w:rFonts w:hint="eastAsia"/>
                <w:szCs w:val="21"/>
                <w:highlight w:val="none"/>
              </w:rPr>
              <w:t>拟派的</w:t>
            </w:r>
            <w:r>
              <w:rPr>
                <w:szCs w:val="21"/>
                <w:highlight w:val="none"/>
              </w:rPr>
              <w:t>项目经理须</w:t>
            </w:r>
            <w:r>
              <w:rPr>
                <w:rFonts w:hint="eastAsia"/>
                <w:szCs w:val="21"/>
                <w:highlight w:val="none"/>
                <w:lang w:val="en-US" w:eastAsia="zh-CN"/>
              </w:rPr>
              <w:t>是投标单位人员，</w:t>
            </w:r>
            <w:r>
              <w:rPr>
                <w:szCs w:val="21"/>
                <w:highlight w:val="none"/>
              </w:rPr>
              <w:t>应</w:t>
            </w:r>
            <w:r>
              <w:rPr>
                <w:rFonts w:hint="eastAsia"/>
                <w:szCs w:val="21"/>
                <w:highlight w:val="none"/>
                <w:lang w:val="en-US" w:eastAsia="zh-CN"/>
              </w:rPr>
              <w:t>具备</w:t>
            </w:r>
            <w:r>
              <w:rPr>
                <w:rFonts w:hint="eastAsia"/>
                <w:szCs w:val="21"/>
                <w:highlight w:val="none"/>
                <w:u w:val="single"/>
              </w:rPr>
              <w:t xml:space="preserve"> </w:t>
            </w:r>
            <w:r>
              <w:rPr>
                <w:rFonts w:hint="eastAsia"/>
                <w:szCs w:val="21"/>
                <w:highlight w:val="none"/>
                <w:u w:val="single"/>
                <w:lang w:val="en-US" w:eastAsia="zh-CN"/>
              </w:rPr>
              <w:t>市政公用工程</w:t>
            </w:r>
            <w:r>
              <w:rPr>
                <w:rFonts w:hint="eastAsia"/>
                <w:i/>
                <w:szCs w:val="21"/>
                <w:highlight w:val="none"/>
                <w:u w:val="single"/>
              </w:rPr>
              <w:t xml:space="preserve"> </w:t>
            </w:r>
            <w:r>
              <w:rPr>
                <w:rFonts w:hint="eastAsia"/>
                <w:szCs w:val="21"/>
                <w:highlight w:val="none"/>
              </w:rPr>
              <w:t>专业</w:t>
            </w:r>
            <w:r>
              <w:rPr>
                <w:rFonts w:hint="eastAsia"/>
                <w:szCs w:val="21"/>
                <w:highlight w:val="none"/>
                <w:u w:val="single"/>
                <w:lang w:val="en-US" w:eastAsia="zh-CN"/>
              </w:rPr>
              <w:t>二</w:t>
            </w:r>
            <w:r>
              <w:rPr>
                <w:szCs w:val="21"/>
                <w:highlight w:val="none"/>
                <w:u w:val="single"/>
              </w:rPr>
              <w:t>级及以上</w:t>
            </w:r>
            <w:r>
              <w:rPr>
                <w:szCs w:val="21"/>
                <w:highlight w:val="none"/>
              </w:rPr>
              <w:t>注册建造师执业</w:t>
            </w:r>
            <w:r>
              <w:rPr>
                <w:rFonts w:ascii="宋体" w:hAnsi="宋体"/>
                <w:szCs w:val="21"/>
                <w:highlight w:val="none"/>
              </w:rPr>
              <w:t>资格</w:t>
            </w:r>
            <w:r>
              <w:rPr>
                <w:rFonts w:hint="eastAsia" w:ascii="宋体" w:hAnsi="宋体"/>
                <w:szCs w:val="21"/>
                <w:highlight w:val="none"/>
                <w:lang w:val="en-US" w:eastAsia="zh-CN"/>
              </w:rPr>
              <w:t>并在投标单位注册</w:t>
            </w:r>
            <w:r>
              <w:rPr>
                <w:rFonts w:hint="eastAsia" w:ascii="宋体" w:hAnsi="宋体"/>
                <w:szCs w:val="21"/>
                <w:highlight w:val="none"/>
              </w:rPr>
              <w:t>。</w:t>
            </w:r>
          </w:p>
          <w:p w14:paraId="6B1C3898">
            <w:pPr>
              <w:keepNext w:val="0"/>
              <w:keepLines w:val="0"/>
              <w:pageBreakBefore w:val="0"/>
              <w:kinsoku/>
              <w:wordWrap/>
              <w:overflowPunct/>
              <w:topLinePunct w:val="0"/>
              <w:bidi w:val="0"/>
              <w:snapToGrid w:val="0"/>
              <w:spacing w:line="400" w:lineRule="exact"/>
              <w:ind w:firstLine="420" w:firstLineChars="200"/>
              <w:jc w:val="left"/>
              <w:textAlignment w:val="auto"/>
              <w:rPr>
                <w:rFonts w:ascii="宋体" w:hAnsi="宋体"/>
                <w:szCs w:val="21"/>
                <w:highlight w:val="none"/>
              </w:rPr>
            </w:pPr>
            <w:r>
              <w:rPr>
                <w:rFonts w:hint="eastAsia" w:ascii="宋体" w:hAnsi="宋体"/>
                <w:szCs w:val="21"/>
                <w:highlight w:val="none"/>
                <w:lang w:val="en-US" w:eastAsia="zh-CN"/>
              </w:rPr>
              <w:t>4</w:t>
            </w:r>
            <w:r>
              <w:rPr>
                <w:rFonts w:hint="eastAsia" w:ascii="宋体" w:hAnsi="宋体"/>
                <w:szCs w:val="21"/>
                <w:highlight w:val="none"/>
              </w:rPr>
              <w:t>.2项目经理要求：</w:t>
            </w:r>
            <w:r>
              <w:rPr>
                <w:rFonts w:hint="eastAsia" w:ascii="宋体" w:hAnsi="宋体"/>
                <w:szCs w:val="21"/>
                <w:highlight w:val="none"/>
                <w:lang w:eastAsia="zh-CN"/>
              </w:rPr>
              <w:t>比选申请人</w:t>
            </w:r>
            <w:r>
              <w:rPr>
                <w:rFonts w:hint="eastAsia" w:ascii="宋体" w:hAnsi="宋体"/>
                <w:szCs w:val="21"/>
                <w:highlight w:val="none"/>
              </w:rPr>
              <w:t>须承诺拟派项目经理按注册建造师的相关规定到岗履职和未被禁止参与投标。</w:t>
            </w:r>
          </w:p>
          <w:p w14:paraId="4E2FBB2E">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color w:val="000000"/>
                <w:highlight w:val="none"/>
              </w:rPr>
            </w:pPr>
            <w:r>
              <w:rPr>
                <w:rFonts w:hint="eastAsia" w:ascii="宋体" w:hAnsi="宋体"/>
                <w:color w:val="000000"/>
                <w:highlight w:val="none"/>
                <w:lang w:val="en-US" w:eastAsia="zh-CN"/>
              </w:rPr>
              <w:t>4</w:t>
            </w:r>
            <w:r>
              <w:rPr>
                <w:rFonts w:ascii="宋体" w:hAnsi="宋体"/>
                <w:color w:val="000000"/>
                <w:highlight w:val="none"/>
              </w:rPr>
              <w:t>.2.1到岗履职要求：承诺拟派项目经理中标后在本项目任职，签订合同时拟派的项目经理必须与</w:t>
            </w:r>
            <w:r>
              <w:rPr>
                <w:rFonts w:hint="eastAsia" w:ascii="宋体" w:hAnsi="宋体"/>
                <w:color w:val="000000"/>
                <w:highlight w:val="none"/>
                <w:lang w:eastAsia="zh-CN"/>
              </w:rPr>
              <w:t>比选申请文件</w:t>
            </w:r>
            <w:r>
              <w:rPr>
                <w:rFonts w:ascii="宋体" w:hAnsi="宋体"/>
                <w:color w:val="000000"/>
                <w:highlight w:val="none"/>
              </w:rPr>
              <w:t>中的项目经理一致，并满足办理施工许可手续的相关要求。不能按承诺到岗</w:t>
            </w:r>
            <w:r>
              <w:rPr>
                <w:rFonts w:hint="eastAsia" w:ascii="宋体" w:hAnsi="宋体"/>
                <w:color w:val="000000"/>
                <w:highlight w:val="none"/>
                <w:lang w:val="en-US" w:eastAsia="zh-CN"/>
              </w:rPr>
              <w:t>履职</w:t>
            </w:r>
            <w:r>
              <w:rPr>
                <w:rFonts w:ascii="宋体" w:hAnsi="宋体"/>
                <w:color w:val="000000"/>
                <w:highlight w:val="none"/>
              </w:rPr>
              <w:t>的，</w:t>
            </w:r>
            <w:r>
              <w:rPr>
                <w:rFonts w:hint="eastAsia" w:ascii="宋体" w:hAnsi="宋体"/>
                <w:color w:val="000000"/>
                <w:highlight w:val="none"/>
                <w:lang w:val="en-US" w:eastAsia="zh-CN"/>
              </w:rPr>
              <w:t>比选人</w:t>
            </w:r>
            <w:r>
              <w:rPr>
                <w:rFonts w:ascii="宋体" w:hAnsi="宋体"/>
                <w:color w:val="000000"/>
                <w:highlight w:val="none"/>
              </w:rPr>
              <w:t>按合同相关条款</w:t>
            </w:r>
            <w:r>
              <w:rPr>
                <w:rFonts w:hint="eastAsia" w:ascii="宋体" w:hAnsi="宋体"/>
                <w:color w:val="000000"/>
                <w:highlight w:val="none"/>
                <w:lang w:val="en-US" w:eastAsia="zh-CN"/>
              </w:rPr>
              <w:t>要求比选申请人承担责任</w:t>
            </w:r>
            <w:r>
              <w:rPr>
                <w:rFonts w:ascii="宋体" w:hAnsi="宋体"/>
                <w:color w:val="000000"/>
                <w:highlight w:val="none"/>
              </w:rPr>
              <w:t>并上报行政主管部门，给</w:t>
            </w:r>
            <w:r>
              <w:rPr>
                <w:rFonts w:hint="eastAsia" w:ascii="宋体" w:hAnsi="宋体"/>
                <w:color w:val="000000"/>
                <w:highlight w:val="none"/>
                <w:lang w:eastAsia="zh-CN"/>
              </w:rPr>
              <w:t>比选人</w:t>
            </w:r>
            <w:r>
              <w:rPr>
                <w:rFonts w:ascii="宋体" w:hAnsi="宋体"/>
                <w:color w:val="000000"/>
                <w:highlight w:val="none"/>
              </w:rPr>
              <w:t>造成损失的，</w:t>
            </w:r>
            <w:r>
              <w:rPr>
                <w:rFonts w:hint="eastAsia" w:ascii="宋体" w:hAnsi="宋体"/>
                <w:color w:val="000000"/>
                <w:highlight w:val="none"/>
                <w:lang w:eastAsia="zh-CN"/>
              </w:rPr>
              <w:t>比选申请人</w:t>
            </w:r>
            <w:r>
              <w:rPr>
                <w:rFonts w:ascii="宋体" w:hAnsi="宋体"/>
                <w:color w:val="000000"/>
                <w:highlight w:val="none"/>
              </w:rPr>
              <w:t>依法承担赔偿责任</w:t>
            </w:r>
            <w:r>
              <w:rPr>
                <w:rFonts w:hint="eastAsia" w:ascii="宋体" w:hAnsi="宋体"/>
                <w:color w:val="000000"/>
                <w:highlight w:val="none"/>
                <w:lang w:val="en-US" w:eastAsia="zh-CN"/>
              </w:rPr>
              <w:t>或违约责任</w:t>
            </w:r>
            <w:r>
              <w:rPr>
                <w:rFonts w:ascii="宋体" w:hAnsi="宋体"/>
                <w:color w:val="000000"/>
                <w:highlight w:val="none"/>
              </w:rPr>
              <w:t>。拟派项目经理中标后不得随意更换。</w:t>
            </w:r>
          </w:p>
          <w:p w14:paraId="743F2837">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color w:val="000000"/>
                <w:highlight w:val="none"/>
              </w:rPr>
            </w:pPr>
            <w:r>
              <w:rPr>
                <w:rFonts w:hint="eastAsia" w:ascii="宋体" w:hAnsi="宋体"/>
                <w:color w:val="000000"/>
                <w:highlight w:val="none"/>
                <w:lang w:val="en-US" w:eastAsia="zh-CN"/>
              </w:rPr>
              <w:t>4</w:t>
            </w:r>
            <w:r>
              <w:rPr>
                <w:rFonts w:ascii="宋体" w:hAnsi="宋体"/>
                <w:color w:val="000000"/>
                <w:highlight w:val="none"/>
              </w:rPr>
              <w:t>.2.2未被禁止参与投标要求：承诺拟派项目经理未被</w:t>
            </w:r>
            <w:r>
              <w:rPr>
                <w:rFonts w:hint="eastAsia" w:ascii="宋体" w:hAnsi="宋体"/>
                <w:color w:val="000000"/>
                <w:highlight w:val="none"/>
                <w:lang w:val="en-US" w:eastAsia="zh-CN"/>
              </w:rPr>
              <w:t>有关</w:t>
            </w:r>
            <w:r>
              <w:rPr>
                <w:rFonts w:ascii="宋体" w:hAnsi="宋体"/>
                <w:color w:val="000000"/>
                <w:highlight w:val="none"/>
              </w:rPr>
              <w:t>部门暂停</w:t>
            </w:r>
            <w:r>
              <w:rPr>
                <w:rFonts w:hint="eastAsia" w:ascii="宋体" w:hAnsi="宋体"/>
                <w:color w:val="000000"/>
                <w:highlight w:val="none"/>
                <w:lang w:val="en-US" w:eastAsia="zh-CN"/>
              </w:rPr>
              <w:t>其</w:t>
            </w:r>
            <w:r>
              <w:rPr>
                <w:rFonts w:ascii="宋体" w:hAnsi="宋体"/>
                <w:color w:val="000000"/>
                <w:highlight w:val="none"/>
              </w:rPr>
              <w:t>在渝承揽</w:t>
            </w:r>
            <w:r>
              <w:rPr>
                <w:rFonts w:hint="eastAsia" w:ascii="宋体" w:hAnsi="宋体"/>
                <w:color w:val="000000"/>
                <w:highlight w:val="none"/>
                <w:lang w:val="en-US" w:eastAsia="zh-CN"/>
              </w:rPr>
              <w:t>的</w:t>
            </w:r>
            <w:r>
              <w:rPr>
                <w:rFonts w:ascii="宋体" w:hAnsi="宋体"/>
                <w:color w:val="000000"/>
                <w:highlight w:val="none"/>
              </w:rPr>
              <w:t>新业务</w:t>
            </w:r>
            <w:r>
              <w:rPr>
                <w:rFonts w:hint="eastAsia" w:ascii="宋体" w:hAnsi="宋体"/>
                <w:color w:val="000000"/>
                <w:highlight w:val="none"/>
                <w:lang w:val="en-US" w:eastAsia="zh-CN"/>
              </w:rPr>
              <w:t>中任职</w:t>
            </w:r>
            <w:r>
              <w:rPr>
                <w:rFonts w:ascii="宋体" w:hAnsi="宋体"/>
                <w:color w:val="000000"/>
                <w:highlight w:val="none"/>
              </w:rPr>
              <w:t>。若</w:t>
            </w:r>
            <w:r>
              <w:rPr>
                <w:rFonts w:hint="eastAsia" w:ascii="宋体" w:hAnsi="宋体"/>
                <w:color w:val="000000"/>
                <w:highlight w:val="none"/>
                <w:lang w:val="en-US" w:eastAsia="zh-CN"/>
              </w:rPr>
              <w:t>其</w:t>
            </w:r>
            <w:r>
              <w:rPr>
                <w:rFonts w:ascii="宋体" w:hAnsi="宋体"/>
                <w:color w:val="000000"/>
                <w:highlight w:val="none"/>
              </w:rPr>
              <w:t>被暂停在渝承揽</w:t>
            </w:r>
            <w:r>
              <w:rPr>
                <w:rFonts w:hint="eastAsia" w:ascii="宋体" w:hAnsi="宋体"/>
                <w:color w:val="000000"/>
                <w:highlight w:val="none"/>
                <w:lang w:val="en-US" w:eastAsia="zh-CN"/>
              </w:rPr>
              <w:t>的</w:t>
            </w:r>
            <w:r>
              <w:rPr>
                <w:rFonts w:ascii="宋体" w:hAnsi="宋体"/>
                <w:color w:val="000000"/>
                <w:highlight w:val="none"/>
              </w:rPr>
              <w:t>新业务</w:t>
            </w:r>
            <w:r>
              <w:rPr>
                <w:rFonts w:hint="eastAsia" w:ascii="宋体" w:hAnsi="宋体"/>
                <w:color w:val="000000"/>
                <w:highlight w:val="none"/>
                <w:lang w:val="en-US" w:eastAsia="zh-CN"/>
              </w:rPr>
              <w:t>中任职</w:t>
            </w:r>
            <w:r>
              <w:rPr>
                <w:rFonts w:ascii="宋体" w:hAnsi="宋体"/>
                <w:color w:val="000000"/>
                <w:highlight w:val="none"/>
              </w:rPr>
              <w:t>但仍参加投标，将被否决投标；已取得中标候选人资格或中标资格的，</w:t>
            </w:r>
            <w:r>
              <w:rPr>
                <w:rFonts w:hint="eastAsia" w:ascii="宋体" w:hAnsi="宋体"/>
                <w:color w:val="000000"/>
                <w:highlight w:val="none"/>
                <w:lang w:eastAsia="zh-CN"/>
              </w:rPr>
              <w:t>比选人</w:t>
            </w:r>
            <w:r>
              <w:rPr>
                <w:rFonts w:ascii="宋体" w:hAnsi="宋体"/>
                <w:color w:val="000000"/>
                <w:highlight w:val="none"/>
              </w:rPr>
              <w:t>有权取消</w:t>
            </w:r>
            <w:r>
              <w:rPr>
                <w:rFonts w:hint="eastAsia" w:ascii="宋体" w:hAnsi="宋体"/>
                <w:color w:val="000000"/>
                <w:highlight w:val="none"/>
                <w:lang w:val="en-US" w:eastAsia="zh-CN"/>
              </w:rPr>
              <w:t>比选申请人的</w:t>
            </w:r>
            <w:r>
              <w:rPr>
                <w:rFonts w:ascii="宋体" w:hAnsi="宋体"/>
                <w:color w:val="000000"/>
                <w:highlight w:val="none"/>
              </w:rPr>
              <w:t>中标候选人资格或中标资格；给</w:t>
            </w:r>
            <w:r>
              <w:rPr>
                <w:rFonts w:hint="eastAsia" w:ascii="宋体" w:hAnsi="宋体"/>
                <w:color w:val="000000"/>
                <w:highlight w:val="none"/>
                <w:lang w:eastAsia="zh-CN"/>
              </w:rPr>
              <w:t>比选人</w:t>
            </w:r>
            <w:r>
              <w:rPr>
                <w:rFonts w:ascii="宋体" w:hAnsi="宋体"/>
                <w:color w:val="000000"/>
                <w:highlight w:val="none"/>
              </w:rPr>
              <w:t>造成损失的，</w:t>
            </w:r>
            <w:r>
              <w:rPr>
                <w:rFonts w:hint="eastAsia" w:ascii="宋体" w:hAnsi="宋体"/>
                <w:color w:val="000000"/>
                <w:highlight w:val="none"/>
                <w:lang w:eastAsia="zh-CN"/>
              </w:rPr>
              <w:t>比选申请人</w:t>
            </w:r>
            <w:r>
              <w:rPr>
                <w:rFonts w:ascii="宋体" w:hAnsi="宋体"/>
                <w:color w:val="000000"/>
                <w:highlight w:val="none"/>
              </w:rPr>
              <w:t>依法承担赔偿责任</w:t>
            </w:r>
            <w:r>
              <w:rPr>
                <w:rFonts w:hint="eastAsia" w:ascii="宋体" w:hAnsi="宋体"/>
                <w:color w:val="000000"/>
                <w:highlight w:val="none"/>
                <w:lang w:val="en-US" w:eastAsia="zh-CN"/>
              </w:rPr>
              <w:t>或违约责任</w:t>
            </w:r>
            <w:r>
              <w:rPr>
                <w:rFonts w:ascii="宋体" w:hAnsi="宋体"/>
                <w:color w:val="000000"/>
                <w:highlight w:val="none"/>
              </w:rPr>
              <w:t>。</w:t>
            </w:r>
          </w:p>
          <w:p w14:paraId="7FE5293C">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color w:val="000000"/>
                <w:highlight w:val="none"/>
              </w:rPr>
            </w:pPr>
            <w:r>
              <w:rPr>
                <w:rFonts w:hint="eastAsia" w:ascii="宋体" w:hAnsi="宋体"/>
                <w:color w:val="000000"/>
                <w:highlight w:val="none"/>
                <w:lang w:val="en-US" w:eastAsia="zh-CN"/>
              </w:rPr>
              <w:t>4</w:t>
            </w:r>
            <w:r>
              <w:rPr>
                <w:rFonts w:ascii="宋体" w:hAnsi="宋体"/>
                <w:color w:val="000000"/>
                <w:highlight w:val="none"/>
              </w:rPr>
              <w:t>.2.3为保证</w:t>
            </w:r>
            <w:r>
              <w:rPr>
                <w:rFonts w:hint="eastAsia" w:ascii="宋体" w:hAnsi="宋体"/>
                <w:color w:val="000000"/>
                <w:highlight w:val="none"/>
                <w:lang w:eastAsia="zh-CN"/>
              </w:rPr>
              <w:t>比选申请人</w:t>
            </w:r>
            <w:r>
              <w:rPr>
                <w:rFonts w:ascii="宋体" w:hAnsi="宋体"/>
                <w:color w:val="000000"/>
                <w:highlight w:val="none"/>
              </w:rPr>
              <w:t>拟派的项目经理到本项目到岗履职，</w:t>
            </w:r>
            <w:r>
              <w:rPr>
                <w:rFonts w:hint="eastAsia" w:ascii="宋体" w:hAnsi="宋体"/>
                <w:color w:val="000000"/>
                <w:highlight w:val="none"/>
                <w:lang w:eastAsia="zh-CN"/>
              </w:rPr>
              <w:t>比选申请人</w:t>
            </w:r>
            <w:r>
              <w:rPr>
                <w:rFonts w:ascii="宋体" w:hAnsi="宋体"/>
                <w:color w:val="000000"/>
                <w:highlight w:val="none"/>
              </w:rPr>
              <w:t>还需承诺：</w:t>
            </w:r>
          </w:p>
          <w:p w14:paraId="434C748C">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color w:val="000000"/>
                <w:highlight w:val="none"/>
              </w:rPr>
            </w:pPr>
            <w:r>
              <w:rPr>
                <w:rFonts w:ascii="宋体" w:hAnsi="宋体"/>
                <w:color w:val="000000"/>
                <w:highlight w:val="none"/>
              </w:rPr>
              <w:t>若</w:t>
            </w:r>
            <w:r>
              <w:rPr>
                <w:rFonts w:hint="eastAsia" w:ascii="宋体" w:hAnsi="宋体"/>
                <w:color w:val="000000"/>
                <w:highlight w:val="none"/>
                <w:lang w:eastAsia="zh-CN"/>
              </w:rPr>
              <w:t>比选申请人</w:t>
            </w:r>
            <w:r>
              <w:rPr>
                <w:rFonts w:ascii="宋体" w:hAnsi="宋体"/>
                <w:color w:val="000000"/>
                <w:highlight w:val="none"/>
              </w:rPr>
              <w:t>拟派本项目的项目经理有在其他项目任职的情形的（或有在其他项目中标或拟中标的情形的），应在收到中标通知书后</w:t>
            </w:r>
            <w:r>
              <w:rPr>
                <w:rFonts w:ascii="宋体" w:hAnsi="宋体"/>
                <w:color w:val="000000"/>
                <w:highlight w:val="none"/>
                <w:u w:val="single"/>
              </w:rPr>
              <w:t xml:space="preserve"> 14 </w:t>
            </w:r>
            <w:r>
              <w:rPr>
                <w:rFonts w:ascii="宋体" w:hAnsi="宋体"/>
                <w:color w:val="000000"/>
                <w:highlight w:val="none"/>
              </w:rPr>
              <w:t>日内，办理完成放弃在其他项目任职的手续（或办理完成放弃在其他项目中标</w:t>
            </w:r>
            <w:r>
              <w:rPr>
                <w:rFonts w:hint="eastAsia" w:ascii="宋体" w:hAnsi="宋体"/>
                <w:color w:val="000000"/>
                <w:highlight w:val="none"/>
              </w:rPr>
              <w:t>或拟中标</w:t>
            </w:r>
            <w:r>
              <w:rPr>
                <w:rFonts w:ascii="宋体" w:hAnsi="宋体"/>
                <w:color w:val="000000"/>
                <w:highlight w:val="none"/>
              </w:rPr>
              <w:t>的手续），</w:t>
            </w:r>
            <w:r>
              <w:rPr>
                <w:rFonts w:hint="eastAsia" w:ascii="宋体" w:hAnsi="宋体"/>
                <w:color w:val="000000"/>
                <w:highlight w:val="none"/>
                <w:lang w:eastAsia="zh-CN"/>
              </w:rPr>
              <w:t>比选人</w:t>
            </w:r>
            <w:r>
              <w:rPr>
                <w:rFonts w:ascii="宋体" w:hAnsi="宋体"/>
                <w:color w:val="000000"/>
                <w:highlight w:val="none"/>
              </w:rPr>
              <w:t>在合同签订前有权对</w:t>
            </w:r>
            <w:r>
              <w:rPr>
                <w:rFonts w:hint="eastAsia" w:ascii="宋体" w:hAnsi="宋体"/>
                <w:color w:val="000000"/>
                <w:highlight w:val="none"/>
                <w:lang w:eastAsia="zh-CN"/>
              </w:rPr>
              <w:t>比选申请人</w:t>
            </w:r>
            <w:r>
              <w:rPr>
                <w:rFonts w:ascii="宋体" w:hAnsi="宋体"/>
                <w:color w:val="000000"/>
                <w:highlight w:val="none"/>
              </w:rPr>
              <w:t>拟派项目经理在其他项目的任职情形（或在其他项目的中标或拟中标情形）进行核查，若与</w:t>
            </w:r>
            <w:r>
              <w:rPr>
                <w:rFonts w:hint="eastAsia" w:ascii="宋体" w:hAnsi="宋体"/>
                <w:color w:val="000000"/>
                <w:highlight w:val="none"/>
                <w:lang w:eastAsia="zh-CN"/>
              </w:rPr>
              <w:t>比选申请人</w:t>
            </w:r>
            <w:r>
              <w:rPr>
                <w:rFonts w:ascii="宋体" w:hAnsi="宋体"/>
                <w:color w:val="000000"/>
                <w:highlight w:val="none"/>
              </w:rPr>
              <w:t>承诺内容不符或</w:t>
            </w:r>
            <w:r>
              <w:rPr>
                <w:rFonts w:hint="eastAsia" w:ascii="宋体" w:hAnsi="宋体"/>
                <w:color w:val="000000"/>
                <w:highlight w:val="none"/>
                <w:lang w:eastAsia="zh-CN"/>
              </w:rPr>
              <w:t>比选申请人</w:t>
            </w:r>
            <w:r>
              <w:rPr>
                <w:rFonts w:ascii="宋体" w:hAnsi="宋体"/>
                <w:color w:val="000000"/>
                <w:highlight w:val="none"/>
              </w:rPr>
              <w:t>未在上述时间内按照</w:t>
            </w:r>
            <w:r>
              <w:rPr>
                <w:rFonts w:hint="eastAsia" w:ascii="宋体" w:hAnsi="宋体"/>
                <w:color w:val="000000"/>
                <w:highlight w:val="none"/>
                <w:lang w:eastAsia="zh-CN"/>
              </w:rPr>
              <w:t>竞争性比选文件</w:t>
            </w:r>
            <w:r>
              <w:rPr>
                <w:rFonts w:ascii="宋体" w:hAnsi="宋体"/>
                <w:color w:val="000000"/>
                <w:highlight w:val="none"/>
              </w:rPr>
              <w:t>规定递交放弃在其他项目任职、中标或拟中标的相关资料，视为</w:t>
            </w:r>
            <w:r>
              <w:rPr>
                <w:rFonts w:hint="eastAsia" w:ascii="宋体" w:hAnsi="宋体"/>
                <w:color w:val="000000"/>
                <w:highlight w:val="none"/>
                <w:lang w:eastAsia="zh-CN"/>
              </w:rPr>
              <w:t>比选申请人</w:t>
            </w:r>
            <w:r>
              <w:rPr>
                <w:rFonts w:ascii="宋体" w:hAnsi="宋体"/>
                <w:color w:val="000000"/>
                <w:highlight w:val="none"/>
              </w:rPr>
              <w:t>放弃中标资格，</w:t>
            </w:r>
            <w:r>
              <w:rPr>
                <w:rFonts w:hint="eastAsia" w:ascii="宋体" w:hAnsi="宋体"/>
                <w:color w:val="000000"/>
                <w:highlight w:val="none"/>
                <w:lang w:eastAsia="zh-CN"/>
              </w:rPr>
              <w:t>比选人</w:t>
            </w:r>
            <w:r>
              <w:rPr>
                <w:rFonts w:ascii="宋体" w:hAnsi="宋体"/>
                <w:color w:val="000000"/>
                <w:highlight w:val="none"/>
              </w:rPr>
              <w:t>不退还其投标保证金。在合同签订时，</w:t>
            </w:r>
            <w:r>
              <w:rPr>
                <w:rFonts w:hint="eastAsia" w:ascii="宋体" w:hAnsi="宋体"/>
                <w:color w:val="000000"/>
                <w:highlight w:val="none"/>
                <w:lang w:eastAsia="zh-CN"/>
              </w:rPr>
              <w:t>比选申请人</w:t>
            </w:r>
            <w:r>
              <w:rPr>
                <w:rFonts w:ascii="宋体" w:hAnsi="宋体"/>
                <w:color w:val="000000"/>
                <w:highlight w:val="none"/>
              </w:rPr>
              <w:t>需确保拟派项目经理符合《建筑施工企业项目经理资质管理办法》规定的项目经理任职条件，否则视为</w:t>
            </w:r>
            <w:r>
              <w:rPr>
                <w:rFonts w:hint="eastAsia" w:ascii="宋体" w:hAnsi="宋体"/>
                <w:color w:val="000000"/>
                <w:highlight w:val="none"/>
                <w:lang w:eastAsia="zh-CN"/>
              </w:rPr>
              <w:t>比选申请人</w:t>
            </w:r>
            <w:r>
              <w:rPr>
                <w:rFonts w:ascii="宋体" w:hAnsi="宋体"/>
                <w:color w:val="000000"/>
                <w:highlight w:val="none"/>
              </w:rPr>
              <w:t>放弃中标资格，</w:t>
            </w:r>
            <w:r>
              <w:rPr>
                <w:rFonts w:hint="eastAsia" w:ascii="宋体" w:hAnsi="宋体"/>
                <w:color w:val="000000"/>
                <w:highlight w:val="none"/>
                <w:lang w:eastAsia="zh-CN"/>
              </w:rPr>
              <w:t>比选人</w:t>
            </w:r>
            <w:r>
              <w:rPr>
                <w:rFonts w:ascii="宋体" w:hAnsi="宋体"/>
                <w:color w:val="000000"/>
                <w:highlight w:val="none"/>
              </w:rPr>
              <w:t>不退还其投标保证金。</w:t>
            </w:r>
          </w:p>
          <w:p w14:paraId="0AC5AA61">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color w:val="000000"/>
                <w:highlight w:val="none"/>
              </w:rPr>
            </w:pPr>
            <w:r>
              <w:rPr>
                <w:rFonts w:ascii="宋体" w:hAnsi="宋体"/>
                <w:color w:val="000000"/>
                <w:highlight w:val="none"/>
              </w:rPr>
              <w:t>放弃在其他项目任职的需提供</w:t>
            </w:r>
            <w:r>
              <w:rPr>
                <w:rFonts w:hint="eastAsia" w:ascii="宋体" w:hAnsi="宋体"/>
                <w:color w:val="000000"/>
                <w:highlight w:val="none"/>
              </w:rPr>
              <w:t>：</w:t>
            </w:r>
            <w:r>
              <w:rPr>
                <w:rFonts w:ascii="宋体" w:hAnsi="宋体"/>
                <w:color w:val="000000"/>
                <w:highlight w:val="none"/>
              </w:rPr>
              <w:t>①</w:t>
            </w:r>
            <w:r>
              <w:rPr>
                <w:rFonts w:hint="eastAsia" w:ascii="宋体" w:hAnsi="宋体"/>
                <w:color w:val="000000"/>
                <w:highlight w:val="none"/>
              </w:rPr>
              <w:t>经</w:t>
            </w:r>
            <w:r>
              <w:rPr>
                <w:rFonts w:ascii="宋体" w:hAnsi="宋体"/>
                <w:color w:val="000000"/>
                <w:highlight w:val="none"/>
              </w:rPr>
              <w:t>业主或建设单位同意任职变更的文件；②负责项目监管的行业行政主管部门出具同意任职变更的证明材料。</w:t>
            </w:r>
          </w:p>
          <w:p w14:paraId="47070A17">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color w:val="000000"/>
                <w:highlight w:val="none"/>
              </w:rPr>
            </w:pPr>
            <w:r>
              <w:rPr>
                <w:rFonts w:ascii="宋体" w:hAnsi="宋体"/>
                <w:color w:val="000000"/>
                <w:highlight w:val="none"/>
              </w:rPr>
              <w:t>放弃在其他项目中标或拟中标的需提供</w:t>
            </w:r>
            <w:r>
              <w:rPr>
                <w:rFonts w:hint="eastAsia" w:ascii="宋体" w:hAnsi="宋体"/>
                <w:color w:val="000000"/>
                <w:highlight w:val="none"/>
              </w:rPr>
              <w:t>：</w:t>
            </w:r>
            <w:r>
              <w:rPr>
                <w:rFonts w:ascii="宋体" w:hAnsi="宋体"/>
                <w:color w:val="000000"/>
                <w:highlight w:val="none"/>
              </w:rPr>
              <w:t>①经中标或拟中标的其他项目建设单位同意的放弃中标函</w:t>
            </w:r>
            <w:r>
              <w:rPr>
                <w:rFonts w:hint="eastAsia" w:ascii="宋体" w:hAnsi="宋体"/>
                <w:color w:val="000000"/>
                <w:highlight w:val="none"/>
              </w:rPr>
              <w:t>。</w:t>
            </w:r>
          </w:p>
          <w:p w14:paraId="7A47FA8C">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highlight w:val="none"/>
              </w:rPr>
            </w:pPr>
            <w:r>
              <w:rPr>
                <w:rFonts w:hint="eastAsia" w:ascii="宋体" w:hAnsi="宋体"/>
                <w:kern w:val="0"/>
                <w:szCs w:val="21"/>
                <w:highlight w:val="none"/>
              </w:rPr>
              <w:t>提供</w:t>
            </w:r>
            <w:r>
              <w:rPr>
                <w:rFonts w:hint="eastAsia" w:ascii="宋体" w:hAnsi="宋体"/>
                <w:kern w:val="0"/>
                <w:szCs w:val="21"/>
                <w:highlight w:val="none"/>
                <w:lang w:eastAsia="zh-CN"/>
              </w:rPr>
              <w:t>：</w:t>
            </w:r>
            <w:r>
              <w:rPr>
                <w:rFonts w:hint="eastAsia" w:ascii="宋体" w:hAnsi="宋体"/>
                <w:kern w:val="0"/>
                <w:szCs w:val="21"/>
                <w:highlight w:val="none"/>
              </w:rPr>
              <w:t>拟派项目经理</w:t>
            </w:r>
            <w:r>
              <w:rPr>
                <w:rFonts w:hint="eastAsia" w:ascii="宋体" w:hAnsi="宋体"/>
                <w:kern w:val="0"/>
                <w:szCs w:val="21"/>
                <w:highlight w:val="none"/>
                <w:lang w:val="en-US" w:eastAsia="zh-CN"/>
              </w:rPr>
              <w:t>有效的</w:t>
            </w:r>
            <w:r>
              <w:rPr>
                <w:rFonts w:hint="eastAsia" w:ascii="宋体" w:hAnsi="宋体"/>
                <w:kern w:val="0"/>
                <w:szCs w:val="21"/>
                <w:highlight w:val="none"/>
              </w:rPr>
              <w:t>身份证、建造师注册证、</w:t>
            </w:r>
            <w:r>
              <w:rPr>
                <w:rFonts w:hint="eastAsia" w:ascii="宋体" w:hAnsi="宋体"/>
                <w:kern w:val="0"/>
                <w:szCs w:val="21"/>
                <w:highlight w:val="none"/>
                <w:lang w:eastAsia="zh-CN"/>
              </w:rPr>
              <w:t>比选申请人</w:t>
            </w:r>
            <w:r>
              <w:rPr>
                <w:rFonts w:hint="eastAsia" w:ascii="宋体" w:hAnsi="宋体"/>
                <w:kern w:val="0"/>
                <w:szCs w:val="21"/>
                <w:highlight w:val="none"/>
              </w:rPr>
              <w:t>为其缴纳的养老保险证明材料</w:t>
            </w:r>
            <w:r>
              <w:rPr>
                <w:rFonts w:hint="eastAsia" w:ascii="宋体" w:hAnsi="宋体"/>
                <w:kern w:val="0"/>
                <w:szCs w:val="21"/>
                <w:highlight w:val="none"/>
                <w:lang w:eastAsia="zh-CN"/>
              </w:rPr>
              <w:t>、</w:t>
            </w:r>
            <w:r>
              <w:rPr>
                <w:rFonts w:hint="eastAsia" w:ascii="宋体" w:hAnsi="宋体"/>
                <w:kern w:val="0"/>
                <w:szCs w:val="21"/>
                <w:highlight w:val="none"/>
              </w:rPr>
              <w:t>承诺（格式见第八章</w:t>
            </w:r>
            <w:r>
              <w:rPr>
                <w:rFonts w:hint="eastAsia" w:ascii="宋体" w:hAnsi="宋体"/>
                <w:kern w:val="0"/>
                <w:szCs w:val="21"/>
                <w:highlight w:val="none"/>
                <w:lang w:eastAsia="zh-CN"/>
              </w:rPr>
              <w:t>比选申请文件</w:t>
            </w:r>
            <w:r>
              <w:rPr>
                <w:rFonts w:hint="eastAsia" w:ascii="宋体" w:hAnsi="宋体"/>
                <w:kern w:val="0"/>
                <w:szCs w:val="21"/>
                <w:highlight w:val="none"/>
              </w:rPr>
              <w:t>格式）。</w:t>
            </w:r>
          </w:p>
          <w:p w14:paraId="587D1D04">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highlight w:val="none"/>
              </w:rPr>
            </w:pPr>
            <w:r>
              <w:rPr>
                <w:rFonts w:hint="eastAsia" w:ascii="宋体" w:hAnsi="宋体"/>
                <w:kern w:val="0"/>
                <w:szCs w:val="21"/>
                <w:highlight w:val="none"/>
              </w:rPr>
              <w:t>注：</w:t>
            </w:r>
            <w:r>
              <w:rPr>
                <w:rFonts w:hint="eastAsia" w:ascii="宋体" w:hAnsi="宋体"/>
                <w:kern w:val="0"/>
                <w:szCs w:val="21"/>
                <w:highlight w:val="none"/>
                <w:lang w:eastAsia="zh-CN"/>
              </w:rPr>
              <w:t>（</w:t>
            </w:r>
            <w:r>
              <w:rPr>
                <w:rFonts w:hint="eastAsia" w:ascii="宋体" w:hAnsi="宋体"/>
                <w:kern w:val="0"/>
                <w:szCs w:val="21"/>
                <w:highlight w:val="none"/>
                <w:lang w:val="en-US" w:eastAsia="zh-CN"/>
              </w:rPr>
              <w:t>1</w:t>
            </w:r>
            <w:r>
              <w:rPr>
                <w:rFonts w:hint="eastAsia" w:ascii="宋体" w:hAnsi="宋体"/>
                <w:kern w:val="0"/>
                <w:szCs w:val="21"/>
                <w:highlight w:val="none"/>
                <w:lang w:eastAsia="zh-CN"/>
              </w:rPr>
              <w:t>）</w:t>
            </w:r>
            <w:r>
              <w:rPr>
                <w:rFonts w:hint="eastAsia" w:ascii="宋体" w:hAnsi="宋体"/>
                <w:kern w:val="0"/>
                <w:szCs w:val="21"/>
                <w:highlight w:val="none"/>
              </w:rPr>
              <w:t>提供拟派的项目经理为一级建造师或重庆市二级建造师注册人员的，必须提供建造师电子注册证书，且该建造师电子注册证书须由建造师本人在个人签名处手写本人签名。</w:t>
            </w:r>
          </w:p>
          <w:p w14:paraId="7E46712B">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highlight w:val="non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2</w:t>
            </w:r>
            <w:r>
              <w:rPr>
                <w:rFonts w:hint="eastAsia" w:ascii="宋体" w:hAnsi="宋体"/>
                <w:kern w:val="0"/>
                <w:szCs w:val="21"/>
                <w:highlight w:val="none"/>
                <w:lang w:eastAsia="zh-CN"/>
              </w:rPr>
              <w:t>）</w:t>
            </w:r>
            <w:r>
              <w:rPr>
                <w:rFonts w:hint="eastAsia" w:ascii="宋体" w:hAnsi="宋体"/>
                <w:kern w:val="0"/>
                <w:szCs w:val="21"/>
                <w:highlight w:val="none"/>
              </w:rPr>
              <w:t>重庆市以外的省级住房城乡建设主管部门对二级建造师电子注册证书使用有明确规定的，从其规定。未规定使用电子注册证书的，可提供纸质证书扫描件。</w:t>
            </w:r>
          </w:p>
          <w:p w14:paraId="1CF84B2E">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3</w:t>
            </w:r>
            <w:r>
              <w:rPr>
                <w:rFonts w:hint="eastAsia" w:ascii="宋体" w:hAnsi="宋体"/>
                <w:kern w:val="0"/>
                <w:szCs w:val="21"/>
                <w:highlight w:val="none"/>
                <w:lang w:eastAsia="zh-CN"/>
              </w:rPr>
              <w:t>）</w:t>
            </w:r>
            <w:r>
              <w:rPr>
                <w:rFonts w:hint="eastAsia" w:ascii="宋体" w:hAnsi="宋体"/>
                <w:kern w:val="0"/>
                <w:szCs w:val="21"/>
                <w:highlight w:val="none"/>
              </w:rPr>
              <w:t>建造师电子注册证书本人手写签名与签名图像笔迹是否一致不作为否决投标的情形。</w:t>
            </w:r>
          </w:p>
          <w:p w14:paraId="1738FD73">
            <w:pPr>
              <w:keepNext w:val="0"/>
              <w:keepLines w:val="0"/>
              <w:pageBreakBefore w:val="0"/>
              <w:kinsoku/>
              <w:wordWrap/>
              <w:overflowPunct/>
              <w:topLinePunct w:val="0"/>
              <w:autoSpaceDE w:val="0"/>
              <w:autoSpaceDN w:val="0"/>
              <w:bidi w:val="0"/>
              <w:adjustRightInd w:val="0"/>
              <w:snapToGrid w:val="0"/>
              <w:spacing w:line="400" w:lineRule="exact"/>
              <w:ind w:firstLine="422" w:firstLineChars="200"/>
              <w:textAlignment w:val="auto"/>
              <w:rPr>
                <w:rFonts w:ascii="宋体" w:hAnsi="宋体"/>
                <w:b/>
                <w:szCs w:val="21"/>
                <w:highlight w:val="none"/>
              </w:rPr>
            </w:pPr>
            <w:r>
              <w:rPr>
                <w:rFonts w:hint="eastAsia" w:ascii="宋体" w:hAnsi="宋体"/>
                <w:b/>
                <w:szCs w:val="21"/>
                <w:highlight w:val="none"/>
                <w:lang w:val="en-US" w:eastAsia="zh-CN"/>
              </w:rPr>
              <w:t>5</w:t>
            </w:r>
            <w:r>
              <w:rPr>
                <w:rFonts w:ascii="宋体" w:hAnsi="宋体"/>
                <w:b/>
                <w:szCs w:val="21"/>
                <w:highlight w:val="none"/>
              </w:rPr>
              <w:t>.其他要求</w:t>
            </w:r>
          </w:p>
          <w:p w14:paraId="2B414614">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ascii="宋体" w:hAnsi="宋体"/>
                <w:kern w:val="0"/>
                <w:szCs w:val="21"/>
                <w:highlight w:val="none"/>
              </w:rPr>
              <w:t>（1）</w:t>
            </w:r>
            <w:r>
              <w:rPr>
                <w:rFonts w:ascii="宋体" w:hAnsi="宋体"/>
                <w:szCs w:val="21"/>
                <w:highlight w:val="none"/>
              </w:rPr>
              <w:t>项目技术负责人：</w:t>
            </w:r>
          </w:p>
          <w:p w14:paraId="2D6F5E72">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eastAsia="宋体"/>
                <w:szCs w:val="21"/>
                <w:highlight w:val="none"/>
                <w:lang w:eastAsia="zh-CN"/>
              </w:rPr>
            </w:pPr>
            <w:r>
              <w:rPr>
                <w:rFonts w:hint="eastAsia" w:ascii="宋体" w:hAnsi="宋体"/>
                <w:szCs w:val="21"/>
                <w:highlight w:val="none"/>
                <w:lang w:val="en-US" w:eastAsia="zh-CN"/>
              </w:rPr>
              <w:t>比选申请人拟派的技术负责人须是投标单位人员，具备</w:t>
            </w:r>
            <w:r>
              <w:rPr>
                <w:rFonts w:hint="eastAsia" w:ascii="宋体" w:hAnsi="宋体"/>
                <w:szCs w:val="21"/>
                <w:highlight w:val="none"/>
                <w:u w:val="single"/>
              </w:rPr>
              <w:t>工程类</w:t>
            </w:r>
            <w:r>
              <w:rPr>
                <w:rFonts w:hint="eastAsia" w:ascii="宋体" w:hAnsi="宋体"/>
                <w:szCs w:val="21"/>
                <w:highlight w:val="none"/>
                <w:u w:val="single"/>
                <w:lang w:val="en-US" w:eastAsia="zh-CN"/>
              </w:rPr>
              <w:t>中</w:t>
            </w:r>
            <w:r>
              <w:rPr>
                <w:rFonts w:ascii="宋体" w:hAnsi="宋体"/>
                <w:szCs w:val="21"/>
                <w:highlight w:val="none"/>
                <w:u w:val="single"/>
              </w:rPr>
              <w:t>级及以上</w:t>
            </w:r>
            <w:r>
              <w:rPr>
                <w:rFonts w:ascii="宋体" w:hAnsi="宋体"/>
                <w:szCs w:val="21"/>
                <w:highlight w:val="none"/>
              </w:rPr>
              <w:t>职称</w:t>
            </w:r>
            <w:r>
              <w:rPr>
                <w:rFonts w:hint="eastAsia" w:ascii="宋体" w:hAnsi="宋体"/>
                <w:szCs w:val="21"/>
                <w:highlight w:val="none"/>
                <w:lang w:eastAsia="zh-CN"/>
              </w:rPr>
              <w:t>。</w:t>
            </w:r>
          </w:p>
          <w:p w14:paraId="574AFFB1">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提供</w:t>
            </w:r>
            <w:r>
              <w:rPr>
                <w:rFonts w:hint="eastAsia" w:ascii="宋体" w:hAnsi="宋体"/>
                <w:kern w:val="0"/>
                <w:szCs w:val="21"/>
                <w:highlight w:val="none"/>
                <w:lang w:eastAsia="zh-CN"/>
              </w:rPr>
              <w:t>：</w:t>
            </w:r>
            <w:r>
              <w:rPr>
                <w:rFonts w:hint="eastAsia" w:ascii="宋体" w:hAnsi="宋体"/>
                <w:kern w:val="0"/>
                <w:szCs w:val="21"/>
                <w:highlight w:val="none"/>
              </w:rPr>
              <w:t>拟派技术负责人</w:t>
            </w:r>
            <w:r>
              <w:rPr>
                <w:rFonts w:hint="eastAsia" w:ascii="宋体" w:hAnsi="宋体"/>
                <w:kern w:val="0"/>
                <w:szCs w:val="21"/>
                <w:highlight w:val="none"/>
                <w:lang w:val="en-US" w:eastAsia="zh-CN"/>
              </w:rPr>
              <w:t>有效的</w:t>
            </w:r>
            <w:r>
              <w:rPr>
                <w:rFonts w:hint="eastAsia" w:ascii="宋体" w:hAnsi="宋体"/>
                <w:kern w:val="0"/>
                <w:szCs w:val="21"/>
                <w:highlight w:val="none"/>
              </w:rPr>
              <w:t>身份证、职称证及</w:t>
            </w:r>
            <w:r>
              <w:rPr>
                <w:rFonts w:hint="eastAsia" w:ascii="宋体" w:hAnsi="宋体"/>
                <w:kern w:val="0"/>
                <w:szCs w:val="21"/>
                <w:highlight w:val="none"/>
                <w:lang w:eastAsia="zh-CN"/>
              </w:rPr>
              <w:t>比选申请人</w:t>
            </w:r>
            <w:r>
              <w:rPr>
                <w:rFonts w:hint="eastAsia" w:ascii="宋体" w:hAnsi="宋体"/>
                <w:kern w:val="0"/>
                <w:szCs w:val="21"/>
                <w:highlight w:val="none"/>
              </w:rPr>
              <w:t>本单位为其缴纳的养老保险证明材料。</w:t>
            </w:r>
          </w:p>
          <w:p w14:paraId="5D7409D9">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r>
              <w:rPr>
                <w:rFonts w:ascii="宋体" w:hAnsi="宋体"/>
                <w:kern w:val="0"/>
                <w:szCs w:val="21"/>
                <w:highlight w:val="none"/>
              </w:rPr>
              <w:t>（2）</w:t>
            </w:r>
            <w:r>
              <w:rPr>
                <w:rFonts w:ascii="宋体" w:hAnsi="宋体"/>
                <w:szCs w:val="21"/>
                <w:highlight w:val="none"/>
              </w:rPr>
              <w:t>主要管理人员：</w:t>
            </w:r>
          </w:p>
          <w:p w14:paraId="5029407E">
            <w:pPr>
              <w:keepNext w:val="0"/>
              <w:keepLines w:val="0"/>
              <w:pageBreakBefore w:val="0"/>
              <w:kinsoku/>
              <w:wordWrap/>
              <w:overflowPunct/>
              <w:topLinePunct w:val="0"/>
              <w:autoSpaceDE w:val="0"/>
              <w:autoSpaceDN w:val="0"/>
              <w:bidi w:val="0"/>
              <w:adjustRightInd w:val="0"/>
              <w:spacing w:line="400" w:lineRule="exact"/>
              <w:ind w:firstLine="420" w:firstLineChars="200"/>
              <w:textAlignment w:val="auto"/>
              <w:rPr>
                <w:rFonts w:ascii="宋体" w:hAnsi="宋体"/>
                <w:szCs w:val="21"/>
                <w:highlight w:val="none"/>
              </w:rPr>
            </w:pPr>
            <w:r>
              <w:rPr>
                <w:rFonts w:hint="eastAsia" w:ascii="宋体" w:hAnsi="宋体"/>
                <w:szCs w:val="21"/>
                <w:highlight w:val="none"/>
                <w:lang w:eastAsia="zh-CN"/>
              </w:rPr>
              <w:t>比选申请人</w:t>
            </w:r>
            <w:r>
              <w:rPr>
                <w:rFonts w:hint="eastAsia" w:ascii="宋体" w:hAnsi="宋体"/>
                <w:szCs w:val="21"/>
                <w:highlight w:val="none"/>
                <w:lang w:val="en-US" w:eastAsia="zh-CN"/>
              </w:rPr>
              <w:t>在</w:t>
            </w:r>
            <w:r>
              <w:rPr>
                <w:rFonts w:hint="eastAsia" w:ascii="宋体" w:hAnsi="宋体"/>
                <w:szCs w:val="21"/>
                <w:highlight w:val="none"/>
              </w:rPr>
              <w:t>中标后签订合同之前，须按照建设行政主管部门的要求组建施工项目部，配置项目管理班子，出具任命文件。任命文件应当明确施工项目部的职责、岗位设置、人员配备，并书面通知</w:t>
            </w:r>
            <w:r>
              <w:rPr>
                <w:rFonts w:hint="eastAsia" w:ascii="宋体" w:hAnsi="宋体"/>
                <w:szCs w:val="21"/>
                <w:highlight w:val="none"/>
                <w:lang w:val="en-US" w:eastAsia="zh-CN"/>
              </w:rPr>
              <w:t>比选人</w:t>
            </w:r>
            <w:r>
              <w:rPr>
                <w:rFonts w:hint="eastAsia" w:ascii="宋体" w:hAnsi="宋体"/>
                <w:szCs w:val="21"/>
                <w:highlight w:val="none"/>
              </w:rPr>
              <w:t>。相关岗位管理人员应持有建设行政主管部门要求的岗位证书，并提供</w:t>
            </w:r>
            <w:r>
              <w:rPr>
                <w:rFonts w:hint="eastAsia" w:ascii="宋体" w:hAnsi="宋体"/>
                <w:szCs w:val="21"/>
                <w:highlight w:val="none"/>
                <w:lang w:eastAsia="zh-CN"/>
              </w:rPr>
              <w:t>比选申请人</w:t>
            </w:r>
            <w:r>
              <w:rPr>
                <w:rFonts w:hint="eastAsia" w:ascii="宋体" w:hAnsi="宋体"/>
                <w:szCs w:val="21"/>
                <w:highlight w:val="none"/>
              </w:rPr>
              <w:t>为其缴纳的养老保险证明材料。中标后不能满足该要求的，</w:t>
            </w:r>
            <w:r>
              <w:rPr>
                <w:rFonts w:hint="eastAsia" w:ascii="宋体" w:hAnsi="宋体"/>
                <w:szCs w:val="21"/>
                <w:highlight w:val="none"/>
                <w:lang w:eastAsia="zh-CN"/>
              </w:rPr>
              <w:t>比选人</w:t>
            </w:r>
            <w:r>
              <w:rPr>
                <w:rFonts w:hint="eastAsia" w:ascii="宋体" w:hAnsi="宋体"/>
                <w:szCs w:val="21"/>
                <w:highlight w:val="none"/>
              </w:rPr>
              <w:t>可取消</w:t>
            </w:r>
            <w:r>
              <w:rPr>
                <w:rFonts w:hint="eastAsia" w:ascii="宋体" w:hAnsi="宋体"/>
                <w:szCs w:val="21"/>
                <w:highlight w:val="none"/>
                <w:lang w:val="en-US" w:eastAsia="zh-CN"/>
              </w:rPr>
              <w:t>比选申请人</w:t>
            </w:r>
            <w:r>
              <w:rPr>
                <w:rFonts w:hint="eastAsia" w:ascii="宋体" w:hAnsi="宋体"/>
                <w:szCs w:val="21"/>
                <w:highlight w:val="none"/>
              </w:rPr>
              <w:t>中标资格</w:t>
            </w:r>
            <w:r>
              <w:rPr>
                <w:rFonts w:hint="eastAsia" w:asciiTheme="minorEastAsia" w:hAnsiTheme="minorEastAsia" w:eastAsiaTheme="minorEastAsia" w:cstheme="minorEastAsia"/>
                <w:color w:val="auto"/>
                <w:szCs w:val="21"/>
                <w:highlight w:val="none"/>
              </w:rPr>
              <w:t>；签订合同后不满足该要求的，</w:t>
            </w:r>
            <w:r>
              <w:rPr>
                <w:rFonts w:hint="eastAsia" w:asciiTheme="minorEastAsia" w:hAnsiTheme="minorEastAsia" w:eastAsiaTheme="minorEastAsia" w:cstheme="minorEastAsia"/>
                <w:color w:val="auto"/>
                <w:szCs w:val="21"/>
                <w:highlight w:val="none"/>
                <w:lang w:val="en-US" w:eastAsia="zh-CN"/>
              </w:rPr>
              <w:t>比选人</w:t>
            </w:r>
            <w:r>
              <w:rPr>
                <w:rFonts w:hint="eastAsia" w:asciiTheme="minorEastAsia" w:hAnsiTheme="minorEastAsia" w:eastAsiaTheme="minorEastAsia" w:cstheme="minorEastAsia"/>
                <w:color w:val="auto"/>
                <w:szCs w:val="21"/>
                <w:highlight w:val="none"/>
              </w:rPr>
              <w:t>按合同相关条款</w:t>
            </w:r>
            <w:r>
              <w:rPr>
                <w:rFonts w:hint="eastAsia" w:asciiTheme="minorEastAsia" w:hAnsiTheme="minorEastAsia" w:eastAsiaTheme="minorEastAsia" w:cstheme="minorEastAsia"/>
                <w:color w:val="auto"/>
                <w:szCs w:val="21"/>
                <w:highlight w:val="none"/>
                <w:lang w:val="en-US" w:eastAsia="zh-CN"/>
              </w:rPr>
              <w:t>要求比选申请人承担责任</w:t>
            </w:r>
            <w:r>
              <w:rPr>
                <w:rFonts w:hint="eastAsia" w:asciiTheme="minorEastAsia" w:hAnsiTheme="minorEastAsia" w:eastAsiaTheme="minorEastAsia" w:cstheme="minorEastAsia"/>
                <w:color w:val="auto"/>
                <w:szCs w:val="21"/>
                <w:highlight w:val="none"/>
              </w:rPr>
              <w:t>并上报行政主管部门；</w:t>
            </w:r>
            <w:r>
              <w:rPr>
                <w:rFonts w:hint="eastAsia" w:ascii="宋体" w:hAnsi="宋体"/>
                <w:szCs w:val="21"/>
                <w:highlight w:val="none"/>
              </w:rPr>
              <w:t>给</w:t>
            </w:r>
            <w:r>
              <w:rPr>
                <w:rFonts w:hint="eastAsia" w:ascii="宋体" w:hAnsi="宋体"/>
                <w:szCs w:val="21"/>
                <w:highlight w:val="none"/>
                <w:lang w:eastAsia="zh-CN"/>
              </w:rPr>
              <w:t>比选人</w:t>
            </w:r>
            <w:r>
              <w:rPr>
                <w:rFonts w:hint="eastAsia" w:ascii="宋体" w:hAnsi="宋体"/>
                <w:szCs w:val="21"/>
                <w:highlight w:val="none"/>
              </w:rPr>
              <w:t>造成损失的，</w:t>
            </w:r>
            <w:r>
              <w:rPr>
                <w:rFonts w:hint="eastAsia" w:ascii="宋体" w:hAnsi="宋体"/>
                <w:szCs w:val="21"/>
                <w:highlight w:val="none"/>
                <w:lang w:eastAsia="zh-CN"/>
              </w:rPr>
              <w:t>比选申请人</w:t>
            </w:r>
            <w:r>
              <w:rPr>
                <w:rFonts w:hint="eastAsia" w:ascii="宋体" w:hAnsi="宋体"/>
                <w:szCs w:val="21"/>
                <w:highlight w:val="none"/>
              </w:rPr>
              <w:t>依法承担赔偿责任</w:t>
            </w:r>
            <w:r>
              <w:rPr>
                <w:rFonts w:hint="eastAsia" w:ascii="宋体" w:hAnsi="宋体"/>
                <w:szCs w:val="21"/>
                <w:highlight w:val="none"/>
                <w:lang w:val="en-US" w:eastAsia="zh-CN"/>
              </w:rPr>
              <w:t>或违约责任</w:t>
            </w:r>
            <w:r>
              <w:rPr>
                <w:rFonts w:hint="eastAsia" w:ascii="宋体" w:hAnsi="宋体"/>
                <w:szCs w:val="21"/>
                <w:highlight w:val="none"/>
              </w:rPr>
              <w:t>。</w:t>
            </w:r>
          </w:p>
          <w:p w14:paraId="7819E566">
            <w:pPr>
              <w:keepNext w:val="0"/>
              <w:keepLines w:val="0"/>
              <w:pageBreakBefore w:val="0"/>
              <w:kinsoku/>
              <w:wordWrap/>
              <w:overflowPunct/>
              <w:topLinePunct w:val="0"/>
              <w:autoSpaceDE w:val="0"/>
              <w:autoSpaceDN w:val="0"/>
              <w:bidi w:val="0"/>
              <w:adjustRightInd w:val="0"/>
              <w:spacing w:line="400" w:lineRule="exact"/>
              <w:ind w:firstLine="420" w:firstLineChars="200"/>
              <w:textAlignment w:val="auto"/>
              <w:rPr>
                <w:rFonts w:hint="eastAsia" w:ascii="宋体" w:hAnsi="宋体"/>
                <w:szCs w:val="21"/>
                <w:highlight w:val="none"/>
              </w:rPr>
            </w:pPr>
            <w:r>
              <w:rPr>
                <w:rFonts w:hint="eastAsia" w:ascii="宋体" w:hAnsi="宋体"/>
                <w:szCs w:val="21"/>
                <w:highlight w:val="none"/>
              </w:rPr>
              <w:t>提供</w:t>
            </w:r>
            <w:r>
              <w:rPr>
                <w:rFonts w:hint="eastAsia" w:ascii="宋体" w:hAnsi="宋体"/>
                <w:szCs w:val="21"/>
                <w:highlight w:val="none"/>
                <w:lang w:eastAsia="zh-CN"/>
              </w:rPr>
              <w:t>：</w:t>
            </w:r>
            <w:r>
              <w:rPr>
                <w:rFonts w:hint="eastAsia" w:ascii="宋体" w:hAnsi="宋体"/>
                <w:szCs w:val="21"/>
                <w:highlight w:val="none"/>
              </w:rPr>
              <w:t>承诺（格式见第八章</w:t>
            </w:r>
            <w:r>
              <w:rPr>
                <w:rFonts w:hint="eastAsia" w:ascii="宋体" w:hAnsi="宋体"/>
                <w:szCs w:val="21"/>
                <w:highlight w:val="none"/>
                <w:lang w:eastAsia="zh-CN"/>
              </w:rPr>
              <w:t>比选申请文件</w:t>
            </w:r>
            <w:r>
              <w:rPr>
                <w:rFonts w:hint="eastAsia" w:ascii="宋体" w:hAnsi="宋体"/>
                <w:szCs w:val="21"/>
                <w:highlight w:val="none"/>
              </w:rPr>
              <w:t>格式）。</w:t>
            </w:r>
          </w:p>
          <w:p w14:paraId="5B6A21CC">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w:t>
            </w:r>
            <w:r>
              <w:rPr>
                <w:rFonts w:hint="eastAsia" w:ascii="宋体" w:hAnsi="宋体"/>
                <w:kern w:val="0"/>
                <w:szCs w:val="21"/>
                <w:highlight w:val="none"/>
              </w:rPr>
              <w:t>3</w:t>
            </w:r>
            <w:r>
              <w:rPr>
                <w:rFonts w:ascii="宋体" w:hAnsi="宋体"/>
                <w:kern w:val="0"/>
                <w:szCs w:val="21"/>
                <w:highlight w:val="none"/>
              </w:rPr>
              <w:t>）</w:t>
            </w:r>
            <w:r>
              <w:rPr>
                <w:rFonts w:hint="eastAsia" w:ascii="宋体" w:hAnsi="宋体"/>
                <w:kern w:val="0"/>
                <w:szCs w:val="21"/>
                <w:highlight w:val="none"/>
                <w:lang w:val="en-US" w:eastAsia="zh-CN"/>
              </w:rPr>
              <w:t>法定代表人或</w:t>
            </w:r>
            <w:r>
              <w:rPr>
                <w:rFonts w:ascii="宋体" w:hAnsi="宋体"/>
                <w:kern w:val="0"/>
                <w:szCs w:val="21"/>
                <w:highlight w:val="none"/>
              </w:rPr>
              <w:t>委托代理人</w:t>
            </w:r>
            <w:r>
              <w:rPr>
                <w:rFonts w:hint="eastAsia" w:ascii="宋体" w:hAnsi="宋体"/>
                <w:kern w:val="0"/>
                <w:szCs w:val="21"/>
                <w:highlight w:val="none"/>
              </w:rPr>
              <w:t>：</w:t>
            </w:r>
          </w:p>
          <w:p w14:paraId="3B8A466E">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hint="eastAsia" w:ascii="宋体" w:hAnsi="宋体" w:eastAsia="宋体"/>
                <w:kern w:val="0"/>
                <w:szCs w:val="21"/>
                <w:highlight w:val="none"/>
                <w:lang w:val="en-US" w:eastAsia="zh-CN"/>
              </w:rPr>
            </w:pPr>
            <w:r>
              <w:rPr>
                <w:rFonts w:hint="eastAsia" w:ascii="宋体" w:hAnsi="宋体"/>
                <w:kern w:val="0"/>
                <w:szCs w:val="21"/>
                <w:highlight w:val="none"/>
                <w:lang w:val="en-US" w:eastAsia="zh-CN"/>
              </w:rPr>
              <w:t>法定代表人或</w:t>
            </w:r>
            <w:r>
              <w:rPr>
                <w:rFonts w:hint="eastAsia" w:ascii="宋体" w:hAnsi="宋体"/>
                <w:i w:val="0"/>
                <w:iCs/>
                <w:color w:val="auto"/>
                <w:kern w:val="0"/>
                <w:szCs w:val="21"/>
                <w:highlight w:val="none"/>
              </w:rPr>
              <w:t>委托代理人</w:t>
            </w:r>
            <w:r>
              <w:rPr>
                <w:rFonts w:hint="eastAsia" w:ascii="宋体" w:hAnsi="宋体"/>
                <w:i w:val="0"/>
                <w:iCs/>
                <w:color w:val="auto"/>
                <w:kern w:val="0"/>
                <w:szCs w:val="21"/>
                <w:highlight w:val="none"/>
                <w:lang w:val="en-US" w:eastAsia="zh-CN"/>
              </w:rPr>
              <w:t>代表</w:t>
            </w:r>
            <w:r>
              <w:rPr>
                <w:rFonts w:hint="eastAsia" w:ascii="宋体" w:hAnsi="宋体"/>
                <w:i w:val="0"/>
                <w:iCs/>
                <w:color w:val="auto"/>
                <w:kern w:val="0"/>
                <w:szCs w:val="21"/>
                <w:highlight w:val="none"/>
                <w:lang w:eastAsia="zh-CN"/>
              </w:rPr>
              <w:t>比选申请人</w:t>
            </w:r>
            <w:r>
              <w:rPr>
                <w:rFonts w:hint="eastAsia" w:ascii="宋体" w:hAnsi="宋体"/>
                <w:i w:val="0"/>
                <w:iCs/>
                <w:color w:val="auto"/>
                <w:kern w:val="0"/>
                <w:szCs w:val="21"/>
                <w:highlight w:val="none"/>
              </w:rPr>
              <w:t>签署、澄清、说明、补正、递交、撤回、修改本项目</w:t>
            </w:r>
            <w:r>
              <w:rPr>
                <w:rFonts w:hint="eastAsia" w:ascii="宋体" w:hAnsi="宋体"/>
                <w:i w:val="0"/>
                <w:iCs/>
                <w:color w:val="auto"/>
                <w:kern w:val="0"/>
                <w:szCs w:val="21"/>
                <w:highlight w:val="none"/>
                <w:lang w:eastAsia="zh-CN"/>
              </w:rPr>
              <w:t>比选申请文件</w:t>
            </w:r>
            <w:r>
              <w:rPr>
                <w:rFonts w:hint="eastAsia" w:ascii="宋体" w:hAnsi="宋体"/>
                <w:i w:val="0"/>
                <w:iCs/>
                <w:color w:val="auto"/>
                <w:kern w:val="0"/>
                <w:szCs w:val="21"/>
                <w:highlight w:val="none"/>
              </w:rPr>
              <w:t>、签订合同和处理有关事宜，其法律后果由</w:t>
            </w:r>
            <w:r>
              <w:rPr>
                <w:rFonts w:hint="eastAsia" w:ascii="宋体" w:hAnsi="宋体"/>
                <w:i w:val="0"/>
                <w:iCs/>
                <w:color w:val="auto"/>
                <w:kern w:val="0"/>
                <w:szCs w:val="21"/>
                <w:highlight w:val="none"/>
                <w:lang w:eastAsia="zh-CN"/>
              </w:rPr>
              <w:t>比选申请人</w:t>
            </w:r>
            <w:r>
              <w:rPr>
                <w:rFonts w:hint="eastAsia" w:ascii="宋体" w:hAnsi="宋体"/>
                <w:i w:val="0"/>
                <w:iCs/>
                <w:color w:val="auto"/>
                <w:kern w:val="0"/>
                <w:szCs w:val="21"/>
                <w:highlight w:val="none"/>
              </w:rPr>
              <w:t>承担。</w:t>
            </w:r>
            <w:r>
              <w:rPr>
                <w:rFonts w:ascii="宋体" w:hAnsi="宋体"/>
                <w:kern w:val="0"/>
                <w:szCs w:val="21"/>
                <w:highlight w:val="none"/>
              </w:rPr>
              <w:t>委托代理人</w:t>
            </w:r>
            <w:r>
              <w:rPr>
                <w:rFonts w:hint="eastAsia" w:ascii="宋体" w:hAnsi="宋体"/>
                <w:kern w:val="0"/>
                <w:szCs w:val="21"/>
                <w:highlight w:val="none"/>
                <w:lang w:val="en-US" w:eastAsia="zh-CN"/>
              </w:rPr>
              <w:t>须是</w:t>
            </w:r>
            <w:r>
              <w:rPr>
                <w:rFonts w:ascii="宋体" w:hAnsi="宋体"/>
                <w:kern w:val="0"/>
                <w:szCs w:val="21"/>
                <w:highlight w:val="none"/>
              </w:rPr>
              <w:t>投标单位</w:t>
            </w:r>
            <w:r>
              <w:rPr>
                <w:rFonts w:hint="eastAsia" w:ascii="宋体" w:hAnsi="宋体"/>
                <w:kern w:val="0"/>
                <w:szCs w:val="21"/>
                <w:highlight w:val="none"/>
              </w:rPr>
              <w:t>人员</w:t>
            </w:r>
            <w:r>
              <w:rPr>
                <w:rFonts w:hint="eastAsia" w:ascii="宋体" w:hAnsi="宋体"/>
                <w:kern w:val="0"/>
                <w:szCs w:val="21"/>
                <w:highlight w:val="none"/>
                <w:lang w:eastAsia="zh-CN"/>
              </w:rPr>
              <w:t>。</w:t>
            </w:r>
          </w:p>
          <w:p w14:paraId="6E861BA6">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lang w:val="en-US" w:eastAsia="zh-CN"/>
              </w:rPr>
              <w:t>提供：</w:t>
            </w:r>
            <w:r>
              <w:rPr>
                <w:rFonts w:hint="eastAsia" w:ascii="宋体" w:hAnsi="宋体"/>
                <w:kern w:val="0"/>
                <w:szCs w:val="21"/>
                <w:highlight w:val="none"/>
              </w:rPr>
              <w:t>法定代表人身份证明</w:t>
            </w:r>
            <w:r>
              <w:rPr>
                <w:rFonts w:hint="eastAsia" w:ascii="宋体" w:hAnsi="宋体"/>
                <w:szCs w:val="21"/>
                <w:highlight w:val="none"/>
              </w:rPr>
              <w:t>（格式见第八章</w:t>
            </w:r>
            <w:r>
              <w:rPr>
                <w:rFonts w:hint="eastAsia" w:ascii="宋体" w:hAnsi="宋体"/>
                <w:szCs w:val="21"/>
                <w:highlight w:val="none"/>
                <w:lang w:eastAsia="zh-CN"/>
              </w:rPr>
              <w:t>比选申请文件</w:t>
            </w:r>
            <w:r>
              <w:rPr>
                <w:rFonts w:hint="eastAsia" w:ascii="宋体" w:hAnsi="宋体"/>
                <w:szCs w:val="21"/>
                <w:highlight w:val="none"/>
              </w:rPr>
              <w:t>格式）</w:t>
            </w:r>
            <w:r>
              <w:rPr>
                <w:rFonts w:hint="eastAsia" w:ascii="宋体" w:hAnsi="宋体"/>
                <w:kern w:val="0"/>
                <w:szCs w:val="21"/>
                <w:highlight w:val="none"/>
                <w:lang w:eastAsia="zh-CN"/>
              </w:rPr>
              <w:t>。</w:t>
            </w:r>
            <w:r>
              <w:rPr>
                <w:rFonts w:hint="eastAsia" w:ascii="宋体" w:hAnsi="宋体"/>
                <w:kern w:val="0"/>
                <w:szCs w:val="21"/>
                <w:highlight w:val="none"/>
                <w:lang w:val="en-US" w:eastAsia="zh-CN"/>
              </w:rPr>
              <w:t>法定代表人委托代理人投标的，还须提供</w:t>
            </w:r>
            <w:r>
              <w:rPr>
                <w:rFonts w:hint="eastAsia" w:ascii="宋体" w:hAnsi="宋体"/>
                <w:kern w:val="0"/>
                <w:szCs w:val="21"/>
                <w:highlight w:val="none"/>
              </w:rPr>
              <w:t>授权委托书</w:t>
            </w:r>
            <w:r>
              <w:rPr>
                <w:rFonts w:hint="eastAsia" w:ascii="宋体" w:hAnsi="宋体"/>
                <w:szCs w:val="21"/>
                <w:highlight w:val="none"/>
              </w:rPr>
              <w:t>（格式见第八章</w:t>
            </w:r>
            <w:r>
              <w:rPr>
                <w:rFonts w:hint="eastAsia" w:ascii="宋体" w:hAnsi="宋体"/>
                <w:szCs w:val="21"/>
                <w:highlight w:val="none"/>
                <w:lang w:eastAsia="zh-CN"/>
              </w:rPr>
              <w:t>比选申请文件</w:t>
            </w:r>
            <w:r>
              <w:rPr>
                <w:rFonts w:hint="eastAsia" w:ascii="宋体" w:hAnsi="宋体"/>
                <w:szCs w:val="21"/>
                <w:highlight w:val="none"/>
              </w:rPr>
              <w:t>格式）</w:t>
            </w:r>
            <w:r>
              <w:rPr>
                <w:rFonts w:hint="eastAsia" w:ascii="宋体" w:hAnsi="宋体"/>
                <w:kern w:val="0"/>
                <w:szCs w:val="21"/>
                <w:highlight w:val="none"/>
                <w:lang w:eastAsia="zh-CN"/>
              </w:rPr>
              <w:t>、比选申请人</w:t>
            </w:r>
            <w:r>
              <w:rPr>
                <w:rFonts w:hint="eastAsia" w:ascii="宋体" w:hAnsi="宋体"/>
                <w:kern w:val="0"/>
                <w:szCs w:val="21"/>
                <w:highlight w:val="none"/>
              </w:rPr>
              <w:t>为该</w:t>
            </w:r>
            <w:r>
              <w:rPr>
                <w:rFonts w:ascii="宋体" w:hAnsi="宋体"/>
                <w:kern w:val="0"/>
                <w:szCs w:val="21"/>
                <w:highlight w:val="none"/>
              </w:rPr>
              <w:t>委托代理人</w:t>
            </w:r>
            <w:r>
              <w:rPr>
                <w:rFonts w:hint="eastAsia" w:ascii="宋体" w:hAnsi="宋体"/>
                <w:kern w:val="0"/>
                <w:szCs w:val="21"/>
                <w:highlight w:val="none"/>
              </w:rPr>
              <w:t>缴纳的养老保险证明。</w:t>
            </w:r>
          </w:p>
          <w:p w14:paraId="263F33CB">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hint="eastAsia" w:ascii="宋体" w:hAnsi="宋体"/>
                <w:kern w:val="0"/>
                <w:szCs w:val="21"/>
                <w:highlight w:val="none"/>
                <w:lang w:val="en-US" w:eastAsia="zh-CN"/>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4</w:t>
            </w:r>
            <w:r>
              <w:rPr>
                <w:rFonts w:hint="eastAsia" w:ascii="宋体" w:hAnsi="宋体"/>
                <w:kern w:val="0"/>
                <w:szCs w:val="21"/>
                <w:highlight w:val="none"/>
                <w:lang w:eastAsia="zh-CN"/>
              </w:rPr>
              <w:t>）</w:t>
            </w:r>
            <w:r>
              <w:rPr>
                <w:rFonts w:hint="eastAsia" w:ascii="宋体" w:hAnsi="宋体"/>
                <w:kern w:val="0"/>
                <w:szCs w:val="21"/>
                <w:highlight w:val="none"/>
                <w:lang w:val="en-US" w:eastAsia="zh-CN"/>
              </w:rPr>
              <w:t>比选申请文件真实性：</w:t>
            </w:r>
          </w:p>
          <w:p w14:paraId="79F6626E">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比选申请文件</w:t>
            </w:r>
            <w:r>
              <w:rPr>
                <w:rFonts w:hint="eastAsia" w:asciiTheme="minorEastAsia" w:hAnsiTheme="minorEastAsia" w:eastAsiaTheme="minorEastAsia" w:cstheme="minorEastAsia"/>
                <w:color w:val="auto"/>
                <w:kern w:val="0"/>
                <w:szCs w:val="21"/>
                <w:highlight w:val="none"/>
              </w:rPr>
              <w:t>中的所有内容</w:t>
            </w:r>
            <w:r>
              <w:rPr>
                <w:rFonts w:hint="eastAsia" w:asciiTheme="minorEastAsia" w:hAnsiTheme="minorEastAsia" w:eastAsiaTheme="minorEastAsia" w:cstheme="minorEastAsia"/>
                <w:color w:val="auto"/>
                <w:kern w:val="0"/>
                <w:szCs w:val="21"/>
                <w:highlight w:val="none"/>
                <w:lang w:val="en-US" w:eastAsia="zh-CN"/>
              </w:rPr>
              <w:t>须</w:t>
            </w:r>
            <w:r>
              <w:rPr>
                <w:rFonts w:hint="eastAsia" w:asciiTheme="minorEastAsia" w:hAnsiTheme="minorEastAsia" w:eastAsiaTheme="minorEastAsia" w:cstheme="minorEastAsia"/>
                <w:color w:val="auto"/>
                <w:kern w:val="0"/>
                <w:szCs w:val="21"/>
                <w:highlight w:val="none"/>
              </w:rPr>
              <w:t>真实有效，不存在弄虚作假情形。</w:t>
            </w:r>
          </w:p>
          <w:p w14:paraId="2C9D3514">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提供</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承诺（</w:t>
            </w:r>
            <w:r>
              <w:rPr>
                <w:rFonts w:hint="eastAsia" w:asciiTheme="minorEastAsia" w:hAnsiTheme="minorEastAsia" w:eastAsiaTheme="minorEastAsia" w:cstheme="minorEastAsia"/>
                <w:color w:val="auto"/>
                <w:szCs w:val="21"/>
                <w:highlight w:val="none"/>
              </w:rPr>
              <w:t>格式见第</w:t>
            </w:r>
            <w:r>
              <w:rPr>
                <w:rFonts w:hint="eastAsia" w:asciiTheme="minorEastAsia" w:hAnsiTheme="minorEastAsia" w:eastAsiaTheme="minorEastAsia" w:cstheme="minorEastAsia"/>
                <w:color w:val="auto"/>
                <w:szCs w:val="21"/>
                <w:highlight w:val="none"/>
                <w:lang w:val="en-US" w:eastAsia="zh-CN"/>
              </w:rPr>
              <w:t>八</w:t>
            </w:r>
            <w:r>
              <w:rPr>
                <w:rFonts w:hint="eastAsia" w:asciiTheme="minorEastAsia" w:hAnsiTheme="minorEastAsia" w:eastAsiaTheme="minorEastAsia" w:cstheme="minorEastAsia"/>
                <w:color w:val="auto"/>
                <w:szCs w:val="21"/>
                <w:highlight w:val="none"/>
              </w:rPr>
              <w:t>章</w:t>
            </w:r>
            <w:r>
              <w:rPr>
                <w:rFonts w:hint="eastAsia" w:asciiTheme="minorEastAsia" w:hAnsiTheme="minorEastAsia" w:eastAsiaTheme="minorEastAsia" w:cstheme="minorEastAsia"/>
                <w:color w:val="auto"/>
                <w:szCs w:val="21"/>
                <w:highlight w:val="none"/>
                <w:lang w:eastAsia="zh-CN"/>
              </w:rPr>
              <w:t>比选申请文件</w:t>
            </w:r>
            <w:r>
              <w:rPr>
                <w:rFonts w:hint="eastAsia" w:asciiTheme="minorEastAsia" w:hAnsiTheme="minorEastAsia" w:eastAsiaTheme="minorEastAsia" w:cstheme="minorEastAsia"/>
                <w:color w:val="auto"/>
                <w:szCs w:val="21"/>
                <w:highlight w:val="none"/>
              </w:rPr>
              <w:t>格式</w:t>
            </w:r>
            <w:r>
              <w:rPr>
                <w:rFonts w:hint="eastAsia" w:asciiTheme="minorEastAsia" w:hAnsiTheme="minorEastAsia" w:eastAsiaTheme="minorEastAsia" w:cstheme="minorEastAsia"/>
                <w:color w:val="auto"/>
                <w:kern w:val="0"/>
                <w:szCs w:val="21"/>
                <w:highlight w:val="none"/>
              </w:rPr>
              <w:t>）。</w:t>
            </w:r>
          </w:p>
          <w:p w14:paraId="2E116F99">
            <w:pPr>
              <w:keepNext w:val="0"/>
              <w:keepLines w:val="0"/>
              <w:pageBreakBefore w:val="0"/>
              <w:kinsoku/>
              <w:wordWrap/>
              <w:overflowPunct/>
              <w:topLinePunct w:val="0"/>
              <w:autoSpaceDE w:val="0"/>
              <w:autoSpaceDN w:val="0"/>
              <w:bidi w:val="0"/>
              <w:adjustRightInd w:val="0"/>
              <w:snapToGrid w:val="0"/>
              <w:spacing w:line="400" w:lineRule="exact"/>
              <w:ind w:firstLine="417" w:firstLineChars="198"/>
              <w:textAlignment w:val="auto"/>
              <w:rPr>
                <w:rFonts w:ascii="宋体" w:hAnsi="宋体" w:cs="宋体"/>
                <w:b/>
                <w:szCs w:val="21"/>
                <w:highlight w:val="none"/>
              </w:rPr>
            </w:pPr>
            <w:r>
              <w:rPr>
                <w:rFonts w:hint="eastAsia" w:ascii="宋体" w:hAnsi="宋体" w:cs="宋体"/>
                <w:b/>
                <w:szCs w:val="21"/>
                <w:highlight w:val="none"/>
              </w:rPr>
              <w:t>特别说明：</w:t>
            </w:r>
          </w:p>
          <w:p w14:paraId="2D1C2EC5">
            <w:pPr>
              <w:keepNext w:val="0"/>
              <w:keepLines w:val="0"/>
              <w:pageBreakBefore w:val="0"/>
              <w:kinsoku/>
              <w:wordWrap/>
              <w:overflowPunct/>
              <w:topLinePunct w:val="0"/>
              <w:autoSpaceDE w:val="0"/>
              <w:autoSpaceDN w:val="0"/>
              <w:bidi w:val="0"/>
              <w:adjustRightInd w:val="0"/>
              <w:snapToGrid w:val="0"/>
              <w:spacing w:line="400" w:lineRule="exact"/>
              <w:ind w:firstLine="415" w:firstLineChars="198"/>
              <w:textAlignment w:val="auto"/>
              <w:rPr>
                <w:rFonts w:ascii="宋体" w:hAnsi="宋体" w:cs="宋体"/>
                <w:kern w:val="0"/>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上述要求须</w:t>
            </w:r>
            <w:r>
              <w:rPr>
                <w:rFonts w:hint="eastAsia" w:ascii="宋体" w:hAnsi="宋体" w:cs="宋体"/>
                <w:szCs w:val="21"/>
                <w:highlight w:val="none"/>
                <w:lang w:val="en-US" w:eastAsia="zh-CN"/>
              </w:rPr>
              <w:t>提供</w:t>
            </w:r>
            <w:r>
              <w:rPr>
                <w:rFonts w:hint="eastAsia" w:ascii="宋体" w:hAnsi="宋体" w:cs="宋体"/>
                <w:szCs w:val="21"/>
                <w:highlight w:val="none"/>
              </w:rPr>
              <w:t>的相关证明材料均为扫描件（原件或复印件的扫描件均可），扫描件须清晰可辨，</w:t>
            </w:r>
            <w:r>
              <w:rPr>
                <w:rFonts w:hint="eastAsia" w:ascii="宋体" w:hAnsi="宋体" w:cs="宋体"/>
                <w:kern w:val="0"/>
                <w:szCs w:val="21"/>
                <w:highlight w:val="none"/>
              </w:rPr>
              <w:t>有一条不满足，则</w:t>
            </w:r>
            <w:r>
              <w:rPr>
                <w:rFonts w:hint="eastAsia" w:ascii="宋体" w:hAnsi="宋体" w:cs="宋体"/>
                <w:kern w:val="0"/>
                <w:szCs w:val="21"/>
                <w:highlight w:val="none"/>
                <w:lang w:eastAsia="zh-CN"/>
              </w:rPr>
              <w:t>比选申请文件</w:t>
            </w:r>
            <w:r>
              <w:rPr>
                <w:rFonts w:hint="eastAsia" w:ascii="宋体" w:hAnsi="宋体" w:cs="宋体"/>
                <w:kern w:val="0"/>
                <w:szCs w:val="21"/>
                <w:highlight w:val="none"/>
              </w:rPr>
              <w:t>由评标委员会</w:t>
            </w:r>
            <w:r>
              <w:rPr>
                <w:rFonts w:hint="eastAsia" w:ascii="宋体" w:hAnsi="宋体" w:cs="宋体"/>
                <w:szCs w:val="21"/>
                <w:highlight w:val="none"/>
              </w:rPr>
              <w:t>作否决投标处理</w:t>
            </w:r>
            <w:r>
              <w:rPr>
                <w:rFonts w:hint="eastAsia" w:ascii="宋体" w:hAnsi="宋体" w:cs="宋体"/>
                <w:kern w:val="0"/>
                <w:szCs w:val="21"/>
                <w:highlight w:val="none"/>
              </w:rPr>
              <w:t>。</w:t>
            </w:r>
          </w:p>
          <w:p w14:paraId="234D75FC">
            <w:pPr>
              <w:keepNext w:val="0"/>
              <w:keepLines w:val="0"/>
              <w:pageBreakBefore w:val="0"/>
              <w:kinsoku/>
              <w:wordWrap/>
              <w:overflowPunct/>
              <w:topLinePunct w:val="0"/>
              <w:autoSpaceDE w:val="0"/>
              <w:autoSpaceDN w:val="0"/>
              <w:bidi w:val="0"/>
              <w:adjustRightInd w:val="0"/>
              <w:snapToGrid w:val="0"/>
              <w:spacing w:line="400" w:lineRule="exact"/>
              <w:ind w:firstLine="415" w:firstLineChars="198"/>
              <w:textAlignment w:val="auto"/>
              <w:rPr>
                <w:rFonts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u w:val="none"/>
                <w:lang w:eastAsia="zh-CN"/>
              </w:rPr>
              <w:t>比选人</w:t>
            </w:r>
            <w:r>
              <w:rPr>
                <w:rFonts w:hint="eastAsia" w:ascii="宋体" w:hAnsi="宋体" w:cs="宋体"/>
                <w:szCs w:val="21"/>
                <w:highlight w:val="none"/>
                <w:u w:val="none"/>
              </w:rPr>
              <w:t>有权对</w:t>
            </w:r>
            <w:r>
              <w:rPr>
                <w:rFonts w:hint="eastAsia" w:ascii="宋体" w:hAnsi="宋体" w:cs="宋体"/>
                <w:szCs w:val="21"/>
                <w:highlight w:val="none"/>
                <w:u w:val="none"/>
                <w:lang w:eastAsia="zh-CN"/>
              </w:rPr>
              <w:t>比选申请人</w:t>
            </w:r>
            <w:r>
              <w:rPr>
                <w:rFonts w:hint="eastAsia" w:ascii="宋体" w:hAnsi="宋体" w:cs="宋体"/>
                <w:szCs w:val="21"/>
                <w:highlight w:val="none"/>
                <w:u w:val="none"/>
              </w:rPr>
              <w:t>提供的资料进行核实，若发现弄虚作假，</w:t>
            </w:r>
            <w:r>
              <w:rPr>
                <w:rFonts w:hint="eastAsia" w:asciiTheme="minorEastAsia" w:hAnsiTheme="minorEastAsia" w:eastAsiaTheme="minorEastAsia" w:cstheme="minorEastAsia"/>
                <w:color w:val="auto"/>
                <w:szCs w:val="21"/>
                <w:highlight w:val="none"/>
                <w:u w:val="none"/>
                <w:lang w:val="en-US" w:eastAsia="zh-CN"/>
              </w:rPr>
              <w:t>按相关规定</w:t>
            </w:r>
            <w:r>
              <w:rPr>
                <w:rFonts w:hint="eastAsia" w:ascii="宋体" w:hAnsi="宋体" w:cs="宋体"/>
                <w:szCs w:val="21"/>
                <w:highlight w:val="none"/>
                <w:u w:val="none"/>
              </w:rPr>
              <w:t>取消其中标资格，并按相关法律法规报招标投标监督部门，</w:t>
            </w:r>
            <w:r>
              <w:rPr>
                <w:rFonts w:hint="eastAsia" w:ascii="宋体" w:hAnsi="宋体" w:cs="宋体"/>
                <w:szCs w:val="21"/>
                <w:highlight w:val="none"/>
                <w:u w:val="none"/>
                <w:lang w:eastAsia="zh-CN"/>
              </w:rPr>
              <w:t>比选申请人</w:t>
            </w:r>
            <w:r>
              <w:rPr>
                <w:rFonts w:hint="eastAsia" w:ascii="宋体" w:hAnsi="宋体" w:cs="宋体"/>
                <w:szCs w:val="21"/>
                <w:highlight w:val="none"/>
                <w:u w:val="none"/>
              </w:rPr>
              <w:t>承担因此造成的相关责任并赔偿相应损失</w:t>
            </w:r>
            <w:r>
              <w:rPr>
                <w:rFonts w:hint="eastAsia" w:ascii="宋体" w:hAnsi="宋体" w:cs="宋体"/>
                <w:szCs w:val="21"/>
                <w:highlight w:val="none"/>
              </w:rPr>
              <w:t>。</w:t>
            </w:r>
          </w:p>
          <w:p w14:paraId="7B56B016">
            <w:pPr>
              <w:keepNext w:val="0"/>
              <w:keepLines w:val="0"/>
              <w:pageBreakBefore w:val="0"/>
              <w:kinsoku/>
              <w:wordWrap/>
              <w:overflowPunct/>
              <w:topLinePunct w:val="0"/>
              <w:bidi w:val="0"/>
              <w:spacing w:line="400" w:lineRule="exact"/>
              <w:ind w:firstLine="420" w:firstLineChars="200"/>
              <w:textAlignment w:val="auto"/>
              <w:rPr>
                <w:rFonts w:ascii="宋体" w:hAnsi="宋体"/>
                <w:bCs/>
                <w:kern w:val="0"/>
                <w:szCs w:val="21"/>
                <w:highlight w:val="none"/>
              </w:rPr>
            </w:pPr>
            <w:r>
              <w:rPr>
                <w:rFonts w:hint="eastAsia" w:ascii="宋体" w:hAnsi="宋体"/>
                <w:bCs/>
                <w:kern w:val="0"/>
                <w:szCs w:val="21"/>
                <w:highlight w:val="none"/>
              </w:rPr>
              <w:t>（3）</w:t>
            </w:r>
            <w:r>
              <w:rPr>
                <w:rFonts w:ascii="宋体" w:hAnsi="宋体"/>
                <w:bCs/>
                <w:kern w:val="0"/>
                <w:szCs w:val="21"/>
                <w:highlight w:val="none"/>
              </w:rPr>
              <w:t>本</w:t>
            </w:r>
            <w:r>
              <w:rPr>
                <w:rFonts w:hint="eastAsia" w:ascii="宋体" w:hAnsi="宋体"/>
                <w:bCs/>
                <w:kern w:val="0"/>
                <w:szCs w:val="21"/>
                <w:highlight w:val="none"/>
                <w:lang w:eastAsia="zh-CN"/>
              </w:rPr>
              <w:t>竞争性比选文件</w:t>
            </w:r>
            <w:r>
              <w:rPr>
                <w:rFonts w:ascii="宋体" w:hAnsi="宋体"/>
                <w:bCs/>
                <w:kern w:val="0"/>
                <w:szCs w:val="21"/>
                <w:highlight w:val="none"/>
              </w:rPr>
              <w:t>中所要求的人员</w:t>
            </w:r>
            <w:r>
              <w:rPr>
                <w:rFonts w:hint="eastAsia" w:ascii="宋体" w:hAnsi="宋体"/>
                <w:bCs/>
                <w:kern w:val="0"/>
                <w:szCs w:val="21"/>
                <w:highlight w:val="none"/>
              </w:rPr>
              <w:t>养老保险</w:t>
            </w:r>
            <w:r>
              <w:rPr>
                <w:rFonts w:ascii="宋体" w:hAnsi="宋体"/>
                <w:bCs/>
                <w:kern w:val="0"/>
                <w:szCs w:val="21"/>
                <w:highlight w:val="none"/>
              </w:rPr>
              <w:t>证明要求如下：</w:t>
            </w:r>
          </w:p>
          <w:p w14:paraId="34D2E1B8">
            <w:pPr>
              <w:keepNext w:val="0"/>
              <w:keepLines w:val="0"/>
              <w:pageBreakBefore w:val="0"/>
              <w:kinsoku/>
              <w:wordWrap/>
              <w:overflowPunct/>
              <w:topLinePunct w:val="0"/>
              <w:bidi w:val="0"/>
              <w:spacing w:line="400" w:lineRule="exact"/>
              <w:ind w:firstLine="420" w:firstLineChars="200"/>
              <w:textAlignment w:val="auto"/>
              <w:rPr>
                <w:rFonts w:ascii="宋体" w:hAnsi="宋体"/>
                <w:bCs/>
                <w:kern w:val="0"/>
                <w:szCs w:val="21"/>
                <w:highlight w:val="none"/>
              </w:rPr>
            </w:pPr>
            <w:r>
              <w:rPr>
                <w:rFonts w:ascii="宋体" w:hAnsi="宋体"/>
                <w:bCs/>
                <w:kern w:val="0"/>
                <w:szCs w:val="21"/>
                <w:highlight w:val="none"/>
              </w:rPr>
              <w:t>①</w:t>
            </w:r>
            <w:r>
              <w:rPr>
                <w:rFonts w:hint="eastAsia" w:ascii="宋体" w:hAnsi="宋体"/>
                <w:bCs/>
                <w:kern w:val="0"/>
                <w:szCs w:val="21"/>
                <w:highlight w:val="none"/>
                <w:lang w:val="en-US" w:eastAsia="zh-CN"/>
              </w:rPr>
              <w:t>企业</w:t>
            </w:r>
            <w:r>
              <w:rPr>
                <w:rFonts w:ascii="宋体" w:hAnsi="宋体"/>
                <w:bCs/>
                <w:kern w:val="0"/>
                <w:szCs w:val="21"/>
                <w:highlight w:val="none"/>
              </w:rPr>
              <w:t>提供</w:t>
            </w:r>
            <w:r>
              <w:rPr>
                <w:rFonts w:hint="eastAsia" w:ascii="宋体" w:hAnsi="宋体"/>
                <w:bCs/>
                <w:kern w:val="0"/>
                <w:szCs w:val="21"/>
                <w:highlight w:val="none"/>
              </w:rPr>
              <w:t>养老保险</w:t>
            </w:r>
            <w:r>
              <w:rPr>
                <w:rFonts w:ascii="宋体" w:hAnsi="宋体"/>
                <w:bCs/>
                <w:kern w:val="0"/>
                <w:szCs w:val="21"/>
                <w:highlight w:val="none"/>
              </w:rPr>
              <w:t>证明，事业单位提供</w:t>
            </w:r>
            <w:r>
              <w:rPr>
                <w:rFonts w:hint="eastAsia" w:ascii="宋体" w:hAnsi="宋体"/>
                <w:bCs/>
                <w:kern w:val="0"/>
                <w:szCs w:val="21"/>
                <w:highlight w:val="none"/>
              </w:rPr>
              <w:t>养老保险</w:t>
            </w:r>
            <w:r>
              <w:rPr>
                <w:rFonts w:ascii="宋体" w:hAnsi="宋体"/>
                <w:bCs/>
                <w:kern w:val="0"/>
                <w:szCs w:val="21"/>
                <w:highlight w:val="none"/>
              </w:rPr>
              <w:t>证明或行政主管部门在编证明。</w:t>
            </w:r>
          </w:p>
          <w:p w14:paraId="44BFCACA">
            <w:pPr>
              <w:keepNext w:val="0"/>
              <w:keepLines w:val="0"/>
              <w:pageBreakBefore w:val="0"/>
              <w:kinsoku/>
              <w:wordWrap/>
              <w:overflowPunct/>
              <w:topLinePunct w:val="0"/>
              <w:bidi w:val="0"/>
              <w:spacing w:line="400" w:lineRule="exact"/>
              <w:ind w:firstLine="420" w:firstLineChars="200"/>
              <w:textAlignment w:val="auto"/>
              <w:rPr>
                <w:rFonts w:ascii="宋体" w:hAnsi="宋体"/>
                <w:bCs/>
                <w:snapToGrid w:val="0"/>
                <w:kern w:val="0"/>
                <w:szCs w:val="21"/>
                <w:highlight w:val="none"/>
              </w:rPr>
            </w:pPr>
            <w:r>
              <w:rPr>
                <w:rFonts w:ascii="宋体" w:hAnsi="宋体"/>
                <w:bCs/>
                <w:kern w:val="0"/>
                <w:szCs w:val="21"/>
                <w:highlight w:val="none"/>
              </w:rPr>
              <w:t>②</w:t>
            </w:r>
            <w:r>
              <w:rPr>
                <w:rFonts w:hint="eastAsia" w:ascii="宋体" w:hAnsi="宋体"/>
                <w:bCs/>
                <w:snapToGrid w:val="0"/>
                <w:kern w:val="0"/>
                <w:szCs w:val="21"/>
                <w:highlight w:val="none"/>
                <w:lang w:val="en-US" w:eastAsia="zh-CN"/>
              </w:rPr>
              <w:t>拟派人员在投标单位</w:t>
            </w:r>
            <w:r>
              <w:rPr>
                <w:rFonts w:ascii="宋体" w:hAnsi="宋体"/>
                <w:bCs/>
                <w:snapToGrid w:val="0"/>
                <w:kern w:val="0"/>
                <w:szCs w:val="21"/>
                <w:highlight w:val="none"/>
              </w:rPr>
              <w:t>的</w:t>
            </w:r>
            <w:r>
              <w:rPr>
                <w:rFonts w:hint="eastAsia" w:ascii="宋体" w:hAnsi="宋体"/>
                <w:bCs/>
                <w:snapToGrid w:val="0"/>
                <w:kern w:val="0"/>
                <w:szCs w:val="21"/>
                <w:highlight w:val="none"/>
              </w:rPr>
              <w:t>连续养老保险</w:t>
            </w:r>
            <w:r>
              <w:rPr>
                <w:rFonts w:ascii="宋体" w:hAnsi="宋体"/>
                <w:bCs/>
                <w:snapToGrid w:val="0"/>
                <w:kern w:val="0"/>
                <w:szCs w:val="21"/>
                <w:highlight w:val="none"/>
              </w:rPr>
              <w:t>证明期限</w:t>
            </w:r>
            <w:r>
              <w:rPr>
                <w:rFonts w:hint="eastAsia" w:ascii="宋体" w:hAnsi="宋体"/>
                <w:bCs/>
                <w:snapToGrid w:val="0"/>
                <w:kern w:val="0"/>
                <w:szCs w:val="21"/>
                <w:highlight w:val="none"/>
                <w:lang w:val="en-US" w:eastAsia="zh-CN"/>
              </w:rPr>
              <w:t>须包含</w:t>
            </w:r>
            <w:r>
              <w:rPr>
                <w:rFonts w:hint="eastAsia" w:ascii="宋体" w:hAnsi="宋体"/>
                <w:bCs/>
                <w:snapToGrid w:val="0"/>
                <w:kern w:val="0"/>
                <w:szCs w:val="21"/>
                <w:highlight w:val="none"/>
                <w:u w:val="single"/>
              </w:rPr>
              <w:t xml:space="preserve"> </w:t>
            </w:r>
            <w:r>
              <w:rPr>
                <w:rFonts w:hint="eastAsia" w:ascii="宋体" w:hAnsi="宋体"/>
                <w:bCs/>
                <w:snapToGrid w:val="0"/>
                <w:kern w:val="0"/>
                <w:szCs w:val="21"/>
                <w:highlight w:val="none"/>
                <w:u w:val="single"/>
                <w:lang w:val="en-US" w:eastAsia="zh-CN"/>
              </w:rPr>
              <w:t>2026</w:t>
            </w:r>
            <w:r>
              <w:rPr>
                <w:rFonts w:hint="eastAsia" w:ascii="宋体" w:hAnsi="宋体"/>
                <w:bCs/>
                <w:snapToGrid w:val="0"/>
                <w:kern w:val="0"/>
                <w:szCs w:val="21"/>
                <w:highlight w:val="none"/>
                <w:u w:val="single"/>
              </w:rPr>
              <w:t xml:space="preserve"> </w:t>
            </w:r>
            <w:r>
              <w:rPr>
                <w:rFonts w:ascii="宋体" w:hAnsi="宋体"/>
                <w:bCs/>
                <w:snapToGrid w:val="0"/>
                <w:kern w:val="0"/>
                <w:szCs w:val="21"/>
                <w:highlight w:val="none"/>
              </w:rPr>
              <w:t>年</w:t>
            </w:r>
            <w:r>
              <w:rPr>
                <w:rFonts w:hint="eastAsia" w:ascii="宋体" w:hAnsi="宋体"/>
                <w:bCs/>
                <w:snapToGrid w:val="0"/>
                <w:kern w:val="0"/>
                <w:szCs w:val="21"/>
                <w:highlight w:val="none"/>
                <w:u w:val="single"/>
              </w:rPr>
              <w:t xml:space="preserve"> </w:t>
            </w:r>
            <w:r>
              <w:rPr>
                <w:rFonts w:hint="eastAsia" w:ascii="宋体" w:hAnsi="宋体"/>
                <w:bCs/>
                <w:snapToGrid w:val="0"/>
                <w:kern w:val="0"/>
                <w:szCs w:val="21"/>
                <w:highlight w:val="none"/>
                <w:u w:val="single"/>
                <w:lang w:val="en-US" w:eastAsia="zh-CN"/>
              </w:rPr>
              <w:t>1</w:t>
            </w:r>
            <w:r>
              <w:rPr>
                <w:rFonts w:hint="eastAsia" w:ascii="宋体" w:hAnsi="宋体"/>
                <w:bCs/>
                <w:snapToGrid w:val="0"/>
                <w:kern w:val="0"/>
                <w:szCs w:val="21"/>
                <w:highlight w:val="none"/>
                <w:u w:val="single"/>
              </w:rPr>
              <w:t xml:space="preserve"> </w:t>
            </w:r>
            <w:r>
              <w:rPr>
                <w:rFonts w:ascii="宋体" w:hAnsi="宋体"/>
                <w:bCs/>
                <w:snapToGrid w:val="0"/>
                <w:kern w:val="0"/>
                <w:szCs w:val="21"/>
                <w:highlight w:val="none"/>
              </w:rPr>
              <w:t>月至</w:t>
            </w:r>
            <w:r>
              <w:rPr>
                <w:rFonts w:hint="eastAsia" w:ascii="宋体" w:hAnsi="宋体"/>
                <w:bCs/>
                <w:snapToGrid w:val="0"/>
                <w:kern w:val="0"/>
                <w:szCs w:val="21"/>
                <w:highlight w:val="none"/>
                <w:u w:val="single"/>
              </w:rPr>
              <w:t xml:space="preserve"> </w:t>
            </w:r>
            <w:r>
              <w:rPr>
                <w:rFonts w:hint="eastAsia" w:ascii="宋体" w:hAnsi="宋体"/>
                <w:bCs/>
                <w:snapToGrid w:val="0"/>
                <w:kern w:val="0"/>
                <w:szCs w:val="21"/>
                <w:highlight w:val="none"/>
                <w:u w:val="single"/>
                <w:lang w:val="en-US" w:eastAsia="zh-CN"/>
              </w:rPr>
              <w:t>2026</w:t>
            </w:r>
            <w:r>
              <w:rPr>
                <w:rFonts w:hint="eastAsia" w:ascii="宋体" w:hAnsi="宋体"/>
                <w:bCs/>
                <w:snapToGrid w:val="0"/>
                <w:kern w:val="0"/>
                <w:szCs w:val="21"/>
                <w:highlight w:val="none"/>
                <w:u w:val="single"/>
              </w:rPr>
              <w:t xml:space="preserve"> </w:t>
            </w:r>
            <w:r>
              <w:rPr>
                <w:rFonts w:ascii="宋体" w:hAnsi="宋体"/>
                <w:bCs/>
                <w:snapToGrid w:val="0"/>
                <w:kern w:val="0"/>
                <w:szCs w:val="21"/>
                <w:highlight w:val="none"/>
              </w:rPr>
              <w:t>年</w:t>
            </w:r>
            <w:r>
              <w:rPr>
                <w:rFonts w:hint="eastAsia" w:ascii="宋体" w:hAnsi="宋体"/>
                <w:bCs/>
                <w:snapToGrid w:val="0"/>
                <w:kern w:val="0"/>
                <w:szCs w:val="21"/>
                <w:highlight w:val="none"/>
                <w:u w:val="single"/>
              </w:rPr>
              <w:t xml:space="preserve"> </w:t>
            </w:r>
            <w:r>
              <w:rPr>
                <w:rFonts w:hint="eastAsia" w:ascii="宋体" w:hAnsi="宋体"/>
                <w:bCs/>
                <w:snapToGrid w:val="0"/>
                <w:kern w:val="0"/>
                <w:szCs w:val="21"/>
                <w:highlight w:val="none"/>
                <w:u w:val="single"/>
                <w:lang w:val="en-US" w:eastAsia="zh-CN"/>
              </w:rPr>
              <w:t>6</w:t>
            </w:r>
            <w:r>
              <w:rPr>
                <w:rFonts w:hint="eastAsia" w:ascii="宋体" w:hAnsi="宋体"/>
                <w:bCs/>
                <w:snapToGrid w:val="0"/>
                <w:kern w:val="0"/>
                <w:szCs w:val="21"/>
                <w:highlight w:val="none"/>
                <w:u w:val="single"/>
              </w:rPr>
              <w:t xml:space="preserve"> </w:t>
            </w:r>
            <w:r>
              <w:rPr>
                <w:rFonts w:ascii="宋体" w:hAnsi="宋体"/>
                <w:bCs/>
                <w:snapToGrid w:val="0"/>
                <w:kern w:val="0"/>
                <w:szCs w:val="21"/>
                <w:highlight w:val="none"/>
              </w:rPr>
              <w:t>月</w:t>
            </w:r>
            <w:r>
              <w:rPr>
                <w:rFonts w:hint="eastAsia" w:ascii="宋体" w:hAnsi="宋体"/>
                <w:bCs/>
                <w:szCs w:val="21"/>
                <w:highlight w:val="none"/>
              </w:rPr>
              <w:t>。提供的养老保险参保证明须体现</w:t>
            </w:r>
            <w:r>
              <w:rPr>
                <w:rFonts w:hint="eastAsia" w:ascii="宋体" w:hAnsi="宋体"/>
                <w:bCs/>
                <w:szCs w:val="21"/>
                <w:highlight w:val="none"/>
                <w:lang w:val="en-US" w:eastAsia="zh-CN"/>
              </w:rPr>
              <w:t>拟派</w:t>
            </w:r>
            <w:r>
              <w:rPr>
                <w:rFonts w:hint="eastAsia" w:ascii="宋体" w:hAnsi="宋体"/>
                <w:bCs/>
                <w:szCs w:val="21"/>
                <w:highlight w:val="none"/>
              </w:rPr>
              <w:t>人员的姓名、身份证号（或社保号）、单位名称、</w:t>
            </w:r>
            <w:r>
              <w:rPr>
                <w:rFonts w:hint="eastAsia" w:ascii="宋体" w:hAnsi="宋体"/>
                <w:bCs/>
                <w:szCs w:val="21"/>
                <w:highlight w:val="none"/>
                <w:lang w:val="en-US" w:eastAsia="zh-CN"/>
              </w:rPr>
              <w:t>在投标单位</w:t>
            </w:r>
            <w:r>
              <w:rPr>
                <w:rFonts w:hint="eastAsia" w:ascii="宋体" w:hAnsi="宋体"/>
                <w:bCs/>
                <w:szCs w:val="21"/>
                <w:highlight w:val="none"/>
              </w:rPr>
              <w:t>参保时间（或起始参保时间），并带有社保部门公章或社保部门的有效电子印章。</w:t>
            </w:r>
          </w:p>
        </w:tc>
      </w:tr>
      <w:tr w14:paraId="7E2FB6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67EF1C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1.4.2</w:t>
            </w:r>
          </w:p>
        </w:tc>
        <w:tc>
          <w:tcPr>
            <w:tcW w:w="1644" w:type="dxa"/>
            <w:vAlign w:val="center"/>
          </w:tcPr>
          <w:p w14:paraId="2C0DC6D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是否接受联合体投标</w:t>
            </w:r>
          </w:p>
        </w:tc>
        <w:tc>
          <w:tcPr>
            <w:tcW w:w="6490" w:type="dxa"/>
            <w:vAlign w:val="center"/>
          </w:tcPr>
          <w:p w14:paraId="197016A1">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不接受</w:t>
            </w:r>
          </w:p>
        </w:tc>
      </w:tr>
      <w:tr w14:paraId="5CA70F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C91665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1.9.1</w:t>
            </w:r>
          </w:p>
        </w:tc>
        <w:tc>
          <w:tcPr>
            <w:tcW w:w="1644" w:type="dxa"/>
            <w:vAlign w:val="center"/>
          </w:tcPr>
          <w:p w14:paraId="3B2D519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踏勘现场</w:t>
            </w:r>
          </w:p>
        </w:tc>
        <w:tc>
          <w:tcPr>
            <w:tcW w:w="6490" w:type="dxa"/>
            <w:vAlign w:val="center"/>
          </w:tcPr>
          <w:p w14:paraId="63814108">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不组织</w:t>
            </w:r>
          </w:p>
        </w:tc>
      </w:tr>
      <w:tr w14:paraId="142D31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362913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1.10.1</w:t>
            </w:r>
          </w:p>
        </w:tc>
        <w:tc>
          <w:tcPr>
            <w:tcW w:w="1644" w:type="dxa"/>
            <w:vAlign w:val="center"/>
          </w:tcPr>
          <w:p w14:paraId="6FD7EB5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投标预备会</w:t>
            </w:r>
          </w:p>
        </w:tc>
        <w:tc>
          <w:tcPr>
            <w:tcW w:w="6490" w:type="dxa"/>
            <w:vAlign w:val="center"/>
          </w:tcPr>
          <w:p w14:paraId="74E65E59">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不召开</w:t>
            </w:r>
          </w:p>
        </w:tc>
      </w:tr>
      <w:tr w14:paraId="3D775C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D89C62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1.11</w:t>
            </w:r>
          </w:p>
        </w:tc>
        <w:tc>
          <w:tcPr>
            <w:tcW w:w="1644" w:type="dxa"/>
            <w:vAlign w:val="center"/>
          </w:tcPr>
          <w:p w14:paraId="78E6D86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分包</w:t>
            </w:r>
          </w:p>
        </w:tc>
        <w:tc>
          <w:tcPr>
            <w:tcW w:w="6490" w:type="dxa"/>
            <w:vAlign w:val="center"/>
          </w:tcPr>
          <w:p w14:paraId="716E0585">
            <w:pPr>
              <w:keepNext w:val="0"/>
              <w:keepLines w:val="0"/>
              <w:pageBreakBefore w:val="0"/>
              <w:kinsoku/>
              <w:wordWrap/>
              <w:overflowPunct/>
              <w:topLinePunct w:val="0"/>
              <w:bidi w:val="0"/>
              <w:snapToGrid w:val="0"/>
              <w:spacing w:line="400" w:lineRule="exact"/>
              <w:ind w:firstLine="420" w:firstLineChars="200"/>
              <w:textAlignment w:val="auto"/>
              <w:rPr>
                <w:highlight w:val="none"/>
              </w:rPr>
            </w:pPr>
            <w:r>
              <w:rPr>
                <w:highlight w:val="none"/>
              </w:rPr>
              <w:t>不允许</w:t>
            </w:r>
          </w:p>
        </w:tc>
      </w:tr>
      <w:tr w14:paraId="6C985C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06EE5D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2.1</w:t>
            </w:r>
          </w:p>
        </w:tc>
        <w:tc>
          <w:tcPr>
            <w:tcW w:w="1644" w:type="dxa"/>
            <w:vAlign w:val="center"/>
          </w:tcPr>
          <w:p w14:paraId="3976860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构成</w:t>
            </w:r>
            <w:r>
              <w:rPr>
                <w:rFonts w:hint="eastAsia" w:ascii="宋体" w:hAnsi="宋体"/>
                <w:kern w:val="0"/>
                <w:szCs w:val="21"/>
                <w:highlight w:val="none"/>
                <w:lang w:eastAsia="zh-CN"/>
              </w:rPr>
              <w:t>竞争性比选文件</w:t>
            </w:r>
            <w:r>
              <w:rPr>
                <w:rFonts w:ascii="宋体" w:hAnsi="宋体"/>
                <w:kern w:val="0"/>
                <w:szCs w:val="21"/>
                <w:highlight w:val="none"/>
              </w:rPr>
              <w:t>的其他材料</w:t>
            </w:r>
          </w:p>
        </w:tc>
        <w:tc>
          <w:tcPr>
            <w:tcW w:w="6490" w:type="dxa"/>
            <w:vAlign w:val="center"/>
          </w:tcPr>
          <w:p w14:paraId="3D46A0C7">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lang w:eastAsia="zh-CN"/>
              </w:rPr>
              <w:t>比选人</w:t>
            </w:r>
            <w:r>
              <w:rPr>
                <w:rFonts w:ascii="宋体" w:hAnsi="宋体"/>
                <w:szCs w:val="21"/>
                <w:highlight w:val="none"/>
              </w:rPr>
              <w:t>发出的</w:t>
            </w:r>
            <w:r>
              <w:rPr>
                <w:rFonts w:hint="eastAsia" w:ascii="宋体" w:hAnsi="宋体"/>
                <w:szCs w:val="21"/>
                <w:highlight w:val="none"/>
              </w:rPr>
              <w:t>澄清</w:t>
            </w:r>
            <w:r>
              <w:rPr>
                <w:rFonts w:ascii="宋体" w:hAnsi="宋体"/>
                <w:szCs w:val="21"/>
                <w:highlight w:val="none"/>
              </w:rPr>
              <w:t>及</w:t>
            </w:r>
            <w:r>
              <w:rPr>
                <w:rFonts w:hint="eastAsia" w:ascii="宋体" w:hAnsi="宋体"/>
                <w:szCs w:val="21"/>
                <w:highlight w:val="none"/>
              </w:rPr>
              <w:t>修改</w:t>
            </w:r>
          </w:p>
        </w:tc>
      </w:tr>
      <w:tr w14:paraId="1DA3A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04FEE4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2</w:t>
            </w:r>
            <w:r>
              <w:rPr>
                <w:rFonts w:ascii="宋体" w:hAnsi="宋体"/>
                <w:kern w:val="0"/>
                <w:szCs w:val="21"/>
                <w:highlight w:val="none"/>
              </w:rPr>
              <w:t>.</w:t>
            </w:r>
            <w:r>
              <w:rPr>
                <w:rFonts w:hint="eastAsia" w:ascii="宋体" w:hAnsi="宋体"/>
                <w:kern w:val="0"/>
                <w:szCs w:val="21"/>
                <w:highlight w:val="none"/>
              </w:rPr>
              <w:t>2</w:t>
            </w:r>
            <w:r>
              <w:rPr>
                <w:rFonts w:ascii="宋体" w:hAnsi="宋体"/>
                <w:kern w:val="0"/>
                <w:szCs w:val="21"/>
                <w:highlight w:val="none"/>
              </w:rPr>
              <w:t>.</w:t>
            </w:r>
            <w:r>
              <w:rPr>
                <w:rFonts w:hint="eastAsia" w:ascii="宋体" w:hAnsi="宋体"/>
                <w:kern w:val="0"/>
                <w:szCs w:val="21"/>
                <w:highlight w:val="none"/>
              </w:rPr>
              <w:t>1</w:t>
            </w:r>
          </w:p>
        </w:tc>
        <w:tc>
          <w:tcPr>
            <w:tcW w:w="1644" w:type="dxa"/>
            <w:tcBorders>
              <w:bottom w:val="single" w:color="auto" w:sz="4" w:space="0"/>
            </w:tcBorders>
            <w:vAlign w:val="center"/>
          </w:tcPr>
          <w:p w14:paraId="21F2B6C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lang w:eastAsia="zh-CN"/>
              </w:rPr>
              <w:t>比选申请人</w:t>
            </w:r>
            <w:r>
              <w:rPr>
                <w:rFonts w:ascii="宋体" w:hAnsi="宋体"/>
                <w:kern w:val="0"/>
                <w:szCs w:val="21"/>
                <w:highlight w:val="none"/>
              </w:rPr>
              <w:t>对</w:t>
            </w:r>
            <w:r>
              <w:rPr>
                <w:rFonts w:hint="eastAsia" w:ascii="宋体" w:hAnsi="宋体"/>
                <w:kern w:val="0"/>
                <w:szCs w:val="21"/>
                <w:highlight w:val="none"/>
                <w:lang w:eastAsia="zh-CN"/>
              </w:rPr>
              <w:t>竞争性比选文件</w:t>
            </w:r>
            <w:r>
              <w:rPr>
                <w:rFonts w:ascii="宋体" w:hAnsi="宋体"/>
                <w:kern w:val="0"/>
                <w:szCs w:val="21"/>
                <w:highlight w:val="none"/>
              </w:rPr>
              <w:t>提出</w:t>
            </w:r>
            <w:r>
              <w:rPr>
                <w:rFonts w:hint="eastAsia" w:ascii="宋体" w:hAnsi="宋体"/>
                <w:kern w:val="0"/>
                <w:szCs w:val="21"/>
                <w:highlight w:val="none"/>
              </w:rPr>
              <w:t>疑问</w:t>
            </w:r>
            <w:r>
              <w:rPr>
                <w:rFonts w:ascii="宋体" w:hAnsi="宋体"/>
                <w:kern w:val="0"/>
                <w:szCs w:val="21"/>
                <w:highlight w:val="none"/>
              </w:rPr>
              <w:t>的截止时间</w:t>
            </w:r>
          </w:p>
        </w:tc>
        <w:tc>
          <w:tcPr>
            <w:tcW w:w="6490" w:type="dxa"/>
            <w:vAlign w:val="center"/>
          </w:tcPr>
          <w:p w14:paraId="64B0F82A">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color w:val="auto"/>
                <w:kern w:val="0"/>
                <w:szCs w:val="21"/>
                <w:highlight w:val="none"/>
                <w:lang w:eastAsia="zh-CN"/>
              </w:rPr>
              <w:t>比选申请人</w:t>
            </w:r>
            <w:r>
              <w:rPr>
                <w:rFonts w:ascii="宋体" w:hAnsi="宋体"/>
                <w:color w:val="auto"/>
                <w:kern w:val="0"/>
                <w:szCs w:val="21"/>
                <w:highlight w:val="none"/>
              </w:rPr>
              <w:t>应仔细</w:t>
            </w:r>
            <w:r>
              <w:rPr>
                <w:rFonts w:hint="eastAsia" w:ascii="宋体" w:hAnsi="宋体"/>
                <w:color w:val="auto"/>
                <w:kern w:val="0"/>
                <w:szCs w:val="21"/>
                <w:highlight w:val="none"/>
              </w:rPr>
              <w:t>阅读</w:t>
            </w:r>
            <w:r>
              <w:rPr>
                <w:rFonts w:hint="eastAsia" w:ascii="宋体" w:hAnsi="宋体"/>
                <w:color w:val="auto"/>
                <w:kern w:val="0"/>
                <w:szCs w:val="21"/>
                <w:highlight w:val="none"/>
                <w:lang w:eastAsia="zh-CN"/>
              </w:rPr>
              <w:t>竞争性比选文件</w:t>
            </w:r>
            <w:r>
              <w:rPr>
                <w:rFonts w:hint="eastAsia" w:ascii="宋体" w:hAnsi="宋体"/>
                <w:color w:val="auto"/>
                <w:kern w:val="0"/>
                <w:szCs w:val="21"/>
                <w:highlight w:val="none"/>
              </w:rPr>
              <w:t>及附件</w:t>
            </w:r>
            <w:r>
              <w:rPr>
                <w:rFonts w:ascii="宋体" w:hAnsi="宋体"/>
                <w:color w:val="auto"/>
                <w:kern w:val="0"/>
                <w:szCs w:val="21"/>
                <w:highlight w:val="none"/>
              </w:rPr>
              <w:t>的所有内容，如有文字表述不清，图纸尺寸标注不明以及存在错、漏、缺、概念模糊和有可能出现歧义或理解上的偏差的内容等</w:t>
            </w:r>
            <w:r>
              <w:rPr>
                <w:rFonts w:ascii="宋体" w:hAnsi="宋体" w:eastAsia="宋体" w:cs="Times New Roman"/>
                <w:color w:val="auto"/>
                <w:kern w:val="0"/>
                <w:szCs w:val="21"/>
                <w:highlight w:val="none"/>
              </w:rPr>
              <w:t>应</w:t>
            </w:r>
            <w:r>
              <w:rPr>
                <w:rFonts w:hint="eastAsia" w:ascii="宋体" w:hAnsi="宋体" w:eastAsia="宋体"/>
                <w:color w:val="auto"/>
                <w:kern w:val="0"/>
                <w:szCs w:val="21"/>
                <w:highlight w:val="none"/>
              </w:rPr>
              <w:t>在</w:t>
            </w:r>
            <w:r>
              <w:rPr>
                <w:rFonts w:hint="eastAsia" w:ascii="宋体" w:hAnsi="宋体"/>
                <w:snapToGrid w:val="0"/>
                <w:color w:val="auto"/>
                <w:kern w:val="0"/>
                <w:szCs w:val="21"/>
                <w:highlight w:val="none"/>
                <w:u w:val="single"/>
              </w:rPr>
              <w:t xml:space="preserve"> 202</w:t>
            </w:r>
            <w:r>
              <w:rPr>
                <w:rFonts w:hint="eastAsia" w:ascii="宋体" w:hAnsi="宋体"/>
                <w:snapToGrid w:val="0"/>
                <w:color w:val="auto"/>
                <w:kern w:val="0"/>
                <w:szCs w:val="21"/>
                <w:highlight w:val="none"/>
                <w:u w:val="single"/>
                <w:lang w:val="en-US" w:eastAsia="zh-CN"/>
              </w:rPr>
              <w:t>6</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年</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val="en-US" w:eastAsia="zh-CN"/>
              </w:rPr>
              <w:t>7</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月</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val="en-US" w:eastAsia="zh-CN"/>
              </w:rPr>
              <w:t>29</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日</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val="en-US" w:eastAsia="zh-CN"/>
              </w:rPr>
              <w:t>17</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时</w:t>
            </w:r>
            <w:r>
              <w:rPr>
                <w:rFonts w:ascii="宋体" w:hAnsi="宋体"/>
                <w:color w:val="auto"/>
                <w:kern w:val="0"/>
                <w:szCs w:val="21"/>
                <w:highlight w:val="none"/>
              </w:rPr>
              <w:t>前</w:t>
            </w:r>
            <w:r>
              <w:rPr>
                <w:rFonts w:hint="eastAsia" w:ascii="宋体" w:hAnsi="宋体" w:eastAsia="宋体" w:cs="Courier New"/>
                <w:color w:val="auto"/>
                <w:szCs w:val="21"/>
                <w:highlight w:val="none"/>
              </w:rPr>
              <w:t>将加盖公章扫描件及WORD文档以电子邮件的方式发送至以下邮箱：</w:t>
            </w:r>
            <w:r>
              <w:rPr>
                <w:rFonts w:hint="eastAsia" w:ascii="宋体" w:hAnsi="宋体" w:cs="Courier New"/>
                <w:color w:val="auto"/>
                <w:szCs w:val="21"/>
                <w:highlight w:val="none"/>
              </w:rPr>
              <w:t>23924962@qq.com</w:t>
            </w:r>
            <w:r>
              <w:rPr>
                <w:rFonts w:hint="eastAsia" w:ascii="宋体" w:hAnsi="宋体" w:eastAsia="宋体" w:cs="Courier New"/>
                <w:color w:val="auto"/>
                <w:szCs w:val="21"/>
                <w:highlight w:val="none"/>
              </w:rPr>
              <w:t>。</w:t>
            </w:r>
          </w:p>
        </w:tc>
      </w:tr>
      <w:tr w14:paraId="2E4847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5" w:type="dxa"/>
            <w:vMerge w:val="restart"/>
            <w:vAlign w:val="center"/>
          </w:tcPr>
          <w:p w14:paraId="4C2C65B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2.2.2</w:t>
            </w:r>
          </w:p>
        </w:tc>
        <w:tc>
          <w:tcPr>
            <w:tcW w:w="1644" w:type="dxa"/>
            <w:tcBorders>
              <w:top w:val="single" w:color="auto" w:sz="4" w:space="0"/>
            </w:tcBorders>
            <w:vAlign w:val="center"/>
          </w:tcPr>
          <w:p w14:paraId="466CBC7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lang w:eastAsia="zh-CN"/>
              </w:rPr>
              <w:t>比选人</w:t>
            </w:r>
            <w:r>
              <w:rPr>
                <w:rFonts w:ascii="宋体" w:hAnsi="宋体"/>
                <w:kern w:val="0"/>
                <w:szCs w:val="21"/>
                <w:highlight w:val="none"/>
              </w:rPr>
              <w:t>对</w:t>
            </w:r>
            <w:r>
              <w:rPr>
                <w:rFonts w:hint="eastAsia" w:ascii="宋体" w:hAnsi="宋体"/>
                <w:kern w:val="0"/>
                <w:szCs w:val="21"/>
                <w:highlight w:val="none"/>
                <w:lang w:eastAsia="zh-CN"/>
              </w:rPr>
              <w:t>竞争性比选文件</w:t>
            </w:r>
            <w:r>
              <w:rPr>
                <w:rFonts w:ascii="宋体" w:hAnsi="宋体"/>
                <w:kern w:val="0"/>
                <w:szCs w:val="21"/>
                <w:highlight w:val="none"/>
              </w:rPr>
              <w:t>澄清的截止时间</w:t>
            </w:r>
          </w:p>
        </w:tc>
        <w:tc>
          <w:tcPr>
            <w:tcW w:w="6490" w:type="dxa"/>
            <w:vAlign w:val="center"/>
          </w:tcPr>
          <w:p w14:paraId="00553535">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napToGrid w:val="0"/>
                <w:kern w:val="0"/>
                <w:szCs w:val="21"/>
                <w:highlight w:val="none"/>
              </w:rPr>
            </w:pPr>
            <w:r>
              <w:rPr>
                <w:rFonts w:hint="eastAsia" w:ascii="宋体" w:hAnsi="宋体" w:eastAsia="宋体" w:cs="Courier New"/>
                <w:color w:val="auto"/>
                <w:szCs w:val="21"/>
                <w:highlight w:val="none"/>
              </w:rPr>
              <w:t>20</w:t>
            </w:r>
            <w:r>
              <w:rPr>
                <w:rFonts w:ascii="宋体" w:hAnsi="宋体" w:eastAsia="宋体" w:cs="Courier New"/>
                <w:color w:val="auto"/>
                <w:szCs w:val="21"/>
                <w:highlight w:val="none"/>
              </w:rPr>
              <w:t>2</w:t>
            </w:r>
            <w:r>
              <w:rPr>
                <w:rFonts w:hint="eastAsia" w:ascii="宋体" w:hAnsi="宋体" w:cs="Courier New"/>
                <w:color w:val="auto"/>
                <w:szCs w:val="21"/>
                <w:highlight w:val="none"/>
                <w:lang w:val="en-US" w:eastAsia="zh-CN"/>
              </w:rPr>
              <w:t>6</w:t>
            </w:r>
            <w:r>
              <w:rPr>
                <w:rFonts w:hint="eastAsia" w:ascii="宋体" w:hAnsi="宋体" w:eastAsia="宋体" w:cs="Courier New"/>
                <w:color w:val="auto"/>
                <w:szCs w:val="21"/>
                <w:highlight w:val="none"/>
              </w:rPr>
              <w:t>年</w:t>
            </w:r>
            <w:r>
              <w:rPr>
                <w:rFonts w:hint="eastAsia" w:ascii="宋体" w:hAnsi="宋体" w:cs="Courier New"/>
                <w:color w:val="auto"/>
                <w:szCs w:val="21"/>
                <w:highlight w:val="none"/>
                <w:lang w:val="en-US" w:eastAsia="zh-CN"/>
              </w:rPr>
              <w:t>7</w:t>
            </w:r>
            <w:r>
              <w:rPr>
                <w:rFonts w:hint="eastAsia" w:ascii="宋体" w:hAnsi="宋体" w:eastAsia="宋体" w:cs="Courier New"/>
                <w:color w:val="auto"/>
                <w:szCs w:val="21"/>
                <w:highlight w:val="none"/>
              </w:rPr>
              <w:t>月</w:t>
            </w:r>
            <w:r>
              <w:rPr>
                <w:rFonts w:hint="eastAsia" w:ascii="宋体" w:hAnsi="宋体" w:cs="Courier New"/>
                <w:color w:val="auto"/>
                <w:szCs w:val="21"/>
                <w:highlight w:val="none"/>
                <w:lang w:val="en-US" w:eastAsia="zh-CN"/>
              </w:rPr>
              <w:t>30</w:t>
            </w:r>
            <w:r>
              <w:rPr>
                <w:rFonts w:hint="eastAsia" w:ascii="宋体" w:hAnsi="宋体" w:eastAsia="宋体" w:cs="Courier New"/>
                <w:color w:val="auto"/>
                <w:szCs w:val="21"/>
                <w:highlight w:val="none"/>
              </w:rPr>
              <w:t>日</w:t>
            </w:r>
            <w:r>
              <w:rPr>
                <w:rFonts w:hint="eastAsia" w:ascii="宋体" w:hAnsi="宋体" w:cs="Courier New"/>
                <w:color w:val="auto"/>
                <w:szCs w:val="21"/>
                <w:highlight w:val="none"/>
              </w:rPr>
              <w:t>17</w:t>
            </w:r>
            <w:r>
              <w:rPr>
                <w:rFonts w:ascii="宋体" w:hAnsi="宋体" w:eastAsia="宋体" w:cs="Courier New"/>
                <w:color w:val="auto"/>
                <w:szCs w:val="21"/>
                <w:highlight w:val="none"/>
              </w:rPr>
              <w:t>:</w:t>
            </w:r>
            <w:r>
              <w:rPr>
                <w:rFonts w:hint="eastAsia" w:ascii="宋体" w:hAnsi="宋体" w:cs="Courier New"/>
                <w:color w:val="auto"/>
                <w:szCs w:val="21"/>
                <w:highlight w:val="none"/>
                <w:lang w:val="en-US" w:eastAsia="zh-CN"/>
              </w:rPr>
              <w:t>3</w:t>
            </w:r>
            <w:r>
              <w:rPr>
                <w:rFonts w:ascii="宋体" w:hAnsi="宋体" w:eastAsia="宋体" w:cs="Courier New"/>
                <w:color w:val="auto"/>
                <w:szCs w:val="21"/>
                <w:highlight w:val="none"/>
              </w:rPr>
              <w:t>0</w:t>
            </w:r>
            <w:r>
              <w:rPr>
                <w:rFonts w:hint="eastAsia" w:ascii="宋体" w:hAnsi="宋体" w:eastAsia="宋体" w:cs="Courier New"/>
                <w:color w:val="auto"/>
                <w:szCs w:val="21"/>
                <w:highlight w:val="none"/>
              </w:rPr>
              <w:t>时前（北京时间）</w:t>
            </w:r>
          </w:p>
        </w:tc>
      </w:tr>
      <w:tr w14:paraId="4418C6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5" w:type="dxa"/>
            <w:vMerge w:val="continue"/>
            <w:vAlign w:val="center"/>
          </w:tcPr>
          <w:p w14:paraId="005CA9B3">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p>
        </w:tc>
        <w:tc>
          <w:tcPr>
            <w:tcW w:w="1644" w:type="dxa"/>
            <w:vAlign w:val="center"/>
          </w:tcPr>
          <w:p w14:paraId="36F6B0A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投标截止时间</w:t>
            </w:r>
          </w:p>
        </w:tc>
        <w:tc>
          <w:tcPr>
            <w:tcW w:w="6490" w:type="dxa"/>
            <w:vAlign w:val="center"/>
          </w:tcPr>
          <w:p w14:paraId="2421B012">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u w:val="single"/>
              </w:rPr>
            </w:pPr>
            <w:r>
              <w:rPr>
                <w:rFonts w:hint="eastAsia" w:ascii="宋体" w:hAnsi="宋体"/>
                <w:szCs w:val="21"/>
                <w:highlight w:val="none"/>
              </w:rPr>
              <w:t>详见</w:t>
            </w:r>
            <w:r>
              <w:rPr>
                <w:rFonts w:hint="eastAsia" w:ascii="宋体" w:hAnsi="宋体"/>
                <w:szCs w:val="21"/>
                <w:highlight w:val="none"/>
                <w:lang w:val="en-US" w:eastAsia="zh-CN"/>
              </w:rPr>
              <w:t>竞争性比选</w:t>
            </w:r>
            <w:r>
              <w:rPr>
                <w:rFonts w:hint="eastAsia" w:ascii="宋体" w:hAnsi="宋体"/>
                <w:szCs w:val="21"/>
                <w:highlight w:val="none"/>
              </w:rPr>
              <w:t>公告规定的投标截止时间。</w:t>
            </w:r>
          </w:p>
        </w:tc>
      </w:tr>
      <w:tr w14:paraId="3B4E6E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9CCBF0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2.2.3</w:t>
            </w:r>
          </w:p>
        </w:tc>
        <w:tc>
          <w:tcPr>
            <w:tcW w:w="1644" w:type="dxa"/>
            <w:vAlign w:val="center"/>
          </w:tcPr>
          <w:p w14:paraId="76AD2AE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lang w:eastAsia="zh-CN"/>
              </w:rPr>
              <w:t>比选人</w:t>
            </w:r>
            <w:r>
              <w:rPr>
                <w:rFonts w:ascii="宋体" w:hAnsi="宋体"/>
                <w:kern w:val="0"/>
                <w:szCs w:val="21"/>
                <w:highlight w:val="none"/>
              </w:rPr>
              <w:t>对</w:t>
            </w:r>
            <w:r>
              <w:rPr>
                <w:rFonts w:hint="eastAsia" w:ascii="宋体" w:hAnsi="宋体"/>
                <w:kern w:val="0"/>
                <w:szCs w:val="21"/>
                <w:highlight w:val="none"/>
                <w:lang w:eastAsia="zh-CN"/>
              </w:rPr>
              <w:t>竞争性比选文件</w:t>
            </w:r>
            <w:r>
              <w:rPr>
                <w:rFonts w:ascii="宋体" w:hAnsi="宋体"/>
                <w:kern w:val="0"/>
                <w:szCs w:val="21"/>
                <w:highlight w:val="none"/>
              </w:rPr>
              <w:t>进行</w:t>
            </w:r>
            <w:r>
              <w:rPr>
                <w:rFonts w:hint="eastAsia" w:ascii="宋体" w:hAnsi="宋体"/>
                <w:kern w:val="0"/>
                <w:szCs w:val="21"/>
                <w:highlight w:val="none"/>
              </w:rPr>
              <w:t>修改</w:t>
            </w:r>
            <w:r>
              <w:rPr>
                <w:rFonts w:ascii="宋体" w:hAnsi="宋体"/>
                <w:kern w:val="0"/>
                <w:szCs w:val="21"/>
                <w:highlight w:val="none"/>
              </w:rPr>
              <w:t>的时间</w:t>
            </w:r>
          </w:p>
        </w:tc>
        <w:tc>
          <w:tcPr>
            <w:tcW w:w="6490" w:type="dxa"/>
            <w:vAlign w:val="center"/>
          </w:tcPr>
          <w:p w14:paraId="37BCE452">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ascii="宋体" w:hAnsi="宋体" w:eastAsia="宋体" w:cs="Times New Roman"/>
                <w:snapToGrid w:val="0"/>
                <w:color w:val="auto"/>
                <w:kern w:val="0"/>
                <w:szCs w:val="21"/>
                <w:highlight w:val="none"/>
              </w:rPr>
              <w:t>修改内容可能影响</w:t>
            </w:r>
            <w:r>
              <w:rPr>
                <w:rFonts w:hint="eastAsia" w:ascii="宋体" w:hAnsi="宋体" w:cs="Times New Roman"/>
                <w:snapToGrid w:val="0"/>
                <w:color w:val="auto"/>
                <w:kern w:val="0"/>
                <w:szCs w:val="21"/>
                <w:highlight w:val="none"/>
                <w:lang w:eastAsia="zh-CN"/>
              </w:rPr>
              <w:t>比选申请文件</w:t>
            </w:r>
            <w:r>
              <w:rPr>
                <w:rFonts w:ascii="宋体" w:hAnsi="宋体" w:eastAsia="宋体" w:cs="Times New Roman"/>
                <w:snapToGrid w:val="0"/>
                <w:color w:val="auto"/>
                <w:kern w:val="0"/>
                <w:szCs w:val="21"/>
                <w:highlight w:val="none"/>
              </w:rPr>
              <w:t>编制的，须在投标截止时间</w:t>
            </w:r>
            <w:r>
              <w:rPr>
                <w:rFonts w:hint="eastAsia" w:ascii="宋体" w:hAnsi="宋体" w:cs="Times New Roman"/>
                <w:snapToGrid w:val="0"/>
                <w:color w:val="auto"/>
                <w:kern w:val="0"/>
                <w:szCs w:val="21"/>
                <w:highlight w:val="none"/>
                <w:lang w:val="en-US" w:eastAsia="zh-CN"/>
              </w:rPr>
              <w:t>2</w:t>
            </w:r>
            <w:r>
              <w:rPr>
                <w:rFonts w:ascii="宋体" w:hAnsi="宋体" w:eastAsia="宋体" w:cs="Times New Roman"/>
                <w:snapToGrid w:val="0"/>
                <w:color w:val="auto"/>
                <w:kern w:val="0"/>
                <w:szCs w:val="21"/>
                <w:highlight w:val="none"/>
              </w:rPr>
              <w:t>日前发布，发布时间至投标截止时间不足</w:t>
            </w:r>
            <w:r>
              <w:rPr>
                <w:rFonts w:hint="eastAsia" w:ascii="宋体" w:hAnsi="宋体" w:cs="Times New Roman"/>
                <w:snapToGrid w:val="0"/>
                <w:color w:val="auto"/>
                <w:kern w:val="0"/>
                <w:szCs w:val="21"/>
                <w:highlight w:val="none"/>
                <w:lang w:val="en-US" w:eastAsia="zh-CN"/>
              </w:rPr>
              <w:t>2</w:t>
            </w:r>
            <w:r>
              <w:rPr>
                <w:rFonts w:ascii="宋体" w:hAnsi="宋体" w:eastAsia="宋体" w:cs="Times New Roman"/>
                <w:snapToGrid w:val="0"/>
                <w:color w:val="auto"/>
                <w:kern w:val="0"/>
                <w:szCs w:val="21"/>
                <w:highlight w:val="none"/>
              </w:rPr>
              <w:t>日的，须相应延后投标截止时间。</w:t>
            </w:r>
          </w:p>
        </w:tc>
      </w:tr>
      <w:tr w14:paraId="23E7E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D229BA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3.1.1</w:t>
            </w:r>
          </w:p>
        </w:tc>
        <w:tc>
          <w:tcPr>
            <w:tcW w:w="1644" w:type="dxa"/>
            <w:vAlign w:val="center"/>
          </w:tcPr>
          <w:p w14:paraId="773CBA7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构成</w:t>
            </w:r>
            <w:r>
              <w:rPr>
                <w:rFonts w:hint="eastAsia" w:ascii="宋体" w:hAnsi="宋体"/>
                <w:kern w:val="0"/>
                <w:szCs w:val="21"/>
                <w:highlight w:val="none"/>
                <w:lang w:eastAsia="zh-CN"/>
              </w:rPr>
              <w:t>比选申请文件</w:t>
            </w:r>
            <w:r>
              <w:rPr>
                <w:rFonts w:ascii="宋体" w:hAnsi="宋体"/>
                <w:kern w:val="0"/>
                <w:szCs w:val="21"/>
                <w:highlight w:val="none"/>
              </w:rPr>
              <w:t>的其他材料</w:t>
            </w:r>
          </w:p>
        </w:tc>
        <w:tc>
          <w:tcPr>
            <w:tcW w:w="6490" w:type="dxa"/>
            <w:vAlign w:val="center"/>
          </w:tcPr>
          <w:p w14:paraId="05F8D5A3">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lang w:eastAsia="zh-CN"/>
              </w:rPr>
              <w:t>比选申请人</w:t>
            </w:r>
            <w:r>
              <w:rPr>
                <w:rFonts w:ascii="宋体" w:hAnsi="宋体"/>
                <w:szCs w:val="21"/>
                <w:highlight w:val="none"/>
              </w:rPr>
              <w:t>的书面澄清、说明和补正（但不得改变</w:t>
            </w:r>
            <w:r>
              <w:rPr>
                <w:rFonts w:hint="eastAsia" w:ascii="宋体" w:hAnsi="宋体"/>
                <w:szCs w:val="21"/>
                <w:highlight w:val="none"/>
                <w:lang w:eastAsia="zh-CN"/>
              </w:rPr>
              <w:t>比选申请文件</w:t>
            </w:r>
            <w:r>
              <w:rPr>
                <w:rFonts w:ascii="宋体" w:hAnsi="宋体"/>
                <w:szCs w:val="21"/>
                <w:highlight w:val="none"/>
              </w:rPr>
              <w:t>的实质性内容）</w:t>
            </w:r>
          </w:p>
        </w:tc>
      </w:tr>
      <w:tr w14:paraId="1F0004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87BD68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3.2</w:t>
            </w:r>
          </w:p>
        </w:tc>
        <w:tc>
          <w:tcPr>
            <w:tcW w:w="1644" w:type="dxa"/>
            <w:vAlign w:val="center"/>
          </w:tcPr>
          <w:p w14:paraId="77C9C55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投标报价</w:t>
            </w:r>
          </w:p>
        </w:tc>
        <w:tc>
          <w:tcPr>
            <w:tcW w:w="6490" w:type="dxa"/>
            <w:vAlign w:val="center"/>
          </w:tcPr>
          <w:p w14:paraId="02184009">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highlight w:val="none"/>
              </w:rPr>
            </w:pPr>
            <w:r>
              <w:rPr>
                <w:rFonts w:ascii="宋体" w:hAnsi="宋体"/>
                <w:szCs w:val="21"/>
                <w:highlight w:val="none"/>
              </w:rPr>
              <w:t>1.</w:t>
            </w:r>
            <w:r>
              <w:rPr>
                <w:rFonts w:hint="eastAsia" w:ascii="宋体" w:hAnsi="宋体" w:cs="宋体"/>
                <w:szCs w:val="21"/>
                <w:highlight w:val="none"/>
              </w:rPr>
              <w:t>使用</w:t>
            </w:r>
            <w:r>
              <w:rPr>
                <w:rFonts w:hint="eastAsia" w:ascii="宋体" w:hAnsi="宋体" w:cs="宋体"/>
                <w:szCs w:val="21"/>
                <w:highlight w:val="none"/>
                <w:lang w:val="en-US" w:eastAsia="zh-CN"/>
              </w:rPr>
              <w:t>财政资金或</w:t>
            </w:r>
            <w:r>
              <w:rPr>
                <w:rFonts w:hint="eastAsia" w:ascii="宋体" w:hAnsi="宋体" w:cs="宋体"/>
                <w:szCs w:val="21"/>
                <w:highlight w:val="none"/>
              </w:rPr>
              <w:t>国有资金投资的建设工程，</w:t>
            </w:r>
            <w:r>
              <w:rPr>
                <w:rFonts w:hint="eastAsia" w:ascii="宋体" w:hAnsi="宋体" w:cs="宋体"/>
                <w:szCs w:val="21"/>
                <w:highlight w:val="none"/>
                <w:lang w:val="en-US" w:eastAsia="zh-CN"/>
              </w:rPr>
              <w:t>应按国家及行业工程量计算标准编制工程量清单</w:t>
            </w:r>
            <w:r>
              <w:rPr>
                <w:rFonts w:hint="eastAsia" w:ascii="宋体" w:hAnsi="宋体" w:cs="宋体"/>
                <w:szCs w:val="21"/>
                <w:highlight w:val="none"/>
                <w:lang w:eastAsia="zh-CN"/>
              </w:rPr>
              <w:t>，</w:t>
            </w:r>
            <w:r>
              <w:rPr>
                <w:rFonts w:hint="eastAsia" w:ascii="宋体" w:hAnsi="宋体" w:cs="宋体"/>
                <w:szCs w:val="21"/>
                <w:highlight w:val="none"/>
                <w:lang w:val="en-US" w:eastAsia="zh-CN"/>
              </w:rPr>
              <w:t>采用工程量清单计价</w:t>
            </w:r>
            <w:r>
              <w:rPr>
                <w:rFonts w:hint="eastAsia" w:ascii="宋体" w:hAnsi="宋体" w:cs="宋体"/>
                <w:szCs w:val="21"/>
                <w:highlight w:val="none"/>
              </w:rPr>
              <w:t>。</w:t>
            </w:r>
          </w:p>
          <w:p w14:paraId="603D01DC">
            <w:pPr>
              <w:pStyle w:val="2"/>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lang w:eastAsia="zh-CN"/>
              </w:rPr>
              <w:t>比选申请人</w:t>
            </w:r>
            <w:r>
              <w:rPr>
                <w:rFonts w:hint="eastAsia" w:ascii="宋体" w:hAnsi="宋体" w:cs="宋体"/>
                <w:szCs w:val="21"/>
                <w:highlight w:val="none"/>
              </w:rPr>
              <w:t>应按</w:t>
            </w:r>
            <w:r>
              <w:rPr>
                <w:rFonts w:hint="eastAsia" w:ascii="宋体" w:hAnsi="宋体" w:cs="宋体"/>
                <w:szCs w:val="21"/>
                <w:highlight w:val="none"/>
                <w:lang w:val="en-US" w:eastAsia="zh-CN"/>
              </w:rPr>
              <w:t>照住房城乡建设行业主管部门相关规定</w:t>
            </w:r>
            <w:r>
              <w:rPr>
                <w:rFonts w:hint="eastAsia" w:ascii="宋体" w:hAnsi="宋体" w:cs="宋体"/>
                <w:szCs w:val="21"/>
                <w:highlight w:val="none"/>
              </w:rPr>
              <w:t>和第五章“工程量清单”的要求填写相应清单表格。</w:t>
            </w:r>
            <w:r>
              <w:rPr>
                <w:rFonts w:hint="eastAsia" w:ascii="宋体" w:hAnsi="宋体" w:cs="宋体"/>
                <w:szCs w:val="21"/>
                <w:highlight w:val="none"/>
                <w:lang w:eastAsia="zh-CN"/>
              </w:rPr>
              <w:t>比选申请人</w:t>
            </w:r>
            <w:r>
              <w:rPr>
                <w:rFonts w:hint="eastAsia" w:ascii="宋体" w:hAnsi="宋体" w:cs="宋体"/>
                <w:szCs w:val="21"/>
                <w:highlight w:val="none"/>
              </w:rPr>
              <w:t>的投标报价应是本章</w:t>
            </w:r>
            <w:r>
              <w:rPr>
                <w:rFonts w:hint="eastAsia" w:ascii="宋体" w:hAnsi="宋体" w:cs="宋体"/>
                <w:szCs w:val="21"/>
                <w:highlight w:val="none"/>
                <w:lang w:eastAsia="zh-CN"/>
              </w:rPr>
              <w:t>比选申请人</w:t>
            </w:r>
            <w:r>
              <w:rPr>
                <w:rFonts w:hint="eastAsia" w:ascii="宋体" w:hAnsi="宋体" w:cs="宋体"/>
                <w:szCs w:val="21"/>
                <w:highlight w:val="none"/>
              </w:rPr>
              <w:t>须知前附表第1.3.1项中所述的本工程合同段招标范围内的全部工程的投标报价，并以</w:t>
            </w:r>
            <w:r>
              <w:rPr>
                <w:rFonts w:hint="eastAsia" w:ascii="宋体" w:hAnsi="宋体" w:cs="宋体"/>
                <w:szCs w:val="21"/>
                <w:highlight w:val="none"/>
                <w:lang w:eastAsia="zh-CN"/>
              </w:rPr>
              <w:t>比选申请人</w:t>
            </w:r>
            <w:r>
              <w:rPr>
                <w:rFonts w:hint="eastAsia" w:ascii="宋体" w:hAnsi="宋体" w:cs="宋体"/>
                <w:szCs w:val="21"/>
                <w:highlight w:val="none"/>
              </w:rPr>
              <w:t>在工程量清单中提出的单价或总价为依据。</w:t>
            </w:r>
          </w:p>
          <w:p w14:paraId="543176E9">
            <w:pPr>
              <w:keepNext w:val="0"/>
              <w:keepLines w:val="0"/>
              <w:pageBreakBefore w:val="0"/>
              <w:tabs>
                <w:tab w:val="left" w:pos="546"/>
                <w:tab w:val="left" w:pos="711"/>
              </w:tabs>
              <w:kinsoku/>
              <w:wordWrap/>
              <w:overflowPunct/>
              <w:topLinePunct w:val="0"/>
              <w:bidi w:val="0"/>
              <w:snapToGrid w:val="0"/>
              <w:spacing w:line="400" w:lineRule="exact"/>
              <w:ind w:left="6" w:leftChars="3" w:firstLine="420" w:firstLineChars="200"/>
              <w:textAlignment w:val="auto"/>
              <w:rPr>
                <w:rFonts w:ascii="宋体" w:hAnsi="宋体"/>
                <w:szCs w:val="21"/>
                <w:highlight w:val="none"/>
              </w:rPr>
            </w:pPr>
            <w:r>
              <w:rPr>
                <w:rFonts w:ascii="宋体" w:hAnsi="宋体" w:cs="宋体"/>
                <w:szCs w:val="21"/>
                <w:highlight w:val="none"/>
              </w:rPr>
              <w:t>3.</w:t>
            </w:r>
            <w:r>
              <w:rPr>
                <w:rFonts w:hint="eastAsia" w:ascii="宋体" w:hAnsi="宋体" w:cs="宋体"/>
                <w:szCs w:val="21"/>
                <w:highlight w:val="none"/>
                <w:lang w:eastAsia="zh-CN"/>
              </w:rPr>
              <w:t>比选申请人</w:t>
            </w:r>
            <w:r>
              <w:rPr>
                <w:rFonts w:hint="eastAsia" w:ascii="宋体" w:hAnsi="宋体" w:cs="宋体"/>
                <w:szCs w:val="21"/>
                <w:highlight w:val="none"/>
              </w:rPr>
              <w:t>应认真填写工程量清单中所列的本合同各工程子目的单价或总价。</w:t>
            </w:r>
            <w:r>
              <w:rPr>
                <w:rFonts w:hint="eastAsia" w:ascii="宋体" w:hAnsi="宋体" w:cs="宋体"/>
                <w:szCs w:val="21"/>
                <w:highlight w:val="none"/>
                <w:lang w:eastAsia="zh-CN"/>
              </w:rPr>
              <w:t>比选申请人</w:t>
            </w:r>
            <w:r>
              <w:rPr>
                <w:rFonts w:hint="eastAsia" w:ascii="宋体" w:hAnsi="宋体" w:cs="宋体"/>
                <w:szCs w:val="21"/>
                <w:highlight w:val="none"/>
              </w:rPr>
              <w:t>没有填入单价或总价的工程子目，</w:t>
            </w:r>
            <w:r>
              <w:rPr>
                <w:rFonts w:hint="eastAsia" w:ascii="宋体" w:hAnsi="宋体" w:cs="宋体"/>
                <w:szCs w:val="21"/>
                <w:highlight w:val="none"/>
                <w:lang w:eastAsia="zh-CN"/>
              </w:rPr>
              <w:t>比选人</w:t>
            </w:r>
            <w:r>
              <w:rPr>
                <w:rFonts w:hint="eastAsia" w:ascii="宋体" w:hAnsi="宋体" w:cs="宋体"/>
                <w:szCs w:val="21"/>
                <w:highlight w:val="none"/>
              </w:rPr>
              <w:t>将认为该子目的价款已包括在工程量清单其他子目的单价和总价中。</w:t>
            </w:r>
            <w:r>
              <w:rPr>
                <w:rFonts w:hint="eastAsia" w:ascii="宋体" w:hAnsi="宋体" w:cs="宋体"/>
                <w:szCs w:val="21"/>
                <w:highlight w:val="none"/>
                <w:lang w:eastAsia="zh-CN"/>
              </w:rPr>
              <w:t>比选申请人</w:t>
            </w:r>
            <w:r>
              <w:rPr>
                <w:rFonts w:hint="eastAsia" w:ascii="宋体" w:hAnsi="宋体" w:cs="宋体"/>
                <w:szCs w:val="21"/>
                <w:highlight w:val="none"/>
              </w:rPr>
              <w:t>必须按招标工程量清单填报价格。项目编码、项目名称、项目特征、计量单位、工程量必须与招标工程量清单一致。否则由评标委员会作</w:t>
            </w:r>
            <w:r>
              <w:rPr>
                <w:rFonts w:hint="eastAsia" w:ascii="宋体" w:hAnsi="宋体"/>
                <w:szCs w:val="21"/>
                <w:highlight w:val="none"/>
              </w:rPr>
              <w:t>否决投标处理。</w:t>
            </w:r>
          </w:p>
          <w:p w14:paraId="6D1D5427">
            <w:pPr>
              <w:keepNext w:val="0"/>
              <w:keepLines w:val="0"/>
              <w:pageBreakBefore w:val="0"/>
              <w:tabs>
                <w:tab w:val="left" w:pos="546"/>
                <w:tab w:val="left" w:pos="711"/>
              </w:tabs>
              <w:kinsoku/>
              <w:wordWrap/>
              <w:overflowPunct/>
              <w:topLinePunct w:val="0"/>
              <w:bidi w:val="0"/>
              <w:snapToGrid w:val="0"/>
              <w:spacing w:line="400" w:lineRule="exact"/>
              <w:ind w:left="6" w:leftChars="3" w:firstLine="420" w:firstLineChars="200"/>
              <w:textAlignment w:val="auto"/>
              <w:rPr>
                <w:rFonts w:ascii="宋体" w:hAnsi="宋体"/>
                <w:szCs w:val="21"/>
                <w:highlight w:val="none"/>
              </w:rPr>
            </w:pPr>
            <w:r>
              <w:rPr>
                <w:rFonts w:hint="eastAsia" w:ascii="宋体" w:hAnsi="宋体"/>
                <w:szCs w:val="21"/>
                <w:highlight w:val="none"/>
              </w:rPr>
              <w:t>注：评标过程中，评标委员会可以运用评标系统辅助工具对</w:t>
            </w:r>
            <w:r>
              <w:rPr>
                <w:rFonts w:hint="eastAsia" w:ascii="宋体" w:hAnsi="宋体"/>
                <w:szCs w:val="21"/>
                <w:highlight w:val="none"/>
                <w:lang w:eastAsia="zh-CN"/>
              </w:rPr>
              <w:t>比选申请人</w:t>
            </w:r>
            <w:r>
              <w:rPr>
                <w:rFonts w:hint="eastAsia" w:ascii="宋体" w:hAnsi="宋体"/>
                <w:szCs w:val="21"/>
                <w:highlight w:val="none"/>
              </w:rPr>
              <w:t>投标工程量清单进行清标。当清标结果显红时，评标委员会应深入了解显红的原因后，对照</w:t>
            </w:r>
            <w:r>
              <w:rPr>
                <w:rFonts w:hint="eastAsia" w:ascii="宋体" w:hAnsi="宋体"/>
                <w:szCs w:val="21"/>
                <w:highlight w:val="none"/>
                <w:lang w:eastAsia="zh-CN"/>
              </w:rPr>
              <w:t>竞争性比选文件</w:t>
            </w:r>
            <w:r>
              <w:rPr>
                <w:rFonts w:hint="eastAsia" w:ascii="宋体" w:hAnsi="宋体"/>
                <w:szCs w:val="21"/>
                <w:highlight w:val="none"/>
              </w:rPr>
              <w:t>否决投标情况一览表的规定，对确实不满足</w:t>
            </w:r>
            <w:r>
              <w:rPr>
                <w:rFonts w:hint="eastAsia" w:ascii="宋体" w:hAnsi="宋体"/>
                <w:szCs w:val="21"/>
                <w:highlight w:val="none"/>
                <w:lang w:eastAsia="zh-CN"/>
              </w:rPr>
              <w:t>竞争性比选文件</w:t>
            </w:r>
            <w:r>
              <w:rPr>
                <w:rFonts w:hint="eastAsia" w:ascii="宋体" w:hAnsi="宋体"/>
                <w:szCs w:val="21"/>
                <w:highlight w:val="none"/>
              </w:rPr>
              <w:t>相关要求的，方可作否决投标处理。</w:t>
            </w:r>
          </w:p>
          <w:p w14:paraId="16C28C5E">
            <w:pPr>
              <w:keepNext w:val="0"/>
              <w:keepLines w:val="0"/>
              <w:pageBreakBefore w:val="0"/>
              <w:tabs>
                <w:tab w:val="left" w:pos="546"/>
                <w:tab w:val="left" w:pos="711"/>
              </w:tabs>
              <w:kinsoku/>
              <w:wordWrap/>
              <w:overflowPunct/>
              <w:topLinePunct w:val="0"/>
              <w:bidi w:val="0"/>
              <w:snapToGrid w:val="0"/>
              <w:spacing w:line="400" w:lineRule="exact"/>
              <w:ind w:left="6" w:leftChars="3" w:firstLine="420" w:firstLineChars="200"/>
              <w:textAlignment w:val="auto"/>
              <w:rPr>
                <w:rFonts w:ascii="宋体" w:hAnsi="宋体" w:cs="宋体"/>
                <w:szCs w:val="21"/>
                <w:highlight w:val="none"/>
              </w:rPr>
            </w:pPr>
            <w:r>
              <w:rPr>
                <w:rFonts w:ascii="宋体" w:hAnsi="宋体" w:cs="宋体"/>
                <w:szCs w:val="21"/>
                <w:highlight w:val="none"/>
              </w:rPr>
              <w:t>4.</w:t>
            </w:r>
            <w:r>
              <w:rPr>
                <w:rFonts w:hint="eastAsia" w:ascii="宋体" w:hAnsi="宋体" w:cs="宋体"/>
                <w:szCs w:val="21"/>
                <w:highlight w:val="none"/>
              </w:rPr>
              <w:t>投标函中的总报价与已标价工程量清单总报价</w:t>
            </w:r>
            <w:r>
              <w:rPr>
                <w:rFonts w:hint="eastAsia" w:ascii="宋体" w:hAnsi="宋体" w:cs="宋体"/>
                <w:szCs w:val="21"/>
                <w:highlight w:val="none"/>
                <w:lang w:val="en-US" w:eastAsia="zh-CN"/>
              </w:rPr>
              <w:t>不</w:t>
            </w:r>
            <w:r>
              <w:rPr>
                <w:rFonts w:hint="eastAsia" w:ascii="宋体" w:hAnsi="宋体" w:cs="宋体"/>
                <w:szCs w:val="21"/>
                <w:highlight w:val="none"/>
              </w:rPr>
              <w:t>一致</w:t>
            </w:r>
            <w:r>
              <w:rPr>
                <w:rFonts w:hint="eastAsia" w:ascii="宋体" w:hAnsi="宋体" w:cs="宋体"/>
                <w:szCs w:val="21"/>
                <w:highlight w:val="none"/>
                <w:lang w:eastAsia="zh-CN"/>
              </w:rPr>
              <w:t>，</w:t>
            </w:r>
            <w:r>
              <w:rPr>
                <w:rFonts w:hint="eastAsia" w:ascii="宋体" w:hAnsi="宋体" w:cs="宋体"/>
                <w:szCs w:val="21"/>
                <w:highlight w:val="none"/>
                <w:lang w:val="en-US" w:eastAsia="zh-CN"/>
              </w:rPr>
              <w:t>或</w:t>
            </w:r>
            <w:r>
              <w:rPr>
                <w:rFonts w:hint="eastAsia" w:ascii="宋体" w:hAnsi="宋体" w:cs="宋体"/>
                <w:szCs w:val="21"/>
                <w:highlight w:val="none"/>
              </w:rPr>
              <w:t>工程量清单总报价与依据单价、工程数量、分部分项工程合价计算出的结果</w:t>
            </w:r>
            <w:r>
              <w:rPr>
                <w:rFonts w:hint="eastAsia" w:ascii="宋体" w:hAnsi="宋体" w:cs="宋体"/>
                <w:szCs w:val="21"/>
                <w:highlight w:val="none"/>
                <w:lang w:val="en-US" w:eastAsia="zh-CN"/>
              </w:rPr>
              <w:t>不</w:t>
            </w:r>
            <w:r>
              <w:rPr>
                <w:rFonts w:hint="eastAsia" w:ascii="宋体" w:hAnsi="宋体" w:cs="宋体"/>
                <w:szCs w:val="21"/>
                <w:highlight w:val="none"/>
              </w:rPr>
              <w:t>一致，由评标委员会作否决投标处理</w:t>
            </w:r>
            <w:r>
              <w:rPr>
                <w:rFonts w:hint="eastAsia" w:ascii="宋体" w:hAnsi="宋体" w:cs="宋体"/>
                <w:szCs w:val="21"/>
                <w:highlight w:val="none"/>
                <w:lang w:eastAsia="zh-CN"/>
              </w:rPr>
              <w:t>（</w:t>
            </w:r>
            <w:r>
              <w:rPr>
                <w:rFonts w:hint="eastAsia" w:ascii="宋体" w:hAnsi="宋体" w:cs="宋体"/>
                <w:szCs w:val="21"/>
                <w:highlight w:val="none"/>
                <w:lang w:val="en-US" w:eastAsia="zh-CN"/>
              </w:rPr>
              <w:t>如有</w:t>
            </w:r>
            <w:r>
              <w:rPr>
                <w:rFonts w:hint="eastAsia" w:ascii="宋体" w:hAnsi="宋体" w:cs="宋体"/>
                <w:szCs w:val="21"/>
                <w:highlight w:val="none"/>
                <w:lang w:eastAsia="zh-CN"/>
              </w:rPr>
              <w:t>）</w:t>
            </w:r>
            <w:r>
              <w:rPr>
                <w:rFonts w:hint="eastAsia" w:ascii="宋体" w:hAnsi="宋体" w:cs="宋体"/>
                <w:szCs w:val="21"/>
                <w:highlight w:val="none"/>
              </w:rPr>
              <w:t>。</w:t>
            </w:r>
          </w:p>
          <w:p w14:paraId="0344837E">
            <w:pPr>
              <w:pStyle w:val="2"/>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highlight w:val="none"/>
              </w:rPr>
            </w:pPr>
            <w:r>
              <w:rPr>
                <w:rFonts w:ascii="宋体" w:hAnsi="宋体" w:cs="宋体"/>
                <w:szCs w:val="21"/>
                <w:highlight w:val="none"/>
              </w:rPr>
              <w:t>5.</w:t>
            </w:r>
            <w:r>
              <w:rPr>
                <w:rFonts w:hint="eastAsia" w:ascii="宋体" w:hAnsi="宋体" w:cs="宋体"/>
                <w:szCs w:val="21"/>
                <w:highlight w:val="none"/>
                <w:u w:val="single"/>
              </w:rPr>
              <w:t>（1）在合同实施期间，单价和总价按专用合同条款第11条的规定可调整。</w:t>
            </w:r>
          </w:p>
          <w:p w14:paraId="449293BC">
            <w:pPr>
              <w:pStyle w:val="2"/>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highlight w:val="none"/>
              </w:rPr>
            </w:pPr>
            <w:r>
              <w:rPr>
                <w:rFonts w:hint="eastAsia" w:ascii="宋体" w:hAnsi="宋体" w:cs="宋体"/>
                <w:szCs w:val="21"/>
                <w:highlight w:val="none"/>
              </w:rPr>
              <w:t>（2）增值税计税方法由</w:t>
            </w:r>
            <w:r>
              <w:rPr>
                <w:rFonts w:hint="eastAsia" w:ascii="宋体" w:hAnsi="宋体" w:cs="宋体"/>
                <w:szCs w:val="21"/>
                <w:highlight w:val="none"/>
                <w:lang w:eastAsia="zh-CN"/>
              </w:rPr>
              <w:t>比选人</w:t>
            </w:r>
            <w:r>
              <w:rPr>
                <w:rFonts w:hint="eastAsia" w:ascii="宋体" w:hAnsi="宋体" w:cs="宋体"/>
                <w:szCs w:val="21"/>
                <w:highlight w:val="none"/>
              </w:rPr>
              <w:t>依据国家税法规定选择：一般计税法</w:t>
            </w:r>
          </w:p>
          <w:p w14:paraId="68D5A1D7">
            <w:pPr>
              <w:pStyle w:val="2"/>
              <w:keepNext w:val="0"/>
              <w:keepLines w:val="0"/>
              <w:pageBreakBefore w:val="0"/>
              <w:tabs>
                <w:tab w:val="left" w:pos="546"/>
                <w:tab w:val="left" w:pos="711"/>
              </w:tabs>
              <w:kinsoku/>
              <w:wordWrap/>
              <w:overflowPunct/>
              <w:topLinePunct w:val="0"/>
              <w:bidi w:val="0"/>
              <w:snapToGrid w:val="0"/>
              <w:spacing w:after="0" w:line="400" w:lineRule="exact"/>
              <w:ind w:left="6" w:leftChars="3" w:firstLine="420" w:firstLineChars="200"/>
              <w:textAlignment w:val="auto"/>
              <w:rPr>
                <w:rFonts w:ascii="宋体" w:hAnsi="宋体" w:cs="宋体"/>
                <w:szCs w:val="21"/>
                <w:highlight w:val="none"/>
              </w:rPr>
            </w:pPr>
            <w:r>
              <w:rPr>
                <w:rFonts w:ascii="宋体" w:hAnsi="宋体" w:cs="宋体"/>
                <w:szCs w:val="21"/>
                <w:highlight w:val="none"/>
              </w:rPr>
              <w:t>6.</w:t>
            </w:r>
            <w:r>
              <w:rPr>
                <w:rFonts w:hint="eastAsia" w:ascii="宋体" w:hAnsi="宋体" w:cs="宋体"/>
                <w:szCs w:val="21"/>
                <w:highlight w:val="none"/>
              </w:rPr>
              <w:t>如发现工程量清单中的数量与图纸中数量不一致，应于本须知第2.2.1项中规定的时间前书面通知</w:t>
            </w:r>
            <w:r>
              <w:rPr>
                <w:rFonts w:hint="eastAsia" w:ascii="宋体" w:hAnsi="宋体" w:cs="宋体"/>
                <w:szCs w:val="21"/>
                <w:highlight w:val="none"/>
                <w:lang w:eastAsia="zh-CN"/>
              </w:rPr>
              <w:t>比选人</w:t>
            </w:r>
            <w:r>
              <w:rPr>
                <w:rFonts w:hint="eastAsia" w:ascii="宋体" w:hAnsi="宋体" w:cs="宋体"/>
                <w:szCs w:val="21"/>
                <w:highlight w:val="none"/>
              </w:rPr>
              <w:t>核查，除非</w:t>
            </w:r>
            <w:r>
              <w:rPr>
                <w:rFonts w:hint="eastAsia" w:ascii="宋体" w:hAnsi="宋体" w:cs="宋体"/>
                <w:szCs w:val="21"/>
                <w:highlight w:val="none"/>
                <w:lang w:eastAsia="zh-CN"/>
              </w:rPr>
              <w:t>比选人</w:t>
            </w:r>
            <w:r>
              <w:rPr>
                <w:rFonts w:hint="eastAsia" w:ascii="宋体" w:hAnsi="宋体" w:cs="宋体"/>
                <w:szCs w:val="21"/>
                <w:highlight w:val="none"/>
              </w:rPr>
              <w:t>以修改的形式予以更正，否则，应以工程量清单中列出的数量为准。</w:t>
            </w:r>
          </w:p>
          <w:p w14:paraId="769829DA">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ascii="宋体" w:hAnsi="宋体"/>
                <w:szCs w:val="21"/>
                <w:highlight w:val="none"/>
              </w:rPr>
            </w:pPr>
            <w:r>
              <w:rPr>
                <w:rFonts w:ascii="宋体" w:hAnsi="宋体" w:cs="宋体"/>
                <w:szCs w:val="21"/>
                <w:highlight w:val="none"/>
              </w:rPr>
              <w:t>7.</w:t>
            </w:r>
            <w:r>
              <w:rPr>
                <w:rFonts w:hint="eastAsia" w:ascii="宋体" w:hAnsi="宋体" w:cs="宋体"/>
                <w:szCs w:val="21"/>
                <w:highlight w:val="none"/>
                <w:lang w:eastAsia="zh-CN"/>
              </w:rPr>
              <w:t>比选人</w:t>
            </w:r>
            <w:r>
              <w:rPr>
                <w:rFonts w:hint="eastAsia" w:ascii="宋体" w:hAnsi="宋体" w:cs="宋体"/>
                <w:szCs w:val="21"/>
                <w:highlight w:val="none"/>
              </w:rPr>
              <w:t>在工程量清单中所列出的暂列金额、暂估价等暂定金额，</w:t>
            </w:r>
            <w:r>
              <w:rPr>
                <w:rFonts w:hint="eastAsia" w:ascii="宋体" w:hAnsi="宋体" w:cs="宋体"/>
                <w:szCs w:val="21"/>
                <w:highlight w:val="none"/>
                <w:lang w:eastAsia="zh-CN"/>
              </w:rPr>
              <w:t>比选申请人</w:t>
            </w:r>
            <w:r>
              <w:rPr>
                <w:rFonts w:hint="eastAsia" w:ascii="宋体" w:hAnsi="宋体" w:cs="宋体"/>
                <w:szCs w:val="21"/>
                <w:highlight w:val="none"/>
              </w:rPr>
              <w:t>不得修改</w:t>
            </w:r>
            <w:r>
              <w:rPr>
                <w:rFonts w:hint="eastAsia" w:ascii="宋体" w:hAnsi="宋体"/>
                <w:szCs w:val="21"/>
                <w:highlight w:val="none"/>
              </w:rPr>
              <w:t>，否则由评标委员会作否决投标处理。</w:t>
            </w:r>
          </w:p>
          <w:p w14:paraId="32178E26">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ascii="宋体" w:hAnsi="宋体"/>
                <w:szCs w:val="21"/>
                <w:highlight w:val="none"/>
              </w:rPr>
            </w:pPr>
            <w:r>
              <w:rPr>
                <w:rFonts w:ascii="宋体" w:hAnsi="宋体" w:cs="宋体"/>
                <w:szCs w:val="21"/>
                <w:highlight w:val="none"/>
              </w:rPr>
              <w:t>8.</w:t>
            </w:r>
            <w:r>
              <w:rPr>
                <w:rFonts w:hint="eastAsia" w:ascii="宋体" w:hAnsi="宋体" w:cs="宋体"/>
                <w:szCs w:val="21"/>
                <w:highlight w:val="none"/>
              </w:rPr>
              <w:t>本工程招标将设置投标总报价最高限价，投标总报价最高限价</w:t>
            </w:r>
            <w:r>
              <w:rPr>
                <w:rFonts w:hint="eastAsia" w:ascii="宋体" w:hAnsi="宋体" w:cs="宋体"/>
                <w:szCs w:val="21"/>
                <w:highlight w:val="none"/>
                <w:lang w:val="en-US" w:eastAsia="zh-CN"/>
              </w:rPr>
              <w:t>金额为</w:t>
            </w:r>
            <w:r>
              <w:rPr>
                <w:rFonts w:hint="eastAsia" w:ascii="宋体" w:hAnsi="宋体" w:cs="宋体"/>
                <w:color w:val="auto"/>
                <w:szCs w:val="21"/>
                <w:highlight w:val="none"/>
                <w:lang w:val="en-US" w:eastAsia="zh-CN"/>
              </w:rPr>
              <w:t>人民币</w:t>
            </w:r>
            <w:r>
              <w:rPr>
                <w:rFonts w:hint="eastAsia" w:ascii="宋体" w:hAnsi="宋体" w:eastAsia="宋体" w:cs="宋体"/>
                <w:bCs/>
                <w:color w:val="auto"/>
                <w:kern w:val="0"/>
                <w:sz w:val="21"/>
                <w:szCs w:val="21"/>
                <w:highlight w:val="none"/>
                <w:lang w:val="en-US" w:eastAsia="zh-CN"/>
              </w:rPr>
              <w:t>￥465124.97</w:t>
            </w:r>
            <w:r>
              <w:rPr>
                <w:rFonts w:hint="eastAsia" w:ascii="宋体" w:hAnsi="宋体" w:cs="宋体"/>
                <w:color w:val="auto"/>
                <w:szCs w:val="21"/>
                <w:highlight w:val="none"/>
                <w:lang w:val="en-US" w:eastAsia="zh-CN"/>
              </w:rPr>
              <w:t>元（大写：肆拾陆万伍仟壹佰贰拾肆元玖角柒分），其中含安全文明施工费暂定金额为人民币21764.59元，</w:t>
            </w:r>
            <w:r>
              <w:rPr>
                <w:rFonts w:hint="eastAsia" w:ascii="宋体" w:hAnsi="宋体" w:cs="宋体"/>
                <w:szCs w:val="21"/>
                <w:highlight w:val="none"/>
                <w:lang w:eastAsia="zh-CN"/>
              </w:rPr>
              <w:t>比选申请人</w:t>
            </w:r>
            <w:r>
              <w:rPr>
                <w:rFonts w:hint="eastAsia" w:ascii="宋体" w:hAnsi="宋体" w:cs="宋体"/>
                <w:szCs w:val="21"/>
                <w:highlight w:val="none"/>
              </w:rPr>
              <w:t>的投标总报价不得超过投标总报价最高限价，否则由评标委员会作</w:t>
            </w:r>
            <w:r>
              <w:rPr>
                <w:rFonts w:hint="eastAsia" w:ascii="宋体" w:hAnsi="宋体"/>
                <w:szCs w:val="21"/>
                <w:highlight w:val="none"/>
              </w:rPr>
              <w:t>否决投标处理。</w:t>
            </w:r>
          </w:p>
          <w:p w14:paraId="5E37FCCD">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ascii="宋体" w:hAnsi="宋体" w:cs="宋体"/>
                <w:szCs w:val="21"/>
                <w:highlight w:val="none"/>
              </w:rPr>
            </w:pPr>
            <w:r>
              <w:rPr>
                <w:rFonts w:hint="eastAsia" w:ascii="宋体" w:hAnsi="宋体" w:cs="宋体"/>
                <w:szCs w:val="21"/>
                <w:highlight w:val="none"/>
              </w:rPr>
              <w:t>本工程招标将设置全部清单综合单价最高限价，</w:t>
            </w:r>
            <w:r>
              <w:rPr>
                <w:rFonts w:hint="eastAsia" w:ascii="宋体" w:hAnsi="宋体" w:cs="宋体"/>
                <w:szCs w:val="21"/>
                <w:highlight w:val="none"/>
                <w:lang w:eastAsia="zh-CN"/>
              </w:rPr>
              <w:t>比选申请人</w:t>
            </w:r>
            <w:r>
              <w:rPr>
                <w:rFonts w:hint="eastAsia" w:ascii="宋体" w:hAnsi="宋体" w:cs="宋体"/>
                <w:szCs w:val="21"/>
                <w:highlight w:val="none"/>
              </w:rPr>
              <w:t>的每项清单综合单价报价不得超过每项清单综合单价最高限价，否则由评标委员会作否决投标处理。</w:t>
            </w:r>
          </w:p>
          <w:p w14:paraId="75F715AB">
            <w:pPr>
              <w:pStyle w:val="2"/>
              <w:keepNext w:val="0"/>
              <w:keepLines w:val="0"/>
              <w:pageBreakBefore w:val="0"/>
              <w:kinsoku/>
              <w:wordWrap/>
              <w:overflowPunct/>
              <w:topLinePunct w:val="0"/>
              <w:bidi w:val="0"/>
              <w:spacing w:after="0" w:line="400" w:lineRule="exact"/>
              <w:ind w:firstLine="420" w:firstLineChars="200"/>
              <w:textAlignment w:val="auto"/>
              <w:rPr>
                <w:rFonts w:ascii="宋体" w:hAnsi="宋体" w:cs="宋体"/>
                <w:szCs w:val="21"/>
                <w:highlight w:val="none"/>
              </w:rPr>
            </w:pPr>
            <w:r>
              <w:rPr>
                <w:rFonts w:ascii="宋体" w:hAnsi="宋体" w:cs="宋体"/>
                <w:szCs w:val="21"/>
                <w:highlight w:val="none"/>
              </w:rPr>
              <w:t>9.安全文明施工费：</w:t>
            </w:r>
          </w:p>
          <w:p w14:paraId="7CC775ED">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highlight w:val="none"/>
              </w:rPr>
            </w:pPr>
            <w:r>
              <w:rPr>
                <w:rFonts w:ascii="宋体" w:hAnsi="宋体" w:cs="宋体"/>
                <w:szCs w:val="21"/>
                <w:highlight w:val="none"/>
              </w:rPr>
              <w:t>9.1</w:t>
            </w:r>
            <w:r>
              <w:rPr>
                <w:rFonts w:hint="eastAsia" w:ascii="宋体" w:hAnsi="宋体" w:cs="宋体"/>
                <w:szCs w:val="21"/>
                <w:highlight w:val="none"/>
              </w:rPr>
              <w:t>根据</w:t>
            </w:r>
            <w:r>
              <w:rPr>
                <w:rFonts w:hint="eastAsia" w:ascii="宋体" w:hAnsi="宋体" w:cs="宋体"/>
                <w:szCs w:val="21"/>
                <w:highlight w:val="none"/>
                <w:lang w:val="en-US" w:eastAsia="zh-CN"/>
              </w:rPr>
              <w:t>住房城乡建设行业主管部门相关</w:t>
            </w:r>
            <w:r>
              <w:rPr>
                <w:rFonts w:hint="eastAsia" w:ascii="宋体" w:hAnsi="宋体" w:cs="宋体"/>
                <w:szCs w:val="21"/>
                <w:highlight w:val="none"/>
              </w:rPr>
              <w:t>规定，安全文明施工费由安全施工费、文明施工费、环境保护费及临时设施费组成。</w:t>
            </w:r>
          </w:p>
          <w:p w14:paraId="01CF605E">
            <w:pPr>
              <w:pStyle w:val="23"/>
              <w:keepNext w:val="0"/>
              <w:keepLines w:val="0"/>
              <w:pageBreakBefore w:val="0"/>
              <w:kinsoku/>
              <w:wordWrap/>
              <w:overflowPunct/>
              <w:topLinePunct w:val="0"/>
              <w:bidi w:val="0"/>
              <w:spacing w:line="400" w:lineRule="exact"/>
              <w:ind w:firstLineChars="200"/>
              <w:textAlignment w:val="auto"/>
              <w:rPr>
                <w:sz w:val="21"/>
                <w:szCs w:val="21"/>
                <w:highlight w:val="none"/>
              </w:rPr>
            </w:pPr>
            <w:r>
              <w:rPr>
                <w:sz w:val="21"/>
                <w:szCs w:val="21"/>
                <w:highlight w:val="none"/>
              </w:rPr>
              <w:t>9.2本工程安全文明施工费由</w:t>
            </w:r>
            <w:r>
              <w:rPr>
                <w:rFonts w:hint="eastAsia"/>
                <w:sz w:val="21"/>
                <w:szCs w:val="21"/>
                <w:highlight w:val="none"/>
                <w:lang w:eastAsia="zh-CN"/>
              </w:rPr>
              <w:t>比选人</w:t>
            </w:r>
            <w:r>
              <w:rPr>
                <w:sz w:val="21"/>
                <w:szCs w:val="21"/>
                <w:highlight w:val="none"/>
              </w:rPr>
              <w:t>根据</w:t>
            </w:r>
            <w:r>
              <w:rPr>
                <w:rFonts w:hint="eastAsia"/>
                <w:sz w:val="21"/>
                <w:szCs w:val="21"/>
                <w:highlight w:val="none"/>
              </w:rPr>
              <w:t>住房城乡建设行业主管部门</w:t>
            </w:r>
            <w:r>
              <w:rPr>
                <w:sz w:val="21"/>
                <w:szCs w:val="21"/>
                <w:highlight w:val="none"/>
              </w:rPr>
              <w:t>相关规定和费用标准单列计算，安全文明施工费为暂定金额。《投标函》中的安全文明施工费</w:t>
            </w:r>
            <w:r>
              <w:rPr>
                <w:rFonts w:hint="eastAsia"/>
                <w:sz w:val="21"/>
                <w:szCs w:val="21"/>
                <w:highlight w:val="none"/>
                <w:lang w:val="en-US" w:eastAsia="zh-CN"/>
              </w:rPr>
              <w:t>金额或工程量清单中安全文明施工费的汇总金额未</w:t>
            </w:r>
            <w:r>
              <w:rPr>
                <w:sz w:val="21"/>
                <w:szCs w:val="21"/>
                <w:highlight w:val="none"/>
              </w:rPr>
              <w:t>按照</w:t>
            </w:r>
            <w:r>
              <w:rPr>
                <w:rFonts w:hint="eastAsia"/>
                <w:sz w:val="21"/>
                <w:szCs w:val="21"/>
                <w:highlight w:val="none"/>
                <w:lang w:eastAsia="zh-CN"/>
              </w:rPr>
              <w:t>比选人</w:t>
            </w:r>
            <w:r>
              <w:rPr>
                <w:sz w:val="21"/>
                <w:szCs w:val="21"/>
                <w:highlight w:val="none"/>
              </w:rPr>
              <w:t>给出的暂定金额填报</w:t>
            </w:r>
            <w:r>
              <w:rPr>
                <w:rFonts w:hint="eastAsia"/>
                <w:sz w:val="21"/>
                <w:szCs w:val="21"/>
                <w:highlight w:val="none"/>
                <w:lang w:val="en-US" w:eastAsia="zh-CN"/>
              </w:rPr>
              <w:t>的</w:t>
            </w:r>
            <w:r>
              <w:rPr>
                <w:sz w:val="21"/>
                <w:szCs w:val="21"/>
                <w:highlight w:val="none"/>
              </w:rPr>
              <w:t>，视为对</w:t>
            </w:r>
            <w:r>
              <w:rPr>
                <w:rFonts w:hint="eastAsia"/>
                <w:sz w:val="21"/>
                <w:szCs w:val="21"/>
                <w:highlight w:val="none"/>
                <w:lang w:eastAsia="zh-CN"/>
              </w:rPr>
              <w:t>竞争性比选文件</w:t>
            </w:r>
            <w:r>
              <w:rPr>
                <w:sz w:val="21"/>
                <w:szCs w:val="21"/>
                <w:highlight w:val="none"/>
              </w:rPr>
              <w:t>不作实质性响应，其</w:t>
            </w:r>
            <w:r>
              <w:rPr>
                <w:rFonts w:hint="eastAsia"/>
                <w:sz w:val="21"/>
                <w:szCs w:val="21"/>
                <w:highlight w:val="none"/>
                <w:lang w:eastAsia="zh-CN"/>
              </w:rPr>
              <w:t>比选申请文件</w:t>
            </w:r>
            <w:r>
              <w:rPr>
                <w:rFonts w:hint="eastAsia"/>
                <w:sz w:val="21"/>
                <w:szCs w:val="21"/>
                <w:highlight w:val="none"/>
              </w:rPr>
              <w:t>由评标委员会</w:t>
            </w:r>
            <w:r>
              <w:rPr>
                <w:sz w:val="21"/>
                <w:szCs w:val="21"/>
                <w:highlight w:val="none"/>
              </w:rPr>
              <w:t>作否决投标处理。</w:t>
            </w:r>
            <w:r>
              <w:rPr>
                <w:rFonts w:hint="eastAsia"/>
                <w:sz w:val="21"/>
                <w:szCs w:val="21"/>
                <w:highlight w:val="none"/>
              </w:rPr>
              <w:t>注：采用全费用清单计价的项目，安全文明施工费仅针对《投标函》中的安全文明施工费进行评审。</w:t>
            </w:r>
          </w:p>
          <w:p w14:paraId="60A70E2D">
            <w:pPr>
              <w:keepNext w:val="0"/>
              <w:keepLines w:val="0"/>
              <w:pageBreakBefore w:val="0"/>
              <w:tabs>
                <w:tab w:val="left" w:pos="546"/>
                <w:tab w:val="left" w:pos="711"/>
              </w:tabs>
              <w:kinsoku/>
              <w:wordWrap/>
              <w:overflowPunct/>
              <w:topLinePunct w:val="0"/>
              <w:bidi w:val="0"/>
              <w:snapToGrid w:val="0"/>
              <w:spacing w:line="400" w:lineRule="exact"/>
              <w:ind w:firstLine="420" w:firstLineChars="200"/>
              <w:textAlignment w:val="auto"/>
              <w:rPr>
                <w:rFonts w:ascii="宋体" w:hAnsi="宋体" w:cs="宋体"/>
                <w:szCs w:val="21"/>
                <w:highlight w:val="none"/>
              </w:rPr>
            </w:pPr>
            <w:r>
              <w:rPr>
                <w:rFonts w:ascii="宋体" w:hAnsi="宋体"/>
                <w:szCs w:val="21"/>
                <w:highlight w:val="none"/>
              </w:rPr>
              <w:t>10.</w:t>
            </w:r>
            <w:r>
              <w:rPr>
                <w:rFonts w:hint="eastAsia" w:ascii="宋体" w:hAnsi="宋体"/>
                <w:szCs w:val="21"/>
                <w:highlight w:val="none"/>
              </w:rPr>
              <w:t>本工程所需材料（含设备）价格由</w:t>
            </w:r>
            <w:r>
              <w:rPr>
                <w:rFonts w:hint="eastAsia" w:ascii="宋体" w:hAnsi="宋体"/>
                <w:szCs w:val="21"/>
                <w:highlight w:val="none"/>
                <w:lang w:eastAsia="zh-CN"/>
              </w:rPr>
              <w:t>比选申请人</w:t>
            </w:r>
            <w:r>
              <w:rPr>
                <w:rFonts w:hint="eastAsia" w:ascii="宋体" w:hAnsi="宋体"/>
                <w:szCs w:val="21"/>
                <w:highlight w:val="none"/>
              </w:rPr>
              <w:t>参照</w:t>
            </w:r>
            <w:r>
              <w:rPr>
                <w:rFonts w:hint="eastAsia" w:ascii="宋体" w:hAnsi="宋体" w:cs="宋体"/>
                <w:szCs w:val="21"/>
                <w:highlight w:val="none"/>
              </w:rPr>
              <w:t>工程造价管理机构发布的工程造价信息（造价信息引用时限为</w:t>
            </w:r>
            <w:r>
              <w:rPr>
                <w:rFonts w:hint="eastAsia" w:ascii="宋体" w:hAnsi="宋体" w:cs="宋体"/>
                <w:szCs w:val="21"/>
                <w:highlight w:val="none"/>
                <w:lang w:eastAsia="zh-CN"/>
              </w:rPr>
              <w:t>竞争性比选公告</w:t>
            </w:r>
            <w:r>
              <w:rPr>
                <w:rFonts w:hint="eastAsia" w:ascii="宋体" w:hAnsi="宋体" w:cs="宋体"/>
                <w:szCs w:val="21"/>
                <w:highlight w:val="none"/>
              </w:rPr>
              <w:t>发布日期前一期），并结合市场行情及自身实力进行自主报价。</w:t>
            </w:r>
          </w:p>
          <w:p w14:paraId="6C694FA2">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highlight w:val="none"/>
                <w:u w:val="single"/>
              </w:rPr>
            </w:pPr>
            <w:r>
              <w:rPr>
                <w:rFonts w:hint="eastAsia" w:ascii="宋体" w:hAnsi="宋体" w:cs="宋体"/>
                <w:szCs w:val="21"/>
                <w:highlight w:val="none"/>
              </w:rPr>
              <w:t>11.本项目建筑安装材料价格风险按照住房城乡建设行业主管部门相关</w:t>
            </w:r>
            <w:r>
              <w:rPr>
                <w:rFonts w:hint="eastAsia" w:ascii="宋体" w:hAnsi="宋体" w:cs="宋体"/>
                <w:szCs w:val="21"/>
                <w:highlight w:val="none"/>
                <w:lang w:val="en-US" w:eastAsia="zh-CN"/>
              </w:rPr>
              <w:t>规定</w:t>
            </w:r>
            <w:r>
              <w:rPr>
                <w:rFonts w:hint="eastAsia" w:ascii="宋体" w:hAnsi="宋体" w:cs="宋体"/>
                <w:szCs w:val="21"/>
                <w:highlight w:val="none"/>
              </w:rPr>
              <w:t>执行。</w:t>
            </w:r>
          </w:p>
          <w:p w14:paraId="112FE4D1">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2</w:t>
            </w:r>
            <w:r>
              <w:rPr>
                <w:rFonts w:ascii="宋体" w:hAnsi="宋体" w:cs="宋体"/>
                <w:szCs w:val="21"/>
                <w:highlight w:val="none"/>
              </w:rPr>
              <w:t>.</w:t>
            </w:r>
            <w:r>
              <w:rPr>
                <w:rFonts w:hint="eastAsia" w:ascii="宋体" w:hAnsi="宋体" w:cs="宋体"/>
                <w:szCs w:val="21"/>
                <w:highlight w:val="none"/>
              </w:rPr>
              <w:t>本项目所采用技术、工艺和产品等按照住房城乡建设行业主管部门相关</w:t>
            </w:r>
            <w:r>
              <w:rPr>
                <w:rFonts w:hint="eastAsia" w:ascii="宋体" w:hAnsi="宋体" w:cs="宋体"/>
                <w:szCs w:val="21"/>
                <w:highlight w:val="none"/>
                <w:lang w:val="en-US" w:eastAsia="zh-CN"/>
              </w:rPr>
              <w:t>规定</w:t>
            </w:r>
            <w:r>
              <w:rPr>
                <w:rFonts w:hint="eastAsia" w:ascii="宋体" w:hAnsi="宋体" w:cs="宋体"/>
                <w:szCs w:val="21"/>
                <w:highlight w:val="none"/>
              </w:rPr>
              <w:t>执行。</w:t>
            </w:r>
          </w:p>
          <w:p w14:paraId="07380367">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3</w:t>
            </w:r>
            <w:r>
              <w:rPr>
                <w:rFonts w:ascii="宋体" w:hAnsi="宋体" w:cs="宋体"/>
                <w:szCs w:val="21"/>
                <w:highlight w:val="none"/>
              </w:rPr>
              <w:t>.</w:t>
            </w:r>
            <w:r>
              <w:rPr>
                <w:rFonts w:hint="eastAsia" w:ascii="宋体" w:hAnsi="宋体" w:cs="宋体"/>
                <w:szCs w:val="21"/>
                <w:highlight w:val="none"/>
              </w:rPr>
              <w:t>本工程主体结构若需混凝土，则必须使用商品混凝土，不得自建搅拌站。</w:t>
            </w:r>
          </w:p>
          <w:p w14:paraId="79E0E98B">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i w:val="0"/>
                <w:iCs w:val="0"/>
                <w:szCs w:val="21"/>
                <w:highlight w:val="none"/>
                <w:u w:val="none"/>
                <w:lang w:val="en-US" w:eastAsia="zh-CN"/>
              </w:rPr>
            </w:pPr>
            <w:r>
              <w:rPr>
                <w:rFonts w:hint="eastAsia" w:ascii="宋体" w:hAnsi="宋体" w:cs="宋体"/>
                <w:szCs w:val="21"/>
                <w:highlight w:val="none"/>
                <w:lang w:val="en-US" w:eastAsia="zh-CN"/>
              </w:rPr>
              <w:t>14.异常低价警戒线要求</w:t>
            </w:r>
          </w:p>
          <w:p w14:paraId="37B1F0F3">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color w:val="auto"/>
                <w:sz w:val="21"/>
                <w:szCs w:val="21"/>
                <w:highlight w:val="none"/>
                <w:u w:val="none"/>
                <w:lang w:val="en-US" w:eastAsia="zh-CN"/>
              </w:rPr>
            </w:pPr>
            <w:r>
              <w:rPr>
                <w:rFonts w:hint="eastAsia" w:ascii="宋体" w:hAnsi="宋体" w:cs="宋体"/>
                <w:color w:val="auto"/>
                <w:szCs w:val="21"/>
                <w:highlight w:val="none"/>
                <w:lang w:val="en-US" w:eastAsia="zh-CN"/>
              </w:rPr>
              <w:t>☑</w:t>
            </w:r>
            <w:r>
              <w:rPr>
                <w:rFonts w:hint="eastAsia" w:ascii="宋体" w:hAnsi="宋体" w:cs="宋体"/>
                <w:color w:val="auto"/>
                <w:sz w:val="21"/>
                <w:szCs w:val="21"/>
                <w:highlight w:val="none"/>
                <w:u w:val="none"/>
                <w:lang w:val="en-US" w:eastAsia="zh-CN"/>
              </w:rPr>
              <w:t>方式一：</w:t>
            </w:r>
          </w:p>
          <w:p w14:paraId="755A86C8">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i w:val="0"/>
                <w:iCs w:val="0"/>
                <w:szCs w:val="21"/>
                <w:highlight w:val="none"/>
                <w:u w:val="none"/>
                <w:lang w:val="en-US" w:eastAsia="zh-CN"/>
              </w:rPr>
            </w:pPr>
            <w:r>
              <w:rPr>
                <w:rFonts w:hint="eastAsia" w:ascii="宋体" w:hAnsi="宋体" w:cs="宋体"/>
                <w:sz w:val="21"/>
                <w:szCs w:val="21"/>
                <w:highlight w:val="none"/>
                <w:u w:val="none"/>
                <w:lang w:val="en-US" w:eastAsia="zh-CN"/>
              </w:rPr>
              <w:t>投标总报价异常低价警戒线：</w:t>
            </w:r>
            <w:r>
              <w:rPr>
                <w:rFonts w:hint="eastAsia" w:ascii="宋体" w:hAnsi="宋体" w:cs="宋体"/>
                <w:sz w:val="21"/>
                <w:szCs w:val="21"/>
                <w:highlight w:val="none"/>
                <w:u w:val="single"/>
                <w:lang w:val="en-US" w:eastAsia="zh-CN"/>
              </w:rPr>
              <w:t>395356.22元</w:t>
            </w:r>
            <w:r>
              <w:rPr>
                <w:rFonts w:hint="eastAsia" w:ascii="宋体" w:hAnsi="宋体" w:cs="宋体"/>
                <w:i w:val="0"/>
                <w:iCs w:val="0"/>
                <w:szCs w:val="21"/>
                <w:highlight w:val="none"/>
                <w:u w:val="none"/>
                <w:lang w:val="en-US" w:eastAsia="zh-CN"/>
              </w:rPr>
              <w:t>。</w:t>
            </w:r>
          </w:p>
          <w:p w14:paraId="60A62868">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i w:val="0"/>
                <w:iCs w:val="0"/>
                <w:szCs w:val="21"/>
                <w:highlight w:val="none"/>
                <w:u w:val="none"/>
                <w:lang w:val="en-US" w:eastAsia="zh-CN"/>
              </w:rPr>
            </w:pPr>
            <w:r>
              <w:rPr>
                <w:rFonts w:hint="eastAsia" w:ascii="宋体" w:hAnsi="宋体" w:cs="宋体"/>
                <w:i w:val="0"/>
                <w:iCs w:val="0"/>
                <w:szCs w:val="21"/>
                <w:highlight w:val="none"/>
                <w:u w:val="none"/>
                <w:lang w:val="en-US" w:eastAsia="zh-CN"/>
              </w:rPr>
              <w:t>比选申请人投标总报价低于竞争性比选文件规定的对应的异常低价警戒线的，应提供报价合理性说明，</w:t>
            </w:r>
            <w:r>
              <w:rPr>
                <w:rFonts w:hint="eastAsia" w:ascii="宋体" w:hAnsi="宋体" w:cs="宋体"/>
                <w:szCs w:val="21"/>
                <w:highlight w:val="none"/>
              </w:rPr>
              <w:t>并提供必要的证明材料</w:t>
            </w:r>
            <w:r>
              <w:rPr>
                <w:rFonts w:hint="eastAsia" w:ascii="宋体" w:hAnsi="宋体" w:cs="宋体"/>
                <w:i w:val="0"/>
                <w:iCs w:val="0"/>
                <w:szCs w:val="21"/>
                <w:highlight w:val="none"/>
                <w:u w:val="none"/>
                <w:lang w:val="en-US" w:eastAsia="zh-CN"/>
              </w:rPr>
              <w:t>。比选申请人提供的说明不得降低或者改变原设计方案、技术工艺、施工标准，不得影响项目的质量、安全、工期、结算等正常履约。</w:t>
            </w:r>
          </w:p>
          <w:p w14:paraId="73E3DE63">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ascii="宋体" w:hAnsi="宋体" w:cs="宋体"/>
                <w:szCs w:val="21"/>
                <w:highlight w:val="none"/>
              </w:rPr>
            </w:pPr>
            <w:r>
              <w:rPr>
                <w:rFonts w:hint="eastAsia" w:ascii="宋体" w:hAnsi="宋体" w:cs="宋体"/>
                <w:i w:val="0"/>
                <w:iCs w:val="0"/>
                <w:szCs w:val="21"/>
                <w:highlight w:val="none"/>
                <w:u w:val="none"/>
                <w:lang w:val="en-US" w:eastAsia="zh-CN"/>
              </w:rPr>
              <w:t>比选申请人投标总报价</w:t>
            </w:r>
            <w:r>
              <w:rPr>
                <w:rFonts w:hint="eastAsia" w:ascii="宋体" w:hAnsi="宋体" w:cs="宋体"/>
                <w:szCs w:val="21"/>
                <w:highlight w:val="none"/>
              </w:rPr>
              <w:t>低于</w:t>
            </w:r>
            <w:r>
              <w:rPr>
                <w:rFonts w:hint="eastAsia" w:ascii="宋体" w:hAnsi="宋体" w:cs="宋体"/>
                <w:szCs w:val="21"/>
                <w:highlight w:val="none"/>
                <w:lang w:eastAsia="zh-CN"/>
              </w:rPr>
              <w:t>竞争性比选文件</w:t>
            </w:r>
            <w:r>
              <w:rPr>
                <w:rFonts w:hint="eastAsia" w:ascii="宋体" w:hAnsi="宋体" w:cs="宋体"/>
                <w:i w:val="0"/>
                <w:iCs w:val="0"/>
                <w:szCs w:val="21"/>
                <w:highlight w:val="none"/>
                <w:u w:val="none"/>
                <w:lang w:val="en-US" w:eastAsia="zh-CN"/>
              </w:rPr>
              <w:t>规定的对应的异常低价警戒线的</w:t>
            </w:r>
            <w:r>
              <w:rPr>
                <w:rFonts w:hint="eastAsia" w:ascii="宋体" w:hAnsi="宋体" w:cs="宋体"/>
                <w:szCs w:val="21"/>
                <w:highlight w:val="none"/>
              </w:rPr>
              <w:t>，</w:t>
            </w:r>
            <w:r>
              <w:rPr>
                <w:rFonts w:hint="eastAsia" w:ascii="宋体" w:hAnsi="宋体" w:cs="宋体"/>
                <w:szCs w:val="21"/>
                <w:highlight w:val="none"/>
                <w:lang w:eastAsia="zh-CN"/>
              </w:rPr>
              <w:t>比选申请人</w:t>
            </w:r>
            <w:r>
              <w:rPr>
                <w:rFonts w:hint="eastAsia" w:ascii="宋体" w:hAnsi="宋体" w:cs="宋体"/>
                <w:szCs w:val="21"/>
                <w:highlight w:val="none"/>
              </w:rPr>
              <w:t>未提供</w:t>
            </w:r>
            <w:r>
              <w:rPr>
                <w:rFonts w:hint="eastAsia" w:ascii="宋体" w:hAnsi="宋体" w:cs="宋体"/>
                <w:szCs w:val="21"/>
                <w:highlight w:val="none"/>
                <w:lang w:val="en-US" w:eastAsia="zh-CN"/>
              </w:rPr>
              <w:t>报价合理性</w:t>
            </w:r>
            <w:r>
              <w:rPr>
                <w:rFonts w:hint="eastAsia" w:ascii="宋体" w:hAnsi="宋体" w:cs="宋体"/>
                <w:szCs w:val="21"/>
                <w:highlight w:val="none"/>
              </w:rPr>
              <w:t>说明或者提供的说明不能证明其报价合理性的，</w:t>
            </w:r>
            <w:r>
              <w:rPr>
                <w:rFonts w:hint="eastAsia"/>
                <w:highlight w:val="none"/>
              </w:rPr>
              <w:t>由评标委员会作否决投标处理</w:t>
            </w:r>
            <w:r>
              <w:rPr>
                <w:rFonts w:hint="eastAsia" w:ascii="宋体" w:hAnsi="宋体" w:cs="宋体"/>
                <w:szCs w:val="21"/>
                <w:highlight w:val="none"/>
              </w:rPr>
              <w:t>。</w:t>
            </w:r>
          </w:p>
          <w:p w14:paraId="150E435D">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highlight w:val="none"/>
                <w:lang w:eastAsia="zh-CN"/>
              </w:rPr>
            </w:pPr>
            <w:bookmarkStart w:id="103" w:name="OLE_LINK6"/>
            <w:r>
              <w:rPr>
                <w:rFonts w:hint="eastAsia" w:ascii="宋体" w:hAnsi="宋体" w:cs="宋体"/>
                <w:szCs w:val="21"/>
                <w:highlight w:val="none"/>
                <w:lang w:val="en-US" w:eastAsia="zh-CN"/>
              </w:rPr>
              <w:t>15.</w:t>
            </w:r>
            <w:r>
              <w:rPr>
                <w:rFonts w:hint="eastAsia" w:ascii="宋体" w:hAnsi="宋体"/>
                <w:kern w:val="0"/>
                <w:szCs w:val="21"/>
                <w:highlight w:val="none"/>
                <w:u w:val="none"/>
                <w:lang w:eastAsia="zh-CN"/>
              </w:rPr>
              <w:t>比选申请人</w:t>
            </w:r>
            <w:r>
              <w:rPr>
                <w:rFonts w:hint="default" w:ascii="宋体" w:hAnsi="宋体"/>
                <w:kern w:val="0"/>
                <w:szCs w:val="21"/>
                <w:highlight w:val="none"/>
                <w:u w:val="none"/>
              </w:rPr>
              <w:t>的</w:t>
            </w:r>
            <w:r>
              <w:rPr>
                <w:rFonts w:hint="eastAsia" w:ascii="宋体" w:hAnsi="宋体"/>
                <w:kern w:val="0"/>
                <w:szCs w:val="21"/>
                <w:highlight w:val="none"/>
                <w:u w:val="none"/>
                <w:lang w:val="en-US" w:eastAsia="zh-CN"/>
              </w:rPr>
              <w:t>工程量清单单项报价</w:t>
            </w:r>
            <w:r>
              <w:rPr>
                <w:rFonts w:hint="default" w:ascii="宋体" w:hAnsi="宋体"/>
                <w:kern w:val="0"/>
                <w:szCs w:val="21"/>
                <w:highlight w:val="none"/>
                <w:u w:val="none"/>
              </w:rPr>
              <w:t>不得</w:t>
            </w:r>
            <w:r>
              <w:rPr>
                <w:rFonts w:hint="eastAsia" w:ascii="宋体" w:hAnsi="宋体"/>
                <w:kern w:val="0"/>
                <w:szCs w:val="21"/>
                <w:highlight w:val="none"/>
                <w:u w:val="none"/>
                <w:lang w:val="en-US" w:eastAsia="zh-CN"/>
              </w:rPr>
              <w:t>为零报价（比选人提供的工程量清单单项最高限价中金额为零的除外）或者负数报价，否则</w:t>
            </w:r>
            <w:r>
              <w:rPr>
                <w:rFonts w:hint="eastAsia"/>
                <w:highlight w:val="none"/>
              </w:rPr>
              <w:t>由评标委员会作否决投标处理</w:t>
            </w:r>
            <w:r>
              <w:rPr>
                <w:rFonts w:hint="eastAsia"/>
                <w:highlight w:val="none"/>
                <w:lang w:eastAsia="zh-CN"/>
              </w:rPr>
              <w:t>。</w:t>
            </w:r>
            <w:bookmarkEnd w:id="103"/>
          </w:p>
          <w:p w14:paraId="4F2CF978">
            <w:pPr>
              <w:pStyle w:val="2"/>
              <w:keepNext w:val="0"/>
              <w:keepLines w:val="0"/>
              <w:pageBreakBefore w:val="0"/>
              <w:tabs>
                <w:tab w:val="left" w:pos="546"/>
                <w:tab w:val="left" w:pos="711"/>
              </w:tabs>
              <w:kinsoku/>
              <w:wordWrap/>
              <w:overflowPunct/>
              <w:topLinePunct w:val="0"/>
              <w:bidi w:val="0"/>
              <w:snapToGrid w:val="0"/>
              <w:spacing w:after="0" w:line="400" w:lineRule="exact"/>
              <w:ind w:firstLine="420" w:firstLineChars="200"/>
              <w:textAlignment w:val="auto"/>
              <w:rPr>
                <w:rFonts w:hint="eastAsia" w:eastAsia="宋体"/>
                <w:highlight w:val="none"/>
                <w:lang w:eastAsia="zh-CN"/>
              </w:rPr>
            </w:pPr>
            <w:r>
              <w:rPr>
                <w:rFonts w:hint="eastAsia"/>
                <w:highlight w:val="none"/>
                <w:lang w:eastAsia="zh-CN"/>
              </w:rPr>
              <w:t>比选人</w:t>
            </w:r>
            <w:r>
              <w:rPr>
                <w:rFonts w:hint="eastAsia"/>
                <w:highlight w:val="none"/>
              </w:rPr>
              <w:t>在发出中标通知书前将对中标人的各项报价进行复核，若发现中标人各项报价中存在</w:t>
            </w:r>
            <w:r>
              <w:rPr>
                <w:rFonts w:hint="eastAsia"/>
                <w:highlight w:val="none"/>
                <w:lang w:val="en-US" w:eastAsia="zh-CN"/>
              </w:rPr>
              <w:t>零报价或</w:t>
            </w:r>
            <w:r>
              <w:rPr>
                <w:rFonts w:hint="eastAsia"/>
                <w:highlight w:val="none"/>
              </w:rPr>
              <w:t>负数报价的情形，</w:t>
            </w:r>
            <w:r>
              <w:rPr>
                <w:rFonts w:hint="eastAsia"/>
                <w:highlight w:val="none"/>
                <w:lang w:eastAsia="zh-CN"/>
              </w:rPr>
              <w:t>比选人</w:t>
            </w:r>
            <w:r>
              <w:rPr>
                <w:rFonts w:hint="eastAsia"/>
                <w:highlight w:val="none"/>
              </w:rPr>
              <w:t>按相关规定取消其中标资格，其投标保证金不予退还，中标人承担因此造成的相关责任并赔偿相应损失。</w:t>
            </w:r>
          </w:p>
        </w:tc>
      </w:tr>
      <w:tr w14:paraId="4F153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EF34CE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3.3.1</w:t>
            </w:r>
          </w:p>
        </w:tc>
        <w:tc>
          <w:tcPr>
            <w:tcW w:w="1644" w:type="dxa"/>
            <w:vAlign w:val="center"/>
          </w:tcPr>
          <w:p w14:paraId="630BC84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投标有效期</w:t>
            </w:r>
          </w:p>
        </w:tc>
        <w:tc>
          <w:tcPr>
            <w:tcW w:w="6490" w:type="dxa"/>
            <w:vAlign w:val="center"/>
          </w:tcPr>
          <w:p w14:paraId="521AEF0A">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ascii="宋体" w:hAnsi="宋体"/>
                <w:szCs w:val="21"/>
                <w:highlight w:val="none"/>
                <w:u w:val="single"/>
              </w:rPr>
              <w:t xml:space="preserve"> </w:t>
            </w:r>
            <w:r>
              <w:rPr>
                <w:rFonts w:hint="eastAsia" w:ascii="宋体" w:hAnsi="宋体"/>
                <w:szCs w:val="21"/>
                <w:highlight w:val="none"/>
                <w:u w:val="single"/>
                <w:lang w:val="en-US" w:eastAsia="zh-CN"/>
              </w:rPr>
              <w:t>90</w:t>
            </w:r>
            <w:r>
              <w:rPr>
                <w:rFonts w:ascii="宋体" w:hAnsi="宋体"/>
                <w:szCs w:val="21"/>
                <w:highlight w:val="none"/>
                <w:u w:val="single"/>
              </w:rPr>
              <w:t xml:space="preserve">  </w:t>
            </w:r>
            <w:r>
              <w:rPr>
                <w:rFonts w:ascii="宋体" w:hAnsi="宋体"/>
                <w:szCs w:val="21"/>
                <w:highlight w:val="none"/>
              </w:rPr>
              <w:t>日历天（从提交</w:t>
            </w:r>
            <w:r>
              <w:rPr>
                <w:rFonts w:hint="eastAsia" w:ascii="宋体" w:hAnsi="宋体"/>
                <w:szCs w:val="21"/>
                <w:highlight w:val="none"/>
                <w:lang w:eastAsia="zh-CN"/>
              </w:rPr>
              <w:t>比选申请文件</w:t>
            </w:r>
            <w:r>
              <w:rPr>
                <w:rFonts w:ascii="宋体" w:hAnsi="宋体"/>
                <w:szCs w:val="21"/>
                <w:highlight w:val="none"/>
              </w:rPr>
              <w:t>截止日起计算）</w:t>
            </w:r>
          </w:p>
        </w:tc>
      </w:tr>
      <w:tr w14:paraId="42F1F9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D49444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3.4</w:t>
            </w:r>
          </w:p>
        </w:tc>
        <w:tc>
          <w:tcPr>
            <w:tcW w:w="1644" w:type="dxa"/>
            <w:vAlign w:val="center"/>
          </w:tcPr>
          <w:p w14:paraId="6916659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投标保证金</w:t>
            </w:r>
          </w:p>
        </w:tc>
        <w:tc>
          <w:tcPr>
            <w:tcW w:w="6490" w:type="dxa"/>
            <w:vAlign w:val="center"/>
          </w:tcPr>
          <w:p w14:paraId="5E7CE14C">
            <w:pPr>
              <w:keepNext w:val="0"/>
              <w:keepLines w:val="0"/>
              <w:pageBreakBefore w:val="0"/>
              <w:kinsoku/>
              <w:wordWrap/>
              <w:overflowPunct/>
              <w:topLinePunct w:val="0"/>
              <w:bidi w:val="0"/>
              <w:snapToGrid w:val="0"/>
              <w:spacing w:line="400" w:lineRule="exact"/>
              <w:ind w:firstLine="420" w:firstLineChars="200"/>
              <w:jc w:val="left"/>
              <w:textAlignment w:val="auto"/>
              <w:rPr>
                <w:rFonts w:hint="eastAsia" w:ascii="宋体" w:hAnsi="宋体" w:eastAsia="宋体" w:cs="宋体"/>
                <w:kern w:val="0"/>
                <w:szCs w:val="21"/>
                <w:highlight w:val="none"/>
                <w:lang w:val="en-US" w:eastAsia="zh-CN"/>
              </w:rPr>
            </w:pPr>
            <w:r>
              <w:rPr>
                <w:color w:val="auto"/>
                <w:highlight w:val="none"/>
              </w:rPr>
              <w:t>是否要求</w:t>
            </w:r>
            <w:r>
              <w:rPr>
                <w:rFonts w:hint="eastAsia"/>
                <w:color w:val="auto"/>
                <w:highlight w:val="none"/>
                <w:lang w:eastAsia="zh-CN"/>
              </w:rPr>
              <w:t>比选申请人</w:t>
            </w:r>
            <w:r>
              <w:rPr>
                <w:color w:val="auto"/>
                <w:highlight w:val="none"/>
              </w:rPr>
              <w:t>递交投标保证金：</w:t>
            </w:r>
            <w:r>
              <w:rPr>
                <w:rFonts w:hint="eastAsia"/>
                <w:color w:val="auto"/>
                <w:highlight w:val="none"/>
                <w:lang w:eastAsia="zh-CN"/>
              </w:rPr>
              <w:t>☑</w:t>
            </w:r>
            <w:r>
              <w:rPr>
                <w:rFonts w:hint="eastAsia"/>
                <w:color w:val="auto"/>
                <w:highlight w:val="none"/>
              </w:rPr>
              <w:t>不</w:t>
            </w:r>
            <w:r>
              <w:rPr>
                <w:color w:val="auto"/>
                <w:highlight w:val="none"/>
              </w:rPr>
              <w:t>要求</w:t>
            </w:r>
            <w:r>
              <w:rPr>
                <w:rFonts w:hint="eastAsia"/>
                <w:color w:val="auto"/>
                <w:highlight w:val="none"/>
                <w:lang w:eastAsia="zh-CN"/>
              </w:rPr>
              <w:t>。</w:t>
            </w:r>
          </w:p>
        </w:tc>
      </w:tr>
      <w:tr w14:paraId="252A17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2E912E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3.6</w:t>
            </w:r>
          </w:p>
        </w:tc>
        <w:tc>
          <w:tcPr>
            <w:tcW w:w="1644" w:type="dxa"/>
            <w:vAlign w:val="center"/>
          </w:tcPr>
          <w:p w14:paraId="3DAF58C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是否允许递交</w:t>
            </w:r>
          </w:p>
          <w:p w14:paraId="7F19C37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备选投标方案</w:t>
            </w:r>
          </w:p>
        </w:tc>
        <w:tc>
          <w:tcPr>
            <w:tcW w:w="6490" w:type="dxa"/>
            <w:vAlign w:val="center"/>
          </w:tcPr>
          <w:p w14:paraId="484935FA">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不允许</w:t>
            </w:r>
          </w:p>
        </w:tc>
      </w:tr>
      <w:tr w14:paraId="42E9B1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E85BF9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3.7.1</w:t>
            </w:r>
          </w:p>
        </w:tc>
        <w:tc>
          <w:tcPr>
            <w:tcW w:w="1644" w:type="dxa"/>
            <w:vAlign w:val="center"/>
          </w:tcPr>
          <w:p w14:paraId="788583C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lang w:eastAsia="zh-CN"/>
              </w:rPr>
              <w:t>比选申请文件</w:t>
            </w:r>
            <w:r>
              <w:rPr>
                <w:rFonts w:hint="eastAsia" w:ascii="宋体" w:hAnsi="宋体"/>
                <w:kern w:val="0"/>
                <w:szCs w:val="21"/>
                <w:highlight w:val="none"/>
              </w:rPr>
              <w:t>格式要求</w:t>
            </w:r>
          </w:p>
        </w:tc>
        <w:tc>
          <w:tcPr>
            <w:tcW w:w="6490" w:type="dxa"/>
            <w:vAlign w:val="center"/>
          </w:tcPr>
          <w:p w14:paraId="655C7E62">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编制</w:t>
            </w:r>
            <w:r>
              <w:rPr>
                <w:rFonts w:hint="eastAsia" w:ascii="宋体" w:hAnsi="宋体"/>
                <w:kern w:val="0"/>
                <w:szCs w:val="21"/>
                <w:highlight w:val="none"/>
                <w:lang w:eastAsia="zh-CN"/>
              </w:rPr>
              <w:t>比选申请文件</w:t>
            </w:r>
            <w:r>
              <w:rPr>
                <w:rFonts w:hint="eastAsia" w:ascii="宋体" w:hAnsi="宋体"/>
                <w:kern w:val="0"/>
                <w:szCs w:val="21"/>
                <w:highlight w:val="none"/>
              </w:rPr>
              <w:t>时不得对第八章“</w:t>
            </w:r>
            <w:r>
              <w:rPr>
                <w:rFonts w:hint="eastAsia" w:ascii="宋体" w:hAnsi="宋体"/>
                <w:kern w:val="0"/>
                <w:szCs w:val="21"/>
                <w:highlight w:val="none"/>
                <w:lang w:eastAsia="zh-CN"/>
              </w:rPr>
              <w:t>比选申请文件</w:t>
            </w:r>
            <w:r>
              <w:rPr>
                <w:rFonts w:hint="eastAsia" w:ascii="宋体" w:hAnsi="宋体"/>
                <w:kern w:val="0"/>
                <w:szCs w:val="21"/>
                <w:highlight w:val="none"/>
              </w:rPr>
              <w:t>格式”的相应要素作实质性修改，否则视为重大偏差，由评标委员会作否决投标处理。</w:t>
            </w:r>
          </w:p>
        </w:tc>
      </w:tr>
      <w:tr w14:paraId="3ECA2B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1A19F9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3.7.3</w:t>
            </w:r>
          </w:p>
        </w:tc>
        <w:tc>
          <w:tcPr>
            <w:tcW w:w="1644" w:type="dxa"/>
            <w:vAlign w:val="center"/>
          </w:tcPr>
          <w:p w14:paraId="52C616B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签名</w:t>
            </w:r>
            <w:r>
              <w:rPr>
                <w:rFonts w:ascii="宋体" w:hAnsi="宋体"/>
                <w:kern w:val="0"/>
                <w:szCs w:val="21"/>
                <w:highlight w:val="none"/>
              </w:rPr>
              <w:t>盖章要求</w:t>
            </w:r>
          </w:p>
        </w:tc>
        <w:tc>
          <w:tcPr>
            <w:tcW w:w="6490" w:type="dxa"/>
            <w:vAlign w:val="center"/>
          </w:tcPr>
          <w:p w14:paraId="56AF8CD5">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比选申请文件</w:t>
            </w:r>
            <w:r>
              <w:rPr>
                <w:rFonts w:hint="eastAsia" w:ascii="宋体" w:hAnsi="宋体" w:eastAsia="宋体" w:cs="Times New Roman"/>
                <w:color w:val="auto"/>
                <w:szCs w:val="21"/>
                <w:highlight w:val="none"/>
              </w:rPr>
              <w:t>应用不褪色的材料书写或打印，并由</w:t>
            </w:r>
            <w:r>
              <w:rPr>
                <w:rFonts w:hint="eastAsia" w:ascii="宋体" w:hAnsi="宋体" w:cs="Times New Roman"/>
                <w:color w:val="auto"/>
                <w:szCs w:val="21"/>
                <w:highlight w:val="none"/>
                <w:lang w:eastAsia="zh-CN"/>
              </w:rPr>
              <w:t>比选申请人</w:t>
            </w:r>
            <w:r>
              <w:rPr>
                <w:rFonts w:hint="eastAsia" w:ascii="宋体" w:hAnsi="宋体" w:eastAsia="宋体" w:cs="Times New Roman"/>
                <w:color w:val="auto"/>
                <w:szCs w:val="21"/>
                <w:highlight w:val="none"/>
              </w:rPr>
              <w:t>的法定代表人或其委托代理人在</w:t>
            </w:r>
            <w:r>
              <w:rPr>
                <w:rFonts w:hint="eastAsia" w:ascii="宋体" w:hAnsi="宋体" w:cs="Times New Roman"/>
                <w:color w:val="auto"/>
                <w:szCs w:val="21"/>
                <w:highlight w:val="none"/>
                <w:lang w:eastAsia="zh-CN"/>
              </w:rPr>
              <w:t>竞争性比选文件</w:t>
            </w:r>
            <w:r>
              <w:rPr>
                <w:rFonts w:hint="eastAsia" w:ascii="宋体" w:hAnsi="宋体" w:eastAsia="宋体" w:cs="Times New Roman"/>
                <w:color w:val="auto"/>
                <w:szCs w:val="21"/>
                <w:highlight w:val="none"/>
              </w:rPr>
              <w:t>规定的位置按</w:t>
            </w:r>
            <w:r>
              <w:rPr>
                <w:rFonts w:hint="eastAsia" w:ascii="宋体" w:hAnsi="宋体" w:cs="Times New Roman"/>
                <w:color w:val="auto"/>
                <w:szCs w:val="21"/>
                <w:highlight w:val="none"/>
                <w:lang w:eastAsia="zh-CN"/>
              </w:rPr>
              <w:t>竞争性比选文件</w:t>
            </w:r>
            <w:r>
              <w:rPr>
                <w:rFonts w:hint="eastAsia" w:ascii="宋体" w:hAnsi="宋体" w:eastAsia="宋体" w:cs="Times New Roman"/>
                <w:color w:val="auto"/>
                <w:szCs w:val="21"/>
                <w:highlight w:val="none"/>
              </w:rPr>
              <w:t>要求签名或盖章、盖单位法人章。委托代理人签名的，</w:t>
            </w:r>
            <w:r>
              <w:rPr>
                <w:rFonts w:hint="eastAsia" w:ascii="宋体" w:hAnsi="宋体" w:cs="Times New Roman"/>
                <w:color w:val="auto"/>
                <w:szCs w:val="21"/>
                <w:highlight w:val="none"/>
                <w:lang w:eastAsia="zh-CN"/>
              </w:rPr>
              <w:t>比选申请文件</w:t>
            </w:r>
            <w:r>
              <w:rPr>
                <w:rFonts w:hint="eastAsia" w:ascii="宋体" w:hAnsi="宋体" w:eastAsia="宋体" w:cs="Times New Roman"/>
                <w:color w:val="auto"/>
                <w:szCs w:val="21"/>
                <w:highlight w:val="none"/>
              </w:rPr>
              <w:t>应附法定代表人签署的授权委托书。</w:t>
            </w:r>
            <w:r>
              <w:rPr>
                <w:rFonts w:hint="eastAsia" w:ascii="宋体" w:hAnsi="宋体" w:cs="Times New Roman"/>
                <w:color w:val="auto"/>
                <w:szCs w:val="21"/>
                <w:highlight w:val="none"/>
                <w:lang w:eastAsia="zh-CN"/>
              </w:rPr>
              <w:t>比选申请文件</w:t>
            </w:r>
            <w:r>
              <w:rPr>
                <w:rFonts w:hint="eastAsia" w:ascii="宋体" w:hAnsi="宋体" w:eastAsia="宋体" w:cs="Times New Roman"/>
                <w:color w:val="auto"/>
                <w:szCs w:val="21"/>
                <w:highlight w:val="none"/>
              </w:rPr>
              <w:t>应尽量避免涂改、行间插字或删除。如果出现上述情况，改动之处应加盖单位法人章或由</w:t>
            </w:r>
            <w:r>
              <w:rPr>
                <w:rFonts w:hint="eastAsia" w:ascii="宋体" w:hAnsi="宋体" w:cs="Times New Roman"/>
                <w:color w:val="auto"/>
                <w:szCs w:val="21"/>
                <w:highlight w:val="none"/>
                <w:lang w:eastAsia="zh-CN"/>
              </w:rPr>
              <w:t>比选申请人</w:t>
            </w:r>
            <w:r>
              <w:rPr>
                <w:rFonts w:hint="eastAsia" w:ascii="宋体" w:hAnsi="宋体" w:eastAsia="宋体" w:cs="Times New Roman"/>
                <w:color w:val="auto"/>
                <w:szCs w:val="21"/>
                <w:highlight w:val="none"/>
              </w:rPr>
              <w:t>的法定代表人或其授权的代理人签名确认。</w:t>
            </w:r>
          </w:p>
          <w:p w14:paraId="15B81052">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未按上述规定执行的，交由评标委员会作否决投标处理。</w:t>
            </w:r>
          </w:p>
        </w:tc>
      </w:tr>
      <w:tr w14:paraId="636C85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274E47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3.7.4</w:t>
            </w:r>
          </w:p>
        </w:tc>
        <w:tc>
          <w:tcPr>
            <w:tcW w:w="1644" w:type="dxa"/>
            <w:vAlign w:val="center"/>
          </w:tcPr>
          <w:p w14:paraId="6A9A725A">
            <w:pPr>
              <w:keepNext w:val="0"/>
              <w:keepLines w:val="0"/>
              <w:pageBreakBefore w:val="0"/>
              <w:kinsoku/>
              <w:wordWrap/>
              <w:overflowPunct/>
              <w:topLinePunct w:val="0"/>
              <w:bidi w:val="0"/>
              <w:snapToGrid w:val="0"/>
              <w:spacing w:line="400" w:lineRule="exact"/>
              <w:textAlignment w:val="auto"/>
              <w:rPr>
                <w:rFonts w:ascii="宋体" w:hAnsi="宋体"/>
                <w:spacing w:val="-6"/>
                <w:kern w:val="0"/>
                <w:szCs w:val="21"/>
                <w:highlight w:val="none"/>
              </w:rPr>
            </w:pPr>
            <w:r>
              <w:rPr>
                <w:rFonts w:hint="eastAsia" w:ascii="宋体" w:hAnsi="宋体"/>
                <w:spacing w:val="-6"/>
                <w:kern w:val="0"/>
                <w:szCs w:val="21"/>
                <w:highlight w:val="none"/>
                <w:lang w:eastAsia="zh-CN"/>
              </w:rPr>
              <w:t>比选申请文件</w:t>
            </w:r>
            <w:r>
              <w:rPr>
                <w:rFonts w:ascii="宋体" w:hAnsi="宋体"/>
                <w:spacing w:val="-6"/>
                <w:kern w:val="0"/>
                <w:szCs w:val="21"/>
                <w:highlight w:val="none"/>
              </w:rPr>
              <w:t>的份数</w:t>
            </w:r>
          </w:p>
        </w:tc>
        <w:tc>
          <w:tcPr>
            <w:tcW w:w="6490" w:type="dxa"/>
            <w:vAlign w:val="center"/>
          </w:tcPr>
          <w:p w14:paraId="7EB44E08">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i/>
                <w:kern w:val="0"/>
                <w:szCs w:val="21"/>
                <w:highlight w:val="none"/>
              </w:rPr>
            </w:pPr>
            <w:r>
              <w:rPr>
                <w:rFonts w:hint="eastAsia" w:ascii="宋体" w:hAnsi="宋体" w:cs="Times New Roman"/>
                <w:color w:val="auto"/>
                <w:kern w:val="0"/>
                <w:szCs w:val="21"/>
                <w:highlight w:val="none"/>
                <w:lang w:eastAsia="zh-CN"/>
              </w:rPr>
              <w:t>比选申请文件</w:t>
            </w:r>
            <w:r>
              <w:rPr>
                <w:rFonts w:ascii="宋体" w:hAnsi="宋体" w:eastAsia="宋体" w:cs="Times New Roman"/>
                <w:color w:val="auto"/>
                <w:kern w:val="0"/>
                <w:szCs w:val="21"/>
                <w:highlight w:val="none"/>
              </w:rPr>
              <w:t>正本</w:t>
            </w:r>
            <w:r>
              <w:rPr>
                <w:rFonts w:hint="eastAsia" w:ascii="宋体" w:hAnsi="宋体" w:eastAsia="宋体" w:cs="Times New Roman"/>
                <w:color w:val="auto"/>
                <w:kern w:val="0"/>
                <w:szCs w:val="21"/>
                <w:highlight w:val="none"/>
              </w:rPr>
              <w:t>1份、副本2份，电子版形式（光盘）1份，</w:t>
            </w:r>
            <w:r>
              <w:rPr>
                <w:rFonts w:ascii="宋体" w:hAnsi="宋体" w:eastAsia="宋体" w:cs="Times New Roman"/>
                <w:snapToGrid w:val="0"/>
                <w:color w:val="auto"/>
                <w:kern w:val="0"/>
                <w:szCs w:val="21"/>
                <w:highlight w:val="none"/>
              </w:rPr>
              <w:t>《</w:t>
            </w:r>
            <w:r>
              <w:rPr>
                <w:rFonts w:hint="eastAsia" w:ascii="宋体" w:hAnsi="宋体" w:eastAsia="宋体" w:cs="Times New Roman"/>
                <w:snapToGrid w:val="0"/>
                <w:color w:val="auto"/>
                <w:kern w:val="0"/>
                <w:szCs w:val="21"/>
                <w:highlight w:val="none"/>
              </w:rPr>
              <w:t>技术方案</w:t>
            </w:r>
            <w:r>
              <w:rPr>
                <w:rFonts w:ascii="宋体" w:hAnsi="宋体" w:eastAsia="宋体" w:cs="Times New Roman"/>
                <w:snapToGrid w:val="0"/>
                <w:color w:val="auto"/>
                <w:kern w:val="0"/>
                <w:szCs w:val="21"/>
                <w:highlight w:val="none"/>
              </w:rPr>
              <w:t>》不分正副本</w:t>
            </w:r>
            <w:r>
              <w:rPr>
                <w:rFonts w:hint="eastAsia" w:ascii="宋体" w:hAnsi="宋体" w:eastAsia="宋体" w:cs="Times New Roman"/>
                <w:color w:val="auto"/>
                <w:kern w:val="0"/>
                <w:szCs w:val="21"/>
                <w:highlight w:val="none"/>
              </w:rPr>
              <w:t>。当副本和正本不一致时，以正本为准。否则由评标委员会作否决投标处理。</w:t>
            </w:r>
          </w:p>
        </w:tc>
      </w:tr>
      <w:tr w14:paraId="23A3A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5" w:type="dxa"/>
            <w:vAlign w:val="center"/>
          </w:tcPr>
          <w:p w14:paraId="7D181415">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3.7.5</w:t>
            </w:r>
          </w:p>
        </w:tc>
        <w:tc>
          <w:tcPr>
            <w:tcW w:w="1644" w:type="dxa"/>
            <w:vAlign w:val="center"/>
          </w:tcPr>
          <w:p w14:paraId="600B26F7">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编制</w:t>
            </w:r>
            <w:r>
              <w:rPr>
                <w:rFonts w:ascii="宋体" w:hAnsi="宋体"/>
                <w:kern w:val="0"/>
                <w:szCs w:val="21"/>
                <w:highlight w:val="none"/>
              </w:rPr>
              <w:t>要求</w:t>
            </w:r>
          </w:p>
        </w:tc>
        <w:tc>
          <w:tcPr>
            <w:tcW w:w="6490" w:type="dxa"/>
            <w:vAlign w:val="center"/>
          </w:tcPr>
          <w:p w14:paraId="1F36403F">
            <w:pPr>
              <w:keepNext w:val="0"/>
              <w:keepLines w:val="0"/>
              <w:pageBreakBefore w:val="0"/>
              <w:kinsoku/>
              <w:wordWrap/>
              <w:overflowPunct/>
              <w:topLinePunct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具体要求：</w:t>
            </w:r>
          </w:p>
          <w:p w14:paraId="5EF3CEE8">
            <w:pPr>
              <w:keepNext w:val="0"/>
              <w:keepLines w:val="0"/>
              <w:pageBreakBefore w:val="0"/>
              <w:kinsoku/>
              <w:wordWrap/>
              <w:overflowPunct/>
              <w:topLinePunct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（1）投标函部分</w:t>
            </w:r>
          </w:p>
          <w:p w14:paraId="002529C6">
            <w:pPr>
              <w:keepNext w:val="0"/>
              <w:keepLines w:val="0"/>
              <w:pageBreakBefore w:val="0"/>
              <w:kinsoku/>
              <w:wordWrap/>
              <w:overflowPunct/>
              <w:topLinePunct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应按照第八章规定格式排版，</w:t>
            </w:r>
            <w:r>
              <w:rPr>
                <w:rFonts w:hint="eastAsia" w:asciiTheme="minorEastAsia" w:hAnsiTheme="minorEastAsia" w:eastAsiaTheme="minorEastAsia" w:cstheme="minorEastAsia"/>
                <w:color w:val="auto"/>
                <w:szCs w:val="21"/>
                <w:highlight w:val="none"/>
                <w:lang w:val="en-US" w:eastAsia="zh-CN"/>
              </w:rPr>
              <w:t>原则上</w:t>
            </w:r>
            <w:r>
              <w:rPr>
                <w:rFonts w:hint="eastAsia" w:ascii="宋体" w:hAnsi="宋体"/>
                <w:szCs w:val="21"/>
                <w:highlight w:val="none"/>
              </w:rPr>
              <w:t>应编制目录</w:t>
            </w:r>
            <w:r>
              <w:rPr>
                <w:rFonts w:hint="eastAsia" w:asciiTheme="minorEastAsia" w:hAnsiTheme="minorEastAsia" w:eastAsiaTheme="minorEastAsia" w:cstheme="minorEastAsia"/>
                <w:szCs w:val="21"/>
                <w:highlight w:val="none"/>
              </w:rPr>
              <w:t>，但不得将目录编制作为评审因素</w:t>
            </w:r>
            <w:r>
              <w:rPr>
                <w:rFonts w:hint="eastAsia" w:ascii="宋体" w:hAnsi="宋体"/>
                <w:szCs w:val="21"/>
                <w:highlight w:val="none"/>
              </w:rPr>
              <w:t>。</w:t>
            </w:r>
          </w:p>
          <w:p w14:paraId="412B3704">
            <w:pPr>
              <w:keepNext w:val="0"/>
              <w:keepLines w:val="0"/>
              <w:pageBreakBefore w:val="0"/>
              <w:kinsoku/>
              <w:wordWrap/>
              <w:overflowPunct/>
              <w:topLinePunct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报价</w:t>
            </w:r>
            <w:r>
              <w:rPr>
                <w:rFonts w:hint="eastAsia" w:ascii="宋体" w:hAnsi="宋体"/>
                <w:szCs w:val="21"/>
                <w:highlight w:val="none"/>
              </w:rPr>
              <w:t>部分</w:t>
            </w:r>
          </w:p>
          <w:p w14:paraId="4D9F7539">
            <w:pPr>
              <w:keepNext w:val="0"/>
              <w:keepLines w:val="0"/>
              <w:pageBreakBefore w:val="0"/>
              <w:kinsoku/>
              <w:wordWrap/>
              <w:overflowPunct/>
              <w:topLinePunct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应按照第八章规定格式排版，</w:t>
            </w:r>
            <w:r>
              <w:rPr>
                <w:rFonts w:hint="eastAsia" w:asciiTheme="minorEastAsia" w:hAnsiTheme="minorEastAsia" w:eastAsiaTheme="minorEastAsia" w:cstheme="minorEastAsia"/>
                <w:color w:val="auto"/>
                <w:szCs w:val="21"/>
                <w:highlight w:val="none"/>
                <w:lang w:val="en-US" w:eastAsia="zh-CN"/>
              </w:rPr>
              <w:t>原则上</w:t>
            </w:r>
            <w:r>
              <w:rPr>
                <w:rFonts w:hint="eastAsia" w:ascii="宋体" w:hAnsi="宋体"/>
                <w:szCs w:val="21"/>
                <w:highlight w:val="none"/>
              </w:rPr>
              <w:t>应编制目录</w:t>
            </w:r>
            <w:r>
              <w:rPr>
                <w:rFonts w:hint="eastAsia" w:asciiTheme="minorEastAsia" w:hAnsiTheme="minorEastAsia" w:eastAsiaTheme="minorEastAsia" w:cstheme="minorEastAsia"/>
                <w:szCs w:val="21"/>
                <w:highlight w:val="none"/>
              </w:rPr>
              <w:t>，但不得将目录编制作为评审因素</w:t>
            </w:r>
            <w:r>
              <w:rPr>
                <w:rFonts w:hint="eastAsia" w:ascii="宋体" w:hAnsi="宋体"/>
                <w:szCs w:val="21"/>
                <w:highlight w:val="none"/>
              </w:rPr>
              <w:t>。</w:t>
            </w:r>
          </w:p>
          <w:p w14:paraId="6809AD30">
            <w:pPr>
              <w:keepNext w:val="0"/>
              <w:keepLines w:val="0"/>
              <w:pageBreakBefore w:val="0"/>
              <w:kinsoku/>
              <w:wordWrap/>
              <w:overflowPunct/>
              <w:topLinePunct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3</w:t>
            </w:r>
            <w:r>
              <w:rPr>
                <w:rFonts w:hint="eastAsia" w:ascii="宋体" w:hAnsi="宋体"/>
                <w:szCs w:val="21"/>
                <w:highlight w:val="none"/>
              </w:rPr>
              <w:t>）技术部分</w:t>
            </w:r>
          </w:p>
          <w:p w14:paraId="037847C9">
            <w:pPr>
              <w:keepNext w:val="0"/>
              <w:keepLines w:val="0"/>
              <w:pageBreakBefore w:val="0"/>
              <w:kinsoku/>
              <w:wordWrap/>
              <w:overflowPunct/>
              <w:topLinePunct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技术暗标不设封面，整个《技术方案》均不得出现白页和倒页；不得出现与本工程无关的内容；不得显示与</w:t>
            </w:r>
            <w:r>
              <w:rPr>
                <w:rFonts w:hint="eastAsia" w:ascii="宋体" w:hAnsi="宋体"/>
                <w:szCs w:val="21"/>
                <w:highlight w:val="none"/>
                <w:lang w:eastAsia="zh-CN"/>
              </w:rPr>
              <w:t>比选申请人</w:t>
            </w:r>
            <w:r>
              <w:rPr>
                <w:rFonts w:hint="eastAsia" w:ascii="宋体" w:hAnsi="宋体"/>
                <w:szCs w:val="21"/>
                <w:highlight w:val="none"/>
              </w:rPr>
              <w:t>企业有关的任何信息；《技术方案》文本部分的文字采用四号仿宋字体，文本部分采用A4页面；图表内的字体、字号大小不限，图表部分采用A3或A4页面；文字、图表不得使用彩色和不得编制页码。违反上述任何一项，采用综合评估法的其</w:t>
            </w:r>
            <w:r>
              <w:rPr>
                <w:rFonts w:hint="eastAsia" w:ascii="宋体" w:hAnsi="宋体"/>
                <w:szCs w:val="21"/>
                <w:highlight w:val="none"/>
                <w:lang w:eastAsia="zh-CN"/>
              </w:rPr>
              <w:t>比选申请文件</w:t>
            </w:r>
            <w:r>
              <w:rPr>
                <w:rFonts w:hint="eastAsia" w:ascii="宋体" w:hAnsi="宋体"/>
                <w:szCs w:val="21"/>
                <w:highlight w:val="none"/>
              </w:rPr>
              <w:t>《技术方案》部分为零分。</w:t>
            </w:r>
          </w:p>
          <w:p w14:paraId="16EF1D25">
            <w:pPr>
              <w:keepNext w:val="0"/>
              <w:keepLines w:val="0"/>
              <w:pageBreakBefore w:val="0"/>
              <w:kinsoku/>
              <w:wordWrap/>
              <w:overflowPunct/>
              <w:topLinePunct w:val="0"/>
              <w:bidi w:val="0"/>
              <w:adjustRightInd w:val="0"/>
              <w:snapToGrid w:val="0"/>
              <w:spacing w:line="400" w:lineRule="exact"/>
              <w:ind w:firstLine="420" w:firstLineChars="200"/>
              <w:textAlignment w:val="auto"/>
              <w:rPr>
                <w:rStyle w:val="21"/>
                <w:highlight w:val="none"/>
              </w:rPr>
            </w:pPr>
            <w:r>
              <w:rPr>
                <w:rFonts w:hint="eastAsia" w:ascii="宋体" w:hAnsi="宋体"/>
                <w:szCs w:val="21"/>
                <w:highlight w:val="none"/>
              </w:rPr>
              <w:t>（技术方案原则上不超过</w:t>
            </w:r>
            <w:r>
              <w:rPr>
                <w:rFonts w:hint="eastAsia" w:ascii="宋体" w:hAnsi="宋体"/>
                <w:szCs w:val="21"/>
                <w:highlight w:val="none"/>
                <w:u w:val="single"/>
              </w:rPr>
              <w:t xml:space="preserve">  </w:t>
            </w:r>
            <w:r>
              <w:rPr>
                <w:rFonts w:hint="eastAsia" w:ascii="宋体" w:hAnsi="宋体"/>
                <w:szCs w:val="21"/>
                <w:highlight w:val="none"/>
                <w:u w:val="single"/>
                <w:lang w:val="en-US" w:eastAsia="zh-CN"/>
              </w:rPr>
              <w:t>200</w:t>
            </w:r>
            <w:r>
              <w:rPr>
                <w:rFonts w:hint="eastAsia" w:ascii="宋体" w:hAnsi="宋体"/>
                <w:szCs w:val="21"/>
                <w:highlight w:val="none"/>
                <w:u w:val="single"/>
              </w:rPr>
              <w:t xml:space="preserve">  </w:t>
            </w:r>
            <w:r>
              <w:rPr>
                <w:rFonts w:hint="eastAsia" w:ascii="宋体" w:hAnsi="宋体"/>
                <w:szCs w:val="21"/>
                <w:highlight w:val="none"/>
              </w:rPr>
              <w:t>页</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但不得将页数作为评审因素</w:t>
            </w:r>
            <w:r>
              <w:rPr>
                <w:rFonts w:hint="eastAsia" w:ascii="宋体" w:hAnsi="宋体"/>
                <w:szCs w:val="21"/>
                <w:highlight w:val="none"/>
              </w:rPr>
              <w:t>。）</w:t>
            </w:r>
          </w:p>
          <w:p w14:paraId="2477A22B">
            <w:pPr>
              <w:keepNext w:val="0"/>
              <w:keepLines w:val="0"/>
              <w:pageBreakBefore w:val="0"/>
              <w:kinsoku/>
              <w:wordWrap/>
              <w:overflowPunct/>
              <w:topLinePunct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szCs w:val="21"/>
                <w:highlight w:val="none"/>
              </w:rPr>
              <w:t>（</w:t>
            </w:r>
            <w:r>
              <w:rPr>
                <w:rFonts w:hint="eastAsia" w:ascii="宋体" w:hAnsi="宋体"/>
                <w:szCs w:val="21"/>
                <w:highlight w:val="none"/>
                <w:lang w:val="en-US" w:eastAsia="zh-CN"/>
              </w:rPr>
              <w:t>4</w:t>
            </w:r>
            <w:r>
              <w:rPr>
                <w:rFonts w:hint="eastAsia" w:ascii="宋体" w:hAnsi="宋体"/>
                <w:szCs w:val="21"/>
                <w:highlight w:val="none"/>
              </w:rPr>
              <w:t>）资格审查部分</w:t>
            </w:r>
          </w:p>
          <w:p w14:paraId="749D8B8D">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ascii="宋体" w:hAnsi="宋体"/>
                <w:szCs w:val="21"/>
                <w:highlight w:val="none"/>
              </w:rPr>
            </w:pPr>
            <w:r>
              <w:rPr>
                <w:rFonts w:hint="eastAsia" w:ascii="宋体" w:hAnsi="宋体"/>
                <w:szCs w:val="21"/>
                <w:highlight w:val="none"/>
              </w:rPr>
              <w:t>应按照第八章规定格式排版，</w:t>
            </w:r>
            <w:r>
              <w:rPr>
                <w:rFonts w:hint="eastAsia" w:asciiTheme="minorEastAsia" w:hAnsiTheme="minorEastAsia" w:eastAsiaTheme="minorEastAsia" w:cstheme="minorEastAsia"/>
                <w:color w:val="auto"/>
                <w:szCs w:val="21"/>
                <w:highlight w:val="none"/>
                <w:lang w:val="en-US" w:eastAsia="zh-CN"/>
              </w:rPr>
              <w:t>原则上</w:t>
            </w:r>
            <w:r>
              <w:rPr>
                <w:rFonts w:hint="eastAsia" w:ascii="宋体" w:hAnsi="宋体"/>
                <w:szCs w:val="21"/>
                <w:highlight w:val="none"/>
              </w:rPr>
              <w:t>应编制目录</w:t>
            </w:r>
            <w:r>
              <w:rPr>
                <w:rFonts w:hint="eastAsia" w:asciiTheme="minorEastAsia" w:hAnsiTheme="minorEastAsia" w:eastAsiaTheme="minorEastAsia" w:cstheme="minorEastAsia"/>
                <w:szCs w:val="21"/>
                <w:highlight w:val="none"/>
              </w:rPr>
              <w:t>，但不得将目录编制作为评审因素</w:t>
            </w:r>
            <w:r>
              <w:rPr>
                <w:rFonts w:hint="eastAsia" w:ascii="宋体" w:hAnsi="宋体"/>
                <w:szCs w:val="21"/>
                <w:highlight w:val="none"/>
              </w:rPr>
              <w:t>。</w:t>
            </w:r>
          </w:p>
          <w:p w14:paraId="54381714">
            <w:pPr>
              <w:keepNext w:val="0"/>
              <w:keepLines w:val="0"/>
              <w:pageBreakBefore w:val="0"/>
              <w:kinsoku/>
              <w:wordWrap/>
              <w:overflowPunct/>
              <w:topLinePunct w:val="0"/>
              <w:bidi w:val="0"/>
              <w:adjustRightInd w:val="0"/>
              <w:snapToGrid w:val="0"/>
              <w:spacing w:line="400" w:lineRule="exact"/>
              <w:ind w:firstLine="420" w:firstLineChars="200"/>
              <w:textAlignment w:val="auto"/>
              <w:rPr>
                <w:rStyle w:val="21"/>
                <w:highlight w:val="none"/>
              </w:rPr>
            </w:pPr>
            <w:r>
              <w:rPr>
                <w:rFonts w:hint="eastAsia" w:ascii="宋体" w:hAnsi="宋体"/>
                <w:szCs w:val="21"/>
                <w:highlight w:val="none"/>
                <w:lang w:val="en-US" w:eastAsia="zh-CN"/>
              </w:rPr>
              <w:t>注：比选申请人应按照竞争性比选文件要求，在比选申请文件的对应部分提供相关资料（如在资格审查部分提供竞争性比选文件</w:t>
            </w:r>
            <w:r>
              <w:rPr>
                <w:rFonts w:hint="eastAsia" w:ascii="宋体" w:hAnsi="宋体"/>
                <w:szCs w:val="21"/>
                <w:highlight w:val="none"/>
              </w:rPr>
              <w:t>第二章</w:t>
            </w:r>
            <w:r>
              <w:rPr>
                <w:rFonts w:hint="eastAsia" w:ascii="宋体" w:hAnsi="宋体"/>
                <w:szCs w:val="21"/>
                <w:highlight w:val="none"/>
                <w:lang w:eastAsia="zh-CN"/>
              </w:rPr>
              <w:t>比选申请人</w:t>
            </w:r>
            <w:r>
              <w:rPr>
                <w:rFonts w:hint="eastAsia" w:ascii="宋体" w:hAnsi="宋体"/>
                <w:szCs w:val="21"/>
                <w:highlight w:val="none"/>
              </w:rPr>
              <w:t>须知前附表第1.4.1项</w:t>
            </w:r>
            <w:r>
              <w:rPr>
                <w:rFonts w:hint="eastAsia" w:ascii="宋体" w:hAnsi="宋体"/>
                <w:szCs w:val="21"/>
                <w:highlight w:val="none"/>
                <w:lang w:val="en-US" w:eastAsia="zh-CN"/>
              </w:rPr>
              <w:t>和</w:t>
            </w:r>
            <w:r>
              <w:rPr>
                <w:rFonts w:hint="eastAsia" w:ascii="宋体" w:hAnsi="宋体"/>
                <w:szCs w:val="21"/>
                <w:highlight w:val="none"/>
              </w:rPr>
              <w:t>第3.4款要求提供的资料</w:t>
            </w:r>
            <w:r>
              <w:rPr>
                <w:rFonts w:hint="eastAsia" w:ascii="宋体" w:hAnsi="宋体"/>
                <w:szCs w:val="21"/>
                <w:highlight w:val="none"/>
                <w:lang w:val="en-US" w:eastAsia="zh-CN"/>
              </w:rPr>
              <w:t>，</w:t>
            </w:r>
            <w:r>
              <w:rPr>
                <w:rFonts w:hint="eastAsia" w:ascii="宋体" w:hAnsi="宋体"/>
                <w:szCs w:val="21"/>
                <w:highlight w:val="none"/>
              </w:rPr>
              <w:t>在技术部分提供</w:t>
            </w:r>
            <w:r>
              <w:rPr>
                <w:rFonts w:hint="eastAsia" w:ascii="宋体" w:hAnsi="宋体"/>
                <w:szCs w:val="21"/>
                <w:highlight w:val="none"/>
                <w:lang w:eastAsia="zh-CN"/>
              </w:rPr>
              <w:t>竞争性比选文件</w:t>
            </w:r>
            <w:r>
              <w:rPr>
                <w:rFonts w:hint="eastAsia" w:ascii="宋体" w:hAnsi="宋体"/>
                <w:szCs w:val="21"/>
                <w:highlight w:val="none"/>
              </w:rPr>
              <w:t>第三章评标办法前附表中技术评审标准要求提供的资料</w:t>
            </w:r>
            <w:r>
              <w:rPr>
                <w:rFonts w:hint="eastAsia" w:ascii="宋体" w:hAnsi="宋体"/>
                <w:szCs w:val="21"/>
                <w:highlight w:val="none"/>
                <w:lang w:val="en-US" w:eastAsia="zh-CN"/>
              </w:rPr>
              <w:t>），否则视为未提供。</w:t>
            </w:r>
          </w:p>
        </w:tc>
      </w:tr>
      <w:tr w14:paraId="66C535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1DFBF9F">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4.1.1</w:t>
            </w:r>
          </w:p>
        </w:tc>
        <w:tc>
          <w:tcPr>
            <w:tcW w:w="1644" w:type="dxa"/>
            <w:vAlign w:val="center"/>
          </w:tcPr>
          <w:p w14:paraId="27E40C32">
            <w:pPr>
              <w:keepNext w:val="0"/>
              <w:keepLines w:val="0"/>
              <w:pageBreakBefore w:val="0"/>
              <w:kinsoku/>
              <w:wordWrap/>
              <w:overflowPunct/>
              <w:topLinePunct w:val="0"/>
              <w:bidi w:val="0"/>
              <w:snapToGrid w:val="0"/>
              <w:spacing w:line="400" w:lineRule="exact"/>
              <w:jc w:val="center"/>
              <w:textAlignment w:val="auto"/>
              <w:rPr>
                <w:rFonts w:ascii="宋体" w:hAnsi="宋体"/>
                <w:spacing w:val="-6"/>
                <w:kern w:val="0"/>
                <w:szCs w:val="21"/>
                <w:highlight w:val="none"/>
              </w:rPr>
            </w:pPr>
            <w:r>
              <w:rPr>
                <w:rFonts w:hint="eastAsia" w:ascii="宋体" w:hAnsi="宋体"/>
                <w:spacing w:val="-6"/>
                <w:kern w:val="0"/>
                <w:szCs w:val="21"/>
                <w:highlight w:val="none"/>
                <w:lang w:eastAsia="zh-CN"/>
              </w:rPr>
              <w:t>比选申请文件</w:t>
            </w:r>
            <w:r>
              <w:rPr>
                <w:rFonts w:ascii="宋体" w:hAnsi="宋体"/>
                <w:spacing w:val="-6"/>
                <w:kern w:val="0"/>
                <w:szCs w:val="21"/>
                <w:highlight w:val="none"/>
              </w:rPr>
              <w:t>的密封</w:t>
            </w:r>
          </w:p>
        </w:tc>
        <w:tc>
          <w:tcPr>
            <w:tcW w:w="6490" w:type="dxa"/>
            <w:vAlign w:val="center"/>
          </w:tcPr>
          <w:p w14:paraId="63469482">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1.比选申请文件袋使用“投标函部分”袋、“技术部分”袋（如有）、“资格审查部分”袋以及“比选申请文件”大袋。</w:t>
            </w:r>
          </w:p>
          <w:p w14:paraId="3CD54A71">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2.投标函部分和电子版形式（光盘）装入“投标函部分”袋中，密封并在袋上加盖比选申请人单位法人章。</w:t>
            </w:r>
          </w:p>
          <w:p w14:paraId="51D25E1C">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3.本次比选技术部分采用暗标评审，技术部分装入“技术部分”袋中密封。</w:t>
            </w:r>
          </w:p>
          <w:p w14:paraId="0E714B91">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4.资格审查部分装入“资格审查部分”袋中，密封并在袋上加盖比选申请人单位法人章。</w:t>
            </w:r>
          </w:p>
          <w:p w14:paraId="2B6CA2AA">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5.“投标函部分”、“技术部分”、“资格审查部分”等小袋装入“比选申请文件”大袋中，密封并在大袋上加盖比选申请人单位法人章，同时“比选申请文件”大袋应按本表第4.1.2项的规定写明相应内容。一个大袋装不下的，可使用多个大袋分册封装。大袋未按要求密封的，比选人或代理机构将拒收。</w:t>
            </w:r>
          </w:p>
          <w:p w14:paraId="79994496">
            <w:pPr>
              <w:keepNext w:val="0"/>
              <w:keepLines w:val="0"/>
              <w:pageBreakBefore w:val="0"/>
              <w:kinsoku/>
              <w:wordWrap/>
              <w:overflowPunct/>
              <w:topLinePunct w:val="0"/>
              <w:bidi w:val="0"/>
              <w:adjustRightInd w:val="0"/>
              <w:snapToGrid w:val="0"/>
              <w:spacing w:line="400" w:lineRule="exact"/>
              <w:ind w:firstLine="420" w:firstLineChars="200"/>
              <w:textAlignment w:val="auto"/>
              <w:rPr>
                <w:rFonts w:hint="eastAsia" w:ascii="宋体" w:hAnsi="宋体" w:eastAsia="宋体"/>
                <w:szCs w:val="21"/>
                <w:highlight w:val="none"/>
                <w:lang w:eastAsia="zh-CN"/>
              </w:rPr>
            </w:pPr>
            <w:r>
              <w:rPr>
                <w:rFonts w:hint="eastAsia" w:ascii="宋体" w:hAnsi="宋体" w:eastAsia="宋体" w:cs="Times New Roman"/>
                <w:szCs w:val="21"/>
                <w:highlight w:val="none"/>
                <w:lang w:val="en-US" w:eastAsia="zh-CN"/>
              </w:rPr>
              <w:t>注：“投标函部分”袋、“技术部分”袋、“资格审查部分”袋只为方便比选申请文件分装，不作为判定密封合格与否的条件。但为了方便开标，请各比选申请人主动配合，按要求分装。</w:t>
            </w:r>
          </w:p>
        </w:tc>
      </w:tr>
      <w:tr w14:paraId="4AA684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4F3AFA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4.1.2</w:t>
            </w:r>
          </w:p>
        </w:tc>
        <w:tc>
          <w:tcPr>
            <w:tcW w:w="1644" w:type="dxa"/>
            <w:vAlign w:val="center"/>
          </w:tcPr>
          <w:p w14:paraId="324257E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封套上写明</w:t>
            </w:r>
          </w:p>
        </w:tc>
        <w:tc>
          <w:tcPr>
            <w:tcW w:w="6490" w:type="dxa"/>
            <w:vAlign w:val="center"/>
          </w:tcPr>
          <w:p w14:paraId="31A05945">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应在</w:t>
            </w:r>
            <w:r>
              <w:rPr>
                <w:rFonts w:ascii="宋体" w:hAnsi="宋体"/>
                <w:szCs w:val="21"/>
                <w:highlight w:val="none"/>
              </w:rPr>
              <w:t xml:space="preserve"> </w:t>
            </w:r>
            <w:r>
              <w:rPr>
                <w:rFonts w:ascii="宋体" w:hAnsi="宋体"/>
                <w:kern w:val="0"/>
                <w:szCs w:val="21"/>
                <w:highlight w:val="none"/>
              </w:rPr>
              <w:t>“</w:t>
            </w:r>
            <w:r>
              <w:rPr>
                <w:rFonts w:hint="eastAsia" w:ascii="宋体" w:hAnsi="宋体"/>
                <w:kern w:val="0"/>
                <w:szCs w:val="21"/>
                <w:highlight w:val="none"/>
                <w:lang w:eastAsia="zh-CN"/>
              </w:rPr>
              <w:t>比选申请文件</w:t>
            </w:r>
            <w:r>
              <w:rPr>
                <w:rFonts w:ascii="宋体" w:hAnsi="宋体"/>
                <w:kern w:val="0"/>
                <w:szCs w:val="21"/>
                <w:highlight w:val="none"/>
              </w:rPr>
              <w:t>”袋封套上写明如下内容：</w:t>
            </w:r>
          </w:p>
          <w:p w14:paraId="598F4DB3">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u w:val="single"/>
              </w:rPr>
            </w:pPr>
            <w:r>
              <w:rPr>
                <w:rFonts w:hint="eastAsia" w:ascii="宋体" w:hAnsi="宋体"/>
                <w:kern w:val="0"/>
                <w:szCs w:val="21"/>
                <w:highlight w:val="none"/>
                <w:lang w:eastAsia="zh-CN"/>
              </w:rPr>
              <w:t>比选人</w:t>
            </w:r>
            <w:r>
              <w:rPr>
                <w:rFonts w:ascii="宋体" w:hAnsi="宋体"/>
                <w:kern w:val="0"/>
                <w:szCs w:val="21"/>
                <w:highlight w:val="none"/>
              </w:rPr>
              <w:t>名称：</w:t>
            </w:r>
            <w:r>
              <w:rPr>
                <w:rFonts w:hint="eastAsia" w:ascii="宋体" w:hAnsi="宋体"/>
                <w:kern w:val="0"/>
                <w:szCs w:val="21"/>
                <w:highlight w:val="none"/>
                <w:u w:val="single"/>
              </w:rPr>
              <w:t xml:space="preserve">            </w:t>
            </w:r>
          </w:p>
          <w:p w14:paraId="70B5C4F1">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u w:val="single"/>
              </w:rPr>
            </w:pPr>
            <w:r>
              <w:rPr>
                <w:rFonts w:hint="eastAsia" w:ascii="宋体" w:hAnsi="宋体"/>
                <w:kern w:val="0"/>
                <w:szCs w:val="21"/>
                <w:highlight w:val="none"/>
                <w:lang w:eastAsia="zh-CN"/>
              </w:rPr>
              <w:t>比选申请人</w:t>
            </w:r>
            <w:r>
              <w:rPr>
                <w:rFonts w:hint="eastAsia" w:ascii="宋体" w:hAnsi="宋体"/>
                <w:kern w:val="0"/>
                <w:szCs w:val="21"/>
                <w:highlight w:val="none"/>
              </w:rPr>
              <w:t>名称：</w:t>
            </w:r>
            <w:r>
              <w:rPr>
                <w:rFonts w:hint="eastAsia" w:ascii="宋体" w:hAnsi="宋体"/>
                <w:kern w:val="0"/>
                <w:szCs w:val="21"/>
                <w:highlight w:val="none"/>
                <w:u w:val="single"/>
              </w:rPr>
              <w:t xml:space="preserve">            </w:t>
            </w:r>
          </w:p>
          <w:p w14:paraId="17A30E0F">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eastAsia="宋体"/>
                <w:kern w:val="0"/>
                <w:szCs w:val="21"/>
                <w:highlight w:val="none"/>
                <w:lang w:eastAsia="zh-CN"/>
              </w:rPr>
            </w:pPr>
            <w:r>
              <w:rPr>
                <w:rFonts w:ascii="宋体" w:hAnsi="宋体"/>
                <w:kern w:val="0"/>
                <w:szCs w:val="21"/>
                <w:highlight w:val="none"/>
                <w:u w:val="single"/>
              </w:rPr>
              <w:t xml:space="preserve">                （项目名称）</w:t>
            </w:r>
            <w:r>
              <w:rPr>
                <w:rFonts w:hint="eastAsia" w:ascii="宋体" w:hAnsi="宋体"/>
                <w:kern w:val="0"/>
                <w:szCs w:val="21"/>
                <w:highlight w:val="none"/>
                <w:lang w:eastAsia="zh-CN"/>
              </w:rPr>
              <w:t>比选申请文件</w:t>
            </w:r>
          </w:p>
          <w:p w14:paraId="7CCE3852">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szCs w:val="21"/>
                <w:highlight w:val="none"/>
              </w:rPr>
            </w:pPr>
            <w:r>
              <w:rPr>
                <w:rFonts w:ascii="宋体" w:hAnsi="宋体"/>
                <w:kern w:val="0"/>
                <w:szCs w:val="21"/>
                <w:highlight w:val="none"/>
              </w:rPr>
              <w:t>在</w:t>
            </w:r>
            <w:r>
              <w:rPr>
                <w:rFonts w:hint="eastAsia" w:ascii="宋体" w:hAnsi="宋体"/>
                <w:kern w:val="0"/>
                <w:szCs w:val="21"/>
                <w:highlight w:val="none"/>
                <w:u w:val="single"/>
              </w:rPr>
              <w:t xml:space="preserve">    </w:t>
            </w:r>
            <w:r>
              <w:rPr>
                <w:rFonts w:ascii="宋体" w:hAnsi="宋体"/>
                <w:kern w:val="0"/>
                <w:szCs w:val="21"/>
                <w:highlight w:val="none"/>
              </w:rPr>
              <w:t>年</w:t>
            </w:r>
            <w:r>
              <w:rPr>
                <w:rFonts w:hint="eastAsia" w:ascii="宋体" w:hAnsi="宋体"/>
                <w:kern w:val="0"/>
                <w:szCs w:val="21"/>
                <w:highlight w:val="none"/>
                <w:u w:val="single"/>
              </w:rPr>
              <w:t xml:space="preserve">    </w:t>
            </w:r>
            <w:r>
              <w:rPr>
                <w:rFonts w:ascii="宋体" w:hAnsi="宋体"/>
                <w:kern w:val="0"/>
                <w:szCs w:val="21"/>
                <w:highlight w:val="none"/>
              </w:rPr>
              <w:t>月</w:t>
            </w:r>
            <w:r>
              <w:rPr>
                <w:rFonts w:hint="eastAsia" w:ascii="宋体" w:hAnsi="宋体"/>
                <w:kern w:val="0"/>
                <w:szCs w:val="21"/>
                <w:highlight w:val="none"/>
                <w:u w:val="single"/>
              </w:rPr>
              <w:t xml:space="preserve">    </w:t>
            </w:r>
            <w:r>
              <w:rPr>
                <w:rFonts w:ascii="宋体" w:hAnsi="宋体"/>
                <w:kern w:val="0"/>
                <w:szCs w:val="21"/>
                <w:highlight w:val="none"/>
              </w:rPr>
              <w:t>日</w:t>
            </w:r>
            <w:r>
              <w:rPr>
                <w:rFonts w:hint="eastAsia" w:ascii="宋体" w:hAnsi="宋体"/>
                <w:kern w:val="0"/>
                <w:szCs w:val="21"/>
                <w:highlight w:val="none"/>
                <w:u w:val="single"/>
              </w:rPr>
              <w:t xml:space="preserve">    </w:t>
            </w:r>
            <w:r>
              <w:rPr>
                <w:rFonts w:ascii="宋体" w:hAnsi="宋体"/>
                <w:kern w:val="0"/>
                <w:szCs w:val="21"/>
                <w:highlight w:val="none"/>
              </w:rPr>
              <w:t>时</w:t>
            </w:r>
            <w:r>
              <w:rPr>
                <w:rFonts w:hint="eastAsia" w:ascii="宋体" w:hAnsi="宋体"/>
                <w:kern w:val="0"/>
                <w:szCs w:val="21"/>
                <w:highlight w:val="none"/>
                <w:u w:val="single"/>
              </w:rPr>
              <w:t xml:space="preserve">    </w:t>
            </w:r>
            <w:r>
              <w:rPr>
                <w:rFonts w:ascii="宋体" w:hAnsi="宋体"/>
                <w:kern w:val="0"/>
                <w:szCs w:val="21"/>
                <w:highlight w:val="none"/>
              </w:rPr>
              <w:t>分前不得开启</w:t>
            </w:r>
          </w:p>
        </w:tc>
      </w:tr>
      <w:tr w14:paraId="2F4556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4B47B9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4.2.2</w:t>
            </w:r>
          </w:p>
        </w:tc>
        <w:tc>
          <w:tcPr>
            <w:tcW w:w="1644" w:type="dxa"/>
            <w:vAlign w:val="center"/>
          </w:tcPr>
          <w:p w14:paraId="1F05FCB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递交</w:t>
            </w:r>
            <w:r>
              <w:rPr>
                <w:rFonts w:hint="eastAsia" w:ascii="宋体" w:hAnsi="宋体"/>
                <w:kern w:val="0"/>
                <w:szCs w:val="21"/>
                <w:highlight w:val="none"/>
                <w:lang w:eastAsia="zh-CN"/>
              </w:rPr>
              <w:t>比选申请文件</w:t>
            </w:r>
            <w:r>
              <w:rPr>
                <w:rFonts w:ascii="宋体" w:hAnsi="宋体"/>
                <w:kern w:val="0"/>
                <w:szCs w:val="21"/>
                <w:highlight w:val="none"/>
              </w:rPr>
              <w:t>地点</w:t>
            </w:r>
          </w:p>
        </w:tc>
        <w:tc>
          <w:tcPr>
            <w:tcW w:w="6490" w:type="dxa"/>
            <w:vAlign w:val="center"/>
          </w:tcPr>
          <w:p w14:paraId="0C6756BA">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bCs/>
                <w:szCs w:val="21"/>
                <w:highlight w:val="none"/>
              </w:rPr>
            </w:pPr>
            <w:r>
              <w:rPr>
                <w:rFonts w:hint="eastAsia" w:ascii="宋体" w:hAnsi="宋体" w:eastAsia="宋体" w:cs="Times New Roman"/>
                <w:bCs/>
                <w:color w:val="auto"/>
                <w:szCs w:val="21"/>
                <w:highlight w:val="none"/>
              </w:rPr>
              <w:t>详见</w:t>
            </w:r>
            <w:r>
              <w:rPr>
                <w:rFonts w:hint="eastAsia" w:ascii="宋体" w:hAnsi="宋体" w:cs="Times New Roman"/>
                <w:bCs/>
                <w:color w:val="auto"/>
                <w:szCs w:val="21"/>
                <w:highlight w:val="none"/>
                <w:lang w:eastAsia="zh-CN"/>
              </w:rPr>
              <w:t>竞争性比选公告</w:t>
            </w:r>
            <w:r>
              <w:rPr>
                <w:rFonts w:hint="eastAsia" w:ascii="宋体" w:hAnsi="宋体" w:eastAsia="宋体" w:cs="Times New Roman"/>
                <w:bCs/>
                <w:color w:val="auto"/>
                <w:szCs w:val="21"/>
                <w:highlight w:val="none"/>
              </w:rPr>
              <w:t>第</w:t>
            </w:r>
            <w:r>
              <w:rPr>
                <w:rFonts w:hint="eastAsia" w:ascii="宋体" w:hAnsi="宋体" w:cs="Times New Roman"/>
                <w:bCs/>
                <w:color w:val="auto"/>
                <w:szCs w:val="21"/>
                <w:highlight w:val="none"/>
                <w:lang w:val="en-US" w:eastAsia="zh-CN"/>
              </w:rPr>
              <w:t>6</w:t>
            </w:r>
            <w:r>
              <w:rPr>
                <w:rFonts w:hint="eastAsia" w:ascii="宋体" w:hAnsi="宋体" w:eastAsia="宋体" w:cs="Times New Roman"/>
                <w:bCs/>
                <w:color w:val="auto"/>
                <w:szCs w:val="21"/>
                <w:highlight w:val="none"/>
              </w:rPr>
              <w:t>条</w:t>
            </w:r>
            <w:r>
              <w:rPr>
                <w:rFonts w:hint="eastAsia" w:ascii="宋体" w:hAnsi="宋体" w:cs="Times New Roman"/>
                <w:bCs/>
                <w:color w:val="auto"/>
                <w:szCs w:val="21"/>
                <w:highlight w:val="none"/>
                <w:lang w:eastAsia="zh-CN"/>
              </w:rPr>
              <w:t>。</w:t>
            </w:r>
          </w:p>
        </w:tc>
      </w:tr>
      <w:tr w14:paraId="60AA79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9739759">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4.2.3</w:t>
            </w:r>
          </w:p>
        </w:tc>
        <w:tc>
          <w:tcPr>
            <w:tcW w:w="1644" w:type="dxa"/>
            <w:vAlign w:val="center"/>
          </w:tcPr>
          <w:p w14:paraId="6973B335">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kern w:val="0"/>
                <w:szCs w:val="21"/>
                <w:highlight w:val="none"/>
                <w:lang w:eastAsia="zh-CN"/>
              </w:rPr>
            </w:pPr>
            <w:r>
              <w:rPr>
                <w:rFonts w:ascii="宋体" w:hAnsi="宋体"/>
                <w:kern w:val="0"/>
                <w:szCs w:val="21"/>
                <w:highlight w:val="none"/>
              </w:rPr>
              <w:t>是否退还</w:t>
            </w:r>
            <w:r>
              <w:rPr>
                <w:rFonts w:hint="eastAsia" w:ascii="宋体" w:hAnsi="宋体"/>
                <w:kern w:val="0"/>
                <w:szCs w:val="21"/>
                <w:highlight w:val="none"/>
                <w:lang w:eastAsia="zh-CN"/>
              </w:rPr>
              <w:t>比选申请文件</w:t>
            </w:r>
          </w:p>
        </w:tc>
        <w:tc>
          <w:tcPr>
            <w:tcW w:w="6490" w:type="dxa"/>
            <w:vAlign w:val="center"/>
          </w:tcPr>
          <w:p w14:paraId="187C6393">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否</w:t>
            </w:r>
          </w:p>
        </w:tc>
      </w:tr>
      <w:tr w14:paraId="3045F6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F640C6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5.1</w:t>
            </w:r>
            <w:r>
              <w:rPr>
                <w:rFonts w:hint="eastAsia" w:ascii="宋体" w:hAnsi="宋体"/>
                <w:kern w:val="0"/>
                <w:szCs w:val="21"/>
                <w:highlight w:val="none"/>
              </w:rPr>
              <w:t>.1</w:t>
            </w:r>
          </w:p>
        </w:tc>
        <w:tc>
          <w:tcPr>
            <w:tcW w:w="1644" w:type="dxa"/>
            <w:vAlign w:val="center"/>
          </w:tcPr>
          <w:p w14:paraId="1DA54EF0">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开标时间和</w:t>
            </w:r>
          </w:p>
          <w:p w14:paraId="30E0DD5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地点</w:t>
            </w:r>
          </w:p>
        </w:tc>
        <w:tc>
          <w:tcPr>
            <w:tcW w:w="6490" w:type="dxa"/>
            <w:vAlign w:val="center"/>
          </w:tcPr>
          <w:p w14:paraId="032DACD4">
            <w:pPr>
              <w:snapToGrid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开标时间：同投标截止时间</w:t>
            </w:r>
          </w:p>
          <w:p w14:paraId="7A3EB49C">
            <w:pPr>
              <w:snapToGrid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开标地点：</w:t>
            </w:r>
            <w:r>
              <w:rPr>
                <w:rFonts w:hint="eastAsia" w:ascii="宋体" w:hAnsi="宋体"/>
                <w:snapToGrid w:val="0"/>
                <w:color w:val="auto"/>
                <w:kern w:val="0"/>
                <w:szCs w:val="21"/>
                <w:highlight w:val="none"/>
                <w:u w:val="single"/>
              </w:rPr>
              <w:t>南岸区公共资源交易平台（汇南公司）</w:t>
            </w:r>
          </w:p>
          <w:p w14:paraId="513CBFE7">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bCs/>
                <w:szCs w:val="21"/>
                <w:highlight w:val="none"/>
              </w:rPr>
            </w:pPr>
            <w:r>
              <w:rPr>
                <w:rFonts w:hint="eastAsia" w:ascii="宋体" w:hAnsi="宋体" w:eastAsia="宋体" w:cs="宋体"/>
                <w:color w:val="auto"/>
                <w:highlight w:val="none"/>
              </w:rPr>
              <w:t>地址：</w:t>
            </w:r>
            <w:r>
              <w:rPr>
                <w:rFonts w:hint="eastAsia" w:ascii="宋体" w:hAnsi="宋体"/>
                <w:snapToGrid w:val="0"/>
                <w:color w:val="auto"/>
                <w:kern w:val="0"/>
                <w:szCs w:val="21"/>
                <w:highlight w:val="none"/>
                <w:u w:val="single"/>
              </w:rPr>
              <w:t>重庆市南岸区茶园新区广福大道12号行政中心B区2号楼4楼</w:t>
            </w:r>
          </w:p>
        </w:tc>
      </w:tr>
      <w:tr w14:paraId="68FA76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6287F8A">
            <w:pPr>
              <w:keepNext w:val="0"/>
              <w:keepLines w:val="0"/>
              <w:pageBreakBefore w:val="0"/>
              <w:kinsoku/>
              <w:wordWrap/>
              <w:overflowPunct/>
              <w:topLinePunct w:val="0"/>
              <w:bidi w:val="0"/>
              <w:snapToGrid w:val="0"/>
              <w:spacing w:line="400" w:lineRule="exact"/>
              <w:jc w:val="center"/>
              <w:textAlignment w:val="auto"/>
              <w:rPr>
                <w:rFonts w:ascii="宋体" w:hAnsi="宋体"/>
                <w:szCs w:val="21"/>
                <w:highlight w:val="none"/>
              </w:rPr>
            </w:pPr>
            <w:r>
              <w:rPr>
                <w:rFonts w:hint="eastAsia" w:ascii="宋体" w:hAnsi="宋体"/>
                <w:szCs w:val="21"/>
                <w:highlight w:val="none"/>
              </w:rPr>
              <w:t>5.2</w:t>
            </w:r>
          </w:p>
        </w:tc>
        <w:tc>
          <w:tcPr>
            <w:tcW w:w="1644" w:type="dxa"/>
            <w:vAlign w:val="center"/>
          </w:tcPr>
          <w:p w14:paraId="75294131">
            <w:pPr>
              <w:keepNext w:val="0"/>
              <w:keepLines w:val="0"/>
              <w:pageBreakBefore w:val="0"/>
              <w:kinsoku/>
              <w:wordWrap/>
              <w:overflowPunct/>
              <w:topLinePunct w:val="0"/>
              <w:bidi w:val="0"/>
              <w:snapToGrid w:val="0"/>
              <w:spacing w:line="400" w:lineRule="exact"/>
              <w:jc w:val="center"/>
              <w:textAlignment w:val="auto"/>
              <w:rPr>
                <w:rFonts w:ascii="宋体" w:hAnsi="宋体"/>
                <w:szCs w:val="21"/>
                <w:highlight w:val="none"/>
              </w:rPr>
            </w:pPr>
            <w:r>
              <w:rPr>
                <w:rFonts w:hint="eastAsia" w:ascii="宋体" w:hAnsi="宋体"/>
                <w:szCs w:val="21"/>
                <w:highlight w:val="none"/>
              </w:rPr>
              <w:t>开标程序</w:t>
            </w:r>
          </w:p>
        </w:tc>
        <w:tc>
          <w:tcPr>
            <w:tcW w:w="6490" w:type="dxa"/>
            <w:vAlign w:val="center"/>
          </w:tcPr>
          <w:p w14:paraId="76CB3A11">
            <w:pPr>
              <w:autoSpaceDE w:val="0"/>
              <w:autoSpaceDN w:val="0"/>
              <w:adjustRightInd w:val="0"/>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主持人按下列程序进行开标：</w:t>
            </w:r>
          </w:p>
          <w:p w14:paraId="4D754364">
            <w:pPr>
              <w:autoSpaceDE w:val="0"/>
              <w:autoSpaceDN w:val="0"/>
              <w:adjustRightInd w:val="0"/>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1. 核验参加开标会议的</w:t>
            </w:r>
            <w:r>
              <w:rPr>
                <w:rFonts w:hint="eastAsia" w:ascii="宋体" w:hAnsi="宋体"/>
                <w:color w:val="auto"/>
                <w:szCs w:val="21"/>
                <w:highlight w:val="none"/>
                <w:lang w:eastAsia="zh-CN"/>
              </w:rPr>
              <w:t>比选申请人</w:t>
            </w:r>
            <w:r>
              <w:rPr>
                <w:rFonts w:ascii="宋体" w:hAnsi="宋体"/>
                <w:color w:val="auto"/>
                <w:szCs w:val="21"/>
                <w:highlight w:val="none"/>
              </w:rPr>
              <w:t>的法定代表人或</w:t>
            </w:r>
            <w:r>
              <w:rPr>
                <w:rFonts w:hint="eastAsia" w:ascii="宋体" w:hAnsi="宋体"/>
                <w:color w:val="auto"/>
                <w:szCs w:val="21"/>
                <w:highlight w:val="none"/>
              </w:rPr>
              <w:t>委托代理人</w:t>
            </w:r>
            <w:r>
              <w:rPr>
                <w:rFonts w:ascii="宋体" w:hAnsi="宋体"/>
                <w:color w:val="auto"/>
                <w:szCs w:val="21"/>
                <w:highlight w:val="none"/>
              </w:rPr>
              <w:t>本人身份证（原件），核验委托代理人的授权委托书</w:t>
            </w:r>
            <w:r>
              <w:rPr>
                <w:rFonts w:hint="eastAsia" w:ascii="宋体" w:hAnsi="宋体"/>
                <w:color w:val="auto"/>
                <w:szCs w:val="21"/>
                <w:highlight w:val="none"/>
              </w:rPr>
              <w:t>、养老保险证明材料复印件</w:t>
            </w:r>
            <w:r>
              <w:rPr>
                <w:rFonts w:ascii="宋体" w:hAnsi="宋体"/>
                <w:color w:val="auto"/>
                <w:szCs w:val="21"/>
                <w:highlight w:val="none"/>
              </w:rPr>
              <w:t>，以确认其身份合法有效；</w:t>
            </w:r>
            <w:r>
              <w:rPr>
                <w:rFonts w:hint="eastAsia" w:ascii="宋体" w:hAnsi="宋体"/>
                <w:color w:val="auto"/>
                <w:szCs w:val="21"/>
                <w:highlight w:val="none"/>
              </w:rPr>
              <w:t>若经核实委托代理人提供资料与实际不符的，不得参加开标会。核验合格的法定代表人或委托代理人可自行选择是否参加开标会，不参加开标会的视为默认开标结果。</w:t>
            </w:r>
          </w:p>
          <w:p w14:paraId="6D1461BB">
            <w:pPr>
              <w:autoSpaceDE w:val="0"/>
              <w:autoSpaceDN w:val="0"/>
              <w:adjustRightInd w:val="0"/>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 </w:t>
            </w:r>
            <w:r>
              <w:rPr>
                <w:rFonts w:ascii="宋体" w:hAnsi="宋体"/>
                <w:color w:val="auto"/>
                <w:szCs w:val="21"/>
                <w:highlight w:val="none"/>
              </w:rPr>
              <w:t>宣布开标纪律</w:t>
            </w:r>
            <w:r>
              <w:rPr>
                <w:rFonts w:hint="eastAsia" w:ascii="宋体" w:hAnsi="宋体"/>
                <w:color w:val="auto"/>
                <w:szCs w:val="21"/>
                <w:highlight w:val="none"/>
              </w:rPr>
              <w:t>。</w:t>
            </w:r>
          </w:p>
          <w:p w14:paraId="72E16F38">
            <w:pPr>
              <w:autoSpaceDE w:val="0"/>
              <w:autoSpaceDN w:val="0"/>
              <w:adjustRightInd w:val="0"/>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3. 宣布开标人、唱标人、记录人、监标人等有关人员姓名</w:t>
            </w:r>
            <w:r>
              <w:rPr>
                <w:rFonts w:hint="eastAsia" w:ascii="宋体" w:hAnsi="宋体"/>
                <w:color w:val="auto"/>
                <w:szCs w:val="21"/>
                <w:highlight w:val="none"/>
              </w:rPr>
              <w:t>。</w:t>
            </w:r>
          </w:p>
          <w:p w14:paraId="555C9859">
            <w:pPr>
              <w:autoSpaceDE w:val="0"/>
              <w:autoSpaceDN w:val="0"/>
              <w:adjustRightInd w:val="0"/>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4. 公布在投标截止时间前递交</w:t>
            </w:r>
            <w:r>
              <w:rPr>
                <w:rFonts w:hint="eastAsia" w:ascii="宋体" w:hAnsi="宋体"/>
                <w:color w:val="auto"/>
                <w:szCs w:val="21"/>
                <w:highlight w:val="none"/>
                <w:lang w:eastAsia="zh-CN"/>
              </w:rPr>
              <w:t>比选申请文件</w:t>
            </w:r>
            <w:r>
              <w:rPr>
                <w:rFonts w:ascii="宋体" w:hAnsi="宋体"/>
                <w:color w:val="auto"/>
                <w:szCs w:val="21"/>
                <w:highlight w:val="none"/>
              </w:rPr>
              <w:t>的</w:t>
            </w:r>
            <w:r>
              <w:rPr>
                <w:rFonts w:hint="eastAsia" w:ascii="宋体" w:hAnsi="宋体"/>
                <w:color w:val="auto"/>
                <w:szCs w:val="21"/>
                <w:highlight w:val="none"/>
                <w:lang w:eastAsia="zh-CN"/>
              </w:rPr>
              <w:t>比选申请人</w:t>
            </w:r>
            <w:r>
              <w:rPr>
                <w:rFonts w:ascii="宋体" w:hAnsi="宋体"/>
                <w:color w:val="auto"/>
                <w:szCs w:val="21"/>
                <w:highlight w:val="none"/>
              </w:rPr>
              <w:t>名称</w:t>
            </w:r>
            <w:r>
              <w:rPr>
                <w:rFonts w:hint="eastAsia" w:ascii="宋体" w:hAnsi="宋体"/>
                <w:color w:val="auto"/>
                <w:szCs w:val="21"/>
                <w:highlight w:val="none"/>
              </w:rPr>
              <w:t>。</w:t>
            </w:r>
          </w:p>
          <w:p w14:paraId="560C3DEF">
            <w:pPr>
              <w:snapToGrid w:val="0"/>
              <w:spacing w:line="400" w:lineRule="exact"/>
              <w:ind w:firstLine="420" w:firstLineChars="200"/>
              <w:rPr>
                <w:rFonts w:ascii="宋体" w:hAnsi="宋体"/>
                <w:color w:val="auto"/>
                <w:szCs w:val="21"/>
                <w:highlight w:val="none"/>
              </w:rPr>
            </w:pPr>
            <w:r>
              <w:rPr>
                <w:rFonts w:ascii="宋体" w:hAnsi="宋体"/>
                <w:color w:val="auto"/>
                <w:szCs w:val="21"/>
                <w:highlight w:val="none"/>
              </w:rPr>
              <w:t xml:space="preserve">5. </w:t>
            </w:r>
            <w:r>
              <w:rPr>
                <w:rFonts w:hint="eastAsia" w:ascii="宋体" w:hAnsi="宋体"/>
                <w:color w:val="auto"/>
                <w:szCs w:val="21"/>
                <w:highlight w:val="none"/>
                <w:lang w:eastAsia="zh-CN"/>
              </w:rPr>
              <w:t>比选申请文件</w:t>
            </w:r>
            <w:r>
              <w:rPr>
                <w:rFonts w:hint="eastAsia" w:ascii="宋体" w:hAnsi="宋体"/>
                <w:color w:val="auto"/>
                <w:szCs w:val="21"/>
                <w:highlight w:val="none"/>
              </w:rPr>
              <w:t>的密封检查：</w:t>
            </w:r>
            <w:r>
              <w:rPr>
                <w:rFonts w:hint="eastAsia" w:ascii="宋体" w:hAnsi="宋体"/>
                <w:color w:val="auto"/>
                <w:szCs w:val="21"/>
                <w:highlight w:val="none"/>
                <w:lang w:eastAsia="zh-CN"/>
              </w:rPr>
              <w:t>比选申请人</w:t>
            </w:r>
            <w:r>
              <w:rPr>
                <w:rFonts w:hint="eastAsia" w:ascii="宋体" w:hAnsi="宋体"/>
                <w:color w:val="auto"/>
                <w:szCs w:val="21"/>
                <w:highlight w:val="none"/>
              </w:rPr>
              <w:t>可对自己的</w:t>
            </w:r>
            <w:r>
              <w:rPr>
                <w:rFonts w:hint="eastAsia" w:ascii="宋体" w:hAnsi="宋体"/>
                <w:color w:val="auto"/>
                <w:szCs w:val="21"/>
                <w:highlight w:val="none"/>
                <w:lang w:eastAsia="zh-CN"/>
              </w:rPr>
              <w:t>比选申请文件</w:t>
            </w:r>
            <w:r>
              <w:rPr>
                <w:rFonts w:hint="eastAsia" w:ascii="宋体" w:hAnsi="宋体"/>
                <w:color w:val="auto"/>
                <w:szCs w:val="21"/>
                <w:highlight w:val="none"/>
              </w:rPr>
              <w:t>封装情况进行检查，以确认其</w:t>
            </w:r>
            <w:r>
              <w:rPr>
                <w:rFonts w:hint="eastAsia" w:ascii="宋体" w:hAnsi="宋体"/>
                <w:color w:val="auto"/>
                <w:szCs w:val="21"/>
                <w:highlight w:val="none"/>
                <w:lang w:eastAsia="zh-CN"/>
              </w:rPr>
              <w:t>比选申请文件</w:t>
            </w:r>
            <w:r>
              <w:rPr>
                <w:rFonts w:hint="eastAsia" w:ascii="宋体" w:hAnsi="宋体"/>
                <w:color w:val="auto"/>
                <w:szCs w:val="21"/>
                <w:highlight w:val="none"/>
              </w:rPr>
              <w:t>密封完好。</w:t>
            </w:r>
          </w:p>
          <w:p w14:paraId="40E51170">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lang w:val="en-US" w:eastAsia="zh-CN"/>
              </w:rPr>
              <w:t>6</w:t>
            </w:r>
            <w:r>
              <w:rPr>
                <w:rFonts w:ascii="宋体" w:hAnsi="宋体"/>
                <w:color w:val="auto"/>
                <w:szCs w:val="21"/>
                <w:highlight w:val="none"/>
              </w:rPr>
              <w:t>. 公布最高限价</w:t>
            </w:r>
            <w:r>
              <w:rPr>
                <w:rFonts w:hint="eastAsia" w:ascii="宋体" w:hAnsi="宋体"/>
                <w:color w:val="auto"/>
                <w:szCs w:val="21"/>
                <w:highlight w:val="none"/>
              </w:rPr>
              <w:t>，以便评标委员会评审。</w:t>
            </w:r>
          </w:p>
          <w:p w14:paraId="4F6A84DB">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lang w:val="en-US" w:eastAsia="zh-CN"/>
              </w:rPr>
              <w:t>7</w:t>
            </w:r>
            <w:r>
              <w:rPr>
                <w:rFonts w:ascii="宋体" w:hAnsi="宋体"/>
                <w:color w:val="auto"/>
                <w:szCs w:val="21"/>
                <w:highlight w:val="none"/>
              </w:rPr>
              <w:t>.</w:t>
            </w:r>
            <w:r>
              <w:rPr>
                <w:rFonts w:hint="eastAsia" w:ascii="宋体" w:hAnsi="宋体"/>
                <w:color w:val="auto"/>
                <w:szCs w:val="21"/>
                <w:highlight w:val="none"/>
              </w:rPr>
              <w:t xml:space="preserve"> </w:t>
            </w:r>
            <w:r>
              <w:rPr>
                <w:rFonts w:ascii="宋体" w:hAnsi="宋体"/>
                <w:color w:val="auto"/>
                <w:szCs w:val="21"/>
                <w:highlight w:val="none"/>
              </w:rPr>
              <w:t>逐单位随机开启</w:t>
            </w:r>
            <w:r>
              <w:rPr>
                <w:rFonts w:hint="eastAsia" w:ascii="宋体" w:hAnsi="宋体"/>
                <w:color w:val="auto"/>
                <w:szCs w:val="21"/>
                <w:highlight w:val="none"/>
                <w:lang w:eastAsia="zh-CN"/>
              </w:rPr>
              <w:t>比选申请文件</w:t>
            </w:r>
            <w:r>
              <w:rPr>
                <w:rFonts w:ascii="宋体" w:hAnsi="宋体"/>
                <w:color w:val="auto"/>
                <w:szCs w:val="21"/>
                <w:highlight w:val="none"/>
              </w:rPr>
              <w:t>。开启</w:t>
            </w:r>
            <w:r>
              <w:rPr>
                <w:rFonts w:hint="eastAsia" w:ascii="宋体" w:hAnsi="宋体"/>
                <w:color w:val="auto"/>
                <w:szCs w:val="21"/>
                <w:highlight w:val="none"/>
                <w:lang w:eastAsia="zh-CN"/>
              </w:rPr>
              <w:t>比选申请文件</w:t>
            </w:r>
            <w:r>
              <w:rPr>
                <w:rFonts w:ascii="宋体" w:hAnsi="宋体"/>
                <w:color w:val="auto"/>
                <w:szCs w:val="21"/>
                <w:highlight w:val="none"/>
              </w:rPr>
              <w:t>大袋及投标函部分袋、技术部分袋</w:t>
            </w:r>
            <w:r>
              <w:rPr>
                <w:rFonts w:hint="eastAsia" w:ascii="宋体" w:hAnsi="宋体"/>
                <w:color w:val="auto"/>
                <w:szCs w:val="21"/>
                <w:highlight w:val="none"/>
              </w:rPr>
              <w:t>、资格审查部分袋</w:t>
            </w:r>
            <w:r>
              <w:rPr>
                <w:rFonts w:ascii="宋体" w:hAnsi="宋体"/>
                <w:color w:val="auto"/>
                <w:szCs w:val="21"/>
                <w:highlight w:val="none"/>
              </w:rPr>
              <w:t>；公布</w:t>
            </w:r>
            <w:r>
              <w:rPr>
                <w:rFonts w:hint="eastAsia" w:ascii="宋体" w:hAnsi="宋体"/>
                <w:color w:val="auto"/>
                <w:szCs w:val="21"/>
                <w:highlight w:val="none"/>
                <w:lang w:eastAsia="zh-CN"/>
              </w:rPr>
              <w:t>比选申请人</w:t>
            </w:r>
            <w:r>
              <w:rPr>
                <w:rFonts w:ascii="宋体" w:hAnsi="宋体"/>
                <w:color w:val="auto"/>
                <w:szCs w:val="21"/>
                <w:highlight w:val="none"/>
              </w:rPr>
              <w:t>名称、投标报价、质量要求、工期及其他内容并记录在案</w:t>
            </w:r>
            <w:r>
              <w:rPr>
                <w:rFonts w:hint="eastAsia" w:ascii="宋体" w:hAnsi="宋体"/>
                <w:color w:val="auto"/>
                <w:szCs w:val="21"/>
                <w:highlight w:val="none"/>
              </w:rPr>
              <w:t>。</w:t>
            </w:r>
          </w:p>
          <w:p w14:paraId="179268DD">
            <w:pPr>
              <w:autoSpaceDE w:val="0"/>
              <w:autoSpaceDN w:val="0"/>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 xml:space="preserve">. </w:t>
            </w:r>
            <w:r>
              <w:rPr>
                <w:rFonts w:hint="eastAsia" w:ascii="宋体" w:hAnsi="宋体"/>
                <w:color w:val="auto"/>
                <w:szCs w:val="21"/>
                <w:highlight w:val="none"/>
                <w:lang w:eastAsia="zh-CN"/>
              </w:rPr>
              <w:t>比选申请人</w:t>
            </w:r>
            <w:r>
              <w:rPr>
                <w:rFonts w:hint="eastAsia" w:ascii="宋体" w:hAnsi="宋体"/>
                <w:color w:val="auto"/>
                <w:szCs w:val="21"/>
                <w:highlight w:val="none"/>
              </w:rPr>
              <w:t>对开标有异议的，应当场提出，由</w:t>
            </w:r>
            <w:r>
              <w:rPr>
                <w:rFonts w:hint="eastAsia" w:ascii="宋体" w:hAnsi="宋体"/>
                <w:color w:val="auto"/>
                <w:szCs w:val="21"/>
                <w:highlight w:val="none"/>
                <w:lang w:eastAsia="zh-CN"/>
              </w:rPr>
              <w:t>比选人</w:t>
            </w:r>
            <w:r>
              <w:rPr>
                <w:rFonts w:hint="eastAsia" w:ascii="宋体" w:hAnsi="宋体"/>
                <w:color w:val="auto"/>
                <w:szCs w:val="21"/>
                <w:highlight w:val="none"/>
              </w:rPr>
              <w:t>或代理机构当场答复，并记录到开标记录表中。异议处理完毕后，汇总开标情况，打印开标记录表。</w:t>
            </w:r>
          </w:p>
          <w:p w14:paraId="1E06E1A7">
            <w:pPr>
              <w:autoSpaceDE w:val="0"/>
              <w:autoSpaceDN w:val="0"/>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lang w:val="en-US" w:eastAsia="zh-CN"/>
              </w:rPr>
              <w:t>9</w:t>
            </w:r>
            <w:r>
              <w:rPr>
                <w:rFonts w:ascii="宋体" w:hAnsi="宋体"/>
                <w:color w:val="auto"/>
                <w:szCs w:val="21"/>
                <w:highlight w:val="none"/>
              </w:rPr>
              <w:t xml:space="preserve">. </w:t>
            </w:r>
            <w:r>
              <w:rPr>
                <w:rFonts w:hint="eastAsia" w:ascii="宋体" w:hAnsi="宋体"/>
                <w:color w:val="auto"/>
                <w:szCs w:val="21"/>
                <w:highlight w:val="none"/>
                <w:lang w:eastAsia="zh-CN"/>
              </w:rPr>
              <w:t>比选申请人</w:t>
            </w:r>
            <w:r>
              <w:rPr>
                <w:rFonts w:ascii="宋体" w:hAnsi="宋体"/>
                <w:color w:val="auto"/>
                <w:szCs w:val="21"/>
                <w:highlight w:val="none"/>
              </w:rPr>
              <w:t>代表、</w:t>
            </w:r>
            <w:r>
              <w:rPr>
                <w:rFonts w:hint="eastAsia" w:ascii="宋体" w:hAnsi="宋体"/>
                <w:color w:val="auto"/>
                <w:szCs w:val="21"/>
                <w:highlight w:val="none"/>
                <w:lang w:eastAsia="zh-CN"/>
              </w:rPr>
              <w:t>比选人</w:t>
            </w:r>
            <w:r>
              <w:rPr>
                <w:rFonts w:ascii="宋体" w:hAnsi="宋体"/>
                <w:color w:val="auto"/>
                <w:szCs w:val="21"/>
                <w:highlight w:val="none"/>
              </w:rPr>
              <w:t>代表、监标人、</w:t>
            </w:r>
            <w:r>
              <w:rPr>
                <w:rFonts w:hint="eastAsia" w:ascii="宋体" w:hAnsi="宋体"/>
                <w:color w:val="auto"/>
                <w:szCs w:val="21"/>
                <w:highlight w:val="none"/>
              </w:rPr>
              <w:t>主持人、</w:t>
            </w:r>
            <w:r>
              <w:rPr>
                <w:rFonts w:ascii="宋体" w:hAnsi="宋体"/>
                <w:color w:val="auto"/>
                <w:szCs w:val="21"/>
                <w:highlight w:val="none"/>
              </w:rPr>
              <w:t>记录人等有关人员在开标记录上</w:t>
            </w:r>
            <w:r>
              <w:rPr>
                <w:rFonts w:hint="eastAsia" w:ascii="宋体" w:hAnsi="宋体"/>
                <w:color w:val="auto"/>
                <w:szCs w:val="21"/>
                <w:highlight w:val="none"/>
              </w:rPr>
              <w:t>签名</w:t>
            </w:r>
            <w:r>
              <w:rPr>
                <w:rFonts w:ascii="宋体" w:hAnsi="宋体"/>
                <w:color w:val="auto"/>
                <w:szCs w:val="21"/>
                <w:highlight w:val="none"/>
              </w:rPr>
              <w:t>确认</w:t>
            </w:r>
            <w:r>
              <w:rPr>
                <w:rFonts w:hint="eastAsia" w:ascii="宋体" w:hAnsi="宋体"/>
                <w:color w:val="auto"/>
                <w:szCs w:val="21"/>
                <w:highlight w:val="none"/>
              </w:rPr>
              <w:t>。因其他原因未能签名的，视为默认开标结果。</w:t>
            </w:r>
          </w:p>
          <w:p w14:paraId="6E730714">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0</w:t>
            </w:r>
            <w:r>
              <w:rPr>
                <w:rFonts w:ascii="宋体" w:hAnsi="宋体"/>
                <w:color w:val="auto"/>
                <w:szCs w:val="21"/>
                <w:highlight w:val="none"/>
              </w:rPr>
              <w:t>. 开标结束。</w:t>
            </w:r>
          </w:p>
        </w:tc>
      </w:tr>
      <w:tr w14:paraId="18A618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E3825E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6.1.1</w:t>
            </w:r>
          </w:p>
        </w:tc>
        <w:tc>
          <w:tcPr>
            <w:tcW w:w="1644" w:type="dxa"/>
            <w:vAlign w:val="center"/>
          </w:tcPr>
          <w:p w14:paraId="2A4846A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评标委员会的组建</w:t>
            </w:r>
          </w:p>
        </w:tc>
        <w:tc>
          <w:tcPr>
            <w:tcW w:w="6490" w:type="dxa"/>
            <w:vAlign w:val="center"/>
          </w:tcPr>
          <w:p w14:paraId="3E259CBA">
            <w:pPr>
              <w:autoSpaceDE w:val="0"/>
              <w:autoSpaceDN w:val="0"/>
              <w:adjustRightInd w:val="0"/>
              <w:snapToGrid w:val="0"/>
              <w:spacing w:after="0" w:line="400" w:lineRule="exact"/>
              <w:ind w:firstLine="436" w:firstLineChars="200"/>
              <w:rPr>
                <w:rFonts w:ascii="宋体" w:hAnsi="宋体"/>
                <w:kern w:val="0"/>
                <w:szCs w:val="21"/>
                <w:highlight w:val="none"/>
              </w:rPr>
            </w:pPr>
            <w:r>
              <w:rPr>
                <w:rFonts w:hint="eastAsia" w:ascii="宋体" w:hAnsi="宋体"/>
                <w:color w:val="auto"/>
                <w:spacing w:val="4"/>
                <w:kern w:val="0"/>
                <w:szCs w:val="21"/>
                <w:highlight w:val="none"/>
              </w:rPr>
              <w:t>由</w:t>
            </w:r>
            <w:r>
              <w:rPr>
                <w:rFonts w:hint="eastAsia" w:ascii="宋体" w:hAnsi="宋体"/>
                <w:color w:val="auto"/>
                <w:spacing w:val="4"/>
                <w:kern w:val="0"/>
                <w:szCs w:val="21"/>
                <w:highlight w:val="none"/>
                <w:lang w:eastAsia="zh-CN"/>
              </w:rPr>
              <w:t>比选人</w:t>
            </w:r>
            <w:r>
              <w:rPr>
                <w:rFonts w:hint="eastAsia" w:ascii="宋体" w:hAnsi="宋体"/>
                <w:color w:val="auto"/>
                <w:spacing w:val="4"/>
                <w:kern w:val="0"/>
                <w:szCs w:val="21"/>
                <w:highlight w:val="none"/>
              </w:rPr>
              <w:t>按法律法规及相关规定依法组建评标委员会</w:t>
            </w:r>
            <w:r>
              <w:rPr>
                <w:rFonts w:hint="eastAsia" w:ascii="宋体" w:hAnsi="宋体"/>
                <w:color w:val="auto"/>
                <w:kern w:val="0"/>
                <w:szCs w:val="21"/>
                <w:highlight w:val="none"/>
              </w:rPr>
              <w:t>。</w:t>
            </w:r>
          </w:p>
        </w:tc>
      </w:tr>
      <w:tr w14:paraId="4B57E6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0B9CE2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7.1</w:t>
            </w:r>
          </w:p>
        </w:tc>
        <w:tc>
          <w:tcPr>
            <w:tcW w:w="1644" w:type="dxa"/>
            <w:vAlign w:val="center"/>
          </w:tcPr>
          <w:p w14:paraId="2A9C1261">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是否授权评标委员会确定中标人</w:t>
            </w:r>
          </w:p>
        </w:tc>
        <w:tc>
          <w:tcPr>
            <w:tcW w:w="6490" w:type="dxa"/>
            <w:vAlign w:val="center"/>
          </w:tcPr>
          <w:p w14:paraId="12023D45">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i/>
                <w:kern w:val="0"/>
                <w:szCs w:val="21"/>
                <w:highlight w:val="none"/>
              </w:rPr>
            </w:pPr>
            <w:r>
              <w:rPr>
                <w:rFonts w:ascii="宋体" w:hAnsi="宋体"/>
                <w:kern w:val="0"/>
                <w:szCs w:val="21"/>
                <w:highlight w:val="none"/>
              </w:rPr>
              <w:t>否，推荐经评审综合得分由高到低排名前</w:t>
            </w:r>
            <w:r>
              <w:rPr>
                <w:rFonts w:hint="eastAsia" w:ascii="宋体" w:hAnsi="宋体"/>
                <w:kern w:val="0"/>
                <w:szCs w:val="21"/>
                <w:highlight w:val="none"/>
                <w:u w:val="single"/>
                <w:lang w:val="en-US" w:eastAsia="zh-CN"/>
              </w:rPr>
              <w:t>3</w:t>
            </w:r>
            <w:r>
              <w:rPr>
                <w:rFonts w:ascii="宋体" w:hAnsi="宋体"/>
                <w:kern w:val="0"/>
                <w:szCs w:val="21"/>
                <w:highlight w:val="none"/>
              </w:rPr>
              <w:t>名为中标候选人</w:t>
            </w:r>
            <w:r>
              <w:rPr>
                <w:rFonts w:hint="eastAsia" w:ascii="宋体" w:hAnsi="宋体"/>
                <w:kern w:val="0"/>
                <w:szCs w:val="21"/>
                <w:highlight w:val="none"/>
              </w:rPr>
              <w:t>，若有效</w:t>
            </w:r>
            <w:r>
              <w:rPr>
                <w:rFonts w:hint="eastAsia" w:ascii="宋体" w:hAnsi="宋体"/>
                <w:kern w:val="0"/>
                <w:szCs w:val="21"/>
                <w:highlight w:val="none"/>
                <w:lang w:eastAsia="zh-CN"/>
              </w:rPr>
              <w:t>比选申请人</w:t>
            </w:r>
            <w:r>
              <w:rPr>
                <w:rFonts w:hint="eastAsia" w:ascii="宋体" w:hAnsi="宋体"/>
                <w:kern w:val="0"/>
                <w:szCs w:val="21"/>
                <w:highlight w:val="none"/>
              </w:rPr>
              <w:t>少于</w:t>
            </w:r>
            <w:r>
              <w:rPr>
                <w:rFonts w:hint="eastAsia" w:ascii="宋体" w:hAnsi="宋体"/>
                <w:kern w:val="0"/>
                <w:szCs w:val="21"/>
                <w:highlight w:val="none"/>
                <w:u w:val="single"/>
              </w:rPr>
              <w:t>3</w:t>
            </w:r>
            <w:r>
              <w:rPr>
                <w:rFonts w:hint="eastAsia" w:ascii="宋体" w:hAnsi="宋体"/>
                <w:kern w:val="0"/>
                <w:szCs w:val="21"/>
                <w:highlight w:val="none"/>
              </w:rPr>
              <w:t>个的则按实际数量推荐</w:t>
            </w:r>
            <w:r>
              <w:rPr>
                <w:rFonts w:ascii="宋体" w:hAnsi="宋体"/>
                <w:kern w:val="0"/>
                <w:szCs w:val="21"/>
                <w:highlight w:val="none"/>
              </w:rPr>
              <w:t>。</w:t>
            </w:r>
          </w:p>
        </w:tc>
      </w:tr>
      <w:tr w14:paraId="184C8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Merge w:val="restart"/>
            <w:vAlign w:val="center"/>
          </w:tcPr>
          <w:p w14:paraId="1D53311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7.2</w:t>
            </w:r>
          </w:p>
        </w:tc>
        <w:tc>
          <w:tcPr>
            <w:tcW w:w="1644" w:type="dxa"/>
            <w:vAlign w:val="center"/>
          </w:tcPr>
          <w:p w14:paraId="5DECBC3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中标</w:t>
            </w:r>
            <w:r>
              <w:rPr>
                <w:rFonts w:hint="eastAsia" w:ascii="宋体" w:hAnsi="宋体"/>
                <w:kern w:val="0"/>
                <w:szCs w:val="21"/>
                <w:highlight w:val="none"/>
                <w:lang w:val="en-US" w:eastAsia="zh-CN"/>
              </w:rPr>
              <w:t>候选人</w:t>
            </w:r>
            <w:r>
              <w:rPr>
                <w:rFonts w:ascii="宋体" w:hAnsi="宋体"/>
                <w:kern w:val="0"/>
                <w:szCs w:val="21"/>
                <w:highlight w:val="none"/>
              </w:rPr>
              <w:t>公示</w:t>
            </w:r>
          </w:p>
        </w:tc>
        <w:tc>
          <w:tcPr>
            <w:tcW w:w="6490" w:type="dxa"/>
            <w:vAlign w:val="center"/>
          </w:tcPr>
          <w:p w14:paraId="5FC56678">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cs="宋体"/>
                <w:szCs w:val="21"/>
                <w:highlight w:val="none"/>
                <w:lang w:eastAsia="zh-CN"/>
              </w:rPr>
              <w:t>比选人</w:t>
            </w:r>
            <w:r>
              <w:rPr>
                <w:rFonts w:hint="eastAsia" w:ascii="宋体" w:hAnsi="宋体" w:cs="宋体"/>
                <w:szCs w:val="21"/>
                <w:highlight w:val="none"/>
              </w:rPr>
              <w:t>在收到评标报告后3日内将评标结果在</w:t>
            </w:r>
            <w:r>
              <w:rPr>
                <w:rFonts w:hint="eastAsia" w:ascii="宋体" w:hAnsi="宋体" w:cs="宋体"/>
                <w:szCs w:val="21"/>
                <w:highlight w:val="none"/>
                <w:u w:val="single"/>
              </w:rPr>
              <w:t xml:space="preserve"> </w:t>
            </w:r>
            <w:r>
              <w:rPr>
                <w:rFonts w:hint="eastAsia" w:ascii="宋体" w:hAnsi="宋体"/>
                <w:color w:val="auto"/>
                <w:spacing w:val="4"/>
                <w:kern w:val="0"/>
                <w:szCs w:val="21"/>
                <w:highlight w:val="none"/>
                <w:u w:val="single"/>
                <w:lang w:val="en-US" w:eastAsia="zh-CN"/>
              </w:rPr>
              <w:t>行采家</w:t>
            </w:r>
            <w:r>
              <w:rPr>
                <w:rFonts w:hint="eastAsia" w:ascii="宋体" w:hAnsi="宋体" w:cs="宋体"/>
                <w:szCs w:val="21"/>
                <w:highlight w:val="none"/>
                <w:u w:val="single"/>
              </w:rPr>
              <w:t xml:space="preserve"> </w:t>
            </w:r>
            <w:r>
              <w:rPr>
                <w:rFonts w:hint="eastAsia" w:ascii="宋体" w:hAnsi="宋体" w:cs="宋体"/>
                <w:szCs w:val="21"/>
                <w:highlight w:val="none"/>
              </w:rPr>
              <w:t>上进行公示，公示期</w:t>
            </w:r>
            <w:r>
              <w:rPr>
                <w:rFonts w:hint="eastAsia" w:ascii="宋体" w:hAnsi="宋体" w:cs="宋体"/>
                <w:szCs w:val="21"/>
                <w:highlight w:val="none"/>
                <w:lang w:eastAsia="zh-CN"/>
              </w:rPr>
              <w:t>不少于</w:t>
            </w:r>
            <w:r>
              <w:rPr>
                <w:rFonts w:hint="eastAsia" w:ascii="宋体" w:hAnsi="宋体" w:cs="宋体"/>
                <w:szCs w:val="21"/>
                <w:highlight w:val="none"/>
              </w:rPr>
              <w:t>3日。为深化信息公开，接受社会监督，本项目将按照《</w:t>
            </w:r>
            <w:r>
              <w:rPr>
                <w:rFonts w:hint="eastAsia" w:ascii="宋体" w:hAnsi="宋体" w:cs="宋体"/>
                <w:szCs w:val="21"/>
                <w:highlight w:val="none"/>
                <w:lang w:eastAsia="zh-CN"/>
              </w:rPr>
              <w:t>竞争性比选公告</w:t>
            </w:r>
            <w:r>
              <w:rPr>
                <w:rFonts w:hint="eastAsia" w:ascii="宋体" w:hAnsi="宋体" w:cs="宋体"/>
                <w:szCs w:val="21"/>
                <w:highlight w:val="none"/>
              </w:rPr>
              <w:t>和公示信息发布管理办法》（国家发改委令第10号）的要求，公示内容包括中标候选人名称、排序、投标报价、质量、工期；中标候选人资质、投标业绩名称</w:t>
            </w:r>
            <w:r>
              <w:rPr>
                <w:rFonts w:hint="eastAsia" w:ascii="宋体" w:hAnsi="宋体" w:cs="宋体"/>
                <w:szCs w:val="21"/>
                <w:highlight w:val="none"/>
                <w:lang w:eastAsia="zh-CN"/>
              </w:rPr>
              <w:t>（如有）</w:t>
            </w:r>
            <w:r>
              <w:rPr>
                <w:rFonts w:hint="eastAsia" w:ascii="宋体" w:hAnsi="宋体" w:cs="宋体"/>
                <w:szCs w:val="21"/>
                <w:highlight w:val="none"/>
              </w:rPr>
              <w:t>，中标候选人项目经理姓名及其相关证书名称和编号、投标业绩名称</w:t>
            </w:r>
            <w:r>
              <w:rPr>
                <w:rFonts w:hint="eastAsia" w:ascii="宋体" w:hAnsi="宋体" w:cs="宋体"/>
                <w:szCs w:val="21"/>
                <w:highlight w:val="none"/>
                <w:lang w:eastAsia="zh-CN"/>
              </w:rPr>
              <w:t>（如有）</w:t>
            </w:r>
            <w:r>
              <w:rPr>
                <w:rFonts w:hint="eastAsia" w:ascii="宋体" w:hAnsi="宋体" w:cs="宋体"/>
                <w:szCs w:val="21"/>
                <w:highlight w:val="none"/>
              </w:rPr>
              <w:t>；否决投标情况及理由；</w:t>
            </w:r>
            <w:r>
              <w:rPr>
                <w:rFonts w:hint="eastAsia" w:ascii="宋体" w:hAnsi="宋体" w:cs="宋体"/>
                <w:szCs w:val="21"/>
                <w:highlight w:val="none"/>
                <w:lang w:eastAsia="zh-CN"/>
              </w:rPr>
              <w:t>比选申请人</w:t>
            </w:r>
            <w:r>
              <w:rPr>
                <w:rFonts w:hint="eastAsia" w:ascii="宋体" w:hAnsi="宋体" w:cs="宋体"/>
                <w:szCs w:val="21"/>
                <w:highlight w:val="none"/>
              </w:rPr>
              <w:t>撤销</w:t>
            </w:r>
            <w:r>
              <w:rPr>
                <w:rFonts w:hint="eastAsia" w:ascii="宋体" w:hAnsi="宋体" w:cs="宋体"/>
                <w:szCs w:val="21"/>
                <w:highlight w:val="none"/>
                <w:lang w:eastAsia="zh-CN"/>
              </w:rPr>
              <w:t>比选申请文件</w:t>
            </w:r>
            <w:r>
              <w:rPr>
                <w:rFonts w:hint="eastAsia" w:ascii="宋体" w:hAnsi="宋体" w:cs="宋体"/>
                <w:szCs w:val="21"/>
                <w:highlight w:val="none"/>
              </w:rPr>
              <w:t>或者部分投标被否决导致有效</w:t>
            </w:r>
            <w:r>
              <w:rPr>
                <w:rFonts w:hint="eastAsia" w:ascii="宋体" w:hAnsi="宋体" w:cs="宋体"/>
                <w:szCs w:val="21"/>
                <w:highlight w:val="none"/>
                <w:lang w:eastAsia="zh-CN"/>
              </w:rPr>
              <w:t>比选申请人</w:t>
            </w:r>
            <w:r>
              <w:rPr>
                <w:rFonts w:hint="eastAsia" w:ascii="宋体" w:hAnsi="宋体" w:cs="宋体"/>
                <w:szCs w:val="21"/>
                <w:highlight w:val="none"/>
              </w:rPr>
              <w:t>不足三个的竞争性论证结果</w:t>
            </w:r>
            <w:r>
              <w:rPr>
                <w:rFonts w:hint="eastAsia" w:ascii="宋体" w:hAnsi="宋体" w:cs="宋体"/>
                <w:szCs w:val="21"/>
                <w:highlight w:val="none"/>
                <w:lang w:eastAsia="zh-CN"/>
              </w:rPr>
              <w:t>（</w:t>
            </w:r>
            <w:r>
              <w:rPr>
                <w:rFonts w:hint="eastAsia" w:ascii="宋体" w:hAnsi="宋体" w:cs="宋体"/>
                <w:szCs w:val="21"/>
                <w:highlight w:val="none"/>
                <w:lang w:val="en-US" w:eastAsia="zh-CN"/>
              </w:rPr>
              <w:t>如有</w:t>
            </w:r>
            <w:r>
              <w:rPr>
                <w:rFonts w:hint="eastAsia" w:ascii="宋体" w:hAnsi="宋体" w:cs="宋体"/>
                <w:szCs w:val="21"/>
                <w:highlight w:val="none"/>
                <w:lang w:eastAsia="zh-CN"/>
              </w:rPr>
              <w:t>）；</w:t>
            </w:r>
            <w:r>
              <w:rPr>
                <w:rFonts w:hint="eastAsia" w:ascii="宋体" w:hAnsi="宋体" w:cs="宋体"/>
                <w:szCs w:val="21"/>
                <w:highlight w:val="none"/>
              </w:rPr>
              <w:t>提出异议、投诉的渠道和方式。</w:t>
            </w:r>
          </w:p>
        </w:tc>
      </w:tr>
      <w:tr w14:paraId="15DC69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Merge w:val="continue"/>
            <w:vAlign w:val="center"/>
          </w:tcPr>
          <w:p w14:paraId="2C0FF060">
            <w:pPr>
              <w:keepNext w:val="0"/>
              <w:keepLines w:val="0"/>
              <w:pageBreakBefore w:val="0"/>
              <w:kinsoku/>
              <w:wordWrap/>
              <w:overflowPunct/>
              <w:topLinePunct w:val="0"/>
              <w:bidi w:val="0"/>
              <w:snapToGrid w:val="0"/>
              <w:spacing w:line="400" w:lineRule="exact"/>
              <w:jc w:val="center"/>
              <w:textAlignment w:val="auto"/>
              <w:rPr>
                <w:rFonts w:hint="eastAsia" w:ascii="宋体" w:hAnsi="宋体"/>
                <w:kern w:val="0"/>
                <w:szCs w:val="21"/>
                <w:highlight w:val="none"/>
              </w:rPr>
            </w:pPr>
          </w:p>
        </w:tc>
        <w:tc>
          <w:tcPr>
            <w:tcW w:w="1644" w:type="dxa"/>
            <w:vAlign w:val="center"/>
          </w:tcPr>
          <w:p w14:paraId="3421B3B7">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kern w:val="0"/>
                <w:szCs w:val="21"/>
                <w:highlight w:val="none"/>
                <w:lang w:val="en-US" w:eastAsia="zh-CN"/>
              </w:rPr>
            </w:pPr>
            <w:r>
              <w:rPr>
                <w:rFonts w:hint="eastAsia" w:ascii="宋体" w:hAnsi="宋体"/>
                <w:kern w:val="0"/>
                <w:szCs w:val="21"/>
                <w:highlight w:val="none"/>
                <w:lang w:val="en-US" w:eastAsia="zh-CN"/>
              </w:rPr>
              <w:t>中标结果公告</w:t>
            </w:r>
          </w:p>
        </w:tc>
        <w:tc>
          <w:tcPr>
            <w:tcW w:w="6490" w:type="dxa"/>
            <w:vAlign w:val="center"/>
          </w:tcPr>
          <w:p w14:paraId="7A39BE2A">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eastAsia="宋体" w:cs="宋体"/>
                <w:szCs w:val="21"/>
                <w:highlight w:val="none"/>
                <w:lang w:eastAsia="zh-CN"/>
              </w:rPr>
            </w:pPr>
            <w:r>
              <w:rPr>
                <w:rFonts w:hint="eastAsia" w:ascii="宋体" w:hAnsi="宋体" w:cs="宋体"/>
                <w:szCs w:val="21"/>
                <w:highlight w:val="none"/>
                <w:lang w:eastAsia="zh-CN"/>
              </w:rPr>
              <w:t>比选人</w:t>
            </w:r>
            <w:r>
              <w:rPr>
                <w:rFonts w:hint="eastAsia" w:ascii="宋体" w:hAnsi="宋体" w:cs="宋体"/>
                <w:szCs w:val="21"/>
                <w:highlight w:val="none"/>
              </w:rPr>
              <w:t>自中标通知书发出之日起三日内，在</w:t>
            </w:r>
            <w:r>
              <w:rPr>
                <w:rFonts w:hint="eastAsia" w:ascii="宋体" w:hAnsi="宋体" w:cs="宋体"/>
                <w:szCs w:val="21"/>
                <w:highlight w:val="none"/>
                <w:lang w:eastAsia="zh-CN"/>
              </w:rPr>
              <w:t>竞争性比选公告</w:t>
            </w:r>
            <w:r>
              <w:rPr>
                <w:rFonts w:hint="eastAsia" w:ascii="宋体" w:hAnsi="宋体" w:cs="宋体"/>
                <w:szCs w:val="21"/>
                <w:highlight w:val="none"/>
              </w:rPr>
              <w:t>发布媒介上公告</w:t>
            </w:r>
            <w:r>
              <w:rPr>
                <w:rFonts w:hint="eastAsia" w:ascii="宋体" w:hAnsi="宋体" w:cs="宋体"/>
                <w:szCs w:val="21"/>
                <w:highlight w:val="none"/>
                <w:lang w:eastAsia="zh-CN"/>
              </w:rPr>
              <w:t>比选人</w:t>
            </w:r>
            <w:r>
              <w:rPr>
                <w:rFonts w:hint="eastAsia" w:ascii="宋体" w:hAnsi="宋体" w:cs="宋体"/>
                <w:szCs w:val="21"/>
                <w:highlight w:val="none"/>
              </w:rPr>
              <w:t>及法定代表人名称，</w:t>
            </w:r>
            <w:r>
              <w:rPr>
                <w:rFonts w:hint="eastAsia" w:ascii="宋体" w:hAnsi="宋体" w:cs="宋体"/>
                <w:szCs w:val="21"/>
                <w:highlight w:val="none"/>
                <w:lang w:eastAsia="zh-CN"/>
              </w:rPr>
              <w:t>比选代理机构</w:t>
            </w:r>
            <w:r>
              <w:rPr>
                <w:rFonts w:hint="eastAsia" w:ascii="宋体" w:hAnsi="宋体" w:cs="宋体"/>
                <w:szCs w:val="21"/>
                <w:highlight w:val="none"/>
              </w:rPr>
              <w:t>及法定代表人名称，中标人及法定代表人名称、中标价格等中标结果，评标委员会组建方式、成员名单、评标意见等信息</w:t>
            </w:r>
            <w:r>
              <w:rPr>
                <w:rFonts w:hint="eastAsia" w:ascii="宋体" w:hAnsi="宋体" w:cs="宋体"/>
                <w:szCs w:val="21"/>
                <w:highlight w:val="none"/>
                <w:lang w:eastAsia="zh-CN"/>
              </w:rPr>
              <w:t>。</w:t>
            </w:r>
          </w:p>
        </w:tc>
      </w:tr>
      <w:tr w14:paraId="3516D7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28E994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7.3.1</w:t>
            </w:r>
          </w:p>
        </w:tc>
        <w:tc>
          <w:tcPr>
            <w:tcW w:w="1644" w:type="dxa"/>
            <w:vAlign w:val="center"/>
          </w:tcPr>
          <w:p w14:paraId="6E7304A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履约担保</w:t>
            </w:r>
          </w:p>
        </w:tc>
        <w:tc>
          <w:tcPr>
            <w:tcW w:w="6490" w:type="dxa"/>
            <w:vAlign w:val="center"/>
          </w:tcPr>
          <w:p w14:paraId="63A3E5BA">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rPr>
            </w:pPr>
            <w:r>
              <w:rPr>
                <w:rFonts w:hint="eastAsia" w:ascii="宋体" w:hAnsi="宋体"/>
                <w:kern w:val="0"/>
                <w:szCs w:val="21"/>
              </w:rPr>
              <w:t>1、中标人是否提供履约担保：</w:t>
            </w:r>
            <w:r>
              <w:rPr>
                <w:rFonts w:hint="eastAsia" w:ascii="宋体" w:hAnsi="宋体"/>
                <w:kern w:val="0"/>
                <w:szCs w:val="21"/>
                <w:u w:val="single"/>
              </w:rPr>
              <w:t>提供</w:t>
            </w:r>
            <w:r>
              <w:rPr>
                <w:rFonts w:hint="eastAsia" w:ascii="宋体" w:hAnsi="宋体"/>
                <w:kern w:val="0"/>
                <w:szCs w:val="21"/>
              </w:rPr>
              <w:t>。</w:t>
            </w:r>
          </w:p>
          <w:p w14:paraId="74E7CEFD">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rPr>
            </w:pPr>
            <w:r>
              <w:rPr>
                <w:rFonts w:hint="eastAsia" w:ascii="宋体" w:hAnsi="宋体"/>
                <w:kern w:val="0"/>
                <w:szCs w:val="21"/>
              </w:rPr>
              <w:t>2、中标人提供履约担保的形式、金额及期限：</w:t>
            </w:r>
          </w:p>
          <w:p w14:paraId="353D0BF3">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lang w:val="en-US" w:eastAsia="zh-CN"/>
              </w:rPr>
            </w:pPr>
            <w:r>
              <w:rPr>
                <w:rFonts w:hint="eastAsia" w:ascii="宋体" w:hAnsi="宋体"/>
                <w:kern w:val="0"/>
                <w:szCs w:val="21"/>
              </w:rPr>
              <w:t>（1）履约担保的形式：现金或</w:t>
            </w:r>
            <w:r>
              <w:rPr>
                <w:rFonts w:hint="eastAsia" w:ascii="宋体" w:hAnsi="宋体"/>
                <w:kern w:val="0"/>
                <w:szCs w:val="21"/>
                <w:lang w:val="en-US" w:eastAsia="zh-CN"/>
              </w:rPr>
              <w:t>履约</w:t>
            </w:r>
            <w:r>
              <w:rPr>
                <w:rFonts w:hint="eastAsia" w:ascii="宋体" w:hAnsi="宋体"/>
                <w:kern w:val="0"/>
                <w:szCs w:val="21"/>
              </w:rPr>
              <w:t>保函或现金+</w:t>
            </w:r>
            <w:r>
              <w:rPr>
                <w:rFonts w:hint="eastAsia" w:ascii="宋体" w:hAnsi="宋体"/>
                <w:kern w:val="0"/>
                <w:szCs w:val="21"/>
                <w:lang w:val="en-US" w:eastAsia="zh-CN"/>
              </w:rPr>
              <w:t>履约</w:t>
            </w:r>
            <w:r>
              <w:rPr>
                <w:rFonts w:hint="eastAsia" w:ascii="宋体" w:hAnsi="宋体"/>
                <w:kern w:val="0"/>
                <w:szCs w:val="21"/>
              </w:rPr>
              <w:t>保函的组合</w:t>
            </w:r>
            <w:r>
              <w:rPr>
                <w:rFonts w:hint="eastAsia" w:ascii="宋体" w:hAnsi="宋体"/>
                <w:kern w:val="0"/>
                <w:szCs w:val="21"/>
                <w:lang w:eastAsia="zh-CN"/>
              </w:rPr>
              <w:t>，履约</w:t>
            </w:r>
            <w:r>
              <w:rPr>
                <w:rFonts w:hint="eastAsia" w:ascii="宋体" w:hAnsi="宋体"/>
                <w:kern w:val="0"/>
                <w:szCs w:val="21"/>
              </w:rPr>
              <w:t>保函包括银行保函、保证保险和担保保函</w:t>
            </w:r>
            <w:r>
              <w:rPr>
                <w:rFonts w:hint="eastAsia" w:ascii="宋体" w:hAnsi="宋体"/>
                <w:kern w:val="0"/>
                <w:szCs w:val="21"/>
                <w:lang w:eastAsia="zh-CN"/>
              </w:rPr>
              <w:t>，</w:t>
            </w:r>
            <w:r>
              <w:rPr>
                <w:rFonts w:hint="eastAsia" w:ascii="宋体" w:hAnsi="宋体"/>
                <w:kern w:val="0"/>
                <w:szCs w:val="21"/>
                <w:lang w:val="en-US" w:eastAsia="zh-CN"/>
              </w:rPr>
              <w:t>其示范文本详见第四章合同条款及格式附件</w:t>
            </w:r>
            <w:r>
              <w:rPr>
                <w:rFonts w:hint="eastAsia" w:ascii="宋体" w:hAnsi="宋体"/>
                <w:kern w:val="0"/>
                <w:szCs w:val="21"/>
                <w:lang w:eastAsia="zh-CN"/>
              </w:rPr>
              <w:t>。</w:t>
            </w:r>
            <w:r>
              <w:rPr>
                <w:rFonts w:hint="eastAsia" w:ascii="宋体" w:hAnsi="宋体"/>
                <w:kern w:val="0"/>
                <w:szCs w:val="21"/>
                <w:lang w:val="en-US" w:eastAsia="zh-CN"/>
              </w:rPr>
              <w:t>中标人提交的履约保函应</w:t>
            </w:r>
            <w:r>
              <w:rPr>
                <w:rFonts w:hint="eastAsia" w:ascii="宋体" w:hAnsi="宋体"/>
                <w:kern w:val="0"/>
                <w:szCs w:val="21"/>
              </w:rPr>
              <w:t>严格执行</w:t>
            </w:r>
            <w:r>
              <w:rPr>
                <w:rFonts w:hint="eastAsia" w:ascii="宋体" w:hAnsi="宋体"/>
                <w:kern w:val="0"/>
                <w:szCs w:val="21"/>
                <w:lang w:val="en-US" w:eastAsia="zh-CN"/>
              </w:rPr>
              <w:t>其</w:t>
            </w:r>
            <w:r>
              <w:rPr>
                <w:rFonts w:hint="eastAsia" w:ascii="宋体" w:hAnsi="宋体"/>
                <w:kern w:val="0"/>
                <w:szCs w:val="21"/>
              </w:rPr>
              <w:t>示范文本，不得对示范文本中的实质性内容进行修改</w:t>
            </w:r>
            <w:r>
              <w:rPr>
                <w:rFonts w:hint="eastAsia" w:ascii="宋体" w:hAnsi="宋体"/>
                <w:szCs w:val="21"/>
                <w:lang w:val="en-US" w:eastAsia="zh-CN"/>
              </w:rPr>
              <w:t>。</w:t>
            </w:r>
          </w:p>
          <w:p w14:paraId="27767EBA">
            <w:pPr>
              <w:keepNext w:val="0"/>
              <w:keepLines w:val="0"/>
              <w:pageBreakBefore w:val="0"/>
              <w:kinsoku/>
              <w:wordWrap/>
              <w:overflowPunct/>
              <w:topLinePunct w:val="0"/>
              <w:bidi w:val="0"/>
              <w:snapToGrid w:val="0"/>
              <w:spacing w:line="400" w:lineRule="exact"/>
              <w:ind w:firstLine="420" w:firstLineChars="200"/>
              <w:textAlignment w:val="auto"/>
              <w:rPr>
                <w:rFonts w:hint="default" w:ascii="宋体" w:hAnsi="宋体" w:eastAsia="宋体"/>
                <w:kern w:val="0"/>
                <w:szCs w:val="21"/>
                <w:lang w:val="en-US" w:eastAsia="zh-CN"/>
              </w:rPr>
            </w:pPr>
            <w:r>
              <w:rPr>
                <w:rFonts w:hint="eastAsia" w:ascii="宋体" w:hAnsi="宋体"/>
                <w:kern w:val="0"/>
                <w:szCs w:val="21"/>
                <w:lang w:val="en-US" w:eastAsia="zh-CN"/>
              </w:rPr>
              <w:t>（2）具体要求：履约保函</w:t>
            </w:r>
            <w:r>
              <w:rPr>
                <w:rFonts w:hint="eastAsia" w:ascii="宋体" w:hAnsi="宋体"/>
                <w:kern w:val="0"/>
                <w:szCs w:val="21"/>
              </w:rPr>
              <w:t>的开立人应当是具有相应资格的银行、保险机构、融资担保公司，其信用资质、履约能力、担保能力、赔付流程、安全保密等应符合</w:t>
            </w:r>
            <w:r>
              <w:rPr>
                <w:rFonts w:hint="eastAsia" w:ascii="宋体" w:hAnsi="宋体"/>
                <w:kern w:val="0"/>
                <w:szCs w:val="21"/>
                <w:lang w:eastAsia="zh-CN"/>
              </w:rPr>
              <w:t>履约</w:t>
            </w:r>
            <w:r>
              <w:rPr>
                <w:rFonts w:hint="eastAsia" w:ascii="宋体" w:hAnsi="宋体"/>
                <w:kern w:val="0"/>
                <w:szCs w:val="21"/>
              </w:rPr>
              <w:t>保函业务条件</w:t>
            </w:r>
            <w:r>
              <w:rPr>
                <w:rFonts w:hint="eastAsia" w:ascii="宋体" w:hAnsi="宋体"/>
                <w:kern w:val="0"/>
                <w:szCs w:val="21"/>
                <w:lang w:eastAsia="zh-CN"/>
              </w:rPr>
              <w:t>。</w:t>
            </w:r>
            <w:r>
              <w:rPr>
                <w:rFonts w:hint="eastAsia" w:ascii="宋体" w:hAnsi="宋体"/>
                <w:kern w:val="0"/>
                <w:szCs w:val="21"/>
                <w:lang w:val="en-US" w:eastAsia="zh-CN"/>
              </w:rPr>
              <w:t>履约保函</w:t>
            </w:r>
            <w:r>
              <w:rPr>
                <w:rFonts w:hint="eastAsia" w:ascii="宋体" w:hAnsi="宋体"/>
                <w:kern w:val="0"/>
                <w:szCs w:val="21"/>
                <w:lang w:eastAsia="zh-CN"/>
              </w:rPr>
              <w:t>应合法合规，符合招投标行政监督部门、行业主管部门和金融监管部门的相关规定，满足竞争性比选文件约定要求。</w:t>
            </w:r>
            <w:r>
              <w:rPr>
                <w:rFonts w:hint="eastAsia" w:ascii="宋体" w:hAnsi="宋体"/>
                <w:kern w:val="0"/>
                <w:szCs w:val="21"/>
                <w:lang w:val="en-US" w:eastAsia="zh-CN"/>
              </w:rPr>
              <w:t>中标人</w:t>
            </w:r>
            <w:r>
              <w:rPr>
                <w:rFonts w:hint="eastAsia" w:ascii="宋体" w:hAnsi="宋体"/>
                <w:kern w:val="0"/>
                <w:szCs w:val="21"/>
              </w:rPr>
              <w:t>应选择在渝依法设立总部或者设有分支机构的金融机构开具</w:t>
            </w:r>
            <w:r>
              <w:rPr>
                <w:rFonts w:hint="eastAsia" w:ascii="宋体" w:hAnsi="宋体"/>
                <w:kern w:val="0"/>
                <w:szCs w:val="21"/>
                <w:lang w:val="en-US" w:eastAsia="zh-CN"/>
              </w:rPr>
              <w:t>履约保函（包括纸质保函或电子保函）</w:t>
            </w:r>
            <w:r>
              <w:rPr>
                <w:rFonts w:hint="eastAsia" w:ascii="宋体" w:hAnsi="宋体"/>
                <w:kern w:val="0"/>
                <w:szCs w:val="21"/>
                <w:lang w:eastAsia="zh-CN"/>
              </w:rPr>
              <w:t>。</w:t>
            </w:r>
            <w:r>
              <w:rPr>
                <w:rFonts w:hint="eastAsia" w:ascii="宋体" w:hAnsi="宋体"/>
                <w:kern w:val="0"/>
                <w:szCs w:val="21"/>
                <w:lang w:val="en-US" w:eastAsia="zh-CN"/>
              </w:rPr>
              <w:t>履约保函为纸质保函的，纸质保函应注明在</w:t>
            </w:r>
            <w:r>
              <w:rPr>
                <w:rFonts w:hint="eastAsia" w:ascii="宋体" w:hAnsi="宋体"/>
                <w:kern w:val="0"/>
                <w:szCs w:val="21"/>
              </w:rPr>
              <w:t>重庆市辖区范围内的核验地址和核验方式</w:t>
            </w:r>
            <w:r>
              <w:rPr>
                <w:rFonts w:hint="eastAsia" w:ascii="宋体" w:hAnsi="宋体"/>
                <w:kern w:val="0"/>
                <w:szCs w:val="21"/>
                <w:lang w:eastAsia="zh-CN"/>
              </w:rPr>
              <w:t>，</w:t>
            </w:r>
            <w:r>
              <w:rPr>
                <w:rFonts w:hint="eastAsia" w:ascii="宋体" w:hAnsi="宋体"/>
                <w:kern w:val="0"/>
                <w:szCs w:val="21"/>
                <w:lang w:val="en-US" w:eastAsia="zh-CN"/>
              </w:rPr>
              <w:t>并确保该纸质保函能在开立人在渝的总部或者分支机构进行核验</w:t>
            </w:r>
            <w:r>
              <w:rPr>
                <w:rFonts w:hint="eastAsia" w:ascii="宋体" w:hAnsi="宋体"/>
                <w:kern w:val="0"/>
                <w:szCs w:val="21"/>
                <w:lang w:eastAsia="zh-CN"/>
              </w:rPr>
              <w:t>。</w:t>
            </w:r>
            <w:r>
              <w:rPr>
                <w:rFonts w:hint="eastAsia" w:ascii="宋体" w:hAnsi="宋体"/>
                <w:kern w:val="0"/>
                <w:szCs w:val="21"/>
                <w:lang w:val="en-US" w:eastAsia="zh-CN"/>
              </w:rPr>
              <w:t>中标人对所提交的履约保函的真实性、合法性、有效性负责。</w:t>
            </w:r>
          </w:p>
          <w:p w14:paraId="3F882353">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rPr>
            </w:pPr>
            <w:r>
              <w:rPr>
                <w:rFonts w:hint="eastAsia" w:ascii="宋体" w:hAnsi="宋体"/>
                <w:kern w:val="0"/>
                <w:szCs w:val="21"/>
              </w:rPr>
              <w:t>（</w:t>
            </w:r>
            <w:r>
              <w:rPr>
                <w:rFonts w:hint="eastAsia" w:ascii="宋体" w:hAnsi="宋体"/>
                <w:kern w:val="0"/>
                <w:szCs w:val="21"/>
                <w:lang w:val="en-US" w:eastAsia="zh-CN"/>
              </w:rPr>
              <w:t>3</w:t>
            </w:r>
            <w:r>
              <w:rPr>
                <w:rFonts w:hint="eastAsia" w:ascii="宋体" w:hAnsi="宋体"/>
                <w:kern w:val="0"/>
                <w:szCs w:val="21"/>
              </w:rPr>
              <w:t>）履约担保的金额：</w:t>
            </w:r>
            <w:r>
              <w:rPr>
                <w:rFonts w:hint="eastAsia" w:ascii="宋体" w:hAnsi="宋体"/>
                <w:kern w:val="0"/>
                <w:szCs w:val="21"/>
                <w:u w:val="single"/>
              </w:rPr>
              <w:t xml:space="preserve"> </w:t>
            </w:r>
            <w:r>
              <w:rPr>
                <w:rFonts w:hint="eastAsia" w:ascii="宋体" w:hAnsi="宋体"/>
                <w:kern w:val="0"/>
                <w:szCs w:val="21"/>
                <w:u w:val="single"/>
                <w:lang w:val="en-US" w:eastAsia="zh-CN"/>
              </w:rPr>
              <w:t>中标合同金额的10%</w:t>
            </w:r>
            <w:r>
              <w:rPr>
                <w:rFonts w:hint="eastAsia" w:ascii="宋体" w:hAnsi="宋体"/>
                <w:kern w:val="0"/>
                <w:szCs w:val="21"/>
                <w:u w:val="single"/>
              </w:rPr>
              <w:t xml:space="preserve">  </w:t>
            </w:r>
            <w:r>
              <w:rPr>
                <w:rFonts w:hint="eastAsia" w:ascii="宋体" w:hAnsi="宋体"/>
                <w:kern w:val="0"/>
                <w:szCs w:val="21"/>
              </w:rPr>
              <w:t>。</w:t>
            </w:r>
          </w:p>
          <w:p w14:paraId="412F362C">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4</w:t>
            </w:r>
            <w:r>
              <w:rPr>
                <w:rFonts w:hint="eastAsia" w:ascii="宋体" w:hAnsi="宋体"/>
                <w:kern w:val="0"/>
                <w:szCs w:val="21"/>
              </w:rPr>
              <w:t>）履约担保的提交时间：见专用合同条款。</w:t>
            </w:r>
          </w:p>
          <w:p w14:paraId="74196F8F">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5</w:t>
            </w:r>
            <w:r>
              <w:rPr>
                <w:rFonts w:hint="eastAsia" w:ascii="宋体" w:hAnsi="宋体"/>
                <w:kern w:val="0"/>
                <w:szCs w:val="21"/>
              </w:rPr>
              <w:t>）履约担保的期限：见专用合同条款。</w:t>
            </w:r>
          </w:p>
          <w:p w14:paraId="7E9423D5">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rPr>
              <w:t>（</w:t>
            </w:r>
            <w:r>
              <w:rPr>
                <w:rFonts w:hint="eastAsia" w:ascii="宋体" w:hAnsi="宋体"/>
                <w:kern w:val="0"/>
                <w:szCs w:val="21"/>
                <w:lang w:val="en-US" w:eastAsia="zh-CN"/>
              </w:rPr>
              <w:t>6</w:t>
            </w:r>
            <w:r>
              <w:rPr>
                <w:rFonts w:hint="eastAsia" w:ascii="宋体" w:hAnsi="宋体"/>
                <w:kern w:val="0"/>
                <w:szCs w:val="21"/>
              </w:rPr>
              <w:t>）履约担保的退还时间：见专用合同条款。</w:t>
            </w:r>
          </w:p>
        </w:tc>
      </w:tr>
      <w:tr w14:paraId="15C6A6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A89C83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8.1</w:t>
            </w:r>
          </w:p>
        </w:tc>
        <w:tc>
          <w:tcPr>
            <w:tcW w:w="1644" w:type="dxa"/>
            <w:vAlign w:val="center"/>
          </w:tcPr>
          <w:p w14:paraId="1F43414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重新招标</w:t>
            </w:r>
            <w:r>
              <w:rPr>
                <w:rFonts w:hint="eastAsia" w:ascii="宋体" w:hAnsi="宋体"/>
                <w:kern w:val="0"/>
                <w:szCs w:val="21"/>
                <w:highlight w:val="none"/>
              </w:rPr>
              <w:t>的情形</w:t>
            </w:r>
          </w:p>
        </w:tc>
        <w:tc>
          <w:tcPr>
            <w:tcW w:w="6490" w:type="dxa"/>
            <w:vAlign w:val="center"/>
          </w:tcPr>
          <w:p w14:paraId="5E62A02B">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highlight w:val="non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1</w:t>
            </w:r>
            <w:r>
              <w:rPr>
                <w:rFonts w:hint="eastAsia" w:ascii="宋体" w:hAnsi="宋体"/>
                <w:kern w:val="0"/>
                <w:szCs w:val="21"/>
                <w:highlight w:val="none"/>
                <w:lang w:eastAsia="zh-CN"/>
              </w:rPr>
              <w:t>）</w:t>
            </w:r>
            <w:r>
              <w:rPr>
                <w:rFonts w:hint="eastAsia" w:ascii="宋体" w:hAnsi="宋体"/>
                <w:kern w:val="0"/>
                <w:szCs w:val="21"/>
                <w:highlight w:val="none"/>
              </w:rPr>
              <w:t>投标截止时间止，</w:t>
            </w:r>
            <w:r>
              <w:rPr>
                <w:rFonts w:hint="eastAsia" w:ascii="宋体" w:hAnsi="宋体"/>
                <w:kern w:val="0"/>
                <w:szCs w:val="21"/>
                <w:highlight w:val="none"/>
                <w:lang w:eastAsia="zh-CN"/>
              </w:rPr>
              <w:t>比选申请人</w:t>
            </w:r>
            <w:r>
              <w:rPr>
                <w:rFonts w:hint="eastAsia" w:ascii="宋体" w:hAnsi="宋体"/>
                <w:kern w:val="0"/>
                <w:szCs w:val="21"/>
                <w:highlight w:val="none"/>
              </w:rPr>
              <w:t>少于 3 个的</w:t>
            </w:r>
            <w:r>
              <w:rPr>
                <w:rFonts w:hint="eastAsia" w:ascii="宋体" w:hAnsi="宋体"/>
                <w:kern w:val="0"/>
                <w:szCs w:val="21"/>
                <w:highlight w:val="none"/>
                <w:lang w:eastAsia="zh-CN"/>
              </w:rPr>
              <w:t>（</w:t>
            </w:r>
            <w:r>
              <w:rPr>
                <w:rFonts w:hint="eastAsia" w:ascii="宋体" w:hAnsi="宋体"/>
                <w:kern w:val="0"/>
                <w:szCs w:val="21"/>
                <w:highlight w:val="none"/>
              </w:rPr>
              <w:t>本款只适用于首次招标</w:t>
            </w:r>
            <w:r>
              <w:rPr>
                <w:rFonts w:hint="eastAsia" w:ascii="宋体" w:hAnsi="宋体"/>
                <w:kern w:val="0"/>
                <w:szCs w:val="21"/>
                <w:highlight w:val="none"/>
                <w:lang w:eastAsia="zh-CN"/>
              </w:rPr>
              <w:t>）</w:t>
            </w:r>
            <w:r>
              <w:rPr>
                <w:rFonts w:hint="eastAsia" w:ascii="宋体" w:hAnsi="宋体"/>
                <w:kern w:val="0"/>
                <w:szCs w:val="21"/>
                <w:highlight w:val="none"/>
              </w:rPr>
              <w:t>；</w:t>
            </w:r>
          </w:p>
          <w:p w14:paraId="72BE48D1">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highlight w:val="non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2</w:t>
            </w:r>
            <w:r>
              <w:rPr>
                <w:rFonts w:hint="eastAsia" w:ascii="宋体" w:hAnsi="宋体"/>
                <w:kern w:val="0"/>
                <w:szCs w:val="21"/>
                <w:highlight w:val="none"/>
                <w:lang w:eastAsia="zh-CN"/>
              </w:rPr>
              <w:t>）</w:t>
            </w:r>
            <w:r>
              <w:rPr>
                <w:rFonts w:hint="eastAsia" w:ascii="宋体" w:hAnsi="宋体"/>
                <w:kern w:val="0"/>
                <w:szCs w:val="21"/>
                <w:highlight w:val="none"/>
              </w:rPr>
              <w:t>经评标委员会评审后否决所有投标的；</w:t>
            </w:r>
          </w:p>
          <w:p w14:paraId="6D253043">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kern w:val="0"/>
                <w:szCs w:val="21"/>
                <w:highlight w:val="non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3</w:t>
            </w:r>
            <w:r>
              <w:rPr>
                <w:rFonts w:hint="eastAsia" w:ascii="宋体" w:hAnsi="宋体"/>
                <w:kern w:val="0"/>
                <w:szCs w:val="21"/>
                <w:highlight w:val="none"/>
                <w:lang w:eastAsia="zh-CN"/>
              </w:rPr>
              <w:t>）</w:t>
            </w:r>
            <w:r>
              <w:rPr>
                <w:rFonts w:hint="eastAsia" w:ascii="宋体" w:hAnsi="宋体"/>
                <w:kern w:val="0"/>
                <w:szCs w:val="21"/>
                <w:highlight w:val="none"/>
              </w:rPr>
              <w:t>经评标委员会评审后部分投标被否决，因有效</w:t>
            </w:r>
            <w:r>
              <w:rPr>
                <w:rFonts w:hint="eastAsia" w:ascii="宋体" w:hAnsi="宋体"/>
                <w:kern w:val="0"/>
                <w:szCs w:val="21"/>
                <w:highlight w:val="none"/>
                <w:lang w:eastAsia="zh-CN"/>
              </w:rPr>
              <w:t>比选申请人</w:t>
            </w:r>
            <w:r>
              <w:rPr>
                <w:rFonts w:hint="eastAsia" w:ascii="宋体" w:hAnsi="宋体"/>
                <w:kern w:val="0"/>
                <w:szCs w:val="21"/>
                <w:highlight w:val="none"/>
              </w:rPr>
              <w:t>不足三个使得投标明显缺乏竞争的</w:t>
            </w:r>
            <w:r>
              <w:rPr>
                <w:rFonts w:hint="eastAsia" w:ascii="宋体" w:hAnsi="宋体"/>
                <w:kern w:val="0"/>
                <w:szCs w:val="21"/>
                <w:highlight w:val="none"/>
                <w:lang w:eastAsia="zh-CN"/>
              </w:rPr>
              <w:t>（</w:t>
            </w:r>
            <w:r>
              <w:rPr>
                <w:rFonts w:hint="eastAsia" w:ascii="宋体" w:hAnsi="宋体"/>
                <w:kern w:val="0"/>
                <w:szCs w:val="21"/>
                <w:highlight w:val="none"/>
              </w:rPr>
              <w:t>本款只适用于首次招标</w:t>
            </w:r>
            <w:r>
              <w:rPr>
                <w:rFonts w:hint="eastAsia" w:ascii="宋体" w:hAnsi="宋体"/>
                <w:kern w:val="0"/>
                <w:szCs w:val="21"/>
                <w:highlight w:val="none"/>
                <w:lang w:eastAsia="zh-CN"/>
              </w:rPr>
              <w:t>）</w:t>
            </w:r>
            <w:r>
              <w:rPr>
                <w:rFonts w:hint="eastAsia" w:ascii="宋体" w:hAnsi="宋体"/>
                <w:kern w:val="0"/>
                <w:szCs w:val="21"/>
                <w:highlight w:val="none"/>
              </w:rPr>
              <w:t>；</w:t>
            </w:r>
          </w:p>
          <w:p w14:paraId="06152E9E">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lang w:eastAsia="zh-CN"/>
              </w:rPr>
              <w:t>（</w:t>
            </w:r>
            <w:r>
              <w:rPr>
                <w:rFonts w:hint="eastAsia" w:ascii="宋体" w:hAnsi="宋体"/>
                <w:kern w:val="0"/>
                <w:szCs w:val="21"/>
                <w:highlight w:val="none"/>
                <w:lang w:val="en-US" w:eastAsia="zh-CN"/>
              </w:rPr>
              <w:t>4</w:t>
            </w:r>
            <w:r>
              <w:rPr>
                <w:rFonts w:hint="eastAsia" w:ascii="宋体" w:hAnsi="宋体"/>
                <w:kern w:val="0"/>
                <w:szCs w:val="21"/>
                <w:highlight w:val="none"/>
                <w:lang w:eastAsia="zh-CN"/>
              </w:rPr>
              <w:t>）</w:t>
            </w:r>
            <w:r>
              <w:rPr>
                <w:rFonts w:hint="eastAsia" w:ascii="宋体" w:hAnsi="宋体"/>
                <w:kern w:val="0"/>
                <w:szCs w:val="21"/>
                <w:highlight w:val="none"/>
              </w:rPr>
              <w:t>法律法规规定的其他情形。</w:t>
            </w:r>
          </w:p>
        </w:tc>
      </w:tr>
      <w:tr w14:paraId="13E37E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43F1C82">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8.2</w:t>
            </w:r>
          </w:p>
        </w:tc>
        <w:tc>
          <w:tcPr>
            <w:tcW w:w="1644" w:type="dxa"/>
            <w:vAlign w:val="center"/>
          </w:tcPr>
          <w:p w14:paraId="684A0477">
            <w:pPr>
              <w:keepNext w:val="0"/>
              <w:keepLines w:val="0"/>
              <w:pageBreakBefore w:val="0"/>
              <w:kinsoku/>
              <w:wordWrap/>
              <w:overflowPunct/>
              <w:topLinePunct w:val="0"/>
              <w:bidi w:val="0"/>
              <w:snapToGrid w:val="0"/>
              <w:spacing w:line="400" w:lineRule="exact"/>
              <w:jc w:val="center"/>
              <w:textAlignment w:val="auto"/>
              <w:rPr>
                <w:highlight w:val="none"/>
              </w:rPr>
            </w:pPr>
            <w:bookmarkStart w:id="104" w:name="_Toc536628250"/>
            <w:bookmarkStart w:id="105" w:name="_Toc16930431"/>
            <w:bookmarkStart w:id="106" w:name="_Toc13210670"/>
            <w:bookmarkStart w:id="107" w:name="_Toc509218709"/>
            <w:bookmarkStart w:id="108" w:name="_Toc430530434"/>
            <w:r>
              <w:rPr>
                <w:rFonts w:hint="eastAsia" w:ascii="宋体" w:hAnsi="宋体"/>
                <w:kern w:val="0"/>
                <w:szCs w:val="21"/>
                <w:highlight w:val="none"/>
              </w:rPr>
              <w:t>重新</w:t>
            </w:r>
            <w:r>
              <w:rPr>
                <w:rFonts w:ascii="宋体" w:hAnsi="宋体"/>
                <w:kern w:val="0"/>
                <w:szCs w:val="21"/>
                <w:highlight w:val="none"/>
              </w:rPr>
              <w:t>招标和不再招标</w:t>
            </w:r>
            <w:bookmarkEnd w:id="104"/>
            <w:bookmarkEnd w:id="105"/>
            <w:bookmarkEnd w:id="106"/>
            <w:bookmarkEnd w:id="107"/>
            <w:bookmarkEnd w:id="108"/>
          </w:p>
        </w:tc>
        <w:tc>
          <w:tcPr>
            <w:tcW w:w="6490" w:type="dxa"/>
            <w:vAlign w:val="center"/>
          </w:tcPr>
          <w:p w14:paraId="298316BC">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snapToGrid w:val="0"/>
                <w:kern w:val="0"/>
                <w:szCs w:val="21"/>
                <w:highlight w:val="none"/>
              </w:rPr>
            </w:pPr>
            <w:r>
              <w:rPr>
                <w:rFonts w:hint="eastAsia" w:ascii="宋体" w:hAnsi="宋体"/>
                <w:snapToGrid w:val="0"/>
                <w:kern w:val="0"/>
                <w:szCs w:val="21"/>
                <w:highlight w:val="none"/>
              </w:rPr>
              <w:t>重新招标的</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仍然少于三个的，按照招标投标法律法规规定的程序开标和评标。重新招标经评审有有效</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的，应当依法确定中标候选人；无有效</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的，可以不再进行招标，但是按照国家有关规定需要履行审批、核准手续的依法必须进行招标的项目，应当报原项目投资主管部门审批、核准</w:t>
            </w:r>
            <w:r>
              <w:rPr>
                <w:rFonts w:ascii="宋体" w:hAnsi="宋体"/>
                <w:snapToGrid w:val="0"/>
                <w:kern w:val="0"/>
                <w:szCs w:val="21"/>
                <w:highlight w:val="none"/>
              </w:rPr>
              <w:t>。</w:t>
            </w:r>
          </w:p>
        </w:tc>
      </w:tr>
      <w:tr w14:paraId="446D88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B2917F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10</w:t>
            </w:r>
          </w:p>
        </w:tc>
        <w:tc>
          <w:tcPr>
            <w:tcW w:w="8134" w:type="dxa"/>
            <w:gridSpan w:val="2"/>
            <w:vAlign w:val="center"/>
          </w:tcPr>
          <w:p w14:paraId="2F1051D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需要补充的其他内容</w:t>
            </w:r>
          </w:p>
        </w:tc>
      </w:tr>
      <w:tr w14:paraId="6FB917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FE61CB4">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10.1</w:t>
            </w:r>
          </w:p>
        </w:tc>
        <w:tc>
          <w:tcPr>
            <w:tcW w:w="1644" w:type="dxa"/>
            <w:vAlign w:val="center"/>
          </w:tcPr>
          <w:p w14:paraId="5FF1D39C">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ascii="宋体" w:hAnsi="宋体"/>
                <w:kern w:val="0"/>
                <w:szCs w:val="21"/>
                <w:highlight w:val="none"/>
              </w:rPr>
              <w:t>支付担保</w:t>
            </w:r>
          </w:p>
        </w:tc>
        <w:tc>
          <w:tcPr>
            <w:tcW w:w="6490" w:type="dxa"/>
            <w:vAlign w:val="center"/>
          </w:tcPr>
          <w:p w14:paraId="31921746">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lang w:eastAsia="zh-CN"/>
              </w:rPr>
              <w:t>比选人</w:t>
            </w:r>
            <w:r>
              <w:rPr>
                <w:rFonts w:hint="eastAsia" w:ascii="宋体" w:hAnsi="宋体"/>
                <w:kern w:val="0"/>
                <w:szCs w:val="21"/>
                <w:highlight w:val="none"/>
                <w:lang w:val="en-US" w:eastAsia="zh-CN"/>
              </w:rPr>
              <w:t>不提供</w:t>
            </w:r>
            <w:r>
              <w:rPr>
                <w:rFonts w:hint="eastAsia" w:ascii="宋体" w:hAnsi="宋体"/>
                <w:kern w:val="0"/>
                <w:szCs w:val="21"/>
                <w:highlight w:val="none"/>
              </w:rPr>
              <w:t>支付担保</w:t>
            </w:r>
            <w:r>
              <w:rPr>
                <w:rFonts w:ascii="宋体" w:hAnsi="宋体"/>
                <w:kern w:val="0"/>
                <w:szCs w:val="21"/>
                <w:highlight w:val="none"/>
              </w:rPr>
              <w:t>。</w:t>
            </w:r>
          </w:p>
        </w:tc>
      </w:tr>
      <w:tr w14:paraId="28CF6F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0656335">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kern w:val="0"/>
                <w:szCs w:val="21"/>
                <w:highlight w:val="none"/>
                <w:lang w:eastAsia="zh-CN"/>
              </w:rPr>
            </w:pPr>
            <w:r>
              <w:rPr>
                <w:rFonts w:ascii="宋体" w:hAnsi="宋体"/>
                <w:kern w:val="0"/>
                <w:szCs w:val="21"/>
                <w:highlight w:val="none"/>
              </w:rPr>
              <w:t>10.</w:t>
            </w:r>
            <w:r>
              <w:rPr>
                <w:rFonts w:hint="eastAsia" w:ascii="宋体" w:hAnsi="宋体"/>
                <w:kern w:val="0"/>
                <w:szCs w:val="21"/>
                <w:highlight w:val="none"/>
                <w:lang w:val="en-US" w:eastAsia="zh-CN"/>
              </w:rPr>
              <w:t>2</w:t>
            </w:r>
          </w:p>
        </w:tc>
        <w:tc>
          <w:tcPr>
            <w:tcW w:w="1644" w:type="dxa"/>
            <w:vAlign w:val="center"/>
          </w:tcPr>
          <w:p w14:paraId="51475EB8">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异议、</w:t>
            </w:r>
            <w:r>
              <w:rPr>
                <w:rFonts w:ascii="宋体" w:hAnsi="宋体"/>
                <w:kern w:val="0"/>
                <w:szCs w:val="21"/>
                <w:highlight w:val="none"/>
              </w:rPr>
              <w:t>投诉处理</w:t>
            </w:r>
          </w:p>
        </w:tc>
        <w:tc>
          <w:tcPr>
            <w:tcW w:w="6490" w:type="dxa"/>
            <w:vAlign w:val="center"/>
          </w:tcPr>
          <w:p w14:paraId="679D6E38">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1.</w:t>
            </w:r>
            <w:r>
              <w:rPr>
                <w:rFonts w:hint="eastAsia" w:ascii="宋体" w:hAnsi="宋体"/>
                <w:kern w:val="0"/>
                <w:szCs w:val="21"/>
                <w:highlight w:val="none"/>
              </w:rPr>
              <w:t xml:space="preserve"> </w:t>
            </w:r>
            <w:r>
              <w:rPr>
                <w:rFonts w:hint="eastAsia" w:ascii="宋体" w:hAnsi="宋体"/>
                <w:kern w:val="0"/>
                <w:szCs w:val="21"/>
                <w:highlight w:val="none"/>
                <w:lang w:eastAsia="zh-CN"/>
              </w:rPr>
              <w:t>比选申请人</w:t>
            </w:r>
            <w:r>
              <w:rPr>
                <w:rFonts w:ascii="宋体" w:hAnsi="宋体"/>
                <w:kern w:val="0"/>
                <w:szCs w:val="21"/>
                <w:highlight w:val="none"/>
              </w:rPr>
              <w:t>或者其他利害关系人就本项目的</w:t>
            </w:r>
            <w:r>
              <w:rPr>
                <w:rFonts w:hint="eastAsia" w:ascii="宋体" w:hAnsi="宋体"/>
                <w:kern w:val="0"/>
                <w:szCs w:val="21"/>
                <w:highlight w:val="none"/>
                <w:lang w:eastAsia="zh-CN"/>
              </w:rPr>
              <w:t>竞争性比选文件</w:t>
            </w:r>
            <w:r>
              <w:rPr>
                <w:rFonts w:hint="eastAsia" w:ascii="宋体" w:hAnsi="宋体"/>
                <w:kern w:val="0"/>
                <w:szCs w:val="21"/>
                <w:highlight w:val="none"/>
              </w:rPr>
              <w:t>（含澄清修改）、开标情况、</w:t>
            </w:r>
            <w:r>
              <w:rPr>
                <w:rFonts w:ascii="宋体" w:hAnsi="宋体"/>
                <w:kern w:val="0"/>
                <w:szCs w:val="21"/>
                <w:highlight w:val="none"/>
              </w:rPr>
              <w:t>评标结果等事项提出投诉</w:t>
            </w:r>
            <w:r>
              <w:rPr>
                <w:rFonts w:hint="eastAsia" w:ascii="宋体" w:hAnsi="宋体"/>
                <w:kern w:val="0"/>
                <w:szCs w:val="21"/>
                <w:highlight w:val="none"/>
              </w:rPr>
              <w:t>的</w:t>
            </w:r>
            <w:r>
              <w:rPr>
                <w:rFonts w:ascii="宋体" w:hAnsi="宋体"/>
                <w:kern w:val="0"/>
                <w:szCs w:val="21"/>
                <w:highlight w:val="none"/>
              </w:rPr>
              <w:t>，应当先向</w:t>
            </w:r>
            <w:r>
              <w:rPr>
                <w:rFonts w:hint="eastAsia" w:ascii="宋体" w:hAnsi="宋体"/>
                <w:kern w:val="0"/>
                <w:szCs w:val="21"/>
                <w:highlight w:val="none"/>
                <w:lang w:eastAsia="zh-CN"/>
              </w:rPr>
              <w:t>比选人</w:t>
            </w:r>
            <w:r>
              <w:rPr>
                <w:rFonts w:ascii="宋体" w:hAnsi="宋体"/>
                <w:kern w:val="0"/>
                <w:szCs w:val="21"/>
                <w:highlight w:val="none"/>
              </w:rPr>
              <w:t>提出异议；</w:t>
            </w:r>
            <w:r>
              <w:rPr>
                <w:rFonts w:hint="eastAsia" w:ascii="宋体" w:hAnsi="宋体"/>
                <w:kern w:val="0"/>
                <w:szCs w:val="21"/>
                <w:highlight w:val="none"/>
                <w:lang w:eastAsia="zh-CN"/>
              </w:rPr>
              <w:t>比选人</w:t>
            </w:r>
            <w:r>
              <w:rPr>
                <w:rFonts w:ascii="宋体" w:hAnsi="宋体"/>
                <w:kern w:val="0"/>
                <w:szCs w:val="21"/>
                <w:highlight w:val="none"/>
              </w:rPr>
              <w:t>应当在规定时间内答复；对</w:t>
            </w:r>
            <w:r>
              <w:rPr>
                <w:rFonts w:hint="eastAsia" w:ascii="宋体" w:hAnsi="宋体"/>
                <w:kern w:val="0"/>
                <w:szCs w:val="21"/>
                <w:highlight w:val="none"/>
                <w:lang w:eastAsia="zh-CN"/>
              </w:rPr>
              <w:t>比选人</w:t>
            </w:r>
            <w:r>
              <w:rPr>
                <w:rFonts w:ascii="宋体" w:hAnsi="宋体"/>
                <w:kern w:val="0"/>
                <w:szCs w:val="21"/>
                <w:highlight w:val="none"/>
              </w:rPr>
              <w:t>的答复不满意，可向行政监督部门投诉。</w:t>
            </w:r>
          </w:p>
          <w:p w14:paraId="74906CD7">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提出异议或投诉时应当包括下列内容：</w:t>
            </w:r>
          </w:p>
          <w:p w14:paraId="01D43D6E">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（1）异议</w:t>
            </w:r>
            <w:r>
              <w:rPr>
                <w:rFonts w:hint="eastAsia" w:ascii="宋体" w:hAnsi="宋体"/>
                <w:kern w:val="0"/>
                <w:szCs w:val="21"/>
                <w:highlight w:val="none"/>
                <w:lang w:val="en-US" w:eastAsia="zh-CN"/>
              </w:rPr>
              <w:t>人</w:t>
            </w:r>
            <w:r>
              <w:rPr>
                <w:rFonts w:hint="eastAsia" w:ascii="宋体" w:hAnsi="宋体"/>
                <w:kern w:val="0"/>
                <w:szCs w:val="21"/>
                <w:highlight w:val="none"/>
              </w:rPr>
              <w:t>或投诉人的</w:t>
            </w:r>
            <w:r>
              <w:rPr>
                <w:rFonts w:hint="eastAsia" w:ascii="宋体" w:hAnsi="宋体"/>
                <w:kern w:val="0"/>
                <w:szCs w:val="21"/>
                <w:highlight w:val="none"/>
                <w:lang w:eastAsia="zh-CN"/>
              </w:rPr>
              <w:t>姓名</w:t>
            </w:r>
            <w:r>
              <w:rPr>
                <w:rFonts w:hint="eastAsia" w:ascii="宋体" w:hAnsi="宋体"/>
                <w:kern w:val="0"/>
                <w:szCs w:val="21"/>
                <w:highlight w:val="none"/>
                <w:lang w:val="en-US" w:eastAsia="zh-CN"/>
              </w:rPr>
              <w:t>/</w:t>
            </w:r>
            <w:r>
              <w:rPr>
                <w:rFonts w:hint="eastAsia" w:ascii="宋体" w:hAnsi="宋体"/>
                <w:kern w:val="0"/>
                <w:szCs w:val="21"/>
                <w:highlight w:val="none"/>
              </w:rPr>
              <w:t>名称、地址及有效联系方式；</w:t>
            </w:r>
          </w:p>
          <w:p w14:paraId="5C2F260B">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（2）被异议</w:t>
            </w:r>
            <w:r>
              <w:rPr>
                <w:rFonts w:hint="eastAsia" w:ascii="宋体" w:hAnsi="宋体"/>
                <w:kern w:val="0"/>
                <w:szCs w:val="21"/>
                <w:highlight w:val="none"/>
                <w:lang w:val="en-US" w:eastAsia="zh-CN"/>
              </w:rPr>
              <w:t>人</w:t>
            </w:r>
            <w:r>
              <w:rPr>
                <w:rFonts w:hint="eastAsia" w:ascii="宋体" w:hAnsi="宋体"/>
                <w:kern w:val="0"/>
                <w:szCs w:val="21"/>
                <w:highlight w:val="none"/>
              </w:rPr>
              <w:t>或</w:t>
            </w:r>
            <w:r>
              <w:rPr>
                <w:rFonts w:hint="eastAsia" w:ascii="宋体" w:hAnsi="宋体"/>
                <w:kern w:val="0"/>
                <w:szCs w:val="21"/>
                <w:highlight w:val="none"/>
                <w:lang w:val="en-US" w:eastAsia="zh-CN"/>
              </w:rPr>
              <w:t>被</w:t>
            </w:r>
            <w:r>
              <w:rPr>
                <w:rFonts w:hint="eastAsia" w:ascii="宋体" w:hAnsi="宋体"/>
                <w:kern w:val="0"/>
                <w:szCs w:val="21"/>
                <w:highlight w:val="none"/>
              </w:rPr>
              <w:t>投诉人的名称、地址及有效联系方式；</w:t>
            </w:r>
          </w:p>
          <w:p w14:paraId="0EF1FAFB">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（3）异议或投诉事项的基本事实；</w:t>
            </w:r>
          </w:p>
          <w:p w14:paraId="26EECF74">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（4）请求及主张；</w:t>
            </w:r>
          </w:p>
          <w:p w14:paraId="33CD6522">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（5）涉及事项的证据、证明材料。</w:t>
            </w:r>
          </w:p>
          <w:p w14:paraId="7DE39668">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异议人或投诉人是法人的，异议书或投诉书必须由其法定代表人或者委托代理人签名并加盖单位</w:t>
            </w:r>
            <w:r>
              <w:rPr>
                <w:rFonts w:hint="eastAsia" w:ascii="宋体" w:hAnsi="宋体"/>
                <w:kern w:val="0"/>
                <w:szCs w:val="21"/>
                <w:highlight w:val="none"/>
                <w:lang w:val="en-US" w:eastAsia="zh-CN"/>
              </w:rPr>
              <w:t>法人</w:t>
            </w:r>
            <w:r>
              <w:rPr>
                <w:rFonts w:hint="eastAsia" w:ascii="宋体" w:hAnsi="宋体"/>
                <w:kern w:val="0"/>
                <w:szCs w:val="21"/>
                <w:highlight w:val="none"/>
              </w:rPr>
              <w:t>章；异议人或投诉人是其他组织或者自然人的，异议书或投诉书必须由其主要负责人签名或者异议人（或投诉人）本人签名，并附有效身份证明。如有关材料是外文，应当同时提供中文译本。</w:t>
            </w:r>
          </w:p>
          <w:p w14:paraId="6EB8BB47">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2.</w:t>
            </w:r>
            <w:r>
              <w:rPr>
                <w:rFonts w:hint="eastAsia" w:ascii="宋体" w:hAnsi="宋体"/>
                <w:kern w:val="0"/>
                <w:szCs w:val="21"/>
                <w:highlight w:val="none"/>
              </w:rPr>
              <w:t xml:space="preserve"> </w:t>
            </w:r>
            <w:r>
              <w:rPr>
                <w:rFonts w:ascii="宋体" w:hAnsi="宋体"/>
                <w:kern w:val="0"/>
                <w:szCs w:val="21"/>
                <w:highlight w:val="none"/>
              </w:rPr>
              <w:t>行政监督部门依照</w:t>
            </w:r>
            <w:r>
              <w:rPr>
                <w:rFonts w:hint="eastAsia" w:ascii="宋体" w:hAnsi="宋体"/>
                <w:kern w:val="0"/>
                <w:szCs w:val="21"/>
                <w:highlight w:val="none"/>
                <w:lang w:val="en-US" w:eastAsia="zh-CN"/>
              </w:rPr>
              <w:t>相关</w:t>
            </w:r>
            <w:r>
              <w:rPr>
                <w:rFonts w:ascii="宋体" w:hAnsi="宋体"/>
                <w:kern w:val="0"/>
                <w:szCs w:val="21"/>
                <w:highlight w:val="none"/>
              </w:rPr>
              <w:t>法律法规文件处理投诉。</w:t>
            </w:r>
          </w:p>
          <w:p w14:paraId="71B834A6">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 xml:space="preserve">3. </w:t>
            </w:r>
            <w:r>
              <w:rPr>
                <w:rFonts w:hint="eastAsia" w:ascii="宋体" w:hAnsi="宋体"/>
                <w:kern w:val="0"/>
                <w:szCs w:val="21"/>
                <w:highlight w:val="none"/>
                <w:lang w:eastAsia="zh-CN"/>
              </w:rPr>
              <w:t>比选申请人</w:t>
            </w:r>
            <w:r>
              <w:rPr>
                <w:rFonts w:hint="eastAsia" w:ascii="宋体" w:hAnsi="宋体"/>
                <w:kern w:val="0"/>
                <w:szCs w:val="21"/>
                <w:highlight w:val="none"/>
                <w:lang w:val="en-US" w:eastAsia="zh-CN"/>
              </w:rPr>
              <w:t>不得</w:t>
            </w:r>
            <w:r>
              <w:rPr>
                <w:rFonts w:hint="eastAsia" w:ascii="宋体" w:hAnsi="宋体"/>
                <w:kern w:val="0"/>
                <w:szCs w:val="21"/>
                <w:highlight w:val="none"/>
              </w:rPr>
              <w:t>捏造事实、伪造材料，或者以非法手段获取证明材料进行</w:t>
            </w:r>
            <w:r>
              <w:rPr>
                <w:rFonts w:hint="eastAsia" w:ascii="宋体" w:hAnsi="宋体"/>
                <w:kern w:val="0"/>
                <w:szCs w:val="21"/>
                <w:highlight w:val="none"/>
                <w:lang w:val="en-US" w:eastAsia="zh-CN"/>
              </w:rPr>
              <w:t>异议</w:t>
            </w:r>
            <w:r>
              <w:rPr>
                <w:rFonts w:hint="eastAsia" w:ascii="宋体" w:hAnsi="宋体"/>
                <w:kern w:val="0"/>
                <w:szCs w:val="21"/>
                <w:highlight w:val="none"/>
              </w:rPr>
              <w:t>或者投诉；</w:t>
            </w:r>
            <w:r>
              <w:rPr>
                <w:rFonts w:ascii="宋体" w:hAnsi="宋体"/>
                <w:kern w:val="0"/>
                <w:szCs w:val="21"/>
                <w:highlight w:val="none"/>
              </w:rPr>
              <w:t>给他人造成损失的，依法承担赔偿责任。</w:t>
            </w:r>
          </w:p>
          <w:p w14:paraId="4A75DC76">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eastAsia="宋体" w:cs="Times New Roman"/>
                <w:kern w:val="0"/>
                <w:szCs w:val="21"/>
                <w:highlight w:val="none"/>
              </w:rPr>
            </w:pPr>
            <w:r>
              <w:rPr>
                <w:rFonts w:hint="eastAsia" w:ascii="宋体" w:hAnsi="宋体" w:eastAsia="宋体" w:cs="Times New Roman"/>
                <w:kern w:val="0"/>
                <w:szCs w:val="21"/>
                <w:highlight w:val="none"/>
              </w:rPr>
              <w:t>4. 异议受理单位：</w:t>
            </w:r>
            <w:r>
              <w:rPr>
                <w:rFonts w:hint="eastAsia" w:ascii="宋体" w:hAnsi="宋体"/>
                <w:color w:val="auto"/>
                <w:kern w:val="0"/>
                <w:szCs w:val="21"/>
                <w:highlight w:val="none"/>
                <w:lang w:eastAsia="zh-CN"/>
              </w:rPr>
              <w:t>重庆市江南城市建设发展(集团)有限公司</w:t>
            </w:r>
          </w:p>
          <w:p w14:paraId="000810A2">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eastAsia="宋体" w:cs="Times New Roman"/>
                <w:kern w:val="0"/>
                <w:szCs w:val="21"/>
                <w:highlight w:val="none"/>
              </w:rPr>
            </w:pPr>
            <w:r>
              <w:rPr>
                <w:rFonts w:hint="eastAsia" w:ascii="宋体" w:hAnsi="宋体" w:eastAsia="宋体" w:cs="Times New Roman"/>
                <w:kern w:val="0"/>
                <w:szCs w:val="21"/>
                <w:highlight w:val="none"/>
              </w:rPr>
              <w:t>联系电话：</w:t>
            </w:r>
            <w:r>
              <w:rPr>
                <w:rFonts w:hint="eastAsia" w:ascii="宋体" w:hAnsi="宋体" w:eastAsia="宋体" w:cs="Times New Roman"/>
                <w:kern w:val="0"/>
                <w:szCs w:val="21"/>
                <w:highlight w:val="none"/>
                <w:lang w:val="en-US" w:eastAsia="zh-CN"/>
              </w:rPr>
              <w:t>023-62820162</w:t>
            </w:r>
          </w:p>
          <w:p w14:paraId="5E8BC402">
            <w:pPr>
              <w:keepNext w:val="0"/>
              <w:keepLines w:val="0"/>
              <w:pageBreakBefore w:val="0"/>
              <w:kinsoku/>
              <w:wordWrap/>
              <w:overflowPunct/>
              <w:topLinePunct w:val="0"/>
              <w:bidi w:val="0"/>
              <w:snapToGrid w:val="0"/>
              <w:spacing w:line="400" w:lineRule="exact"/>
              <w:ind w:firstLine="420" w:firstLineChars="200"/>
              <w:textAlignment w:val="auto"/>
              <w:rPr>
                <w:rFonts w:hint="eastAsia" w:ascii="宋体" w:hAnsi="宋体" w:eastAsia="宋体" w:cs="Times New Roman"/>
                <w:kern w:val="0"/>
                <w:szCs w:val="21"/>
                <w:highlight w:val="none"/>
              </w:rPr>
            </w:pPr>
            <w:r>
              <w:rPr>
                <w:rFonts w:hint="eastAsia" w:ascii="宋体" w:hAnsi="宋体" w:eastAsia="宋体" w:cs="Times New Roman"/>
                <w:kern w:val="0"/>
                <w:szCs w:val="21"/>
                <w:highlight w:val="none"/>
                <w:lang w:val="en-US" w:eastAsia="zh-CN"/>
              </w:rPr>
              <w:t>投诉受理部门：</w:t>
            </w:r>
            <w:r>
              <w:rPr>
                <w:rFonts w:hint="eastAsia" w:ascii="宋体" w:hAnsi="宋体"/>
                <w:color w:val="auto"/>
                <w:kern w:val="0"/>
                <w:szCs w:val="21"/>
                <w:highlight w:val="none"/>
                <w:lang w:eastAsia="zh-CN"/>
              </w:rPr>
              <w:t>重庆市江南城市建设发展(集团)有限公司审计法务部</w:t>
            </w:r>
            <w:r>
              <w:rPr>
                <w:rFonts w:hint="eastAsia" w:ascii="宋体" w:hAnsi="宋体" w:cs="Times New Roman"/>
                <w:kern w:val="0"/>
                <w:szCs w:val="21"/>
                <w:highlight w:val="none"/>
                <w:lang w:val="en-US" w:eastAsia="zh-CN"/>
              </w:rPr>
              <w:t xml:space="preserve"> </w:t>
            </w:r>
          </w:p>
          <w:p w14:paraId="783C62AE">
            <w:pPr>
              <w:keepNext w:val="0"/>
              <w:keepLines w:val="0"/>
              <w:pageBreakBefore w:val="0"/>
              <w:kinsoku/>
              <w:wordWrap/>
              <w:overflowPunct/>
              <w:topLinePunct w:val="0"/>
              <w:bidi w:val="0"/>
              <w:snapToGrid w:val="0"/>
              <w:spacing w:line="400" w:lineRule="exact"/>
              <w:ind w:firstLine="420" w:firstLineChars="200"/>
              <w:textAlignment w:val="auto"/>
              <w:rPr>
                <w:rFonts w:ascii="宋体" w:hAnsi="宋体"/>
                <w:kern w:val="0"/>
                <w:szCs w:val="21"/>
                <w:highlight w:val="none"/>
              </w:rPr>
            </w:pPr>
            <w:r>
              <w:rPr>
                <w:rFonts w:hint="eastAsia" w:ascii="宋体" w:hAnsi="宋体" w:eastAsia="宋体" w:cs="Times New Roman"/>
                <w:kern w:val="0"/>
                <w:szCs w:val="21"/>
                <w:highlight w:val="none"/>
                <w:lang w:val="en-US" w:eastAsia="zh-CN"/>
              </w:rPr>
              <w:t>联系电话：</w:t>
            </w:r>
            <w:r>
              <w:rPr>
                <w:rFonts w:hint="eastAsia" w:ascii="宋体" w:hAnsi="宋体" w:cs="Times New Roman"/>
                <w:kern w:val="0"/>
                <w:szCs w:val="21"/>
                <w:highlight w:val="none"/>
                <w:lang w:val="en-US" w:eastAsia="zh-CN"/>
              </w:rPr>
              <w:t xml:space="preserve"> 周老师19888730766</w:t>
            </w:r>
          </w:p>
        </w:tc>
      </w:tr>
      <w:tr w14:paraId="2967B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E893A56">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kern w:val="0"/>
                <w:szCs w:val="21"/>
                <w:highlight w:val="none"/>
                <w:lang w:eastAsia="zh-CN"/>
              </w:rPr>
            </w:pPr>
            <w:r>
              <w:rPr>
                <w:rFonts w:hint="eastAsia" w:ascii="宋体" w:hAnsi="宋体"/>
                <w:kern w:val="0"/>
                <w:szCs w:val="21"/>
                <w:highlight w:val="none"/>
              </w:rPr>
              <w:t>10.</w:t>
            </w:r>
            <w:r>
              <w:rPr>
                <w:rFonts w:hint="eastAsia" w:ascii="宋体" w:hAnsi="宋体"/>
                <w:kern w:val="0"/>
                <w:szCs w:val="21"/>
                <w:highlight w:val="none"/>
                <w:lang w:val="en-US" w:eastAsia="zh-CN"/>
              </w:rPr>
              <w:t>3</w:t>
            </w:r>
          </w:p>
        </w:tc>
        <w:tc>
          <w:tcPr>
            <w:tcW w:w="1644" w:type="dxa"/>
            <w:vAlign w:val="center"/>
          </w:tcPr>
          <w:p w14:paraId="5130920B">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工程量清单</w:t>
            </w:r>
          </w:p>
          <w:p w14:paraId="4C626376">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编制说明</w:t>
            </w:r>
          </w:p>
        </w:tc>
        <w:tc>
          <w:tcPr>
            <w:tcW w:w="6490" w:type="dxa"/>
            <w:vAlign w:val="center"/>
          </w:tcPr>
          <w:p w14:paraId="0BB7266C">
            <w:pPr>
              <w:keepNext w:val="0"/>
              <w:keepLines w:val="0"/>
              <w:pageBreakBefore w:val="0"/>
              <w:widowControl/>
              <w:kinsoku/>
              <w:wordWrap/>
              <w:overflowPunct/>
              <w:topLinePunct w:val="0"/>
              <w:bidi w:val="0"/>
              <w:spacing w:line="400" w:lineRule="exact"/>
              <w:ind w:firstLine="420" w:firstLineChars="200"/>
              <w:textAlignment w:val="auto"/>
              <w:rPr>
                <w:rFonts w:hint="eastAsia" w:ascii="宋体" w:hAnsi="宋体" w:eastAsia="宋体"/>
                <w:kern w:val="0"/>
                <w:szCs w:val="21"/>
                <w:highlight w:val="none"/>
                <w:lang w:eastAsia="zh-CN"/>
              </w:rPr>
            </w:pPr>
            <w:r>
              <w:rPr>
                <w:rFonts w:hint="eastAsia" w:ascii="宋体" w:hAnsi="宋体"/>
                <w:i w:val="0"/>
                <w:iCs/>
                <w:kern w:val="0"/>
                <w:szCs w:val="21"/>
                <w:highlight w:val="none"/>
                <w:lang w:val="en-US" w:eastAsia="zh-CN"/>
              </w:rPr>
              <w:t>/</w:t>
            </w:r>
          </w:p>
        </w:tc>
      </w:tr>
      <w:tr w14:paraId="03B5C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61C8F53">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kern w:val="0"/>
                <w:szCs w:val="21"/>
                <w:highlight w:val="none"/>
                <w:lang w:eastAsia="zh-CN"/>
              </w:rPr>
            </w:pPr>
            <w:r>
              <w:rPr>
                <w:rFonts w:hint="eastAsia" w:ascii="宋体" w:hAnsi="宋体"/>
                <w:kern w:val="0"/>
                <w:szCs w:val="21"/>
                <w:highlight w:val="none"/>
              </w:rPr>
              <w:t>10.</w:t>
            </w:r>
            <w:r>
              <w:rPr>
                <w:rFonts w:hint="eastAsia" w:ascii="宋体" w:hAnsi="宋体"/>
                <w:kern w:val="0"/>
                <w:szCs w:val="21"/>
                <w:highlight w:val="none"/>
                <w:lang w:val="en-US" w:eastAsia="zh-CN"/>
              </w:rPr>
              <w:t>4</w:t>
            </w:r>
          </w:p>
        </w:tc>
        <w:tc>
          <w:tcPr>
            <w:tcW w:w="1644" w:type="dxa"/>
            <w:vAlign w:val="center"/>
          </w:tcPr>
          <w:p w14:paraId="5A2BEB6D">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建筑</w:t>
            </w:r>
            <w:r>
              <w:rPr>
                <w:rFonts w:ascii="宋体" w:hAnsi="宋体"/>
                <w:kern w:val="0"/>
                <w:szCs w:val="21"/>
                <w:highlight w:val="none"/>
              </w:rPr>
              <w:t>领域实施农民工工资专用账户相关</w:t>
            </w:r>
            <w:r>
              <w:rPr>
                <w:rFonts w:hint="eastAsia" w:ascii="宋体" w:hAnsi="宋体"/>
                <w:kern w:val="0"/>
                <w:szCs w:val="21"/>
                <w:highlight w:val="none"/>
              </w:rPr>
              <w:t>要求</w:t>
            </w:r>
          </w:p>
        </w:tc>
        <w:tc>
          <w:tcPr>
            <w:tcW w:w="6490" w:type="dxa"/>
            <w:vAlign w:val="center"/>
          </w:tcPr>
          <w:p w14:paraId="1D0EFB6D">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本项目在</w:t>
            </w:r>
            <w:r>
              <w:rPr>
                <w:rFonts w:ascii="宋体" w:hAnsi="宋体"/>
                <w:kern w:val="0"/>
                <w:szCs w:val="21"/>
                <w:highlight w:val="none"/>
              </w:rPr>
              <w:t>实施过程中</w:t>
            </w:r>
            <w:r>
              <w:rPr>
                <w:rFonts w:hint="eastAsia" w:ascii="宋体" w:hAnsi="宋体"/>
                <w:kern w:val="0"/>
                <w:szCs w:val="21"/>
                <w:highlight w:val="none"/>
              </w:rPr>
              <w:t>，中标人</w:t>
            </w:r>
            <w:r>
              <w:rPr>
                <w:rFonts w:ascii="宋体" w:hAnsi="宋体"/>
                <w:kern w:val="0"/>
                <w:szCs w:val="21"/>
                <w:highlight w:val="none"/>
              </w:rPr>
              <w:t>必须执行</w:t>
            </w:r>
            <w:r>
              <w:rPr>
                <w:rFonts w:hint="eastAsia" w:ascii="宋体" w:hAnsi="宋体"/>
                <w:kern w:val="0"/>
                <w:szCs w:val="21"/>
                <w:highlight w:val="none"/>
                <w:u w:val="single"/>
              </w:rPr>
              <w:t>《保障农民工工资支付条例》（中华人民共和国国务院令第724号）</w:t>
            </w:r>
            <w:r>
              <w:rPr>
                <w:rFonts w:hint="eastAsia" w:ascii="宋体" w:hAnsi="宋体"/>
                <w:kern w:val="0"/>
                <w:szCs w:val="21"/>
                <w:highlight w:val="none"/>
                <w:u w:val="single"/>
                <w:lang w:val="en-US" w:eastAsia="zh-CN"/>
              </w:rPr>
              <w:t>及国家</w:t>
            </w:r>
            <w:r>
              <w:rPr>
                <w:rFonts w:ascii="宋体" w:hAnsi="宋体"/>
                <w:szCs w:val="21"/>
                <w:highlight w:val="none"/>
                <w:u w:val="single"/>
              </w:rPr>
              <w:t>和重庆市现行有关</w:t>
            </w:r>
            <w:r>
              <w:rPr>
                <w:rFonts w:ascii="宋体" w:hAnsi="宋体"/>
                <w:kern w:val="0"/>
                <w:szCs w:val="21"/>
                <w:highlight w:val="none"/>
              </w:rPr>
              <w:t>农民工工资</w:t>
            </w:r>
            <w:r>
              <w:rPr>
                <w:rFonts w:hint="eastAsia" w:ascii="宋体" w:hAnsi="宋体"/>
                <w:kern w:val="0"/>
                <w:szCs w:val="21"/>
                <w:highlight w:val="none"/>
                <w:lang w:val="en-US" w:eastAsia="zh-CN"/>
              </w:rPr>
              <w:t>支付规定</w:t>
            </w:r>
            <w:r>
              <w:rPr>
                <w:rFonts w:hint="eastAsia" w:ascii="宋体" w:hAnsi="宋体"/>
                <w:kern w:val="0"/>
                <w:szCs w:val="21"/>
                <w:highlight w:val="none"/>
              </w:rPr>
              <w:t>，明确农民工工资保证金、实名制、专用账户、银行代发等保障农民工工资支付内容以及违约责任，填报相应的网络管理系统。</w:t>
            </w:r>
          </w:p>
          <w:p w14:paraId="2203A4DB">
            <w:pPr>
              <w:keepNext w:val="0"/>
              <w:keepLines w:val="0"/>
              <w:pageBreakBefore w:val="0"/>
              <w:widowControl/>
              <w:kinsoku/>
              <w:wordWrap/>
              <w:overflowPunct/>
              <w:topLinePunct w:val="0"/>
              <w:bidi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lang w:eastAsia="zh-CN"/>
              </w:rPr>
              <w:t>比选申请人</w:t>
            </w:r>
            <w:r>
              <w:rPr>
                <w:rFonts w:hint="eastAsia" w:ascii="宋体" w:hAnsi="宋体"/>
                <w:kern w:val="0"/>
                <w:szCs w:val="21"/>
                <w:highlight w:val="none"/>
              </w:rPr>
              <w:t>中标后，在与发包人签订的合同中，必须明确在</w:t>
            </w:r>
            <w:r>
              <w:rPr>
                <w:rFonts w:hint="eastAsia" w:ascii="宋体" w:hAnsi="宋体"/>
                <w:kern w:val="0"/>
                <w:szCs w:val="21"/>
                <w:highlight w:val="none"/>
                <w:lang w:val="en-US" w:eastAsia="zh-CN"/>
              </w:rPr>
              <w:t>重庆市</w:t>
            </w:r>
            <w:r>
              <w:rPr>
                <w:rFonts w:hint="eastAsia" w:ascii="宋体" w:hAnsi="宋体"/>
                <w:kern w:val="0"/>
                <w:szCs w:val="21"/>
                <w:highlight w:val="none"/>
              </w:rPr>
              <w:t>的农民工工资专用账户信息、人工费（工资款）支付比例；在项目开工后，为农民工办理平安卡和工资卡，委托银行通过农民工工资专用账户直接将农民工工资发放至工资卡，并按照有关规定在“工资专户管理网络系统”中填报相关信息</w:t>
            </w:r>
            <w:r>
              <w:rPr>
                <w:rFonts w:ascii="宋体" w:hAnsi="宋体"/>
                <w:kern w:val="0"/>
                <w:szCs w:val="21"/>
                <w:highlight w:val="none"/>
              </w:rPr>
              <w:t>。</w:t>
            </w:r>
          </w:p>
        </w:tc>
      </w:tr>
      <w:tr w14:paraId="2D8B9F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C9CDBD4">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kern w:val="0"/>
                <w:szCs w:val="21"/>
                <w:highlight w:val="none"/>
                <w:lang w:eastAsia="zh-CN"/>
              </w:rPr>
            </w:pPr>
            <w:r>
              <w:rPr>
                <w:rFonts w:hint="eastAsia" w:ascii="宋体" w:hAnsi="宋体"/>
                <w:kern w:val="0"/>
                <w:szCs w:val="21"/>
                <w:highlight w:val="none"/>
              </w:rPr>
              <w:t>10.</w:t>
            </w:r>
            <w:r>
              <w:rPr>
                <w:rFonts w:hint="eastAsia" w:ascii="宋体" w:hAnsi="宋体"/>
                <w:kern w:val="0"/>
                <w:szCs w:val="21"/>
                <w:highlight w:val="none"/>
                <w:lang w:val="en-US" w:eastAsia="zh-CN"/>
              </w:rPr>
              <w:t>5</w:t>
            </w:r>
          </w:p>
        </w:tc>
        <w:tc>
          <w:tcPr>
            <w:tcW w:w="1644" w:type="dxa"/>
            <w:vAlign w:val="center"/>
          </w:tcPr>
          <w:p w14:paraId="00F6761A">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关于对</w:t>
            </w:r>
            <w:r>
              <w:rPr>
                <w:rFonts w:hint="eastAsia" w:ascii="宋体" w:hAnsi="宋体"/>
                <w:kern w:val="0"/>
                <w:szCs w:val="21"/>
                <w:highlight w:val="none"/>
                <w:lang w:eastAsia="zh-CN"/>
              </w:rPr>
              <w:t>竞争性比选文件</w:t>
            </w:r>
            <w:r>
              <w:rPr>
                <w:rFonts w:hint="eastAsia" w:ascii="宋体" w:hAnsi="宋体"/>
                <w:kern w:val="0"/>
                <w:szCs w:val="21"/>
                <w:highlight w:val="none"/>
              </w:rPr>
              <w:t>及投标争议的解释</w:t>
            </w:r>
          </w:p>
        </w:tc>
        <w:tc>
          <w:tcPr>
            <w:tcW w:w="6490" w:type="dxa"/>
            <w:vAlign w:val="center"/>
          </w:tcPr>
          <w:p w14:paraId="65152FA7">
            <w:pPr>
              <w:keepNext w:val="0"/>
              <w:keepLines w:val="0"/>
              <w:pageBreakBefore w:val="0"/>
              <w:kinsoku/>
              <w:wordWrap/>
              <w:overflowPunct/>
              <w:topLinePunct w:val="0"/>
              <w:autoSpaceDE w:val="0"/>
              <w:autoSpaceDN w:val="0"/>
              <w:bidi w:val="0"/>
              <w:adjustRightInd w:val="0"/>
              <w:snapToGrid w:val="0"/>
              <w:spacing w:line="400" w:lineRule="exact"/>
              <w:ind w:firstLine="420" w:firstLineChars="200"/>
              <w:textAlignment w:val="auto"/>
              <w:rPr>
                <w:rFonts w:ascii="宋体" w:hAnsi="宋体"/>
                <w:kern w:val="0"/>
                <w:szCs w:val="21"/>
                <w:highlight w:val="none"/>
              </w:rPr>
            </w:pPr>
            <w:r>
              <w:rPr>
                <w:rFonts w:hint="eastAsia" w:ascii="宋体" w:hAnsi="宋体"/>
                <w:kern w:val="0"/>
                <w:szCs w:val="21"/>
                <w:highlight w:val="none"/>
              </w:rPr>
              <w:t>对资格预审文件或者</w:t>
            </w:r>
            <w:r>
              <w:rPr>
                <w:rFonts w:hint="eastAsia" w:ascii="宋体" w:hAnsi="宋体"/>
                <w:kern w:val="0"/>
                <w:szCs w:val="21"/>
                <w:highlight w:val="none"/>
                <w:lang w:eastAsia="zh-CN"/>
              </w:rPr>
              <w:t>竞争性比选文件</w:t>
            </w:r>
            <w:r>
              <w:rPr>
                <w:rFonts w:hint="eastAsia" w:ascii="宋体" w:hAnsi="宋体"/>
                <w:kern w:val="0"/>
                <w:szCs w:val="21"/>
                <w:highlight w:val="none"/>
              </w:rPr>
              <w:t>中的条款理解有争议的，应当作出不利于</w:t>
            </w:r>
            <w:r>
              <w:rPr>
                <w:rFonts w:hint="eastAsia" w:ascii="宋体" w:hAnsi="宋体"/>
                <w:kern w:val="0"/>
                <w:szCs w:val="21"/>
                <w:highlight w:val="none"/>
                <w:lang w:eastAsia="zh-CN"/>
              </w:rPr>
              <w:t>比选人</w:t>
            </w:r>
            <w:r>
              <w:rPr>
                <w:rFonts w:hint="eastAsia" w:ascii="宋体" w:hAnsi="宋体"/>
                <w:kern w:val="0"/>
                <w:szCs w:val="21"/>
                <w:highlight w:val="none"/>
              </w:rPr>
              <w:t>的解释；对</w:t>
            </w:r>
            <w:r>
              <w:rPr>
                <w:rFonts w:hint="eastAsia" w:ascii="宋体" w:hAnsi="宋体"/>
                <w:kern w:val="0"/>
                <w:szCs w:val="21"/>
                <w:highlight w:val="none"/>
                <w:lang w:eastAsia="zh-CN"/>
              </w:rPr>
              <w:t>比选申请文件</w:t>
            </w:r>
            <w:r>
              <w:rPr>
                <w:rFonts w:hint="eastAsia" w:ascii="宋体" w:hAnsi="宋体"/>
                <w:kern w:val="0"/>
                <w:szCs w:val="21"/>
                <w:highlight w:val="none"/>
              </w:rPr>
              <w:t>理解有争议的，应当作出不利于</w:t>
            </w:r>
            <w:r>
              <w:rPr>
                <w:rFonts w:hint="eastAsia" w:ascii="宋体" w:hAnsi="宋体"/>
                <w:kern w:val="0"/>
                <w:szCs w:val="21"/>
                <w:highlight w:val="none"/>
                <w:lang w:eastAsia="zh-CN"/>
              </w:rPr>
              <w:t>比选申请人</w:t>
            </w:r>
            <w:r>
              <w:rPr>
                <w:rFonts w:hint="eastAsia" w:ascii="宋体" w:hAnsi="宋体"/>
                <w:kern w:val="0"/>
                <w:szCs w:val="21"/>
                <w:highlight w:val="none"/>
              </w:rPr>
              <w:t>的解释。但是，违背国家利益、社会公共利益的除外。</w:t>
            </w:r>
          </w:p>
        </w:tc>
      </w:tr>
      <w:tr w14:paraId="0DE991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335" w:type="dxa"/>
            <w:vAlign w:val="center"/>
          </w:tcPr>
          <w:p w14:paraId="363ACD80">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Times New Roman"/>
                <w:kern w:val="0"/>
                <w:szCs w:val="21"/>
                <w:highlight w:val="none"/>
                <w:lang w:val="en-US" w:eastAsia="zh-CN"/>
              </w:rPr>
            </w:pPr>
            <w:r>
              <w:rPr>
                <w:rFonts w:hint="eastAsia" w:ascii="宋体" w:hAnsi="宋体" w:eastAsia="宋体" w:cs="Times New Roman"/>
                <w:kern w:val="0"/>
                <w:szCs w:val="21"/>
                <w:highlight w:val="none"/>
                <w:lang w:val="en-US" w:eastAsia="zh-CN"/>
              </w:rPr>
              <w:t>10.</w:t>
            </w:r>
            <w:r>
              <w:rPr>
                <w:rFonts w:hint="eastAsia" w:ascii="宋体" w:hAnsi="宋体" w:cs="Times New Roman"/>
                <w:kern w:val="0"/>
                <w:szCs w:val="21"/>
                <w:highlight w:val="none"/>
                <w:lang w:val="en-US" w:eastAsia="zh-CN"/>
              </w:rPr>
              <w:t>6</w:t>
            </w:r>
          </w:p>
        </w:tc>
        <w:tc>
          <w:tcPr>
            <w:tcW w:w="1644" w:type="dxa"/>
            <w:shd w:val="clear" w:color="auto" w:fill="auto"/>
            <w:vAlign w:val="center"/>
          </w:tcPr>
          <w:p w14:paraId="03F59642">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kern w:val="0"/>
                <w:szCs w:val="21"/>
                <w:highlight w:val="none"/>
                <w:lang w:val="en-US" w:eastAsia="zh-CN"/>
              </w:rPr>
              <w:t>不平衡报价</w:t>
            </w:r>
          </w:p>
        </w:tc>
        <w:tc>
          <w:tcPr>
            <w:tcW w:w="6490" w:type="dxa"/>
            <w:shd w:val="clear" w:color="auto" w:fill="auto"/>
            <w:vAlign w:val="center"/>
          </w:tcPr>
          <w:p w14:paraId="2F794457">
            <w:pPr>
              <w:keepNext w:val="0"/>
              <w:keepLines w:val="0"/>
              <w:pageBreakBefore w:val="0"/>
              <w:kinsoku/>
              <w:wordWrap/>
              <w:overflowPunct/>
              <w:topLinePunct w:val="0"/>
              <w:autoSpaceDE w:val="0"/>
              <w:autoSpaceDN w:val="0"/>
              <w:bidi w:val="0"/>
              <w:adjustRightInd w:val="0"/>
              <w:snapToGrid w:val="0"/>
              <w:spacing w:line="400" w:lineRule="exact"/>
              <w:ind w:firstLine="420"/>
              <w:textAlignment w:val="auto"/>
              <w:rPr>
                <w:rFonts w:hint="eastAsia" w:ascii="宋体" w:hAnsi="宋体" w:eastAsia="宋体" w:cs="Times New Roman"/>
                <w:color w:val="auto"/>
                <w:kern w:val="0"/>
                <w:sz w:val="21"/>
                <w:szCs w:val="21"/>
                <w:highlight w:val="none"/>
                <w:lang w:val="en-US" w:eastAsia="zh-CN" w:bidi="ar-SA"/>
              </w:rPr>
            </w:pPr>
            <w:r>
              <w:rPr>
                <w:rFonts w:hint="default" w:ascii="宋体" w:hAnsi="宋体" w:eastAsia="宋体" w:cs="Times New Roman"/>
                <w:i w:val="0"/>
                <w:iCs/>
                <w:kern w:val="0"/>
                <w:szCs w:val="21"/>
                <w:highlight w:val="none"/>
                <w:u w:val="single"/>
                <w:lang w:val="en-US" w:eastAsia="zh-CN"/>
              </w:rPr>
              <w:t>关于不平衡报价的约定，详见第四章 专用合同条款第11.3款。</w:t>
            </w:r>
          </w:p>
        </w:tc>
      </w:tr>
      <w:tr w14:paraId="3F0CBB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EE3A2D3">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kern w:val="0"/>
                <w:szCs w:val="21"/>
                <w:highlight w:val="none"/>
                <w:lang w:val="en-US" w:eastAsia="zh-CN"/>
              </w:rPr>
            </w:pPr>
            <w:r>
              <w:rPr>
                <w:rFonts w:hint="eastAsia" w:ascii="宋体" w:hAnsi="宋体"/>
                <w:kern w:val="0"/>
                <w:szCs w:val="21"/>
                <w:highlight w:val="none"/>
              </w:rPr>
              <w:t>10.</w:t>
            </w:r>
            <w:r>
              <w:rPr>
                <w:rFonts w:hint="eastAsia" w:ascii="宋体" w:hAnsi="宋体"/>
                <w:kern w:val="0"/>
                <w:szCs w:val="21"/>
                <w:highlight w:val="none"/>
                <w:lang w:val="en-US" w:eastAsia="zh-CN"/>
              </w:rPr>
              <w:t>7</w:t>
            </w:r>
          </w:p>
        </w:tc>
        <w:tc>
          <w:tcPr>
            <w:tcW w:w="1644" w:type="dxa"/>
            <w:vAlign w:val="center"/>
          </w:tcPr>
          <w:p w14:paraId="7FADEE6E">
            <w:pPr>
              <w:keepNext w:val="0"/>
              <w:keepLines w:val="0"/>
              <w:pageBreakBefore w:val="0"/>
              <w:kinsoku/>
              <w:wordWrap/>
              <w:overflowPunct/>
              <w:topLinePunct w:val="0"/>
              <w:bidi w:val="0"/>
              <w:snapToGrid w:val="0"/>
              <w:spacing w:line="400" w:lineRule="exact"/>
              <w:jc w:val="center"/>
              <w:textAlignment w:val="auto"/>
              <w:rPr>
                <w:rFonts w:ascii="宋体" w:hAnsi="宋体"/>
                <w:kern w:val="0"/>
                <w:szCs w:val="21"/>
                <w:highlight w:val="none"/>
              </w:rPr>
            </w:pPr>
            <w:r>
              <w:rPr>
                <w:rFonts w:hint="eastAsia" w:ascii="宋体" w:hAnsi="宋体"/>
                <w:kern w:val="0"/>
                <w:szCs w:val="21"/>
                <w:highlight w:val="none"/>
              </w:rPr>
              <w:t>其他</w:t>
            </w:r>
          </w:p>
        </w:tc>
        <w:tc>
          <w:tcPr>
            <w:tcW w:w="6490" w:type="dxa"/>
            <w:vAlign w:val="center"/>
          </w:tcPr>
          <w:p w14:paraId="22AEF172">
            <w:pPr>
              <w:keepNext w:val="0"/>
              <w:keepLines w:val="0"/>
              <w:pageBreakBefore w:val="0"/>
              <w:kinsoku/>
              <w:wordWrap/>
              <w:overflowPunct/>
              <w:topLinePunct w:val="0"/>
              <w:autoSpaceDE w:val="0"/>
              <w:autoSpaceDN w:val="0"/>
              <w:bidi w:val="0"/>
              <w:adjustRightInd w:val="0"/>
              <w:snapToGrid w:val="0"/>
              <w:spacing w:line="400" w:lineRule="exact"/>
              <w:ind w:firstLine="420"/>
              <w:textAlignment w:val="auto"/>
              <w:rPr>
                <w:rFonts w:ascii="宋体" w:hAnsi="宋体"/>
                <w:i w:val="0"/>
                <w:iCs/>
                <w:kern w:val="0"/>
                <w:szCs w:val="21"/>
                <w:highlight w:val="none"/>
              </w:rPr>
            </w:pPr>
            <w:r>
              <w:rPr>
                <w:rFonts w:hint="eastAsia" w:ascii="宋体" w:hAnsi="宋体"/>
                <w:i w:val="0"/>
                <w:iCs/>
                <w:kern w:val="0"/>
                <w:szCs w:val="21"/>
                <w:highlight w:val="none"/>
                <w:lang w:val="en-US" w:eastAsia="zh-CN"/>
              </w:rPr>
              <w:t>一、交易服务费：按重庆市南岸区发展和改革委员会关于核定南岸区公共资源交易服务费收费标准及有关事项的通知南岸发改</w:t>
            </w:r>
            <w:r>
              <w:rPr>
                <w:rFonts w:hint="eastAsia" w:ascii="微软雅黑" w:hAnsi="微软雅黑" w:eastAsia="微软雅黑" w:cs="微软雅黑"/>
                <w:i w:val="0"/>
                <w:iCs/>
                <w:kern w:val="0"/>
                <w:szCs w:val="21"/>
                <w:highlight w:val="none"/>
                <w:lang w:val="en-US" w:eastAsia="zh-CN"/>
              </w:rPr>
              <w:t>〔2025〕130号</w:t>
            </w:r>
            <w:r>
              <w:rPr>
                <w:rFonts w:hint="eastAsia" w:ascii="宋体" w:hAnsi="宋体"/>
                <w:i w:val="0"/>
                <w:iCs/>
                <w:kern w:val="0"/>
                <w:szCs w:val="21"/>
                <w:highlight w:val="none"/>
                <w:lang w:val="en-US" w:eastAsia="zh-CN"/>
              </w:rPr>
              <w:t xml:space="preserve">收取交易服务费，由中标人全额（包括比选人部分）缴纳交易服务费。比选申请人应将此费用考虑在投标报价中，不单列。 </w:t>
            </w:r>
          </w:p>
          <w:p w14:paraId="449B768B">
            <w:pPr>
              <w:keepNext w:val="0"/>
              <w:keepLines w:val="0"/>
              <w:pageBreakBefore w:val="0"/>
              <w:kinsoku/>
              <w:wordWrap/>
              <w:overflowPunct/>
              <w:topLinePunct w:val="0"/>
              <w:autoSpaceDE w:val="0"/>
              <w:autoSpaceDN w:val="0"/>
              <w:bidi w:val="0"/>
              <w:adjustRightInd w:val="0"/>
              <w:snapToGrid w:val="0"/>
              <w:spacing w:line="400" w:lineRule="exact"/>
              <w:ind w:firstLine="420"/>
              <w:textAlignment w:val="auto"/>
              <w:rPr>
                <w:rFonts w:hint="eastAsia" w:ascii="宋体" w:hAnsi="宋体"/>
                <w:i w:val="0"/>
                <w:iCs/>
                <w:kern w:val="0"/>
                <w:szCs w:val="21"/>
                <w:highlight w:val="none"/>
                <w:lang w:val="en-US" w:eastAsia="zh-CN"/>
              </w:rPr>
            </w:pPr>
            <w:r>
              <w:rPr>
                <w:rFonts w:hint="eastAsia" w:ascii="宋体" w:hAnsi="宋体"/>
                <w:i w:val="0"/>
                <w:iCs/>
                <w:kern w:val="0"/>
                <w:szCs w:val="21"/>
                <w:highlight w:val="none"/>
                <w:lang w:val="en-US" w:eastAsia="zh-CN"/>
              </w:rPr>
              <w:t>二、招标代理费：以中标金额为基数，参照(发改办价格[2003]857号)、(计价格[2002]1980)文件收费标准计算，由施工中标单位领取中标通知书前，一次性支付给比选代理机构。</w:t>
            </w:r>
          </w:p>
          <w:p w14:paraId="7F708D2B">
            <w:pPr>
              <w:keepNext w:val="0"/>
              <w:keepLines w:val="0"/>
              <w:pageBreakBefore w:val="0"/>
              <w:kinsoku/>
              <w:wordWrap/>
              <w:overflowPunct/>
              <w:topLinePunct w:val="0"/>
              <w:autoSpaceDE w:val="0"/>
              <w:autoSpaceDN w:val="0"/>
              <w:bidi w:val="0"/>
              <w:adjustRightInd w:val="0"/>
              <w:snapToGrid w:val="0"/>
              <w:spacing w:line="400" w:lineRule="exact"/>
              <w:ind w:firstLine="420"/>
              <w:textAlignment w:val="auto"/>
              <w:rPr>
                <w:rFonts w:hint="eastAsia" w:asciiTheme="minorEastAsia" w:hAnsiTheme="minorEastAsia" w:eastAsiaTheme="minorEastAsia" w:cstheme="minorEastAsia"/>
                <w:i w:val="0"/>
                <w:iCs/>
                <w:kern w:val="0"/>
                <w:szCs w:val="21"/>
                <w:highlight w:val="none"/>
                <w:lang w:val="en-US" w:eastAsia="zh-CN"/>
              </w:rPr>
            </w:pPr>
            <w:r>
              <w:rPr>
                <w:rFonts w:hint="eastAsia" w:asciiTheme="minorEastAsia" w:hAnsiTheme="minorEastAsia" w:eastAsiaTheme="minorEastAsia" w:cstheme="minorEastAsia"/>
                <w:i w:val="0"/>
                <w:iCs/>
                <w:kern w:val="0"/>
                <w:szCs w:val="21"/>
                <w:highlight w:val="none"/>
                <w:lang w:val="en-US" w:eastAsia="zh-CN"/>
              </w:rPr>
              <w:t>开户名：红城国际工程项目管理有限公司重庆分公司</w:t>
            </w:r>
          </w:p>
          <w:p w14:paraId="0AC57F3E">
            <w:pPr>
              <w:keepNext w:val="0"/>
              <w:keepLines w:val="0"/>
              <w:pageBreakBefore w:val="0"/>
              <w:kinsoku/>
              <w:wordWrap/>
              <w:overflowPunct/>
              <w:topLinePunct w:val="0"/>
              <w:autoSpaceDE w:val="0"/>
              <w:autoSpaceDN w:val="0"/>
              <w:bidi w:val="0"/>
              <w:adjustRightInd w:val="0"/>
              <w:snapToGrid w:val="0"/>
              <w:spacing w:line="400" w:lineRule="exact"/>
              <w:ind w:firstLine="420"/>
              <w:textAlignment w:val="auto"/>
              <w:rPr>
                <w:rFonts w:hint="eastAsia" w:asciiTheme="minorEastAsia" w:hAnsiTheme="minorEastAsia" w:eastAsiaTheme="minorEastAsia" w:cstheme="minorEastAsia"/>
                <w:i w:val="0"/>
                <w:iCs/>
                <w:kern w:val="0"/>
                <w:szCs w:val="21"/>
                <w:highlight w:val="none"/>
                <w:lang w:val="en-US" w:eastAsia="zh-CN"/>
              </w:rPr>
            </w:pPr>
            <w:r>
              <w:rPr>
                <w:rFonts w:hint="eastAsia" w:asciiTheme="minorEastAsia" w:hAnsiTheme="minorEastAsia" w:eastAsiaTheme="minorEastAsia" w:cstheme="minorEastAsia"/>
                <w:i w:val="0"/>
                <w:iCs/>
                <w:kern w:val="0"/>
                <w:szCs w:val="21"/>
                <w:highlight w:val="none"/>
                <w:lang w:val="en-US" w:eastAsia="zh-CN"/>
              </w:rPr>
              <w:t xml:space="preserve">开户银行：招商银行股份有限公司重庆金开支行  </w:t>
            </w:r>
          </w:p>
          <w:p w14:paraId="758FD4F1">
            <w:pPr>
              <w:keepNext w:val="0"/>
              <w:keepLines w:val="0"/>
              <w:pageBreakBefore w:val="0"/>
              <w:kinsoku/>
              <w:wordWrap/>
              <w:overflowPunct/>
              <w:topLinePunct w:val="0"/>
              <w:autoSpaceDE w:val="0"/>
              <w:autoSpaceDN w:val="0"/>
              <w:bidi w:val="0"/>
              <w:adjustRightInd w:val="0"/>
              <w:snapToGrid w:val="0"/>
              <w:spacing w:line="400" w:lineRule="exact"/>
              <w:ind w:firstLine="420"/>
              <w:textAlignment w:val="auto"/>
              <w:rPr>
                <w:rFonts w:hint="eastAsia" w:eastAsia="方正仿宋_GBK"/>
                <w:sz w:val="28"/>
                <w:szCs w:val="28"/>
                <w:highlight w:val="none"/>
                <w:lang w:val="en-US" w:eastAsia="zh-CN"/>
              </w:rPr>
            </w:pPr>
            <w:r>
              <w:rPr>
                <w:rFonts w:hint="eastAsia" w:asciiTheme="minorEastAsia" w:hAnsiTheme="minorEastAsia" w:eastAsiaTheme="minorEastAsia" w:cstheme="minorEastAsia"/>
                <w:i w:val="0"/>
                <w:iCs/>
                <w:kern w:val="0"/>
                <w:szCs w:val="21"/>
                <w:highlight w:val="none"/>
                <w:lang w:val="en-US" w:eastAsia="zh-CN"/>
              </w:rPr>
              <w:t xml:space="preserve">账    号：123908835310902 </w:t>
            </w:r>
          </w:p>
        </w:tc>
      </w:tr>
    </w:tbl>
    <w:p w14:paraId="44773002">
      <w:pPr>
        <w:pStyle w:val="4"/>
        <w:spacing w:before="0" w:after="0" w:line="20" w:lineRule="exact"/>
        <w:rPr>
          <w:rFonts w:ascii="宋体" w:hAnsi="宋体"/>
          <w:b w:val="0"/>
          <w:snapToGrid w:val="0"/>
          <w:highlight w:val="none"/>
        </w:rPr>
      </w:pPr>
      <w:bookmarkStart w:id="109" w:name="_Toc287620685"/>
      <w:bookmarkStart w:id="110" w:name="_Toc224103317"/>
      <w:bookmarkStart w:id="111" w:name="_Toc430530435"/>
      <w:bookmarkStart w:id="112" w:name="_Toc287607746"/>
      <w:bookmarkStart w:id="113" w:name="_Toc277082552"/>
      <w:bookmarkStart w:id="114" w:name="_Toc200513126"/>
    </w:p>
    <w:p w14:paraId="1702AD6D">
      <w:pPr>
        <w:pStyle w:val="4"/>
        <w:spacing w:before="0" w:after="0" w:line="200" w:lineRule="exact"/>
        <w:rPr>
          <w:rFonts w:ascii="宋体" w:hAnsi="宋体"/>
          <w:b w:val="0"/>
          <w:snapToGrid w:val="0"/>
          <w:highlight w:val="none"/>
        </w:rPr>
      </w:pPr>
      <w:r>
        <w:rPr>
          <w:rFonts w:ascii="宋体" w:hAnsi="宋体"/>
          <w:b w:val="0"/>
          <w:snapToGrid w:val="0"/>
          <w:highlight w:val="none"/>
        </w:rPr>
        <w:br w:type="page"/>
      </w:r>
    </w:p>
    <w:p w14:paraId="02EEFADD">
      <w:pPr>
        <w:pStyle w:val="4"/>
        <w:spacing w:before="0" w:after="0" w:line="360" w:lineRule="auto"/>
        <w:rPr>
          <w:rFonts w:ascii="宋体" w:hAnsi="宋体"/>
          <w:b w:val="0"/>
          <w:snapToGrid w:val="0"/>
          <w:highlight w:val="none"/>
        </w:rPr>
      </w:pPr>
      <w:bookmarkStart w:id="115" w:name="_Toc7788"/>
      <w:bookmarkStart w:id="116" w:name="_Toc17446"/>
      <w:bookmarkStart w:id="117" w:name="_Toc509218710"/>
      <w:r>
        <w:rPr>
          <w:rFonts w:ascii="宋体" w:hAnsi="宋体"/>
          <w:b w:val="0"/>
          <w:snapToGrid w:val="0"/>
          <w:highlight w:val="none"/>
        </w:rPr>
        <w:t>1.  总则</w:t>
      </w:r>
      <w:bookmarkEnd w:id="109"/>
      <w:bookmarkEnd w:id="110"/>
      <w:bookmarkEnd w:id="111"/>
      <w:bookmarkEnd w:id="112"/>
      <w:bookmarkEnd w:id="113"/>
      <w:bookmarkEnd w:id="114"/>
      <w:bookmarkEnd w:id="115"/>
      <w:bookmarkEnd w:id="116"/>
      <w:bookmarkEnd w:id="117"/>
    </w:p>
    <w:p w14:paraId="6900A95D">
      <w:pPr>
        <w:pStyle w:val="5"/>
        <w:snapToGrid w:val="0"/>
        <w:spacing w:before="0" w:after="0" w:line="360" w:lineRule="auto"/>
        <w:rPr>
          <w:rFonts w:ascii="宋体" w:hAnsi="宋体"/>
          <w:b w:val="0"/>
          <w:snapToGrid w:val="0"/>
          <w:sz w:val="24"/>
          <w:szCs w:val="24"/>
          <w:highlight w:val="none"/>
        </w:rPr>
      </w:pPr>
      <w:bookmarkStart w:id="118" w:name="_Toc21822"/>
      <w:bookmarkStart w:id="119" w:name="_Toc200513127"/>
      <w:bookmarkStart w:id="120" w:name="_Toc287607747"/>
      <w:bookmarkStart w:id="121" w:name="_Toc224103318"/>
      <w:bookmarkStart w:id="122" w:name="_Toc509218711"/>
      <w:bookmarkStart w:id="123" w:name="_Toc5297"/>
      <w:bookmarkStart w:id="124" w:name="_Toc287620686"/>
      <w:bookmarkStart w:id="125" w:name="_Toc277082553"/>
      <w:bookmarkStart w:id="126" w:name="_Toc430530436"/>
      <w:r>
        <w:rPr>
          <w:rFonts w:ascii="宋体" w:hAnsi="宋体"/>
          <w:b w:val="0"/>
          <w:snapToGrid w:val="0"/>
          <w:sz w:val="24"/>
          <w:szCs w:val="24"/>
          <w:highlight w:val="none"/>
        </w:rPr>
        <w:t>1.1  项目概况</w:t>
      </w:r>
      <w:bookmarkEnd w:id="118"/>
      <w:bookmarkEnd w:id="119"/>
      <w:bookmarkEnd w:id="120"/>
      <w:bookmarkEnd w:id="121"/>
      <w:bookmarkEnd w:id="122"/>
      <w:bookmarkEnd w:id="123"/>
      <w:bookmarkEnd w:id="124"/>
      <w:bookmarkEnd w:id="125"/>
      <w:bookmarkEnd w:id="126"/>
    </w:p>
    <w:p w14:paraId="7B109F9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1.1.1  根据《中华人民共和国招标投标法》等有关法律、法规和规章的规定，本招标项目已具备招标条件，现对本</w:t>
      </w:r>
      <w:r>
        <w:rPr>
          <w:rFonts w:hint="eastAsia" w:ascii="宋体" w:hAnsi="宋体"/>
          <w:snapToGrid w:val="0"/>
          <w:kern w:val="0"/>
          <w:szCs w:val="21"/>
          <w:highlight w:val="none"/>
        </w:rPr>
        <w:t>项目</w:t>
      </w:r>
      <w:r>
        <w:rPr>
          <w:rFonts w:ascii="宋体" w:hAnsi="宋体"/>
          <w:snapToGrid w:val="0"/>
          <w:kern w:val="0"/>
          <w:szCs w:val="21"/>
          <w:highlight w:val="none"/>
        </w:rPr>
        <w:t>施工进行招标。</w:t>
      </w:r>
    </w:p>
    <w:p w14:paraId="7F628BF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1.1.2  本招标项目</w:t>
      </w:r>
      <w:r>
        <w:rPr>
          <w:rFonts w:hint="eastAsia" w:ascii="宋体" w:hAnsi="宋体"/>
          <w:snapToGrid w:val="0"/>
          <w:kern w:val="0"/>
          <w:szCs w:val="21"/>
          <w:highlight w:val="none"/>
          <w:lang w:eastAsia="zh-CN"/>
        </w:rPr>
        <w:t>比选人</w:t>
      </w:r>
      <w:r>
        <w:rPr>
          <w:rFonts w:ascii="宋体" w:hAnsi="宋体"/>
          <w:snapToGrid w:val="0"/>
          <w:kern w:val="0"/>
          <w:szCs w:val="21"/>
          <w:highlight w:val="none"/>
        </w:rPr>
        <w:t>：见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4881D45D">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1.1.3  本招标项目</w:t>
      </w:r>
      <w:r>
        <w:rPr>
          <w:rFonts w:hint="eastAsia" w:ascii="宋体" w:hAnsi="宋体"/>
          <w:snapToGrid w:val="0"/>
          <w:kern w:val="0"/>
          <w:szCs w:val="21"/>
          <w:highlight w:val="none"/>
          <w:lang w:eastAsia="zh-CN"/>
        </w:rPr>
        <w:t>比选代理机构</w:t>
      </w:r>
      <w:r>
        <w:rPr>
          <w:rFonts w:ascii="宋体" w:hAnsi="宋体"/>
          <w:snapToGrid w:val="0"/>
          <w:kern w:val="0"/>
          <w:szCs w:val="21"/>
          <w:highlight w:val="none"/>
        </w:rPr>
        <w:t>：见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78CBE56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1.1.</w:t>
      </w:r>
      <w:r>
        <w:rPr>
          <w:rFonts w:hint="eastAsia" w:ascii="宋体" w:hAnsi="宋体"/>
          <w:snapToGrid w:val="0"/>
          <w:kern w:val="0"/>
          <w:szCs w:val="21"/>
          <w:highlight w:val="none"/>
        </w:rPr>
        <w:t>4</w:t>
      </w:r>
      <w:r>
        <w:rPr>
          <w:rFonts w:ascii="宋体" w:hAnsi="宋体"/>
          <w:snapToGrid w:val="0"/>
          <w:kern w:val="0"/>
          <w:szCs w:val="21"/>
          <w:highlight w:val="none"/>
        </w:rPr>
        <w:t xml:space="preserve">  本招标项目名称：见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2889595D">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1.1.5  本招标项目建设地点：见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0267100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1.1.6  本招标项目建设规模：见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71EAB5F5">
      <w:pPr>
        <w:pStyle w:val="5"/>
        <w:snapToGrid w:val="0"/>
        <w:spacing w:before="0" w:after="0" w:line="360" w:lineRule="auto"/>
        <w:rPr>
          <w:rFonts w:ascii="宋体" w:hAnsi="宋体"/>
          <w:b w:val="0"/>
          <w:snapToGrid w:val="0"/>
          <w:sz w:val="24"/>
          <w:szCs w:val="24"/>
          <w:highlight w:val="none"/>
        </w:rPr>
      </w:pPr>
      <w:bookmarkStart w:id="127" w:name="_Toc287620687"/>
      <w:bookmarkStart w:id="128" w:name="_Toc430530437"/>
      <w:bookmarkStart w:id="129" w:name="_Toc509218712"/>
      <w:bookmarkStart w:id="130" w:name="_Toc277082554"/>
      <w:bookmarkStart w:id="131" w:name="_Toc224103319"/>
      <w:bookmarkStart w:id="132" w:name="_Toc10126"/>
      <w:bookmarkStart w:id="133" w:name="_Toc287607748"/>
      <w:bookmarkStart w:id="134" w:name="_Toc3664"/>
      <w:bookmarkStart w:id="135" w:name="_Toc200513128"/>
      <w:r>
        <w:rPr>
          <w:rFonts w:ascii="宋体" w:hAnsi="宋体"/>
          <w:b w:val="0"/>
          <w:snapToGrid w:val="0"/>
          <w:sz w:val="24"/>
          <w:szCs w:val="24"/>
          <w:highlight w:val="none"/>
        </w:rPr>
        <w:t>1.2  资金来源和落实情况</w:t>
      </w:r>
      <w:bookmarkEnd w:id="127"/>
      <w:bookmarkEnd w:id="128"/>
      <w:bookmarkEnd w:id="129"/>
      <w:bookmarkEnd w:id="130"/>
      <w:bookmarkEnd w:id="131"/>
      <w:bookmarkEnd w:id="132"/>
      <w:bookmarkEnd w:id="133"/>
      <w:bookmarkEnd w:id="134"/>
      <w:bookmarkEnd w:id="135"/>
    </w:p>
    <w:p w14:paraId="362EB0A6">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1.2.1  本招标项目的资金来源：见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380552EF">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1.2.2  本招标项目的出资比例：见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06E22B9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1.2.3  本招标项目的资金落实情况：见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3A914AF8">
      <w:pPr>
        <w:pStyle w:val="5"/>
        <w:snapToGrid w:val="0"/>
        <w:spacing w:before="0" w:after="0" w:line="360" w:lineRule="auto"/>
        <w:rPr>
          <w:rFonts w:ascii="宋体" w:hAnsi="宋体"/>
          <w:b w:val="0"/>
          <w:snapToGrid w:val="0"/>
          <w:sz w:val="24"/>
          <w:szCs w:val="24"/>
          <w:highlight w:val="none"/>
        </w:rPr>
      </w:pPr>
      <w:bookmarkStart w:id="136" w:name="_Toc277082555"/>
      <w:bookmarkStart w:id="137" w:name="_Toc509218713"/>
      <w:bookmarkStart w:id="138" w:name="_Toc430530438"/>
      <w:bookmarkStart w:id="139" w:name="_Toc1761"/>
      <w:bookmarkStart w:id="140" w:name="_Toc287620688"/>
      <w:bookmarkStart w:id="141" w:name="_Toc224103320"/>
      <w:bookmarkStart w:id="142" w:name="_Toc287607749"/>
      <w:bookmarkStart w:id="143" w:name="_Toc20343"/>
      <w:bookmarkStart w:id="144" w:name="_Toc200513129"/>
      <w:r>
        <w:rPr>
          <w:rFonts w:ascii="宋体" w:hAnsi="宋体"/>
          <w:b w:val="0"/>
          <w:snapToGrid w:val="0"/>
          <w:sz w:val="24"/>
          <w:szCs w:val="24"/>
          <w:highlight w:val="none"/>
        </w:rPr>
        <w:t>1.3  招标范围、计划工期和质量要求</w:t>
      </w:r>
      <w:bookmarkEnd w:id="136"/>
      <w:bookmarkEnd w:id="137"/>
      <w:bookmarkEnd w:id="138"/>
      <w:bookmarkEnd w:id="139"/>
      <w:bookmarkEnd w:id="140"/>
      <w:bookmarkEnd w:id="141"/>
      <w:bookmarkEnd w:id="142"/>
      <w:bookmarkEnd w:id="143"/>
      <w:bookmarkEnd w:id="144"/>
    </w:p>
    <w:p w14:paraId="2D93050A">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1.3.1  招标范围：见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3E71C27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1.3.2  计划工期：见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70135CE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1.3.3  质量要求：见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01F90FCC">
      <w:pPr>
        <w:pStyle w:val="5"/>
        <w:snapToGrid w:val="0"/>
        <w:spacing w:before="0" w:after="0" w:line="360" w:lineRule="auto"/>
        <w:rPr>
          <w:rFonts w:ascii="宋体" w:hAnsi="宋体"/>
          <w:b w:val="0"/>
          <w:snapToGrid w:val="0"/>
          <w:sz w:val="24"/>
          <w:szCs w:val="24"/>
          <w:highlight w:val="none"/>
        </w:rPr>
      </w:pPr>
      <w:bookmarkStart w:id="145" w:name="_Toc6715"/>
      <w:bookmarkStart w:id="146" w:name="_Toc509218715"/>
      <w:bookmarkStart w:id="147" w:name="_Toc430530440"/>
      <w:bookmarkStart w:id="148" w:name="_Toc200513131"/>
      <w:bookmarkStart w:id="149" w:name="_Toc287607751"/>
      <w:bookmarkStart w:id="150" w:name="_Toc277082557"/>
      <w:bookmarkStart w:id="151" w:name="_Toc224103322"/>
      <w:bookmarkStart w:id="152" w:name="_Toc14158"/>
      <w:bookmarkStart w:id="153" w:name="_Toc287620690"/>
      <w:r>
        <w:rPr>
          <w:rFonts w:ascii="宋体" w:hAnsi="宋体"/>
          <w:b w:val="0"/>
          <w:snapToGrid w:val="0"/>
          <w:sz w:val="24"/>
          <w:szCs w:val="24"/>
          <w:highlight w:val="none"/>
        </w:rPr>
        <w:t xml:space="preserve">1.4  </w:t>
      </w:r>
      <w:r>
        <w:rPr>
          <w:rFonts w:hint="eastAsia" w:ascii="宋体" w:hAnsi="宋体"/>
          <w:b w:val="0"/>
          <w:snapToGrid w:val="0"/>
          <w:sz w:val="24"/>
          <w:szCs w:val="24"/>
          <w:highlight w:val="none"/>
          <w:lang w:eastAsia="zh-CN"/>
        </w:rPr>
        <w:t>比选申请人</w:t>
      </w:r>
      <w:r>
        <w:rPr>
          <w:rFonts w:ascii="宋体" w:hAnsi="宋体"/>
          <w:b w:val="0"/>
          <w:snapToGrid w:val="0"/>
          <w:sz w:val="24"/>
          <w:szCs w:val="24"/>
          <w:highlight w:val="none"/>
        </w:rPr>
        <w:t>资格要求</w:t>
      </w:r>
      <w:bookmarkEnd w:id="145"/>
      <w:bookmarkEnd w:id="146"/>
      <w:bookmarkEnd w:id="147"/>
      <w:bookmarkEnd w:id="148"/>
      <w:bookmarkEnd w:id="149"/>
      <w:bookmarkEnd w:id="150"/>
      <w:bookmarkEnd w:id="151"/>
      <w:bookmarkEnd w:id="152"/>
      <w:bookmarkEnd w:id="153"/>
    </w:p>
    <w:p w14:paraId="0BE9C2F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1.4.1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应具备承担本标段施工的资质条件、能力和信誉。</w:t>
      </w:r>
    </w:p>
    <w:p w14:paraId="61B831AD">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w:t>
      </w:r>
      <w:r>
        <w:rPr>
          <w:rFonts w:ascii="宋体" w:hAnsi="宋体"/>
          <w:szCs w:val="21"/>
          <w:highlight w:val="none"/>
        </w:rPr>
        <w:t>资质条件、</w:t>
      </w:r>
      <w:r>
        <w:rPr>
          <w:rFonts w:hint="eastAsia" w:ascii="宋体" w:hAnsi="宋体"/>
          <w:szCs w:val="21"/>
          <w:highlight w:val="none"/>
          <w:lang w:eastAsia="zh-CN"/>
        </w:rPr>
        <w:t>独立法人资格</w:t>
      </w:r>
      <w:r>
        <w:rPr>
          <w:rFonts w:ascii="宋体" w:hAnsi="宋体"/>
          <w:szCs w:val="21"/>
          <w:highlight w:val="none"/>
        </w:rPr>
        <w:t>及安全生产条件</w:t>
      </w:r>
      <w:r>
        <w:rPr>
          <w:rFonts w:ascii="宋体" w:hAnsi="宋体"/>
          <w:snapToGrid w:val="0"/>
          <w:kern w:val="0"/>
          <w:szCs w:val="21"/>
          <w:highlight w:val="none"/>
        </w:rPr>
        <w:t>：见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06B72B04">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（2）财务要求：见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06DD5EE5">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w:t>
      </w:r>
      <w:r>
        <w:rPr>
          <w:rFonts w:hint="eastAsia" w:ascii="宋体" w:hAnsi="宋体"/>
          <w:snapToGrid w:val="0"/>
          <w:kern w:val="0"/>
          <w:szCs w:val="21"/>
          <w:highlight w:val="none"/>
        </w:rPr>
        <w:t>投标截止日投标资格情况</w:t>
      </w:r>
      <w:r>
        <w:rPr>
          <w:rFonts w:ascii="宋体" w:hAnsi="宋体"/>
          <w:snapToGrid w:val="0"/>
          <w:kern w:val="0"/>
          <w:szCs w:val="21"/>
          <w:highlight w:val="none"/>
        </w:rPr>
        <w:t>：见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1AFA38AD">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（4）项目经理资格</w:t>
      </w:r>
      <w:r>
        <w:rPr>
          <w:rFonts w:hint="eastAsia" w:ascii="宋体" w:hAnsi="宋体"/>
          <w:snapToGrid w:val="0"/>
          <w:kern w:val="0"/>
          <w:szCs w:val="21"/>
          <w:highlight w:val="none"/>
        </w:rPr>
        <w:t>要求</w:t>
      </w:r>
      <w:r>
        <w:rPr>
          <w:rFonts w:ascii="宋体" w:hAnsi="宋体"/>
          <w:snapToGrid w:val="0"/>
          <w:kern w:val="0"/>
          <w:szCs w:val="21"/>
          <w:highlight w:val="none"/>
        </w:rPr>
        <w:t>：见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7854DD74">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（5）其他要求：见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0F5DD14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1.4.2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须知前附表规定接受联合体投标的，除应符合本章第1.4.1项和</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须知前附表的要求外，还应遵守以下规定：</w:t>
      </w:r>
    </w:p>
    <w:p w14:paraId="0039B9D9">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（1）联合体各方应按</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提供的格式签订</w:t>
      </w:r>
      <w:r>
        <w:rPr>
          <w:rFonts w:hint="eastAsia" w:ascii="宋体" w:hAnsi="宋体"/>
          <w:highlight w:val="none"/>
          <w:lang w:val="en-US" w:eastAsia="zh-CN"/>
        </w:rPr>
        <w:t>共同投标协议</w:t>
      </w:r>
      <w:r>
        <w:rPr>
          <w:rFonts w:ascii="宋体" w:hAnsi="宋体"/>
          <w:snapToGrid w:val="0"/>
          <w:kern w:val="0"/>
          <w:szCs w:val="21"/>
          <w:highlight w:val="none"/>
        </w:rPr>
        <w:t>，明确联合体牵头人和各方权利义务</w:t>
      </w:r>
      <w:r>
        <w:rPr>
          <w:rFonts w:hint="eastAsia" w:ascii="宋体" w:hAnsi="宋体"/>
          <w:snapToGrid w:val="0"/>
          <w:kern w:val="0"/>
          <w:szCs w:val="21"/>
          <w:highlight w:val="none"/>
          <w:lang w:eastAsia="zh-CN"/>
        </w:rPr>
        <w:t>，</w:t>
      </w:r>
      <w:r>
        <w:rPr>
          <w:rFonts w:asciiTheme="minorEastAsia" w:hAnsiTheme="minorEastAsia" w:eastAsiaTheme="minorEastAsia"/>
          <w:color w:val="auto"/>
          <w:highlight w:val="none"/>
        </w:rPr>
        <w:t>并承诺就中标项目向</w:t>
      </w:r>
      <w:r>
        <w:rPr>
          <w:rFonts w:hint="eastAsia" w:asciiTheme="minorEastAsia" w:hAnsiTheme="minorEastAsia" w:eastAsiaTheme="minorEastAsia"/>
          <w:color w:val="auto"/>
          <w:highlight w:val="none"/>
          <w:lang w:eastAsia="zh-CN"/>
        </w:rPr>
        <w:t>比选人</w:t>
      </w:r>
      <w:r>
        <w:rPr>
          <w:rFonts w:asciiTheme="minorEastAsia" w:hAnsiTheme="minorEastAsia" w:eastAsiaTheme="minorEastAsia"/>
          <w:color w:val="auto"/>
          <w:highlight w:val="none"/>
        </w:rPr>
        <w:t>承担连带责任</w:t>
      </w:r>
      <w:r>
        <w:rPr>
          <w:rFonts w:ascii="宋体" w:hAnsi="宋体"/>
          <w:snapToGrid w:val="0"/>
          <w:kern w:val="0"/>
          <w:szCs w:val="21"/>
          <w:highlight w:val="none"/>
        </w:rPr>
        <w:t>；</w:t>
      </w:r>
    </w:p>
    <w:p w14:paraId="3AACBF6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（2）联合体各方均应当具备承担招标项目的相应能力；</w:t>
      </w:r>
      <w:r>
        <w:rPr>
          <w:rFonts w:hint="eastAsia" w:ascii="宋体" w:hAnsi="宋体"/>
          <w:highlight w:val="none"/>
          <w:lang w:val="en-US" w:eastAsia="zh-CN"/>
        </w:rPr>
        <w:t>共同投标协议</w:t>
      </w:r>
      <w:r>
        <w:rPr>
          <w:rFonts w:ascii="宋体" w:hAnsi="宋体"/>
          <w:snapToGrid w:val="0"/>
          <w:kern w:val="0"/>
          <w:szCs w:val="21"/>
          <w:highlight w:val="none"/>
        </w:rPr>
        <w:t>约定同一专业分工由两个及以上单位共同承担的，</w:t>
      </w:r>
      <w:r>
        <w:rPr>
          <w:rFonts w:hint="eastAsia" w:ascii="宋体" w:hAnsi="宋体"/>
          <w:snapToGrid w:val="0"/>
          <w:kern w:val="0"/>
          <w:szCs w:val="21"/>
          <w:highlight w:val="none"/>
        </w:rPr>
        <w:t>按照资质等级较低的单位确定资质等级</w:t>
      </w:r>
      <w:r>
        <w:rPr>
          <w:rFonts w:ascii="宋体" w:hAnsi="宋体"/>
          <w:snapToGrid w:val="0"/>
          <w:kern w:val="0"/>
          <w:szCs w:val="21"/>
          <w:highlight w:val="none"/>
        </w:rPr>
        <w:t>；</w:t>
      </w:r>
    </w:p>
    <w:p w14:paraId="5B968D64">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（3）联合体各方不得再以自己名义单独或参加其他联合体在</w:t>
      </w:r>
      <w:r>
        <w:rPr>
          <w:rFonts w:hint="eastAsia" w:ascii="宋体" w:hAnsi="宋体"/>
          <w:snapToGrid w:val="0"/>
          <w:kern w:val="0"/>
          <w:szCs w:val="21"/>
          <w:highlight w:val="none"/>
          <w:lang w:val="en-US" w:eastAsia="zh-CN"/>
        </w:rPr>
        <w:t>本招标项目</w:t>
      </w:r>
      <w:r>
        <w:rPr>
          <w:rFonts w:ascii="宋体" w:hAnsi="宋体"/>
          <w:snapToGrid w:val="0"/>
          <w:kern w:val="0"/>
          <w:szCs w:val="21"/>
          <w:highlight w:val="none"/>
        </w:rPr>
        <w:t>同一标段中投标</w:t>
      </w:r>
      <w:r>
        <w:rPr>
          <w:rFonts w:hint="eastAsia" w:ascii="宋体" w:hAnsi="宋体"/>
          <w:snapToGrid w:val="0"/>
          <w:kern w:val="0"/>
          <w:szCs w:val="21"/>
          <w:highlight w:val="none"/>
          <w:lang w:eastAsia="zh-CN"/>
        </w:rPr>
        <w:t>，</w:t>
      </w:r>
      <w:r>
        <w:rPr>
          <w:rFonts w:hint="eastAsia" w:ascii="宋体" w:hAnsi="宋体"/>
          <w:snapToGrid w:val="0"/>
          <w:kern w:val="0"/>
          <w:szCs w:val="21"/>
          <w:highlight w:val="none"/>
          <w:lang w:val="en-US" w:eastAsia="zh-CN"/>
        </w:rPr>
        <w:t>否则各相关投标均无效</w:t>
      </w:r>
      <w:r>
        <w:rPr>
          <w:rFonts w:ascii="宋体" w:hAnsi="宋体"/>
          <w:snapToGrid w:val="0"/>
          <w:kern w:val="0"/>
          <w:szCs w:val="21"/>
          <w:highlight w:val="none"/>
        </w:rPr>
        <w:t>。</w:t>
      </w:r>
    </w:p>
    <w:p w14:paraId="2EAA78E1">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1.4.3  </w:t>
      </w:r>
      <w:bookmarkStart w:id="154" w:name="OLE_LINK9"/>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不得存在下列情形之一</w:t>
      </w:r>
      <w:bookmarkEnd w:id="154"/>
      <w:r>
        <w:rPr>
          <w:rFonts w:ascii="宋体" w:hAnsi="宋体"/>
          <w:snapToGrid w:val="0"/>
          <w:kern w:val="0"/>
          <w:szCs w:val="21"/>
          <w:highlight w:val="none"/>
        </w:rPr>
        <w:t>：</w:t>
      </w:r>
    </w:p>
    <w:p w14:paraId="6C1C7B6E">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position w:val="-2"/>
          <w:szCs w:val="21"/>
          <w:highlight w:val="none"/>
        </w:rPr>
        <w:t>（1）与</w:t>
      </w:r>
      <w:r>
        <w:rPr>
          <w:rFonts w:hint="eastAsia" w:ascii="宋体" w:hAnsi="宋体"/>
          <w:snapToGrid w:val="0"/>
          <w:kern w:val="0"/>
          <w:position w:val="-2"/>
          <w:szCs w:val="21"/>
          <w:highlight w:val="none"/>
          <w:lang w:eastAsia="zh-CN"/>
        </w:rPr>
        <w:t>比选人</w:t>
      </w:r>
      <w:r>
        <w:rPr>
          <w:rFonts w:ascii="宋体" w:hAnsi="宋体"/>
          <w:snapToGrid w:val="0"/>
          <w:kern w:val="0"/>
          <w:position w:val="-2"/>
          <w:szCs w:val="21"/>
          <w:highlight w:val="none"/>
        </w:rPr>
        <w:t>存在利害关系可能影响招标公正性的法人、其他组织或者个人；</w:t>
      </w:r>
    </w:p>
    <w:p w14:paraId="14D2DF8A">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（2）为本标段前期准备提供设计或咨询服务的，但设计施工总承包的除外；</w:t>
      </w:r>
    </w:p>
    <w:p w14:paraId="7A2ADB1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（3）为本标段的监理人；</w:t>
      </w:r>
    </w:p>
    <w:p w14:paraId="7971EFC4">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（4）为本标段的代建人；</w:t>
      </w:r>
    </w:p>
    <w:p w14:paraId="12505B7F">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（5）为本标段提供招标代理服务的；</w:t>
      </w:r>
    </w:p>
    <w:p w14:paraId="49B850E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（6）与本标段的监理人或代建人或</w:t>
      </w:r>
      <w:r>
        <w:rPr>
          <w:rFonts w:hint="eastAsia" w:ascii="宋体" w:hAnsi="宋体"/>
          <w:snapToGrid w:val="0"/>
          <w:kern w:val="0"/>
          <w:szCs w:val="21"/>
          <w:highlight w:val="none"/>
          <w:lang w:eastAsia="zh-CN"/>
        </w:rPr>
        <w:t>比选代理机构</w:t>
      </w:r>
      <w:r>
        <w:rPr>
          <w:rFonts w:ascii="宋体" w:hAnsi="宋体"/>
          <w:snapToGrid w:val="0"/>
          <w:kern w:val="0"/>
          <w:szCs w:val="21"/>
          <w:highlight w:val="none"/>
        </w:rPr>
        <w:t>同为一个法定代表人的；</w:t>
      </w:r>
    </w:p>
    <w:p w14:paraId="2ABA91D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（7）与本标段的监理人或代建人或</w:t>
      </w:r>
      <w:r>
        <w:rPr>
          <w:rFonts w:hint="eastAsia" w:ascii="宋体" w:hAnsi="宋体"/>
          <w:snapToGrid w:val="0"/>
          <w:kern w:val="0"/>
          <w:szCs w:val="21"/>
          <w:highlight w:val="none"/>
          <w:lang w:eastAsia="zh-CN"/>
        </w:rPr>
        <w:t>比选代理机构存在</w:t>
      </w:r>
      <w:r>
        <w:rPr>
          <w:rFonts w:ascii="宋体" w:hAnsi="宋体"/>
          <w:snapToGrid w:val="0"/>
          <w:kern w:val="0"/>
          <w:szCs w:val="21"/>
          <w:highlight w:val="none"/>
        </w:rPr>
        <w:t>控股或参股的；</w:t>
      </w:r>
    </w:p>
    <w:p w14:paraId="530FAFE1">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（8）与本标段的监理人或代建人或</w:t>
      </w:r>
      <w:r>
        <w:rPr>
          <w:rFonts w:hint="eastAsia" w:ascii="宋体" w:hAnsi="宋体"/>
          <w:snapToGrid w:val="0"/>
          <w:kern w:val="0"/>
          <w:szCs w:val="21"/>
          <w:highlight w:val="none"/>
          <w:lang w:eastAsia="zh-CN"/>
        </w:rPr>
        <w:t>比选代理机构</w:t>
      </w:r>
      <w:r>
        <w:rPr>
          <w:rFonts w:ascii="宋体" w:hAnsi="宋体"/>
          <w:snapToGrid w:val="0"/>
          <w:kern w:val="0"/>
          <w:szCs w:val="21"/>
          <w:highlight w:val="none"/>
        </w:rPr>
        <w:t>相互任职或工作的；</w:t>
      </w:r>
    </w:p>
    <w:p w14:paraId="124D8912">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（9）</w:t>
      </w:r>
      <w:r>
        <w:rPr>
          <w:rFonts w:asciiTheme="minorEastAsia" w:hAnsiTheme="minorEastAsia" w:eastAsiaTheme="minorEastAsia"/>
          <w:color w:val="auto"/>
          <w:szCs w:val="21"/>
          <w:highlight w:val="none"/>
        </w:rPr>
        <w:t>被责令停产停业、暂扣或者吊销许可证、暂扣或者吊销执照</w:t>
      </w:r>
      <w:r>
        <w:rPr>
          <w:rFonts w:ascii="宋体" w:hAnsi="宋体"/>
          <w:snapToGrid w:val="0"/>
          <w:kern w:val="0"/>
          <w:szCs w:val="21"/>
          <w:highlight w:val="none"/>
        </w:rPr>
        <w:t>；</w:t>
      </w:r>
    </w:p>
    <w:p w14:paraId="6ECC4CE8">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（10）</w:t>
      </w:r>
      <w:r>
        <w:rPr>
          <w:rFonts w:hint="eastAsia" w:ascii="宋体" w:hAnsi="宋体"/>
          <w:snapToGrid w:val="0"/>
          <w:kern w:val="0"/>
          <w:szCs w:val="21"/>
          <w:highlight w:val="none"/>
        </w:rPr>
        <w:t>被国家、重庆市（含市或任意区县）有关行政部门处以暂停投标资格行政处罚，且在处罚期限内的</w:t>
      </w:r>
      <w:r>
        <w:rPr>
          <w:rFonts w:ascii="宋体" w:hAnsi="宋体"/>
          <w:snapToGrid w:val="0"/>
          <w:kern w:val="0"/>
          <w:szCs w:val="21"/>
          <w:highlight w:val="none"/>
        </w:rPr>
        <w:t>；</w:t>
      </w:r>
    </w:p>
    <w:p w14:paraId="62B06928">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（11）</w:t>
      </w:r>
      <w:r>
        <w:rPr>
          <w:rFonts w:asciiTheme="minorEastAsia" w:hAnsiTheme="minorEastAsia" w:eastAsiaTheme="minorEastAsia"/>
          <w:color w:val="auto"/>
          <w:szCs w:val="21"/>
          <w:highlight w:val="none"/>
        </w:rPr>
        <w:t>进入清算程序，或被宣告破产，或其他丧失履约能力的情形</w:t>
      </w:r>
      <w:r>
        <w:rPr>
          <w:rFonts w:ascii="宋体" w:hAnsi="宋体"/>
          <w:snapToGrid w:val="0"/>
          <w:kern w:val="0"/>
          <w:szCs w:val="21"/>
          <w:highlight w:val="none"/>
        </w:rPr>
        <w:t>；</w:t>
      </w:r>
    </w:p>
    <w:p w14:paraId="0B1427AF">
      <w:pPr>
        <w:autoSpaceDE w:val="0"/>
        <w:autoSpaceDN w:val="0"/>
        <w:adjustRightInd w:val="0"/>
        <w:snapToGrid w:val="0"/>
        <w:spacing w:line="360" w:lineRule="auto"/>
        <w:ind w:firstLine="420" w:firstLineChars="200"/>
        <w:rPr>
          <w:rFonts w:hint="eastAsia" w:ascii="宋体" w:hAnsi="宋体" w:eastAsia="宋体"/>
          <w:snapToGrid w:val="0"/>
          <w:kern w:val="0"/>
          <w:szCs w:val="21"/>
          <w:highlight w:val="none"/>
          <w:lang w:eastAsia="zh-CN"/>
        </w:rPr>
      </w:pPr>
      <w:r>
        <w:rPr>
          <w:rFonts w:hint="eastAsia" w:ascii="宋体" w:hAnsi="宋体"/>
          <w:snapToGrid w:val="0"/>
          <w:kern w:val="0"/>
          <w:szCs w:val="21"/>
          <w:highlight w:val="none"/>
        </w:rPr>
        <w:t>（</w:t>
      </w:r>
      <w:r>
        <w:rPr>
          <w:rFonts w:hint="eastAsia" w:ascii="宋体" w:hAnsi="宋体"/>
          <w:snapToGrid w:val="0"/>
          <w:kern w:val="0"/>
          <w:szCs w:val="21"/>
          <w:highlight w:val="none"/>
          <w:lang w:val="en-US" w:eastAsia="zh-CN"/>
        </w:rPr>
        <w:t>12</w:t>
      </w:r>
      <w:r>
        <w:rPr>
          <w:rFonts w:hint="eastAsia" w:ascii="宋体" w:hAnsi="宋体"/>
          <w:snapToGrid w:val="0"/>
          <w:kern w:val="0"/>
          <w:szCs w:val="21"/>
          <w:highlight w:val="none"/>
        </w:rPr>
        <w:t>）被市场监督管理机关在全国企业信用信息公示系统中列入严重违法失信企业名单</w:t>
      </w:r>
      <w:r>
        <w:rPr>
          <w:rFonts w:hint="eastAsia" w:ascii="宋体" w:hAnsi="宋体"/>
          <w:snapToGrid w:val="0"/>
          <w:kern w:val="0"/>
          <w:szCs w:val="21"/>
          <w:highlight w:val="none"/>
          <w:lang w:eastAsia="zh-CN"/>
        </w:rPr>
        <w:t>；</w:t>
      </w:r>
    </w:p>
    <w:p w14:paraId="5EF5872E">
      <w:pPr>
        <w:autoSpaceDE w:val="0"/>
        <w:autoSpaceDN w:val="0"/>
        <w:adjustRightInd w:val="0"/>
        <w:snapToGrid w:val="0"/>
        <w:spacing w:line="360" w:lineRule="auto"/>
        <w:ind w:firstLine="420" w:firstLineChars="200"/>
        <w:rPr>
          <w:rFonts w:hint="eastAsia" w:ascii="宋体" w:hAnsi="宋体"/>
          <w:snapToGrid w:val="0"/>
          <w:kern w:val="0"/>
          <w:szCs w:val="21"/>
          <w:highlight w:val="none"/>
          <w:lang w:eastAsia="zh-CN"/>
        </w:rPr>
      </w:pPr>
      <w:r>
        <w:rPr>
          <w:rFonts w:ascii="宋体" w:hAnsi="宋体"/>
          <w:snapToGrid w:val="0"/>
          <w:kern w:val="0"/>
          <w:szCs w:val="21"/>
          <w:highlight w:val="none"/>
        </w:rPr>
        <w:t>（</w:t>
      </w:r>
      <w:r>
        <w:rPr>
          <w:rFonts w:hint="eastAsia" w:ascii="宋体" w:hAnsi="宋体"/>
          <w:snapToGrid w:val="0"/>
          <w:kern w:val="0"/>
          <w:szCs w:val="21"/>
          <w:highlight w:val="none"/>
          <w:lang w:val="en-US" w:eastAsia="zh-CN"/>
        </w:rPr>
        <w:t>13</w:t>
      </w:r>
      <w:r>
        <w:rPr>
          <w:rFonts w:ascii="宋体" w:hAnsi="宋体"/>
          <w:snapToGrid w:val="0"/>
          <w:kern w:val="0"/>
          <w:szCs w:val="21"/>
          <w:highlight w:val="none"/>
        </w:rPr>
        <w:t>）</w:t>
      </w:r>
      <w:r>
        <w:rPr>
          <w:rFonts w:ascii="宋体" w:hAnsi="宋体"/>
          <w:szCs w:val="21"/>
          <w:highlight w:val="none"/>
        </w:rPr>
        <w:t>单位负责人为同一人或者存在控股、管理关系的不同单位，不得在同一标段中同时投标</w:t>
      </w:r>
      <w:r>
        <w:rPr>
          <w:rFonts w:hint="eastAsia" w:ascii="宋体" w:hAnsi="宋体"/>
          <w:snapToGrid w:val="0"/>
          <w:kern w:val="0"/>
          <w:szCs w:val="21"/>
          <w:highlight w:val="none"/>
          <w:lang w:eastAsia="zh-CN"/>
        </w:rPr>
        <w:t>；</w:t>
      </w:r>
    </w:p>
    <w:p w14:paraId="51D4CC68">
      <w:pPr>
        <w:autoSpaceDE w:val="0"/>
        <w:autoSpaceDN w:val="0"/>
        <w:adjustRightInd w:val="0"/>
        <w:snapToGrid w:val="0"/>
        <w:spacing w:line="360" w:lineRule="auto"/>
        <w:ind w:firstLine="420" w:firstLineChars="200"/>
        <w:rPr>
          <w:rFonts w:hint="eastAsia" w:ascii="宋体" w:hAnsi="宋体" w:eastAsia="宋体"/>
          <w:snapToGrid w:val="0"/>
          <w:kern w:val="0"/>
          <w:szCs w:val="21"/>
          <w:highlight w:val="none"/>
          <w:lang w:eastAsia="zh-CN"/>
        </w:rPr>
      </w:pPr>
      <w:r>
        <w:rPr>
          <w:rFonts w:hint="eastAsia" w:ascii="宋体" w:hAnsi="宋体"/>
          <w:snapToGrid w:val="0"/>
          <w:kern w:val="0"/>
          <w:szCs w:val="21"/>
          <w:highlight w:val="none"/>
          <w:lang w:eastAsia="zh-CN"/>
        </w:rPr>
        <w:t>（</w:t>
      </w:r>
      <w:r>
        <w:rPr>
          <w:rFonts w:hint="eastAsia" w:ascii="宋体" w:hAnsi="宋体"/>
          <w:snapToGrid w:val="0"/>
          <w:kern w:val="0"/>
          <w:szCs w:val="21"/>
          <w:highlight w:val="none"/>
          <w:lang w:val="en-US" w:eastAsia="zh-CN"/>
        </w:rPr>
        <w:t>14</w:t>
      </w:r>
      <w:r>
        <w:rPr>
          <w:rFonts w:hint="eastAsia" w:ascii="宋体" w:hAnsi="宋体"/>
          <w:snapToGrid w:val="0"/>
          <w:kern w:val="0"/>
          <w:szCs w:val="21"/>
          <w:highlight w:val="none"/>
          <w:lang w:eastAsia="zh-CN"/>
        </w:rPr>
        <w:t>）法律法规或比选申请人须知前附表规定的其他情形。</w:t>
      </w:r>
    </w:p>
    <w:p w14:paraId="445A6BE5">
      <w:pPr>
        <w:pStyle w:val="5"/>
        <w:snapToGrid w:val="0"/>
        <w:spacing w:before="0" w:after="0" w:line="360" w:lineRule="auto"/>
        <w:rPr>
          <w:rFonts w:ascii="宋体" w:hAnsi="宋体"/>
          <w:b w:val="0"/>
          <w:snapToGrid w:val="0"/>
          <w:sz w:val="24"/>
          <w:szCs w:val="24"/>
          <w:highlight w:val="none"/>
        </w:rPr>
      </w:pPr>
      <w:bookmarkStart w:id="155" w:name="_Toc7453"/>
      <w:bookmarkStart w:id="156" w:name="_Toc509218716"/>
      <w:bookmarkStart w:id="157" w:name="_Toc287607752"/>
      <w:bookmarkStart w:id="158" w:name="_Toc14423"/>
      <w:bookmarkStart w:id="159" w:name="_Toc287620691"/>
      <w:bookmarkStart w:id="160" w:name="_Toc430530441"/>
      <w:bookmarkStart w:id="161" w:name="_Toc277082558"/>
      <w:bookmarkStart w:id="162" w:name="_Toc200513132"/>
      <w:bookmarkStart w:id="163" w:name="_Toc224103323"/>
      <w:r>
        <w:rPr>
          <w:rFonts w:ascii="宋体" w:hAnsi="宋体"/>
          <w:b w:val="0"/>
          <w:snapToGrid w:val="0"/>
          <w:sz w:val="24"/>
          <w:szCs w:val="24"/>
          <w:highlight w:val="none"/>
        </w:rPr>
        <w:t>1.5  费用承担</w:t>
      </w:r>
      <w:bookmarkEnd w:id="155"/>
      <w:bookmarkEnd w:id="156"/>
      <w:bookmarkEnd w:id="157"/>
      <w:bookmarkEnd w:id="158"/>
      <w:bookmarkEnd w:id="159"/>
      <w:bookmarkEnd w:id="160"/>
      <w:bookmarkEnd w:id="161"/>
      <w:bookmarkEnd w:id="162"/>
      <w:bookmarkEnd w:id="163"/>
    </w:p>
    <w:p w14:paraId="1DA3CBA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准备和参加投标活动发生的费用自理。</w:t>
      </w:r>
    </w:p>
    <w:p w14:paraId="075F371D">
      <w:pPr>
        <w:pStyle w:val="5"/>
        <w:snapToGrid w:val="0"/>
        <w:spacing w:before="0" w:after="0" w:line="360" w:lineRule="auto"/>
        <w:rPr>
          <w:rFonts w:ascii="宋体" w:hAnsi="宋体"/>
          <w:b w:val="0"/>
          <w:snapToGrid w:val="0"/>
          <w:sz w:val="24"/>
          <w:szCs w:val="24"/>
          <w:highlight w:val="none"/>
        </w:rPr>
      </w:pPr>
      <w:bookmarkStart w:id="164" w:name="_Toc277082559"/>
      <w:bookmarkStart w:id="165" w:name="_Toc224103324"/>
      <w:bookmarkStart w:id="166" w:name="_Toc24694"/>
      <w:bookmarkStart w:id="167" w:name="_Toc287620692"/>
      <w:bookmarkStart w:id="168" w:name="_Toc7231"/>
      <w:bookmarkStart w:id="169" w:name="_Toc200513133"/>
      <w:bookmarkStart w:id="170" w:name="_Toc509218717"/>
      <w:bookmarkStart w:id="171" w:name="_Toc287607753"/>
      <w:bookmarkStart w:id="172" w:name="_Toc430530442"/>
      <w:r>
        <w:rPr>
          <w:rFonts w:ascii="宋体" w:hAnsi="宋体"/>
          <w:b w:val="0"/>
          <w:snapToGrid w:val="0"/>
          <w:sz w:val="24"/>
          <w:szCs w:val="24"/>
          <w:highlight w:val="none"/>
        </w:rPr>
        <w:t>1.6  保密</w:t>
      </w:r>
      <w:bookmarkEnd w:id="164"/>
      <w:bookmarkEnd w:id="165"/>
      <w:bookmarkEnd w:id="166"/>
      <w:bookmarkEnd w:id="167"/>
      <w:bookmarkEnd w:id="168"/>
      <w:bookmarkEnd w:id="169"/>
      <w:bookmarkEnd w:id="170"/>
      <w:bookmarkEnd w:id="171"/>
      <w:bookmarkEnd w:id="172"/>
    </w:p>
    <w:p w14:paraId="5F688469">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参与招标投标活动的各方应对</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和</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中的商业和技术等秘密保密，违者应对由此造成的后果承担法律责任。</w:t>
      </w:r>
    </w:p>
    <w:p w14:paraId="11F3EAC7">
      <w:pPr>
        <w:pStyle w:val="5"/>
        <w:snapToGrid w:val="0"/>
        <w:spacing w:before="0" w:after="0" w:line="360" w:lineRule="auto"/>
        <w:rPr>
          <w:rFonts w:ascii="宋体" w:hAnsi="宋体"/>
          <w:b w:val="0"/>
          <w:snapToGrid w:val="0"/>
          <w:sz w:val="24"/>
          <w:szCs w:val="24"/>
          <w:highlight w:val="none"/>
        </w:rPr>
      </w:pPr>
      <w:bookmarkStart w:id="173" w:name="_Toc509218718"/>
      <w:bookmarkStart w:id="174" w:name="_Toc287620693"/>
      <w:bookmarkStart w:id="175" w:name="_Toc27614"/>
      <w:bookmarkStart w:id="176" w:name="_Toc277082560"/>
      <w:bookmarkStart w:id="177" w:name="_Toc287607754"/>
      <w:bookmarkStart w:id="178" w:name="_Toc430530443"/>
      <w:bookmarkStart w:id="179" w:name="_Toc200513134"/>
      <w:bookmarkStart w:id="180" w:name="_Toc8621"/>
      <w:bookmarkStart w:id="181" w:name="_Toc224103325"/>
      <w:r>
        <w:rPr>
          <w:rFonts w:ascii="宋体" w:hAnsi="宋体"/>
          <w:b w:val="0"/>
          <w:snapToGrid w:val="0"/>
          <w:sz w:val="24"/>
          <w:szCs w:val="24"/>
          <w:highlight w:val="none"/>
        </w:rPr>
        <w:t>1.7  语言文字</w:t>
      </w:r>
      <w:bookmarkEnd w:id="173"/>
      <w:bookmarkEnd w:id="174"/>
      <w:bookmarkEnd w:id="175"/>
      <w:bookmarkEnd w:id="176"/>
      <w:bookmarkEnd w:id="177"/>
      <w:bookmarkEnd w:id="178"/>
      <w:bookmarkEnd w:id="179"/>
      <w:bookmarkEnd w:id="180"/>
      <w:bookmarkEnd w:id="181"/>
    </w:p>
    <w:p w14:paraId="2252791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除专用术语外，与招标投标有关的语言均使用中文。必要时专用术语应附有中文注释。</w:t>
      </w:r>
    </w:p>
    <w:p w14:paraId="4A2CD83F">
      <w:pPr>
        <w:pStyle w:val="5"/>
        <w:snapToGrid w:val="0"/>
        <w:spacing w:before="0" w:after="0" w:line="360" w:lineRule="auto"/>
        <w:rPr>
          <w:rFonts w:ascii="宋体" w:hAnsi="宋体"/>
          <w:b w:val="0"/>
          <w:snapToGrid w:val="0"/>
          <w:sz w:val="24"/>
          <w:szCs w:val="24"/>
          <w:highlight w:val="none"/>
        </w:rPr>
      </w:pPr>
      <w:bookmarkStart w:id="182" w:name="_Toc287620694"/>
      <w:bookmarkStart w:id="183" w:name="_Toc224103326"/>
      <w:bookmarkStart w:id="184" w:name="_Toc200513135"/>
      <w:bookmarkStart w:id="185" w:name="_Toc287607755"/>
      <w:bookmarkStart w:id="186" w:name="_Toc23811"/>
      <w:bookmarkStart w:id="187" w:name="_Toc509218719"/>
      <w:bookmarkStart w:id="188" w:name="_Toc277082561"/>
      <w:bookmarkStart w:id="189" w:name="_Toc2916"/>
      <w:bookmarkStart w:id="190" w:name="_Toc430530444"/>
      <w:r>
        <w:rPr>
          <w:rFonts w:ascii="宋体" w:hAnsi="宋体"/>
          <w:b w:val="0"/>
          <w:snapToGrid w:val="0"/>
          <w:sz w:val="24"/>
          <w:szCs w:val="24"/>
          <w:highlight w:val="none"/>
        </w:rPr>
        <w:t>1.8  计量单位</w:t>
      </w:r>
      <w:bookmarkEnd w:id="182"/>
      <w:bookmarkEnd w:id="183"/>
      <w:bookmarkEnd w:id="184"/>
      <w:bookmarkEnd w:id="185"/>
      <w:bookmarkEnd w:id="186"/>
      <w:bookmarkEnd w:id="187"/>
      <w:bookmarkEnd w:id="188"/>
      <w:bookmarkEnd w:id="189"/>
      <w:bookmarkEnd w:id="190"/>
    </w:p>
    <w:p w14:paraId="3EA8A467">
      <w:pPr>
        <w:autoSpaceDE w:val="0"/>
        <w:autoSpaceDN w:val="0"/>
        <w:adjustRightInd w:val="0"/>
        <w:snapToGrid w:val="0"/>
        <w:spacing w:line="360" w:lineRule="auto"/>
        <w:ind w:firstLine="424" w:firstLineChars="202"/>
        <w:rPr>
          <w:rFonts w:ascii="宋体" w:hAnsi="宋体"/>
          <w:snapToGrid w:val="0"/>
          <w:kern w:val="0"/>
          <w:szCs w:val="21"/>
          <w:highlight w:val="none"/>
        </w:rPr>
      </w:pPr>
      <w:r>
        <w:rPr>
          <w:rFonts w:ascii="宋体" w:hAnsi="宋体"/>
          <w:snapToGrid w:val="0"/>
          <w:kern w:val="0"/>
          <w:szCs w:val="21"/>
          <w:highlight w:val="none"/>
        </w:rPr>
        <w:t>所有计量均采用中华人民共和国法定计量单位。</w:t>
      </w:r>
    </w:p>
    <w:p w14:paraId="2BB716DC">
      <w:pPr>
        <w:pStyle w:val="5"/>
        <w:snapToGrid w:val="0"/>
        <w:spacing w:before="0" w:after="0" w:line="360" w:lineRule="auto"/>
        <w:rPr>
          <w:rFonts w:ascii="宋体" w:hAnsi="宋体"/>
          <w:b w:val="0"/>
          <w:snapToGrid w:val="0"/>
          <w:sz w:val="24"/>
          <w:szCs w:val="24"/>
          <w:highlight w:val="none"/>
        </w:rPr>
      </w:pPr>
      <w:bookmarkStart w:id="191" w:name="_Toc430530445"/>
      <w:bookmarkStart w:id="192" w:name="_Toc200513136"/>
      <w:bookmarkStart w:id="193" w:name="_Toc287620695"/>
      <w:bookmarkStart w:id="194" w:name="_Toc21614"/>
      <w:bookmarkStart w:id="195" w:name="_Toc287607756"/>
      <w:bookmarkStart w:id="196" w:name="_Toc224103327"/>
      <w:bookmarkStart w:id="197" w:name="_Toc277082562"/>
      <w:bookmarkStart w:id="198" w:name="_Toc30697"/>
      <w:bookmarkStart w:id="199" w:name="_Toc509218720"/>
      <w:r>
        <w:rPr>
          <w:rFonts w:ascii="宋体" w:hAnsi="宋体"/>
          <w:b w:val="0"/>
          <w:snapToGrid w:val="0"/>
          <w:sz w:val="24"/>
          <w:szCs w:val="24"/>
          <w:highlight w:val="none"/>
        </w:rPr>
        <w:t>1.9  踏勘现场</w:t>
      </w:r>
      <w:bookmarkEnd w:id="191"/>
      <w:bookmarkEnd w:id="192"/>
      <w:bookmarkEnd w:id="193"/>
      <w:bookmarkEnd w:id="194"/>
      <w:bookmarkEnd w:id="195"/>
      <w:bookmarkEnd w:id="196"/>
      <w:bookmarkEnd w:id="197"/>
      <w:bookmarkEnd w:id="198"/>
      <w:bookmarkEnd w:id="199"/>
    </w:p>
    <w:p w14:paraId="41C4220A">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1.9.1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须知前附表规定组织踏勘现场的，</w:t>
      </w:r>
      <w:r>
        <w:rPr>
          <w:rFonts w:hint="eastAsia" w:ascii="宋体" w:hAnsi="宋体"/>
          <w:snapToGrid w:val="0"/>
          <w:kern w:val="0"/>
          <w:szCs w:val="21"/>
          <w:highlight w:val="none"/>
          <w:lang w:eastAsia="zh-CN"/>
        </w:rPr>
        <w:t>比选人</w:t>
      </w:r>
      <w:r>
        <w:rPr>
          <w:rFonts w:ascii="宋体" w:hAnsi="宋体"/>
          <w:snapToGrid w:val="0"/>
          <w:kern w:val="0"/>
          <w:szCs w:val="21"/>
          <w:highlight w:val="none"/>
        </w:rPr>
        <w:t>按</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须知前附表规定的时间、 地点组织</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踏勘项目现场。</w:t>
      </w:r>
    </w:p>
    <w:p w14:paraId="703C97DE">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1.9.2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踏勘现场发生的费用自理。</w:t>
      </w:r>
    </w:p>
    <w:p w14:paraId="402BA85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1.9.3  除</w:t>
      </w:r>
      <w:r>
        <w:rPr>
          <w:rFonts w:hint="eastAsia" w:ascii="宋体" w:hAnsi="宋体"/>
          <w:snapToGrid w:val="0"/>
          <w:kern w:val="0"/>
          <w:szCs w:val="21"/>
          <w:highlight w:val="none"/>
          <w:lang w:eastAsia="zh-CN"/>
        </w:rPr>
        <w:t>比选人</w:t>
      </w:r>
      <w:r>
        <w:rPr>
          <w:rFonts w:ascii="宋体" w:hAnsi="宋体"/>
          <w:snapToGrid w:val="0"/>
          <w:kern w:val="0"/>
          <w:szCs w:val="21"/>
          <w:highlight w:val="none"/>
        </w:rPr>
        <w:t>的原因外，</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自行负责在踏勘现场中所发生的人员伤亡和财产损失。</w:t>
      </w:r>
    </w:p>
    <w:p w14:paraId="51458C99">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1.9.4  </w:t>
      </w:r>
      <w:r>
        <w:rPr>
          <w:rFonts w:hint="eastAsia" w:ascii="宋体" w:hAnsi="宋体"/>
          <w:snapToGrid w:val="0"/>
          <w:kern w:val="0"/>
          <w:szCs w:val="21"/>
          <w:highlight w:val="none"/>
          <w:lang w:eastAsia="zh-CN"/>
        </w:rPr>
        <w:t>比选人</w:t>
      </w:r>
      <w:r>
        <w:rPr>
          <w:rFonts w:ascii="宋体" w:hAnsi="宋体"/>
          <w:snapToGrid w:val="0"/>
          <w:kern w:val="0"/>
          <w:szCs w:val="21"/>
          <w:highlight w:val="none"/>
        </w:rPr>
        <w:t>在踏勘现场中介绍的工程场地和相关的周边环境情况，供</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在编制</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时参考，</w:t>
      </w:r>
      <w:r>
        <w:rPr>
          <w:rFonts w:hint="eastAsia" w:ascii="宋体" w:hAnsi="宋体"/>
          <w:snapToGrid w:val="0"/>
          <w:kern w:val="0"/>
          <w:szCs w:val="21"/>
          <w:highlight w:val="none"/>
          <w:lang w:eastAsia="zh-CN"/>
        </w:rPr>
        <w:t>比选人</w:t>
      </w:r>
      <w:r>
        <w:rPr>
          <w:rFonts w:ascii="宋体" w:hAnsi="宋体"/>
          <w:snapToGrid w:val="0"/>
          <w:kern w:val="0"/>
          <w:szCs w:val="21"/>
          <w:highlight w:val="none"/>
        </w:rPr>
        <w:t>不对</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据此做出的判断和决策负责。</w:t>
      </w:r>
    </w:p>
    <w:p w14:paraId="18253466">
      <w:pPr>
        <w:pStyle w:val="5"/>
        <w:snapToGrid w:val="0"/>
        <w:spacing w:before="0" w:after="0" w:line="360" w:lineRule="auto"/>
        <w:rPr>
          <w:rFonts w:ascii="宋体" w:hAnsi="宋体"/>
          <w:b w:val="0"/>
          <w:snapToGrid w:val="0"/>
          <w:sz w:val="24"/>
          <w:szCs w:val="24"/>
          <w:highlight w:val="none"/>
        </w:rPr>
      </w:pPr>
      <w:bookmarkStart w:id="200" w:name="_Toc224103328"/>
      <w:bookmarkStart w:id="201" w:name="_Toc16076"/>
      <w:bookmarkStart w:id="202" w:name="_Toc200513137"/>
      <w:bookmarkStart w:id="203" w:name="_Toc430530446"/>
      <w:bookmarkStart w:id="204" w:name="_Toc287607757"/>
      <w:bookmarkStart w:id="205" w:name="_Toc277082563"/>
      <w:bookmarkStart w:id="206" w:name="_Toc11855"/>
      <w:bookmarkStart w:id="207" w:name="_Toc287620696"/>
      <w:bookmarkStart w:id="208" w:name="_Toc509218721"/>
      <w:r>
        <w:rPr>
          <w:rFonts w:ascii="宋体" w:hAnsi="宋体"/>
          <w:b w:val="0"/>
          <w:snapToGrid w:val="0"/>
          <w:sz w:val="24"/>
          <w:szCs w:val="24"/>
          <w:highlight w:val="none"/>
        </w:rPr>
        <w:t>1.10  投标预备会</w:t>
      </w:r>
      <w:bookmarkEnd w:id="200"/>
      <w:bookmarkEnd w:id="201"/>
      <w:bookmarkEnd w:id="202"/>
      <w:bookmarkEnd w:id="203"/>
      <w:bookmarkEnd w:id="204"/>
      <w:bookmarkEnd w:id="205"/>
      <w:bookmarkEnd w:id="206"/>
      <w:bookmarkEnd w:id="207"/>
      <w:bookmarkEnd w:id="208"/>
    </w:p>
    <w:p w14:paraId="20A9849A">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 xml:space="preserve">1.10.1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须知前附表规定召开投标预备会的，</w:t>
      </w:r>
      <w:r>
        <w:rPr>
          <w:rFonts w:hint="eastAsia" w:ascii="宋体" w:hAnsi="宋体"/>
          <w:snapToGrid w:val="0"/>
          <w:kern w:val="0"/>
          <w:szCs w:val="21"/>
          <w:highlight w:val="none"/>
          <w:lang w:eastAsia="zh-CN"/>
        </w:rPr>
        <w:t>比选人</w:t>
      </w:r>
      <w:r>
        <w:rPr>
          <w:rFonts w:ascii="宋体" w:hAnsi="宋体"/>
          <w:snapToGrid w:val="0"/>
          <w:kern w:val="0"/>
          <w:szCs w:val="21"/>
          <w:highlight w:val="none"/>
        </w:rPr>
        <w:t>按</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须知前附表规定的时间和地点召开投标预备会，澄清</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提出的问题。</w:t>
      </w:r>
    </w:p>
    <w:p w14:paraId="4A477D7E">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 xml:space="preserve">1.10.2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应在</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须知前附表第</w:t>
      </w:r>
      <w:r>
        <w:rPr>
          <w:rFonts w:ascii="宋体" w:hAnsi="宋体"/>
          <w:kern w:val="0"/>
          <w:szCs w:val="21"/>
          <w:highlight w:val="none"/>
        </w:rPr>
        <w:t>2.2.4项</w:t>
      </w:r>
      <w:r>
        <w:rPr>
          <w:rFonts w:ascii="宋体" w:hAnsi="宋体"/>
          <w:snapToGrid w:val="0"/>
          <w:kern w:val="0"/>
          <w:szCs w:val="21"/>
          <w:highlight w:val="none"/>
        </w:rPr>
        <w:t>规定的时间前，以书面形式将提出的问题送达</w:t>
      </w:r>
      <w:r>
        <w:rPr>
          <w:rFonts w:hint="eastAsia" w:ascii="宋体" w:hAnsi="宋体"/>
          <w:snapToGrid w:val="0"/>
          <w:kern w:val="0"/>
          <w:szCs w:val="21"/>
          <w:highlight w:val="none"/>
          <w:lang w:eastAsia="zh-CN"/>
        </w:rPr>
        <w:t>比选人</w:t>
      </w:r>
      <w:r>
        <w:rPr>
          <w:rFonts w:ascii="宋体" w:hAnsi="宋体"/>
          <w:snapToGrid w:val="0"/>
          <w:kern w:val="0"/>
          <w:szCs w:val="21"/>
          <w:highlight w:val="none"/>
        </w:rPr>
        <w:t>，以便</w:t>
      </w:r>
      <w:r>
        <w:rPr>
          <w:rFonts w:hint="eastAsia" w:ascii="宋体" w:hAnsi="宋体"/>
          <w:snapToGrid w:val="0"/>
          <w:kern w:val="0"/>
          <w:szCs w:val="21"/>
          <w:highlight w:val="none"/>
          <w:lang w:eastAsia="zh-CN"/>
        </w:rPr>
        <w:t>比选人</w:t>
      </w:r>
      <w:r>
        <w:rPr>
          <w:rFonts w:ascii="宋体" w:hAnsi="宋体"/>
          <w:snapToGrid w:val="0"/>
          <w:kern w:val="0"/>
          <w:szCs w:val="21"/>
          <w:highlight w:val="none"/>
        </w:rPr>
        <w:t>澄清。</w:t>
      </w:r>
    </w:p>
    <w:p w14:paraId="06671737">
      <w:pPr>
        <w:autoSpaceDE w:val="0"/>
        <w:autoSpaceDN w:val="0"/>
        <w:adjustRightInd w:val="0"/>
        <w:snapToGrid w:val="0"/>
        <w:spacing w:line="360" w:lineRule="auto"/>
        <w:ind w:firstLine="424" w:firstLineChars="202"/>
        <w:rPr>
          <w:rFonts w:ascii="宋体" w:hAnsi="宋体"/>
          <w:snapToGrid w:val="0"/>
          <w:kern w:val="0"/>
          <w:szCs w:val="21"/>
          <w:highlight w:val="none"/>
        </w:rPr>
      </w:pPr>
      <w:r>
        <w:rPr>
          <w:rFonts w:ascii="宋体" w:hAnsi="宋体"/>
          <w:snapToGrid w:val="0"/>
          <w:kern w:val="0"/>
          <w:szCs w:val="21"/>
          <w:highlight w:val="none"/>
        </w:rPr>
        <w:t xml:space="preserve">1.10.3  </w:t>
      </w:r>
      <w:r>
        <w:rPr>
          <w:rFonts w:hint="eastAsia" w:ascii="宋体" w:hAnsi="宋体"/>
          <w:snapToGrid w:val="0"/>
          <w:kern w:val="0"/>
          <w:szCs w:val="21"/>
          <w:highlight w:val="none"/>
          <w:lang w:eastAsia="zh-CN"/>
        </w:rPr>
        <w:t>比选人</w:t>
      </w:r>
      <w:r>
        <w:rPr>
          <w:rFonts w:ascii="宋体" w:hAnsi="宋体"/>
          <w:snapToGrid w:val="0"/>
          <w:kern w:val="0"/>
          <w:szCs w:val="21"/>
          <w:highlight w:val="none"/>
        </w:rPr>
        <w:t>在</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须知前附表规定的时间内，将对</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所提</w:t>
      </w:r>
      <w:r>
        <w:rPr>
          <w:rFonts w:ascii="宋体" w:hAnsi="宋体"/>
          <w:snapToGrid w:val="0"/>
          <w:kern w:val="0"/>
          <w:position w:val="-2"/>
          <w:szCs w:val="21"/>
          <w:highlight w:val="none"/>
        </w:rPr>
        <w:t>的</w:t>
      </w:r>
      <w:r>
        <w:rPr>
          <w:rFonts w:ascii="宋体" w:hAnsi="宋体"/>
          <w:snapToGrid w:val="0"/>
          <w:kern w:val="0"/>
          <w:szCs w:val="21"/>
          <w:highlight w:val="none"/>
        </w:rPr>
        <w:t>问题</w:t>
      </w:r>
      <w:r>
        <w:rPr>
          <w:rFonts w:ascii="宋体" w:hAnsi="宋体"/>
          <w:snapToGrid w:val="0"/>
          <w:kern w:val="0"/>
          <w:position w:val="-2"/>
          <w:szCs w:val="21"/>
          <w:highlight w:val="none"/>
        </w:rPr>
        <w:t>进行澄清。该澄清内容为</w:t>
      </w:r>
      <w:r>
        <w:rPr>
          <w:rFonts w:hint="eastAsia" w:ascii="宋体" w:hAnsi="宋体"/>
          <w:snapToGrid w:val="0"/>
          <w:kern w:val="0"/>
          <w:position w:val="-2"/>
          <w:szCs w:val="21"/>
          <w:highlight w:val="none"/>
          <w:lang w:eastAsia="zh-CN"/>
        </w:rPr>
        <w:t>竞争性比选文件</w:t>
      </w:r>
      <w:r>
        <w:rPr>
          <w:rFonts w:ascii="宋体" w:hAnsi="宋体"/>
          <w:snapToGrid w:val="0"/>
          <w:kern w:val="0"/>
          <w:position w:val="-2"/>
          <w:szCs w:val="21"/>
          <w:highlight w:val="none"/>
        </w:rPr>
        <w:t>的组成部分。</w:t>
      </w:r>
    </w:p>
    <w:p w14:paraId="32108EB7">
      <w:pPr>
        <w:pStyle w:val="5"/>
        <w:snapToGrid w:val="0"/>
        <w:spacing w:before="0" w:after="0" w:line="360" w:lineRule="auto"/>
        <w:rPr>
          <w:rFonts w:ascii="宋体" w:hAnsi="宋体"/>
          <w:b w:val="0"/>
          <w:snapToGrid w:val="0"/>
          <w:sz w:val="24"/>
          <w:szCs w:val="24"/>
          <w:highlight w:val="none"/>
        </w:rPr>
      </w:pPr>
      <w:bookmarkStart w:id="209" w:name="_Toc14914"/>
      <w:bookmarkStart w:id="210" w:name="_Toc287607758"/>
      <w:bookmarkStart w:id="211" w:name="_Toc200513138"/>
      <w:bookmarkStart w:id="212" w:name="_Toc277082564"/>
      <w:bookmarkStart w:id="213" w:name="_Toc224103329"/>
      <w:bookmarkStart w:id="214" w:name="_Toc430530447"/>
      <w:bookmarkStart w:id="215" w:name="_Toc509218722"/>
      <w:bookmarkStart w:id="216" w:name="_Toc27761"/>
      <w:bookmarkStart w:id="217" w:name="_Toc287620697"/>
      <w:r>
        <w:rPr>
          <w:rFonts w:ascii="宋体" w:hAnsi="宋体"/>
          <w:b w:val="0"/>
          <w:snapToGrid w:val="0"/>
          <w:sz w:val="24"/>
          <w:szCs w:val="24"/>
          <w:highlight w:val="none"/>
        </w:rPr>
        <w:t>1.11  分包</w:t>
      </w:r>
      <w:bookmarkEnd w:id="209"/>
      <w:bookmarkEnd w:id="210"/>
      <w:bookmarkEnd w:id="211"/>
      <w:bookmarkEnd w:id="212"/>
      <w:bookmarkEnd w:id="213"/>
      <w:bookmarkEnd w:id="214"/>
      <w:bookmarkEnd w:id="215"/>
      <w:bookmarkEnd w:id="216"/>
      <w:bookmarkEnd w:id="217"/>
    </w:p>
    <w:p w14:paraId="19C1468D">
      <w:pPr>
        <w:autoSpaceDE w:val="0"/>
        <w:autoSpaceDN w:val="0"/>
        <w:adjustRightInd w:val="0"/>
        <w:snapToGrid w:val="0"/>
        <w:spacing w:line="360" w:lineRule="auto"/>
        <w:ind w:firstLine="426"/>
        <w:rPr>
          <w:rFonts w:ascii="宋体" w:hAnsi="宋体"/>
          <w:snapToGrid w:val="0"/>
          <w:kern w:val="0"/>
          <w:szCs w:val="21"/>
          <w:highlight w:val="none"/>
        </w:rPr>
      </w:pP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拟在中标后将中标项目的部分非主体、非关键性工作进行分包的，应符合</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须知前附表规定的分包内容、分包金额和接受分包的第三人资质要求等限制性条件。</w:t>
      </w:r>
    </w:p>
    <w:p w14:paraId="395BEF15">
      <w:pPr>
        <w:pStyle w:val="5"/>
        <w:snapToGrid w:val="0"/>
        <w:spacing w:before="0" w:after="0" w:line="360" w:lineRule="auto"/>
        <w:rPr>
          <w:rFonts w:ascii="宋体" w:hAnsi="宋体"/>
          <w:b w:val="0"/>
          <w:snapToGrid w:val="0"/>
          <w:sz w:val="24"/>
          <w:szCs w:val="24"/>
          <w:highlight w:val="none"/>
        </w:rPr>
      </w:pPr>
      <w:bookmarkStart w:id="218" w:name="_Toc509218723"/>
      <w:bookmarkStart w:id="219" w:name="_Toc224103330"/>
      <w:bookmarkStart w:id="220" w:name="_Toc21219"/>
      <w:bookmarkStart w:id="221" w:name="_Toc287620698"/>
      <w:bookmarkStart w:id="222" w:name="_Toc430530448"/>
      <w:bookmarkStart w:id="223" w:name="_Toc277082565"/>
      <w:bookmarkStart w:id="224" w:name="_Toc200513139"/>
      <w:bookmarkStart w:id="225" w:name="_Toc20089"/>
      <w:bookmarkStart w:id="226" w:name="_Toc287607759"/>
      <w:r>
        <w:rPr>
          <w:rFonts w:ascii="宋体" w:hAnsi="宋体"/>
          <w:b w:val="0"/>
          <w:snapToGrid w:val="0"/>
          <w:sz w:val="24"/>
          <w:szCs w:val="24"/>
          <w:highlight w:val="none"/>
        </w:rPr>
        <w:t>1.12  偏离</w:t>
      </w:r>
      <w:bookmarkEnd w:id="218"/>
      <w:bookmarkEnd w:id="219"/>
      <w:bookmarkEnd w:id="220"/>
      <w:bookmarkEnd w:id="221"/>
      <w:bookmarkEnd w:id="222"/>
      <w:bookmarkEnd w:id="223"/>
      <w:bookmarkEnd w:id="224"/>
      <w:bookmarkEnd w:id="225"/>
      <w:bookmarkEnd w:id="226"/>
    </w:p>
    <w:p w14:paraId="7F90D799">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须知前附表允许</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偏离</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某些要求的，偏离应当符合</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规定 的偏离范围和幅度。</w:t>
      </w:r>
    </w:p>
    <w:p w14:paraId="12D59D9A">
      <w:pPr>
        <w:pStyle w:val="4"/>
        <w:spacing w:before="0" w:after="0" w:line="360" w:lineRule="auto"/>
        <w:rPr>
          <w:rFonts w:hint="eastAsia" w:ascii="宋体" w:hAnsi="宋体" w:eastAsia="宋体"/>
          <w:b w:val="0"/>
          <w:snapToGrid w:val="0"/>
          <w:highlight w:val="none"/>
          <w:lang w:eastAsia="zh-CN"/>
        </w:rPr>
      </w:pPr>
      <w:bookmarkStart w:id="227" w:name="_Toc30694"/>
      <w:bookmarkStart w:id="228" w:name="_Toc224103331"/>
      <w:bookmarkStart w:id="229" w:name="_Toc200513140"/>
      <w:bookmarkStart w:id="230" w:name="_Toc277082566"/>
      <w:bookmarkStart w:id="231" w:name="_Toc509218724"/>
      <w:bookmarkStart w:id="232" w:name="_Toc430530449"/>
      <w:bookmarkStart w:id="233" w:name="_Toc287620699"/>
      <w:bookmarkStart w:id="234" w:name="_Toc287607760"/>
      <w:bookmarkStart w:id="235" w:name="_Toc20930"/>
      <w:r>
        <w:rPr>
          <w:rFonts w:ascii="宋体" w:hAnsi="宋体"/>
          <w:b w:val="0"/>
          <w:snapToGrid w:val="0"/>
          <w:highlight w:val="none"/>
        </w:rPr>
        <w:t xml:space="preserve">2.  </w:t>
      </w:r>
      <w:bookmarkEnd w:id="227"/>
      <w:bookmarkEnd w:id="228"/>
      <w:bookmarkEnd w:id="229"/>
      <w:bookmarkEnd w:id="230"/>
      <w:bookmarkEnd w:id="231"/>
      <w:bookmarkEnd w:id="232"/>
      <w:bookmarkEnd w:id="233"/>
      <w:bookmarkEnd w:id="234"/>
      <w:r>
        <w:rPr>
          <w:rFonts w:hint="eastAsia" w:ascii="宋体" w:hAnsi="宋体"/>
          <w:b w:val="0"/>
          <w:snapToGrid w:val="0"/>
          <w:highlight w:val="none"/>
          <w:lang w:eastAsia="zh-CN"/>
        </w:rPr>
        <w:t>竞争性比选文件</w:t>
      </w:r>
      <w:bookmarkEnd w:id="235"/>
    </w:p>
    <w:p w14:paraId="5AA50B60">
      <w:pPr>
        <w:pStyle w:val="5"/>
        <w:snapToGrid w:val="0"/>
        <w:spacing w:before="0" w:after="0" w:line="360" w:lineRule="auto"/>
        <w:rPr>
          <w:rFonts w:ascii="宋体" w:hAnsi="宋体"/>
          <w:b w:val="0"/>
          <w:snapToGrid w:val="0"/>
          <w:sz w:val="24"/>
          <w:szCs w:val="24"/>
          <w:highlight w:val="none"/>
        </w:rPr>
      </w:pPr>
      <w:bookmarkStart w:id="236" w:name="_Toc19546"/>
      <w:bookmarkStart w:id="237" w:name="_Toc224103332"/>
      <w:bookmarkStart w:id="238" w:name="_Toc4024"/>
      <w:bookmarkStart w:id="239" w:name="_Toc430530450"/>
      <w:bookmarkStart w:id="240" w:name="_Toc509218725"/>
      <w:bookmarkStart w:id="241" w:name="_Toc277082567"/>
      <w:bookmarkStart w:id="242" w:name="_Toc287607761"/>
      <w:bookmarkStart w:id="243" w:name="_Toc287620700"/>
      <w:bookmarkStart w:id="244" w:name="_Toc200513141"/>
      <w:r>
        <w:rPr>
          <w:rFonts w:ascii="宋体" w:hAnsi="宋体"/>
          <w:b w:val="0"/>
          <w:snapToGrid w:val="0"/>
          <w:sz w:val="24"/>
          <w:szCs w:val="24"/>
          <w:highlight w:val="none"/>
        </w:rPr>
        <w:t xml:space="preserve">2.1  </w:t>
      </w:r>
      <w:r>
        <w:rPr>
          <w:rFonts w:hint="eastAsia" w:ascii="宋体" w:hAnsi="宋体"/>
          <w:b w:val="0"/>
          <w:snapToGrid w:val="0"/>
          <w:sz w:val="24"/>
          <w:szCs w:val="24"/>
          <w:highlight w:val="none"/>
          <w:lang w:eastAsia="zh-CN"/>
        </w:rPr>
        <w:t>竞争性比选文件</w:t>
      </w:r>
      <w:r>
        <w:rPr>
          <w:rFonts w:ascii="宋体" w:hAnsi="宋体"/>
          <w:b w:val="0"/>
          <w:snapToGrid w:val="0"/>
          <w:sz w:val="24"/>
          <w:szCs w:val="24"/>
          <w:highlight w:val="none"/>
        </w:rPr>
        <w:t>的组成</w:t>
      </w:r>
      <w:bookmarkEnd w:id="236"/>
      <w:bookmarkEnd w:id="237"/>
      <w:bookmarkEnd w:id="238"/>
      <w:bookmarkEnd w:id="239"/>
      <w:bookmarkEnd w:id="240"/>
      <w:bookmarkEnd w:id="241"/>
      <w:bookmarkEnd w:id="242"/>
      <w:bookmarkEnd w:id="243"/>
      <w:bookmarkEnd w:id="244"/>
    </w:p>
    <w:p w14:paraId="268A0EDF">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本</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包括：</w:t>
      </w:r>
    </w:p>
    <w:p w14:paraId="7E969744">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（1）</w:t>
      </w:r>
      <w:r>
        <w:rPr>
          <w:rFonts w:hint="eastAsia" w:ascii="宋体" w:hAnsi="宋体"/>
          <w:snapToGrid w:val="0"/>
          <w:kern w:val="0"/>
          <w:szCs w:val="21"/>
          <w:highlight w:val="none"/>
          <w:lang w:eastAsia="zh-CN"/>
        </w:rPr>
        <w:t>竞争性比选公告</w:t>
      </w:r>
      <w:r>
        <w:rPr>
          <w:rFonts w:ascii="宋体" w:hAnsi="宋体"/>
          <w:snapToGrid w:val="0"/>
          <w:kern w:val="0"/>
          <w:szCs w:val="21"/>
          <w:highlight w:val="none"/>
        </w:rPr>
        <w:t>；</w:t>
      </w:r>
    </w:p>
    <w:p w14:paraId="2B91FAEE">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（2）</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w:t>
      </w:r>
    </w:p>
    <w:p w14:paraId="5572CD15">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（3）评标办法；</w:t>
      </w:r>
    </w:p>
    <w:p w14:paraId="55896E7C">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（4）合同条款及格式；</w:t>
      </w:r>
    </w:p>
    <w:p w14:paraId="57AA0D77">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（5）工程量清单；</w:t>
      </w:r>
    </w:p>
    <w:p w14:paraId="1E44A7AE">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（6）图纸；</w:t>
      </w:r>
    </w:p>
    <w:p w14:paraId="248530D9">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（7）技术标准和要求；</w:t>
      </w:r>
    </w:p>
    <w:p w14:paraId="7ADDF7AD">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（8）</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格式；</w:t>
      </w:r>
    </w:p>
    <w:p w14:paraId="53B700AA">
      <w:pPr>
        <w:autoSpaceDE w:val="0"/>
        <w:autoSpaceDN w:val="0"/>
        <w:adjustRightInd w:val="0"/>
        <w:snapToGrid w:val="0"/>
        <w:spacing w:line="360" w:lineRule="auto"/>
        <w:ind w:left="359" w:leftChars="171"/>
        <w:rPr>
          <w:rFonts w:ascii="宋体" w:hAnsi="宋体"/>
          <w:snapToGrid w:val="0"/>
          <w:kern w:val="0"/>
          <w:szCs w:val="21"/>
          <w:highlight w:val="none"/>
        </w:rPr>
      </w:pPr>
      <w:r>
        <w:rPr>
          <w:rFonts w:ascii="宋体" w:hAnsi="宋体"/>
          <w:snapToGrid w:val="0"/>
          <w:kern w:val="0"/>
          <w:szCs w:val="21"/>
          <w:highlight w:val="none"/>
        </w:rPr>
        <w:t>（9）</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须知前附表规定的其他材料。</w:t>
      </w:r>
    </w:p>
    <w:p w14:paraId="7A6A74D9">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根据本章第1.10款、第2.2款和第2.3款对</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所作的澄清、修改，构成</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的组成部分。</w:t>
      </w:r>
    </w:p>
    <w:p w14:paraId="24665EF2">
      <w:pPr>
        <w:pStyle w:val="5"/>
        <w:snapToGrid w:val="0"/>
        <w:spacing w:before="0" w:after="0" w:line="360" w:lineRule="auto"/>
        <w:rPr>
          <w:rFonts w:ascii="宋体" w:hAnsi="宋体"/>
          <w:b w:val="0"/>
          <w:snapToGrid w:val="0"/>
          <w:sz w:val="24"/>
          <w:szCs w:val="24"/>
          <w:highlight w:val="none"/>
        </w:rPr>
      </w:pPr>
      <w:bookmarkStart w:id="245" w:name="_Toc509218726"/>
      <w:bookmarkStart w:id="246" w:name="_Toc430530451"/>
      <w:bookmarkStart w:id="247" w:name="_Toc5111"/>
      <w:bookmarkStart w:id="248" w:name="_Toc29334"/>
      <w:r>
        <w:rPr>
          <w:rFonts w:ascii="宋体" w:hAnsi="宋体"/>
          <w:b w:val="0"/>
          <w:snapToGrid w:val="0"/>
          <w:sz w:val="24"/>
          <w:szCs w:val="24"/>
          <w:highlight w:val="none"/>
        </w:rPr>
        <w:t xml:space="preserve">2.2  </w:t>
      </w:r>
      <w:r>
        <w:rPr>
          <w:rFonts w:hint="eastAsia" w:ascii="宋体" w:hAnsi="宋体"/>
          <w:b w:val="0"/>
          <w:snapToGrid w:val="0"/>
          <w:sz w:val="24"/>
          <w:szCs w:val="24"/>
          <w:highlight w:val="none"/>
          <w:lang w:eastAsia="zh-CN"/>
        </w:rPr>
        <w:t>竞争性比选文件</w:t>
      </w:r>
      <w:r>
        <w:rPr>
          <w:rFonts w:ascii="宋体" w:hAnsi="宋体"/>
          <w:b w:val="0"/>
          <w:snapToGrid w:val="0"/>
          <w:sz w:val="24"/>
          <w:szCs w:val="24"/>
          <w:highlight w:val="none"/>
        </w:rPr>
        <w:t>的澄清</w:t>
      </w:r>
      <w:bookmarkEnd w:id="245"/>
      <w:bookmarkEnd w:id="246"/>
      <w:bookmarkEnd w:id="247"/>
      <w:bookmarkEnd w:id="248"/>
    </w:p>
    <w:p w14:paraId="21F6BBF7">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 xml:space="preserve">2.2.1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应仔细阅读和检查</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的全部内容。如发现缺页或附件不全，应及时向</w:t>
      </w:r>
      <w:r>
        <w:rPr>
          <w:rFonts w:hint="eastAsia" w:ascii="宋体" w:hAnsi="宋体"/>
          <w:snapToGrid w:val="0"/>
          <w:kern w:val="0"/>
          <w:szCs w:val="21"/>
          <w:highlight w:val="none"/>
          <w:lang w:eastAsia="zh-CN"/>
        </w:rPr>
        <w:t>比选人</w:t>
      </w:r>
      <w:r>
        <w:rPr>
          <w:rFonts w:ascii="宋体" w:hAnsi="宋体"/>
          <w:snapToGrid w:val="0"/>
          <w:kern w:val="0"/>
          <w:szCs w:val="21"/>
          <w:highlight w:val="none"/>
        </w:rPr>
        <w:t>提出，以便补齐。如有疑问，应在</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须知前附表规定的时间前</w:t>
      </w:r>
      <w:r>
        <w:rPr>
          <w:rFonts w:hint="eastAsia" w:ascii="宋体" w:hAnsi="宋体"/>
          <w:kern w:val="0"/>
          <w:szCs w:val="21"/>
          <w:highlight w:val="none"/>
        </w:rPr>
        <w:t>提问</w:t>
      </w:r>
      <w:r>
        <w:rPr>
          <w:rFonts w:ascii="宋体" w:hAnsi="宋体"/>
          <w:snapToGrid w:val="0"/>
          <w:kern w:val="0"/>
          <w:szCs w:val="21"/>
          <w:highlight w:val="none"/>
        </w:rPr>
        <w:t>，要求</w:t>
      </w:r>
      <w:r>
        <w:rPr>
          <w:rFonts w:hint="eastAsia" w:ascii="宋体" w:hAnsi="宋体"/>
          <w:snapToGrid w:val="0"/>
          <w:kern w:val="0"/>
          <w:szCs w:val="21"/>
          <w:highlight w:val="none"/>
          <w:lang w:eastAsia="zh-CN"/>
        </w:rPr>
        <w:t>比选人</w:t>
      </w:r>
      <w:r>
        <w:rPr>
          <w:rFonts w:ascii="宋体" w:hAnsi="宋体"/>
          <w:snapToGrid w:val="0"/>
          <w:kern w:val="0"/>
          <w:szCs w:val="21"/>
          <w:highlight w:val="none"/>
        </w:rPr>
        <w:t>对</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予以澄清。</w:t>
      </w:r>
    </w:p>
    <w:p w14:paraId="1F2995D9">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 xml:space="preserve">2.2.2  </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的澄清将在</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须知前附表规定的投标截止时间</w:t>
      </w:r>
      <w:r>
        <w:rPr>
          <w:rFonts w:hint="eastAsia" w:ascii="宋体" w:hAnsi="宋体"/>
          <w:snapToGrid w:val="0"/>
          <w:kern w:val="0"/>
          <w:szCs w:val="21"/>
          <w:highlight w:val="none"/>
          <w:lang w:val="en-US" w:eastAsia="zh-CN"/>
        </w:rPr>
        <w:t>2</w:t>
      </w:r>
      <w:r>
        <w:rPr>
          <w:rFonts w:ascii="宋体" w:hAnsi="宋体"/>
          <w:snapToGrid w:val="0"/>
          <w:kern w:val="0"/>
          <w:szCs w:val="21"/>
          <w:highlight w:val="none"/>
        </w:rPr>
        <w:t>天前</w:t>
      </w:r>
      <w:r>
        <w:rPr>
          <w:rFonts w:ascii="宋体" w:hAnsi="宋体"/>
          <w:kern w:val="0"/>
          <w:szCs w:val="21"/>
          <w:highlight w:val="none"/>
        </w:rPr>
        <w:t>发布，</w:t>
      </w:r>
      <w:r>
        <w:rPr>
          <w:rFonts w:ascii="宋体" w:hAnsi="宋体"/>
          <w:snapToGrid w:val="0"/>
          <w:kern w:val="0"/>
          <w:szCs w:val="21"/>
          <w:highlight w:val="none"/>
        </w:rPr>
        <w:t>但不指明澄清问题的来源。如果澄清发出的时间距投标截止时间不足</w:t>
      </w:r>
      <w:r>
        <w:rPr>
          <w:rFonts w:hint="eastAsia" w:ascii="宋体" w:hAnsi="宋体"/>
          <w:snapToGrid w:val="0"/>
          <w:kern w:val="0"/>
          <w:szCs w:val="21"/>
          <w:highlight w:val="none"/>
          <w:lang w:val="en-US" w:eastAsia="zh-CN"/>
        </w:rPr>
        <w:t>2</w:t>
      </w:r>
      <w:r>
        <w:rPr>
          <w:rFonts w:ascii="宋体" w:hAnsi="宋体"/>
          <w:snapToGrid w:val="0"/>
          <w:kern w:val="0"/>
          <w:szCs w:val="21"/>
          <w:highlight w:val="none"/>
        </w:rPr>
        <w:t>天，相应延长投标截止时间。</w:t>
      </w:r>
    </w:p>
    <w:p w14:paraId="18612787">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 xml:space="preserve">2.2.3  </w:t>
      </w:r>
      <w:r>
        <w:rPr>
          <w:rFonts w:hint="eastAsia" w:ascii="宋体" w:hAnsi="宋体"/>
          <w:kern w:val="0"/>
          <w:szCs w:val="21"/>
          <w:highlight w:val="none"/>
          <w:lang w:eastAsia="zh-CN"/>
        </w:rPr>
        <w:t>比选人</w:t>
      </w:r>
      <w:r>
        <w:rPr>
          <w:rFonts w:ascii="宋体" w:hAnsi="宋体"/>
          <w:kern w:val="0"/>
          <w:szCs w:val="21"/>
          <w:highlight w:val="none"/>
        </w:rPr>
        <w:t>对</w:t>
      </w:r>
      <w:r>
        <w:rPr>
          <w:rFonts w:hint="eastAsia" w:ascii="宋体" w:hAnsi="宋体"/>
          <w:kern w:val="0"/>
          <w:szCs w:val="21"/>
          <w:highlight w:val="none"/>
          <w:lang w:eastAsia="zh-CN"/>
        </w:rPr>
        <w:t>竞争性比选文件</w:t>
      </w:r>
      <w:r>
        <w:rPr>
          <w:rFonts w:ascii="宋体" w:hAnsi="宋体"/>
          <w:kern w:val="0"/>
          <w:szCs w:val="21"/>
          <w:highlight w:val="none"/>
        </w:rPr>
        <w:t>的</w:t>
      </w:r>
      <w:r>
        <w:rPr>
          <w:rFonts w:hint="eastAsia" w:ascii="宋体" w:hAnsi="宋体"/>
          <w:snapToGrid w:val="0"/>
          <w:kern w:val="0"/>
          <w:szCs w:val="21"/>
          <w:highlight w:val="none"/>
        </w:rPr>
        <w:t>修改</w:t>
      </w:r>
      <w:r>
        <w:rPr>
          <w:rFonts w:ascii="宋体" w:hAnsi="宋体"/>
          <w:snapToGrid w:val="0"/>
          <w:kern w:val="0"/>
          <w:szCs w:val="21"/>
          <w:highlight w:val="none"/>
        </w:rPr>
        <w:t>内容可能影响</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编制的，须在投标截止时间</w:t>
      </w:r>
      <w:r>
        <w:rPr>
          <w:rFonts w:hint="eastAsia" w:ascii="宋体" w:hAnsi="宋体"/>
          <w:snapToGrid w:val="0"/>
          <w:kern w:val="0"/>
          <w:szCs w:val="21"/>
          <w:highlight w:val="none"/>
          <w:lang w:val="en-US" w:eastAsia="zh-CN"/>
        </w:rPr>
        <w:t>2</w:t>
      </w:r>
      <w:r>
        <w:rPr>
          <w:rFonts w:ascii="宋体" w:hAnsi="宋体"/>
          <w:snapToGrid w:val="0"/>
          <w:kern w:val="0"/>
          <w:szCs w:val="21"/>
          <w:highlight w:val="none"/>
        </w:rPr>
        <w:t>日前发布，发布时间至投标截止时间不足</w:t>
      </w:r>
      <w:r>
        <w:rPr>
          <w:rFonts w:hint="eastAsia" w:ascii="宋体" w:hAnsi="宋体"/>
          <w:snapToGrid w:val="0"/>
          <w:kern w:val="0"/>
          <w:szCs w:val="21"/>
          <w:highlight w:val="none"/>
          <w:lang w:val="en-US" w:eastAsia="zh-CN"/>
        </w:rPr>
        <w:t>2</w:t>
      </w:r>
      <w:r>
        <w:rPr>
          <w:rFonts w:ascii="宋体" w:hAnsi="宋体"/>
          <w:snapToGrid w:val="0"/>
          <w:kern w:val="0"/>
          <w:szCs w:val="21"/>
          <w:highlight w:val="none"/>
        </w:rPr>
        <w:t>日的，须相应延后投标截止时间。</w:t>
      </w:r>
    </w:p>
    <w:p w14:paraId="2AFAC597">
      <w:pPr>
        <w:pStyle w:val="5"/>
        <w:snapToGrid w:val="0"/>
        <w:spacing w:before="0" w:after="0" w:line="360" w:lineRule="auto"/>
        <w:rPr>
          <w:rFonts w:ascii="宋体" w:hAnsi="宋体"/>
          <w:b w:val="0"/>
          <w:snapToGrid w:val="0"/>
          <w:sz w:val="24"/>
          <w:szCs w:val="24"/>
          <w:highlight w:val="none"/>
        </w:rPr>
      </w:pPr>
      <w:bookmarkStart w:id="249" w:name="_Toc22310"/>
      <w:bookmarkStart w:id="250" w:name="_Toc277082569"/>
      <w:bookmarkStart w:id="251" w:name="_Toc287607763"/>
      <w:bookmarkStart w:id="252" w:name="_Toc224103334"/>
      <w:bookmarkStart w:id="253" w:name="_Toc430530452"/>
      <w:bookmarkStart w:id="254" w:name="_Toc200513143"/>
      <w:bookmarkStart w:id="255" w:name="_Toc509218727"/>
      <w:bookmarkStart w:id="256" w:name="_Toc287620702"/>
      <w:bookmarkStart w:id="257" w:name="_Toc32740"/>
      <w:r>
        <w:rPr>
          <w:rFonts w:ascii="宋体" w:hAnsi="宋体"/>
          <w:b w:val="0"/>
          <w:snapToGrid w:val="0"/>
          <w:sz w:val="24"/>
          <w:szCs w:val="24"/>
          <w:highlight w:val="none"/>
        </w:rPr>
        <w:t xml:space="preserve">2.3  </w:t>
      </w:r>
      <w:r>
        <w:rPr>
          <w:rFonts w:hint="eastAsia" w:ascii="宋体" w:hAnsi="宋体"/>
          <w:b w:val="0"/>
          <w:snapToGrid w:val="0"/>
          <w:sz w:val="24"/>
          <w:szCs w:val="24"/>
          <w:highlight w:val="none"/>
          <w:lang w:eastAsia="zh-CN"/>
        </w:rPr>
        <w:t>竞争性比选文件</w:t>
      </w:r>
      <w:r>
        <w:rPr>
          <w:rFonts w:ascii="宋体" w:hAnsi="宋体"/>
          <w:b w:val="0"/>
          <w:snapToGrid w:val="0"/>
          <w:sz w:val="24"/>
          <w:szCs w:val="24"/>
          <w:highlight w:val="none"/>
        </w:rPr>
        <w:t>的修改</w:t>
      </w:r>
      <w:bookmarkEnd w:id="249"/>
      <w:bookmarkEnd w:id="250"/>
      <w:bookmarkEnd w:id="251"/>
      <w:bookmarkEnd w:id="252"/>
      <w:bookmarkEnd w:id="253"/>
      <w:bookmarkEnd w:id="254"/>
      <w:bookmarkEnd w:id="255"/>
      <w:bookmarkEnd w:id="256"/>
      <w:bookmarkEnd w:id="257"/>
    </w:p>
    <w:p w14:paraId="225ED411">
      <w:pPr>
        <w:autoSpaceDE w:val="0"/>
        <w:autoSpaceDN w:val="0"/>
        <w:adjustRightInd w:val="0"/>
        <w:snapToGrid w:val="0"/>
        <w:spacing w:line="360" w:lineRule="auto"/>
        <w:ind w:firstLine="420"/>
        <w:rPr>
          <w:rFonts w:ascii="宋体" w:hAnsi="宋体"/>
          <w:snapToGrid w:val="0"/>
          <w:highlight w:val="none"/>
        </w:rPr>
      </w:pPr>
      <w:bookmarkStart w:id="258" w:name="_Toc224103335"/>
      <w:bookmarkStart w:id="259" w:name="_Toc277082570"/>
      <w:bookmarkStart w:id="260" w:name="_Toc287607764"/>
      <w:bookmarkStart w:id="261" w:name="_Toc200513144"/>
      <w:bookmarkStart w:id="262" w:name="_Toc287620703"/>
      <w:r>
        <w:rPr>
          <w:rFonts w:ascii="宋体" w:hAnsi="宋体"/>
          <w:snapToGrid w:val="0"/>
          <w:highlight w:val="none"/>
        </w:rPr>
        <w:t>按照本章第2.2款</w:t>
      </w:r>
      <w:r>
        <w:rPr>
          <w:rFonts w:hint="eastAsia" w:ascii="宋体" w:hAnsi="宋体"/>
          <w:snapToGrid w:val="0"/>
          <w:highlight w:val="none"/>
          <w:lang w:eastAsia="zh-CN"/>
        </w:rPr>
        <w:t>竞争性比选文件</w:t>
      </w:r>
      <w:r>
        <w:rPr>
          <w:rFonts w:ascii="宋体" w:hAnsi="宋体"/>
          <w:snapToGrid w:val="0"/>
          <w:highlight w:val="none"/>
        </w:rPr>
        <w:t>的澄清相关内容及方式执行。</w:t>
      </w:r>
    </w:p>
    <w:p w14:paraId="3E67E823">
      <w:pPr>
        <w:pStyle w:val="4"/>
        <w:spacing w:before="0" w:after="0" w:line="360" w:lineRule="auto"/>
        <w:rPr>
          <w:rFonts w:hint="eastAsia" w:ascii="宋体" w:hAnsi="宋体" w:eastAsia="宋体"/>
          <w:b w:val="0"/>
          <w:snapToGrid w:val="0"/>
          <w:highlight w:val="none"/>
          <w:lang w:eastAsia="zh-CN"/>
        </w:rPr>
      </w:pPr>
      <w:bookmarkStart w:id="263" w:name="_Toc430530453"/>
      <w:bookmarkStart w:id="264" w:name="_Toc32443"/>
      <w:bookmarkStart w:id="265" w:name="_Toc509218728"/>
      <w:bookmarkStart w:id="266" w:name="_Toc6058"/>
      <w:r>
        <w:rPr>
          <w:rFonts w:ascii="宋体" w:hAnsi="宋体"/>
          <w:b w:val="0"/>
          <w:snapToGrid w:val="0"/>
          <w:highlight w:val="none"/>
        </w:rPr>
        <w:t xml:space="preserve">3.  </w:t>
      </w:r>
      <w:bookmarkEnd w:id="258"/>
      <w:bookmarkEnd w:id="259"/>
      <w:bookmarkEnd w:id="260"/>
      <w:bookmarkEnd w:id="261"/>
      <w:bookmarkEnd w:id="262"/>
      <w:bookmarkEnd w:id="263"/>
      <w:bookmarkEnd w:id="264"/>
      <w:bookmarkEnd w:id="265"/>
      <w:r>
        <w:rPr>
          <w:rFonts w:hint="eastAsia" w:ascii="宋体" w:hAnsi="宋体"/>
          <w:b w:val="0"/>
          <w:snapToGrid w:val="0"/>
          <w:highlight w:val="none"/>
          <w:lang w:eastAsia="zh-CN"/>
        </w:rPr>
        <w:t>比选申请文件</w:t>
      </w:r>
      <w:bookmarkEnd w:id="266"/>
    </w:p>
    <w:p w14:paraId="1D6A694A">
      <w:pPr>
        <w:pStyle w:val="5"/>
        <w:snapToGrid w:val="0"/>
        <w:spacing w:before="0" w:after="0" w:line="360" w:lineRule="auto"/>
        <w:rPr>
          <w:rFonts w:ascii="宋体" w:hAnsi="宋体"/>
          <w:b w:val="0"/>
          <w:snapToGrid w:val="0"/>
          <w:sz w:val="24"/>
          <w:szCs w:val="24"/>
          <w:highlight w:val="none"/>
        </w:rPr>
      </w:pPr>
      <w:bookmarkStart w:id="267" w:name="_Toc287607765"/>
      <w:bookmarkStart w:id="268" w:name="_Toc287620704"/>
      <w:bookmarkStart w:id="269" w:name="_Toc200513145"/>
      <w:bookmarkStart w:id="270" w:name="_Toc2677"/>
      <w:bookmarkStart w:id="271" w:name="_Toc224103336"/>
      <w:bookmarkStart w:id="272" w:name="_Toc277082571"/>
      <w:bookmarkStart w:id="273" w:name="_Toc509218729"/>
      <w:bookmarkStart w:id="274" w:name="_Toc22925"/>
      <w:bookmarkStart w:id="275" w:name="_Toc430530454"/>
      <w:r>
        <w:rPr>
          <w:rFonts w:ascii="宋体" w:hAnsi="宋体"/>
          <w:b w:val="0"/>
          <w:snapToGrid w:val="0"/>
          <w:sz w:val="24"/>
          <w:szCs w:val="24"/>
          <w:highlight w:val="none"/>
        </w:rPr>
        <w:t xml:space="preserve">3.1  </w:t>
      </w:r>
      <w:r>
        <w:rPr>
          <w:rFonts w:hint="eastAsia" w:ascii="宋体" w:hAnsi="宋体"/>
          <w:b w:val="0"/>
          <w:snapToGrid w:val="0"/>
          <w:sz w:val="24"/>
          <w:szCs w:val="24"/>
          <w:highlight w:val="none"/>
          <w:lang w:eastAsia="zh-CN"/>
        </w:rPr>
        <w:t>比选申请文件</w:t>
      </w:r>
      <w:r>
        <w:rPr>
          <w:rFonts w:ascii="宋体" w:hAnsi="宋体"/>
          <w:b w:val="0"/>
          <w:snapToGrid w:val="0"/>
          <w:sz w:val="24"/>
          <w:szCs w:val="24"/>
          <w:highlight w:val="none"/>
        </w:rPr>
        <w:t>的组成</w:t>
      </w:r>
      <w:bookmarkEnd w:id="267"/>
      <w:bookmarkEnd w:id="268"/>
      <w:bookmarkEnd w:id="269"/>
      <w:bookmarkEnd w:id="270"/>
      <w:bookmarkEnd w:id="271"/>
      <w:bookmarkEnd w:id="272"/>
      <w:bookmarkEnd w:id="273"/>
      <w:bookmarkEnd w:id="274"/>
      <w:bookmarkEnd w:id="275"/>
    </w:p>
    <w:p w14:paraId="0D8A253F">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3.1.1 </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应包括下列内容：</w:t>
      </w:r>
    </w:p>
    <w:p w14:paraId="620F419A">
      <w:pPr>
        <w:spacing w:line="360" w:lineRule="auto"/>
        <w:ind w:firstLine="420" w:firstLineChars="200"/>
        <w:rPr>
          <w:rFonts w:ascii="宋体" w:hAnsi="宋体"/>
          <w:highlight w:val="none"/>
        </w:rPr>
      </w:pPr>
      <w:r>
        <w:rPr>
          <w:rFonts w:hint="eastAsia" w:ascii="宋体" w:hAnsi="宋体"/>
          <w:highlight w:val="none"/>
        </w:rPr>
        <w:t>3.1.1.1投标函部分</w:t>
      </w:r>
    </w:p>
    <w:p w14:paraId="386F4513">
      <w:pPr>
        <w:spacing w:line="360" w:lineRule="auto"/>
        <w:ind w:firstLine="420" w:firstLineChars="200"/>
        <w:rPr>
          <w:rFonts w:ascii="宋体" w:hAnsi="宋体"/>
          <w:highlight w:val="none"/>
        </w:rPr>
      </w:pPr>
      <w:r>
        <w:rPr>
          <w:rFonts w:hint="eastAsia" w:ascii="宋体" w:hAnsi="宋体"/>
          <w:highlight w:val="none"/>
        </w:rPr>
        <w:t>（1）投标函</w:t>
      </w:r>
    </w:p>
    <w:p w14:paraId="1163C725">
      <w:pPr>
        <w:spacing w:line="360" w:lineRule="auto"/>
        <w:ind w:firstLine="420" w:firstLineChars="200"/>
        <w:rPr>
          <w:rFonts w:ascii="宋体" w:hAnsi="宋体"/>
          <w:highlight w:val="none"/>
        </w:rPr>
      </w:pPr>
      <w:r>
        <w:rPr>
          <w:rFonts w:hint="eastAsia" w:ascii="宋体" w:hAnsi="宋体"/>
          <w:highlight w:val="none"/>
        </w:rPr>
        <w:t>（2）投标函附录</w:t>
      </w:r>
    </w:p>
    <w:p w14:paraId="170A9F8D">
      <w:pPr>
        <w:spacing w:line="360" w:lineRule="auto"/>
        <w:ind w:firstLine="420" w:firstLineChars="200"/>
        <w:rPr>
          <w:rFonts w:ascii="宋体" w:hAnsi="宋体"/>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）投标报价合理性说明（如有）</w:t>
      </w:r>
    </w:p>
    <w:p w14:paraId="0C3C6B44">
      <w:pPr>
        <w:spacing w:line="360" w:lineRule="auto"/>
        <w:ind w:firstLine="420" w:firstLineChars="200"/>
        <w:rPr>
          <w:rFonts w:ascii="宋体" w:hAnsi="宋体"/>
          <w:highlight w:val="none"/>
        </w:rPr>
      </w:pPr>
      <w:r>
        <w:rPr>
          <w:rFonts w:hint="eastAsia" w:ascii="宋体" w:hAnsi="宋体"/>
          <w:highlight w:val="none"/>
        </w:rPr>
        <w:t>（</w:t>
      </w:r>
      <w:r>
        <w:rPr>
          <w:rFonts w:hint="eastAsia" w:ascii="宋体" w:hAnsi="宋体"/>
          <w:highlight w:val="none"/>
          <w:lang w:val="en-US" w:eastAsia="zh-CN"/>
        </w:rPr>
        <w:t>4</w:t>
      </w:r>
      <w:r>
        <w:rPr>
          <w:rFonts w:hint="eastAsia" w:ascii="宋体" w:hAnsi="宋体"/>
          <w:highlight w:val="none"/>
        </w:rPr>
        <w:t>）法定代表人身份证明或授权委托书</w:t>
      </w:r>
    </w:p>
    <w:p w14:paraId="00BCF253">
      <w:pPr>
        <w:spacing w:line="360" w:lineRule="auto"/>
        <w:ind w:firstLine="420" w:firstLineChars="200"/>
        <w:rPr>
          <w:rFonts w:ascii="宋体" w:hAnsi="宋体"/>
          <w:highlight w:val="none"/>
        </w:rPr>
      </w:pPr>
      <w:r>
        <w:rPr>
          <w:rFonts w:hint="eastAsia" w:ascii="宋体" w:hAnsi="宋体"/>
          <w:highlight w:val="none"/>
        </w:rPr>
        <w:t>3.1.1.2</w:t>
      </w:r>
      <w:r>
        <w:rPr>
          <w:rFonts w:hint="eastAsia" w:ascii="宋体" w:hAnsi="宋体"/>
          <w:highlight w:val="none"/>
          <w:lang w:val="en-US" w:eastAsia="zh-CN"/>
        </w:rPr>
        <w:t>报价</w:t>
      </w:r>
      <w:r>
        <w:rPr>
          <w:rFonts w:hint="eastAsia" w:ascii="宋体" w:hAnsi="宋体"/>
          <w:highlight w:val="none"/>
        </w:rPr>
        <w:t>部分</w:t>
      </w:r>
    </w:p>
    <w:p w14:paraId="571847D0">
      <w:pPr>
        <w:spacing w:line="360" w:lineRule="auto"/>
        <w:ind w:firstLine="420" w:firstLineChars="200"/>
        <w:rPr>
          <w:rFonts w:ascii="宋体" w:hAnsi="宋体"/>
          <w:highlight w:val="none"/>
        </w:rPr>
      </w:pPr>
      <w:r>
        <w:rPr>
          <w:rFonts w:hint="eastAsia" w:ascii="宋体" w:hAnsi="宋体"/>
          <w:highlight w:val="none"/>
        </w:rPr>
        <w:t>（1）已标价工程量清单</w:t>
      </w:r>
    </w:p>
    <w:p w14:paraId="3EADEADC">
      <w:pPr>
        <w:spacing w:line="360" w:lineRule="auto"/>
        <w:ind w:firstLine="420" w:firstLineChars="200"/>
        <w:rPr>
          <w:rFonts w:ascii="宋体" w:hAnsi="宋体"/>
          <w:highlight w:val="none"/>
        </w:rPr>
      </w:pPr>
      <w:r>
        <w:rPr>
          <w:rFonts w:hint="eastAsia" w:ascii="宋体" w:hAnsi="宋体"/>
          <w:highlight w:val="none"/>
        </w:rPr>
        <w:t>3.1.1.</w:t>
      </w:r>
      <w:r>
        <w:rPr>
          <w:rFonts w:hint="eastAsia" w:ascii="宋体" w:hAnsi="宋体"/>
          <w:highlight w:val="none"/>
          <w:lang w:val="en-US" w:eastAsia="zh-CN"/>
        </w:rPr>
        <w:t>3</w:t>
      </w:r>
      <w:r>
        <w:rPr>
          <w:rFonts w:hint="eastAsia" w:ascii="宋体" w:hAnsi="宋体"/>
          <w:highlight w:val="none"/>
        </w:rPr>
        <w:t>技术部分</w:t>
      </w:r>
    </w:p>
    <w:p w14:paraId="191FAFBD">
      <w:pPr>
        <w:spacing w:line="360" w:lineRule="auto"/>
        <w:ind w:firstLine="420" w:firstLineChars="200"/>
        <w:rPr>
          <w:rFonts w:ascii="宋体" w:hAnsi="宋体"/>
          <w:highlight w:val="none"/>
        </w:rPr>
      </w:pPr>
      <w:r>
        <w:rPr>
          <w:rFonts w:hint="eastAsia" w:ascii="宋体" w:hAnsi="宋体"/>
          <w:highlight w:val="none"/>
        </w:rPr>
        <w:t>3.1.1.</w:t>
      </w:r>
      <w:r>
        <w:rPr>
          <w:rFonts w:hint="eastAsia" w:ascii="宋体" w:hAnsi="宋体"/>
          <w:highlight w:val="none"/>
          <w:lang w:val="en-US" w:eastAsia="zh-CN"/>
        </w:rPr>
        <w:t>4</w:t>
      </w:r>
      <w:r>
        <w:rPr>
          <w:rFonts w:hint="eastAsia" w:ascii="宋体" w:hAnsi="宋体"/>
          <w:highlight w:val="none"/>
        </w:rPr>
        <w:t>资格审查部分</w:t>
      </w:r>
    </w:p>
    <w:p w14:paraId="22C035D8">
      <w:pPr>
        <w:spacing w:line="360" w:lineRule="auto"/>
        <w:ind w:firstLine="420" w:firstLineChars="200"/>
        <w:rPr>
          <w:rFonts w:ascii="宋体" w:hAnsi="宋体"/>
          <w:highlight w:val="none"/>
        </w:rPr>
      </w:pPr>
      <w:r>
        <w:rPr>
          <w:rFonts w:hint="eastAsia" w:ascii="宋体" w:hAnsi="宋体"/>
          <w:highlight w:val="none"/>
        </w:rPr>
        <w:t>（1）法定代表人身份证明或授权委托书</w:t>
      </w:r>
    </w:p>
    <w:p w14:paraId="7AA5B271">
      <w:pPr>
        <w:spacing w:line="360" w:lineRule="auto"/>
        <w:ind w:firstLine="420" w:firstLineChars="200"/>
        <w:rPr>
          <w:rFonts w:ascii="宋体" w:hAnsi="宋体"/>
          <w:highlight w:val="none"/>
        </w:rPr>
      </w:pPr>
      <w:r>
        <w:rPr>
          <w:rFonts w:hint="eastAsia" w:ascii="宋体" w:hAnsi="宋体"/>
          <w:highlight w:val="none"/>
        </w:rPr>
        <w:t>（</w:t>
      </w:r>
      <w:r>
        <w:rPr>
          <w:rFonts w:hint="eastAsia" w:ascii="宋体" w:hAnsi="宋体"/>
          <w:highlight w:val="none"/>
          <w:lang w:val="en-US" w:eastAsia="zh-CN"/>
        </w:rPr>
        <w:t>2</w:t>
      </w:r>
      <w:r>
        <w:rPr>
          <w:rFonts w:hint="eastAsia" w:ascii="宋体" w:hAnsi="宋体"/>
          <w:highlight w:val="none"/>
        </w:rPr>
        <w:t>）承诺</w:t>
      </w:r>
    </w:p>
    <w:p w14:paraId="2DAB9CBD">
      <w:pPr>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）其他资料</w:t>
      </w:r>
    </w:p>
    <w:p w14:paraId="0268818F">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3.1.2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须知前附表规定不接受联合体投标的，或</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没有组成联合体的，</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不包括</w:t>
      </w:r>
      <w:r>
        <w:rPr>
          <w:rFonts w:hint="eastAsia" w:ascii="宋体" w:hAnsi="宋体"/>
          <w:highlight w:val="none"/>
          <w:lang w:val="en-US" w:eastAsia="zh-CN"/>
        </w:rPr>
        <w:t>共同投标协议</w:t>
      </w:r>
      <w:r>
        <w:rPr>
          <w:rFonts w:ascii="宋体" w:hAnsi="宋体"/>
          <w:snapToGrid w:val="0"/>
          <w:kern w:val="0"/>
          <w:szCs w:val="21"/>
          <w:highlight w:val="none"/>
        </w:rPr>
        <w:t>。</w:t>
      </w:r>
    </w:p>
    <w:p w14:paraId="1E243FC6">
      <w:pPr>
        <w:pStyle w:val="5"/>
        <w:snapToGrid w:val="0"/>
        <w:spacing w:before="0" w:after="0" w:line="360" w:lineRule="auto"/>
        <w:rPr>
          <w:rFonts w:ascii="宋体" w:hAnsi="宋体"/>
          <w:b w:val="0"/>
          <w:snapToGrid w:val="0"/>
          <w:sz w:val="24"/>
          <w:szCs w:val="24"/>
          <w:highlight w:val="none"/>
        </w:rPr>
      </w:pPr>
      <w:bookmarkStart w:id="276" w:name="_Toc9606"/>
      <w:bookmarkStart w:id="277" w:name="_Toc22592"/>
      <w:bookmarkStart w:id="278" w:name="_Toc200513146"/>
      <w:bookmarkStart w:id="279" w:name="_Toc277082572"/>
      <w:bookmarkStart w:id="280" w:name="_Toc224103337"/>
      <w:bookmarkStart w:id="281" w:name="_Toc287607766"/>
      <w:bookmarkStart w:id="282" w:name="_Toc430530455"/>
      <w:bookmarkStart w:id="283" w:name="_Toc509218730"/>
      <w:bookmarkStart w:id="284" w:name="_Toc287620705"/>
      <w:r>
        <w:rPr>
          <w:rFonts w:ascii="宋体" w:hAnsi="宋体"/>
          <w:b w:val="0"/>
          <w:snapToGrid w:val="0"/>
          <w:sz w:val="24"/>
          <w:szCs w:val="24"/>
          <w:highlight w:val="none"/>
        </w:rPr>
        <w:t>3.2  投标报价</w:t>
      </w:r>
      <w:bookmarkEnd w:id="276"/>
      <w:bookmarkEnd w:id="277"/>
      <w:bookmarkEnd w:id="278"/>
      <w:bookmarkEnd w:id="279"/>
      <w:bookmarkEnd w:id="280"/>
      <w:bookmarkEnd w:id="281"/>
      <w:bookmarkEnd w:id="282"/>
      <w:bookmarkEnd w:id="283"/>
      <w:bookmarkEnd w:id="284"/>
    </w:p>
    <w:p w14:paraId="04D6FD40">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3.2.1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应按第五章“工程量清单”的要求填写相应表格。</w:t>
      </w:r>
    </w:p>
    <w:p w14:paraId="7919F39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3.2.2</w:t>
      </w:r>
      <w:r>
        <w:rPr>
          <w:rFonts w:hint="eastAsia" w:ascii="宋体" w:hAnsi="宋体"/>
          <w:snapToGrid w:val="0"/>
          <w:kern w:val="0"/>
          <w:szCs w:val="21"/>
          <w:highlight w:val="none"/>
        </w:rPr>
        <w:t xml:space="preserve">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在投标截止时间前修改投标函中的投标总报价，应同时修改第五章“工程量清单”中的相应报价。此修改须符合本章第 4.3 款的有关要求。</w:t>
      </w:r>
    </w:p>
    <w:p w14:paraId="2D3BA8EC">
      <w:pPr>
        <w:pStyle w:val="5"/>
        <w:snapToGrid w:val="0"/>
        <w:spacing w:before="0" w:after="0" w:line="360" w:lineRule="auto"/>
        <w:rPr>
          <w:rFonts w:ascii="宋体" w:hAnsi="宋体"/>
          <w:b w:val="0"/>
          <w:snapToGrid w:val="0"/>
          <w:sz w:val="24"/>
          <w:szCs w:val="24"/>
          <w:highlight w:val="none"/>
        </w:rPr>
      </w:pPr>
      <w:bookmarkStart w:id="285" w:name="_Toc200513147"/>
      <w:bookmarkStart w:id="286" w:name="_Toc509218731"/>
      <w:bookmarkStart w:id="287" w:name="_Toc29389"/>
      <w:bookmarkStart w:id="288" w:name="_Toc430530456"/>
      <w:bookmarkStart w:id="289" w:name="_Toc224103338"/>
      <w:bookmarkStart w:id="290" w:name="_Toc287620706"/>
      <w:bookmarkStart w:id="291" w:name="_Toc287607767"/>
      <w:bookmarkStart w:id="292" w:name="_Toc17662"/>
      <w:bookmarkStart w:id="293" w:name="_Toc277082573"/>
      <w:r>
        <w:rPr>
          <w:rFonts w:ascii="宋体" w:hAnsi="宋体"/>
          <w:b w:val="0"/>
          <w:snapToGrid w:val="0"/>
          <w:sz w:val="24"/>
          <w:szCs w:val="24"/>
          <w:highlight w:val="none"/>
        </w:rPr>
        <w:t>3.3  投标有效期</w:t>
      </w:r>
      <w:bookmarkEnd w:id="285"/>
      <w:bookmarkEnd w:id="286"/>
      <w:bookmarkEnd w:id="287"/>
      <w:bookmarkEnd w:id="288"/>
      <w:bookmarkEnd w:id="289"/>
      <w:bookmarkEnd w:id="290"/>
      <w:bookmarkEnd w:id="291"/>
      <w:bookmarkEnd w:id="292"/>
      <w:bookmarkEnd w:id="293"/>
    </w:p>
    <w:p w14:paraId="4BB33F35">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3.3.1  在</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须知前附表规定的投标有效期内，</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不得要求撤销或修改其</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w:t>
      </w:r>
    </w:p>
    <w:p w14:paraId="39D02420">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3.3.2  出现特殊情况需要延长投标有效期的，</w:t>
      </w:r>
      <w:r>
        <w:rPr>
          <w:rFonts w:hint="eastAsia" w:ascii="宋体" w:hAnsi="宋体"/>
          <w:snapToGrid w:val="0"/>
          <w:kern w:val="0"/>
          <w:szCs w:val="21"/>
          <w:highlight w:val="none"/>
          <w:lang w:eastAsia="zh-CN"/>
        </w:rPr>
        <w:t>比选人</w:t>
      </w:r>
      <w:r>
        <w:rPr>
          <w:rFonts w:ascii="宋体" w:hAnsi="宋体"/>
          <w:snapToGrid w:val="0"/>
          <w:kern w:val="0"/>
          <w:szCs w:val="21"/>
          <w:highlight w:val="none"/>
        </w:rPr>
        <w:t>以书面形式通知所有</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延长投标有效期。</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同意延长的，应相应延长其投标保函的有效期，但不得要求或被允许修改或撤销其</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拒绝延长的，其投标失效，但</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有权收回其投标保函。</w:t>
      </w:r>
      <w:r>
        <w:rPr>
          <w:rFonts w:hint="eastAsia" w:ascii="宋体" w:hAnsi="宋体"/>
          <w:snapToGrid w:val="0"/>
          <w:kern w:val="0"/>
          <w:szCs w:val="21"/>
          <w:highlight w:val="none"/>
        </w:rPr>
        <w:t>（适用于投标保证金采用投标保函形式的）</w:t>
      </w:r>
    </w:p>
    <w:p w14:paraId="0E3FE234">
      <w:pPr>
        <w:autoSpaceDE w:val="0"/>
        <w:autoSpaceDN w:val="0"/>
        <w:adjustRightInd w:val="0"/>
        <w:snapToGrid w:val="0"/>
        <w:spacing w:line="360" w:lineRule="auto"/>
        <w:ind w:firstLine="420" w:firstLineChars="200"/>
        <w:rPr>
          <w:rFonts w:ascii="宋体" w:hAnsi="宋体" w:cs="MingLiU"/>
          <w:snapToGrid w:val="0"/>
          <w:kern w:val="0"/>
          <w:szCs w:val="21"/>
          <w:highlight w:val="none"/>
        </w:rPr>
      </w:pPr>
      <w:r>
        <w:rPr>
          <w:rFonts w:hint="eastAsia" w:ascii="宋体" w:hAnsi="宋体" w:cs="MingLiU"/>
          <w:snapToGrid w:val="0"/>
          <w:kern w:val="0"/>
          <w:szCs w:val="21"/>
          <w:highlight w:val="none"/>
        </w:rPr>
        <w:t>出现特殊情况需要延长投标有效期的，</w:t>
      </w:r>
      <w:r>
        <w:rPr>
          <w:rFonts w:hint="eastAsia" w:ascii="宋体" w:hAnsi="宋体" w:cs="MingLiU"/>
          <w:snapToGrid w:val="0"/>
          <w:kern w:val="0"/>
          <w:szCs w:val="21"/>
          <w:highlight w:val="none"/>
          <w:lang w:eastAsia="zh-CN"/>
        </w:rPr>
        <w:t>比选人</w:t>
      </w:r>
      <w:r>
        <w:rPr>
          <w:rFonts w:hint="eastAsia" w:ascii="宋体" w:hAnsi="宋体" w:cs="MingLiU"/>
          <w:snapToGrid w:val="0"/>
          <w:kern w:val="0"/>
          <w:szCs w:val="21"/>
          <w:highlight w:val="none"/>
        </w:rPr>
        <w:t>以书面形式通知所有</w:t>
      </w:r>
      <w:r>
        <w:rPr>
          <w:rFonts w:hint="eastAsia" w:ascii="宋体" w:hAnsi="宋体" w:cs="MingLiU"/>
          <w:snapToGrid w:val="0"/>
          <w:kern w:val="0"/>
          <w:szCs w:val="21"/>
          <w:highlight w:val="none"/>
          <w:lang w:eastAsia="zh-CN"/>
        </w:rPr>
        <w:t>比选申请人</w:t>
      </w:r>
      <w:r>
        <w:rPr>
          <w:rFonts w:hint="eastAsia" w:ascii="宋体" w:hAnsi="宋体" w:cs="MingLiU"/>
          <w:snapToGrid w:val="0"/>
          <w:kern w:val="0"/>
          <w:szCs w:val="21"/>
          <w:highlight w:val="none"/>
        </w:rPr>
        <w:t>延长投标有效期。</w:t>
      </w:r>
      <w:r>
        <w:rPr>
          <w:rFonts w:hint="eastAsia" w:ascii="宋体" w:hAnsi="宋体" w:cs="MingLiU"/>
          <w:snapToGrid w:val="0"/>
          <w:kern w:val="0"/>
          <w:szCs w:val="21"/>
          <w:highlight w:val="none"/>
          <w:lang w:eastAsia="zh-CN"/>
        </w:rPr>
        <w:t>比选申请人</w:t>
      </w:r>
      <w:r>
        <w:rPr>
          <w:rFonts w:hint="eastAsia" w:ascii="宋体" w:hAnsi="宋体" w:cs="MingLiU"/>
          <w:snapToGrid w:val="0"/>
          <w:kern w:val="0"/>
          <w:szCs w:val="21"/>
          <w:highlight w:val="none"/>
        </w:rPr>
        <w:t>同意延长的，应相应延长其投标保证金的有效期，但不得要求或被允许修改或撤销其</w:t>
      </w:r>
      <w:r>
        <w:rPr>
          <w:rFonts w:hint="eastAsia" w:ascii="宋体" w:hAnsi="宋体" w:cs="MingLiU"/>
          <w:snapToGrid w:val="0"/>
          <w:kern w:val="0"/>
          <w:szCs w:val="21"/>
          <w:highlight w:val="none"/>
          <w:lang w:eastAsia="zh-CN"/>
        </w:rPr>
        <w:t>比选申请文件</w:t>
      </w:r>
      <w:r>
        <w:rPr>
          <w:rFonts w:hint="eastAsia" w:ascii="宋体" w:hAnsi="宋体" w:cs="MingLiU"/>
          <w:snapToGrid w:val="0"/>
          <w:kern w:val="0"/>
          <w:szCs w:val="21"/>
          <w:highlight w:val="none"/>
        </w:rPr>
        <w:t>；</w:t>
      </w:r>
      <w:r>
        <w:rPr>
          <w:rFonts w:hint="eastAsia" w:ascii="宋体" w:hAnsi="宋体" w:cs="MingLiU"/>
          <w:snapToGrid w:val="0"/>
          <w:kern w:val="0"/>
          <w:szCs w:val="21"/>
          <w:highlight w:val="none"/>
          <w:lang w:eastAsia="zh-CN"/>
        </w:rPr>
        <w:t>比选申请人</w:t>
      </w:r>
      <w:r>
        <w:rPr>
          <w:rFonts w:hint="eastAsia" w:ascii="宋体" w:hAnsi="宋体" w:cs="MingLiU"/>
          <w:snapToGrid w:val="0"/>
          <w:kern w:val="0"/>
          <w:szCs w:val="21"/>
          <w:highlight w:val="none"/>
        </w:rPr>
        <w:t>拒绝延长的，其投标失效，但</w:t>
      </w:r>
      <w:r>
        <w:rPr>
          <w:rFonts w:hint="eastAsia" w:ascii="宋体" w:hAnsi="宋体" w:cs="MingLiU"/>
          <w:snapToGrid w:val="0"/>
          <w:kern w:val="0"/>
          <w:szCs w:val="21"/>
          <w:highlight w:val="none"/>
          <w:lang w:eastAsia="zh-CN"/>
        </w:rPr>
        <w:t>比选申请人</w:t>
      </w:r>
      <w:r>
        <w:rPr>
          <w:rFonts w:hint="eastAsia" w:ascii="宋体" w:hAnsi="宋体" w:cs="MingLiU"/>
          <w:snapToGrid w:val="0"/>
          <w:kern w:val="0"/>
          <w:szCs w:val="21"/>
          <w:highlight w:val="none"/>
        </w:rPr>
        <w:t>有权收回其投标保证金。（适用于投标保证金采用银行转账形式的）</w:t>
      </w:r>
    </w:p>
    <w:p w14:paraId="69843288">
      <w:pPr>
        <w:pStyle w:val="5"/>
        <w:keepNext w:val="0"/>
        <w:keepLines w:val="0"/>
        <w:snapToGrid w:val="0"/>
        <w:spacing w:before="0" w:after="0" w:line="360" w:lineRule="auto"/>
        <w:rPr>
          <w:rFonts w:ascii="宋体" w:hAnsi="宋体"/>
          <w:b w:val="0"/>
          <w:snapToGrid w:val="0"/>
          <w:sz w:val="24"/>
          <w:szCs w:val="24"/>
          <w:highlight w:val="none"/>
        </w:rPr>
      </w:pPr>
      <w:bookmarkStart w:id="294" w:name="_Toc277082574"/>
      <w:bookmarkStart w:id="295" w:name="_Toc224103339"/>
      <w:bookmarkStart w:id="296" w:name="_Toc200513148"/>
      <w:bookmarkStart w:id="297" w:name="_Toc287607768"/>
      <w:bookmarkStart w:id="298" w:name="_Toc287620707"/>
      <w:bookmarkStart w:id="299" w:name="_Toc509218732"/>
      <w:bookmarkStart w:id="300" w:name="_Toc430530457"/>
      <w:bookmarkStart w:id="301" w:name="_Toc29704"/>
      <w:bookmarkStart w:id="302" w:name="_Toc21081"/>
      <w:r>
        <w:rPr>
          <w:rFonts w:ascii="宋体" w:hAnsi="宋体"/>
          <w:b w:val="0"/>
          <w:snapToGrid w:val="0"/>
          <w:sz w:val="24"/>
          <w:szCs w:val="24"/>
          <w:highlight w:val="none"/>
        </w:rPr>
        <w:t>3.4  投标</w:t>
      </w:r>
      <w:bookmarkEnd w:id="294"/>
      <w:bookmarkEnd w:id="295"/>
      <w:bookmarkEnd w:id="296"/>
      <w:bookmarkEnd w:id="297"/>
      <w:bookmarkEnd w:id="298"/>
      <w:bookmarkEnd w:id="299"/>
      <w:bookmarkEnd w:id="300"/>
      <w:r>
        <w:rPr>
          <w:rFonts w:hint="eastAsia" w:ascii="宋体" w:hAnsi="宋体"/>
          <w:b w:val="0"/>
          <w:snapToGrid w:val="0"/>
          <w:sz w:val="24"/>
          <w:szCs w:val="24"/>
          <w:highlight w:val="none"/>
        </w:rPr>
        <w:t>保证金</w:t>
      </w:r>
      <w:bookmarkEnd w:id="301"/>
      <w:bookmarkEnd w:id="302"/>
    </w:p>
    <w:p w14:paraId="50E32DE1">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3.4.1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在递交</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的同时，应按</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须知前附表的规定递交投标保证金，并作为其</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的组成部分。联合体投标的，其投标保证金由牵头人递交，并应符合</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须知前附表的规定。</w:t>
      </w:r>
    </w:p>
    <w:p w14:paraId="00935363">
      <w:pPr>
        <w:autoSpaceDE w:val="0"/>
        <w:autoSpaceDN w:val="0"/>
        <w:adjustRightInd w:val="0"/>
        <w:snapToGrid w:val="0"/>
        <w:spacing w:line="360" w:lineRule="auto"/>
        <w:ind w:left="13" w:leftChars="6" w:firstLine="405" w:firstLineChars="193"/>
        <w:rPr>
          <w:rFonts w:ascii="宋体" w:hAnsi="宋体"/>
          <w:snapToGrid w:val="0"/>
          <w:kern w:val="0"/>
          <w:szCs w:val="21"/>
          <w:highlight w:val="none"/>
        </w:rPr>
      </w:pPr>
      <w:r>
        <w:rPr>
          <w:rFonts w:ascii="宋体" w:hAnsi="宋体"/>
          <w:snapToGrid w:val="0"/>
          <w:kern w:val="0"/>
          <w:szCs w:val="21"/>
          <w:highlight w:val="none"/>
        </w:rPr>
        <w:t xml:space="preserve">3.4.2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不按本章第 3.4.1 项要求提交投标保证金的，其</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作否决投标处理。</w:t>
      </w:r>
    </w:p>
    <w:p w14:paraId="677C0F41">
      <w:pPr>
        <w:autoSpaceDE w:val="0"/>
        <w:autoSpaceDN w:val="0"/>
        <w:adjustRightInd w:val="0"/>
        <w:snapToGrid w:val="0"/>
        <w:spacing w:line="360" w:lineRule="auto"/>
        <w:ind w:left="13" w:leftChars="6" w:firstLine="405" w:firstLineChars="193"/>
        <w:rPr>
          <w:rFonts w:ascii="宋体" w:hAnsi="宋体"/>
          <w:snapToGrid w:val="0"/>
          <w:kern w:val="0"/>
          <w:szCs w:val="21"/>
          <w:highlight w:val="none"/>
        </w:rPr>
      </w:pPr>
      <w:r>
        <w:rPr>
          <w:rFonts w:ascii="宋体" w:hAnsi="宋体"/>
          <w:snapToGrid w:val="0"/>
          <w:kern w:val="0"/>
          <w:szCs w:val="21"/>
          <w:highlight w:val="none"/>
        </w:rPr>
        <w:t>3.4.3  投标</w:t>
      </w:r>
      <w:r>
        <w:rPr>
          <w:rFonts w:ascii="宋体" w:hAnsi="宋体"/>
          <w:snapToGrid w:val="0"/>
          <w:kern w:val="0"/>
          <w:position w:val="-2"/>
          <w:szCs w:val="21"/>
          <w:highlight w:val="none"/>
        </w:rPr>
        <w:t>保证金（投标保函）</w:t>
      </w:r>
      <w:r>
        <w:rPr>
          <w:rFonts w:ascii="宋体" w:hAnsi="宋体"/>
          <w:snapToGrid w:val="0"/>
          <w:kern w:val="0"/>
          <w:szCs w:val="21"/>
          <w:highlight w:val="none"/>
        </w:rPr>
        <w:t>退还：见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r>
        <w:rPr>
          <w:rFonts w:ascii="宋体" w:hAnsi="宋体"/>
          <w:snapToGrid w:val="0"/>
          <w:kern w:val="0"/>
          <w:position w:val="-2"/>
          <w:szCs w:val="21"/>
          <w:highlight w:val="none"/>
        </w:rPr>
        <w:t>。</w:t>
      </w:r>
    </w:p>
    <w:p w14:paraId="45BB797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3.4.4  有下列情形之一的，投标保证金</w:t>
      </w:r>
      <w:r>
        <w:rPr>
          <w:rFonts w:hint="eastAsia" w:asciiTheme="minorEastAsia" w:hAnsiTheme="minorEastAsia" w:eastAsiaTheme="minorEastAsia"/>
          <w:color w:val="auto"/>
          <w:highlight w:val="none"/>
          <w:lang w:val="en-US" w:eastAsia="zh-CN"/>
        </w:rPr>
        <w:t>以现金形式交纳的</w:t>
      </w:r>
      <w:r>
        <w:rPr>
          <w:rFonts w:ascii="宋体" w:hAnsi="宋体"/>
          <w:snapToGrid w:val="0"/>
          <w:kern w:val="0"/>
          <w:szCs w:val="21"/>
          <w:highlight w:val="none"/>
        </w:rPr>
        <w:t>将不予退还</w:t>
      </w:r>
      <w:r>
        <w:rPr>
          <w:rFonts w:hint="eastAsia" w:asciiTheme="minorEastAsia" w:hAnsiTheme="minorEastAsia" w:eastAsiaTheme="minorEastAsia"/>
          <w:color w:val="auto"/>
          <w:highlight w:val="none"/>
          <w:lang w:eastAsia="zh-CN"/>
        </w:rPr>
        <w:t>，以保函形式交纳的由保函开立人支付保函担保的与投标保证金等额的款项</w:t>
      </w:r>
      <w:r>
        <w:rPr>
          <w:rFonts w:ascii="宋体" w:hAnsi="宋体"/>
          <w:snapToGrid w:val="0"/>
          <w:kern w:val="0"/>
          <w:szCs w:val="21"/>
          <w:highlight w:val="none"/>
        </w:rPr>
        <w:t>：</w:t>
      </w:r>
    </w:p>
    <w:p w14:paraId="6A0EDD6F">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（1）</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在规定的投标有效期内撤销或修改其</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w:t>
      </w:r>
    </w:p>
    <w:p w14:paraId="05CAA8A6">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（2）</w:t>
      </w:r>
      <w:r>
        <w:rPr>
          <w:rFonts w:hint="eastAsia" w:ascii="宋体" w:hAnsi="宋体"/>
          <w:kern w:val="0"/>
          <w:szCs w:val="21"/>
          <w:highlight w:val="none"/>
        </w:rPr>
        <w:t>中标人在收到中标通知书后，无正当理由不与</w:t>
      </w:r>
      <w:r>
        <w:rPr>
          <w:rFonts w:hint="eastAsia" w:ascii="宋体" w:hAnsi="宋体"/>
          <w:kern w:val="0"/>
          <w:szCs w:val="21"/>
          <w:highlight w:val="none"/>
          <w:lang w:eastAsia="zh-CN"/>
        </w:rPr>
        <w:t>比选人</w:t>
      </w:r>
      <w:r>
        <w:rPr>
          <w:rFonts w:hint="eastAsia" w:ascii="宋体" w:hAnsi="宋体"/>
          <w:kern w:val="0"/>
          <w:szCs w:val="21"/>
          <w:highlight w:val="none"/>
        </w:rPr>
        <w:t>订立合同，在签订合同时向</w:t>
      </w:r>
      <w:r>
        <w:rPr>
          <w:rFonts w:hint="eastAsia" w:ascii="宋体" w:hAnsi="宋体"/>
          <w:kern w:val="0"/>
          <w:szCs w:val="21"/>
          <w:highlight w:val="none"/>
          <w:lang w:eastAsia="zh-CN"/>
        </w:rPr>
        <w:t>比选人</w:t>
      </w:r>
      <w:r>
        <w:rPr>
          <w:rFonts w:hint="eastAsia" w:ascii="宋体" w:hAnsi="宋体"/>
          <w:kern w:val="0"/>
          <w:szCs w:val="21"/>
          <w:highlight w:val="none"/>
        </w:rPr>
        <w:t>提出附加条件，或者不按照</w:t>
      </w:r>
      <w:r>
        <w:rPr>
          <w:rFonts w:hint="eastAsia" w:ascii="宋体" w:hAnsi="宋体"/>
          <w:kern w:val="0"/>
          <w:szCs w:val="21"/>
          <w:highlight w:val="none"/>
          <w:lang w:eastAsia="zh-CN"/>
        </w:rPr>
        <w:t>竞争性比选文件</w:t>
      </w:r>
      <w:r>
        <w:rPr>
          <w:rFonts w:hint="eastAsia" w:ascii="宋体" w:hAnsi="宋体"/>
          <w:kern w:val="0"/>
          <w:szCs w:val="21"/>
          <w:highlight w:val="none"/>
        </w:rPr>
        <w:t>要求提交履约保证金</w:t>
      </w:r>
      <w:r>
        <w:rPr>
          <w:rFonts w:ascii="宋体" w:hAnsi="宋体"/>
          <w:snapToGrid w:val="0"/>
          <w:kern w:val="0"/>
          <w:szCs w:val="21"/>
          <w:highlight w:val="none"/>
        </w:rPr>
        <w:t>；</w:t>
      </w:r>
    </w:p>
    <w:p w14:paraId="6274C6C3">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w:t>
      </w:r>
      <w:r>
        <w:rPr>
          <w:rFonts w:hint="eastAsia" w:ascii="宋体" w:hAnsi="宋体"/>
          <w:snapToGrid w:val="0"/>
          <w:kern w:val="0"/>
          <w:szCs w:val="21"/>
          <w:highlight w:val="none"/>
          <w:lang w:val="en-US" w:eastAsia="zh-CN"/>
        </w:rPr>
        <w:t>3</w:t>
      </w:r>
      <w:r>
        <w:rPr>
          <w:rFonts w:ascii="宋体" w:hAnsi="宋体"/>
          <w:snapToGrid w:val="0"/>
          <w:kern w:val="0"/>
          <w:szCs w:val="21"/>
          <w:highlight w:val="none"/>
        </w:rPr>
        <w:t>）违反本章第9.2</w:t>
      </w:r>
      <w:r>
        <w:rPr>
          <w:rFonts w:hint="eastAsia" w:ascii="宋体" w:hAnsi="宋体"/>
          <w:snapToGrid w:val="0"/>
          <w:kern w:val="0"/>
          <w:szCs w:val="21"/>
          <w:highlight w:val="none"/>
        </w:rPr>
        <w:t>款</w:t>
      </w:r>
      <w:r>
        <w:rPr>
          <w:rFonts w:ascii="宋体" w:hAnsi="宋体"/>
          <w:snapToGrid w:val="0"/>
          <w:kern w:val="0"/>
          <w:szCs w:val="21"/>
          <w:highlight w:val="none"/>
        </w:rPr>
        <w:t>对</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的纪律要求的；</w:t>
      </w:r>
    </w:p>
    <w:p w14:paraId="6F452481">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w:t>
      </w:r>
      <w:r>
        <w:rPr>
          <w:rFonts w:hint="eastAsia" w:ascii="宋体" w:hAnsi="宋体"/>
          <w:snapToGrid w:val="0"/>
          <w:kern w:val="0"/>
          <w:szCs w:val="21"/>
          <w:highlight w:val="none"/>
          <w:lang w:val="en-US" w:eastAsia="zh-CN"/>
        </w:rPr>
        <w:t>4</w:t>
      </w:r>
      <w:r>
        <w:rPr>
          <w:rFonts w:ascii="宋体" w:hAnsi="宋体"/>
          <w:snapToGrid w:val="0"/>
          <w:kern w:val="0"/>
          <w:szCs w:val="21"/>
          <w:highlight w:val="none"/>
        </w:rPr>
        <w:t>）法律法规规定的其他情形。</w:t>
      </w:r>
    </w:p>
    <w:p w14:paraId="619527E2">
      <w:pPr>
        <w:tabs>
          <w:tab w:val="left" w:pos="611"/>
          <w:tab w:val="left" w:pos="669"/>
        </w:tabs>
        <w:snapToGrid w:val="0"/>
        <w:spacing w:line="360" w:lineRule="auto"/>
        <w:ind w:firstLine="420" w:firstLineChars="200"/>
        <w:rPr>
          <w:rFonts w:hint="eastAsia" w:ascii="宋体" w:hAnsi="宋体" w:eastAsia="宋体"/>
          <w:snapToGrid w:val="0"/>
          <w:kern w:val="0"/>
          <w:szCs w:val="21"/>
          <w:highlight w:val="none"/>
          <w:lang w:val="en-US" w:eastAsia="zh-CN"/>
        </w:rPr>
      </w:pPr>
      <w:r>
        <w:rPr>
          <w:rFonts w:ascii="宋体" w:hAnsi="宋体"/>
          <w:snapToGrid w:val="0"/>
          <w:kern w:val="0"/>
          <w:szCs w:val="21"/>
          <w:highlight w:val="none"/>
        </w:rPr>
        <w:t>3.4.5</w:t>
      </w:r>
      <w:r>
        <w:rPr>
          <w:rFonts w:hint="eastAsia" w:ascii="宋体" w:hAnsi="宋体"/>
          <w:snapToGrid w:val="0"/>
          <w:kern w:val="0"/>
          <w:szCs w:val="21"/>
          <w:highlight w:val="none"/>
          <w:lang w:val="en-US" w:eastAsia="zh-CN"/>
        </w:rPr>
        <w:t xml:space="preserve"> </w:t>
      </w:r>
      <w:r>
        <w:rPr>
          <w:rFonts w:hint="eastAsia" w:ascii="宋体" w:hAnsi="宋体" w:eastAsia="宋体" w:cs="宋体"/>
          <w:color w:val="auto"/>
          <w:highlight w:val="none"/>
        </w:rPr>
        <w:t>投标保证金的其他要求：</w:t>
      </w:r>
    </w:p>
    <w:p w14:paraId="4C6C8AB2">
      <w:pPr>
        <w:tabs>
          <w:tab w:val="left" w:pos="611"/>
          <w:tab w:val="left" w:pos="669"/>
        </w:tabs>
        <w:snapToGrid w:val="0"/>
        <w:spacing w:line="360" w:lineRule="auto"/>
        <w:ind w:firstLine="420" w:firstLineChars="200"/>
        <w:rPr>
          <w:rFonts w:ascii="宋体" w:hAnsi="宋体"/>
          <w:kern w:val="0"/>
          <w:highlight w:val="none"/>
        </w:rPr>
      </w:pPr>
      <w:r>
        <w:rPr>
          <w:rFonts w:ascii="宋体" w:hAnsi="宋体"/>
          <w:kern w:val="0"/>
          <w:highlight w:val="none"/>
        </w:rPr>
        <w:t>（1）投标保证金为无条件担保；</w:t>
      </w:r>
    </w:p>
    <w:p w14:paraId="5C1587FE">
      <w:pPr>
        <w:tabs>
          <w:tab w:val="left" w:pos="611"/>
          <w:tab w:val="left" w:pos="669"/>
        </w:tabs>
        <w:snapToGrid w:val="0"/>
        <w:spacing w:line="360" w:lineRule="auto"/>
        <w:ind w:firstLine="420" w:firstLineChars="200"/>
        <w:rPr>
          <w:rFonts w:ascii="宋体" w:hAnsi="宋体"/>
          <w:kern w:val="0"/>
          <w:highlight w:val="none"/>
        </w:rPr>
      </w:pPr>
      <w:r>
        <w:rPr>
          <w:rFonts w:ascii="宋体" w:hAnsi="宋体"/>
          <w:kern w:val="0"/>
          <w:highlight w:val="none"/>
        </w:rPr>
        <w:t>（2）投标保证金的受益人为</w:t>
      </w:r>
      <w:r>
        <w:rPr>
          <w:rFonts w:hint="eastAsia" w:ascii="宋体" w:hAnsi="宋体"/>
          <w:kern w:val="0"/>
          <w:highlight w:val="none"/>
          <w:lang w:eastAsia="zh-CN"/>
        </w:rPr>
        <w:t>比选人</w:t>
      </w:r>
      <w:r>
        <w:rPr>
          <w:rFonts w:hint="eastAsia" w:ascii="宋体" w:hAnsi="宋体"/>
          <w:kern w:val="0"/>
          <w:highlight w:val="none"/>
        </w:rPr>
        <w:t>。</w:t>
      </w:r>
    </w:p>
    <w:p w14:paraId="19D664FE">
      <w:pPr>
        <w:pStyle w:val="5"/>
        <w:keepNext w:val="0"/>
        <w:keepLines w:val="0"/>
        <w:snapToGrid w:val="0"/>
        <w:spacing w:before="0" w:after="0" w:line="360" w:lineRule="auto"/>
        <w:rPr>
          <w:rFonts w:ascii="宋体" w:hAnsi="宋体"/>
          <w:b w:val="0"/>
          <w:snapToGrid w:val="0"/>
          <w:sz w:val="24"/>
          <w:szCs w:val="24"/>
          <w:highlight w:val="none"/>
        </w:rPr>
      </w:pPr>
      <w:bookmarkStart w:id="303" w:name="_Toc287620709"/>
      <w:bookmarkStart w:id="304" w:name="_Toc16727"/>
      <w:bookmarkStart w:id="305" w:name="_Toc224103341"/>
      <w:bookmarkStart w:id="306" w:name="_Toc277082576"/>
      <w:bookmarkStart w:id="307" w:name="_Toc287607770"/>
      <w:bookmarkStart w:id="308" w:name="_Toc10146"/>
      <w:bookmarkStart w:id="309" w:name="_Toc509218734"/>
      <w:bookmarkStart w:id="310" w:name="_Toc200513150"/>
      <w:bookmarkStart w:id="311" w:name="_Toc430530459"/>
      <w:r>
        <w:rPr>
          <w:rFonts w:ascii="宋体" w:hAnsi="宋体"/>
          <w:b w:val="0"/>
          <w:snapToGrid w:val="0"/>
          <w:sz w:val="24"/>
          <w:szCs w:val="24"/>
          <w:highlight w:val="none"/>
        </w:rPr>
        <w:t>3.5  资格审查资料</w:t>
      </w:r>
      <w:bookmarkEnd w:id="303"/>
      <w:bookmarkEnd w:id="304"/>
      <w:bookmarkEnd w:id="305"/>
      <w:bookmarkEnd w:id="306"/>
      <w:bookmarkEnd w:id="307"/>
      <w:bookmarkEnd w:id="308"/>
      <w:bookmarkEnd w:id="309"/>
      <w:bookmarkEnd w:id="310"/>
      <w:bookmarkEnd w:id="311"/>
    </w:p>
    <w:p w14:paraId="3B54148B">
      <w:pPr>
        <w:autoSpaceDE w:val="0"/>
        <w:autoSpaceDN w:val="0"/>
        <w:adjustRightInd w:val="0"/>
        <w:snapToGrid w:val="0"/>
        <w:spacing w:line="360" w:lineRule="auto"/>
        <w:ind w:left="103" w:leftChars="49" w:right="37" w:firstLine="420" w:firstLineChars="200"/>
        <w:rPr>
          <w:rFonts w:ascii="宋体" w:hAnsi="宋体"/>
          <w:szCs w:val="21"/>
          <w:highlight w:val="none"/>
        </w:rPr>
      </w:pPr>
      <w:r>
        <w:rPr>
          <w:rFonts w:hint="eastAsia" w:ascii="宋体" w:hAnsi="宋体"/>
          <w:szCs w:val="21"/>
          <w:highlight w:val="none"/>
          <w:lang w:eastAsia="zh-CN"/>
        </w:rPr>
        <w:t>比选申请人</w:t>
      </w:r>
      <w:r>
        <w:rPr>
          <w:rFonts w:hint="eastAsia" w:ascii="宋体" w:hAnsi="宋体"/>
          <w:szCs w:val="21"/>
          <w:highlight w:val="none"/>
        </w:rPr>
        <w:t>应附</w:t>
      </w:r>
      <w:r>
        <w:rPr>
          <w:rFonts w:hint="eastAsia" w:ascii="宋体" w:hAnsi="宋体"/>
          <w:kern w:val="0"/>
          <w:szCs w:val="21"/>
          <w:highlight w:val="none"/>
          <w:lang w:eastAsia="zh-CN"/>
        </w:rPr>
        <w:t>比选申请人</w:t>
      </w:r>
      <w:r>
        <w:rPr>
          <w:rFonts w:hint="eastAsia" w:ascii="宋体" w:hAnsi="宋体"/>
          <w:kern w:val="0"/>
          <w:szCs w:val="21"/>
          <w:highlight w:val="none"/>
        </w:rPr>
        <w:t>须知前附表第1</w:t>
      </w:r>
      <w:r>
        <w:rPr>
          <w:rFonts w:ascii="宋体" w:hAnsi="宋体"/>
          <w:kern w:val="0"/>
          <w:szCs w:val="21"/>
          <w:highlight w:val="none"/>
        </w:rPr>
        <w:t>.4.1项</w:t>
      </w:r>
      <w:r>
        <w:rPr>
          <w:rFonts w:hint="eastAsia" w:ascii="宋体" w:hAnsi="宋体"/>
          <w:kern w:val="0"/>
          <w:szCs w:val="21"/>
          <w:highlight w:val="none"/>
        </w:rPr>
        <w:t>中要求的相关证明材料</w:t>
      </w:r>
      <w:r>
        <w:rPr>
          <w:rFonts w:ascii="宋体" w:hAnsi="宋体"/>
          <w:szCs w:val="21"/>
          <w:highlight w:val="none"/>
        </w:rPr>
        <w:t>。</w:t>
      </w:r>
    </w:p>
    <w:p w14:paraId="1481DB51">
      <w:pPr>
        <w:autoSpaceDE w:val="0"/>
        <w:autoSpaceDN w:val="0"/>
        <w:adjustRightInd w:val="0"/>
        <w:snapToGrid w:val="0"/>
        <w:spacing w:line="360" w:lineRule="auto"/>
        <w:ind w:left="103" w:leftChars="49" w:right="37" w:firstLine="420" w:firstLineChars="200"/>
        <w:rPr>
          <w:rFonts w:ascii="宋体" w:hAnsi="宋体"/>
          <w:snapToGrid w:val="0"/>
          <w:kern w:val="0"/>
          <w:szCs w:val="21"/>
          <w:highlight w:val="none"/>
        </w:rPr>
      </w:pP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须知前附表规定接受联合体投标的，详见</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须知前附表联合体投标相关内容。</w:t>
      </w:r>
    </w:p>
    <w:p w14:paraId="7B31539E">
      <w:pPr>
        <w:pStyle w:val="5"/>
        <w:snapToGrid w:val="0"/>
        <w:spacing w:before="0" w:after="0" w:line="360" w:lineRule="auto"/>
        <w:rPr>
          <w:rFonts w:ascii="宋体" w:hAnsi="宋体"/>
          <w:b w:val="0"/>
          <w:snapToGrid w:val="0"/>
          <w:sz w:val="24"/>
          <w:szCs w:val="24"/>
          <w:highlight w:val="none"/>
        </w:rPr>
      </w:pPr>
      <w:bookmarkStart w:id="312" w:name="_Toc10531"/>
      <w:bookmarkStart w:id="313" w:name="_Toc224103342"/>
      <w:bookmarkStart w:id="314" w:name="_Toc430530460"/>
      <w:bookmarkStart w:id="315" w:name="_Toc200513151"/>
      <w:bookmarkStart w:id="316" w:name="_Toc277082577"/>
      <w:bookmarkStart w:id="317" w:name="_Toc287607771"/>
      <w:bookmarkStart w:id="318" w:name="_Toc7817"/>
      <w:bookmarkStart w:id="319" w:name="_Toc509218735"/>
      <w:bookmarkStart w:id="320" w:name="_Toc287620710"/>
      <w:r>
        <w:rPr>
          <w:rFonts w:ascii="宋体" w:hAnsi="宋体"/>
          <w:b w:val="0"/>
          <w:snapToGrid w:val="0"/>
          <w:sz w:val="24"/>
          <w:szCs w:val="24"/>
          <w:highlight w:val="none"/>
        </w:rPr>
        <w:t>3.6  备选投标方案</w:t>
      </w:r>
      <w:bookmarkEnd w:id="312"/>
      <w:bookmarkEnd w:id="313"/>
      <w:bookmarkEnd w:id="314"/>
      <w:bookmarkEnd w:id="315"/>
      <w:bookmarkEnd w:id="316"/>
      <w:bookmarkEnd w:id="317"/>
      <w:bookmarkEnd w:id="318"/>
      <w:bookmarkEnd w:id="319"/>
      <w:bookmarkEnd w:id="320"/>
    </w:p>
    <w:p w14:paraId="3C8F99CB">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除</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须知前附表另有规定外，</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不得递交备选投标方案。允许</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递交备选投标方案的，只有中标人所递交的备选投标方案方可予以考虑。评标委员会认为中标人的备 选投标方案优于其按照</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要求编制的投标方案的，</w:t>
      </w:r>
      <w:r>
        <w:rPr>
          <w:rFonts w:hint="eastAsia" w:ascii="宋体" w:hAnsi="宋体"/>
          <w:snapToGrid w:val="0"/>
          <w:kern w:val="0"/>
          <w:szCs w:val="21"/>
          <w:highlight w:val="none"/>
          <w:lang w:eastAsia="zh-CN"/>
        </w:rPr>
        <w:t>比选人</w:t>
      </w:r>
      <w:r>
        <w:rPr>
          <w:rFonts w:ascii="宋体" w:hAnsi="宋体"/>
          <w:snapToGrid w:val="0"/>
          <w:kern w:val="0"/>
          <w:szCs w:val="21"/>
          <w:highlight w:val="none"/>
        </w:rPr>
        <w:t>可以接受该备选投标方案。</w:t>
      </w:r>
    </w:p>
    <w:p w14:paraId="1AE265DA">
      <w:pPr>
        <w:pStyle w:val="5"/>
        <w:snapToGrid w:val="0"/>
        <w:spacing w:before="0" w:after="0" w:line="360" w:lineRule="auto"/>
        <w:rPr>
          <w:rFonts w:ascii="宋体" w:hAnsi="宋体"/>
          <w:b w:val="0"/>
          <w:snapToGrid w:val="0"/>
          <w:sz w:val="24"/>
          <w:szCs w:val="24"/>
          <w:highlight w:val="none"/>
        </w:rPr>
      </w:pPr>
      <w:bookmarkStart w:id="321" w:name="_Toc224103343"/>
      <w:bookmarkStart w:id="322" w:name="_Toc277082578"/>
      <w:bookmarkStart w:id="323" w:name="_Toc430530461"/>
      <w:bookmarkStart w:id="324" w:name="_Toc287607772"/>
      <w:bookmarkStart w:id="325" w:name="_Toc18721"/>
      <w:bookmarkStart w:id="326" w:name="_Toc509218736"/>
      <w:bookmarkStart w:id="327" w:name="_Toc25349"/>
      <w:bookmarkStart w:id="328" w:name="_Toc200513152"/>
      <w:bookmarkStart w:id="329" w:name="_Toc287620711"/>
      <w:r>
        <w:rPr>
          <w:rFonts w:ascii="宋体" w:hAnsi="宋体"/>
          <w:b w:val="0"/>
          <w:snapToGrid w:val="0"/>
          <w:sz w:val="24"/>
          <w:szCs w:val="24"/>
          <w:highlight w:val="none"/>
        </w:rPr>
        <w:t xml:space="preserve">3.7  </w:t>
      </w:r>
      <w:r>
        <w:rPr>
          <w:rFonts w:hint="eastAsia" w:ascii="宋体" w:hAnsi="宋体"/>
          <w:b w:val="0"/>
          <w:snapToGrid w:val="0"/>
          <w:sz w:val="24"/>
          <w:szCs w:val="24"/>
          <w:highlight w:val="none"/>
          <w:lang w:eastAsia="zh-CN"/>
        </w:rPr>
        <w:t>比选申请文件</w:t>
      </w:r>
      <w:r>
        <w:rPr>
          <w:rFonts w:ascii="宋体" w:hAnsi="宋体"/>
          <w:b w:val="0"/>
          <w:snapToGrid w:val="0"/>
          <w:sz w:val="24"/>
          <w:szCs w:val="24"/>
          <w:highlight w:val="none"/>
        </w:rPr>
        <w:t>的编制</w:t>
      </w:r>
      <w:bookmarkEnd w:id="321"/>
      <w:bookmarkEnd w:id="322"/>
      <w:bookmarkEnd w:id="323"/>
      <w:bookmarkEnd w:id="324"/>
      <w:bookmarkEnd w:id="325"/>
      <w:bookmarkEnd w:id="326"/>
      <w:bookmarkEnd w:id="327"/>
      <w:bookmarkEnd w:id="328"/>
      <w:bookmarkEnd w:id="329"/>
    </w:p>
    <w:p w14:paraId="3ED42866">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3.7.1  </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应按第八章“</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格式”进行编写，如有必要，可以增加附页，作为</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的组成部分。其中，投标函附录在满足</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实质性要求的基础上，可以提出比</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要求更有利于</w:t>
      </w:r>
      <w:r>
        <w:rPr>
          <w:rFonts w:hint="eastAsia" w:ascii="宋体" w:hAnsi="宋体"/>
          <w:snapToGrid w:val="0"/>
          <w:kern w:val="0"/>
          <w:szCs w:val="21"/>
          <w:highlight w:val="none"/>
          <w:lang w:eastAsia="zh-CN"/>
        </w:rPr>
        <w:t>比选人</w:t>
      </w:r>
      <w:r>
        <w:rPr>
          <w:rFonts w:ascii="宋体" w:hAnsi="宋体"/>
          <w:snapToGrid w:val="0"/>
          <w:kern w:val="0"/>
          <w:szCs w:val="21"/>
          <w:highlight w:val="none"/>
        </w:rPr>
        <w:t>的承诺。</w:t>
      </w:r>
    </w:p>
    <w:p w14:paraId="78271DC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3.7.2  </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应当对</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有关工期、投标有效期、质量要求、技术标准和要求、招标范围等实质性内容做出响应。</w:t>
      </w:r>
    </w:p>
    <w:p w14:paraId="5BEE6C5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position w:val="-2"/>
          <w:szCs w:val="21"/>
          <w:highlight w:val="none"/>
        </w:rPr>
        <w:t xml:space="preserve">3.7.3  </w:t>
      </w:r>
      <w:r>
        <w:rPr>
          <w:rFonts w:hint="eastAsia" w:ascii="宋体" w:hAnsi="宋体"/>
          <w:snapToGrid w:val="0"/>
          <w:kern w:val="0"/>
          <w:position w:val="-2"/>
          <w:szCs w:val="21"/>
          <w:highlight w:val="none"/>
          <w:lang w:eastAsia="zh-CN"/>
        </w:rPr>
        <w:t>比选申请文件</w:t>
      </w:r>
      <w:r>
        <w:rPr>
          <w:rFonts w:hint="eastAsia" w:ascii="宋体" w:hAnsi="宋体"/>
          <w:snapToGrid w:val="0"/>
          <w:kern w:val="0"/>
          <w:position w:val="-2"/>
          <w:szCs w:val="21"/>
          <w:highlight w:val="none"/>
        </w:rPr>
        <w:t>的签名盖章要求：按本章</w:t>
      </w:r>
      <w:r>
        <w:rPr>
          <w:rFonts w:hint="eastAsia" w:ascii="宋体" w:hAnsi="宋体"/>
          <w:snapToGrid w:val="0"/>
          <w:kern w:val="0"/>
          <w:position w:val="-2"/>
          <w:szCs w:val="21"/>
          <w:highlight w:val="none"/>
          <w:lang w:eastAsia="zh-CN"/>
        </w:rPr>
        <w:t>比选申请人</w:t>
      </w:r>
      <w:r>
        <w:rPr>
          <w:rFonts w:hint="eastAsia" w:ascii="宋体" w:hAnsi="宋体"/>
          <w:snapToGrid w:val="0"/>
          <w:kern w:val="0"/>
          <w:position w:val="-2"/>
          <w:szCs w:val="21"/>
          <w:highlight w:val="none"/>
        </w:rPr>
        <w:t>须知前附表第3.7.3项执行。</w:t>
      </w:r>
    </w:p>
    <w:p w14:paraId="5A5E97F1">
      <w:pPr>
        <w:autoSpaceDE w:val="0"/>
        <w:autoSpaceDN w:val="0"/>
        <w:adjustRightInd w:val="0"/>
        <w:snapToGrid w:val="0"/>
        <w:spacing w:line="360" w:lineRule="auto"/>
        <w:ind w:right="-164" w:firstLine="420" w:firstLineChars="200"/>
        <w:rPr>
          <w:rFonts w:ascii="宋体" w:hAnsi="宋体"/>
          <w:snapToGrid w:val="0"/>
          <w:kern w:val="0"/>
          <w:szCs w:val="21"/>
          <w:highlight w:val="none"/>
        </w:rPr>
      </w:pPr>
      <w:r>
        <w:rPr>
          <w:rFonts w:ascii="宋体" w:hAnsi="宋体"/>
          <w:snapToGrid w:val="0"/>
          <w:kern w:val="0"/>
          <w:szCs w:val="21"/>
          <w:highlight w:val="none"/>
        </w:rPr>
        <w:t xml:space="preserve">3.7.4  </w:t>
      </w:r>
      <w:r>
        <w:rPr>
          <w:rFonts w:hint="eastAsia" w:ascii="宋体" w:hAnsi="宋体"/>
          <w:snapToGrid w:val="0"/>
          <w:kern w:val="0"/>
          <w:szCs w:val="21"/>
          <w:highlight w:val="none"/>
          <w:lang w:eastAsia="zh-CN"/>
        </w:rPr>
        <w:t>比选申请文件</w:t>
      </w:r>
      <w:r>
        <w:rPr>
          <w:rFonts w:hint="eastAsia" w:ascii="宋体" w:hAnsi="宋体"/>
          <w:snapToGrid w:val="0"/>
          <w:kern w:val="0"/>
          <w:szCs w:val="21"/>
          <w:highlight w:val="none"/>
        </w:rPr>
        <w:t>份数：</w:t>
      </w:r>
      <w:r>
        <w:rPr>
          <w:rFonts w:hint="eastAsia" w:ascii="宋体" w:hAnsi="宋体"/>
          <w:kern w:val="0"/>
          <w:szCs w:val="21"/>
          <w:highlight w:val="none"/>
          <w:lang w:eastAsia="zh-CN"/>
        </w:rPr>
        <w:t>比选申请人</w:t>
      </w:r>
      <w:r>
        <w:rPr>
          <w:rFonts w:hint="eastAsia" w:ascii="宋体" w:hAnsi="宋体"/>
          <w:kern w:val="0"/>
          <w:szCs w:val="21"/>
          <w:highlight w:val="none"/>
        </w:rPr>
        <w:t>网上提交加密</w:t>
      </w:r>
      <w:r>
        <w:rPr>
          <w:rFonts w:hint="eastAsia" w:ascii="宋体" w:hAnsi="宋体"/>
          <w:kern w:val="0"/>
          <w:szCs w:val="21"/>
          <w:highlight w:val="none"/>
          <w:lang w:eastAsia="zh-CN"/>
        </w:rPr>
        <w:t>比选申请文件</w:t>
      </w:r>
      <w:r>
        <w:rPr>
          <w:rFonts w:hint="eastAsia" w:ascii="宋体" w:hAnsi="宋体"/>
          <w:kern w:val="0"/>
          <w:szCs w:val="21"/>
          <w:highlight w:val="none"/>
        </w:rPr>
        <w:t>一份</w:t>
      </w:r>
      <w:r>
        <w:rPr>
          <w:rFonts w:ascii="宋体" w:hAnsi="宋体"/>
          <w:kern w:val="0"/>
          <w:szCs w:val="21"/>
          <w:highlight w:val="none"/>
        </w:rPr>
        <w:t>。</w:t>
      </w:r>
    </w:p>
    <w:p w14:paraId="2C52FBB3">
      <w:pPr>
        <w:autoSpaceDE w:val="0"/>
        <w:autoSpaceDN w:val="0"/>
        <w:adjustRightInd w:val="0"/>
        <w:snapToGrid w:val="0"/>
        <w:spacing w:line="360" w:lineRule="auto"/>
        <w:ind w:right="-109" w:firstLine="420" w:firstLineChars="200"/>
        <w:rPr>
          <w:rFonts w:ascii="宋体" w:hAnsi="宋体"/>
          <w:snapToGrid w:val="0"/>
          <w:kern w:val="0"/>
          <w:szCs w:val="21"/>
          <w:highlight w:val="none"/>
        </w:rPr>
      </w:pPr>
      <w:r>
        <w:rPr>
          <w:rFonts w:ascii="宋体" w:hAnsi="宋体"/>
          <w:snapToGrid w:val="0"/>
          <w:kern w:val="0"/>
          <w:szCs w:val="21"/>
          <w:highlight w:val="none"/>
        </w:rPr>
        <w:t xml:space="preserve">3.7.5  </w:t>
      </w:r>
      <w:r>
        <w:rPr>
          <w:rFonts w:hint="eastAsia" w:ascii="宋体" w:hAnsi="宋体"/>
          <w:snapToGrid w:val="0"/>
          <w:kern w:val="0"/>
          <w:szCs w:val="21"/>
          <w:highlight w:val="none"/>
          <w:lang w:eastAsia="zh-CN"/>
        </w:rPr>
        <w:t>比选申请文件</w:t>
      </w:r>
      <w:r>
        <w:rPr>
          <w:rFonts w:hint="eastAsia" w:ascii="宋体" w:hAnsi="宋体"/>
          <w:snapToGrid w:val="0"/>
          <w:kern w:val="0"/>
          <w:szCs w:val="21"/>
          <w:highlight w:val="none"/>
        </w:rPr>
        <w:t>应按规定格式排版</w:t>
      </w:r>
      <w:r>
        <w:rPr>
          <w:rFonts w:ascii="宋体" w:hAnsi="宋体"/>
          <w:snapToGrid w:val="0"/>
          <w:kern w:val="0"/>
          <w:szCs w:val="21"/>
          <w:highlight w:val="none"/>
        </w:rPr>
        <w:t>，并编制目录，具体</w:t>
      </w:r>
      <w:r>
        <w:rPr>
          <w:rFonts w:hint="eastAsia" w:ascii="宋体" w:hAnsi="宋体"/>
          <w:snapToGrid w:val="0"/>
          <w:kern w:val="0"/>
          <w:szCs w:val="21"/>
          <w:highlight w:val="none"/>
        </w:rPr>
        <w:t>编制</w:t>
      </w:r>
      <w:r>
        <w:rPr>
          <w:rFonts w:ascii="宋体" w:hAnsi="宋体"/>
          <w:snapToGrid w:val="0"/>
          <w:kern w:val="0"/>
          <w:szCs w:val="21"/>
          <w:highlight w:val="none"/>
        </w:rPr>
        <w:t>要求见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w:t>
      </w:r>
    </w:p>
    <w:p w14:paraId="2A6239B3">
      <w:pPr>
        <w:pStyle w:val="4"/>
        <w:keepNext w:val="0"/>
        <w:keepLines w:val="0"/>
        <w:spacing w:before="0" w:after="0" w:line="360" w:lineRule="auto"/>
        <w:rPr>
          <w:rFonts w:ascii="宋体" w:hAnsi="宋体"/>
          <w:b w:val="0"/>
          <w:snapToGrid w:val="0"/>
          <w:highlight w:val="none"/>
        </w:rPr>
      </w:pPr>
      <w:bookmarkStart w:id="330" w:name="_Toc287607773"/>
      <w:bookmarkStart w:id="331" w:name="_Toc287620712"/>
      <w:bookmarkStart w:id="332" w:name="_Toc20307"/>
      <w:bookmarkStart w:id="333" w:name="_Toc224103344"/>
      <w:bookmarkStart w:id="334" w:name="_Toc200513153"/>
      <w:bookmarkStart w:id="335" w:name="_Toc277082579"/>
      <w:bookmarkStart w:id="336" w:name="_Toc509218737"/>
      <w:bookmarkStart w:id="337" w:name="_Toc430530462"/>
      <w:bookmarkStart w:id="338" w:name="_Toc20108"/>
      <w:r>
        <w:rPr>
          <w:rFonts w:ascii="宋体" w:hAnsi="宋体"/>
          <w:b w:val="0"/>
          <w:snapToGrid w:val="0"/>
          <w:highlight w:val="none"/>
        </w:rPr>
        <w:t>4.  投标</w:t>
      </w:r>
      <w:bookmarkEnd w:id="330"/>
      <w:bookmarkEnd w:id="331"/>
      <w:bookmarkEnd w:id="332"/>
      <w:bookmarkEnd w:id="333"/>
      <w:bookmarkEnd w:id="334"/>
      <w:bookmarkEnd w:id="335"/>
      <w:bookmarkEnd w:id="336"/>
      <w:bookmarkEnd w:id="337"/>
      <w:bookmarkEnd w:id="338"/>
    </w:p>
    <w:p w14:paraId="33ABD9EC">
      <w:pPr>
        <w:pStyle w:val="5"/>
        <w:keepNext w:val="0"/>
        <w:keepLines w:val="0"/>
        <w:snapToGrid w:val="0"/>
        <w:spacing w:before="0" w:after="0" w:line="360" w:lineRule="auto"/>
        <w:rPr>
          <w:rFonts w:ascii="宋体" w:hAnsi="宋体"/>
          <w:b w:val="0"/>
          <w:snapToGrid w:val="0"/>
          <w:sz w:val="24"/>
          <w:szCs w:val="24"/>
          <w:highlight w:val="none"/>
        </w:rPr>
      </w:pPr>
      <w:bookmarkStart w:id="339" w:name="_Toc287607774"/>
      <w:bookmarkStart w:id="340" w:name="_Toc200513154"/>
      <w:bookmarkStart w:id="341" w:name="_Toc224103345"/>
      <w:bookmarkStart w:id="342" w:name="_Toc14708"/>
      <w:bookmarkStart w:id="343" w:name="_Toc277082580"/>
      <w:bookmarkStart w:id="344" w:name="_Toc20265"/>
      <w:bookmarkStart w:id="345" w:name="_Toc287620713"/>
      <w:bookmarkStart w:id="346" w:name="_Toc430530463"/>
      <w:bookmarkStart w:id="347" w:name="_Toc509218738"/>
      <w:r>
        <w:rPr>
          <w:rFonts w:ascii="宋体" w:hAnsi="宋体"/>
          <w:b w:val="0"/>
          <w:snapToGrid w:val="0"/>
          <w:sz w:val="24"/>
          <w:szCs w:val="24"/>
          <w:highlight w:val="none"/>
        </w:rPr>
        <w:t xml:space="preserve">4.1  </w:t>
      </w:r>
      <w:r>
        <w:rPr>
          <w:rFonts w:hint="eastAsia" w:ascii="宋体" w:hAnsi="宋体"/>
          <w:b w:val="0"/>
          <w:snapToGrid w:val="0"/>
          <w:sz w:val="24"/>
          <w:szCs w:val="24"/>
          <w:highlight w:val="none"/>
          <w:lang w:eastAsia="zh-CN"/>
        </w:rPr>
        <w:t>比选申请文件</w:t>
      </w:r>
      <w:r>
        <w:rPr>
          <w:rFonts w:ascii="宋体" w:hAnsi="宋体"/>
          <w:b w:val="0"/>
          <w:snapToGrid w:val="0"/>
          <w:sz w:val="24"/>
          <w:szCs w:val="24"/>
          <w:highlight w:val="none"/>
        </w:rPr>
        <w:t>的密封和标记</w:t>
      </w:r>
      <w:bookmarkEnd w:id="339"/>
      <w:bookmarkEnd w:id="340"/>
      <w:bookmarkEnd w:id="341"/>
      <w:bookmarkEnd w:id="342"/>
      <w:bookmarkEnd w:id="343"/>
      <w:bookmarkEnd w:id="344"/>
      <w:bookmarkEnd w:id="345"/>
      <w:bookmarkEnd w:id="346"/>
      <w:bookmarkEnd w:id="347"/>
    </w:p>
    <w:p w14:paraId="6A1EC796">
      <w:pPr>
        <w:autoSpaceDE w:val="0"/>
        <w:autoSpaceDN w:val="0"/>
        <w:adjustRightInd w:val="0"/>
        <w:snapToGrid w:val="0"/>
        <w:spacing w:line="360" w:lineRule="auto"/>
        <w:ind w:firstLine="420" w:firstLineChars="200"/>
        <w:rPr>
          <w:rFonts w:ascii="宋体" w:hAnsi="宋体"/>
          <w:snapToGrid w:val="0"/>
          <w:kern w:val="0"/>
          <w:szCs w:val="21"/>
          <w:highlight w:val="none"/>
        </w:rPr>
      </w:pPr>
      <w:bookmarkStart w:id="348" w:name="_Toc200513155"/>
      <w:r>
        <w:rPr>
          <w:rFonts w:ascii="宋体" w:hAnsi="宋体"/>
          <w:snapToGrid w:val="0"/>
          <w:kern w:val="0"/>
          <w:szCs w:val="21"/>
          <w:highlight w:val="none"/>
        </w:rPr>
        <w:t xml:space="preserve">4.1.1  </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的密封</w:t>
      </w:r>
      <w:r>
        <w:rPr>
          <w:rFonts w:hint="eastAsia" w:ascii="宋体" w:hAnsi="宋体"/>
          <w:snapToGrid w:val="0"/>
          <w:kern w:val="0"/>
          <w:szCs w:val="21"/>
          <w:highlight w:val="none"/>
        </w:rPr>
        <w:t>：</w:t>
      </w:r>
      <w:r>
        <w:rPr>
          <w:rFonts w:ascii="宋体" w:hAnsi="宋体"/>
          <w:snapToGrid w:val="0"/>
          <w:kern w:val="0"/>
          <w:szCs w:val="21"/>
          <w:highlight w:val="none"/>
        </w:rPr>
        <w:t>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09A24713">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4.1.2  </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的封套上应写明的内容</w:t>
      </w:r>
      <w:r>
        <w:rPr>
          <w:rFonts w:hint="eastAsia" w:ascii="宋体" w:hAnsi="宋体"/>
          <w:snapToGrid w:val="0"/>
          <w:kern w:val="0"/>
          <w:szCs w:val="21"/>
          <w:highlight w:val="none"/>
        </w:rPr>
        <w:t>：</w:t>
      </w:r>
      <w:r>
        <w:rPr>
          <w:rFonts w:ascii="宋体" w:hAnsi="宋体"/>
          <w:snapToGrid w:val="0"/>
          <w:kern w:val="0"/>
          <w:szCs w:val="21"/>
          <w:highlight w:val="none"/>
        </w:rPr>
        <w:t>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301A9AA1">
      <w:pPr>
        <w:pStyle w:val="5"/>
        <w:keepNext w:val="0"/>
        <w:keepLines w:val="0"/>
        <w:snapToGrid w:val="0"/>
        <w:spacing w:before="0" w:after="0" w:line="360" w:lineRule="auto"/>
        <w:rPr>
          <w:rFonts w:ascii="宋体" w:hAnsi="宋体"/>
          <w:b w:val="0"/>
          <w:snapToGrid w:val="0"/>
          <w:sz w:val="24"/>
          <w:szCs w:val="24"/>
          <w:highlight w:val="none"/>
        </w:rPr>
      </w:pPr>
      <w:bookmarkStart w:id="349" w:name="_Toc277082581"/>
      <w:bookmarkStart w:id="350" w:name="_Toc430530464"/>
      <w:bookmarkStart w:id="351" w:name="_Toc287607775"/>
      <w:bookmarkStart w:id="352" w:name="_Toc224103346"/>
      <w:bookmarkStart w:id="353" w:name="_Toc287620714"/>
      <w:bookmarkStart w:id="354" w:name="_Toc2456"/>
      <w:bookmarkStart w:id="355" w:name="_Toc509218739"/>
      <w:bookmarkStart w:id="356" w:name="_Toc9972"/>
      <w:r>
        <w:rPr>
          <w:rFonts w:ascii="宋体" w:hAnsi="宋体"/>
          <w:b w:val="0"/>
          <w:snapToGrid w:val="0"/>
          <w:sz w:val="24"/>
          <w:szCs w:val="24"/>
          <w:highlight w:val="none"/>
        </w:rPr>
        <w:t xml:space="preserve">4.2  </w:t>
      </w:r>
      <w:r>
        <w:rPr>
          <w:rFonts w:hint="eastAsia" w:ascii="宋体" w:hAnsi="宋体"/>
          <w:b w:val="0"/>
          <w:snapToGrid w:val="0"/>
          <w:sz w:val="24"/>
          <w:szCs w:val="24"/>
          <w:highlight w:val="none"/>
          <w:lang w:eastAsia="zh-CN"/>
        </w:rPr>
        <w:t>比选申请文件</w:t>
      </w:r>
      <w:r>
        <w:rPr>
          <w:rFonts w:ascii="宋体" w:hAnsi="宋体"/>
          <w:b w:val="0"/>
          <w:snapToGrid w:val="0"/>
          <w:sz w:val="24"/>
          <w:szCs w:val="24"/>
          <w:highlight w:val="none"/>
        </w:rPr>
        <w:t>的递交</w:t>
      </w:r>
      <w:bookmarkEnd w:id="348"/>
      <w:bookmarkEnd w:id="349"/>
      <w:bookmarkEnd w:id="350"/>
      <w:bookmarkEnd w:id="351"/>
      <w:bookmarkEnd w:id="352"/>
      <w:bookmarkEnd w:id="353"/>
      <w:bookmarkEnd w:id="354"/>
      <w:bookmarkEnd w:id="355"/>
      <w:bookmarkEnd w:id="356"/>
    </w:p>
    <w:p w14:paraId="0DFB1271">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4.2.1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应在</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须知前附表第 2.2.2 项规定的投标截止时间前递交</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w:t>
      </w:r>
    </w:p>
    <w:p w14:paraId="3184D976">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4.2.2  </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递交</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的地点：见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0664CFB6">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4.2.3  除</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须知前附表另有规定外，</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所递交的</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不予退还。</w:t>
      </w:r>
    </w:p>
    <w:p w14:paraId="4D111865">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 xml:space="preserve">4.2.4  </w:t>
      </w:r>
      <w:r>
        <w:rPr>
          <w:rFonts w:hint="eastAsia" w:ascii="宋体" w:hAnsi="宋体"/>
          <w:snapToGrid w:val="0"/>
          <w:kern w:val="0"/>
          <w:szCs w:val="21"/>
          <w:highlight w:val="none"/>
          <w:lang w:eastAsia="zh-CN"/>
        </w:rPr>
        <w:t>比选人</w:t>
      </w:r>
      <w:r>
        <w:rPr>
          <w:rFonts w:ascii="宋体" w:hAnsi="宋体"/>
          <w:snapToGrid w:val="0"/>
          <w:kern w:val="0"/>
          <w:szCs w:val="21"/>
          <w:highlight w:val="none"/>
        </w:rPr>
        <w:t>收到</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后，由</w:t>
      </w:r>
      <w:r>
        <w:rPr>
          <w:rFonts w:hint="eastAsia" w:ascii="宋体" w:hAnsi="宋体" w:cs="宋体"/>
          <w:szCs w:val="21"/>
          <w:highlight w:val="none"/>
        </w:rPr>
        <w:t>重庆市电子招投标系统</w:t>
      </w:r>
      <w:r>
        <w:rPr>
          <w:rFonts w:ascii="宋体" w:hAnsi="宋体"/>
          <w:snapToGrid w:val="0"/>
          <w:kern w:val="0"/>
          <w:szCs w:val="21"/>
          <w:highlight w:val="none"/>
        </w:rPr>
        <w:t>向</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出具签收凭证。</w:t>
      </w:r>
    </w:p>
    <w:p w14:paraId="4DFC8991">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4.2.5  逾期送达的或者未送达指定地点的</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w:t>
      </w:r>
      <w:r>
        <w:rPr>
          <w:rFonts w:hint="eastAsia" w:ascii="宋体" w:hAnsi="宋体"/>
          <w:snapToGrid w:val="0"/>
          <w:kern w:val="0"/>
          <w:szCs w:val="21"/>
          <w:highlight w:val="none"/>
          <w:lang w:eastAsia="zh-CN"/>
        </w:rPr>
        <w:t>比选人</w:t>
      </w:r>
      <w:r>
        <w:rPr>
          <w:rFonts w:ascii="宋体" w:hAnsi="宋体"/>
          <w:snapToGrid w:val="0"/>
          <w:kern w:val="0"/>
          <w:szCs w:val="21"/>
          <w:highlight w:val="none"/>
        </w:rPr>
        <w:t>不予受理。</w:t>
      </w:r>
    </w:p>
    <w:p w14:paraId="03FE0CE2">
      <w:pPr>
        <w:pStyle w:val="5"/>
        <w:keepNext w:val="0"/>
        <w:keepLines w:val="0"/>
        <w:snapToGrid w:val="0"/>
        <w:spacing w:before="0" w:after="0" w:line="360" w:lineRule="auto"/>
        <w:rPr>
          <w:rFonts w:ascii="宋体" w:hAnsi="宋体"/>
          <w:b w:val="0"/>
          <w:snapToGrid w:val="0"/>
          <w:sz w:val="24"/>
          <w:szCs w:val="24"/>
          <w:highlight w:val="none"/>
        </w:rPr>
      </w:pPr>
      <w:bookmarkStart w:id="357" w:name="_Toc509218740"/>
      <w:bookmarkStart w:id="358" w:name="_Toc277082582"/>
      <w:bookmarkStart w:id="359" w:name="_Toc28608"/>
      <w:bookmarkStart w:id="360" w:name="_Toc6377"/>
      <w:bookmarkStart w:id="361" w:name="_Toc224103347"/>
      <w:bookmarkStart w:id="362" w:name="_Toc287620715"/>
      <w:bookmarkStart w:id="363" w:name="_Toc430530465"/>
      <w:bookmarkStart w:id="364" w:name="_Toc200513156"/>
      <w:bookmarkStart w:id="365" w:name="_Toc287607776"/>
      <w:r>
        <w:rPr>
          <w:rFonts w:ascii="宋体" w:hAnsi="宋体"/>
          <w:b w:val="0"/>
          <w:snapToGrid w:val="0"/>
          <w:sz w:val="24"/>
          <w:szCs w:val="24"/>
          <w:highlight w:val="none"/>
        </w:rPr>
        <w:t xml:space="preserve">4.3  </w:t>
      </w:r>
      <w:r>
        <w:rPr>
          <w:rFonts w:hint="eastAsia" w:ascii="宋体" w:hAnsi="宋体"/>
          <w:b w:val="0"/>
          <w:snapToGrid w:val="0"/>
          <w:sz w:val="24"/>
          <w:szCs w:val="24"/>
          <w:highlight w:val="none"/>
          <w:lang w:eastAsia="zh-CN"/>
        </w:rPr>
        <w:t>比选申请文件</w:t>
      </w:r>
      <w:r>
        <w:rPr>
          <w:rFonts w:ascii="宋体" w:hAnsi="宋体"/>
          <w:b w:val="0"/>
          <w:snapToGrid w:val="0"/>
          <w:sz w:val="24"/>
          <w:szCs w:val="24"/>
          <w:highlight w:val="none"/>
        </w:rPr>
        <w:t>的修改与撤回</w:t>
      </w:r>
      <w:bookmarkEnd w:id="357"/>
      <w:bookmarkEnd w:id="358"/>
      <w:bookmarkEnd w:id="359"/>
      <w:bookmarkEnd w:id="360"/>
      <w:bookmarkEnd w:id="361"/>
      <w:bookmarkEnd w:id="362"/>
      <w:bookmarkEnd w:id="363"/>
      <w:bookmarkEnd w:id="364"/>
      <w:bookmarkEnd w:id="365"/>
    </w:p>
    <w:p w14:paraId="7A872316">
      <w:pPr>
        <w:autoSpaceDE w:val="0"/>
        <w:autoSpaceDN w:val="0"/>
        <w:adjustRightInd w:val="0"/>
        <w:snapToGrid w:val="0"/>
        <w:spacing w:line="360" w:lineRule="auto"/>
        <w:ind w:firstLine="420" w:firstLineChars="200"/>
        <w:rPr>
          <w:rFonts w:ascii="宋体" w:hAnsi="宋体"/>
          <w:snapToGrid w:val="0"/>
          <w:color w:val="auto"/>
          <w:kern w:val="0"/>
          <w:szCs w:val="21"/>
          <w:highlight w:val="none"/>
        </w:rPr>
      </w:pPr>
      <w:bookmarkStart w:id="366" w:name="_Toc224103348"/>
      <w:bookmarkStart w:id="367" w:name="_Toc19876"/>
      <w:bookmarkStart w:id="368" w:name="_Toc430530466"/>
      <w:bookmarkStart w:id="369" w:name="_Toc200513157"/>
      <w:bookmarkStart w:id="370" w:name="_Toc277082583"/>
      <w:bookmarkStart w:id="371" w:name="_Toc287620716"/>
      <w:bookmarkStart w:id="372" w:name="_Toc509218741"/>
      <w:bookmarkStart w:id="373" w:name="_Toc287607777"/>
      <w:r>
        <w:rPr>
          <w:rFonts w:ascii="宋体" w:hAnsi="宋体"/>
          <w:snapToGrid w:val="0"/>
          <w:color w:val="auto"/>
          <w:kern w:val="0"/>
          <w:szCs w:val="21"/>
          <w:highlight w:val="none"/>
        </w:rPr>
        <w:t>4.3.1  在</w:t>
      </w:r>
      <w:r>
        <w:rPr>
          <w:rFonts w:hint="eastAsia" w:ascii="宋体" w:hAnsi="宋体"/>
          <w:snapToGrid w:val="0"/>
          <w:color w:val="auto"/>
          <w:kern w:val="0"/>
          <w:szCs w:val="21"/>
          <w:highlight w:val="none"/>
          <w:lang w:eastAsia="zh-CN"/>
        </w:rPr>
        <w:t>比选申请人</w:t>
      </w:r>
      <w:r>
        <w:rPr>
          <w:rFonts w:ascii="宋体" w:hAnsi="宋体"/>
          <w:snapToGrid w:val="0"/>
          <w:color w:val="auto"/>
          <w:kern w:val="0"/>
          <w:szCs w:val="21"/>
          <w:highlight w:val="none"/>
        </w:rPr>
        <w:t>须知前附表第4.2.1项规定的投标截止时间前，</w:t>
      </w:r>
      <w:r>
        <w:rPr>
          <w:rFonts w:hint="eastAsia" w:ascii="宋体" w:hAnsi="宋体"/>
          <w:snapToGrid w:val="0"/>
          <w:color w:val="auto"/>
          <w:kern w:val="0"/>
          <w:szCs w:val="21"/>
          <w:highlight w:val="none"/>
          <w:lang w:eastAsia="zh-CN"/>
        </w:rPr>
        <w:t>比选申请人</w:t>
      </w:r>
      <w:r>
        <w:rPr>
          <w:rFonts w:ascii="宋体" w:hAnsi="宋体"/>
          <w:snapToGrid w:val="0"/>
          <w:color w:val="auto"/>
          <w:kern w:val="0"/>
          <w:szCs w:val="21"/>
          <w:highlight w:val="none"/>
        </w:rPr>
        <w:t>可以修改或撤回已递交的</w:t>
      </w:r>
      <w:r>
        <w:rPr>
          <w:rFonts w:hint="eastAsia" w:ascii="宋体" w:hAnsi="宋体"/>
          <w:snapToGrid w:val="0"/>
          <w:color w:val="auto"/>
          <w:kern w:val="0"/>
          <w:szCs w:val="21"/>
          <w:highlight w:val="none"/>
          <w:lang w:eastAsia="zh-CN"/>
        </w:rPr>
        <w:t>比选申请文件</w:t>
      </w:r>
      <w:r>
        <w:rPr>
          <w:rFonts w:ascii="宋体" w:hAnsi="宋体" w:eastAsia="宋体"/>
          <w:snapToGrid w:val="0"/>
          <w:color w:val="auto"/>
          <w:kern w:val="0"/>
          <w:szCs w:val="21"/>
          <w:highlight w:val="none"/>
        </w:rPr>
        <w:t>，但应以书面形式通知</w:t>
      </w:r>
      <w:r>
        <w:rPr>
          <w:rFonts w:hint="eastAsia" w:ascii="宋体" w:hAnsi="宋体"/>
          <w:snapToGrid w:val="0"/>
          <w:color w:val="auto"/>
          <w:kern w:val="0"/>
          <w:szCs w:val="21"/>
          <w:highlight w:val="none"/>
          <w:lang w:eastAsia="zh-CN"/>
        </w:rPr>
        <w:t>比选人</w:t>
      </w:r>
      <w:r>
        <w:rPr>
          <w:rFonts w:ascii="宋体" w:hAnsi="宋体" w:eastAsia="宋体"/>
          <w:snapToGrid w:val="0"/>
          <w:color w:val="auto"/>
          <w:kern w:val="0"/>
          <w:szCs w:val="21"/>
          <w:highlight w:val="none"/>
        </w:rPr>
        <w:t>。</w:t>
      </w:r>
    </w:p>
    <w:p w14:paraId="2D59F99B">
      <w:pPr>
        <w:autoSpaceDE w:val="0"/>
        <w:autoSpaceDN w:val="0"/>
        <w:adjustRightInd w:val="0"/>
        <w:snapToGrid w:val="0"/>
        <w:spacing w:line="360" w:lineRule="auto"/>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 xml:space="preserve">4.3.2  </w:t>
      </w:r>
      <w:r>
        <w:rPr>
          <w:rFonts w:hint="eastAsia" w:ascii="宋体" w:hAnsi="宋体"/>
          <w:snapToGrid w:val="0"/>
          <w:color w:val="auto"/>
          <w:kern w:val="0"/>
          <w:szCs w:val="21"/>
          <w:highlight w:val="none"/>
          <w:lang w:eastAsia="zh-CN"/>
        </w:rPr>
        <w:t>比选申请人</w:t>
      </w:r>
      <w:r>
        <w:rPr>
          <w:rFonts w:ascii="宋体" w:hAnsi="宋体" w:eastAsia="宋体"/>
          <w:snapToGrid w:val="0"/>
          <w:color w:val="auto"/>
          <w:kern w:val="0"/>
          <w:szCs w:val="21"/>
          <w:highlight w:val="none"/>
        </w:rPr>
        <w:t>修改或撤回已递交</w:t>
      </w:r>
      <w:r>
        <w:rPr>
          <w:rFonts w:hint="eastAsia" w:ascii="宋体" w:hAnsi="宋体"/>
          <w:snapToGrid w:val="0"/>
          <w:color w:val="auto"/>
          <w:kern w:val="0"/>
          <w:szCs w:val="21"/>
          <w:highlight w:val="none"/>
          <w:lang w:eastAsia="zh-CN"/>
        </w:rPr>
        <w:t>比选申请文件</w:t>
      </w:r>
      <w:r>
        <w:rPr>
          <w:rFonts w:ascii="宋体" w:hAnsi="宋体" w:eastAsia="宋体"/>
          <w:snapToGrid w:val="0"/>
          <w:color w:val="auto"/>
          <w:kern w:val="0"/>
          <w:szCs w:val="21"/>
          <w:highlight w:val="none"/>
        </w:rPr>
        <w:t>的书面通知应按照本章第3.7.3项的要求</w:t>
      </w:r>
      <w:r>
        <w:rPr>
          <w:rFonts w:hint="eastAsia" w:ascii="宋体" w:hAnsi="宋体" w:eastAsia="宋体"/>
          <w:snapToGrid w:val="0"/>
          <w:color w:val="auto"/>
          <w:kern w:val="0"/>
          <w:szCs w:val="21"/>
          <w:highlight w:val="none"/>
        </w:rPr>
        <w:t>签名</w:t>
      </w:r>
      <w:r>
        <w:rPr>
          <w:rFonts w:ascii="宋体" w:hAnsi="宋体" w:eastAsia="宋体"/>
          <w:snapToGrid w:val="0"/>
          <w:color w:val="auto"/>
          <w:kern w:val="0"/>
          <w:szCs w:val="21"/>
          <w:highlight w:val="none"/>
        </w:rPr>
        <w:t>或盖章。</w:t>
      </w:r>
      <w:r>
        <w:rPr>
          <w:rFonts w:hint="eastAsia" w:ascii="宋体" w:hAnsi="宋体"/>
          <w:snapToGrid w:val="0"/>
          <w:color w:val="auto"/>
          <w:kern w:val="0"/>
          <w:szCs w:val="21"/>
          <w:highlight w:val="none"/>
          <w:lang w:eastAsia="zh-CN"/>
        </w:rPr>
        <w:t>比选人</w:t>
      </w:r>
      <w:r>
        <w:rPr>
          <w:rFonts w:ascii="宋体" w:hAnsi="宋体" w:eastAsia="宋体"/>
          <w:snapToGrid w:val="0"/>
          <w:color w:val="auto"/>
          <w:kern w:val="0"/>
          <w:szCs w:val="21"/>
          <w:highlight w:val="none"/>
        </w:rPr>
        <w:t>收到书面通知后，向</w:t>
      </w:r>
      <w:r>
        <w:rPr>
          <w:rFonts w:hint="eastAsia" w:ascii="宋体" w:hAnsi="宋体"/>
          <w:snapToGrid w:val="0"/>
          <w:color w:val="auto"/>
          <w:kern w:val="0"/>
          <w:szCs w:val="21"/>
          <w:highlight w:val="none"/>
          <w:lang w:eastAsia="zh-CN"/>
        </w:rPr>
        <w:t>比选申请人</w:t>
      </w:r>
      <w:r>
        <w:rPr>
          <w:rFonts w:ascii="宋体" w:hAnsi="宋体" w:eastAsia="宋体"/>
          <w:snapToGrid w:val="0"/>
          <w:color w:val="auto"/>
          <w:kern w:val="0"/>
          <w:szCs w:val="21"/>
          <w:highlight w:val="none"/>
        </w:rPr>
        <w:t>出具签收凭证。</w:t>
      </w:r>
    </w:p>
    <w:p w14:paraId="62C0B5DE">
      <w:pPr>
        <w:autoSpaceDE w:val="0"/>
        <w:autoSpaceDN w:val="0"/>
        <w:adjustRightInd w:val="0"/>
        <w:snapToGrid w:val="0"/>
        <w:spacing w:line="360" w:lineRule="auto"/>
        <w:ind w:firstLine="420" w:firstLineChars="200"/>
        <w:rPr>
          <w:rFonts w:hint="eastAsia" w:ascii="宋体" w:hAnsi="宋体" w:eastAsia="宋体"/>
          <w:snapToGrid w:val="0"/>
          <w:color w:val="auto"/>
          <w:kern w:val="0"/>
          <w:szCs w:val="21"/>
          <w:highlight w:val="none"/>
        </w:rPr>
      </w:pPr>
      <w:r>
        <w:rPr>
          <w:rFonts w:ascii="宋体" w:hAnsi="宋体" w:eastAsia="宋体"/>
          <w:snapToGrid w:val="0"/>
          <w:color w:val="auto"/>
          <w:kern w:val="0"/>
          <w:szCs w:val="21"/>
          <w:highlight w:val="none"/>
        </w:rPr>
        <w:t>4.3.3  修改的内容为</w:t>
      </w:r>
      <w:r>
        <w:rPr>
          <w:rFonts w:hint="eastAsia" w:ascii="宋体" w:hAnsi="宋体"/>
          <w:snapToGrid w:val="0"/>
          <w:color w:val="auto"/>
          <w:kern w:val="0"/>
          <w:szCs w:val="21"/>
          <w:highlight w:val="none"/>
          <w:lang w:eastAsia="zh-CN"/>
        </w:rPr>
        <w:t>比选申请文件</w:t>
      </w:r>
      <w:r>
        <w:rPr>
          <w:rFonts w:ascii="宋体" w:hAnsi="宋体" w:eastAsia="宋体"/>
          <w:snapToGrid w:val="0"/>
          <w:color w:val="auto"/>
          <w:kern w:val="0"/>
          <w:szCs w:val="21"/>
          <w:highlight w:val="none"/>
        </w:rPr>
        <w:t>的组成部分。修改的</w:t>
      </w:r>
      <w:r>
        <w:rPr>
          <w:rFonts w:hint="eastAsia" w:ascii="宋体" w:hAnsi="宋体"/>
          <w:snapToGrid w:val="0"/>
          <w:color w:val="auto"/>
          <w:kern w:val="0"/>
          <w:szCs w:val="21"/>
          <w:highlight w:val="none"/>
          <w:lang w:eastAsia="zh-CN"/>
        </w:rPr>
        <w:t>比选申请文件</w:t>
      </w:r>
      <w:r>
        <w:rPr>
          <w:rFonts w:ascii="宋体" w:hAnsi="宋体" w:eastAsia="宋体"/>
          <w:snapToGrid w:val="0"/>
          <w:color w:val="auto"/>
          <w:kern w:val="0"/>
          <w:szCs w:val="21"/>
          <w:highlight w:val="none"/>
        </w:rPr>
        <w:t>应按照本章第3条、第4条规定进行编制、密封、标记和递交，并标明“修改”字样。</w:t>
      </w:r>
    </w:p>
    <w:p w14:paraId="16B9EC68">
      <w:pPr>
        <w:pStyle w:val="4"/>
        <w:keepNext w:val="0"/>
        <w:keepLines w:val="0"/>
        <w:spacing w:before="0" w:after="0" w:line="360" w:lineRule="auto"/>
        <w:rPr>
          <w:rFonts w:ascii="宋体" w:hAnsi="宋体"/>
          <w:b w:val="0"/>
          <w:snapToGrid w:val="0"/>
          <w:highlight w:val="none"/>
        </w:rPr>
      </w:pPr>
      <w:bookmarkStart w:id="374" w:name="_Toc10698"/>
      <w:r>
        <w:rPr>
          <w:rFonts w:ascii="宋体" w:hAnsi="宋体"/>
          <w:b w:val="0"/>
          <w:snapToGrid w:val="0"/>
          <w:highlight w:val="none"/>
        </w:rPr>
        <w:t>5.  开标</w:t>
      </w:r>
      <w:bookmarkEnd w:id="366"/>
      <w:bookmarkEnd w:id="367"/>
      <w:bookmarkEnd w:id="368"/>
      <w:bookmarkEnd w:id="369"/>
      <w:bookmarkEnd w:id="370"/>
      <w:bookmarkEnd w:id="371"/>
      <w:bookmarkEnd w:id="372"/>
      <w:bookmarkEnd w:id="373"/>
      <w:bookmarkEnd w:id="374"/>
    </w:p>
    <w:p w14:paraId="4F70B99D">
      <w:pPr>
        <w:pStyle w:val="5"/>
        <w:keepNext w:val="0"/>
        <w:keepLines w:val="0"/>
        <w:snapToGrid w:val="0"/>
        <w:spacing w:before="0" w:after="0" w:line="360" w:lineRule="auto"/>
        <w:rPr>
          <w:rFonts w:ascii="宋体" w:hAnsi="宋体"/>
          <w:b w:val="0"/>
          <w:snapToGrid w:val="0"/>
          <w:sz w:val="24"/>
          <w:szCs w:val="24"/>
          <w:highlight w:val="none"/>
        </w:rPr>
      </w:pPr>
      <w:bookmarkStart w:id="375" w:name="_Toc287620717"/>
      <w:bookmarkStart w:id="376" w:name="_Toc224103349"/>
      <w:bookmarkStart w:id="377" w:name="_Toc430530467"/>
      <w:bookmarkStart w:id="378" w:name="_Toc277082584"/>
      <w:bookmarkStart w:id="379" w:name="_Toc287607778"/>
      <w:bookmarkStart w:id="380" w:name="_Toc509218742"/>
      <w:bookmarkStart w:id="381" w:name="_Toc2717"/>
      <w:bookmarkStart w:id="382" w:name="_Toc1678"/>
      <w:bookmarkStart w:id="383" w:name="_Toc200513158"/>
      <w:r>
        <w:rPr>
          <w:rFonts w:ascii="宋体" w:hAnsi="宋体"/>
          <w:b w:val="0"/>
          <w:snapToGrid w:val="0"/>
          <w:sz w:val="24"/>
          <w:szCs w:val="24"/>
          <w:highlight w:val="none"/>
        </w:rPr>
        <w:t>5.1  开标时间和地点</w:t>
      </w:r>
      <w:bookmarkEnd w:id="375"/>
      <w:bookmarkEnd w:id="376"/>
      <w:bookmarkEnd w:id="377"/>
      <w:bookmarkEnd w:id="378"/>
      <w:bookmarkEnd w:id="379"/>
      <w:bookmarkEnd w:id="380"/>
      <w:bookmarkEnd w:id="381"/>
      <w:bookmarkEnd w:id="382"/>
      <w:bookmarkEnd w:id="383"/>
    </w:p>
    <w:p w14:paraId="7A85258A">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hint="eastAsia" w:ascii="宋体" w:hAnsi="宋体"/>
          <w:snapToGrid w:val="0"/>
          <w:kern w:val="0"/>
          <w:szCs w:val="21"/>
          <w:highlight w:val="none"/>
        </w:rPr>
        <w:t xml:space="preserve"> </w:t>
      </w:r>
      <w:r>
        <w:rPr>
          <w:rFonts w:hint="eastAsia" w:ascii="宋体" w:hAnsi="宋体"/>
          <w:snapToGrid w:val="0"/>
          <w:kern w:val="0"/>
          <w:szCs w:val="21"/>
          <w:highlight w:val="none"/>
          <w:lang w:eastAsia="zh-CN"/>
        </w:rPr>
        <w:t>比选人</w:t>
      </w:r>
      <w:r>
        <w:rPr>
          <w:rFonts w:ascii="宋体" w:hAnsi="宋体"/>
          <w:snapToGrid w:val="0"/>
          <w:kern w:val="0"/>
          <w:szCs w:val="21"/>
          <w:highlight w:val="none"/>
        </w:rPr>
        <w:t>在</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须知前附表第 2.2.2 项规定的投标截止时间（开标时间）和</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须知前附表规定的地点公开开标，并邀请所有</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的法定代表人或其委托代理人准时参加。</w:t>
      </w:r>
    </w:p>
    <w:p w14:paraId="4E38D816">
      <w:pPr>
        <w:pStyle w:val="5"/>
        <w:keepNext w:val="0"/>
        <w:keepLines w:val="0"/>
        <w:snapToGrid w:val="0"/>
        <w:spacing w:before="0" w:after="0" w:line="360" w:lineRule="auto"/>
        <w:rPr>
          <w:rFonts w:ascii="宋体" w:hAnsi="宋体"/>
          <w:b w:val="0"/>
          <w:snapToGrid w:val="0"/>
          <w:sz w:val="24"/>
          <w:szCs w:val="24"/>
          <w:highlight w:val="none"/>
        </w:rPr>
      </w:pPr>
      <w:bookmarkStart w:id="384" w:name="_Toc32240"/>
      <w:bookmarkStart w:id="385" w:name="_Toc287620718"/>
      <w:bookmarkStart w:id="386" w:name="_Toc224103350"/>
      <w:bookmarkStart w:id="387" w:name="_Toc277082585"/>
      <w:bookmarkStart w:id="388" w:name="_Toc200513159"/>
      <w:bookmarkStart w:id="389" w:name="_Toc287607779"/>
      <w:bookmarkStart w:id="390" w:name="_Toc12729"/>
      <w:bookmarkStart w:id="391" w:name="_Toc509218743"/>
      <w:bookmarkStart w:id="392" w:name="_Toc430530468"/>
      <w:r>
        <w:rPr>
          <w:rFonts w:ascii="宋体" w:hAnsi="宋体"/>
          <w:b w:val="0"/>
          <w:snapToGrid w:val="0"/>
          <w:sz w:val="24"/>
          <w:szCs w:val="24"/>
          <w:highlight w:val="none"/>
        </w:rPr>
        <w:t>5.2  开标程序</w:t>
      </w:r>
      <w:bookmarkEnd w:id="384"/>
      <w:bookmarkEnd w:id="385"/>
      <w:bookmarkEnd w:id="386"/>
      <w:bookmarkEnd w:id="387"/>
      <w:bookmarkEnd w:id="388"/>
      <w:bookmarkEnd w:id="389"/>
      <w:bookmarkEnd w:id="390"/>
      <w:bookmarkEnd w:id="391"/>
      <w:bookmarkEnd w:id="392"/>
    </w:p>
    <w:p w14:paraId="6C8092FF">
      <w:pPr>
        <w:autoSpaceDE w:val="0"/>
        <w:autoSpaceDN w:val="0"/>
        <w:adjustRightInd w:val="0"/>
        <w:snapToGrid w:val="0"/>
        <w:spacing w:line="360" w:lineRule="auto"/>
        <w:ind w:firstLine="420" w:firstLineChars="200"/>
        <w:rPr>
          <w:rFonts w:ascii="宋体" w:hAnsi="宋体"/>
          <w:szCs w:val="21"/>
          <w:highlight w:val="none"/>
        </w:rPr>
      </w:pPr>
      <w:bookmarkStart w:id="393" w:name="_Toc224103351"/>
      <w:bookmarkStart w:id="394" w:name="_Toc287620719"/>
      <w:bookmarkStart w:id="395" w:name="_Toc277082586"/>
      <w:bookmarkStart w:id="396" w:name="_Toc287607780"/>
      <w:bookmarkStart w:id="397" w:name="_Toc200513160"/>
      <w:r>
        <w:rPr>
          <w:rFonts w:ascii="宋体" w:hAnsi="宋体"/>
          <w:szCs w:val="21"/>
          <w:highlight w:val="none"/>
        </w:rPr>
        <w:t>详见</w:t>
      </w:r>
      <w:r>
        <w:rPr>
          <w:rFonts w:hint="eastAsia" w:ascii="宋体" w:hAnsi="宋体"/>
          <w:szCs w:val="21"/>
          <w:highlight w:val="none"/>
          <w:lang w:eastAsia="zh-CN"/>
        </w:rPr>
        <w:t>比选申请人</w:t>
      </w:r>
      <w:r>
        <w:rPr>
          <w:rFonts w:ascii="宋体" w:hAnsi="宋体"/>
          <w:szCs w:val="21"/>
          <w:highlight w:val="none"/>
        </w:rPr>
        <w:t>须知前附表第5.2款开标程序。</w:t>
      </w:r>
    </w:p>
    <w:p w14:paraId="65B9F2F2">
      <w:pPr>
        <w:pStyle w:val="5"/>
        <w:keepNext w:val="0"/>
        <w:keepLines w:val="0"/>
        <w:snapToGrid w:val="0"/>
        <w:spacing w:before="0" w:after="0" w:line="360" w:lineRule="auto"/>
        <w:rPr>
          <w:rFonts w:ascii="宋体" w:hAnsi="宋体"/>
          <w:b w:val="0"/>
          <w:snapToGrid w:val="0"/>
          <w:sz w:val="24"/>
          <w:szCs w:val="24"/>
          <w:highlight w:val="none"/>
        </w:rPr>
      </w:pPr>
      <w:bookmarkStart w:id="398" w:name="_Toc1390"/>
      <w:bookmarkStart w:id="399" w:name="_Toc12801"/>
      <w:r>
        <w:rPr>
          <w:rFonts w:ascii="宋体" w:hAnsi="宋体"/>
          <w:b w:val="0"/>
          <w:snapToGrid w:val="0"/>
          <w:sz w:val="24"/>
          <w:szCs w:val="24"/>
          <w:highlight w:val="none"/>
        </w:rPr>
        <w:t>5.</w:t>
      </w:r>
      <w:r>
        <w:rPr>
          <w:rFonts w:hint="eastAsia" w:ascii="宋体" w:hAnsi="宋体"/>
          <w:b w:val="0"/>
          <w:snapToGrid w:val="0"/>
          <w:sz w:val="24"/>
          <w:szCs w:val="24"/>
          <w:highlight w:val="none"/>
        </w:rPr>
        <w:t>3</w:t>
      </w:r>
      <w:r>
        <w:rPr>
          <w:rFonts w:ascii="宋体" w:hAnsi="宋体"/>
          <w:b w:val="0"/>
          <w:snapToGrid w:val="0"/>
          <w:sz w:val="24"/>
          <w:szCs w:val="24"/>
          <w:highlight w:val="none"/>
        </w:rPr>
        <w:t xml:space="preserve">  </w:t>
      </w:r>
      <w:r>
        <w:rPr>
          <w:rFonts w:hint="eastAsia" w:ascii="宋体" w:hAnsi="宋体"/>
          <w:b w:val="0"/>
          <w:snapToGrid w:val="0"/>
          <w:sz w:val="24"/>
          <w:szCs w:val="24"/>
          <w:highlight w:val="none"/>
        </w:rPr>
        <w:t>开标异议</w:t>
      </w:r>
      <w:bookmarkEnd w:id="398"/>
      <w:bookmarkEnd w:id="399"/>
    </w:p>
    <w:p w14:paraId="20FB4ECC">
      <w:pPr>
        <w:autoSpaceDE w:val="0"/>
        <w:autoSpaceDN w:val="0"/>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比选申请人</w:t>
      </w:r>
      <w:r>
        <w:rPr>
          <w:rFonts w:hint="eastAsia" w:ascii="宋体" w:hAnsi="宋体"/>
          <w:szCs w:val="21"/>
          <w:highlight w:val="none"/>
        </w:rPr>
        <w:t>对开标有异议的，应在开标现场提出，开标现场提出异议的，应出示法定代表人身份证明或附有法定代表人身份证明的授权委托书。</w:t>
      </w:r>
      <w:r>
        <w:rPr>
          <w:rFonts w:hint="eastAsia" w:ascii="宋体" w:hAnsi="宋体"/>
          <w:szCs w:val="21"/>
          <w:highlight w:val="none"/>
          <w:lang w:eastAsia="zh-CN"/>
        </w:rPr>
        <w:t>比选人</w:t>
      </w:r>
      <w:r>
        <w:rPr>
          <w:rFonts w:hint="eastAsia" w:ascii="宋体" w:hAnsi="宋体"/>
          <w:szCs w:val="21"/>
          <w:highlight w:val="none"/>
        </w:rPr>
        <w:t>当场作出答复，并制作记录，有异议的</w:t>
      </w:r>
      <w:r>
        <w:rPr>
          <w:rFonts w:hint="eastAsia" w:ascii="宋体" w:hAnsi="宋体"/>
          <w:szCs w:val="21"/>
          <w:highlight w:val="none"/>
          <w:lang w:eastAsia="zh-CN"/>
        </w:rPr>
        <w:t>比选申请人</w:t>
      </w:r>
      <w:r>
        <w:rPr>
          <w:rFonts w:hint="eastAsia" w:ascii="宋体" w:hAnsi="宋体"/>
          <w:szCs w:val="21"/>
          <w:highlight w:val="none"/>
        </w:rPr>
        <w:t>代表、</w:t>
      </w:r>
      <w:r>
        <w:rPr>
          <w:rFonts w:hint="eastAsia" w:ascii="宋体" w:hAnsi="宋体"/>
          <w:szCs w:val="21"/>
          <w:highlight w:val="none"/>
          <w:lang w:eastAsia="zh-CN"/>
        </w:rPr>
        <w:t>比选人</w:t>
      </w:r>
      <w:r>
        <w:rPr>
          <w:rFonts w:hint="eastAsia" w:ascii="宋体" w:hAnsi="宋体"/>
          <w:szCs w:val="21"/>
          <w:highlight w:val="none"/>
        </w:rPr>
        <w:t>代表、主持人、记录人等有关人员在记录上签名确认</w:t>
      </w:r>
      <w:r>
        <w:rPr>
          <w:rFonts w:ascii="宋体" w:hAnsi="宋体"/>
          <w:szCs w:val="21"/>
          <w:highlight w:val="none"/>
        </w:rPr>
        <w:t>。</w:t>
      </w:r>
    </w:p>
    <w:p w14:paraId="6A22C8D6">
      <w:pPr>
        <w:pStyle w:val="4"/>
        <w:keepNext w:val="0"/>
        <w:keepLines w:val="0"/>
        <w:spacing w:before="0" w:after="0" w:line="360" w:lineRule="auto"/>
        <w:rPr>
          <w:rFonts w:ascii="宋体" w:hAnsi="宋体"/>
          <w:b w:val="0"/>
          <w:snapToGrid w:val="0"/>
          <w:highlight w:val="none"/>
        </w:rPr>
      </w:pPr>
      <w:bookmarkStart w:id="400" w:name="_Toc509218744"/>
      <w:bookmarkStart w:id="401" w:name="_Toc15717"/>
      <w:bookmarkStart w:id="402" w:name="_Toc430530469"/>
      <w:bookmarkStart w:id="403" w:name="_Toc17889"/>
      <w:r>
        <w:rPr>
          <w:rFonts w:ascii="宋体" w:hAnsi="宋体"/>
          <w:b w:val="0"/>
          <w:snapToGrid w:val="0"/>
          <w:highlight w:val="none"/>
        </w:rPr>
        <w:t>6.  评标</w:t>
      </w:r>
      <w:bookmarkEnd w:id="393"/>
      <w:bookmarkEnd w:id="394"/>
      <w:bookmarkEnd w:id="395"/>
      <w:bookmarkEnd w:id="396"/>
      <w:bookmarkEnd w:id="397"/>
      <w:bookmarkEnd w:id="400"/>
      <w:bookmarkEnd w:id="401"/>
      <w:bookmarkEnd w:id="402"/>
      <w:bookmarkEnd w:id="403"/>
    </w:p>
    <w:p w14:paraId="439F89B1">
      <w:pPr>
        <w:pStyle w:val="5"/>
        <w:keepNext w:val="0"/>
        <w:keepLines w:val="0"/>
        <w:snapToGrid w:val="0"/>
        <w:spacing w:before="0" w:after="0" w:line="360" w:lineRule="auto"/>
        <w:rPr>
          <w:rFonts w:ascii="宋体" w:hAnsi="宋体"/>
          <w:b w:val="0"/>
          <w:snapToGrid w:val="0"/>
          <w:sz w:val="24"/>
          <w:szCs w:val="24"/>
          <w:highlight w:val="none"/>
        </w:rPr>
      </w:pPr>
      <w:bookmarkStart w:id="404" w:name="_Toc200513161"/>
      <w:bookmarkStart w:id="405" w:name="_Toc287620720"/>
      <w:bookmarkStart w:id="406" w:name="_Toc224103352"/>
      <w:bookmarkStart w:id="407" w:name="_Toc509218745"/>
      <w:bookmarkStart w:id="408" w:name="_Toc24645"/>
      <w:bookmarkStart w:id="409" w:name="_Toc287607781"/>
      <w:bookmarkStart w:id="410" w:name="_Toc277082587"/>
      <w:bookmarkStart w:id="411" w:name="_Toc430530470"/>
      <w:bookmarkStart w:id="412" w:name="_Toc28518"/>
      <w:r>
        <w:rPr>
          <w:rFonts w:ascii="宋体" w:hAnsi="宋体"/>
          <w:b w:val="0"/>
          <w:snapToGrid w:val="0"/>
          <w:sz w:val="24"/>
          <w:szCs w:val="24"/>
          <w:highlight w:val="none"/>
        </w:rPr>
        <w:t>6.1  评标委员会</w:t>
      </w:r>
      <w:bookmarkEnd w:id="404"/>
      <w:bookmarkEnd w:id="405"/>
      <w:bookmarkEnd w:id="406"/>
      <w:bookmarkEnd w:id="407"/>
      <w:bookmarkEnd w:id="408"/>
      <w:bookmarkEnd w:id="409"/>
      <w:bookmarkEnd w:id="410"/>
      <w:bookmarkEnd w:id="411"/>
      <w:bookmarkEnd w:id="412"/>
    </w:p>
    <w:p w14:paraId="02ACD227">
      <w:pPr>
        <w:autoSpaceDE w:val="0"/>
        <w:autoSpaceDN w:val="0"/>
        <w:adjustRightInd w:val="0"/>
        <w:snapToGrid w:val="0"/>
        <w:spacing w:line="360" w:lineRule="auto"/>
        <w:ind w:firstLine="420" w:firstLineChars="200"/>
        <w:rPr>
          <w:rFonts w:ascii="宋体" w:hAnsi="宋体"/>
          <w:b/>
          <w:snapToGrid w:val="0"/>
          <w:kern w:val="0"/>
          <w:szCs w:val="21"/>
          <w:highlight w:val="none"/>
        </w:rPr>
      </w:pPr>
      <w:r>
        <w:rPr>
          <w:rFonts w:ascii="宋体" w:hAnsi="宋体"/>
          <w:snapToGrid w:val="0"/>
          <w:kern w:val="0"/>
          <w:szCs w:val="21"/>
          <w:highlight w:val="none"/>
        </w:rPr>
        <w:t>6.1.1  评标由</w:t>
      </w:r>
      <w:r>
        <w:rPr>
          <w:rFonts w:hint="eastAsia" w:ascii="宋体" w:hAnsi="宋体"/>
          <w:snapToGrid w:val="0"/>
          <w:kern w:val="0"/>
          <w:szCs w:val="21"/>
          <w:highlight w:val="none"/>
          <w:lang w:eastAsia="zh-CN"/>
        </w:rPr>
        <w:t>比选人</w:t>
      </w:r>
      <w:r>
        <w:rPr>
          <w:rFonts w:ascii="宋体" w:hAnsi="宋体"/>
          <w:snapToGrid w:val="0"/>
          <w:kern w:val="0"/>
          <w:szCs w:val="21"/>
          <w:highlight w:val="none"/>
        </w:rPr>
        <w:t>依据法律法规和相关规范性文件组建的评标委员会负责。</w:t>
      </w:r>
    </w:p>
    <w:p w14:paraId="6CC17F0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6.1.2  评标委员会成员有下列情形之一的，应当回避：</w:t>
      </w:r>
    </w:p>
    <w:p w14:paraId="7EE3C97C">
      <w:pPr>
        <w:autoSpaceDE w:val="0"/>
        <w:autoSpaceDN w:val="0"/>
        <w:adjustRightInd w:val="0"/>
        <w:snapToGrid w:val="0"/>
        <w:spacing w:line="360" w:lineRule="auto"/>
        <w:ind w:firstLine="420" w:firstLineChars="200"/>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eastAsia="zh-CN"/>
        </w:rPr>
        <w:t>（1）比选申请人或比选申请人的主要负责人的近亲属；</w:t>
      </w:r>
    </w:p>
    <w:p w14:paraId="490B952D">
      <w:pPr>
        <w:autoSpaceDE w:val="0"/>
        <w:autoSpaceDN w:val="0"/>
        <w:adjustRightInd w:val="0"/>
        <w:snapToGrid w:val="0"/>
        <w:spacing w:line="360" w:lineRule="auto"/>
        <w:ind w:firstLine="420" w:firstLineChars="200"/>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eastAsia="zh-CN"/>
        </w:rPr>
        <w:t>（2）项目主管部门或者项目行政监督部门的人员；</w:t>
      </w:r>
    </w:p>
    <w:p w14:paraId="71A0E2F6">
      <w:pPr>
        <w:autoSpaceDE w:val="0"/>
        <w:autoSpaceDN w:val="0"/>
        <w:adjustRightInd w:val="0"/>
        <w:snapToGrid w:val="0"/>
        <w:spacing w:line="360" w:lineRule="auto"/>
        <w:ind w:firstLine="420" w:firstLineChars="200"/>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eastAsia="zh-CN"/>
        </w:rPr>
        <w:t>（3）与比选申请人有利害关系，可能影响对投标公正评审的；</w:t>
      </w:r>
    </w:p>
    <w:p w14:paraId="2C1A3DF0">
      <w:pPr>
        <w:autoSpaceDE w:val="0"/>
        <w:autoSpaceDN w:val="0"/>
        <w:adjustRightInd w:val="0"/>
        <w:snapToGrid w:val="0"/>
        <w:spacing w:line="360" w:lineRule="auto"/>
        <w:ind w:firstLine="420" w:firstLineChars="200"/>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eastAsia="zh-CN"/>
        </w:rPr>
        <w:t>（4）曾因在招标、评标以及其他与招标投标有关活动中从事违法行为而受过行政处罚或刑事处罚的；</w:t>
      </w:r>
    </w:p>
    <w:p w14:paraId="2FAE24DB">
      <w:pPr>
        <w:autoSpaceDE w:val="0"/>
        <w:autoSpaceDN w:val="0"/>
        <w:adjustRightInd w:val="0"/>
        <w:snapToGrid w:val="0"/>
        <w:spacing w:line="360" w:lineRule="auto"/>
        <w:ind w:firstLine="420" w:firstLineChars="200"/>
        <w:rPr>
          <w:rFonts w:hint="eastAsia"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eastAsia="zh-CN"/>
        </w:rPr>
        <w:t>（5）法律法规规定的其他情形。</w:t>
      </w:r>
    </w:p>
    <w:p w14:paraId="3EB1EB73">
      <w:pPr>
        <w:autoSpaceDE w:val="0"/>
        <w:autoSpaceDN w:val="0"/>
        <w:adjustRightInd w:val="0"/>
        <w:snapToGrid w:val="0"/>
        <w:spacing w:line="360" w:lineRule="auto"/>
        <w:ind w:firstLine="420" w:firstLineChars="200"/>
        <w:rPr>
          <w:rFonts w:ascii="宋体" w:hAnsi="宋体" w:eastAsia="宋体" w:cs="Times New Roman"/>
          <w:snapToGrid w:val="0"/>
          <w:kern w:val="0"/>
          <w:szCs w:val="21"/>
          <w:highlight w:val="none"/>
          <w:lang w:eastAsia="zh-CN"/>
        </w:rPr>
      </w:pPr>
      <w:r>
        <w:rPr>
          <w:rFonts w:hint="eastAsia" w:ascii="宋体" w:hAnsi="宋体" w:eastAsia="宋体" w:cs="Times New Roman"/>
          <w:snapToGrid w:val="0"/>
          <w:kern w:val="0"/>
          <w:szCs w:val="21"/>
          <w:highlight w:val="none"/>
          <w:lang w:eastAsia="zh-CN"/>
        </w:rPr>
        <w:t>6.1.3  评标过程中，评标委员会成员有回避事由、擅离职守或者因健康等原因不能继续评标的，应当及时更换。被更换的评标委员会成员作出的评审结论无效，由更换后的评标委员会成员重新进行评审。</w:t>
      </w:r>
    </w:p>
    <w:p w14:paraId="4EF4300D">
      <w:pPr>
        <w:pStyle w:val="5"/>
        <w:snapToGrid w:val="0"/>
        <w:spacing w:before="0" w:after="0" w:line="360" w:lineRule="auto"/>
        <w:rPr>
          <w:rFonts w:ascii="宋体" w:hAnsi="宋体"/>
          <w:b w:val="0"/>
          <w:snapToGrid w:val="0"/>
          <w:sz w:val="24"/>
          <w:szCs w:val="24"/>
          <w:highlight w:val="none"/>
        </w:rPr>
      </w:pPr>
      <w:bookmarkStart w:id="413" w:name="_Toc287607782"/>
      <w:bookmarkStart w:id="414" w:name="_Toc15368"/>
      <w:bookmarkStart w:id="415" w:name="_Toc277082588"/>
      <w:bookmarkStart w:id="416" w:name="_Toc430530471"/>
      <w:bookmarkStart w:id="417" w:name="_Toc287620721"/>
      <w:bookmarkStart w:id="418" w:name="_Toc4752"/>
      <w:bookmarkStart w:id="419" w:name="_Toc224103353"/>
      <w:bookmarkStart w:id="420" w:name="_Toc509218746"/>
      <w:bookmarkStart w:id="421" w:name="_Toc200513162"/>
      <w:r>
        <w:rPr>
          <w:rFonts w:ascii="宋体" w:hAnsi="宋体"/>
          <w:b w:val="0"/>
          <w:snapToGrid w:val="0"/>
          <w:sz w:val="24"/>
          <w:szCs w:val="24"/>
          <w:highlight w:val="none"/>
        </w:rPr>
        <w:t>6.2  评标原则</w:t>
      </w:r>
      <w:bookmarkEnd w:id="413"/>
      <w:bookmarkEnd w:id="414"/>
      <w:bookmarkEnd w:id="415"/>
      <w:bookmarkEnd w:id="416"/>
      <w:bookmarkEnd w:id="417"/>
      <w:bookmarkEnd w:id="418"/>
      <w:bookmarkEnd w:id="419"/>
      <w:bookmarkEnd w:id="420"/>
      <w:bookmarkEnd w:id="421"/>
    </w:p>
    <w:p w14:paraId="24D7585E">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评标活动遵循公平、公正、科学和择优的原则。</w:t>
      </w:r>
    </w:p>
    <w:p w14:paraId="66146054">
      <w:pPr>
        <w:pStyle w:val="5"/>
        <w:snapToGrid w:val="0"/>
        <w:spacing w:before="0" w:after="0" w:line="360" w:lineRule="auto"/>
        <w:rPr>
          <w:rFonts w:ascii="宋体" w:hAnsi="宋体"/>
          <w:b w:val="0"/>
          <w:snapToGrid w:val="0"/>
          <w:sz w:val="24"/>
          <w:szCs w:val="24"/>
          <w:highlight w:val="none"/>
        </w:rPr>
      </w:pPr>
      <w:bookmarkStart w:id="422" w:name="_Toc509218747"/>
      <w:bookmarkStart w:id="423" w:name="_Toc287620722"/>
      <w:bookmarkStart w:id="424" w:name="_Toc224103354"/>
      <w:bookmarkStart w:id="425" w:name="_Toc31031"/>
      <w:bookmarkStart w:id="426" w:name="_Toc200513163"/>
      <w:bookmarkStart w:id="427" w:name="_Toc430530472"/>
      <w:bookmarkStart w:id="428" w:name="_Toc287607783"/>
      <w:bookmarkStart w:id="429" w:name="_Toc20641"/>
      <w:bookmarkStart w:id="430" w:name="_Toc277082589"/>
      <w:r>
        <w:rPr>
          <w:rFonts w:ascii="宋体" w:hAnsi="宋体"/>
          <w:b w:val="0"/>
          <w:snapToGrid w:val="0"/>
          <w:sz w:val="24"/>
          <w:szCs w:val="24"/>
          <w:highlight w:val="none"/>
        </w:rPr>
        <w:t>6.3  评标</w:t>
      </w:r>
      <w:bookmarkEnd w:id="422"/>
      <w:bookmarkEnd w:id="423"/>
      <w:bookmarkEnd w:id="424"/>
      <w:bookmarkEnd w:id="425"/>
      <w:bookmarkEnd w:id="426"/>
      <w:bookmarkEnd w:id="427"/>
      <w:bookmarkEnd w:id="428"/>
      <w:bookmarkEnd w:id="429"/>
      <w:bookmarkEnd w:id="430"/>
    </w:p>
    <w:p w14:paraId="0CE8F5DC">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评标委员会按照第三章“评标办法”规定的方法、评审因素、标准和程序对</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进行评审。第三章“评标办法”没有规定的方法、评审因素和标准，不得作为评标依据。</w:t>
      </w:r>
    </w:p>
    <w:p w14:paraId="342AE1D0">
      <w:pPr>
        <w:pStyle w:val="4"/>
        <w:spacing w:before="0" w:after="0" w:line="360" w:lineRule="auto"/>
        <w:rPr>
          <w:rFonts w:ascii="宋体" w:hAnsi="宋体"/>
          <w:b w:val="0"/>
          <w:snapToGrid w:val="0"/>
          <w:highlight w:val="none"/>
        </w:rPr>
      </w:pPr>
      <w:bookmarkStart w:id="431" w:name="_Toc31755"/>
      <w:bookmarkStart w:id="432" w:name="_Toc287607784"/>
      <w:bookmarkStart w:id="433" w:name="_Toc430530473"/>
      <w:bookmarkStart w:id="434" w:name="_Toc1752"/>
      <w:bookmarkStart w:id="435" w:name="_Toc200513164"/>
      <w:bookmarkStart w:id="436" w:name="_Toc509218748"/>
      <w:bookmarkStart w:id="437" w:name="_Toc224103355"/>
      <w:bookmarkStart w:id="438" w:name="_Toc277082590"/>
      <w:bookmarkStart w:id="439" w:name="_Toc287620723"/>
      <w:r>
        <w:rPr>
          <w:rFonts w:ascii="宋体" w:hAnsi="宋体"/>
          <w:b w:val="0"/>
          <w:snapToGrid w:val="0"/>
          <w:highlight w:val="none"/>
        </w:rPr>
        <w:t>7.  合同授予</w:t>
      </w:r>
      <w:bookmarkEnd w:id="431"/>
      <w:bookmarkEnd w:id="432"/>
      <w:bookmarkEnd w:id="433"/>
      <w:bookmarkEnd w:id="434"/>
      <w:bookmarkEnd w:id="435"/>
      <w:bookmarkEnd w:id="436"/>
      <w:bookmarkEnd w:id="437"/>
      <w:bookmarkEnd w:id="438"/>
      <w:bookmarkEnd w:id="439"/>
    </w:p>
    <w:p w14:paraId="60AFF848">
      <w:pPr>
        <w:pStyle w:val="5"/>
        <w:snapToGrid w:val="0"/>
        <w:spacing w:before="0" w:after="0" w:line="360" w:lineRule="auto"/>
        <w:rPr>
          <w:rFonts w:ascii="宋体" w:hAnsi="宋体"/>
          <w:b w:val="0"/>
          <w:snapToGrid w:val="0"/>
          <w:sz w:val="24"/>
          <w:szCs w:val="24"/>
          <w:highlight w:val="none"/>
        </w:rPr>
      </w:pPr>
      <w:bookmarkStart w:id="440" w:name="_Toc10916"/>
      <w:bookmarkStart w:id="441" w:name="_Toc509218749"/>
      <w:bookmarkStart w:id="442" w:name="_Toc224103356"/>
      <w:bookmarkStart w:id="443" w:name="_Toc287620724"/>
      <w:bookmarkStart w:id="444" w:name="_Toc287607785"/>
      <w:bookmarkStart w:id="445" w:name="_Toc200513165"/>
      <w:bookmarkStart w:id="446" w:name="_Toc29727"/>
      <w:bookmarkStart w:id="447" w:name="_Toc277082591"/>
      <w:bookmarkStart w:id="448" w:name="_Toc430530474"/>
      <w:r>
        <w:rPr>
          <w:rFonts w:ascii="宋体" w:hAnsi="宋体"/>
          <w:b w:val="0"/>
          <w:snapToGrid w:val="0"/>
          <w:sz w:val="24"/>
          <w:szCs w:val="24"/>
          <w:highlight w:val="none"/>
        </w:rPr>
        <w:t>7.1  定标方式</w:t>
      </w:r>
      <w:bookmarkEnd w:id="440"/>
      <w:bookmarkEnd w:id="441"/>
      <w:bookmarkEnd w:id="442"/>
      <w:bookmarkEnd w:id="443"/>
      <w:bookmarkEnd w:id="444"/>
      <w:bookmarkEnd w:id="445"/>
      <w:bookmarkEnd w:id="446"/>
      <w:bookmarkEnd w:id="447"/>
      <w:bookmarkEnd w:id="448"/>
    </w:p>
    <w:p w14:paraId="7ACC71D2">
      <w:pPr>
        <w:spacing w:line="360" w:lineRule="auto"/>
        <w:ind w:firstLine="420" w:firstLineChars="200"/>
        <w:rPr>
          <w:rFonts w:ascii="宋体" w:hAnsi="宋体"/>
          <w:szCs w:val="21"/>
          <w:highlight w:val="none"/>
        </w:rPr>
      </w:pPr>
      <w:r>
        <w:rPr>
          <w:rFonts w:ascii="宋体" w:hAnsi="宋体"/>
          <w:szCs w:val="21"/>
          <w:highlight w:val="none"/>
        </w:rPr>
        <w:t>国有资金占控股或者主导地位的依法必须进行招标的项目，</w:t>
      </w:r>
      <w:r>
        <w:rPr>
          <w:rFonts w:hint="eastAsia" w:ascii="宋体" w:hAnsi="宋体"/>
          <w:szCs w:val="21"/>
          <w:highlight w:val="none"/>
          <w:lang w:eastAsia="zh-CN"/>
        </w:rPr>
        <w:t>比选人</w:t>
      </w:r>
      <w:r>
        <w:rPr>
          <w:rFonts w:ascii="宋体" w:hAnsi="宋体"/>
          <w:szCs w:val="21"/>
          <w:highlight w:val="none"/>
        </w:rPr>
        <w:t>应当确定排名第一的中标候选人为中标人。排名第一的中标候选人放弃中标、因不可抗力不能履行合同、不按照</w:t>
      </w:r>
      <w:r>
        <w:rPr>
          <w:rFonts w:hint="eastAsia" w:ascii="宋体" w:hAnsi="宋体"/>
          <w:szCs w:val="21"/>
          <w:highlight w:val="none"/>
          <w:lang w:eastAsia="zh-CN"/>
        </w:rPr>
        <w:t>竞争性比选文件</w:t>
      </w:r>
      <w:r>
        <w:rPr>
          <w:rFonts w:ascii="宋体" w:hAnsi="宋体"/>
          <w:szCs w:val="21"/>
          <w:highlight w:val="none"/>
        </w:rPr>
        <w:t>要求提交履约保证金，或者被查实存在影响中标结果的违法行为等情形，不符合中标条件的，</w:t>
      </w:r>
      <w:r>
        <w:rPr>
          <w:rFonts w:hint="eastAsia" w:ascii="宋体" w:hAnsi="宋体"/>
          <w:szCs w:val="21"/>
          <w:highlight w:val="none"/>
          <w:lang w:eastAsia="zh-CN"/>
        </w:rPr>
        <w:t>比选人</w:t>
      </w:r>
      <w:r>
        <w:rPr>
          <w:rFonts w:ascii="宋体" w:hAnsi="宋体"/>
          <w:szCs w:val="21"/>
          <w:highlight w:val="none"/>
        </w:rPr>
        <w:t>可以按照评标委员会提出的中标候选人名单排序依次确定其他中标候选人为中标人，也可以重新招标。</w:t>
      </w:r>
    </w:p>
    <w:p w14:paraId="2B5FAEC2">
      <w:pPr>
        <w:spacing w:line="360" w:lineRule="auto"/>
        <w:ind w:firstLine="420" w:firstLineChars="200"/>
        <w:rPr>
          <w:rFonts w:ascii="宋体" w:hAnsi="宋体"/>
          <w:szCs w:val="21"/>
          <w:highlight w:val="none"/>
        </w:rPr>
      </w:pPr>
      <w:r>
        <w:rPr>
          <w:rFonts w:ascii="宋体" w:hAnsi="宋体"/>
          <w:snapToGrid w:val="0"/>
          <w:kern w:val="0"/>
          <w:szCs w:val="21"/>
          <w:highlight w:val="none"/>
        </w:rPr>
        <w:t>评标委员会推荐中标候选人的人数</w:t>
      </w:r>
      <w:r>
        <w:rPr>
          <w:rFonts w:hint="eastAsia" w:ascii="宋体" w:hAnsi="宋体"/>
          <w:snapToGrid w:val="0"/>
          <w:kern w:val="0"/>
          <w:szCs w:val="21"/>
          <w:highlight w:val="none"/>
        </w:rPr>
        <w:t>：</w:t>
      </w:r>
      <w:r>
        <w:rPr>
          <w:rFonts w:ascii="宋体" w:hAnsi="宋体"/>
          <w:snapToGrid w:val="0"/>
          <w:kern w:val="0"/>
          <w:szCs w:val="21"/>
          <w:highlight w:val="none"/>
        </w:rPr>
        <w:t>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5F7527CA">
      <w:pPr>
        <w:pStyle w:val="5"/>
        <w:snapToGrid w:val="0"/>
        <w:spacing w:before="0" w:after="0" w:line="360" w:lineRule="auto"/>
        <w:rPr>
          <w:rFonts w:ascii="宋体" w:hAnsi="宋体"/>
          <w:b w:val="0"/>
          <w:snapToGrid w:val="0"/>
          <w:sz w:val="24"/>
          <w:szCs w:val="24"/>
          <w:highlight w:val="none"/>
        </w:rPr>
      </w:pPr>
      <w:bookmarkStart w:id="449" w:name="_Toc430530475"/>
      <w:bookmarkStart w:id="450" w:name="_Toc15133"/>
      <w:bookmarkStart w:id="451" w:name="_Toc25828"/>
      <w:bookmarkStart w:id="452" w:name="_Toc509218750"/>
      <w:r>
        <w:rPr>
          <w:rFonts w:ascii="宋体" w:hAnsi="宋体"/>
          <w:b w:val="0"/>
          <w:snapToGrid w:val="0"/>
          <w:sz w:val="24"/>
          <w:szCs w:val="24"/>
          <w:highlight w:val="none"/>
        </w:rPr>
        <w:t>7.2  中标公示及中标通知</w:t>
      </w:r>
      <w:bookmarkEnd w:id="449"/>
      <w:bookmarkEnd w:id="450"/>
      <w:bookmarkEnd w:id="451"/>
      <w:bookmarkEnd w:id="452"/>
    </w:p>
    <w:p w14:paraId="1F015488">
      <w:pPr>
        <w:autoSpaceDE w:val="0"/>
        <w:autoSpaceDN w:val="0"/>
        <w:adjustRightInd w:val="0"/>
        <w:snapToGrid w:val="0"/>
        <w:spacing w:line="360" w:lineRule="auto"/>
        <w:ind w:firstLine="420" w:firstLineChars="200"/>
        <w:rPr>
          <w:rFonts w:ascii="宋体" w:hAnsi="宋体"/>
          <w:szCs w:val="21"/>
          <w:highlight w:val="none"/>
        </w:rPr>
      </w:pPr>
      <w:r>
        <w:rPr>
          <w:rFonts w:hint="eastAsia" w:ascii="宋体" w:hAnsi="宋体"/>
          <w:snapToGrid w:val="0"/>
          <w:kern w:val="0"/>
          <w:szCs w:val="21"/>
          <w:highlight w:val="none"/>
          <w:lang w:eastAsia="zh-CN"/>
        </w:rPr>
        <w:t>比选人</w:t>
      </w:r>
      <w:r>
        <w:rPr>
          <w:rFonts w:ascii="宋体" w:hAnsi="宋体"/>
          <w:snapToGrid w:val="0"/>
          <w:kern w:val="0"/>
          <w:szCs w:val="21"/>
          <w:highlight w:val="none"/>
        </w:rPr>
        <w:t>在收到评标报告之日起3日内公示中标候选人，公示期不得少于3日</w:t>
      </w:r>
      <w:r>
        <w:rPr>
          <w:rFonts w:hint="eastAsia" w:ascii="宋体" w:hAnsi="宋体"/>
          <w:szCs w:val="21"/>
          <w:highlight w:val="none"/>
        </w:rPr>
        <w:t>。</w:t>
      </w:r>
    </w:p>
    <w:p w14:paraId="042312AE">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在本章第 3.3 款规定的投标有效期内，且未有</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的异议与投诉，</w:t>
      </w:r>
      <w:r>
        <w:rPr>
          <w:rFonts w:hint="eastAsia" w:ascii="宋体" w:hAnsi="宋体"/>
          <w:snapToGrid w:val="0"/>
          <w:kern w:val="0"/>
          <w:szCs w:val="21"/>
          <w:highlight w:val="none"/>
          <w:lang w:eastAsia="zh-CN"/>
        </w:rPr>
        <w:t>比选人</w:t>
      </w:r>
      <w:r>
        <w:rPr>
          <w:rFonts w:ascii="宋体" w:hAnsi="宋体"/>
          <w:snapToGrid w:val="0"/>
          <w:kern w:val="0"/>
          <w:szCs w:val="21"/>
          <w:highlight w:val="none"/>
        </w:rPr>
        <w:t>以书面形式向中标人发出中标通知书。</w:t>
      </w:r>
    </w:p>
    <w:p w14:paraId="7236333E">
      <w:pPr>
        <w:pStyle w:val="5"/>
        <w:snapToGrid w:val="0"/>
        <w:spacing w:before="0" w:after="0" w:line="360" w:lineRule="auto"/>
        <w:rPr>
          <w:rFonts w:ascii="宋体" w:hAnsi="宋体"/>
          <w:b w:val="0"/>
          <w:snapToGrid w:val="0"/>
          <w:sz w:val="24"/>
          <w:szCs w:val="24"/>
          <w:highlight w:val="none"/>
        </w:rPr>
      </w:pPr>
      <w:bookmarkStart w:id="453" w:name="_Toc15841"/>
      <w:bookmarkStart w:id="454" w:name="_Toc509218751"/>
      <w:bookmarkStart w:id="455" w:name="_Toc430530476"/>
      <w:bookmarkStart w:id="456" w:name="_Toc200513167"/>
      <w:bookmarkStart w:id="457" w:name="_Toc287607787"/>
      <w:bookmarkStart w:id="458" w:name="_Toc224103358"/>
      <w:bookmarkStart w:id="459" w:name="_Toc25134"/>
      <w:bookmarkStart w:id="460" w:name="_Toc287620726"/>
      <w:bookmarkStart w:id="461" w:name="_Toc277082593"/>
      <w:r>
        <w:rPr>
          <w:rFonts w:ascii="宋体" w:hAnsi="宋体"/>
          <w:b w:val="0"/>
          <w:snapToGrid w:val="0"/>
          <w:sz w:val="24"/>
          <w:szCs w:val="24"/>
          <w:highlight w:val="none"/>
        </w:rPr>
        <w:t>7.3  履约担保</w:t>
      </w:r>
      <w:bookmarkEnd w:id="453"/>
      <w:bookmarkEnd w:id="454"/>
      <w:bookmarkEnd w:id="455"/>
      <w:bookmarkEnd w:id="456"/>
      <w:bookmarkEnd w:id="457"/>
      <w:bookmarkEnd w:id="458"/>
      <w:bookmarkEnd w:id="459"/>
      <w:bookmarkEnd w:id="460"/>
      <w:bookmarkEnd w:id="461"/>
    </w:p>
    <w:p w14:paraId="2320AB0A">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7.3.1  在签订合同前，中标人应按</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须知前附表规定的金额、担保形式和</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第四章“合同条款及格式”规定的履约担保格式向</w:t>
      </w:r>
      <w:r>
        <w:rPr>
          <w:rFonts w:hint="eastAsia" w:ascii="宋体" w:hAnsi="宋体"/>
          <w:snapToGrid w:val="0"/>
          <w:kern w:val="0"/>
          <w:szCs w:val="21"/>
          <w:highlight w:val="none"/>
          <w:lang w:eastAsia="zh-CN"/>
        </w:rPr>
        <w:t>比选人</w:t>
      </w:r>
      <w:r>
        <w:rPr>
          <w:rFonts w:ascii="宋体" w:hAnsi="宋体"/>
          <w:snapToGrid w:val="0"/>
          <w:kern w:val="0"/>
          <w:szCs w:val="21"/>
          <w:highlight w:val="none"/>
        </w:rPr>
        <w:t>提交履约担保。联合体中标的，其履约担保由牵头人递交，并应符合</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须知前附表规定的金额、担保形式和</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第四章“合同条款及格式”规定的履约担保格式要求。</w:t>
      </w:r>
    </w:p>
    <w:p w14:paraId="3C91FC6D">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7.3.2  中标人不能按本章第 7.3.1 项要求提交履约担保的，视为放弃中标，其投标保证金</w:t>
      </w:r>
      <w:r>
        <w:rPr>
          <w:rFonts w:hint="eastAsia" w:asciiTheme="minorEastAsia" w:hAnsiTheme="minorEastAsia" w:eastAsiaTheme="minorEastAsia"/>
          <w:color w:val="auto"/>
          <w:highlight w:val="none"/>
        </w:rPr>
        <w:t>以现金形式交纳的</w:t>
      </w:r>
      <w:r>
        <w:rPr>
          <w:rFonts w:ascii="宋体" w:hAnsi="宋体"/>
          <w:snapToGrid w:val="0"/>
          <w:kern w:val="0"/>
          <w:szCs w:val="21"/>
          <w:highlight w:val="none"/>
        </w:rPr>
        <w:t>不予退还</w:t>
      </w:r>
      <w:r>
        <w:rPr>
          <w:rFonts w:hint="eastAsia" w:asciiTheme="minorEastAsia" w:hAnsiTheme="minorEastAsia" w:eastAsiaTheme="minorEastAsia"/>
          <w:color w:val="auto"/>
          <w:highlight w:val="none"/>
        </w:rPr>
        <w:t>，以保函形式交纳的由保函开立人支付保函担保的与投标保证金等额的款项</w:t>
      </w:r>
      <w:r>
        <w:rPr>
          <w:rFonts w:ascii="宋体" w:hAnsi="宋体"/>
          <w:snapToGrid w:val="0"/>
          <w:kern w:val="0"/>
          <w:szCs w:val="21"/>
          <w:highlight w:val="none"/>
        </w:rPr>
        <w:t>，给</w:t>
      </w:r>
      <w:r>
        <w:rPr>
          <w:rFonts w:hint="eastAsia" w:ascii="宋体" w:hAnsi="宋体"/>
          <w:snapToGrid w:val="0"/>
          <w:kern w:val="0"/>
          <w:szCs w:val="21"/>
          <w:highlight w:val="none"/>
          <w:lang w:eastAsia="zh-CN"/>
        </w:rPr>
        <w:t>比选人</w:t>
      </w:r>
      <w:r>
        <w:rPr>
          <w:rFonts w:ascii="宋体" w:hAnsi="宋体"/>
          <w:snapToGrid w:val="0"/>
          <w:kern w:val="0"/>
          <w:szCs w:val="21"/>
          <w:highlight w:val="none"/>
        </w:rPr>
        <w:t>造成的损失超过投标保证金数额的，中标人还应当对超过部分予以赔偿。</w:t>
      </w:r>
    </w:p>
    <w:p w14:paraId="04B44278">
      <w:pPr>
        <w:pStyle w:val="5"/>
        <w:snapToGrid w:val="0"/>
        <w:spacing w:before="0" w:after="0" w:line="360" w:lineRule="auto"/>
        <w:rPr>
          <w:rFonts w:ascii="宋体" w:hAnsi="宋体"/>
          <w:b w:val="0"/>
          <w:snapToGrid w:val="0"/>
          <w:sz w:val="24"/>
          <w:szCs w:val="24"/>
          <w:highlight w:val="none"/>
        </w:rPr>
      </w:pPr>
      <w:bookmarkStart w:id="462" w:name="_Toc15877"/>
      <w:bookmarkStart w:id="463" w:name="_Toc430530477"/>
      <w:bookmarkStart w:id="464" w:name="_Toc20325"/>
      <w:bookmarkStart w:id="465" w:name="_Toc224103359"/>
      <w:bookmarkStart w:id="466" w:name="_Toc200513168"/>
      <w:bookmarkStart w:id="467" w:name="_Toc509218752"/>
      <w:bookmarkStart w:id="468" w:name="_Toc287620727"/>
      <w:bookmarkStart w:id="469" w:name="_Toc287607788"/>
      <w:bookmarkStart w:id="470" w:name="_Toc277082594"/>
      <w:r>
        <w:rPr>
          <w:rFonts w:ascii="宋体" w:hAnsi="宋体"/>
          <w:b w:val="0"/>
          <w:snapToGrid w:val="0"/>
          <w:sz w:val="24"/>
          <w:szCs w:val="24"/>
          <w:highlight w:val="none"/>
        </w:rPr>
        <w:t>7.4  签订合同</w:t>
      </w:r>
      <w:bookmarkEnd w:id="462"/>
      <w:bookmarkEnd w:id="463"/>
      <w:bookmarkEnd w:id="464"/>
      <w:bookmarkEnd w:id="465"/>
      <w:bookmarkEnd w:id="466"/>
      <w:bookmarkEnd w:id="467"/>
      <w:bookmarkEnd w:id="468"/>
      <w:bookmarkEnd w:id="469"/>
      <w:bookmarkEnd w:id="470"/>
    </w:p>
    <w:p w14:paraId="661DD65D">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 xml:space="preserve">7.4.1 </w:t>
      </w:r>
      <w:r>
        <w:rPr>
          <w:rFonts w:hint="eastAsia" w:ascii="宋体" w:hAnsi="宋体"/>
          <w:snapToGrid w:val="0"/>
          <w:kern w:val="0"/>
          <w:szCs w:val="21"/>
          <w:highlight w:val="none"/>
        </w:rPr>
        <w:t xml:space="preserve"> </w:t>
      </w:r>
      <w:r>
        <w:rPr>
          <w:rFonts w:hint="eastAsia" w:ascii="宋体" w:hAnsi="宋体"/>
          <w:snapToGrid w:val="0"/>
          <w:kern w:val="0"/>
          <w:szCs w:val="21"/>
          <w:highlight w:val="none"/>
          <w:lang w:eastAsia="zh-CN"/>
        </w:rPr>
        <w:t>比选人</w:t>
      </w:r>
      <w:r>
        <w:rPr>
          <w:rFonts w:ascii="宋体" w:hAnsi="宋体"/>
          <w:snapToGrid w:val="0"/>
          <w:kern w:val="0"/>
          <w:szCs w:val="21"/>
          <w:highlight w:val="none"/>
        </w:rPr>
        <w:t>和中标人应当自中标通知书发出之日起 30 天内，根据</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和中标人的</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订立书面合同。中标人</w:t>
      </w:r>
      <w:r>
        <w:rPr>
          <w:rFonts w:hint="eastAsia" w:ascii="宋体" w:hAnsi="宋体"/>
          <w:snapToGrid w:val="0"/>
          <w:kern w:val="0"/>
          <w:szCs w:val="21"/>
          <w:highlight w:val="none"/>
        </w:rPr>
        <w:t>放弃中标项目，</w:t>
      </w:r>
      <w:r>
        <w:rPr>
          <w:rFonts w:ascii="宋体" w:hAnsi="宋体"/>
          <w:snapToGrid w:val="0"/>
          <w:kern w:val="0"/>
          <w:szCs w:val="21"/>
          <w:highlight w:val="none"/>
        </w:rPr>
        <w:t>无正当理由</w:t>
      </w:r>
      <w:r>
        <w:rPr>
          <w:rFonts w:hint="eastAsia" w:ascii="宋体" w:hAnsi="宋体"/>
          <w:snapToGrid w:val="0"/>
          <w:kern w:val="0"/>
          <w:szCs w:val="21"/>
          <w:highlight w:val="none"/>
        </w:rPr>
        <w:t>不与</w:t>
      </w:r>
      <w:r>
        <w:rPr>
          <w:rFonts w:hint="eastAsia" w:ascii="宋体" w:hAnsi="宋体"/>
          <w:snapToGrid w:val="0"/>
          <w:kern w:val="0"/>
          <w:szCs w:val="21"/>
          <w:highlight w:val="none"/>
          <w:lang w:eastAsia="zh-CN"/>
        </w:rPr>
        <w:t>比选人</w:t>
      </w:r>
      <w:r>
        <w:rPr>
          <w:rFonts w:hint="eastAsia" w:ascii="宋体" w:hAnsi="宋体"/>
          <w:snapToGrid w:val="0"/>
          <w:kern w:val="0"/>
          <w:szCs w:val="21"/>
          <w:highlight w:val="none"/>
        </w:rPr>
        <w:t>签订合同，在签订合同时向</w:t>
      </w:r>
      <w:r>
        <w:rPr>
          <w:rFonts w:hint="eastAsia" w:ascii="宋体" w:hAnsi="宋体"/>
          <w:snapToGrid w:val="0"/>
          <w:kern w:val="0"/>
          <w:szCs w:val="21"/>
          <w:highlight w:val="none"/>
          <w:lang w:eastAsia="zh-CN"/>
        </w:rPr>
        <w:t>比选人</w:t>
      </w:r>
      <w:r>
        <w:rPr>
          <w:rFonts w:hint="eastAsia" w:ascii="宋体" w:hAnsi="宋体"/>
          <w:snapToGrid w:val="0"/>
          <w:kern w:val="0"/>
          <w:szCs w:val="21"/>
          <w:highlight w:val="none"/>
        </w:rPr>
        <w:t>提出附加条件或者更改合同实质性内容</w:t>
      </w:r>
      <w:r>
        <w:rPr>
          <w:rFonts w:ascii="宋体" w:hAnsi="宋体"/>
          <w:snapToGrid w:val="0"/>
          <w:kern w:val="0"/>
          <w:szCs w:val="21"/>
          <w:highlight w:val="none"/>
        </w:rPr>
        <w:t>，</w:t>
      </w:r>
      <w:r>
        <w:rPr>
          <w:rFonts w:hint="eastAsia" w:ascii="宋体" w:hAnsi="宋体" w:cs="宋体"/>
          <w:szCs w:val="21"/>
          <w:highlight w:val="none"/>
        </w:rPr>
        <w:t>或不按照</w:t>
      </w:r>
      <w:r>
        <w:rPr>
          <w:rFonts w:hint="eastAsia" w:ascii="宋体" w:hAnsi="宋体" w:cs="宋体"/>
          <w:szCs w:val="21"/>
          <w:highlight w:val="none"/>
          <w:lang w:eastAsia="zh-CN"/>
        </w:rPr>
        <w:t>竞争性比选文件</w:t>
      </w:r>
      <w:r>
        <w:rPr>
          <w:rFonts w:hint="eastAsia" w:ascii="宋体" w:hAnsi="宋体" w:cs="宋体"/>
          <w:szCs w:val="21"/>
          <w:highlight w:val="none"/>
        </w:rPr>
        <w:t>要求提交履约保证金的，</w:t>
      </w:r>
      <w:r>
        <w:rPr>
          <w:rFonts w:hint="eastAsia" w:ascii="宋体" w:hAnsi="宋体"/>
          <w:snapToGrid w:val="0"/>
          <w:kern w:val="0"/>
          <w:szCs w:val="21"/>
          <w:highlight w:val="none"/>
          <w:lang w:eastAsia="zh-CN"/>
        </w:rPr>
        <w:t>比选人</w:t>
      </w:r>
      <w:r>
        <w:rPr>
          <w:rFonts w:ascii="宋体" w:hAnsi="宋体"/>
          <w:snapToGrid w:val="0"/>
          <w:kern w:val="0"/>
          <w:szCs w:val="21"/>
          <w:highlight w:val="none"/>
        </w:rPr>
        <w:t>取消其中标资格，其投标保证金</w:t>
      </w:r>
      <w:r>
        <w:rPr>
          <w:rFonts w:hint="eastAsia" w:ascii="宋体" w:hAnsi="宋体"/>
          <w:snapToGrid w:val="0"/>
          <w:kern w:val="0"/>
          <w:szCs w:val="21"/>
          <w:highlight w:val="none"/>
        </w:rPr>
        <w:t>以现金形式</w:t>
      </w:r>
      <w:r>
        <w:rPr>
          <w:rFonts w:hint="eastAsia" w:ascii="宋体" w:hAnsi="宋体"/>
          <w:snapToGrid w:val="0"/>
          <w:kern w:val="0"/>
          <w:szCs w:val="21"/>
          <w:highlight w:val="none"/>
          <w:lang w:eastAsia="zh-CN"/>
        </w:rPr>
        <w:t>交纳</w:t>
      </w:r>
      <w:r>
        <w:rPr>
          <w:rFonts w:hint="eastAsia" w:ascii="宋体" w:hAnsi="宋体"/>
          <w:snapToGrid w:val="0"/>
          <w:kern w:val="0"/>
          <w:szCs w:val="21"/>
          <w:highlight w:val="none"/>
        </w:rPr>
        <w:t>的</w:t>
      </w:r>
      <w:r>
        <w:rPr>
          <w:rFonts w:ascii="宋体" w:hAnsi="宋体"/>
          <w:snapToGrid w:val="0"/>
          <w:kern w:val="0"/>
          <w:szCs w:val="21"/>
          <w:highlight w:val="none"/>
        </w:rPr>
        <w:t>不予退还</w:t>
      </w:r>
      <w:r>
        <w:rPr>
          <w:rFonts w:hint="eastAsia" w:ascii="宋体" w:hAnsi="宋体"/>
          <w:snapToGrid w:val="0"/>
          <w:kern w:val="0"/>
          <w:szCs w:val="21"/>
          <w:highlight w:val="none"/>
        </w:rPr>
        <w:t>，以保函形式</w:t>
      </w:r>
      <w:r>
        <w:rPr>
          <w:rFonts w:hint="eastAsia" w:ascii="宋体" w:hAnsi="宋体"/>
          <w:snapToGrid w:val="0"/>
          <w:kern w:val="0"/>
          <w:szCs w:val="21"/>
          <w:highlight w:val="none"/>
          <w:lang w:eastAsia="zh-CN"/>
        </w:rPr>
        <w:t>交纳</w:t>
      </w:r>
      <w:r>
        <w:rPr>
          <w:rFonts w:hint="eastAsia" w:ascii="宋体" w:hAnsi="宋体"/>
          <w:snapToGrid w:val="0"/>
          <w:kern w:val="0"/>
          <w:szCs w:val="21"/>
          <w:highlight w:val="none"/>
        </w:rPr>
        <w:t>的由保函开立人支付保函担保的与投标保证金等额的款项</w:t>
      </w:r>
      <w:r>
        <w:rPr>
          <w:rFonts w:ascii="宋体" w:hAnsi="宋体"/>
          <w:snapToGrid w:val="0"/>
          <w:kern w:val="0"/>
          <w:szCs w:val="21"/>
          <w:highlight w:val="none"/>
        </w:rPr>
        <w:t>；给</w:t>
      </w:r>
      <w:r>
        <w:rPr>
          <w:rFonts w:hint="eastAsia" w:ascii="宋体" w:hAnsi="宋体"/>
          <w:snapToGrid w:val="0"/>
          <w:kern w:val="0"/>
          <w:szCs w:val="21"/>
          <w:highlight w:val="none"/>
          <w:lang w:eastAsia="zh-CN"/>
        </w:rPr>
        <w:t>比选人</w:t>
      </w:r>
      <w:r>
        <w:rPr>
          <w:rFonts w:ascii="宋体" w:hAnsi="宋体"/>
          <w:snapToGrid w:val="0"/>
          <w:kern w:val="0"/>
          <w:szCs w:val="21"/>
          <w:highlight w:val="none"/>
        </w:rPr>
        <w:t>造成的损失超过投标保证金数额的，中标人还应当对超过部分予以赔偿。</w:t>
      </w:r>
    </w:p>
    <w:p w14:paraId="4D1D7978">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snapToGrid w:val="0"/>
          <w:kern w:val="0"/>
          <w:szCs w:val="21"/>
          <w:highlight w:val="none"/>
        </w:rPr>
        <w:t>7.4.2  发出中标通知书后，</w:t>
      </w:r>
      <w:r>
        <w:rPr>
          <w:rFonts w:hint="eastAsia" w:ascii="宋体" w:hAnsi="宋体"/>
          <w:snapToGrid w:val="0"/>
          <w:kern w:val="0"/>
          <w:szCs w:val="21"/>
          <w:highlight w:val="none"/>
          <w:lang w:eastAsia="zh-CN"/>
        </w:rPr>
        <w:t>比选人</w:t>
      </w:r>
      <w:r>
        <w:rPr>
          <w:rFonts w:ascii="宋体" w:hAnsi="宋体"/>
          <w:snapToGrid w:val="0"/>
          <w:kern w:val="0"/>
          <w:szCs w:val="21"/>
          <w:highlight w:val="none"/>
        </w:rPr>
        <w:t>无正当理由拒签合同的，</w:t>
      </w:r>
      <w:r>
        <w:rPr>
          <w:rFonts w:hint="eastAsia" w:ascii="宋体" w:hAnsi="宋体"/>
          <w:snapToGrid w:val="0"/>
          <w:kern w:val="0"/>
          <w:szCs w:val="21"/>
          <w:highlight w:val="none"/>
          <w:lang w:eastAsia="zh-CN"/>
        </w:rPr>
        <w:t>比选人</w:t>
      </w:r>
      <w:r>
        <w:rPr>
          <w:rFonts w:ascii="宋体" w:hAnsi="宋体"/>
          <w:snapToGrid w:val="0"/>
          <w:kern w:val="0"/>
          <w:szCs w:val="21"/>
          <w:highlight w:val="none"/>
        </w:rPr>
        <w:t>向中标人退还投标保证金；给中标人造成损失的，还应当赔偿损失。</w:t>
      </w:r>
    </w:p>
    <w:p w14:paraId="6ED3457F">
      <w:pPr>
        <w:pStyle w:val="4"/>
        <w:spacing w:before="0" w:after="0" w:line="360" w:lineRule="auto"/>
        <w:rPr>
          <w:rFonts w:ascii="宋体" w:hAnsi="宋体"/>
          <w:b w:val="0"/>
          <w:snapToGrid w:val="0"/>
          <w:highlight w:val="none"/>
        </w:rPr>
      </w:pPr>
      <w:bookmarkStart w:id="471" w:name="_Toc277082595"/>
      <w:bookmarkStart w:id="472" w:name="_Toc287620728"/>
      <w:bookmarkStart w:id="473" w:name="_Toc200513169"/>
      <w:bookmarkStart w:id="474" w:name="_Toc224103360"/>
      <w:bookmarkStart w:id="475" w:name="_Toc23787"/>
      <w:bookmarkStart w:id="476" w:name="_Toc287607789"/>
      <w:bookmarkStart w:id="477" w:name="_Toc13628"/>
      <w:bookmarkStart w:id="478" w:name="_Toc509218753"/>
      <w:bookmarkStart w:id="479" w:name="_Toc430530478"/>
      <w:r>
        <w:rPr>
          <w:rFonts w:ascii="宋体" w:hAnsi="宋体"/>
          <w:b w:val="0"/>
          <w:snapToGrid w:val="0"/>
          <w:highlight w:val="none"/>
        </w:rPr>
        <w:t>8.  重新招标和不再招标</w:t>
      </w:r>
      <w:bookmarkEnd w:id="471"/>
      <w:bookmarkEnd w:id="472"/>
      <w:bookmarkEnd w:id="473"/>
      <w:bookmarkEnd w:id="474"/>
      <w:bookmarkEnd w:id="475"/>
      <w:bookmarkEnd w:id="476"/>
      <w:bookmarkEnd w:id="477"/>
      <w:bookmarkEnd w:id="478"/>
      <w:bookmarkEnd w:id="479"/>
    </w:p>
    <w:p w14:paraId="25CC4202">
      <w:pPr>
        <w:pStyle w:val="5"/>
        <w:snapToGrid w:val="0"/>
        <w:spacing w:before="0" w:after="0" w:line="360" w:lineRule="auto"/>
        <w:rPr>
          <w:rFonts w:ascii="宋体" w:hAnsi="宋体"/>
          <w:b w:val="0"/>
          <w:snapToGrid w:val="0"/>
          <w:sz w:val="24"/>
          <w:szCs w:val="24"/>
          <w:highlight w:val="none"/>
        </w:rPr>
      </w:pPr>
      <w:bookmarkStart w:id="480" w:name="_Toc287620729"/>
      <w:bookmarkStart w:id="481" w:name="_Toc224103361"/>
      <w:bookmarkStart w:id="482" w:name="_Toc287607790"/>
      <w:bookmarkStart w:id="483" w:name="_Toc430530479"/>
      <w:bookmarkStart w:id="484" w:name="_Toc200513170"/>
      <w:bookmarkStart w:id="485" w:name="_Toc509218754"/>
      <w:bookmarkStart w:id="486" w:name="_Toc277082596"/>
      <w:bookmarkStart w:id="487" w:name="_Toc26499"/>
      <w:bookmarkStart w:id="488" w:name="_Toc30178"/>
      <w:r>
        <w:rPr>
          <w:rFonts w:ascii="宋体" w:hAnsi="宋体"/>
          <w:b w:val="0"/>
          <w:snapToGrid w:val="0"/>
          <w:sz w:val="24"/>
          <w:szCs w:val="24"/>
          <w:highlight w:val="none"/>
        </w:rPr>
        <w:t>8.1  重新招标</w:t>
      </w:r>
      <w:bookmarkEnd w:id="480"/>
      <w:bookmarkEnd w:id="481"/>
      <w:bookmarkEnd w:id="482"/>
      <w:bookmarkEnd w:id="483"/>
      <w:bookmarkEnd w:id="484"/>
      <w:bookmarkEnd w:id="485"/>
      <w:bookmarkEnd w:id="486"/>
      <w:r>
        <w:rPr>
          <w:rFonts w:hint="eastAsia" w:ascii="宋体" w:hAnsi="宋体"/>
          <w:b w:val="0"/>
          <w:snapToGrid w:val="0"/>
          <w:sz w:val="24"/>
          <w:szCs w:val="24"/>
          <w:highlight w:val="none"/>
        </w:rPr>
        <w:t>的情形</w:t>
      </w:r>
      <w:bookmarkEnd w:id="487"/>
      <w:bookmarkEnd w:id="488"/>
    </w:p>
    <w:p w14:paraId="2E6A04FB">
      <w:pPr>
        <w:autoSpaceDE w:val="0"/>
        <w:autoSpaceDN w:val="0"/>
        <w:adjustRightInd w:val="0"/>
        <w:snapToGrid w:val="0"/>
        <w:spacing w:line="360" w:lineRule="auto"/>
        <w:ind w:firstLine="420" w:firstLineChars="200"/>
        <w:rPr>
          <w:rFonts w:ascii="宋体" w:hAnsi="宋体"/>
          <w:snapToGrid w:val="0"/>
          <w:kern w:val="0"/>
          <w:szCs w:val="21"/>
          <w:highlight w:val="none"/>
        </w:rPr>
      </w:pPr>
      <w:bookmarkStart w:id="489" w:name="OLE_LINK5"/>
      <w:r>
        <w:rPr>
          <w:rFonts w:hint="eastAsia" w:ascii="宋体" w:hAnsi="宋体"/>
          <w:snapToGrid w:val="0"/>
          <w:kern w:val="0"/>
          <w:szCs w:val="21"/>
          <w:highlight w:val="none"/>
        </w:rPr>
        <w:t>重新招标的情形：</w:t>
      </w:r>
      <w:r>
        <w:rPr>
          <w:rFonts w:ascii="宋体" w:hAnsi="宋体"/>
          <w:snapToGrid w:val="0"/>
          <w:kern w:val="0"/>
          <w:szCs w:val="21"/>
          <w:highlight w:val="none"/>
        </w:rPr>
        <w:t>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r>
        <w:rPr>
          <w:rFonts w:hint="eastAsia" w:ascii="宋体" w:hAnsi="宋体"/>
          <w:snapToGrid w:val="0"/>
          <w:kern w:val="0"/>
          <w:szCs w:val="21"/>
          <w:highlight w:val="none"/>
        </w:rPr>
        <w:t>。</w:t>
      </w:r>
      <w:bookmarkEnd w:id="489"/>
    </w:p>
    <w:p w14:paraId="177EE554">
      <w:pPr>
        <w:pStyle w:val="5"/>
        <w:snapToGrid w:val="0"/>
        <w:spacing w:before="0" w:after="0" w:line="360" w:lineRule="auto"/>
        <w:rPr>
          <w:rFonts w:ascii="宋体" w:hAnsi="宋体"/>
          <w:b w:val="0"/>
          <w:snapToGrid w:val="0"/>
          <w:sz w:val="24"/>
          <w:szCs w:val="24"/>
          <w:highlight w:val="none"/>
        </w:rPr>
      </w:pPr>
      <w:bookmarkStart w:id="490" w:name="_Toc287607791"/>
      <w:bookmarkStart w:id="491" w:name="_Toc287620730"/>
      <w:bookmarkStart w:id="492" w:name="_Toc200513171"/>
      <w:bookmarkStart w:id="493" w:name="_Toc277082597"/>
      <w:bookmarkStart w:id="494" w:name="_Toc509218755"/>
      <w:bookmarkStart w:id="495" w:name="_Toc224103362"/>
      <w:bookmarkStart w:id="496" w:name="_Toc22064"/>
      <w:bookmarkStart w:id="497" w:name="_Toc430530480"/>
      <w:bookmarkStart w:id="498" w:name="_Toc22909"/>
      <w:r>
        <w:rPr>
          <w:rFonts w:ascii="宋体" w:hAnsi="宋体"/>
          <w:b w:val="0"/>
          <w:snapToGrid w:val="0"/>
          <w:sz w:val="24"/>
          <w:szCs w:val="24"/>
          <w:highlight w:val="none"/>
        </w:rPr>
        <w:t xml:space="preserve">8.2  </w:t>
      </w:r>
      <w:r>
        <w:rPr>
          <w:rFonts w:hint="eastAsia" w:ascii="宋体" w:hAnsi="宋体"/>
          <w:b w:val="0"/>
          <w:snapToGrid w:val="0"/>
          <w:sz w:val="24"/>
          <w:szCs w:val="24"/>
          <w:highlight w:val="none"/>
        </w:rPr>
        <w:t>重新</w:t>
      </w:r>
      <w:r>
        <w:rPr>
          <w:rFonts w:ascii="宋体" w:hAnsi="宋体"/>
          <w:b w:val="0"/>
          <w:snapToGrid w:val="0"/>
          <w:sz w:val="24"/>
          <w:szCs w:val="24"/>
          <w:highlight w:val="none"/>
        </w:rPr>
        <w:t>招标和不再招标</w:t>
      </w:r>
      <w:bookmarkEnd w:id="490"/>
      <w:bookmarkEnd w:id="491"/>
      <w:bookmarkEnd w:id="492"/>
      <w:bookmarkEnd w:id="493"/>
      <w:bookmarkEnd w:id="494"/>
      <w:bookmarkEnd w:id="495"/>
      <w:bookmarkEnd w:id="496"/>
      <w:bookmarkEnd w:id="497"/>
      <w:bookmarkEnd w:id="498"/>
    </w:p>
    <w:p w14:paraId="1651488E">
      <w:pPr>
        <w:autoSpaceDE w:val="0"/>
        <w:autoSpaceDN w:val="0"/>
        <w:adjustRightInd w:val="0"/>
        <w:snapToGrid w:val="0"/>
        <w:spacing w:line="360" w:lineRule="auto"/>
        <w:ind w:firstLine="420"/>
        <w:rPr>
          <w:rFonts w:ascii="宋体" w:hAnsi="宋体"/>
          <w:snapToGrid w:val="0"/>
          <w:kern w:val="0"/>
          <w:szCs w:val="21"/>
          <w:highlight w:val="none"/>
        </w:rPr>
      </w:pPr>
      <w:r>
        <w:rPr>
          <w:rFonts w:hint="eastAsia" w:ascii="宋体" w:hAnsi="宋体"/>
          <w:snapToGrid w:val="0"/>
          <w:kern w:val="0"/>
          <w:szCs w:val="21"/>
          <w:highlight w:val="none"/>
        </w:rPr>
        <w:t>重新招标的</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仍然少于三个的，按照招标投标法律法规规定的程序开标和评标。重新招标经评审有有效</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的，应当依法确定中标候选人；无有效</w:t>
      </w:r>
      <w:r>
        <w:rPr>
          <w:rFonts w:hint="eastAsia" w:ascii="宋体" w:hAnsi="宋体"/>
          <w:snapToGrid w:val="0"/>
          <w:kern w:val="0"/>
          <w:szCs w:val="21"/>
          <w:highlight w:val="none"/>
          <w:lang w:eastAsia="zh-CN"/>
        </w:rPr>
        <w:t>比选申请人</w:t>
      </w:r>
      <w:r>
        <w:rPr>
          <w:rFonts w:hint="eastAsia" w:ascii="宋体" w:hAnsi="宋体"/>
          <w:snapToGrid w:val="0"/>
          <w:kern w:val="0"/>
          <w:szCs w:val="21"/>
          <w:highlight w:val="none"/>
        </w:rPr>
        <w:t>的，可以不再进行招标，但是按照国家有关规定需要履行审批、核准手续的依法必须进行招标的项目，应当报原项目投资主管部门审批、核准</w:t>
      </w:r>
      <w:r>
        <w:rPr>
          <w:rFonts w:ascii="宋体" w:hAnsi="宋体"/>
          <w:snapToGrid w:val="0"/>
          <w:kern w:val="0"/>
          <w:szCs w:val="21"/>
          <w:highlight w:val="none"/>
        </w:rPr>
        <w:t>。</w:t>
      </w:r>
    </w:p>
    <w:p w14:paraId="08D748A9">
      <w:pPr>
        <w:pStyle w:val="4"/>
        <w:spacing w:before="0" w:after="0" w:line="360" w:lineRule="auto"/>
        <w:rPr>
          <w:rFonts w:ascii="宋体" w:hAnsi="宋体"/>
          <w:b w:val="0"/>
          <w:snapToGrid w:val="0"/>
          <w:highlight w:val="none"/>
        </w:rPr>
      </w:pPr>
      <w:bookmarkStart w:id="499" w:name="_Toc287607792"/>
      <w:bookmarkStart w:id="500" w:name="_Toc13491"/>
      <w:bookmarkStart w:id="501" w:name="_Toc9979"/>
      <w:bookmarkStart w:id="502" w:name="_Toc287620731"/>
      <w:bookmarkStart w:id="503" w:name="_Toc224103363"/>
      <w:bookmarkStart w:id="504" w:name="_Toc509218756"/>
      <w:bookmarkStart w:id="505" w:name="_Toc200513172"/>
      <w:bookmarkStart w:id="506" w:name="_Toc430530481"/>
      <w:bookmarkStart w:id="507" w:name="_Toc277082598"/>
      <w:r>
        <w:rPr>
          <w:rFonts w:ascii="宋体" w:hAnsi="宋体"/>
          <w:b w:val="0"/>
          <w:snapToGrid w:val="0"/>
          <w:highlight w:val="none"/>
        </w:rPr>
        <w:t>9.  纪律和监督</w:t>
      </w:r>
      <w:bookmarkEnd w:id="499"/>
      <w:bookmarkEnd w:id="500"/>
      <w:bookmarkEnd w:id="501"/>
      <w:bookmarkEnd w:id="502"/>
      <w:bookmarkEnd w:id="503"/>
      <w:bookmarkEnd w:id="504"/>
      <w:bookmarkEnd w:id="505"/>
      <w:bookmarkEnd w:id="506"/>
      <w:bookmarkEnd w:id="507"/>
    </w:p>
    <w:p w14:paraId="5FE4E854">
      <w:pPr>
        <w:pStyle w:val="5"/>
        <w:snapToGrid w:val="0"/>
        <w:spacing w:before="0" w:after="0" w:line="360" w:lineRule="auto"/>
        <w:rPr>
          <w:rFonts w:ascii="宋体" w:hAnsi="宋体"/>
          <w:b w:val="0"/>
          <w:snapToGrid w:val="0"/>
          <w:sz w:val="24"/>
          <w:szCs w:val="24"/>
          <w:highlight w:val="none"/>
        </w:rPr>
      </w:pPr>
      <w:bookmarkStart w:id="508" w:name="_Toc287607793"/>
      <w:bookmarkStart w:id="509" w:name="_Toc430530482"/>
      <w:bookmarkStart w:id="510" w:name="_Toc509218757"/>
      <w:bookmarkStart w:id="511" w:name="_Toc224103364"/>
      <w:bookmarkStart w:id="512" w:name="_Toc200513173"/>
      <w:bookmarkStart w:id="513" w:name="_Toc287620732"/>
      <w:bookmarkStart w:id="514" w:name="_Toc17810"/>
      <w:bookmarkStart w:id="515" w:name="_Toc277082599"/>
      <w:bookmarkStart w:id="516" w:name="_Toc27888"/>
      <w:r>
        <w:rPr>
          <w:rFonts w:ascii="宋体" w:hAnsi="宋体"/>
          <w:b w:val="0"/>
          <w:snapToGrid w:val="0"/>
          <w:sz w:val="24"/>
          <w:szCs w:val="24"/>
          <w:highlight w:val="none"/>
        </w:rPr>
        <w:t>9.1  对</w:t>
      </w:r>
      <w:r>
        <w:rPr>
          <w:rFonts w:hint="eastAsia" w:ascii="宋体" w:hAnsi="宋体"/>
          <w:b w:val="0"/>
          <w:snapToGrid w:val="0"/>
          <w:sz w:val="24"/>
          <w:szCs w:val="24"/>
          <w:highlight w:val="none"/>
          <w:lang w:eastAsia="zh-CN"/>
        </w:rPr>
        <w:t>比选人</w:t>
      </w:r>
      <w:r>
        <w:rPr>
          <w:rFonts w:ascii="宋体" w:hAnsi="宋体"/>
          <w:b w:val="0"/>
          <w:snapToGrid w:val="0"/>
          <w:sz w:val="24"/>
          <w:szCs w:val="24"/>
          <w:highlight w:val="none"/>
        </w:rPr>
        <w:t>的纪律要求</w:t>
      </w:r>
      <w:bookmarkEnd w:id="508"/>
      <w:bookmarkEnd w:id="509"/>
      <w:bookmarkEnd w:id="510"/>
      <w:bookmarkEnd w:id="511"/>
      <w:bookmarkEnd w:id="512"/>
      <w:bookmarkEnd w:id="513"/>
      <w:bookmarkEnd w:id="514"/>
      <w:bookmarkEnd w:id="515"/>
      <w:bookmarkEnd w:id="516"/>
    </w:p>
    <w:p w14:paraId="6C842301">
      <w:pPr>
        <w:autoSpaceDE w:val="0"/>
        <w:autoSpaceDN w:val="0"/>
        <w:adjustRightInd w:val="0"/>
        <w:snapToGrid w:val="0"/>
        <w:spacing w:line="360" w:lineRule="auto"/>
        <w:ind w:firstLine="420"/>
        <w:rPr>
          <w:rFonts w:ascii="宋体" w:hAnsi="宋体"/>
          <w:highlight w:val="none"/>
        </w:rPr>
      </w:pPr>
      <w:r>
        <w:rPr>
          <w:rFonts w:hint="eastAsia" w:ascii="宋体" w:hAnsi="宋体"/>
          <w:snapToGrid w:val="0"/>
          <w:kern w:val="0"/>
          <w:szCs w:val="21"/>
          <w:highlight w:val="none"/>
          <w:lang w:eastAsia="zh-CN"/>
        </w:rPr>
        <w:t>比选人</w:t>
      </w:r>
      <w:r>
        <w:rPr>
          <w:rFonts w:ascii="宋体" w:hAnsi="宋体"/>
          <w:snapToGrid w:val="0"/>
          <w:kern w:val="0"/>
          <w:szCs w:val="21"/>
          <w:highlight w:val="none"/>
        </w:rPr>
        <w:t>不得泄漏招标投标活动中应当保密的情况和资料，不得与</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串通损害国家利益、社会公共利益或者他人合法权益，</w:t>
      </w:r>
      <w:r>
        <w:rPr>
          <w:rFonts w:ascii="宋体" w:hAnsi="宋体"/>
          <w:highlight w:val="none"/>
        </w:rPr>
        <w:t>禁止</w:t>
      </w:r>
      <w:r>
        <w:rPr>
          <w:rFonts w:hint="eastAsia" w:ascii="宋体" w:hAnsi="宋体"/>
          <w:highlight w:val="none"/>
          <w:lang w:eastAsia="zh-CN"/>
        </w:rPr>
        <w:t>比选人</w:t>
      </w:r>
      <w:r>
        <w:rPr>
          <w:rFonts w:ascii="宋体" w:hAnsi="宋体"/>
          <w:highlight w:val="none"/>
        </w:rPr>
        <w:t>与</w:t>
      </w:r>
      <w:r>
        <w:rPr>
          <w:rFonts w:hint="eastAsia" w:ascii="宋体" w:hAnsi="宋体"/>
          <w:highlight w:val="none"/>
          <w:lang w:eastAsia="zh-CN"/>
        </w:rPr>
        <w:t>比选申请人</w:t>
      </w:r>
      <w:r>
        <w:rPr>
          <w:rFonts w:ascii="宋体" w:hAnsi="宋体"/>
          <w:highlight w:val="none"/>
        </w:rPr>
        <w:t>串通投标。</w:t>
      </w:r>
    </w:p>
    <w:p w14:paraId="4A2D452A">
      <w:pPr>
        <w:autoSpaceDE w:val="0"/>
        <w:autoSpaceDN w:val="0"/>
        <w:adjustRightInd w:val="0"/>
        <w:snapToGrid w:val="0"/>
        <w:spacing w:line="360" w:lineRule="auto"/>
        <w:ind w:firstLine="420"/>
        <w:rPr>
          <w:rFonts w:ascii="宋体" w:hAnsi="宋体"/>
          <w:highlight w:val="none"/>
        </w:rPr>
      </w:pPr>
      <w:r>
        <w:rPr>
          <w:rFonts w:ascii="宋体" w:hAnsi="宋体"/>
          <w:highlight w:val="none"/>
        </w:rPr>
        <w:t>有下列情形之一的，属于</w:t>
      </w:r>
      <w:r>
        <w:rPr>
          <w:rFonts w:hint="eastAsia" w:ascii="宋体" w:hAnsi="宋体"/>
          <w:highlight w:val="none"/>
          <w:lang w:eastAsia="zh-CN"/>
        </w:rPr>
        <w:t>比选人</w:t>
      </w:r>
      <w:r>
        <w:rPr>
          <w:rFonts w:ascii="宋体" w:hAnsi="宋体"/>
          <w:highlight w:val="none"/>
        </w:rPr>
        <w:t>与</w:t>
      </w:r>
      <w:r>
        <w:rPr>
          <w:rFonts w:hint="eastAsia" w:ascii="宋体" w:hAnsi="宋体"/>
          <w:highlight w:val="none"/>
          <w:lang w:eastAsia="zh-CN"/>
        </w:rPr>
        <w:t>比选申请人</w:t>
      </w:r>
      <w:r>
        <w:rPr>
          <w:rFonts w:ascii="宋体" w:hAnsi="宋体"/>
          <w:highlight w:val="none"/>
        </w:rPr>
        <w:t>串通投标：</w:t>
      </w:r>
    </w:p>
    <w:p w14:paraId="060A95CA">
      <w:pPr>
        <w:autoSpaceDE w:val="0"/>
        <w:autoSpaceDN w:val="0"/>
        <w:adjustRightInd w:val="0"/>
        <w:snapToGrid w:val="0"/>
        <w:spacing w:line="360" w:lineRule="auto"/>
        <w:ind w:firstLine="420"/>
        <w:rPr>
          <w:rFonts w:ascii="宋体" w:hAnsi="宋体"/>
          <w:highlight w:val="none"/>
        </w:rPr>
      </w:pPr>
      <w:r>
        <w:rPr>
          <w:rFonts w:ascii="宋体" w:hAnsi="宋体"/>
          <w:highlight w:val="none"/>
        </w:rPr>
        <w:t>（1）</w:t>
      </w:r>
      <w:r>
        <w:rPr>
          <w:rFonts w:hint="eastAsia" w:ascii="宋体" w:hAnsi="宋体"/>
          <w:highlight w:val="none"/>
          <w:lang w:eastAsia="zh-CN"/>
        </w:rPr>
        <w:t>比选人</w:t>
      </w:r>
      <w:r>
        <w:rPr>
          <w:rFonts w:ascii="宋体" w:hAnsi="宋体"/>
          <w:highlight w:val="none"/>
        </w:rPr>
        <w:t>在开标前开启</w:t>
      </w:r>
      <w:r>
        <w:rPr>
          <w:rFonts w:hint="eastAsia" w:ascii="宋体" w:hAnsi="宋体"/>
          <w:highlight w:val="none"/>
          <w:lang w:eastAsia="zh-CN"/>
        </w:rPr>
        <w:t>比选申请文件</w:t>
      </w:r>
      <w:r>
        <w:rPr>
          <w:rFonts w:ascii="宋体" w:hAnsi="宋体"/>
          <w:highlight w:val="none"/>
        </w:rPr>
        <w:t>并将有关信息泄露给其他</w:t>
      </w:r>
      <w:r>
        <w:rPr>
          <w:rFonts w:hint="eastAsia" w:ascii="宋体" w:hAnsi="宋体"/>
          <w:highlight w:val="none"/>
          <w:lang w:eastAsia="zh-CN"/>
        </w:rPr>
        <w:t>比选申请人</w:t>
      </w:r>
      <w:r>
        <w:rPr>
          <w:rFonts w:hint="eastAsia" w:ascii="宋体" w:hAnsi="宋体"/>
          <w:highlight w:val="none"/>
        </w:rPr>
        <w:t>；</w:t>
      </w:r>
    </w:p>
    <w:p w14:paraId="46B7C0D8">
      <w:pPr>
        <w:autoSpaceDE w:val="0"/>
        <w:autoSpaceDN w:val="0"/>
        <w:adjustRightInd w:val="0"/>
        <w:snapToGrid w:val="0"/>
        <w:spacing w:line="360" w:lineRule="auto"/>
        <w:ind w:firstLine="420"/>
        <w:rPr>
          <w:rFonts w:ascii="宋体" w:hAnsi="宋体"/>
          <w:highlight w:val="none"/>
        </w:rPr>
      </w:pPr>
      <w:r>
        <w:rPr>
          <w:rFonts w:ascii="宋体" w:hAnsi="宋体"/>
          <w:highlight w:val="none"/>
        </w:rPr>
        <w:t>（2）</w:t>
      </w:r>
      <w:r>
        <w:rPr>
          <w:rFonts w:hint="eastAsia" w:ascii="宋体" w:hAnsi="宋体"/>
          <w:highlight w:val="none"/>
          <w:lang w:eastAsia="zh-CN"/>
        </w:rPr>
        <w:t>比选人</w:t>
      </w:r>
      <w:r>
        <w:rPr>
          <w:rFonts w:ascii="宋体" w:hAnsi="宋体"/>
          <w:highlight w:val="none"/>
        </w:rPr>
        <w:t>直接或者间接向</w:t>
      </w:r>
      <w:r>
        <w:rPr>
          <w:rFonts w:hint="eastAsia" w:ascii="宋体" w:hAnsi="宋体"/>
          <w:highlight w:val="none"/>
          <w:lang w:eastAsia="zh-CN"/>
        </w:rPr>
        <w:t>比选申请人</w:t>
      </w:r>
      <w:r>
        <w:rPr>
          <w:rFonts w:ascii="宋体" w:hAnsi="宋体"/>
          <w:highlight w:val="none"/>
        </w:rPr>
        <w:t>泄露标底、评标委员会成员等信息；</w:t>
      </w:r>
    </w:p>
    <w:p w14:paraId="25867078">
      <w:pPr>
        <w:autoSpaceDE w:val="0"/>
        <w:autoSpaceDN w:val="0"/>
        <w:adjustRightInd w:val="0"/>
        <w:snapToGrid w:val="0"/>
        <w:spacing w:line="360" w:lineRule="auto"/>
        <w:ind w:firstLine="420"/>
        <w:rPr>
          <w:rFonts w:ascii="宋体" w:hAnsi="宋体"/>
          <w:highlight w:val="none"/>
        </w:rPr>
      </w:pPr>
      <w:r>
        <w:rPr>
          <w:rFonts w:ascii="宋体" w:hAnsi="宋体"/>
          <w:highlight w:val="none"/>
        </w:rPr>
        <w:t>（3）</w:t>
      </w:r>
      <w:r>
        <w:rPr>
          <w:rFonts w:hint="eastAsia" w:ascii="宋体" w:hAnsi="宋体"/>
          <w:highlight w:val="none"/>
          <w:lang w:eastAsia="zh-CN"/>
        </w:rPr>
        <w:t>比选人</w:t>
      </w:r>
      <w:r>
        <w:rPr>
          <w:rFonts w:ascii="宋体" w:hAnsi="宋体"/>
          <w:highlight w:val="none"/>
        </w:rPr>
        <w:t>明示或者暗示</w:t>
      </w:r>
      <w:r>
        <w:rPr>
          <w:rFonts w:hint="eastAsia" w:ascii="宋体" w:hAnsi="宋体"/>
          <w:highlight w:val="none"/>
          <w:lang w:eastAsia="zh-CN"/>
        </w:rPr>
        <w:t>比选申请人</w:t>
      </w:r>
      <w:r>
        <w:rPr>
          <w:rFonts w:ascii="宋体" w:hAnsi="宋体"/>
          <w:highlight w:val="none"/>
        </w:rPr>
        <w:t>压低或者抬高投标报价；</w:t>
      </w:r>
    </w:p>
    <w:p w14:paraId="795B1A3B">
      <w:pPr>
        <w:autoSpaceDE w:val="0"/>
        <w:autoSpaceDN w:val="0"/>
        <w:adjustRightInd w:val="0"/>
        <w:snapToGrid w:val="0"/>
        <w:spacing w:line="360" w:lineRule="auto"/>
        <w:ind w:firstLine="420"/>
        <w:rPr>
          <w:rFonts w:ascii="宋体" w:hAnsi="宋体"/>
          <w:highlight w:val="none"/>
        </w:rPr>
      </w:pPr>
      <w:r>
        <w:rPr>
          <w:rFonts w:ascii="宋体" w:hAnsi="宋体"/>
          <w:highlight w:val="none"/>
        </w:rPr>
        <w:t>（4）</w:t>
      </w:r>
      <w:r>
        <w:rPr>
          <w:rFonts w:hint="eastAsia" w:ascii="宋体" w:hAnsi="宋体"/>
          <w:highlight w:val="none"/>
          <w:lang w:eastAsia="zh-CN"/>
        </w:rPr>
        <w:t>比选人</w:t>
      </w:r>
      <w:r>
        <w:rPr>
          <w:rFonts w:ascii="宋体" w:hAnsi="宋体"/>
          <w:highlight w:val="none"/>
        </w:rPr>
        <w:t>授意</w:t>
      </w:r>
      <w:r>
        <w:rPr>
          <w:rFonts w:hint="eastAsia" w:ascii="宋体" w:hAnsi="宋体"/>
          <w:highlight w:val="none"/>
          <w:lang w:eastAsia="zh-CN"/>
        </w:rPr>
        <w:t>比选申请人</w:t>
      </w:r>
      <w:r>
        <w:rPr>
          <w:rFonts w:ascii="宋体" w:hAnsi="宋体"/>
          <w:highlight w:val="none"/>
        </w:rPr>
        <w:t>撤换、修改</w:t>
      </w:r>
      <w:r>
        <w:rPr>
          <w:rFonts w:hint="eastAsia" w:ascii="宋体" w:hAnsi="宋体"/>
          <w:highlight w:val="none"/>
          <w:lang w:eastAsia="zh-CN"/>
        </w:rPr>
        <w:t>比选申请文件</w:t>
      </w:r>
      <w:r>
        <w:rPr>
          <w:rFonts w:ascii="宋体" w:hAnsi="宋体"/>
          <w:highlight w:val="none"/>
        </w:rPr>
        <w:t>；</w:t>
      </w:r>
    </w:p>
    <w:p w14:paraId="676EE1B5">
      <w:pPr>
        <w:autoSpaceDE w:val="0"/>
        <w:autoSpaceDN w:val="0"/>
        <w:adjustRightInd w:val="0"/>
        <w:snapToGrid w:val="0"/>
        <w:spacing w:line="360" w:lineRule="auto"/>
        <w:ind w:firstLine="420"/>
        <w:rPr>
          <w:rFonts w:ascii="宋体" w:hAnsi="宋体"/>
          <w:highlight w:val="none"/>
        </w:rPr>
      </w:pPr>
      <w:r>
        <w:rPr>
          <w:rFonts w:ascii="宋体" w:hAnsi="宋体"/>
          <w:highlight w:val="none"/>
        </w:rPr>
        <w:t>（5）</w:t>
      </w:r>
      <w:r>
        <w:rPr>
          <w:rFonts w:hint="eastAsia" w:ascii="宋体" w:hAnsi="宋体"/>
          <w:highlight w:val="none"/>
          <w:lang w:eastAsia="zh-CN"/>
        </w:rPr>
        <w:t>比选人</w:t>
      </w:r>
      <w:r>
        <w:rPr>
          <w:rFonts w:ascii="宋体" w:hAnsi="宋体"/>
          <w:highlight w:val="none"/>
        </w:rPr>
        <w:t>明示或者暗示</w:t>
      </w:r>
      <w:r>
        <w:rPr>
          <w:rFonts w:hint="eastAsia" w:ascii="宋体" w:hAnsi="宋体"/>
          <w:highlight w:val="none"/>
          <w:lang w:eastAsia="zh-CN"/>
        </w:rPr>
        <w:t>比选申请人</w:t>
      </w:r>
      <w:r>
        <w:rPr>
          <w:rFonts w:ascii="宋体" w:hAnsi="宋体"/>
          <w:highlight w:val="none"/>
        </w:rPr>
        <w:t>为特定</w:t>
      </w:r>
      <w:r>
        <w:rPr>
          <w:rFonts w:hint="eastAsia" w:ascii="宋体" w:hAnsi="宋体"/>
          <w:highlight w:val="none"/>
          <w:lang w:eastAsia="zh-CN"/>
        </w:rPr>
        <w:t>比选申请人</w:t>
      </w:r>
      <w:r>
        <w:rPr>
          <w:rFonts w:ascii="宋体" w:hAnsi="宋体"/>
          <w:highlight w:val="none"/>
        </w:rPr>
        <w:t>中标提供方便；</w:t>
      </w:r>
    </w:p>
    <w:p w14:paraId="468BF8FD">
      <w:pPr>
        <w:autoSpaceDE w:val="0"/>
        <w:autoSpaceDN w:val="0"/>
        <w:adjustRightInd w:val="0"/>
        <w:snapToGrid w:val="0"/>
        <w:spacing w:line="360" w:lineRule="auto"/>
        <w:ind w:firstLine="420"/>
        <w:rPr>
          <w:rFonts w:ascii="宋体" w:hAnsi="宋体"/>
          <w:snapToGrid w:val="0"/>
          <w:kern w:val="0"/>
          <w:szCs w:val="21"/>
          <w:highlight w:val="none"/>
        </w:rPr>
      </w:pPr>
      <w:r>
        <w:rPr>
          <w:rFonts w:ascii="宋体" w:hAnsi="宋体"/>
          <w:highlight w:val="none"/>
        </w:rPr>
        <w:t>（6）</w:t>
      </w:r>
      <w:r>
        <w:rPr>
          <w:rFonts w:hint="eastAsia" w:ascii="宋体" w:hAnsi="宋体"/>
          <w:highlight w:val="none"/>
          <w:lang w:eastAsia="zh-CN"/>
        </w:rPr>
        <w:t>比选人</w:t>
      </w:r>
      <w:r>
        <w:rPr>
          <w:rFonts w:ascii="宋体" w:hAnsi="宋体"/>
          <w:highlight w:val="none"/>
        </w:rPr>
        <w:t>与</w:t>
      </w:r>
      <w:r>
        <w:rPr>
          <w:rFonts w:hint="eastAsia" w:ascii="宋体" w:hAnsi="宋体"/>
          <w:highlight w:val="none"/>
          <w:lang w:eastAsia="zh-CN"/>
        </w:rPr>
        <w:t>比选申请人</w:t>
      </w:r>
      <w:r>
        <w:rPr>
          <w:rFonts w:ascii="宋体" w:hAnsi="宋体"/>
          <w:highlight w:val="none"/>
        </w:rPr>
        <w:t>为谋求特定</w:t>
      </w:r>
      <w:r>
        <w:rPr>
          <w:rFonts w:hint="eastAsia" w:ascii="宋体" w:hAnsi="宋体"/>
          <w:highlight w:val="none"/>
          <w:lang w:eastAsia="zh-CN"/>
        </w:rPr>
        <w:t>比选申请人</w:t>
      </w:r>
      <w:r>
        <w:rPr>
          <w:rFonts w:ascii="宋体" w:hAnsi="宋体"/>
          <w:highlight w:val="none"/>
        </w:rPr>
        <w:t>中标而采取的其他串通行为。</w:t>
      </w:r>
    </w:p>
    <w:p w14:paraId="3342B1CC">
      <w:pPr>
        <w:pStyle w:val="5"/>
        <w:snapToGrid w:val="0"/>
        <w:spacing w:before="0" w:after="0" w:line="360" w:lineRule="auto"/>
        <w:ind w:firstLine="0" w:firstLineChars="0"/>
        <w:rPr>
          <w:rFonts w:ascii="宋体" w:hAnsi="宋体"/>
          <w:b w:val="0"/>
          <w:snapToGrid w:val="0"/>
          <w:sz w:val="24"/>
          <w:szCs w:val="24"/>
          <w:highlight w:val="none"/>
        </w:rPr>
      </w:pPr>
      <w:bookmarkStart w:id="517" w:name="_Toc16537"/>
      <w:bookmarkStart w:id="518" w:name="_Toc224103365"/>
      <w:bookmarkStart w:id="519" w:name="_Toc430530483"/>
      <w:bookmarkStart w:id="520" w:name="_Toc287620733"/>
      <w:bookmarkStart w:id="521" w:name="_Toc4816"/>
      <w:bookmarkStart w:id="522" w:name="_Toc200513174"/>
      <w:bookmarkStart w:id="523" w:name="_Toc509218758"/>
      <w:bookmarkStart w:id="524" w:name="_Toc287607794"/>
      <w:bookmarkStart w:id="525" w:name="_Toc277082600"/>
      <w:r>
        <w:rPr>
          <w:rFonts w:ascii="宋体" w:hAnsi="宋体"/>
          <w:b w:val="0"/>
          <w:snapToGrid w:val="0"/>
          <w:sz w:val="24"/>
          <w:szCs w:val="24"/>
          <w:highlight w:val="none"/>
        </w:rPr>
        <w:t>9.2  对</w:t>
      </w:r>
      <w:r>
        <w:rPr>
          <w:rFonts w:hint="eastAsia" w:ascii="宋体" w:hAnsi="宋体"/>
          <w:b w:val="0"/>
          <w:snapToGrid w:val="0"/>
          <w:sz w:val="24"/>
          <w:szCs w:val="24"/>
          <w:highlight w:val="none"/>
          <w:lang w:eastAsia="zh-CN"/>
        </w:rPr>
        <w:t>比选申请人</w:t>
      </w:r>
      <w:r>
        <w:rPr>
          <w:rFonts w:ascii="宋体" w:hAnsi="宋体"/>
          <w:b w:val="0"/>
          <w:snapToGrid w:val="0"/>
          <w:sz w:val="24"/>
          <w:szCs w:val="24"/>
          <w:highlight w:val="none"/>
        </w:rPr>
        <w:t>的纪律要求</w:t>
      </w:r>
      <w:bookmarkEnd w:id="517"/>
      <w:bookmarkEnd w:id="518"/>
      <w:bookmarkEnd w:id="519"/>
      <w:bookmarkEnd w:id="520"/>
      <w:bookmarkEnd w:id="521"/>
      <w:bookmarkEnd w:id="522"/>
      <w:bookmarkEnd w:id="523"/>
      <w:bookmarkEnd w:id="524"/>
      <w:bookmarkEnd w:id="525"/>
    </w:p>
    <w:p w14:paraId="48675AC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不得相互串通投标或者与</w:t>
      </w:r>
      <w:r>
        <w:rPr>
          <w:rFonts w:hint="eastAsia" w:ascii="宋体" w:hAnsi="宋体"/>
          <w:snapToGrid w:val="0"/>
          <w:kern w:val="0"/>
          <w:szCs w:val="21"/>
          <w:highlight w:val="none"/>
          <w:lang w:eastAsia="zh-CN"/>
        </w:rPr>
        <w:t>比选人</w:t>
      </w:r>
      <w:r>
        <w:rPr>
          <w:rFonts w:ascii="宋体" w:hAnsi="宋体"/>
          <w:snapToGrid w:val="0"/>
          <w:kern w:val="0"/>
          <w:szCs w:val="21"/>
          <w:highlight w:val="none"/>
        </w:rPr>
        <w:t>串通投标，不得向</w:t>
      </w:r>
      <w:r>
        <w:rPr>
          <w:rFonts w:hint="eastAsia" w:ascii="宋体" w:hAnsi="宋体"/>
          <w:snapToGrid w:val="0"/>
          <w:kern w:val="0"/>
          <w:szCs w:val="21"/>
          <w:highlight w:val="none"/>
          <w:lang w:eastAsia="zh-CN"/>
        </w:rPr>
        <w:t>比选人</w:t>
      </w:r>
      <w:r>
        <w:rPr>
          <w:rFonts w:ascii="宋体" w:hAnsi="宋体"/>
          <w:snapToGrid w:val="0"/>
          <w:kern w:val="0"/>
          <w:szCs w:val="21"/>
          <w:highlight w:val="none"/>
        </w:rPr>
        <w:t>或者评标委员会成员行贿谋取中标，不得以他人名义投标或者以其他方式弄虚作假骗取中标；</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不得以任何方式干扰、影响评标工作。</w:t>
      </w:r>
    </w:p>
    <w:p w14:paraId="173E184E">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hint="eastAsia" w:ascii="宋体" w:hAnsi="宋体"/>
          <w:snapToGrid w:val="0"/>
          <w:kern w:val="0"/>
          <w:szCs w:val="21"/>
          <w:highlight w:val="none"/>
        </w:rPr>
        <w:t xml:space="preserve">9.2.1  </w:t>
      </w:r>
      <w:r>
        <w:rPr>
          <w:rFonts w:ascii="宋体" w:hAnsi="宋体"/>
          <w:highlight w:val="none"/>
        </w:rPr>
        <w:t>有下列情形之一的，属于</w:t>
      </w:r>
      <w:r>
        <w:rPr>
          <w:rFonts w:hint="eastAsia" w:ascii="宋体" w:hAnsi="宋体"/>
          <w:highlight w:val="none"/>
          <w:lang w:eastAsia="zh-CN"/>
        </w:rPr>
        <w:t>比选申请人</w:t>
      </w:r>
      <w:r>
        <w:rPr>
          <w:rFonts w:ascii="宋体" w:hAnsi="宋体"/>
          <w:highlight w:val="none"/>
        </w:rPr>
        <w:t>相互串通投标：</w:t>
      </w:r>
    </w:p>
    <w:p w14:paraId="0FDACCBD">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（1）</w:t>
      </w:r>
      <w:r>
        <w:rPr>
          <w:rFonts w:hint="eastAsia" w:ascii="宋体" w:hAnsi="宋体"/>
          <w:highlight w:val="none"/>
          <w:lang w:eastAsia="zh-CN"/>
        </w:rPr>
        <w:t>比选申请人</w:t>
      </w:r>
      <w:r>
        <w:rPr>
          <w:rFonts w:hint="eastAsia" w:ascii="宋体" w:hAnsi="宋体"/>
          <w:highlight w:val="none"/>
        </w:rPr>
        <w:t>之间协商投标报价等</w:t>
      </w:r>
      <w:r>
        <w:rPr>
          <w:rFonts w:hint="eastAsia" w:ascii="宋体" w:hAnsi="宋体"/>
          <w:highlight w:val="none"/>
          <w:lang w:eastAsia="zh-CN"/>
        </w:rPr>
        <w:t>比选申请文件</w:t>
      </w:r>
      <w:r>
        <w:rPr>
          <w:rFonts w:hint="eastAsia" w:ascii="宋体" w:hAnsi="宋体"/>
          <w:highlight w:val="none"/>
        </w:rPr>
        <w:t>的实质性内容</w:t>
      </w:r>
      <w:r>
        <w:rPr>
          <w:rFonts w:ascii="宋体" w:hAnsi="宋体"/>
          <w:highlight w:val="none"/>
        </w:rPr>
        <w:t>；</w:t>
      </w:r>
    </w:p>
    <w:p w14:paraId="69AF2DEA">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（2）</w:t>
      </w:r>
      <w:r>
        <w:rPr>
          <w:rFonts w:hint="eastAsia" w:ascii="宋体" w:hAnsi="宋体"/>
          <w:highlight w:val="none"/>
          <w:lang w:eastAsia="zh-CN"/>
        </w:rPr>
        <w:t>比选申请人</w:t>
      </w:r>
      <w:r>
        <w:rPr>
          <w:rFonts w:ascii="宋体" w:hAnsi="宋体"/>
          <w:highlight w:val="none"/>
        </w:rPr>
        <w:t>之间约定中标人；</w:t>
      </w:r>
    </w:p>
    <w:p w14:paraId="43E19E0A">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（3）</w:t>
      </w:r>
      <w:r>
        <w:rPr>
          <w:rFonts w:hint="eastAsia" w:ascii="宋体" w:hAnsi="宋体"/>
          <w:highlight w:val="none"/>
          <w:lang w:eastAsia="zh-CN"/>
        </w:rPr>
        <w:t>比选申请人</w:t>
      </w:r>
      <w:r>
        <w:rPr>
          <w:rFonts w:ascii="宋体" w:hAnsi="宋体"/>
          <w:highlight w:val="none"/>
        </w:rPr>
        <w:t>之间约定部分</w:t>
      </w:r>
      <w:r>
        <w:rPr>
          <w:rFonts w:hint="eastAsia" w:ascii="宋体" w:hAnsi="宋体"/>
          <w:highlight w:val="none"/>
          <w:lang w:eastAsia="zh-CN"/>
        </w:rPr>
        <w:t>比选申请人</w:t>
      </w:r>
      <w:r>
        <w:rPr>
          <w:rFonts w:ascii="宋体" w:hAnsi="宋体"/>
          <w:highlight w:val="none"/>
        </w:rPr>
        <w:t>放弃投标或者中标；</w:t>
      </w:r>
    </w:p>
    <w:p w14:paraId="2859F587">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（4）属于同一集团、协会、商会等组织成员的</w:t>
      </w:r>
      <w:r>
        <w:rPr>
          <w:rFonts w:hint="eastAsia" w:ascii="宋体" w:hAnsi="宋体"/>
          <w:highlight w:val="none"/>
          <w:lang w:eastAsia="zh-CN"/>
        </w:rPr>
        <w:t>比选申请人</w:t>
      </w:r>
      <w:r>
        <w:rPr>
          <w:rFonts w:ascii="宋体" w:hAnsi="宋体"/>
          <w:highlight w:val="none"/>
        </w:rPr>
        <w:t>按照该组织要求协同投标；</w:t>
      </w:r>
    </w:p>
    <w:p w14:paraId="2B569748">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（5）</w:t>
      </w:r>
      <w:r>
        <w:rPr>
          <w:rFonts w:hint="eastAsia" w:ascii="宋体" w:hAnsi="宋体"/>
          <w:highlight w:val="none"/>
          <w:lang w:eastAsia="zh-CN"/>
        </w:rPr>
        <w:t>比选申请人</w:t>
      </w:r>
      <w:r>
        <w:rPr>
          <w:rFonts w:ascii="宋体" w:hAnsi="宋体"/>
          <w:highlight w:val="none"/>
        </w:rPr>
        <w:t>之间为谋取中标或者排斥特定</w:t>
      </w:r>
      <w:r>
        <w:rPr>
          <w:rFonts w:hint="eastAsia" w:ascii="宋体" w:hAnsi="宋体"/>
          <w:highlight w:val="none"/>
          <w:lang w:eastAsia="zh-CN"/>
        </w:rPr>
        <w:t>比选申请人</w:t>
      </w:r>
      <w:r>
        <w:rPr>
          <w:rFonts w:ascii="宋体" w:hAnsi="宋体"/>
          <w:highlight w:val="none"/>
        </w:rPr>
        <w:t>而采取的其他联合行动。</w:t>
      </w:r>
    </w:p>
    <w:p w14:paraId="0486E5AC">
      <w:pPr>
        <w:autoSpaceDE w:val="0"/>
        <w:autoSpaceDN w:val="0"/>
        <w:adjustRightInd w:val="0"/>
        <w:snapToGrid w:val="0"/>
        <w:spacing w:line="360" w:lineRule="auto"/>
        <w:ind w:firstLine="420" w:firstLineChars="200"/>
        <w:rPr>
          <w:rFonts w:ascii="宋体" w:hAnsi="宋体"/>
          <w:highlight w:val="none"/>
        </w:rPr>
      </w:pPr>
      <w:r>
        <w:rPr>
          <w:rFonts w:hint="eastAsia" w:ascii="宋体" w:hAnsi="宋体"/>
          <w:highlight w:val="none"/>
        </w:rPr>
        <w:t xml:space="preserve">9.2.2  </w:t>
      </w:r>
      <w:r>
        <w:rPr>
          <w:rFonts w:ascii="宋体" w:hAnsi="宋体"/>
          <w:highlight w:val="none"/>
        </w:rPr>
        <w:t>有下列情形之一的，视为</w:t>
      </w:r>
      <w:r>
        <w:rPr>
          <w:rFonts w:hint="eastAsia" w:ascii="宋体" w:hAnsi="宋体"/>
          <w:highlight w:val="none"/>
          <w:lang w:eastAsia="zh-CN"/>
        </w:rPr>
        <w:t>比选申请人</w:t>
      </w:r>
      <w:r>
        <w:rPr>
          <w:rFonts w:ascii="宋体" w:hAnsi="宋体"/>
          <w:highlight w:val="none"/>
        </w:rPr>
        <w:t>相互串通投标：</w:t>
      </w:r>
    </w:p>
    <w:p w14:paraId="4CE02619">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1</w:t>
      </w:r>
      <w:r>
        <w:rPr>
          <w:rFonts w:hint="eastAsia" w:ascii="宋体" w:hAnsi="宋体"/>
          <w:highlight w:val="none"/>
        </w:rPr>
        <w:t>）不同</w:t>
      </w:r>
      <w:r>
        <w:rPr>
          <w:rFonts w:hint="eastAsia" w:ascii="宋体" w:hAnsi="宋体"/>
          <w:highlight w:val="none"/>
          <w:lang w:eastAsia="zh-CN"/>
        </w:rPr>
        <w:t>比选申请人</w:t>
      </w:r>
      <w:r>
        <w:rPr>
          <w:rFonts w:hint="eastAsia" w:ascii="宋体" w:hAnsi="宋体"/>
          <w:highlight w:val="none"/>
        </w:rPr>
        <w:t>的电子</w:t>
      </w:r>
      <w:r>
        <w:rPr>
          <w:rFonts w:hint="eastAsia" w:ascii="宋体" w:hAnsi="宋体"/>
          <w:highlight w:val="none"/>
          <w:lang w:eastAsia="zh-CN"/>
        </w:rPr>
        <w:t>比选申请文件</w:t>
      </w:r>
      <w:r>
        <w:rPr>
          <w:rFonts w:hint="eastAsia" w:ascii="宋体" w:hAnsi="宋体"/>
          <w:highlight w:val="none"/>
        </w:rPr>
        <w:t>由同一台电子设备编制、打包、加密或者上传；</w:t>
      </w:r>
    </w:p>
    <w:p w14:paraId="2ABE4D53">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2</w:t>
      </w:r>
      <w:r>
        <w:rPr>
          <w:rFonts w:hint="eastAsia" w:ascii="宋体" w:hAnsi="宋体"/>
          <w:highlight w:val="none"/>
        </w:rPr>
        <w:t>）不同</w:t>
      </w:r>
      <w:r>
        <w:rPr>
          <w:rFonts w:hint="eastAsia" w:ascii="宋体" w:hAnsi="宋体"/>
          <w:highlight w:val="none"/>
          <w:lang w:eastAsia="zh-CN"/>
        </w:rPr>
        <w:t>比选申请人</w:t>
      </w:r>
      <w:r>
        <w:rPr>
          <w:rFonts w:hint="eastAsia" w:ascii="宋体" w:hAnsi="宋体"/>
          <w:highlight w:val="none"/>
        </w:rPr>
        <w:t>的</w:t>
      </w:r>
      <w:r>
        <w:rPr>
          <w:rFonts w:hint="eastAsia" w:ascii="宋体" w:hAnsi="宋体"/>
          <w:highlight w:val="none"/>
          <w:lang w:eastAsia="zh-CN"/>
        </w:rPr>
        <w:t>比选申请文件</w:t>
      </w:r>
      <w:r>
        <w:rPr>
          <w:rFonts w:hint="eastAsia" w:ascii="宋体" w:hAnsi="宋体"/>
          <w:highlight w:val="none"/>
        </w:rPr>
        <w:t>由同一</w:t>
      </w:r>
      <w:r>
        <w:rPr>
          <w:rFonts w:hint="eastAsia" w:ascii="宋体" w:hAnsi="宋体"/>
          <w:highlight w:val="none"/>
          <w:lang w:eastAsia="zh-CN"/>
        </w:rPr>
        <w:t>比选申请人</w:t>
      </w:r>
      <w:r>
        <w:rPr>
          <w:rFonts w:hint="eastAsia" w:ascii="宋体" w:hAnsi="宋体"/>
          <w:highlight w:val="none"/>
        </w:rPr>
        <w:t>的电子设备打印、复印；</w:t>
      </w:r>
    </w:p>
    <w:p w14:paraId="0D1B5B65">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3</w:t>
      </w:r>
      <w:r>
        <w:rPr>
          <w:rFonts w:hint="eastAsia" w:ascii="宋体" w:hAnsi="宋体"/>
          <w:highlight w:val="none"/>
        </w:rPr>
        <w:t>）不同</w:t>
      </w:r>
      <w:r>
        <w:rPr>
          <w:rFonts w:hint="eastAsia" w:ascii="宋体" w:hAnsi="宋体"/>
          <w:highlight w:val="none"/>
          <w:lang w:eastAsia="zh-CN"/>
        </w:rPr>
        <w:t>比选申请人</w:t>
      </w:r>
      <w:r>
        <w:rPr>
          <w:rFonts w:hint="eastAsia" w:ascii="宋体" w:hAnsi="宋体"/>
          <w:highlight w:val="none"/>
        </w:rPr>
        <w:t>的投标报价用同一个预算编制软件密码锁制作或者出自同一</w:t>
      </w:r>
      <w:r>
        <w:rPr>
          <w:rFonts w:hint="eastAsia" w:ascii="宋体" w:hAnsi="宋体"/>
          <w:highlight w:val="none"/>
          <w:lang w:eastAsia="zh-CN"/>
        </w:rPr>
        <w:t>比选申请人</w:t>
      </w:r>
      <w:r>
        <w:rPr>
          <w:rFonts w:hint="eastAsia" w:ascii="宋体" w:hAnsi="宋体"/>
          <w:highlight w:val="none"/>
        </w:rPr>
        <w:t>的电子文档；</w:t>
      </w:r>
    </w:p>
    <w:p w14:paraId="25DC5CC2">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4</w:t>
      </w:r>
      <w:r>
        <w:rPr>
          <w:rFonts w:hint="eastAsia" w:ascii="宋体" w:hAnsi="宋体"/>
          <w:highlight w:val="none"/>
        </w:rPr>
        <w:t>）不同</w:t>
      </w:r>
      <w:r>
        <w:rPr>
          <w:rFonts w:hint="eastAsia" w:ascii="宋体" w:hAnsi="宋体"/>
          <w:highlight w:val="none"/>
          <w:lang w:eastAsia="zh-CN"/>
        </w:rPr>
        <w:t>比选申请人</w:t>
      </w:r>
      <w:r>
        <w:rPr>
          <w:rFonts w:hint="eastAsia" w:ascii="宋体" w:hAnsi="宋体"/>
          <w:highlight w:val="none"/>
        </w:rPr>
        <w:t>从同一个投标单位或者同一个自然人的互联网协议地址下载</w:t>
      </w:r>
      <w:r>
        <w:rPr>
          <w:rFonts w:hint="eastAsia" w:ascii="宋体" w:hAnsi="宋体"/>
          <w:highlight w:val="none"/>
          <w:lang w:eastAsia="zh-CN"/>
        </w:rPr>
        <w:t>竞争性比选文件</w:t>
      </w:r>
      <w:r>
        <w:rPr>
          <w:rFonts w:hint="eastAsia" w:ascii="宋体" w:hAnsi="宋体"/>
          <w:highlight w:val="none"/>
        </w:rPr>
        <w:t>、上传</w:t>
      </w:r>
      <w:r>
        <w:rPr>
          <w:rFonts w:hint="eastAsia" w:ascii="宋体" w:hAnsi="宋体"/>
          <w:highlight w:val="none"/>
          <w:lang w:eastAsia="zh-CN"/>
        </w:rPr>
        <w:t>比选申请文件</w:t>
      </w:r>
      <w:r>
        <w:rPr>
          <w:rFonts w:hint="eastAsia" w:ascii="宋体" w:hAnsi="宋体"/>
          <w:highlight w:val="none"/>
        </w:rPr>
        <w:t>；</w:t>
      </w:r>
    </w:p>
    <w:p w14:paraId="3576BC9D">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5</w:t>
      </w:r>
      <w:r>
        <w:rPr>
          <w:rFonts w:hint="eastAsia" w:ascii="宋体" w:hAnsi="宋体"/>
          <w:highlight w:val="none"/>
        </w:rPr>
        <w:t>）不同</w:t>
      </w:r>
      <w:r>
        <w:rPr>
          <w:rFonts w:hint="eastAsia" w:ascii="宋体" w:hAnsi="宋体"/>
          <w:highlight w:val="none"/>
          <w:lang w:eastAsia="zh-CN"/>
        </w:rPr>
        <w:t>比选申请人</w:t>
      </w:r>
      <w:r>
        <w:rPr>
          <w:rFonts w:hint="eastAsia" w:ascii="宋体" w:hAnsi="宋体"/>
          <w:highlight w:val="none"/>
        </w:rPr>
        <w:t>的投标保证金虽然经由</w:t>
      </w:r>
      <w:r>
        <w:rPr>
          <w:rFonts w:hint="eastAsia" w:ascii="宋体" w:hAnsi="宋体"/>
          <w:highlight w:val="none"/>
          <w:lang w:eastAsia="zh-CN"/>
        </w:rPr>
        <w:t>比选申请人</w:t>
      </w:r>
      <w:r>
        <w:rPr>
          <w:rFonts w:hint="eastAsia" w:ascii="宋体" w:hAnsi="宋体"/>
          <w:highlight w:val="none"/>
        </w:rPr>
        <w:t>自己的基本账户转出，但所需资金来自同一单位或者个人的账户；</w:t>
      </w:r>
    </w:p>
    <w:p w14:paraId="76B0CF74">
      <w:pPr>
        <w:autoSpaceDE w:val="0"/>
        <w:autoSpaceDN w:val="0"/>
        <w:adjustRightInd w:val="0"/>
        <w:snapToGrid w:val="0"/>
        <w:spacing w:line="360" w:lineRule="auto"/>
        <w:ind w:firstLine="420" w:firstLineChars="200"/>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6</w:t>
      </w:r>
      <w:r>
        <w:rPr>
          <w:rFonts w:hint="eastAsia" w:ascii="宋体" w:hAnsi="宋体"/>
          <w:highlight w:val="none"/>
        </w:rPr>
        <w:t>）参加投标活动的人员为同一标段或者未划分标段的同一招标项目的其他</w:t>
      </w:r>
      <w:r>
        <w:rPr>
          <w:rFonts w:hint="eastAsia" w:ascii="宋体" w:hAnsi="宋体"/>
          <w:highlight w:val="none"/>
          <w:lang w:eastAsia="zh-CN"/>
        </w:rPr>
        <w:t>比选申请人</w:t>
      </w:r>
      <w:r>
        <w:rPr>
          <w:rFonts w:hint="eastAsia" w:ascii="宋体" w:hAnsi="宋体"/>
          <w:highlight w:val="none"/>
        </w:rPr>
        <w:t>的在职人员；</w:t>
      </w:r>
    </w:p>
    <w:p w14:paraId="6E64427E">
      <w:pPr>
        <w:autoSpaceDE w:val="0"/>
        <w:autoSpaceDN w:val="0"/>
        <w:adjustRightInd w:val="0"/>
        <w:snapToGrid w:val="0"/>
        <w:spacing w:line="360" w:lineRule="auto"/>
        <w:ind w:firstLine="420" w:firstLineChars="200"/>
        <w:rPr>
          <w:rFonts w:ascii="宋体" w:hAnsi="宋体"/>
          <w:highlight w:val="none"/>
        </w:rPr>
      </w:pPr>
      <w:r>
        <w:rPr>
          <w:rFonts w:hint="eastAsia" w:ascii="宋体" w:hAnsi="宋体"/>
          <w:highlight w:val="none"/>
        </w:rPr>
        <w:t>（</w:t>
      </w:r>
      <w:r>
        <w:rPr>
          <w:rFonts w:hint="eastAsia" w:ascii="宋体" w:hAnsi="宋体"/>
          <w:highlight w:val="none"/>
          <w:lang w:val="en-US" w:eastAsia="zh-CN"/>
        </w:rPr>
        <w:t>7</w:t>
      </w:r>
      <w:r>
        <w:rPr>
          <w:rFonts w:hint="eastAsia" w:ascii="宋体" w:hAnsi="宋体"/>
          <w:highlight w:val="none"/>
        </w:rPr>
        <w:t>）法律、法规规定的其他情形。</w:t>
      </w:r>
    </w:p>
    <w:p w14:paraId="7794E34E">
      <w:pPr>
        <w:autoSpaceDE w:val="0"/>
        <w:autoSpaceDN w:val="0"/>
        <w:adjustRightInd w:val="0"/>
        <w:snapToGrid w:val="0"/>
        <w:spacing w:line="360" w:lineRule="auto"/>
        <w:ind w:firstLine="420" w:firstLineChars="200"/>
        <w:rPr>
          <w:rFonts w:ascii="宋体" w:hAnsi="宋体"/>
          <w:highlight w:val="none"/>
        </w:rPr>
      </w:pPr>
      <w:r>
        <w:rPr>
          <w:rFonts w:hint="eastAsia" w:ascii="宋体" w:hAnsi="宋体"/>
          <w:highlight w:val="none"/>
        </w:rPr>
        <w:t xml:space="preserve">9.2.3  </w:t>
      </w:r>
      <w:r>
        <w:rPr>
          <w:rFonts w:ascii="宋体" w:hAnsi="宋体"/>
          <w:highlight w:val="none"/>
        </w:rPr>
        <w:t>使用通过受让或者租借等方式获取的资格、资质证书投标的，属于以他人名义投标。</w:t>
      </w:r>
    </w:p>
    <w:p w14:paraId="3DE5F4BD">
      <w:pPr>
        <w:autoSpaceDE w:val="0"/>
        <w:autoSpaceDN w:val="0"/>
        <w:adjustRightInd w:val="0"/>
        <w:snapToGrid w:val="0"/>
        <w:spacing w:line="360" w:lineRule="auto"/>
        <w:ind w:firstLine="420" w:firstLineChars="200"/>
        <w:rPr>
          <w:rFonts w:ascii="宋体" w:hAnsi="宋体"/>
          <w:highlight w:val="none"/>
        </w:rPr>
      </w:pPr>
      <w:r>
        <w:rPr>
          <w:rFonts w:hint="eastAsia" w:ascii="宋体" w:hAnsi="宋体"/>
          <w:highlight w:val="none"/>
        </w:rPr>
        <w:t xml:space="preserve">9.2.4  </w:t>
      </w:r>
      <w:r>
        <w:rPr>
          <w:rFonts w:hint="eastAsia" w:ascii="宋体" w:hAnsi="宋体"/>
          <w:highlight w:val="none"/>
          <w:lang w:eastAsia="zh-CN"/>
        </w:rPr>
        <w:t>比选申请人</w:t>
      </w:r>
      <w:r>
        <w:rPr>
          <w:rFonts w:ascii="宋体" w:hAnsi="宋体"/>
          <w:highlight w:val="none"/>
        </w:rPr>
        <w:t>有下列情形之一的，属于以其他方式弄虚作假的行为：</w:t>
      </w:r>
    </w:p>
    <w:p w14:paraId="394B5041">
      <w:pPr>
        <w:autoSpaceDE w:val="0"/>
        <w:autoSpaceDN w:val="0"/>
        <w:adjustRightInd w:val="0"/>
        <w:snapToGrid w:val="0"/>
        <w:spacing w:line="360" w:lineRule="auto"/>
        <w:ind w:firstLine="420" w:firstLineChars="200"/>
        <w:rPr>
          <w:rFonts w:ascii="宋体" w:hAnsi="宋体"/>
          <w:highlight w:val="none"/>
        </w:rPr>
      </w:pPr>
      <w:r>
        <w:rPr>
          <w:rFonts w:hint="eastAsia" w:ascii="宋体" w:hAnsi="宋体"/>
          <w:highlight w:val="none"/>
        </w:rPr>
        <w:t>（1）</w:t>
      </w:r>
      <w:r>
        <w:rPr>
          <w:rFonts w:ascii="宋体" w:hAnsi="宋体"/>
          <w:highlight w:val="none"/>
        </w:rPr>
        <w:t>使用伪造、变造的许可证件；</w:t>
      </w:r>
    </w:p>
    <w:p w14:paraId="11243415">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rPr>
        <w:t>2</w:t>
      </w:r>
      <w:r>
        <w:rPr>
          <w:rFonts w:ascii="宋体" w:hAnsi="宋体"/>
          <w:highlight w:val="none"/>
        </w:rPr>
        <w:t>）提供虚假的财务状况或者业绩；</w:t>
      </w:r>
    </w:p>
    <w:p w14:paraId="7F10A59B">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rPr>
        <w:t>3</w:t>
      </w:r>
      <w:r>
        <w:rPr>
          <w:rFonts w:ascii="宋体" w:hAnsi="宋体"/>
          <w:highlight w:val="none"/>
        </w:rPr>
        <w:t>）提供虚假的项目负责人或者主要技术人员简历、劳动关系证明；</w:t>
      </w:r>
    </w:p>
    <w:p w14:paraId="15CC3780">
      <w:pPr>
        <w:autoSpaceDE w:val="0"/>
        <w:autoSpaceDN w:val="0"/>
        <w:adjustRightInd w:val="0"/>
        <w:snapToGrid w:val="0"/>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rPr>
        <w:t>4</w:t>
      </w:r>
      <w:r>
        <w:rPr>
          <w:rFonts w:ascii="宋体" w:hAnsi="宋体"/>
          <w:highlight w:val="none"/>
        </w:rPr>
        <w:t>）提供虚假的信用状况；</w:t>
      </w:r>
    </w:p>
    <w:p w14:paraId="1D425444">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highlight w:val="none"/>
        </w:rPr>
        <w:t>（</w:t>
      </w:r>
      <w:r>
        <w:rPr>
          <w:rFonts w:hint="eastAsia" w:ascii="宋体" w:hAnsi="宋体"/>
          <w:highlight w:val="none"/>
        </w:rPr>
        <w:t>5</w:t>
      </w:r>
      <w:r>
        <w:rPr>
          <w:rFonts w:ascii="宋体" w:hAnsi="宋体"/>
          <w:highlight w:val="none"/>
        </w:rPr>
        <w:t>）其他弄虚作假的行为。</w:t>
      </w:r>
    </w:p>
    <w:p w14:paraId="4A84ADD6">
      <w:pPr>
        <w:pStyle w:val="5"/>
        <w:snapToGrid w:val="0"/>
        <w:spacing w:before="0" w:after="0" w:line="360" w:lineRule="auto"/>
        <w:rPr>
          <w:rFonts w:ascii="宋体" w:hAnsi="宋体"/>
          <w:b w:val="0"/>
          <w:snapToGrid w:val="0"/>
          <w:sz w:val="24"/>
          <w:szCs w:val="24"/>
          <w:highlight w:val="none"/>
        </w:rPr>
      </w:pPr>
      <w:bookmarkStart w:id="526" w:name="_Toc509218759"/>
      <w:bookmarkStart w:id="527" w:name="_Toc28886"/>
      <w:bookmarkStart w:id="528" w:name="_Toc277082601"/>
      <w:bookmarkStart w:id="529" w:name="_Toc28175"/>
      <w:bookmarkStart w:id="530" w:name="_Toc430530484"/>
      <w:bookmarkStart w:id="531" w:name="_Toc287620734"/>
      <w:bookmarkStart w:id="532" w:name="_Toc287607795"/>
      <w:bookmarkStart w:id="533" w:name="_Toc224103366"/>
      <w:bookmarkStart w:id="534" w:name="_Toc200513175"/>
      <w:r>
        <w:rPr>
          <w:rFonts w:ascii="宋体" w:hAnsi="宋体"/>
          <w:b w:val="0"/>
          <w:snapToGrid w:val="0"/>
          <w:sz w:val="24"/>
          <w:szCs w:val="24"/>
          <w:highlight w:val="none"/>
        </w:rPr>
        <w:t>9.3  对评标委员会成员的纪律要求</w:t>
      </w:r>
      <w:bookmarkEnd w:id="526"/>
      <w:bookmarkEnd w:id="527"/>
      <w:bookmarkEnd w:id="528"/>
      <w:bookmarkEnd w:id="529"/>
      <w:bookmarkEnd w:id="530"/>
      <w:bookmarkEnd w:id="531"/>
      <w:bookmarkEnd w:id="532"/>
      <w:bookmarkEnd w:id="533"/>
      <w:bookmarkEnd w:id="534"/>
    </w:p>
    <w:p w14:paraId="7F8AE051">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评标委员会成员不得收受他人的财物或者其他好处，不得向他人透漏对</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的评审和比较、中标候选人的推荐情况以及评标有关的其他情况。在评标活动中，评标委员会成员不得擅离职守，影响评标程序正常进行，不得使用第三章“评标办法”没有规定的评审因素和标准进行评标</w:t>
      </w:r>
      <w:r>
        <w:rPr>
          <w:rFonts w:hint="eastAsia" w:ascii="宋体" w:hAnsi="宋体"/>
          <w:snapToGrid w:val="0"/>
          <w:kern w:val="0"/>
          <w:szCs w:val="21"/>
          <w:highlight w:val="none"/>
        </w:rPr>
        <w:t>，不得对</w:t>
      </w:r>
      <w:r>
        <w:rPr>
          <w:rFonts w:hint="eastAsia" w:ascii="宋体" w:hAnsi="宋体"/>
          <w:snapToGrid w:val="0"/>
          <w:kern w:val="0"/>
          <w:szCs w:val="21"/>
          <w:highlight w:val="none"/>
          <w:lang w:eastAsia="zh-CN"/>
        </w:rPr>
        <w:t>竞争性比选文件</w:t>
      </w:r>
      <w:r>
        <w:rPr>
          <w:rFonts w:hint="eastAsia" w:ascii="宋体" w:hAnsi="宋体"/>
          <w:snapToGrid w:val="0"/>
          <w:kern w:val="0"/>
          <w:szCs w:val="21"/>
          <w:highlight w:val="none"/>
        </w:rPr>
        <w:t>中《否决投标情况一览表》以外的内容予以否决投标，否则对评标委员会成员按《重庆市综合评标专家库和评标专家管理暂行办法》进行处理。</w:t>
      </w:r>
    </w:p>
    <w:p w14:paraId="3D9E650B">
      <w:pPr>
        <w:pStyle w:val="5"/>
        <w:snapToGrid w:val="0"/>
        <w:spacing w:before="0" w:after="0" w:line="360" w:lineRule="auto"/>
        <w:rPr>
          <w:rFonts w:ascii="宋体" w:hAnsi="宋体"/>
          <w:b w:val="0"/>
          <w:snapToGrid w:val="0"/>
          <w:sz w:val="24"/>
          <w:szCs w:val="24"/>
          <w:highlight w:val="none"/>
        </w:rPr>
      </w:pPr>
      <w:bookmarkStart w:id="535" w:name="_Toc24888"/>
      <w:bookmarkStart w:id="536" w:name="_Toc287607796"/>
      <w:bookmarkStart w:id="537" w:name="_Toc287620735"/>
      <w:bookmarkStart w:id="538" w:name="_Toc277082602"/>
      <w:bookmarkStart w:id="539" w:name="_Toc430530485"/>
      <w:bookmarkStart w:id="540" w:name="_Toc509218760"/>
      <w:bookmarkStart w:id="541" w:name="_Toc30077"/>
      <w:bookmarkStart w:id="542" w:name="_Toc224103367"/>
      <w:bookmarkStart w:id="543" w:name="_Toc200513176"/>
      <w:r>
        <w:rPr>
          <w:rFonts w:ascii="宋体" w:hAnsi="宋体"/>
          <w:b w:val="0"/>
          <w:snapToGrid w:val="0"/>
          <w:sz w:val="24"/>
          <w:szCs w:val="24"/>
          <w:highlight w:val="none"/>
        </w:rPr>
        <w:t>9.4  对与评标活动有关的工作人员的纪律要求</w:t>
      </w:r>
      <w:bookmarkEnd w:id="535"/>
      <w:bookmarkEnd w:id="536"/>
      <w:bookmarkEnd w:id="537"/>
      <w:bookmarkEnd w:id="538"/>
      <w:bookmarkEnd w:id="539"/>
      <w:bookmarkEnd w:id="540"/>
      <w:bookmarkEnd w:id="541"/>
      <w:bookmarkEnd w:id="542"/>
      <w:bookmarkEnd w:id="543"/>
    </w:p>
    <w:p w14:paraId="10F55087">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ascii="宋体" w:hAnsi="宋体"/>
          <w:snapToGrid w:val="0"/>
          <w:kern w:val="0"/>
          <w:szCs w:val="21"/>
          <w:highlight w:val="none"/>
        </w:rPr>
        <w:t>与评标活动有关的工作人员不得收受他人的财物或者其他好处，不得向他人透漏对</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的评审和比较、中标候选人的推荐情况以及与评标有关的其他情况。在评标活动中，与评标活动有关的工作人员不得擅离职守，影响评标程序正常进行。</w:t>
      </w:r>
    </w:p>
    <w:p w14:paraId="173AD164">
      <w:pPr>
        <w:pStyle w:val="5"/>
        <w:snapToGrid w:val="0"/>
        <w:spacing w:before="0" w:after="0" w:line="360" w:lineRule="auto"/>
        <w:rPr>
          <w:rFonts w:ascii="宋体" w:hAnsi="宋体"/>
          <w:b w:val="0"/>
          <w:snapToGrid w:val="0"/>
          <w:sz w:val="24"/>
          <w:szCs w:val="24"/>
          <w:highlight w:val="none"/>
        </w:rPr>
      </w:pPr>
      <w:bookmarkStart w:id="544" w:name="_Toc8782"/>
      <w:bookmarkStart w:id="545" w:name="_Toc224103368"/>
      <w:bookmarkStart w:id="546" w:name="_Toc20362"/>
      <w:bookmarkStart w:id="547" w:name="_Toc200513177"/>
      <w:bookmarkStart w:id="548" w:name="_Toc287607797"/>
      <w:bookmarkStart w:id="549" w:name="_Toc430530486"/>
      <w:bookmarkStart w:id="550" w:name="_Toc277082603"/>
      <w:bookmarkStart w:id="551" w:name="_Toc509218761"/>
      <w:bookmarkStart w:id="552" w:name="_Toc287620736"/>
      <w:r>
        <w:rPr>
          <w:rFonts w:ascii="宋体" w:hAnsi="宋体"/>
          <w:b w:val="0"/>
          <w:snapToGrid w:val="0"/>
          <w:sz w:val="24"/>
          <w:szCs w:val="24"/>
          <w:highlight w:val="none"/>
        </w:rPr>
        <w:t>9.5  投诉</w:t>
      </w:r>
      <w:bookmarkEnd w:id="544"/>
      <w:bookmarkEnd w:id="545"/>
      <w:bookmarkEnd w:id="546"/>
      <w:bookmarkEnd w:id="547"/>
      <w:bookmarkEnd w:id="548"/>
      <w:bookmarkEnd w:id="549"/>
      <w:bookmarkEnd w:id="550"/>
      <w:bookmarkEnd w:id="551"/>
      <w:bookmarkEnd w:id="552"/>
    </w:p>
    <w:p w14:paraId="39F2D11A">
      <w:pPr>
        <w:autoSpaceDE w:val="0"/>
        <w:autoSpaceDN w:val="0"/>
        <w:adjustRightInd w:val="0"/>
        <w:snapToGrid w:val="0"/>
        <w:spacing w:line="360" w:lineRule="auto"/>
        <w:ind w:firstLine="420" w:firstLineChars="200"/>
        <w:rPr>
          <w:rFonts w:ascii="宋体" w:hAnsi="宋体"/>
          <w:snapToGrid w:val="0"/>
          <w:kern w:val="0"/>
          <w:szCs w:val="21"/>
          <w:highlight w:val="none"/>
        </w:rPr>
      </w:pP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和其他利害关系人认为本次招标活动违反法律、法规和规章规定的，有权向有关行政监督部门投诉。</w:t>
      </w:r>
    </w:p>
    <w:p w14:paraId="1B5C9FAA">
      <w:pPr>
        <w:pStyle w:val="4"/>
        <w:spacing w:before="0" w:after="0" w:line="360" w:lineRule="auto"/>
        <w:rPr>
          <w:rFonts w:ascii="宋体" w:hAnsi="宋体"/>
          <w:b w:val="0"/>
          <w:snapToGrid w:val="0"/>
          <w:highlight w:val="none"/>
        </w:rPr>
      </w:pPr>
      <w:bookmarkStart w:id="553" w:name="_Toc509218762"/>
      <w:bookmarkStart w:id="554" w:name="_Toc277082604"/>
      <w:bookmarkStart w:id="555" w:name="_Toc287620737"/>
      <w:bookmarkStart w:id="556" w:name="_Toc15839"/>
      <w:bookmarkStart w:id="557" w:name="_Toc200513178"/>
      <w:bookmarkStart w:id="558" w:name="_Toc26302"/>
      <w:bookmarkStart w:id="559" w:name="_Toc430530487"/>
      <w:bookmarkStart w:id="560" w:name="_Toc224103369"/>
      <w:bookmarkStart w:id="561" w:name="_Toc287607798"/>
      <w:r>
        <w:rPr>
          <w:rFonts w:ascii="宋体" w:hAnsi="宋体"/>
          <w:b w:val="0"/>
          <w:snapToGrid w:val="0"/>
          <w:highlight w:val="none"/>
        </w:rPr>
        <w:t>10. 需要补充的其他内容</w:t>
      </w:r>
      <w:bookmarkEnd w:id="553"/>
      <w:bookmarkEnd w:id="554"/>
      <w:bookmarkEnd w:id="555"/>
      <w:bookmarkEnd w:id="556"/>
      <w:bookmarkEnd w:id="557"/>
      <w:bookmarkEnd w:id="558"/>
      <w:bookmarkEnd w:id="559"/>
      <w:bookmarkEnd w:id="560"/>
      <w:bookmarkEnd w:id="561"/>
    </w:p>
    <w:p w14:paraId="7D40FBE7">
      <w:pPr>
        <w:autoSpaceDE w:val="0"/>
        <w:autoSpaceDN w:val="0"/>
        <w:adjustRightInd w:val="0"/>
        <w:snapToGrid w:val="0"/>
        <w:spacing w:line="360" w:lineRule="auto"/>
        <w:ind w:firstLine="420" w:firstLineChars="200"/>
        <w:rPr>
          <w:rFonts w:ascii="宋体" w:hAnsi="宋体"/>
          <w:snapToGrid w:val="0"/>
          <w:kern w:val="0"/>
          <w:szCs w:val="21"/>
          <w:highlight w:val="none"/>
        </w:rPr>
        <w:sectPr>
          <w:footerReference r:id="rId6" w:type="default"/>
          <w:footerReference r:id="rId7" w:type="even"/>
          <w:pgSz w:w="11906" w:h="16838"/>
          <w:pgMar w:top="1304" w:right="1361" w:bottom="1304" w:left="1361" w:header="851" w:footer="992" w:gutter="0"/>
          <w:cols w:space="720" w:num="1"/>
          <w:docGrid w:type="lines" w:linePitch="312" w:charSpace="0"/>
        </w:sectPr>
      </w:pPr>
      <w:r>
        <w:rPr>
          <w:rFonts w:ascii="宋体" w:hAnsi="宋体"/>
          <w:snapToGrid w:val="0"/>
          <w:kern w:val="0"/>
          <w:szCs w:val="21"/>
          <w:highlight w:val="none"/>
        </w:rPr>
        <w:t>需要补充的其他内容：见</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须知前附表。</w:t>
      </w:r>
    </w:p>
    <w:p w14:paraId="7961B76C">
      <w:pPr>
        <w:autoSpaceDE w:val="0"/>
        <w:autoSpaceDN w:val="0"/>
        <w:adjustRightInd w:val="0"/>
        <w:snapToGrid w:val="0"/>
        <w:spacing w:line="360" w:lineRule="auto"/>
        <w:jc w:val="left"/>
        <w:rPr>
          <w:rFonts w:ascii="宋体" w:hAnsi="宋体"/>
          <w:b/>
          <w:snapToGrid w:val="0"/>
          <w:kern w:val="0"/>
          <w:highlight w:val="none"/>
        </w:rPr>
      </w:pPr>
      <w:r>
        <w:rPr>
          <w:rFonts w:ascii="宋体" w:hAnsi="宋体"/>
          <w:b/>
          <w:snapToGrid w:val="0"/>
          <w:kern w:val="0"/>
          <w:highlight w:val="none"/>
        </w:rPr>
        <w:t>附表一：开标记录表</w:t>
      </w:r>
    </w:p>
    <w:p w14:paraId="0D1FB2DE">
      <w:pPr>
        <w:autoSpaceDE w:val="0"/>
        <w:autoSpaceDN w:val="0"/>
        <w:adjustRightInd w:val="0"/>
        <w:snapToGrid w:val="0"/>
        <w:spacing w:line="360" w:lineRule="auto"/>
        <w:jc w:val="left"/>
        <w:rPr>
          <w:rFonts w:ascii="宋体" w:hAnsi="宋体"/>
          <w:b/>
          <w:snapToGrid w:val="0"/>
          <w:kern w:val="0"/>
          <w:highlight w:val="none"/>
        </w:rPr>
      </w:pPr>
    </w:p>
    <w:p w14:paraId="34FECF6E">
      <w:pPr>
        <w:tabs>
          <w:tab w:val="left" w:pos="3529"/>
          <w:tab w:val="left" w:pos="5060"/>
        </w:tabs>
        <w:autoSpaceDE w:val="0"/>
        <w:autoSpaceDN w:val="0"/>
        <w:adjustRightInd w:val="0"/>
        <w:snapToGrid w:val="0"/>
        <w:spacing w:line="360" w:lineRule="auto"/>
        <w:ind w:firstLine="3324" w:firstLineChars="600"/>
        <w:jc w:val="left"/>
        <w:rPr>
          <w:rFonts w:ascii="宋体" w:hAnsi="宋体"/>
          <w:b/>
          <w:snapToGrid w:val="0"/>
          <w:kern w:val="0"/>
          <w:sz w:val="28"/>
          <w:szCs w:val="28"/>
          <w:highlight w:val="none"/>
        </w:rPr>
      </w:pPr>
      <w:r>
        <w:rPr>
          <w:rFonts w:hint="eastAsia" w:ascii="宋体" w:hAnsi="宋体" w:cs="MingLiU"/>
          <w:snapToGrid w:val="0"/>
          <w:w w:val="198"/>
          <w:kern w:val="0"/>
          <w:sz w:val="28"/>
          <w:szCs w:val="28"/>
          <w:highlight w:val="none"/>
          <w:u w:val="single"/>
        </w:rPr>
        <w:t xml:space="preserve">              </w:t>
      </w:r>
      <w:r>
        <w:rPr>
          <w:rFonts w:hint="eastAsia" w:ascii="宋体" w:hAnsi="宋体"/>
          <w:snapToGrid w:val="0"/>
          <w:kern w:val="0"/>
          <w:sz w:val="28"/>
          <w:szCs w:val="28"/>
          <w:highlight w:val="none"/>
          <w:u w:val="single"/>
        </w:rPr>
        <w:t xml:space="preserve"> </w:t>
      </w:r>
      <w:r>
        <w:rPr>
          <w:rFonts w:ascii="宋体" w:hAnsi="宋体"/>
          <w:b/>
          <w:snapToGrid w:val="0"/>
          <w:w w:val="99"/>
          <w:kern w:val="0"/>
          <w:sz w:val="28"/>
          <w:szCs w:val="28"/>
          <w:highlight w:val="none"/>
          <w:u w:val="single"/>
        </w:rPr>
        <w:t>（项目名称）</w:t>
      </w:r>
      <w:r>
        <w:rPr>
          <w:rFonts w:ascii="宋体" w:hAnsi="宋体"/>
          <w:b/>
          <w:snapToGrid w:val="0"/>
          <w:w w:val="99"/>
          <w:kern w:val="0"/>
          <w:sz w:val="28"/>
          <w:szCs w:val="28"/>
          <w:highlight w:val="none"/>
        </w:rPr>
        <w:t>开标记录表</w:t>
      </w:r>
    </w:p>
    <w:p w14:paraId="2280051A">
      <w:pPr>
        <w:tabs>
          <w:tab w:val="left" w:pos="2260"/>
          <w:tab w:val="left" w:pos="5060"/>
        </w:tabs>
        <w:autoSpaceDE w:val="0"/>
        <w:autoSpaceDN w:val="0"/>
        <w:adjustRightInd w:val="0"/>
        <w:snapToGrid w:val="0"/>
        <w:spacing w:line="360" w:lineRule="auto"/>
        <w:jc w:val="right"/>
        <w:rPr>
          <w:rFonts w:ascii="宋体" w:hAnsi="宋体"/>
          <w:snapToGrid w:val="0"/>
          <w:kern w:val="0"/>
          <w:szCs w:val="21"/>
          <w:highlight w:val="none"/>
        </w:rPr>
      </w:pPr>
      <w:r>
        <w:rPr>
          <w:rFonts w:ascii="宋体" w:hAnsi="宋体"/>
          <w:b/>
          <w:snapToGrid w:val="0"/>
          <w:kern w:val="0"/>
          <w:sz w:val="28"/>
          <w:szCs w:val="28"/>
          <w:highlight w:val="none"/>
        </w:rPr>
        <w:t xml:space="preserve">                             </w:t>
      </w:r>
      <w:r>
        <w:rPr>
          <w:rFonts w:ascii="宋体" w:hAnsi="宋体"/>
          <w:snapToGrid w:val="0"/>
          <w:kern w:val="0"/>
          <w:szCs w:val="21"/>
          <w:highlight w:val="none"/>
        </w:rPr>
        <w:t>开标时间：</w:t>
      </w:r>
      <w:r>
        <w:rPr>
          <w:rFonts w:hint="eastAsia" w:ascii="宋体" w:hAnsi="宋体" w:cs="MingLiU"/>
          <w:snapToGrid w:val="0"/>
          <w:w w:val="200"/>
          <w:kern w:val="0"/>
          <w:szCs w:val="21"/>
          <w:highlight w:val="none"/>
          <w:u w:val="single"/>
        </w:rPr>
        <w:t xml:space="preserve">     </w:t>
      </w:r>
      <w:r>
        <w:rPr>
          <w:rFonts w:hint="eastAsia" w:ascii="宋体" w:hAnsi="宋体" w:cs="MingLiU"/>
          <w:snapToGrid w:val="0"/>
          <w:kern w:val="0"/>
          <w:szCs w:val="21"/>
          <w:highlight w:val="none"/>
        </w:rPr>
        <w:t>年</w:t>
      </w:r>
      <w:r>
        <w:rPr>
          <w:rFonts w:hint="eastAsia" w:ascii="宋体" w:hAnsi="宋体"/>
          <w:snapToGrid w:val="0"/>
          <w:kern w:val="0"/>
          <w:szCs w:val="21"/>
          <w:highlight w:val="none"/>
          <w:u w:val="single"/>
        </w:rPr>
        <w:t xml:space="preserve">     </w:t>
      </w:r>
      <w:r>
        <w:rPr>
          <w:rFonts w:hint="eastAsia" w:ascii="宋体" w:hAnsi="宋体" w:cs="MingLiU"/>
          <w:snapToGrid w:val="0"/>
          <w:kern w:val="0"/>
          <w:szCs w:val="21"/>
          <w:highlight w:val="none"/>
        </w:rPr>
        <w:t>月</w:t>
      </w:r>
      <w:r>
        <w:rPr>
          <w:rFonts w:hint="eastAsia" w:ascii="宋体" w:hAnsi="宋体"/>
          <w:snapToGrid w:val="0"/>
          <w:kern w:val="0"/>
          <w:szCs w:val="21"/>
          <w:highlight w:val="none"/>
          <w:u w:val="single"/>
        </w:rPr>
        <w:t xml:space="preserve">     </w:t>
      </w:r>
      <w:r>
        <w:rPr>
          <w:rFonts w:hint="eastAsia" w:ascii="宋体" w:hAnsi="宋体" w:cs="MingLiU"/>
          <w:snapToGrid w:val="0"/>
          <w:kern w:val="0"/>
          <w:szCs w:val="21"/>
          <w:highlight w:val="none"/>
        </w:rPr>
        <w:t>日</w:t>
      </w:r>
      <w:r>
        <w:rPr>
          <w:rFonts w:hint="eastAsia" w:ascii="宋体" w:hAnsi="宋体"/>
          <w:snapToGrid w:val="0"/>
          <w:kern w:val="0"/>
          <w:szCs w:val="21"/>
          <w:highlight w:val="none"/>
          <w:u w:val="single"/>
        </w:rPr>
        <w:t xml:space="preserve">     </w:t>
      </w:r>
      <w:r>
        <w:rPr>
          <w:rFonts w:hint="eastAsia" w:ascii="宋体" w:hAnsi="宋体" w:cs="MingLiU"/>
          <w:snapToGrid w:val="0"/>
          <w:kern w:val="0"/>
          <w:szCs w:val="21"/>
          <w:highlight w:val="none"/>
        </w:rPr>
        <w:t>时</w:t>
      </w:r>
      <w:r>
        <w:rPr>
          <w:rFonts w:hint="eastAsia" w:ascii="宋体" w:hAnsi="宋体"/>
          <w:snapToGrid w:val="0"/>
          <w:kern w:val="0"/>
          <w:szCs w:val="21"/>
          <w:highlight w:val="none"/>
          <w:u w:val="single"/>
        </w:rPr>
        <w:t xml:space="preserve">     </w:t>
      </w:r>
      <w:r>
        <w:rPr>
          <w:rFonts w:hint="eastAsia" w:ascii="宋体" w:hAnsi="宋体" w:cs="MingLiU"/>
          <w:snapToGrid w:val="0"/>
          <w:kern w:val="0"/>
          <w:szCs w:val="21"/>
          <w:highlight w:val="none"/>
        </w:rPr>
        <w:t>分</w:t>
      </w:r>
    </w:p>
    <w:tbl>
      <w:tblPr>
        <w:tblStyle w:val="17"/>
        <w:tblW w:w="1375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433"/>
        <w:gridCol w:w="3260"/>
        <w:gridCol w:w="1134"/>
        <w:gridCol w:w="1559"/>
        <w:gridCol w:w="1560"/>
        <w:gridCol w:w="1275"/>
        <w:gridCol w:w="993"/>
        <w:gridCol w:w="1285"/>
        <w:gridCol w:w="947"/>
        <w:gridCol w:w="1311"/>
      </w:tblGrid>
      <w:tr w14:paraId="7A99A1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433" w:type="dxa"/>
            <w:vAlign w:val="center"/>
          </w:tcPr>
          <w:p w14:paraId="01D40DC1">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ascii="宋体" w:hAnsi="宋体"/>
                <w:snapToGrid w:val="0"/>
                <w:kern w:val="0"/>
                <w:szCs w:val="21"/>
                <w:highlight w:val="none"/>
              </w:rPr>
              <w:t>序号</w:t>
            </w:r>
          </w:p>
        </w:tc>
        <w:tc>
          <w:tcPr>
            <w:tcW w:w="3260" w:type="dxa"/>
            <w:vAlign w:val="center"/>
          </w:tcPr>
          <w:p w14:paraId="073C2B5A">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snapToGrid w:val="0"/>
                <w:kern w:val="0"/>
                <w:szCs w:val="21"/>
                <w:highlight w:val="none"/>
                <w:lang w:eastAsia="zh-CN"/>
              </w:rPr>
            </w:pPr>
            <w:r>
              <w:rPr>
                <w:rFonts w:hint="eastAsia" w:ascii="宋体" w:hAnsi="宋体"/>
                <w:snapToGrid w:val="0"/>
                <w:kern w:val="0"/>
                <w:szCs w:val="21"/>
                <w:highlight w:val="none"/>
                <w:lang w:eastAsia="zh-CN"/>
              </w:rPr>
              <w:t>比选申请人</w:t>
            </w:r>
          </w:p>
        </w:tc>
        <w:tc>
          <w:tcPr>
            <w:tcW w:w="1134" w:type="dxa"/>
            <w:vAlign w:val="center"/>
          </w:tcPr>
          <w:p w14:paraId="6A40D828">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hint="eastAsia" w:ascii="宋体" w:hAnsi="宋体"/>
                <w:snapToGrid w:val="0"/>
                <w:kern w:val="0"/>
                <w:szCs w:val="21"/>
                <w:highlight w:val="none"/>
              </w:rPr>
              <w:t>解密情况</w:t>
            </w:r>
          </w:p>
        </w:tc>
        <w:tc>
          <w:tcPr>
            <w:tcW w:w="1559" w:type="dxa"/>
            <w:tcBorders>
              <w:right w:val="single" w:color="auto" w:sz="4" w:space="0"/>
            </w:tcBorders>
            <w:vAlign w:val="center"/>
          </w:tcPr>
          <w:p w14:paraId="20BA9F29">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ascii="宋体" w:hAnsi="宋体"/>
                <w:snapToGrid w:val="0"/>
                <w:kern w:val="0"/>
                <w:szCs w:val="21"/>
                <w:highlight w:val="none"/>
              </w:rPr>
              <w:t>投标总报价</w:t>
            </w:r>
          </w:p>
          <w:p w14:paraId="6E8920E5">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snapToGrid w:val="0"/>
                <w:kern w:val="0"/>
                <w:szCs w:val="21"/>
                <w:highlight w:val="none"/>
                <w:lang w:eastAsia="zh-CN"/>
              </w:rPr>
            </w:pPr>
            <w:r>
              <w:rPr>
                <w:rFonts w:hint="eastAsia" w:ascii="宋体" w:hAnsi="宋体"/>
                <w:snapToGrid w:val="0"/>
                <w:kern w:val="0"/>
                <w:szCs w:val="21"/>
                <w:highlight w:val="none"/>
                <w:lang w:eastAsia="zh-CN"/>
              </w:rPr>
              <w:t>（</w:t>
            </w:r>
            <w:r>
              <w:rPr>
                <w:rFonts w:hint="eastAsia" w:ascii="宋体" w:hAnsi="宋体"/>
                <w:snapToGrid w:val="0"/>
                <w:kern w:val="0"/>
                <w:szCs w:val="21"/>
                <w:highlight w:val="none"/>
                <w:lang w:val="en-US" w:eastAsia="zh-CN"/>
              </w:rPr>
              <w:t>元</w:t>
            </w:r>
            <w:r>
              <w:rPr>
                <w:rFonts w:hint="eastAsia" w:ascii="宋体" w:hAnsi="宋体"/>
                <w:snapToGrid w:val="0"/>
                <w:kern w:val="0"/>
                <w:szCs w:val="21"/>
                <w:highlight w:val="none"/>
                <w:lang w:eastAsia="zh-CN"/>
              </w:rPr>
              <w:t>）</w:t>
            </w:r>
          </w:p>
        </w:tc>
        <w:tc>
          <w:tcPr>
            <w:tcW w:w="1560" w:type="dxa"/>
            <w:tcBorders>
              <w:left w:val="single" w:color="auto" w:sz="4" w:space="0"/>
            </w:tcBorders>
            <w:vAlign w:val="center"/>
          </w:tcPr>
          <w:p w14:paraId="628B484F">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ascii="宋体" w:hAnsi="宋体"/>
                <w:snapToGrid w:val="0"/>
                <w:kern w:val="0"/>
                <w:szCs w:val="21"/>
                <w:highlight w:val="none"/>
              </w:rPr>
              <w:t>安全文明施工费暂定金额</w:t>
            </w:r>
          </w:p>
        </w:tc>
        <w:tc>
          <w:tcPr>
            <w:tcW w:w="1275" w:type="dxa"/>
            <w:vAlign w:val="center"/>
          </w:tcPr>
          <w:p w14:paraId="1EBD2B9B">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ascii="宋体" w:hAnsi="宋体"/>
                <w:snapToGrid w:val="0"/>
                <w:kern w:val="0"/>
                <w:szCs w:val="21"/>
                <w:highlight w:val="none"/>
              </w:rPr>
              <w:t>质量目标</w:t>
            </w:r>
          </w:p>
        </w:tc>
        <w:tc>
          <w:tcPr>
            <w:tcW w:w="993" w:type="dxa"/>
            <w:vAlign w:val="center"/>
          </w:tcPr>
          <w:p w14:paraId="74DA8777">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ascii="宋体" w:hAnsi="宋体"/>
                <w:snapToGrid w:val="0"/>
                <w:kern w:val="0"/>
                <w:szCs w:val="21"/>
                <w:highlight w:val="none"/>
              </w:rPr>
              <w:t>工期</w:t>
            </w:r>
          </w:p>
        </w:tc>
        <w:tc>
          <w:tcPr>
            <w:tcW w:w="1285" w:type="dxa"/>
            <w:vAlign w:val="center"/>
          </w:tcPr>
          <w:p w14:paraId="06AACA04">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ascii="宋体" w:hAnsi="宋体"/>
                <w:snapToGrid w:val="0"/>
                <w:kern w:val="0"/>
                <w:szCs w:val="21"/>
                <w:highlight w:val="none"/>
              </w:rPr>
              <w:t>项目经理</w:t>
            </w:r>
          </w:p>
        </w:tc>
        <w:tc>
          <w:tcPr>
            <w:tcW w:w="947" w:type="dxa"/>
            <w:vAlign w:val="center"/>
          </w:tcPr>
          <w:p w14:paraId="3DDD51FB">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ascii="宋体" w:hAnsi="宋体"/>
                <w:snapToGrid w:val="0"/>
                <w:kern w:val="0"/>
                <w:szCs w:val="21"/>
                <w:highlight w:val="none"/>
              </w:rPr>
              <w:t>备注</w:t>
            </w:r>
          </w:p>
        </w:tc>
        <w:tc>
          <w:tcPr>
            <w:tcW w:w="1311" w:type="dxa"/>
            <w:vAlign w:val="center"/>
          </w:tcPr>
          <w:p w14:paraId="60699DCC">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ascii="宋体" w:hAnsi="宋体"/>
                <w:snapToGrid w:val="0"/>
                <w:kern w:val="0"/>
                <w:szCs w:val="21"/>
                <w:highlight w:val="none"/>
              </w:rPr>
              <w:t>签名</w:t>
            </w:r>
          </w:p>
        </w:tc>
      </w:tr>
      <w:tr w14:paraId="08C11D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342AD605">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3260" w:type="dxa"/>
            <w:vAlign w:val="center"/>
          </w:tcPr>
          <w:p w14:paraId="27A03676">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134" w:type="dxa"/>
            <w:vAlign w:val="center"/>
          </w:tcPr>
          <w:p w14:paraId="4C5039C0">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59" w:type="dxa"/>
            <w:tcBorders>
              <w:right w:val="single" w:color="auto" w:sz="4" w:space="0"/>
            </w:tcBorders>
            <w:vAlign w:val="center"/>
          </w:tcPr>
          <w:p w14:paraId="7F2F17AA">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60" w:type="dxa"/>
            <w:tcBorders>
              <w:left w:val="single" w:color="auto" w:sz="4" w:space="0"/>
            </w:tcBorders>
            <w:vAlign w:val="center"/>
          </w:tcPr>
          <w:p w14:paraId="778618CB">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75" w:type="dxa"/>
            <w:vAlign w:val="center"/>
          </w:tcPr>
          <w:p w14:paraId="0EAC8678">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93" w:type="dxa"/>
            <w:vAlign w:val="center"/>
          </w:tcPr>
          <w:p w14:paraId="4AA8DDDB">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85" w:type="dxa"/>
            <w:vAlign w:val="center"/>
          </w:tcPr>
          <w:p w14:paraId="5FD7FCA3">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47" w:type="dxa"/>
            <w:vAlign w:val="center"/>
          </w:tcPr>
          <w:p w14:paraId="541D4377">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311" w:type="dxa"/>
            <w:vAlign w:val="center"/>
          </w:tcPr>
          <w:p w14:paraId="5966F25D">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r>
      <w:tr w14:paraId="3310D7E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05C6D4E7">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3260" w:type="dxa"/>
            <w:vAlign w:val="center"/>
          </w:tcPr>
          <w:p w14:paraId="03A8A703">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134" w:type="dxa"/>
            <w:vAlign w:val="center"/>
          </w:tcPr>
          <w:p w14:paraId="408ABB59">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59" w:type="dxa"/>
            <w:tcBorders>
              <w:right w:val="single" w:color="auto" w:sz="4" w:space="0"/>
            </w:tcBorders>
            <w:vAlign w:val="center"/>
          </w:tcPr>
          <w:p w14:paraId="68E70F0C">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60" w:type="dxa"/>
            <w:tcBorders>
              <w:left w:val="single" w:color="auto" w:sz="4" w:space="0"/>
            </w:tcBorders>
            <w:vAlign w:val="center"/>
          </w:tcPr>
          <w:p w14:paraId="7412D262">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75" w:type="dxa"/>
            <w:vAlign w:val="center"/>
          </w:tcPr>
          <w:p w14:paraId="2F4A17BB">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93" w:type="dxa"/>
            <w:vAlign w:val="center"/>
          </w:tcPr>
          <w:p w14:paraId="4FF7B882">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85" w:type="dxa"/>
            <w:vAlign w:val="center"/>
          </w:tcPr>
          <w:p w14:paraId="58CB64FC">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47" w:type="dxa"/>
            <w:vAlign w:val="center"/>
          </w:tcPr>
          <w:p w14:paraId="52B82817">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311" w:type="dxa"/>
            <w:vAlign w:val="center"/>
          </w:tcPr>
          <w:p w14:paraId="2F54D80E">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r>
      <w:tr w14:paraId="0BFE09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760EB543">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3260" w:type="dxa"/>
            <w:vAlign w:val="center"/>
          </w:tcPr>
          <w:p w14:paraId="5A7A2961">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134" w:type="dxa"/>
            <w:vAlign w:val="center"/>
          </w:tcPr>
          <w:p w14:paraId="4A79619E">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59" w:type="dxa"/>
            <w:tcBorders>
              <w:right w:val="single" w:color="auto" w:sz="4" w:space="0"/>
            </w:tcBorders>
            <w:vAlign w:val="center"/>
          </w:tcPr>
          <w:p w14:paraId="3DB756E6">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60" w:type="dxa"/>
            <w:tcBorders>
              <w:left w:val="single" w:color="auto" w:sz="4" w:space="0"/>
            </w:tcBorders>
            <w:vAlign w:val="center"/>
          </w:tcPr>
          <w:p w14:paraId="64CB12D4">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75" w:type="dxa"/>
            <w:vAlign w:val="center"/>
          </w:tcPr>
          <w:p w14:paraId="78C55F99">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93" w:type="dxa"/>
            <w:vAlign w:val="center"/>
          </w:tcPr>
          <w:p w14:paraId="013CE3D8">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85" w:type="dxa"/>
            <w:vAlign w:val="center"/>
          </w:tcPr>
          <w:p w14:paraId="329BD610">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47" w:type="dxa"/>
            <w:vAlign w:val="center"/>
          </w:tcPr>
          <w:p w14:paraId="7260B981">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311" w:type="dxa"/>
            <w:vAlign w:val="center"/>
          </w:tcPr>
          <w:p w14:paraId="3CEC0FB9">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r>
      <w:tr w14:paraId="1EAA5AE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11D97E09">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3260" w:type="dxa"/>
            <w:vAlign w:val="center"/>
          </w:tcPr>
          <w:p w14:paraId="605B0C4C">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134" w:type="dxa"/>
            <w:vAlign w:val="center"/>
          </w:tcPr>
          <w:p w14:paraId="5D151E57">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59" w:type="dxa"/>
            <w:tcBorders>
              <w:right w:val="single" w:color="auto" w:sz="4" w:space="0"/>
            </w:tcBorders>
            <w:vAlign w:val="center"/>
          </w:tcPr>
          <w:p w14:paraId="6B4F238E">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60" w:type="dxa"/>
            <w:tcBorders>
              <w:left w:val="single" w:color="auto" w:sz="4" w:space="0"/>
            </w:tcBorders>
            <w:vAlign w:val="center"/>
          </w:tcPr>
          <w:p w14:paraId="05C34295">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75" w:type="dxa"/>
            <w:vAlign w:val="center"/>
          </w:tcPr>
          <w:p w14:paraId="7B349A5E">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93" w:type="dxa"/>
            <w:vAlign w:val="center"/>
          </w:tcPr>
          <w:p w14:paraId="4A366C7A">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85" w:type="dxa"/>
            <w:vAlign w:val="center"/>
          </w:tcPr>
          <w:p w14:paraId="61409E4A">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47" w:type="dxa"/>
            <w:vAlign w:val="center"/>
          </w:tcPr>
          <w:p w14:paraId="60002FD1">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311" w:type="dxa"/>
            <w:vAlign w:val="center"/>
          </w:tcPr>
          <w:p w14:paraId="62882F54">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r>
      <w:tr w14:paraId="68342FB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09CE11A4">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3260" w:type="dxa"/>
            <w:vAlign w:val="center"/>
          </w:tcPr>
          <w:p w14:paraId="2D3910C8">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134" w:type="dxa"/>
            <w:vAlign w:val="center"/>
          </w:tcPr>
          <w:p w14:paraId="64802062">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59" w:type="dxa"/>
            <w:tcBorders>
              <w:right w:val="single" w:color="auto" w:sz="4" w:space="0"/>
            </w:tcBorders>
            <w:vAlign w:val="center"/>
          </w:tcPr>
          <w:p w14:paraId="2FC10A7A">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560" w:type="dxa"/>
            <w:tcBorders>
              <w:left w:val="single" w:color="auto" w:sz="4" w:space="0"/>
            </w:tcBorders>
            <w:vAlign w:val="center"/>
          </w:tcPr>
          <w:p w14:paraId="6E0DDA51">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75" w:type="dxa"/>
            <w:vAlign w:val="center"/>
          </w:tcPr>
          <w:p w14:paraId="416DDE4E">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93" w:type="dxa"/>
            <w:vAlign w:val="center"/>
          </w:tcPr>
          <w:p w14:paraId="3B744D0D">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285" w:type="dxa"/>
            <w:vAlign w:val="center"/>
          </w:tcPr>
          <w:p w14:paraId="4C68BC0A">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947" w:type="dxa"/>
            <w:vAlign w:val="center"/>
          </w:tcPr>
          <w:p w14:paraId="755FF9DD">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c>
          <w:tcPr>
            <w:tcW w:w="1311" w:type="dxa"/>
            <w:vAlign w:val="center"/>
          </w:tcPr>
          <w:p w14:paraId="00E86E5D">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r>
      <w:tr w14:paraId="1D96796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3693" w:type="dxa"/>
            <w:gridSpan w:val="2"/>
            <w:vAlign w:val="center"/>
          </w:tcPr>
          <w:p w14:paraId="4751B5F6">
            <w:pPr>
              <w:autoSpaceDE w:val="0"/>
              <w:autoSpaceDN w:val="0"/>
              <w:adjustRightInd w:val="0"/>
              <w:snapToGrid w:val="0"/>
              <w:spacing w:line="400" w:lineRule="exact"/>
              <w:jc w:val="center"/>
              <w:rPr>
                <w:rFonts w:ascii="宋体" w:hAnsi="宋体"/>
                <w:snapToGrid w:val="0"/>
                <w:kern w:val="0"/>
                <w:sz w:val="28"/>
                <w:szCs w:val="28"/>
                <w:highlight w:val="none"/>
              </w:rPr>
            </w:pPr>
            <w:r>
              <w:rPr>
                <w:rFonts w:ascii="宋体" w:hAnsi="宋体"/>
                <w:snapToGrid w:val="0"/>
                <w:kern w:val="0"/>
                <w:szCs w:val="21"/>
                <w:highlight w:val="none"/>
              </w:rPr>
              <w:t>最高限价</w:t>
            </w:r>
          </w:p>
        </w:tc>
        <w:tc>
          <w:tcPr>
            <w:tcW w:w="10064" w:type="dxa"/>
            <w:gridSpan w:val="8"/>
            <w:vAlign w:val="center"/>
          </w:tcPr>
          <w:p w14:paraId="62F7C31F">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snapToGrid w:val="0"/>
                <w:kern w:val="0"/>
                <w:sz w:val="28"/>
                <w:szCs w:val="28"/>
                <w:highlight w:val="none"/>
              </w:rPr>
            </w:pPr>
          </w:p>
        </w:tc>
      </w:tr>
      <w:tr w14:paraId="63ECFBB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98" w:hRule="exact"/>
          <w:jc w:val="center"/>
        </w:trPr>
        <w:tc>
          <w:tcPr>
            <w:tcW w:w="3693" w:type="dxa"/>
            <w:gridSpan w:val="2"/>
            <w:tcBorders>
              <w:bottom w:val="single" w:color="auto" w:sz="4" w:space="0"/>
            </w:tcBorders>
            <w:vAlign w:val="center"/>
          </w:tcPr>
          <w:p w14:paraId="1F1E505E">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ascii="宋体" w:hAnsi="宋体"/>
                <w:snapToGrid w:val="0"/>
                <w:kern w:val="0"/>
                <w:szCs w:val="21"/>
                <w:highlight w:val="none"/>
              </w:rPr>
            </w:pPr>
            <w:r>
              <w:rPr>
                <w:rFonts w:hint="eastAsia" w:ascii="宋体" w:hAnsi="宋体" w:cs="宋体"/>
                <w:snapToGrid w:val="0"/>
                <w:kern w:val="0"/>
                <w:szCs w:val="21"/>
                <w:highlight w:val="none"/>
                <w:lang w:eastAsia="zh-CN"/>
              </w:rPr>
              <w:t>相关选项抽取情况</w:t>
            </w:r>
          </w:p>
        </w:tc>
        <w:tc>
          <w:tcPr>
            <w:tcW w:w="10064" w:type="dxa"/>
            <w:gridSpan w:val="8"/>
            <w:tcBorders>
              <w:bottom w:val="single" w:color="auto" w:sz="4" w:space="0"/>
            </w:tcBorders>
            <w:vAlign w:val="center"/>
          </w:tcPr>
          <w:p w14:paraId="461E3E46">
            <w:pPr>
              <w:autoSpaceDE w:val="0"/>
              <w:autoSpaceDN w:val="0"/>
              <w:adjustRightInd w:val="0"/>
              <w:snapToGrid w:val="0"/>
              <w:spacing w:line="400" w:lineRule="exact"/>
              <w:ind w:firstLine="420" w:firstLineChars="200"/>
              <w:jc w:val="left"/>
              <w:rPr>
                <w:rFonts w:ascii="宋体" w:hAnsi="宋体"/>
                <w:snapToGrid w:val="0"/>
                <w:kern w:val="0"/>
                <w:szCs w:val="21"/>
                <w:highlight w:val="none"/>
              </w:rPr>
            </w:pPr>
            <w:r>
              <w:rPr>
                <w:rFonts w:hint="eastAsia" w:ascii="宋体" w:hAnsi="宋体" w:cs="宋体"/>
                <w:snapToGrid w:val="0"/>
                <w:kern w:val="0"/>
                <w:szCs w:val="21"/>
                <w:highlight w:val="none"/>
              </w:rPr>
              <w:t>□</w:t>
            </w:r>
            <w:r>
              <w:rPr>
                <w:rFonts w:hint="eastAsia" w:ascii="宋体" w:hAnsi="宋体" w:cs="宋体"/>
                <w:snapToGrid w:val="0"/>
                <w:kern w:val="0"/>
                <w:szCs w:val="21"/>
                <w:highlight w:val="none"/>
                <w:lang w:eastAsia="zh-CN"/>
              </w:rPr>
              <w:t>抽取的</w:t>
            </w:r>
            <w:r>
              <w:rPr>
                <w:rFonts w:hint="eastAsia" w:ascii="宋体" w:hAnsi="宋体" w:cs="宋体"/>
                <w:snapToGrid w:val="0"/>
                <w:kern w:val="0"/>
                <w:szCs w:val="21"/>
                <w:highlight w:val="none"/>
              </w:rPr>
              <w:t>评标基准价计算方式</w:t>
            </w:r>
            <w:r>
              <w:rPr>
                <w:rFonts w:hint="eastAsia" w:ascii="宋体" w:hAnsi="宋体" w:cs="宋体"/>
                <w:snapToGrid w:val="0"/>
                <w:kern w:val="0"/>
                <w:szCs w:val="21"/>
                <w:highlight w:val="none"/>
                <w:lang w:eastAsia="zh-CN"/>
              </w:rPr>
              <w:t>为</w:t>
            </w:r>
            <w:r>
              <w:rPr>
                <w:rFonts w:hint="eastAsia" w:ascii="宋体" w:hAnsi="宋体" w:cs="宋体"/>
                <w:snapToGrid w:val="0"/>
                <w:kern w:val="0"/>
                <w:szCs w:val="21"/>
                <w:highlight w:val="none"/>
                <w:u w:val="single"/>
                <w:lang w:val="en-US" w:eastAsia="zh-CN"/>
              </w:rPr>
              <w:t xml:space="preserve">        ；</w:t>
            </w:r>
            <w:r>
              <w:rPr>
                <w:rFonts w:hint="eastAsia" w:ascii="宋体" w:hAnsi="宋体" w:cs="宋体"/>
                <w:snapToGrid w:val="0"/>
                <w:kern w:val="0"/>
                <w:szCs w:val="21"/>
                <w:highlight w:val="none"/>
              </w:rPr>
              <w:t>□</w:t>
            </w:r>
            <w:r>
              <w:rPr>
                <w:rFonts w:hint="eastAsia" w:ascii="宋体" w:hAnsi="宋体" w:cs="宋体"/>
                <w:snapToGrid w:val="0"/>
                <w:kern w:val="0"/>
                <w:szCs w:val="21"/>
                <w:highlight w:val="none"/>
                <w:u w:val="none"/>
                <w:lang w:val="en-US" w:eastAsia="zh-CN"/>
              </w:rPr>
              <w:t>抽取的</w:t>
            </w:r>
            <w:r>
              <w:rPr>
                <w:rFonts w:hint="eastAsia" w:ascii="宋体" w:hAnsi="宋体" w:cs="宋体"/>
                <w:snapToGrid w:val="0"/>
                <w:kern w:val="0"/>
                <w:szCs w:val="21"/>
                <w:highlight w:val="none"/>
              </w:rPr>
              <w:t>下浮系数N</w:t>
            </w:r>
            <w:r>
              <w:rPr>
                <w:rFonts w:hint="eastAsia" w:ascii="宋体" w:hAnsi="宋体" w:cs="宋体"/>
                <w:snapToGrid w:val="0"/>
                <w:kern w:val="0"/>
                <w:szCs w:val="21"/>
                <w:highlight w:val="none"/>
                <w:lang w:eastAsia="zh-CN"/>
              </w:rPr>
              <w:t>为</w:t>
            </w:r>
            <w:r>
              <w:rPr>
                <w:rFonts w:hint="eastAsia" w:ascii="宋体" w:hAnsi="宋体" w:cs="宋体"/>
                <w:snapToGrid w:val="0"/>
                <w:kern w:val="0"/>
                <w:szCs w:val="21"/>
                <w:highlight w:val="none"/>
                <w:u w:val="single"/>
                <w:lang w:val="en-US" w:eastAsia="zh-CN"/>
              </w:rPr>
              <w:t xml:space="preserve">        </w:t>
            </w:r>
            <w:r>
              <w:rPr>
                <w:rFonts w:hint="eastAsia" w:ascii="宋体" w:hAnsi="宋体" w:cs="宋体"/>
                <w:snapToGrid w:val="0"/>
                <w:kern w:val="0"/>
                <w:szCs w:val="21"/>
                <w:highlight w:val="none"/>
                <w:lang w:eastAsia="zh-CN"/>
              </w:rPr>
              <w:t>；</w:t>
            </w:r>
            <w:r>
              <w:rPr>
                <w:rFonts w:hint="eastAsia" w:ascii="宋体" w:hAnsi="宋体" w:cs="宋体"/>
                <w:snapToGrid w:val="0"/>
                <w:kern w:val="0"/>
                <w:szCs w:val="21"/>
                <w:highlight w:val="none"/>
              </w:rPr>
              <w:t>□</w:t>
            </w:r>
            <w:r>
              <w:rPr>
                <w:rFonts w:hint="eastAsia" w:ascii="宋体" w:hAnsi="宋体" w:cs="宋体"/>
                <w:snapToGrid w:val="0"/>
                <w:kern w:val="0"/>
                <w:szCs w:val="21"/>
                <w:highlight w:val="none"/>
                <w:lang w:eastAsia="zh-CN"/>
              </w:rPr>
              <w:t>抽取的</w:t>
            </w:r>
            <w:r>
              <w:rPr>
                <w:rFonts w:hint="eastAsia" w:ascii="宋体" w:hAnsi="宋体" w:cs="宋体"/>
                <w:snapToGrid w:val="0"/>
                <w:kern w:val="0"/>
                <w:szCs w:val="21"/>
                <w:highlight w:val="none"/>
              </w:rPr>
              <w:t>权重M</w:t>
            </w:r>
            <w:r>
              <w:rPr>
                <w:rFonts w:hint="eastAsia" w:ascii="宋体" w:hAnsi="宋体" w:cs="宋体"/>
                <w:snapToGrid w:val="0"/>
                <w:kern w:val="0"/>
                <w:szCs w:val="21"/>
                <w:highlight w:val="none"/>
                <w:lang w:eastAsia="zh-CN"/>
              </w:rPr>
              <w:t>为</w:t>
            </w:r>
            <w:r>
              <w:rPr>
                <w:rFonts w:hint="eastAsia" w:ascii="宋体" w:hAnsi="宋体" w:cs="宋体"/>
                <w:snapToGrid w:val="0"/>
                <w:kern w:val="0"/>
                <w:szCs w:val="21"/>
                <w:highlight w:val="none"/>
                <w:u w:val="single"/>
                <w:lang w:val="en-US" w:eastAsia="zh-CN"/>
              </w:rPr>
              <w:t xml:space="preserve">        </w:t>
            </w:r>
            <w:r>
              <w:rPr>
                <w:rFonts w:hint="eastAsia" w:ascii="宋体" w:hAnsi="宋体" w:cs="宋体"/>
                <w:snapToGrid w:val="0"/>
                <w:kern w:val="0"/>
                <w:szCs w:val="21"/>
                <w:highlight w:val="none"/>
                <w:lang w:val="en-US" w:eastAsia="zh-CN"/>
              </w:rPr>
              <w:t>。</w:t>
            </w:r>
          </w:p>
        </w:tc>
      </w:tr>
      <w:tr w14:paraId="00681F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26" w:hRule="exact"/>
          <w:jc w:val="center"/>
        </w:trPr>
        <w:tc>
          <w:tcPr>
            <w:tcW w:w="3693" w:type="dxa"/>
            <w:gridSpan w:val="2"/>
            <w:tcBorders>
              <w:top w:val="single" w:color="auto" w:sz="4" w:space="0"/>
            </w:tcBorders>
            <w:vAlign w:val="center"/>
          </w:tcPr>
          <w:p w14:paraId="60884DC0">
            <w:pPr>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szCs w:val="21"/>
                <w:highlight w:val="none"/>
              </w:rPr>
            </w:pPr>
            <w:r>
              <w:rPr>
                <w:rFonts w:hint="eastAsia"/>
                <w:szCs w:val="21"/>
                <w:highlight w:val="none"/>
              </w:rPr>
              <w:t>异常情况</w:t>
            </w:r>
          </w:p>
        </w:tc>
        <w:tc>
          <w:tcPr>
            <w:tcW w:w="10064" w:type="dxa"/>
            <w:gridSpan w:val="8"/>
            <w:tcBorders>
              <w:top w:val="single" w:color="auto" w:sz="4" w:space="0"/>
            </w:tcBorders>
            <w:vAlign w:val="center"/>
          </w:tcPr>
          <w:p w14:paraId="6407D37E">
            <w:pPr>
              <w:keepNext w:val="0"/>
              <w:keepLines w:val="0"/>
              <w:pageBreakBefore w:val="0"/>
              <w:widowControl w:val="0"/>
              <w:kinsoku/>
              <w:wordWrap/>
              <w:overflowPunct/>
              <w:topLinePunct w:val="0"/>
              <w:autoSpaceDE w:val="0"/>
              <w:autoSpaceDN w:val="0"/>
              <w:bidi w:val="0"/>
              <w:adjustRightInd w:val="0"/>
              <w:snapToGrid w:val="0"/>
              <w:spacing w:line="400" w:lineRule="exact"/>
              <w:jc w:val="left"/>
              <w:textAlignment w:val="auto"/>
              <w:rPr>
                <w:rFonts w:ascii="宋体" w:hAnsi="宋体"/>
                <w:i/>
                <w:kern w:val="0"/>
                <w:szCs w:val="21"/>
                <w:highlight w:val="none"/>
              </w:rPr>
            </w:pPr>
          </w:p>
        </w:tc>
      </w:tr>
    </w:tbl>
    <w:p w14:paraId="654F63B6">
      <w:pPr>
        <w:tabs>
          <w:tab w:val="left" w:pos="2740"/>
          <w:tab w:val="left" w:pos="4940"/>
          <w:tab w:val="left" w:pos="7140"/>
        </w:tabs>
        <w:autoSpaceDE w:val="0"/>
        <w:autoSpaceDN w:val="0"/>
        <w:adjustRightInd w:val="0"/>
        <w:snapToGrid w:val="0"/>
        <w:spacing w:beforeLines="0" w:after="0" w:line="360" w:lineRule="auto"/>
        <w:ind w:firstLine="480" w:firstLineChars="200"/>
        <w:jc w:val="left"/>
        <w:rPr>
          <w:rFonts w:hint="eastAsia" w:ascii="宋体" w:hAnsi="宋体" w:cs="宋体"/>
          <w:snapToGrid w:val="0"/>
          <w:kern w:val="0"/>
          <w:szCs w:val="21"/>
          <w:highlight w:val="none"/>
        </w:rPr>
      </w:pPr>
      <w:r>
        <w:rPr>
          <w:rFonts w:hint="eastAsia" w:ascii="宋体" w:hAnsi="宋体" w:cs="宋体"/>
          <w:snapToGrid w:val="0"/>
          <w:kern w:val="0"/>
          <w:sz w:val="24"/>
          <w:highlight w:val="none"/>
          <w:lang w:val="en-US" w:eastAsia="zh-CN"/>
        </w:rPr>
        <w:t>（注：</w:t>
      </w:r>
      <w:r>
        <w:rPr>
          <w:rFonts w:hint="eastAsia" w:ascii="宋体" w:hAnsi="宋体" w:cs="宋体"/>
          <w:snapToGrid w:val="0"/>
          <w:kern w:val="0"/>
          <w:szCs w:val="21"/>
          <w:highlight w:val="none"/>
          <w:lang w:eastAsia="zh-CN"/>
        </w:rPr>
        <w:t>比选人、</w:t>
      </w:r>
      <w:r>
        <w:rPr>
          <w:rFonts w:hint="eastAsia" w:ascii="宋体" w:hAnsi="宋体" w:cs="宋体"/>
          <w:snapToGrid w:val="0"/>
          <w:w w:val="100"/>
          <w:kern w:val="0"/>
          <w:szCs w:val="21"/>
          <w:highlight w:val="none"/>
          <w:lang w:eastAsia="zh-CN"/>
        </w:rPr>
        <w:t>比选代理机构、</w:t>
      </w:r>
      <w:r>
        <w:rPr>
          <w:rFonts w:hint="eastAsia" w:ascii="宋体" w:hAnsi="宋体" w:cs="宋体"/>
          <w:snapToGrid w:val="0"/>
          <w:kern w:val="0"/>
          <w:szCs w:val="21"/>
          <w:highlight w:val="none"/>
          <w:lang w:eastAsia="zh-CN"/>
        </w:rPr>
        <w:t>监标人</w:t>
      </w:r>
      <w:r>
        <w:rPr>
          <w:rFonts w:hint="eastAsia" w:ascii="宋体" w:hAnsi="宋体" w:cs="宋体"/>
          <w:snapToGrid w:val="0"/>
          <w:kern w:val="0"/>
          <w:szCs w:val="21"/>
          <w:highlight w:val="none"/>
          <w:lang w:val="en-US" w:eastAsia="zh-CN"/>
        </w:rPr>
        <w:t>栏显示单位名称，</w:t>
      </w:r>
      <w:r>
        <w:rPr>
          <w:rFonts w:hint="eastAsia" w:ascii="宋体" w:hAnsi="宋体" w:cs="宋体"/>
          <w:snapToGrid w:val="0"/>
          <w:kern w:val="0"/>
          <w:szCs w:val="21"/>
          <w:highlight w:val="none"/>
        </w:rPr>
        <w:t>主持人</w:t>
      </w:r>
      <w:r>
        <w:rPr>
          <w:rFonts w:hint="eastAsia" w:ascii="宋体" w:hAnsi="宋体" w:cs="宋体"/>
          <w:snapToGrid w:val="0"/>
          <w:kern w:val="0"/>
          <w:szCs w:val="21"/>
          <w:highlight w:val="none"/>
          <w:lang w:eastAsia="zh-CN"/>
        </w:rPr>
        <w:t>、</w:t>
      </w:r>
      <w:r>
        <w:rPr>
          <w:rFonts w:hint="eastAsia" w:ascii="宋体" w:hAnsi="宋体" w:cs="宋体"/>
          <w:snapToGrid w:val="0"/>
          <w:kern w:val="0"/>
          <w:szCs w:val="21"/>
          <w:highlight w:val="none"/>
        </w:rPr>
        <w:t>记录人</w:t>
      </w:r>
      <w:r>
        <w:rPr>
          <w:rFonts w:hint="eastAsia" w:ascii="宋体" w:hAnsi="宋体" w:cs="宋体"/>
          <w:snapToGrid w:val="0"/>
          <w:kern w:val="0"/>
          <w:szCs w:val="21"/>
          <w:highlight w:val="none"/>
          <w:lang w:val="en-US" w:eastAsia="zh-CN"/>
        </w:rPr>
        <w:t>栏显示人名。</w:t>
      </w:r>
      <w:r>
        <w:rPr>
          <w:rFonts w:hint="eastAsia" w:ascii="宋体" w:hAnsi="宋体" w:cs="宋体"/>
          <w:snapToGrid w:val="0"/>
          <w:kern w:val="0"/>
          <w:sz w:val="24"/>
          <w:highlight w:val="none"/>
          <w:lang w:val="en-US" w:eastAsia="zh-CN"/>
        </w:rPr>
        <w:t>）</w:t>
      </w:r>
    </w:p>
    <w:p w14:paraId="083414C9">
      <w:pPr>
        <w:tabs>
          <w:tab w:val="left" w:pos="2740"/>
          <w:tab w:val="left" w:pos="4940"/>
          <w:tab w:val="left" w:pos="6930"/>
        </w:tabs>
        <w:autoSpaceDE w:val="0"/>
        <w:autoSpaceDN w:val="0"/>
        <w:adjustRightInd w:val="0"/>
        <w:snapToGrid w:val="0"/>
        <w:spacing w:beforeLines="0" w:after="0" w:line="360" w:lineRule="auto"/>
        <w:ind w:firstLine="420" w:firstLineChars="200"/>
        <w:jc w:val="left"/>
        <w:rPr>
          <w:rFonts w:hint="eastAsia" w:ascii="宋体" w:hAnsi="宋体" w:cs="宋体"/>
          <w:snapToGrid w:val="0"/>
          <w:w w:val="200"/>
          <w:kern w:val="0"/>
          <w:szCs w:val="21"/>
          <w:highlight w:val="none"/>
        </w:rPr>
      </w:pPr>
      <w:r>
        <w:rPr>
          <w:rFonts w:hint="eastAsia" w:ascii="宋体" w:hAnsi="宋体" w:cs="宋体"/>
          <w:snapToGrid w:val="0"/>
          <w:kern w:val="0"/>
          <w:szCs w:val="21"/>
          <w:highlight w:val="none"/>
          <w:lang w:eastAsia="zh-CN"/>
        </w:rPr>
        <w:t>比选人</w:t>
      </w:r>
      <w:r>
        <w:rPr>
          <w:rFonts w:hint="eastAsia" w:ascii="宋体" w:hAnsi="宋体" w:cs="宋体"/>
          <w:snapToGrid w:val="0"/>
          <w:kern w:val="0"/>
          <w:szCs w:val="21"/>
          <w:highlight w:val="none"/>
        </w:rPr>
        <w:t>：</w:t>
      </w:r>
      <w:r>
        <w:rPr>
          <w:rFonts w:hint="eastAsia" w:ascii="宋体" w:hAnsi="宋体" w:cs="宋体"/>
          <w:snapToGrid w:val="0"/>
          <w:w w:val="200"/>
          <w:kern w:val="0"/>
          <w:szCs w:val="21"/>
          <w:highlight w:val="none"/>
          <w:u w:val="single"/>
        </w:rPr>
        <w:t xml:space="preserve">      </w:t>
      </w:r>
      <w:r>
        <w:rPr>
          <w:rFonts w:hint="eastAsia" w:ascii="宋体" w:hAnsi="宋体" w:cs="宋体"/>
          <w:snapToGrid w:val="0"/>
          <w:w w:val="200"/>
          <w:kern w:val="0"/>
          <w:szCs w:val="21"/>
          <w:highlight w:val="none"/>
        </w:rPr>
        <w:t xml:space="preserve">      </w:t>
      </w:r>
      <w:r>
        <w:rPr>
          <w:rFonts w:hint="eastAsia" w:ascii="宋体" w:hAnsi="宋体" w:cs="宋体"/>
          <w:snapToGrid w:val="0"/>
          <w:kern w:val="0"/>
          <w:szCs w:val="21"/>
          <w:highlight w:val="none"/>
          <w:lang w:val="en-US" w:eastAsia="zh-CN"/>
        </w:rPr>
        <w:t>比选代理机构</w:t>
      </w:r>
      <w:r>
        <w:rPr>
          <w:rFonts w:hint="eastAsia" w:ascii="宋体" w:hAnsi="宋体" w:cs="宋体"/>
          <w:snapToGrid w:val="0"/>
          <w:kern w:val="0"/>
          <w:szCs w:val="21"/>
          <w:highlight w:val="none"/>
        </w:rPr>
        <w:t>：</w:t>
      </w:r>
      <w:r>
        <w:rPr>
          <w:rFonts w:hint="eastAsia" w:ascii="宋体" w:hAnsi="宋体" w:cs="宋体"/>
          <w:snapToGrid w:val="0"/>
          <w:w w:val="200"/>
          <w:kern w:val="0"/>
          <w:szCs w:val="21"/>
          <w:highlight w:val="none"/>
          <w:u w:val="single"/>
        </w:rPr>
        <w:t xml:space="preserve">      </w:t>
      </w:r>
      <w:r>
        <w:rPr>
          <w:rFonts w:hint="eastAsia" w:ascii="宋体" w:hAnsi="宋体" w:cs="宋体"/>
          <w:snapToGrid w:val="0"/>
          <w:w w:val="200"/>
          <w:kern w:val="0"/>
          <w:szCs w:val="21"/>
          <w:highlight w:val="none"/>
        </w:rPr>
        <w:t xml:space="preserve">      </w:t>
      </w:r>
      <w:r>
        <w:rPr>
          <w:rFonts w:hint="eastAsia" w:ascii="宋体" w:hAnsi="宋体" w:cs="宋体"/>
          <w:snapToGrid w:val="0"/>
          <w:kern w:val="0"/>
          <w:szCs w:val="21"/>
          <w:highlight w:val="none"/>
          <w:lang w:val="en-US" w:eastAsia="zh-CN"/>
        </w:rPr>
        <w:t>监标人</w:t>
      </w:r>
      <w:r>
        <w:rPr>
          <w:rFonts w:hint="eastAsia" w:ascii="宋体" w:hAnsi="宋体" w:cs="宋体"/>
          <w:snapToGrid w:val="0"/>
          <w:kern w:val="0"/>
          <w:szCs w:val="21"/>
          <w:highlight w:val="none"/>
        </w:rPr>
        <w:t>：</w:t>
      </w:r>
      <w:r>
        <w:rPr>
          <w:rFonts w:hint="eastAsia" w:ascii="宋体" w:hAnsi="宋体" w:cs="宋体"/>
          <w:snapToGrid w:val="0"/>
          <w:w w:val="200"/>
          <w:kern w:val="0"/>
          <w:szCs w:val="21"/>
          <w:highlight w:val="none"/>
          <w:u w:val="single"/>
        </w:rPr>
        <w:t xml:space="preserve">      </w:t>
      </w:r>
    </w:p>
    <w:p w14:paraId="7A9D60FD">
      <w:pPr>
        <w:tabs>
          <w:tab w:val="left" w:pos="2740"/>
          <w:tab w:val="left" w:pos="4940"/>
          <w:tab w:val="left" w:pos="6930"/>
        </w:tabs>
        <w:autoSpaceDE w:val="0"/>
        <w:autoSpaceDN w:val="0"/>
        <w:adjustRightInd w:val="0"/>
        <w:snapToGrid w:val="0"/>
        <w:spacing w:line="360" w:lineRule="auto"/>
        <w:ind w:firstLine="420" w:firstLineChars="200"/>
        <w:jc w:val="left"/>
        <w:rPr>
          <w:rFonts w:ascii="宋体" w:hAnsi="宋体"/>
          <w:snapToGrid w:val="0"/>
          <w:kern w:val="0"/>
          <w:szCs w:val="21"/>
          <w:highlight w:val="none"/>
        </w:rPr>
      </w:pPr>
      <w:r>
        <w:rPr>
          <w:rFonts w:hint="eastAsia" w:ascii="宋体" w:hAnsi="宋体" w:cs="宋体"/>
          <w:snapToGrid w:val="0"/>
          <w:kern w:val="0"/>
          <w:szCs w:val="21"/>
          <w:highlight w:val="none"/>
        </w:rPr>
        <w:t>主持人：</w:t>
      </w:r>
      <w:r>
        <w:rPr>
          <w:rFonts w:hint="eastAsia" w:ascii="宋体" w:hAnsi="宋体" w:cs="宋体"/>
          <w:snapToGrid w:val="0"/>
          <w:w w:val="200"/>
          <w:kern w:val="0"/>
          <w:szCs w:val="21"/>
          <w:highlight w:val="none"/>
          <w:u w:val="single"/>
        </w:rPr>
        <w:t xml:space="preserve">      </w:t>
      </w:r>
      <w:r>
        <w:rPr>
          <w:rFonts w:hint="eastAsia" w:ascii="宋体" w:hAnsi="宋体" w:cs="宋体"/>
          <w:snapToGrid w:val="0"/>
          <w:w w:val="200"/>
          <w:kern w:val="0"/>
          <w:szCs w:val="21"/>
          <w:highlight w:val="none"/>
        </w:rPr>
        <w:t xml:space="preserve">      </w:t>
      </w:r>
      <w:r>
        <w:rPr>
          <w:rFonts w:hint="eastAsia" w:ascii="宋体" w:hAnsi="宋体" w:cs="宋体"/>
          <w:snapToGrid w:val="0"/>
          <w:kern w:val="0"/>
          <w:szCs w:val="21"/>
          <w:highlight w:val="none"/>
        </w:rPr>
        <w:t>记录人：</w:t>
      </w:r>
      <w:r>
        <w:rPr>
          <w:rFonts w:hint="eastAsia" w:ascii="宋体" w:hAnsi="宋体" w:cs="宋体"/>
          <w:snapToGrid w:val="0"/>
          <w:w w:val="200"/>
          <w:kern w:val="0"/>
          <w:szCs w:val="21"/>
          <w:highlight w:val="none"/>
          <w:u w:val="single"/>
        </w:rPr>
        <w:t xml:space="preserve">      </w:t>
      </w:r>
    </w:p>
    <w:p w14:paraId="64CA3004">
      <w:pPr>
        <w:autoSpaceDE w:val="0"/>
        <w:autoSpaceDN w:val="0"/>
        <w:adjustRightInd w:val="0"/>
        <w:snapToGrid w:val="0"/>
        <w:spacing w:before="62" w:beforeLines="20" w:line="360" w:lineRule="auto"/>
        <w:jc w:val="right"/>
        <w:rPr>
          <w:rFonts w:ascii="宋体" w:hAnsi="宋体"/>
          <w:snapToGrid w:val="0"/>
          <w:kern w:val="0"/>
          <w:sz w:val="24"/>
          <w:highlight w:val="none"/>
        </w:rPr>
      </w:pPr>
      <w:r>
        <w:rPr>
          <w:rFonts w:ascii="宋体" w:hAnsi="宋体"/>
          <w:snapToGrid w:val="0"/>
          <w:kern w:val="0"/>
          <w:sz w:val="24"/>
          <w:highlight w:val="none"/>
        </w:rPr>
        <w:t xml:space="preserve">                                       </w:t>
      </w:r>
      <w:r>
        <w:rPr>
          <w:rFonts w:ascii="宋体" w:hAnsi="宋体"/>
          <w:snapToGrid w:val="0"/>
          <w:kern w:val="0"/>
          <w:sz w:val="24"/>
          <w:highlight w:val="none"/>
          <w:u w:val="single"/>
        </w:rPr>
        <w:t xml:space="preserve">       </w:t>
      </w:r>
      <w:r>
        <w:rPr>
          <w:rFonts w:ascii="宋体" w:hAnsi="宋体"/>
          <w:snapToGrid w:val="0"/>
          <w:kern w:val="0"/>
          <w:sz w:val="24"/>
          <w:highlight w:val="none"/>
        </w:rPr>
        <w:t>年</w:t>
      </w:r>
      <w:r>
        <w:rPr>
          <w:rFonts w:ascii="宋体" w:hAnsi="宋体"/>
          <w:snapToGrid w:val="0"/>
          <w:kern w:val="0"/>
          <w:sz w:val="24"/>
          <w:highlight w:val="none"/>
          <w:u w:val="single"/>
        </w:rPr>
        <w:t xml:space="preserve">     </w:t>
      </w:r>
      <w:r>
        <w:rPr>
          <w:rFonts w:ascii="宋体" w:hAnsi="宋体"/>
          <w:snapToGrid w:val="0"/>
          <w:kern w:val="0"/>
          <w:sz w:val="24"/>
          <w:highlight w:val="none"/>
        </w:rPr>
        <w:t>月</w:t>
      </w:r>
      <w:r>
        <w:rPr>
          <w:rFonts w:ascii="宋体" w:hAnsi="宋体"/>
          <w:snapToGrid w:val="0"/>
          <w:kern w:val="0"/>
          <w:sz w:val="24"/>
          <w:highlight w:val="none"/>
          <w:u w:val="single"/>
        </w:rPr>
        <w:t xml:space="preserve">    </w:t>
      </w:r>
      <w:r>
        <w:rPr>
          <w:rFonts w:ascii="宋体" w:hAnsi="宋体"/>
          <w:snapToGrid w:val="0"/>
          <w:kern w:val="0"/>
          <w:sz w:val="24"/>
          <w:highlight w:val="none"/>
        </w:rPr>
        <w:t>日</w:t>
      </w:r>
    </w:p>
    <w:p w14:paraId="48257E3D">
      <w:pPr>
        <w:autoSpaceDE w:val="0"/>
        <w:autoSpaceDN w:val="0"/>
        <w:adjustRightInd w:val="0"/>
        <w:snapToGrid w:val="0"/>
        <w:spacing w:before="62" w:beforeLines="20" w:line="360" w:lineRule="auto"/>
        <w:rPr>
          <w:rFonts w:ascii="宋体" w:hAnsi="宋体"/>
          <w:snapToGrid w:val="0"/>
          <w:kern w:val="0"/>
          <w:sz w:val="24"/>
          <w:highlight w:val="none"/>
        </w:rPr>
        <w:sectPr>
          <w:pgSz w:w="16838" w:h="11906" w:orient="landscape"/>
          <w:pgMar w:top="1304" w:right="1304" w:bottom="1134" w:left="1304" w:header="851" w:footer="992" w:gutter="0"/>
          <w:cols w:space="720" w:num="1"/>
          <w:docGrid w:type="lines" w:linePitch="312" w:charSpace="0"/>
        </w:sectPr>
      </w:pPr>
    </w:p>
    <w:p w14:paraId="7222A9D4">
      <w:pPr>
        <w:autoSpaceDE w:val="0"/>
        <w:autoSpaceDN w:val="0"/>
        <w:adjustRightInd w:val="0"/>
        <w:snapToGrid w:val="0"/>
        <w:spacing w:line="360" w:lineRule="auto"/>
        <w:jc w:val="left"/>
        <w:rPr>
          <w:rFonts w:ascii="宋体" w:hAnsi="宋体"/>
          <w:snapToGrid w:val="0"/>
          <w:kern w:val="0"/>
          <w:sz w:val="20"/>
          <w:szCs w:val="20"/>
          <w:highlight w:val="none"/>
        </w:rPr>
      </w:pPr>
      <w:r>
        <w:rPr>
          <w:rFonts w:ascii="宋体" w:hAnsi="宋体"/>
          <w:b/>
          <w:snapToGrid w:val="0"/>
          <w:kern w:val="0"/>
          <w:highlight w:val="none"/>
        </w:rPr>
        <w:t>附表</w:t>
      </w:r>
      <w:r>
        <w:rPr>
          <w:rFonts w:hint="eastAsia" w:ascii="宋体" w:hAnsi="宋体"/>
          <w:b/>
          <w:snapToGrid w:val="0"/>
          <w:kern w:val="0"/>
          <w:highlight w:val="none"/>
          <w:lang w:val="en-US" w:eastAsia="zh-CN"/>
        </w:rPr>
        <w:t>二</w:t>
      </w:r>
      <w:r>
        <w:rPr>
          <w:rFonts w:ascii="宋体" w:hAnsi="宋体"/>
          <w:b/>
          <w:snapToGrid w:val="0"/>
          <w:kern w:val="0"/>
          <w:highlight w:val="none"/>
        </w:rPr>
        <w:t>：中标通知书</w:t>
      </w:r>
    </w:p>
    <w:p w14:paraId="75F54EAB">
      <w:pPr>
        <w:autoSpaceDE w:val="0"/>
        <w:autoSpaceDN w:val="0"/>
        <w:adjustRightInd w:val="0"/>
        <w:spacing w:line="360" w:lineRule="auto"/>
        <w:jc w:val="left"/>
        <w:rPr>
          <w:rFonts w:ascii="宋体" w:hAnsi="宋体"/>
          <w:snapToGrid w:val="0"/>
          <w:kern w:val="0"/>
          <w:sz w:val="20"/>
          <w:szCs w:val="20"/>
          <w:highlight w:val="none"/>
        </w:rPr>
      </w:pPr>
    </w:p>
    <w:p w14:paraId="30706972">
      <w:pPr>
        <w:autoSpaceDE w:val="0"/>
        <w:autoSpaceDN w:val="0"/>
        <w:adjustRightInd w:val="0"/>
        <w:spacing w:line="360" w:lineRule="auto"/>
        <w:jc w:val="left"/>
        <w:rPr>
          <w:rFonts w:ascii="宋体" w:hAnsi="宋体"/>
          <w:snapToGrid w:val="0"/>
          <w:kern w:val="0"/>
          <w:sz w:val="20"/>
          <w:szCs w:val="20"/>
          <w:highlight w:val="none"/>
        </w:rPr>
      </w:pPr>
    </w:p>
    <w:p w14:paraId="2B69604F">
      <w:pPr>
        <w:autoSpaceDE w:val="0"/>
        <w:autoSpaceDN w:val="0"/>
        <w:adjustRightInd w:val="0"/>
        <w:spacing w:line="360" w:lineRule="auto"/>
        <w:jc w:val="left"/>
        <w:rPr>
          <w:rFonts w:ascii="宋体" w:hAnsi="宋体"/>
          <w:snapToGrid w:val="0"/>
          <w:kern w:val="0"/>
          <w:sz w:val="20"/>
          <w:szCs w:val="20"/>
          <w:highlight w:val="none"/>
        </w:rPr>
      </w:pPr>
    </w:p>
    <w:p w14:paraId="4B92C302">
      <w:pPr>
        <w:autoSpaceDE w:val="0"/>
        <w:autoSpaceDN w:val="0"/>
        <w:adjustRightInd w:val="0"/>
        <w:snapToGrid w:val="0"/>
        <w:spacing w:line="360" w:lineRule="auto"/>
        <w:jc w:val="center"/>
        <w:rPr>
          <w:rFonts w:ascii="宋体" w:hAnsi="宋体"/>
          <w:b/>
          <w:snapToGrid w:val="0"/>
          <w:w w:val="99"/>
          <w:kern w:val="0"/>
          <w:sz w:val="32"/>
          <w:szCs w:val="32"/>
          <w:highlight w:val="none"/>
        </w:rPr>
      </w:pPr>
      <w:r>
        <w:rPr>
          <w:rFonts w:hint="eastAsia" w:ascii="宋体" w:hAnsi="宋体"/>
          <w:b/>
          <w:snapToGrid w:val="0"/>
          <w:w w:val="99"/>
          <w:kern w:val="0"/>
          <w:sz w:val="32"/>
          <w:szCs w:val="32"/>
          <w:highlight w:val="none"/>
        </w:rPr>
        <w:t>重庆市建设工程中标通知书</w:t>
      </w:r>
    </w:p>
    <w:p w14:paraId="6837452B">
      <w:pPr>
        <w:spacing w:line="360" w:lineRule="auto"/>
        <w:rPr>
          <w:rFonts w:ascii="宋体" w:hAnsi="宋体"/>
          <w:bCs/>
          <w:kern w:val="0"/>
          <w:szCs w:val="21"/>
          <w:highlight w:val="none"/>
          <w:u w:val="single"/>
        </w:rPr>
      </w:pPr>
      <w:r>
        <w:rPr>
          <w:rFonts w:ascii="宋体" w:hAnsi="宋体"/>
          <w:bCs/>
          <w:kern w:val="0"/>
          <w:szCs w:val="21"/>
          <w:highlight w:val="none"/>
          <w:u w:val="single"/>
        </w:rPr>
        <w:t xml:space="preserve">       </w:t>
      </w:r>
      <w:r>
        <w:rPr>
          <w:rFonts w:ascii="宋体" w:hAnsi="宋体"/>
          <w:kern w:val="0"/>
          <w:szCs w:val="21"/>
          <w:highlight w:val="none"/>
          <w:u w:val="single"/>
        </w:rPr>
        <w:t>中标单位</w:t>
      </w:r>
      <w:r>
        <w:rPr>
          <w:rFonts w:ascii="宋体" w:hAnsi="宋体"/>
          <w:bCs/>
          <w:kern w:val="0"/>
          <w:szCs w:val="21"/>
          <w:highlight w:val="none"/>
          <w:u w:val="single"/>
        </w:rPr>
        <w:t xml:space="preserve">               </w:t>
      </w:r>
      <w:r>
        <w:rPr>
          <w:rFonts w:ascii="宋体" w:hAnsi="宋体"/>
          <w:bCs/>
          <w:kern w:val="0"/>
          <w:szCs w:val="21"/>
          <w:highlight w:val="none"/>
        </w:rPr>
        <w:t>：</w:t>
      </w:r>
    </w:p>
    <w:p w14:paraId="1A882A1A">
      <w:pPr>
        <w:spacing w:line="360" w:lineRule="auto"/>
        <w:ind w:firstLine="420" w:firstLineChars="200"/>
        <w:rPr>
          <w:rFonts w:ascii="宋体" w:hAnsi="宋体"/>
          <w:kern w:val="0"/>
          <w:szCs w:val="21"/>
          <w:highlight w:val="none"/>
        </w:rPr>
      </w:pPr>
      <w:r>
        <w:rPr>
          <w:rFonts w:ascii="宋体" w:hAnsi="宋体"/>
          <w:kern w:val="0"/>
          <w:szCs w:val="21"/>
          <w:highlight w:val="none"/>
        </w:rPr>
        <w:t xml:space="preserve">我单位拟建的 </w:t>
      </w:r>
      <w:r>
        <w:rPr>
          <w:rFonts w:ascii="宋体" w:hAnsi="宋体"/>
          <w:bCs/>
          <w:kern w:val="0"/>
          <w:szCs w:val="21"/>
          <w:highlight w:val="none"/>
          <w:u w:val="single"/>
        </w:rPr>
        <w:t xml:space="preserve">   </w:t>
      </w:r>
      <w:r>
        <w:rPr>
          <w:rFonts w:hint="eastAsia" w:ascii="宋体" w:hAnsi="宋体"/>
          <w:bCs/>
          <w:kern w:val="0"/>
          <w:szCs w:val="21"/>
          <w:highlight w:val="none"/>
          <w:u w:val="single"/>
        </w:rPr>
        <w:t>（项目名称）</w:t>
      </w:r>
      <w:r>
        <w:rPr>
          <w:rFonts w:ascii="宋体" w:hAnsi="宋体"/>
          <w:bCs/>
          <w:kern w:val="0"/>
          <w:szCs w:val="21"/>
          <w:highlight w:val="none"/>
          <w:u w:val="single"/>
        </w:rPr>
        <w:t xml:space="preserve">    </w:t>
      </w:r>
      <w:r>
        <w:rPr>
          <w:rFonts w:ascii="宋体" w:hAnsi="宋体"/>
          <w:kern w:val="0"/>
          <w:szCs w:val="21"/>
          <w:highlight w:val="none"/>
        </w:rPr>
        <w:t>于</w:t>
      </w:r>
      <w:r>
        <w:rPr>
          <w:rFonts w:ascii="宋体" w:hAnsi="宋体"/>
          <w:bCs/>
          <w:kern w:val="0"/>
          <w:szCs w:val="21"/>
          <w:highlight w:val="none"/>
          <w:u w:val="single"/>
        </w:rPr>
        <w:t xml:space="preserve">    </w:t>
      </w:r>
      <w:r>
        <w:rPr>
          <w:rFonts w:ascii="宋体" w:hAnsi="宋体"/>
          <w:kern w:val="0"/>
          <w:szCs w:val="21"/>
          <w:highlight w:val="none"/>
        </w:rPr>
        <w:t>年</w:t>
      </w:r>
      <w:r>
        <w:rPr>
          <w:rFonts w:hint="eastAsia" w:ascii="宋体" w:hAnsi="宋体"/>
          <w:bCs/>
          <w:kern w:val="0"/>
          <w:szCs w:val="21"/>
          <w:highlight w:val="none"/>
          <w:u w:val="single"/>
        </w:rPr>
        <w:t xml:space="preserve">    </w:t>
      </w:r>
      <w:r>
        <w:rPr>
          <w:rFonts w:ascii="宋体" w:hAnsi="宋体"/>
          <w:kern w:val="0"/>
          <w:szCs w:val="21"/>
          <w:highlight w:val="none"/>
        </w:rPr>
        <w:t>月</w:t>
      </w:r>
      <w:r>
        <w:rPr>
          <w:rFonts w:hint="eastAsia" w:ascii="宋体" w:hAnsi="宋体"/>
          <w:bCs/>
          <w:kern w:val="0"/>
          <w:szCs w:val="21"/>
          <w:highlight w:val="none"/>
          <w:u w:val="single"/>
        </w:rPr>
        <w:t xml:space="preserve">    </w:t>
      </w:r>
      <w:r>
        <w:rPr>
          <w:rFonts w:ascii="宋体" w:hAnsi="宋体"/>
          <w:kern w:val="0"/>
          <w:szCs w:val="21"/>
          <w:highlight w:val="none"/>
        </w:rPr>
        <w:t>日开标，经评标委员会评定，确定你单位为中标人，中标额为</w:t>
      </w:r>
      <w:r>
        <w:rPr>
          <w:rFonts w:hint="eastAsia" w:ascii="宋体" w:hAnsi="宋体"/>
          <w:kern w:val="0"/>
          <w:szCs w:val="21"/>
          <w:highlight w:val="none"/>
        </w:rPr>
        <w:t>（大写）</w:t>
      </w:r>
      <w:r>
        <w:rPr>
          <w:rFonts w:hint="eastAsia" w:ascii="宋体" w:hAnsi="宋体"/>
          <w:kern w:val="0"/>
          <w:szCs w:val="21"/>
          <w:highlight w:val="none"/>
          <w:u w:val="single"/>
        </w:rPr>
        <w:t xml:space="preserve">        </w:t>
      </w:r>
      <w:r>
        <w:rPr>
          <w:rFonts w:hint="eastAsia" w:ascii="宋体" w:hAnsi="宋体"/>
          <w:kern w:val="0"/>
          <w:szCs w:val="21"/>
          <w:highlight w:val="none"/>
        </w:rPr>
        <w:t>，</w:t>
      </w:r>
      <w:r>
        <w:rPr>
          <w:rFonts w:ascii="宋体" w:hAnsi="宋体"/>
          <w:bCs/>
          <w:kern w:val="0"/>
          <w:szCs w:val="21"/>
          <w:highlight w:val="none"/>
          <w:u w:val="single"/>
        </w:rPr>
        <w:t xml:space="preserve">￥ </w:t>
      </w:r>
      <w:r>
        <w:rPr>
          <w:rFonts w:hint="eastAsia" w:ascii="宋体" w:hAnsi="宋体"/>
          <w:bCs/>
          <w:kern w:val="0"/>
          <w:szCs w:val="21"/>
          <w:highlight w:val="none"/>
          <w:u w:val="single"/>
        </w:rPr>
        <w:t xml:space="preserve">  </w:t>
      </w:r>
      <w:r>
        <w:rPr>
          <w:rFonts w:ascii="宋体" w:hAnsi="宋体"/>
          <w:bCs/>
          <w:kern w:val="0"/>
          <w:szCs w:val="21"/>
          <w:highlight w:val="none"/>
          <w:u w:val="single"/>
        </w:rPr>
        <w:t xml:space="preserve">  </w:t>
      </w:r>
      <w:r>
        <w:rPr>
          <w:rFonts w:ascii="宋体" w:hAnsi="宋体"/>
          <w:kern w:val="0"/>
          <w:szCs w:val="21"/>
          <w:highlight w:val="none"/>
        </w:rPr>
        <w:t xml:space="preserve">（其中含安全文明施工费 </w:t>
      </w:r>
      <w:r>
        <w:rPr>
          <w:rFonts w:ascii="宋体" w:hAnsi="宋体"/>
          <w:bCs/>
          <w:kern w:val="0"/>
          <w:szCs w:val="21"/>
          <w:highlight w:val="none"/>
          <w:u w:val="single"/>
        </w:rPr>
        <w:t xml:space="preserve">￥    </w:t>
      </w:r>
      <w:r>
        <w:rPr>
          <w:rFonts w:ascii="宋体" w:hAnsi="宋体"/>
          <w:kern w:val="0"/>
          <w:szCs w:val="21"/>
          <w:highlight w:val="none"/>
        </w:rPr>
        <w:t>）。中标工程范围：</w:t>
      </w:r>
      <w:r>
        <w:rPr>
          <w:rFonts w:ascii="宋体" w:hAnsi="宋体"/>
          <w:bCs/>
          <w:kern w:val="0"/>
          <w:szCs w:val="21"/>
          <w:highlight w:val="none"/>
          <w:u w:val="single"/>
        </w:rPr>
        <w:t xml:space="preserve">     </w:t>
      </w:r>
      <w:r>
        <w:rPr>
          <w:rFonts w:ascii="宋体" w:hAnsi="宋体"/>
          <w:kern w:val="0"/>
          <w:szCs w:val="21"/>
          <w:highlight w:val="none"/>
        </w:rPr>
        <w:t xml:space="preserve">，工程规模为 </w:t>
      </w:r>
      <w:r>
        <w:rPr>
          <w:rFonts w:ascii="宋体" w:hAnsi="宋体"/>
          <w:bCs/>
          <w:kern w:val="0"/>
          <w:szCs w:val="21"/>
          <w:highlight w:val="none"/>
          <w:u w:val="single"/>
        </w:rPr>
        <w:t xml:space="preserve">      </w:t>
      </w:r>
      <w:r>
        <w:rPr>
          <w:rFonts w:ascii="宋体" w:hAnsi="宋体"/>
          <w:kern w:val="0"/>
          <w:szCs w:val="21"/>
          <w:highlight w:val="none"/>
        </w:rPr>
        <w:t xml:space="preserve">，中标工期 </w:t>
      </w:r>
      <w:r>
        <w:rPr>
          <w:rFonts w:ascii="宋体" w:hAnsi="宋体"/>
          <w:bCs/>
          <w:kern w:val="0"/>
          <w:szCs w:val="21"/>
          <w:highlight w:val="none"/>
          <w:u w:val="single"/>
        </w:rPr>
        <w:t xml:space="preserve">   </w:t>
      </w:r>
      <w:r>
        <w:rPr>
          <w:rFonts w:ascii="宋体" w:hAnsi="宋体"/>
          <w:kern w:val="0"/>
          <w:szCs w:val="21"/>
          <w:highlight w:val="none"/>
          <w:u w:val="single"/>
        </w:rPr>
        <w:t>日历天</w:t>
      </w:r>
      <w:r>
        <w:rPr>
          <w:rFonts w:ascii="宋体" w:hAnsi="宋体"/>
          <w:kern w:val="0"/>
          <w:szCs w:val="21"/>
          <w:highlight w:val="none"/>
        </w:rPr>
        <w:t>，工程质量达到国家施工验收规范标准。 项目经理由</w:t>
      </w:r>
    </w:p>
    <w:p w14:paraId="752F48D5">
      <w:pPr>
        <w:spacing w:line="360" w:lineRule="auto"/>
        <w:ind w:firstLine="0" w:firstLineChars="0"/>
        <w:rPr>
          <w:rFonts w:ascii="宋体" w:hAnsi="宋体"/>
          <w:kern w:val="0"/>
          <w:szCs w:val="21"/>
          <w:highlight w:val="none"/>
        </w:rPr>
      </w:pPr>
      <w:r>
        <w:rPr>
          <w:rFonts w:ascii="宋体" w:hAnsi="宋体"/>
          <w:bCs/>
          <w:kern w:val="0"/>
          <w:szCs w:val="21"/>
          <w:highlight w:val="none"/>
          <w:u w:val="single"/>
        </w:rPr>
        <w:t xml:space="preserve">  </w:t>
      </w:r>
      <w:r>
        <w:rPr>
          <w:rFonts w:hint="eastAsia" w:ascii="宋体" w:hAnsi="宋体"/>
          <w:bCs/>
          <w:kern w:val="0"/>
          <w:szCs w:val="21"/>
          <w:highlight w:val="none"/>
          <w:u w:val="single"/>
        </w:rPr>
        <w:t xml:space="preserve">      </w:t>
      </w:r>
      <w:r>
        <w:rPr>
          <w:rFonts w:ascii="宋体" w:hAnsi="宋体"/>
          <w:bCs/>
          <w:kern w:val="0"/>
          <w:szCs w:val="21"/>
          <w:highlight w:val="none"/>
          <w:u w:val="single"/>
        </w:rPr>
        <w:t xml:space="preserve">  </w:t>
      </w:r>
      <w:r>
        <w:rPr>
          <w:rFonts w:ascii="宋体" w:hAnsi="宋体"/>
          <w:kern w:val="0"/>
          <w:szCs w:val="21"/>
          <w:highlight w:val="none"/>
        </w:rPr>
        <w:t>担任。</w:t>
      </w:r>
    </w:p>
    <w:p w14:paraId="60893841">
      <w:pPr>
        <w:spacing w:line="360" w:lineRule="auto"/>
        <w:ind w:firstLine="420" w:firstLineChars="200"/>
        <w:rPr>
          <w:rFonts w:ascii="宋体" w:hAnsi="宋体"/>
          <w:kern w:val="0"/>
          <w:szCs w:val="21"/>
          <w:highlight w:val="none"/>
        </w:rPr>
      </w:pPr>
      <w:r>
        <w:rPr>
          <w:rFonts w:ascii="宋体" w:hAnsi="宋体"/>
          <w:kern w:val="0"/>
          <w:szCs w:val="21"/>
          <w:highlight w:val="none"/>
        </w:rPr>
        <w:t xml:space="preserve">你单位收到中标通知书后，在 </w:t>
      </w:r>
      <w:r>
        <w:rPr>
          <w:rFonts w:ascii="宋体" w:hAnsi="宋体"/>
          <w:bCs/>
          <w:kern w:val="0"/>
          <w:szCs w:val="21"/>
          <w:highlight w:val="none"/>
          <w:u w:val="single"/>
        </w:rPr>
        <w:t xml:space="preserve"> </w:t>
      </w:r>
      <w:r>
        <w:rPr>
          <w:rFonts w:hint="eastAsia" w:ascii="宋体" w:hAnsi="宋体"/>
          <w:bCs/>
          <w:kern w:val="0"/>
          <w:szCs w:val="21"/>
          <w:highlight w:val="none"/>
          <w:u w:val="single"/>
        </w:rPr>
        <w:t xml:space="preserve">      </w:t>
      </w:r>
      <w:r>
        <w:rPr>
          <w:rFonts w:ascii="宋体" w:hAnsi="宋体"/>
          <w:bCs/>
          <w:kern w:val="0"/>
          <w:szCs w:val="21"/>
          <w:highlight w:val="none"/>
          <w:u w:val="single"/>
        </w:rPr>
        <w:t xml:space="preserve">   </w:t>
      </w:r>
      <w:r>
        <w:rPr>
          <w:rFonts w:ascii="宋体" w:hAnsi="宋体"/>
          <w:kern w:val="0"/>
          <w:szCs w:val="21"/>
          <w:highlight w:val="none"/>
        </w:rPr>
        <w:t>日内到我单位签订承发包合同。</w:t>
      </w:r>
      <w:r>
        <w:rPr>
          <w:szCs w:val="21"/>
          <w:highlight w:val="none"/>
        </w:rPr>
        <w:t>在此之前按</w:t>
      </w:r>
      <w:r>
        <w:rPr>
          <w:rFonts w:hint="eastAsia"/>
          <w:szCs w:val="21"/>
          <w:highlight w:val="none"/>
          <w:lang w:eastAsia="zh-CN"/>
        </w:rPr>
        <w:t>竞争性比选文件</w:t>
      </w:r>
      <w:r>
        <w:rPr>
          <w:szCs w:val="21"/>
          <w:highlight w:val="none"/>
        </w:rPr>
        <w:t>第二章</w:t>
      </w:r>
      <w:r>
        <w:rPr>
          <w:rFonts w:hint="eastAsia"/>
          <w:szCs w:val="21"/>
          <w:highlight w:val="none"/>
        </w:rPr>
        <w:t>“</w:t>
      </w:r>
      <w:r>
        <w:rPr>
          <w:rFonts w:hint="eastAsia"/>
          <w:szCs w:val="21"/>
          <w:highlight w:val="none"/>
          <w:lang w:eastAsia="zh-CN"/>
        </w:rPr>
        <w:t>比选申请人</w:t>
      </w:r>
      <w:r>
        <w:rPr>
          <w:szCs w:val="21"/>
          <w:highlight w:val="none"/>
        </w:rPr>
        <w:t>须知</w:t>
      </w:r>
      <w:r>
        <w:rPr>
          <w:rFonts w:hint="eastAsia"/>
          <w:szCs w:val="21"/>
          <w:highlight w:val="none"/>
        </w:rPr>
        <w:t>”</w:t>
      </w:r>
      <w:r>
        <w:rPr>
          <w:szCs w:val="21"/>
          <w:highlight w:val="none"/>
        </w:rPr>
        <w:t>第7.</w:t>
      </w:r>
      <w:r>
        <w:rPr>
          <w:rFonts w:hint="eastAsia"/>
          <w:szCs w:val="21"/>
          <w:highlight w:val="none"/>
        </w:rPr>
        <w:t>3</w:t>
      </w:r>
      <w:r>
        <w:rPr>
          <w:szCs w:val="21"/>
          <w:highlight w:val="none"/>
        </w:rPr>
        <w:t>款规定向我方提交履约担保。</w:t>
      </w:r>
    </w:p>
    <w:p w14:paraId="1E5EA9A4">
      <w:pPr>
        <w:spacing w:line="360" w:lineRule="auto"/>
        <w:ind w:firstLine="420" w:firstLineChars="200"/>
        <w:rPr>
          <w:rFonts w:ascii="宋体" w:hAnsi="宋体"/>
          <w:kern w:val="0"/>
          <w:szCs w:val="21"/>
          <w:highlight w:val="none"/>
        </w:rPr>
      </w:pPr>
      <w:r>
        <w:rPr>
          <w:rFonts w:ascii="宋体" w:hAnsi="宋体"/>
          <w:kern w:val="0"/>
          <w:szCs w:val="21"/>
          <w:highlight w:val="none"/>
        </w:rPr>
        <w:t>特此通知。</w:t>
      </w:r>
    </w:p>
    <w:p w14:paraId="66C0984C">
      <w:pPr>
        <w:spacing w:line="480" w:lineRule="auto"/>
        <w:rPr>
          <w:rFonts w:ascii="宋体" w:hAnsi="宋体"/>
          <w:kern w:val="0"/>
          <w:sz w:val="24"/>
          <w:highlight w:val="none"/>
        </w:rPr>
      </w:pPr>
    </w:p>
    <w:p w14:paraId="26311165">
      <w:pPr>
        <w:spacing w:line="480" w:lineRule="auto"/>
        <w:rPr>
          <w:rFonts w:ascii="宋体" w:hAnsi="宋体"/>
          <w:kern w:val="0"/>
          <w:sz w:val="24"/>
          <w:highlight w:val="none"/>
        </w:rPr>
      </w:pPr>
    </w:p>
    <w:p w14:paraId="6CB2308D">
      <w:pPr>
        <w:spacing w:line="480" w:lineRule="auto"/>
        <w:rPr>
          <w:rFonts w:ascii="宋体" w:hAnsi="宋体"/>
          <w:kern w:val="0"/>
          <w:sz w:val="24"/>
          <w:highlight w:val="none"/>
        </w:rPr>
      </w:pPr>
    </w:p>
    <w:p w14:paraId="3BE8FC49">
      <w:pPr>
        <w:spacing w:line="480" w:lineRule="auto"/>
        <w:jc w:val="left"/>
        <w:rPr>
          <w:rFonts w:ascii="宋体" w:hAnsi="宋体"/>
          <w:kern w:val="0"/>
          <w:szCs w:val="21"/>
          <w:highlight w:val="none"/>
        </w:rPr>
      </w:pPr>
      <w:r>
        <w:rPr>
          <w:rFonts w:ascii="宋体" w:hAnsi="宋体"/>
          <w:kern w:val="0"/>
          <w:sz w:val="24"/>
          <w:highlight w:val="none"/>
        </w:rPr>
        <w:t xml:space="preserve">                                </w:t>
      </w:r>
      <w:r>
        <w:rPr>
          <w:rFonts w:hint="eastAsia" w:ascii="宋体" w:hAnsi="宋体"/>
          <w:kern w:val="0"/>
          <w:szCs w:val="21"/>
          <w:highlight w:val="none"/>
          <w:lang w:eastAsia="zh-CN"/>
        </w:rPr>
        <w:t>比选人</w:t>
      </w:r>
      <w:r>
        <w:rPr>
          <w:rFonts w:ascii="宋体" w:hAnsi="宋体"/>
          <w:snapToGrid w:val="0"/>
          <w:kern w:val="0"/>
          <w:szCs w:val="21"/>
          <w:highlight w:val="none"/>
        </w:rPr>
        <w:t>：</w:t>
      </w:r>
      <w:r>
        <w:rPr>
          <w:rFonts w:ascii="宋体" w:hAnsi="宋体"/>
          <w:kern w:val="0"/>
          <w:szCs w:val="21"/>
          <w:highlight w:val="none"/>
          <w:u w:val="single"/>
        </w:rPr>
        <w:t xml:space="preserve">                          </w:t>
      </w:r>
      <w:r>
        <w:rPr>
          <w:rFonts w:ascii="宋体" w:hAnsi="宋体"/>
          <w:kern w:val="0"/>
          <w:szCs w:val="21"/>
          <w:highlight w:val="none"/>
        </w:rPr>
        <w:t>（</w:t>
      </w:r>
      <w:r>
        <w:rPr>
          <w:rFonts w:ascii="宋体" w:hAnsi="宋体"/>
          <w:snapToGrid w:val="0"/>
          <w:kern w:val="0"/>
          <w:szCs w:val="21"/>
          <w:highlight w:val="none"/>
        </w:rPr>
        <w:t>盖单位法人章</w:t>
      </w:r>
      <w:r>
        <w:rPr>
          <w:rFonts w:ascii="宋体" w:hAnsi="宋体"/>
          <w:kern w:val="0"/>
          <w:szCs w:val="21"/>
          <w:highlight w:val="none"/>
        </w:rPr>
        <w:t>）</w:t>
      </w:r>
    </w:p>
    <w:p w14:paraId="1506BE7F">
      <w:pPr>
        <w:spacing w:line="480" w:lineRule="auto"/>
        <w:jc w:val="left"/>
        <w:rPr>
          <w:rFonts w:ascii="宋体" w:hAnsi="宋体"/>
          <w:kern w:val="0"/>
          <w:szCs w:val="21"/>
          <w:highlight w:val="none"/>
        </w:rPr>
      </w:pPr>
      <w:r>
        <w:rPr>
          <w:rFonts w:ascii="宋体" w:hAnsi="宋体"/>
          <w:kern w:val="0"/>
          <w:szCs w:val="21"/>
          <w:highlight w:val="none"/>
        </w:rPr>
        <w:t xml:space="preserve">                                 </w:t>
      </w:r>
      <w:r>
        <w:rPr>
          <w:rFonts w:hint="eastAsia" w:ascii="宋体" w:hAnsi="宋体"/>
          <w:kern w:val="0"/>
          <w:szCs w:val="21"/>
          <w:highlight w:val="none"/>
        </w:rPr>
        <w:t xml:space="preserve">    </w:t>
      </w:r>
      <w:r>
        <w:rPr>
          <w:rFonts w:ascii="宋体" w:hAnsi="宋体"/>
          <w:kern w:val="0"/>
          <w:szCs w:val="21"/>
          <w:highlight w:val="none"/>
        </w:rPr>
        <w:t>法定代表人</w:t>
      </w:r>
      <w:r>
        <w:rPr>
          <w:rFonts w:ascii="宋体" w:hAnsi="宋体"/>
          <w:snapToGrid w:val="0"/>
          <w:kern w:val="0"/>
          <w:szCs w:val="21"/>
          <w:highlight w:val="none"/>
        </w:rPr>
        <w:t>：</w:t>
      </w:r>
      <w:r>
        <w:rPr>
          <w:rFonts w:ascii="宋体" w:hAnsi="宋体"/>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ascii="宋体" w:hAnsi="宋体"/>
          <w:kern w:val="0"/>
          <w:szCs w:val="21"/>
          <w:highlight w:val="none"/>
        </w:rPr>
        <w:t>或盖章）</w:t>
      </w:r>
    </w:p>
    <w:p w14:paraId="4BA75AD6">
      <w:pPr>
        <w:spacing w:line="480" w:lineRule="auto"/>
        <w:jc w:val="left"/>
        <w:rPr>
          <w:rFonts w:ascii="宋体" w:hAnsi="宋体"/>
          <w:kern w:val="0"/>
          <w:szCs w:val="21"/>
          <w:highlight w:val="none"/>
          <w:u w:val="single"/>
        </w:rPr>
      </w:pPr>
      <w:r>
        <w:rPr>
          <w:rFonts w:ascii="宋体" w:hAnsi="宋体"/>
          <w:kern w:val="0"/>
          <w:szCs w:val="21"/>
          <w:highlight w:val="none"/>
        </w:rPr>
        <w:t xml:space="preserve">                                 </w:t>
      </w:r>
      <w:r>
        <w:rPr>
          <w:rFonts w:hint="eastAsia" w:ascii="宋体" w:hAnsi="宋体"/>
          <w:kern w:val="0"/>
          <w:szCs w:val="21"/>
          <w:highlight w:val="none"/>
        </w:rPr>
        <w:t xml:space="preserve">    </w:t>
      </w:r>
      <w:r>
        <w:rPr>
          <w:rFonts w:ascii="宋体" w:hAnsi="宋体"/>
          <w:kern w:val="0"/>
          <w:szCs w:val="21"/>
          <w:highlight w:val="none"/>
        </w:rPr>
        <w:t>联系人</w:t>
      </w:r>
      <w:r>
        <w:rPr>
          <w:rFonts w:ascii="宋体" w:hAnsi="宋体"/>
          <w:snapToGrid w:val="0"/>
          <w:kern w:val="0"/>
          <w:szCs w:val="21"/>
          <w:highlight w:val="none"/>
        </w:rPr>
        <w:t>：</w:t>
      </w:r>
      <w:r>
        <w:rPr>
          <w:rFonts w:ascii="宋体" w:hAnsi="宋体"/>
          <w:kern w:val="0"/>
          <w:szCs w:val="21"/>
          <w:highlight w:val="none"/>
          <w:u w:val="single"/>
        </w:rPr>
        <w:t xml:space="preserve">                          </w:t>
      </w:r>
    </w:p>
    <w:p w14:paraId="537EAA84">
      <w:pPr>
        <w:spacing w:line="480" w:lineRule="auto"/>
        <w:jc w:val="left"/>
        <w:rPr>
          <w:rFonts w:ascii="宋体" w:hAnsi="宋体"/>
          <w:kern w:val="0"/>
          <w:szCs w:val="21"/>
          <w:highlight w:val="none"/>
        </w:rPr>
      </w:pPr>
      <w:r>
        <w:rPr>
          <w:rFonts w:ascii="宋体" w:hAnsi="宋体"/>
          <w:kern w:val="0"/>
          <w:szCs w:val="21"/>
          <w:highlight w:val="none"/>
        </w:rPr>
        <w:t xml:space="preserve">                                 </w:t>
      </w:r>
      <w:r>
        <w:rPr>
          <w:rFonts w:hint="eastAsia" w:ascii="宋体" w:hAnsi="宋体"/>
          <w:kern w:val="0"/>
          <w:szCs w:val="21"/>
          <w:highlight w:val="none"/>
        </w:rPr>
        <w:t xml:space="preserve">    </w:t>
      </w:r>
      <w:r>
        <w:rPr>
          <w:rFonts w:ascii="宋体" w:hAnsi="宋体"/>
          <w:kern w:val="0"/>
          <w:szCs w:val="21"/>
          <w:highlight w:val="none"/>
        </w:rPr>
        <w:t>联系电话</w:t>
      </w:r>
      <w:r>
        <w:rPr>
          <w:rFonts w:ascii="宋体" w:hAnsi="宋体"/>
          <w:snapToGrid w:val="0"/>
          <w:kern w:val="0"/>
          <w:szCs w:val="21"/>
          <w:highlight w:val="none"/>
        </w:rPr>
        <w:t>：</w:t>
      </w:r>
      <w:r>
        <w:rPr>
          <w:rFonts w:ascii="宋体" w:hAnsi="宋体"/>
          <w:kern w:val="0"/>
          <w:szCs w:val="21"/>
          <w:highlight w:val="none"/>
          <w:u w:val="single"/>
        </w:rPr>
        <w:t xml:space="preserve">                        </w:t>
      </w:r>
    </w:p>
    <w:p w14:paraId="5D14AD77">
      <w:pPr>
        <w:spacing w:line="480" w:lineRule="auto"/>
        <w:jc w:val="right"/>
        <w:rPr>
          <w:rFonts w:ascii="宋体" w:hAnsi="宋体"/>
          <w:kern w:val="0"/>
          <w:szCs w:val="21"/>
          <w:highlight w:val="none"/>
        </w:rPr>
      </w:pPr>
    </w:p>
    <w:p w14:paraId="1569E9AC">
      <w:pPr>
        <w:spacing w:line="480" w:lineRule="auto"/>
        <w:jc w:val="right"/>
        <w:rPr>
          <w:rFonts w:ascii="宋体" w:hAnsi="宋体"/>
          <w:kern w:val="0"/>
          <w:szCs w:val="21"/>
          <w:highlight w:val="none"/>
        </w:rPr>
      </w:pPr>
    </w:p>
    <w:p w14:paraId="6563655A">
      <w:pPr>
        <w:spacing w:line="480" w:lineRule="auto"/>
        <w:jc w:val="right"/>
        <w:rPr>
          <w:rFonts w:ascii="宋体" w:hAnsi="宋体"/>
          <w:kern w:val="0"/>
          <w:sz w:val="24"/>
          <w:highlight w:val="none"/>
        </w:rPr>
      </w:pPr>
      <w:r>
        <w:rPr>
          <w:rFonts w:ascii="宋体" w:hAnsi="宋体"/>
          <w:kern w:val="0"/>
          <w:szCs w:val="21"/>
          <w:highlight w:val="none"/>
        </w:rPr>
        <w:t xml:space="preserve">                   签发日期</w:t>
      </w:r>
      <w:r>
        <w:rPr>
          <w:rFonts w:ascii="宋体" w:hAnsi="宋体"/>
          <w:snapToGrid w:val="0"/>
          <w:kern w:val="0"/>
          <w:szCs w:val="21"/>
          <w:highlight w:val="none"/>
        </w:rPr>
        <w:t>：</w:t>
      </w:r>
      <w:r>
        <w:rPr>
          <w:rFonts w:ascii="宋体" w:hAnsi="宋体"/>
          <w:kern w:val="0"/>
          <w:szCs w:val="21"/>
          <w:highlight w:val="none"/>
          <w:u w:val="single"/>
        </w:rPr>
        <w:t xml:space="preserve">        </w:t>
      </w:r>
      <w:r>
        <w:rPr>
          <w:rFonts w:ascii="宋体" w:hAnsi="宋体"/>
          <w:kern w:val="0"/>
          <w:szCs w:val="21"/>
          <w:highlight w:val="none"/>
        </w:rPr>
        <w:t>年</w:t>
      </w:r>
      <w:r>
        <w:rPr>
          <w:rFonts w:ascii="宋体" w:hAnsi="宋体"/>
          <w:kern w:val="0"/>
          <w:szCs w:val="21"/>
          <w:highlight w:val="none"/>
          <w:u w:val="single"/>
        </w:rPr>
        <w:t xml:space="preserve">     </w:t>
      </w:r>
      <w:r>
        <w:rPr>
          <w:rFonts w:ascii="宋体" w:hAnsi="宋体"/>
          <w:kern w:val="0"/>
          <w:szCs w:val="21"/>
          <w:highlight w:val="none"/>
        </w:rPr>
        <w:t>月</w:t>
      </w:r>
      <w:r>
        <w:rPr>
          <w:rFonts w:ascii="宋体" w:hAnsi="宋体"/>
          <w:kern w:val="0"/>
          <w:szCs w:val="21"/>
          <w:highlight w:val="none"/>
          <w:u w:val="single"/>
        </w:rPr>
        <w:t xml:space="preserve">     </w:t>
      </w:r>
      <w:r>
        <w:rPr>
          <w:rFonts w:ascii="宋体" w:hAnsi="宋体"/>
          <w:kern w:val="0"/>
          <w:szCs w:val="21"/>
          <w:highlight w:val="none"/>
        </w:rPr>
        <w:t>日</w:t>
      </w:r>
    </w:p>
    <w:p w14:paraId="3AEAE08F">
      <w:pPr>
        <w:pStyle w:val="13"/>
        <w:spacing w:line="360" w:lineRule="auto"/>
        <w:jc w:val="both"/>
        <w:rPr>
          <w:rFonts w:ascii="宋体" w:hAnsi="宋体"/>
          <w:sz w:val="21"/>
          <w:szCs w:val="21"/>
          <w:highlight w:val="none"/>
          <w:u w:val="none"/>
          <w:lang w:eastAsia="zh-CN"/>
        </w:rPr>
      </w:pPr>
    </w:p>
    <w:p w14:paraId="35FB1DCE">
      <w:pPr>
        <w:spacing w:line="200" w:lineRule="exact"/>
        <w:rPr>
          <w:rFonts w:ascii="宋体" w:hAnsi="宋体"/>
          <w:kern w:val="0"/>
          <w:highlight w:val="none"/>
        </w:rPr>
      </w:pPr>
      <w:r>
        <w:rPr>
          <w:rFonts w:ascii="宋体" w:hAnsi="宋体"/>
          <w:snapToGrid w:val="0"/>
          <w:kern w:val="0"/>
          <w:highlight w:val="none"/>
        </w:rPr>
        <w:br w:type="page"/>
      </w:r>
      <w:bookmarkStart w:id="562" w:name="招标文件03章02评标办法综合评估法00"/>
      <w:bookmarkEnd w:id="562"/>
      <w:bookmarkStart w:id="563" w:name="招标文件03章02评标办法综合评估法"/>
      <w:bookmarkEnd w:id="563"/>
      <w:bookmarkStart w:id="564" w:name="_Toc287607812"/>
      <w:bookmarkStart w:id="565" w:name="_Toc224103384"/>
      <w:bookmarkStart w:id="566" w:name="_Toc200513198"/>
      <w:bookmarkStart w:id="567" w:name="_Toc430530500"/>
      <w:bookmarkStart w:id="568" w:name="_Toc277082618"/>
      <w:bookmarkStart w:id="569" w:name="_Toc287620751"/>
    </w:p>
    <w:p w14:paraId="38E4F85B">
      <w:pPr>
        <w:pStyle w:val="3"/>
        <w:spacing w:line="360" w:lineRule="auto"/>
        <w:ind w:firstLine="883" w:firstLineChars="200"/>
        <w:jc w:val="center"/>
        <w:rPr>
          <w:rFonts w:ascii="宋体" w:hAnsi="宋体"/>
          <w:highlight w:val="none"/>
        </w:rPr>
      </w:pPr>
      <w:bookmarkStart w:id="570" w:name="_Toc509218774"/>
      <w:bookmarkStart w:id="571" w:name="_Toc1850"/>
      <w:bookmarkStart w:id="572" w:name="_Toc21665"/>
      <w:r>
        <w:rPr>
          <w:rFonts w:ascii="宋体" w:hAnsi="宋体"/>
          <w:highlight w:val="none"/>
        </w:rPr>
        <w:t xml:space="preserve">第三章 </w:t>
      </w:r>
      <w:r>
        <w:rPr>
          <w:rFonts w:hint="eastAsia" w:ascii="宋体" w:hAnsi="宋体"/>
          <w:highlight w:val="none"/>
        </w:rPr>
        <w:t xml:space="preserve"> </w:t>
      </w:r>
      <w:r>
        <w:rPr>
          <w:rFonts w:ascii="宋体" w:hAnsi="宋体"/>
          <w:highlight w:val="none"/>
        </w:rPr>
        <w:t>评标办法（综合评估法）</w:t>
      </w:r>
      <w:bookmarkEnd w:id="570"/>
      <w:bookmarkEnd w:id="571"/>
      <w:bookmarkEnd w:id="572"/>
      <w:bookmarkStart w:id="573" w:name="_Toc224103383"/>
      <w:bookmarkStart w:id="574" w:name="_Toc287607811"/>
      <w:bookmarkStart w:id="575" w:name="_Toc287620750"/>
      <w:bookmarkStart w:id="576" w:name="_Toc277082617"/>
      <w:bookmarkStart w:id="577" w:name="_Toc430530499"/>
    </w:p>
    <w:p w14:paraId="6F031FBB">
      <w:pPr>
        <w:pStyle w:val="4"/>
        <w:spacing w:before="100" w:after="100" w:line="360" w:lineRule="auto"/>
        <w:rPr>
          <w:rFonts w:ascii="宋体" w:hAnsi="宋体"/>
          <w:highlight w:val="none"/>
        </w:rPr>
      </w:pPr>
      <w:bookmarkStart w:id="578" w:name="_Toc509218775"/>
      <w:bookmarkStart w:id="579" w:name="_Toc12557"/>
      <w:bookmarkStart w:id="580" w:name="_Toc29769"/>
      <w:r>
        <w:rPr>
          <w:rFonts w:hint="eastAsia" w:ascii="宋体" w:hAnsi="宋体"/>
          <w:highlight w:val="none"/>
        </w:rPr>
        <w:t>评标办法前附表</w:t>
      </w:r>
      <w:bookmarkEnd w:id="578"/>
      <w:bookmarkEnd w:id="579"/>
      <w:bookmarkEnd w:id="580"/>
    </w:p>
    <w:p w14:paraId="4AA47C38">
      <w:pPr>
        <w:spacing w:line="360" w:lineRule="auto"/>
        <w:ind w:firstLine="420" w:firstLineChars="200"/>
        <w:rPr>
          <w:szCs w:val="21"/>
          <w:highlight w:val="none"/>
        </w:rPr>
      </w:pPr>
      <w:r>
        <w:rPr>
          <w:szCs w:val="21"/>
          <w:highlight w:val="none"/>
        </w:rPr>
        <w:t>评标办法中的评审内容必须和</w:t>
      </w:r>
      <w:r>
        <w:rPr>
          <w:rFonts w:hint="eastAsia"/>
          <w:szCs w:val="21"/>
          <w:highlight w:val="none"/>
          <w:lang w:eastAsia="zh-CN"/>
        </w:rPr>
        <w:t>比选申请人</w:t>
      </w:r>
      <w:r>
        <w:rPr>
          <w:szCs w:val="21"/>
          <w:highlight w:val="none"/>
        </w:rPr>
        <w:t>须知中的对应内容一致，若</w:t>
      </w:r>
      <w:r>
        <w:rPr>
          <w:rFonts w:hint="eastAsia"/>
          <w:szCs w:val="21"/>
          <w:highlight w:val="none"/>
          <w:lang w:eastAsia="zh-CN"/>
        </w:rPr>
        <w:t>比选申请人</w:t>
      </w:r>
      <w:r>
        <w:rPr>
          <w:szCs w:val="21"/>
          <w:highlight w:val="none"/>
        </w:rPr>
        <w:t>须知中未作要求的内容，不得列入评标办法作为评定依据。</w:t>
      </w:r>
    </w:p>
    <w:tbl>
      <w:tblPr>
        <w:tblStyle w:val="17"/>
        <w:tblW w:w="947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1628"/>
        <w:gridCol w:w="734"/>
        <w:gridCol w:w="1570"/>
        <w:gridCol w:w="371"/>
        <w:gridCol w:w="4317"/>
      </w:tblGrid>
      <w:tr w14:paraId="4B6086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tcBorders>
              <w:right w:val="single" w:color="auto" w:sz="4" w:space="0"/>
            </w:tcBorders>
            <w:vAlign w:val="center"/>
          </w:tcPr>
          <w:p w14:paraId="19A61D53">
            <w:pPr>
              <w:spacing w:line="400" w:lineRule="exact"/>
              <w:jc w:val="center"/>
              <w:rPr>
                <w:rFonts w:ascii="宋体" w:hAnsi="宋体"/>
                <w:b/>
                <w:kern w:val="0"/>
                <w:highlight w:val="none"/>
              </w:rPr>
            </w:pPr>
            <w:r>
              <w:rPr>
                <w:rFonts w:ascii="宋体" w:hAnsi="宋体"/>
                <w:b/>
                <w:kern w:val="0"/>
                <w:highlight w:val="none"/>
              </w:rPr>
              <w:t>条款号</w:t>
            </w:r>
          </w:p>
        </w:tc>
        <w:tc>
          <w:tcPr>
            <w:tcW w:w="1628" w:type="dxa"/>
            <w:tcBorders>
              <w:left w:val="single" w:color="auto" w:sz="4" w:space="0"/>
            </w:tcBorders>
            <w:vAlign w:val="center"/>
          </w:tcPr>
          <w:p w14:paraId="3004EB17">
            <w:pPr>
              <w:spacing w:line="400" w:lineRule="exact"/>
              <w:jc w:val="center"/>
              <w:rPr>
                <w:rFonts w:ascii="宋体" w:hAnsi="宋体"/>
                <w:b/>
                <w:kern w:val="0"/>
                <w:highlight w:val="none"/>
              </w:rPr>
            </w:pPr>
            <w:r>
              <w:rPr>
                <w:rFonts w:ascii="宋体" w:hAnsi="宋体"/>
                <w:b/>
                <w:kern w:val="0"/>
                <w:highlight w:val="none"/>
              </w:rPr>
              <w:t>评审因素</w:t>
            </w:r>
          </w:p>
        </w:tc>
        <w:tc>
          <w:tcPr>
            <w:tcW w:w="6992" w:type="dxa"/>
            <w:gridSpan w:val="4"/>
            <w:vAlign w:val="center"/>
          </w:tcPr>
          <w:p w14:paraId="6FDEFA42">
            <w:pPr>
              <w:spacing w:line="400" w:lineRule="exact"/>
              <w:jc w:val="center"/>
              <w:rPr>
                <w:rFonts w:ascii="宋体" w:hAnsi="宋体"/>
                <w:b/>
                <w:kern w:val="0"/>
                <w:highlight w:val="none"/>
              </w:rPr>
            </w:pPr>
            <w:r>
              <w:rPr>
                <w:rFonts w:ascii="宋体" w:hAnsi="宋体"/>
                <w:b/>
                <w:kern w:val="0"/>
                <w:highlight w:val="none"/>
              </w:rPr>
              <w:t>评审标准</w:t>
            </w:r>
          </w:p>
        </w:tc>
      </w:tr>
      <w:tr w14:paraId="454CFE6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restart"/>
            <w:tcBorders>
              <w:right w:val="single" w:color="auto" w:sz="4" w:space="0"/>
            </w:tcBorders>
            <w:vAlign w:val="center"/>
          </w:tcPr>
          <w:p w14:paraId="5E6040AF">
            <w:pPr>
              <w:spacing w:line="400" w:lineRule="exact"/>
              <w:jc w:val="center"/>
              <w:rPr>
                <w:rFonts w:ascii="宋体" w:hAnsi="宋体"/>
                <w:kern w:val="0"/>
                <w:highlight w:val="none"/>
              </w:rPr>
            </w:pPr>
            <w:r>
              <w:rPr>
                <w:rFonts w:ascii="宋体" w:hAnsi="宋体"/>
                <w:kern w:val="0"/>
                <w:highlight w:val="none"/>
              </w:rPr>
              <w:t>2.1.</w:t>
            </w:r>
            <w:r>
              <w:rPr>
                <w:rFonts w:hint="eastAsia" w:ascii="宋体" w:hAnsi="宋体"/>
                <w:kern w:val="0"/>
                <w:highlight w:val="none"/>
              </w:rPr>
              <w:t>1</w:t>
            </w:r>
          </w:p>
        </w:tc>
        <w:tc>
          <w:tcPr>
            <w:tcW w:w="1628" w:type="dxa"/>
            <w:vMerge w:val="restart"/>
            <w:tcBorders>
              <w:right w:val="single" w:color="auto" w:sz="4" w:space="0"/>
            </w:tcBorders>
            <w:vAlign w:val="center"/>
          </w:tcPr>
          <w:p w14:paraId="1C3D7CB3">
            <w:pPr>
              <w:spacing w:line="400" w:lineRule="exact"/>
              <w:jc w:val="center"/>
              <w:rPr>
                <w:rFonts w:ascii="宋体" w:hAnsi="宋体"/>
                <w:kern w:val="0"/>
                <w:highlight w:val="none"/>
              </w:rPr>
            </w:pPr>
            <w:r>
              <w:rPr>
                <w:rFonts w:ascii="宋体" w:hAnsi="宋体"/>
                <w:kern w:val="0"/>
                <w:highlight w:val="none"/>
              </w:rPr>
              <w:t>资格评审标准</w:t>
            </w:r>
          </w:p>
        </w:tc>
        <w:tc>
          <w:tcPr>
            <w:tcW w:w="2304" w:type="dxa"/>
            <w:gridSpan w:val="2"/>
            <w:tcBorders>
              <w:left w:val="single" w:color="auto" w:sz="4" w:space="0"/>
            </w:tcBorders>
            <w:vAlign w:val="center"/>
          </w:tcPr>
          <w:p w14:paraId="59378579">
            <w:pPr>
              <w:spacing w:line="400" w:lineRule="exact"/>
              <w:jc w:val="left"/>
              <w:rPr>
                <w:rFonts w:ascii="宋体" w:hAnsi="宋体"/>
                <w:kern w:val="0"/>
                <w:highlight w:val="none"/>
              </w:rPr>
            </w:pPr>
            <w:r>
              <w:rPr>
                <w:rFonts w:hint="eastAsia" w:ascii="宋体" w:hAnsi="宋体"/>
                <w:kern w:val="0"/>
                <w:highlight w:val="none"/>
              </w:rPr>
              <w:t>资质条件</w:t>
            </w:r>
          </w:p>
        </w:tc>
        <w:tc>
          <w:tcPr>
            <w:tcW w:w="4688" w:type="dxa"/>
            <w:gridSpan w:val="2"/>
            <w:vAlign w:val="center"/>
          </w:tcPr>
          <w:p w14:paraId="2F8F046B">
            <w:pPr>
              <w:spacing w:line="400" w:lineRule="exact"/>
              <w:ind w:firstLine="420" w:firstLineChars="200"/>
              <w:jc w:val="left"/>
              <w:rPr>
                <w:rFonts w:hint="eastAsia" w:ascii="宋体" w:hAnsi="宋体" w:eastAsia="宋体"/>
                <w:kern w:val="0"/>
                <w:highlight w:val="none"/>
                <w:lang w:eastAsia="zh-CN"/>
              </w:rPr>
            </w:pPr>
            <w:r>
              <w:rPr>
                <w:rFonts w:ascii="宋体" w:hAnsi="宋体"/>
                <w:kern w:val="0"/>
                <w:highlight w:val="none"/>
              </w:rPr>
              <w:t>符合第二章“</w:t>
            </w:r>
            <w:r>
              <w:rPr>
                <w:rFonts w:hint="eastAsia" w:ascii="宋体" w:hAnsi="宋体"/>
                <w:kern w:val="0"/>
                <w:highlight w:val="none"/>
                <w:lang w:eastAsia="zh-CN"/>
              </w:rPr>
              <w:t>比选申请人</w:t>
            </w:r>
            <w:r>
              <w:rPr>
                <w:rFonts w:ascii="宋体" w:hAnsi="宋体"/>
                <w:kern w:val="0"/>
                <w:highlight w:val="none"/>
              </w:rPr>
              <w:t>须知”第1.4.1项规定</w:t>
            </w:r>
            <w:r>
              <w:rPr>
                <w:rFonts w:hint="eastAsia" w:ascii="宋体" w:hAnsi="宋体"/>
                <w:kern w:val="0"/>
                <w:highlight w:val="none"/>
                <w:lang w:eastAsia="zh-CN"/>
              </w:rPr>
              <w:t>。</w:t>
            </w:r>
          </w:p>
        </w:tc>
      </w:tr>
      <w:tr w14:paraId="6FA1987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tcPr>
          <w:p w14:paraId="5FFFBB60">
            <w:pPr>
              <w:spacing w:line="400" w:lineRule="exact"/>
              <w:jc w:val="center"/>
              <w:rPr>
                <w:rFonts w:ascii="宋体" w:hAnsi="宋体"/>
                <w:kern w:val="0"/>
                <w:highlight w:val="none"/>
              </w:rPr>
            </w:pPr>
          </w:p>
        </w:tc>
        <w:tc>
          <w:tcPr>
            <w:tcW w:w="1628" w:type="dxa"/>
            <w:vMerge w:val="continue"/>
            <w:tcBorders>
              <w:right w:val="single" w:color="auto" w:sz="4" w:space="0"/>
            </w:tcBorders>
          </w:tcPr>
          <w:p w14:paraId="29EBE165">
            <w:pPr>
              <w:spacing w:line="400" w:lineRule="exact"/>
              <w:jc w:val="center"/>
              <w:rPr>
                <w:rFonts w:ascii="宋体" w:hAnsi="宋体"/>
                <w:kern w:val="0"/>
                <w:highlight w:val="none"/>
              </w:rPr>
            </w:pPr>
          </w:p>
        </w:tc>
        <w:tc>
          <w:tcPr>
            <w:tcW w:w="2304" w:type="dxa"/>
            <w:gridSpan w:val="2"/>
            <w:tcBorders>
              <w:left w:val="single" w:color="auto" w:sz="4" w:space="0"/>
            </w:tcBorders>
          </w:tcPr>
          <w:p w14:paraId="6463A156">
            <w:pPr>
              <w:spacing w:line="400" w:lineRule="exact"/>
              <w:jc w:val="left"/>
              <w:rPr>
                <w:rFonts w:hint="eastAsia" w:ascii="宋体" w:hAnsi="宋体" w:eastAsia="宋体"/>
                <w:kern w:val="0"/>
                <w:highlight w:val="none"/>
                <w:lang w:eastAsia="zh-CN"/>
              </w:rPr>
            </w:pPr>
            <w:r>
              <w:rPr>
                <w:rFonts w:hint="eastAsia" w:ascii="宋体" w:hAnsi="宋体"/>
                <w:kern w:val="0"/>
                <w:highlight w:val="none"/>
                <w:lang w:eastAsia="zh-CN"/>
              </w:rPr>
              <w:t>独立法人资格</w:t>
            </w:r>
          </w:p>
        </w:tc>
        <w:tc>
          <w:tcPr>
            <w:tcW w:w="4688" w:type="dxa"/>
            <w:gridSpan w:val="2"/>
            <w:vAlign w:val="center"/>
          </w:tcPr>
          <w:p w14:paraId="040C1E67">
            <w:pPr>
              <w:spacing w:line="400" w:lineRule="exact"/>
              <w:ind w:firstLine="420" w:firstLineChars="200"/>
              <w:jc w:val="left"/>
              <w:rPr>
                <w:rFonts w:hint="eastAsia" w:ascii="宋体" w:hAnsi="宋体" w:eastAsia="宋体"/>
                <w:kern w:val="0"/>
                <w:highlight w:val="none"/>
                <w:lang w:eastAsia="zh-CN"/>
              </w:rPr>
            </w:pPr>
            <w:r>
              <w:rPr>
                <w:rFonts w:ascii="宋体" w:hAnsi="宋体"/>
                <w:kern w:val="0"/>
                <w:highlight w:val="none"/>
              </w:rPr>
              <w:t>符合第二章“</w:t>
            </w:r>
            <w:r>
              <w:rPr>
                <w:rFonts w:hint="eastAsia" w:ascii="宋体" w:hAnsi="宋体"/>
                <w:kern w:val="0"/>
                <w:highlight w:val="none"/>
                <w:lang w:eastAsia="zh-CN"/>
              </w:rPr>
              <w:t>比选申请人</w:t>
            </w:r>
            <w:r>
              <w:rPr>
                <w:rFonts w:ascii="宋体" w:hAnsi="宋体"/>
                <w:kern w:val="0"/>
                <w:highlight w:val="none"/>
              </w:rPr>
              <w:t>须知”第1.4.1项规定</w:t>
            </w:r>
            <w:r>
              <w:rPr>
                <w:rFonts w:hint="eastAsia" w:ascii="宋体" w:hAnsi="宋体"/>
                <w:kern w:val="0"/>
                <w:highlight w:val="none"/>
                <w:lang w:eastAsia="zh-CN"/>
              </w:rPr>
              <w:t>。</w:t>
            </w:r>
          </w:p>
        </w:tc>
      </w:tr>
      <w:tr w14:paraId="1C2AB19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tcPr>
          <w:p w14:paraId="7E4091A9">
            <w:pPr>
              <w:spacing w:line="400" w:lineRule="exact"/>
              <w:jc w:val="center"/>
              <w:rPr>
                <w:rFonts w:ascii="宋体" w:hAnsi="宋体"/>
                <w:kern w:val="0"/>
                <w:highlight w:val="none"/>
              </w:rPr>
            </w:pPr>
          </w:p>
        </w:tc>
        <w:tc>
          <w:tcPr>
            <w:tcW w:w="1628" w:type="dxa"/>
            <w:vMerge w:val="continue"/>
            <w:tcBorders>
              <w:right w:val="single" w:color="auto" w:sz="4" w:space="0"/>
            </w:tcBorders>
          </w:tcPr>
          <w:p w14:paraId="7C23EE39">
            <w:pPr>
              <w:spacing w:line="400" w:lineRule="exact"/>
              <w:jc w:val="center"/>
              <w:rPr>
                <w:rFonts w:ascii="宋体" w:hAnsi="宋体"/>
                <w:kern w:val="0"/>
                <w:highlight w:val="none"/>
              </w:rPr>
            </w:pPr>
          </w:p>
        </w:tc>
        <w:tc>
          <w:tcPr>
            <w:tcW w:w="2304" w:type="dxa"/>
            <w:gridSpan w:val="2"/>
            <w:tcBorders>
              <w:left w:val="single" w:color="auto" w:sz="4" w:space="0"/>
            </w:tcBorders>
          </w:tcPr>
          <w:p w14:paraId="156BF774">
            <w:pPr>
              <w:spacing w:line="400" w:lineRule="exact"/>
              <w:jc w:val="left"/>
              <w:rPr>
                <w:rFonts w:ascii="宋体" w:hAnsi="宋体"/>
                <w:kern w:val="0"/>
                <w:highlight w:val="none"/>
              </w:rPr>
            </w:pPr>
            <w:r>
              <w:rPr>
                <w:rFonts w:hint="eastAsia" w:ascii="宋体" w:hAnsi="宋体"/>
                <w:kern w:val="0"/>
                <w:highlight w:val="none"/>
              </w:rPr>
              <w:t>安全生产条件</w:t>
            </w:r>
          </w:p>
        </w:tc>
        <w:tc>
          <w:tcPr>
            <w:tcW w:w="4688" w:type="dxa"/>
            <w:gridSpan w:val="2"/>
            <w:vAlign w:val="center"/>
          </w:tcPr>
          <w:p w14:paraId="2243C5CC">
            <w:pPr>
              <w:spacing w:line="400" w:lineRule="exact"/>
              <w:ind w:firstLine="420" w:firstLineChars="200"/>
              <w:jc w:val="left"/>
              <w:rPr>
                <w:rFonts w:hint="eastAsia" w:ascii="宋体" w:hAnsi="宋体" w:eastAsia="宋体"/>
                <w:kern w:val="0"/>
                <w:highlight w:val="none"/>
                <w:lang w:eastAsia="zh-CN"/>
              </w:rPr>
            </w:pPr>
            <w:r>
              <w:rPr>
                <w:rFonts w:ascii="宋体" w:hAnsi="宋体"/>
                <w:kern w:val="0"/>
                <w:highlight w:val="none"/>
              </w:rPr>
              <w:t>符合第二章“</w:t>
            </w:r>
            <w:r>
              <w:rPr>
                <w:rFonts w:hint="eastAsia" w:ascii="宋体" w:hAnsi="宋体"/>
                <w:kern w:val="0"/>
                <w:highlight w:val="none"/>
                <w:lang w:eastAsia="zh-CN"/>
              </w:rPr>
              <w:t>比选申请人</w:t>
            </w:r>
            <w:r>
              <w:rPr>
                <w:rFonts w:ascii="宋体" w:hAnsi="宋体"/>
                <w:kern w:val="0"/>
                <w:highlight w:val="none"/>
              </w:rPr>
              <w:t>须知”第1.4.1项规定</w:t>
            </w:r>
            <w:r>
              <w:rPr>
                <w:rFonts w:hint="eastAsia" w:ascii="宋体" w:hAnsi="宋体"/>
                <w:kern w:val="0"/>
                <w:highlight w:val="none"/>
                <w:lang w:eastAsia="zh-CN"/>
              </w:rPr>
              <w:t>。</w:t>
            </w:r>
          </w:p>
        </w:tc>
      </w:tr>
      <w:tr w14:paraId="076CF03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tcPr>
          <w:p w14:paraId="6A20F1A2">
            <w:pPr>
              <w:spacing w:line="400" w:lineRule="exact"/>
              <w:jc w:val="center"/>
              <w:rPr>
                <w:rFonts w:ascii="宋体" w:hAnsi="宋体"/>
                <w:kern w:val="0"/>
                <w:highlight w:val="none"/>
              </w:rPr>
            </w:pPr>
          </w:p>
        </w:tc>
        <w:tc>
          <w:tcPr>
            <w:tcW w:w="1628" w:type="dxa"/>
            <w:vMerge w:val="continue"/>
            <w:tcBorders>
              <w:right w:val="single" w:color="auto" w:sz="4" w:space="0"/>
            </w:tcBorders>
          </w:tcPr>
          <w:p w14:paraId="3BE3C9A2">
            <w:pPr>
              <w:spacing w:line="400" w:lineRule="exact"/>
              <w:jc w:val="center"/>
              <w:rPr>
                <w:rFonts w:ascii="宋体" w:hAnsi="宋体"/>
                <w:kern w:val="0"/>
                <w:highlight w:val="none"/>
              </w:rPr>
            </w:pPr>
          </w:p>
        </w:tc>
        <w:tc>
          <w:tcPr>
            <w:tcW w:w="2304" w:type="dxa"/>
            <w:gridSpan w:val="2"/>
            <w:tcBorders>
              <w:left w:val="single" w:color="auto" w:sz="4" w:space="0"/>
            </w:tcBorders>
            <w:vAlign w:val="center"/>
          </w:tcPr>
          <w:p w14:paraId="799F3712">
            <w:pPr>
              <w:spacing w:line="400" w:lineRule="exact"/>
              <w:jc w:val="left"/>
              <w:rPr>
                <w:rFonts w:ascii="宋体" w:hAnsi="宋体"/>
                <w:kern w:val="0"/>
                <w:highlight w:val="none"/>
              </w:rPr>
            </w:pPr>
            <w:r>
              <w:rPr>
                <w:rFonts w:ascii="宋体" w:hAnsi="宋体"/>
                <w:kern w:val="0"/>
                <w:highlight w:val="none"/>
              </w:rPr>
              <w:t>财务</w:t>
            </w:r>
            <w:r>
              <w:rPr>
                <w:rFonts w:hint="eastAsia" w:ascii="宋体" w:hAnsi="宋体"/>
                <w:kern w:val="0"/>
                <w:highlight w:val="none"/>
              </w:rPr>
              <w:t>要求</w:t>
            </w:r>
          </w:p>
        </w:tc>
        <w:tc>
          <w:tcPr>
            <w:tcW w:w="4688" w:type="dxa"/>
            <w:gridSpan w:val="2"/>
            <w:vAlign w:val="center"/>
          </w:tcPr>
          <w:p w14:paraId="1D1CCDC8">
            <w:pPr>
              <w:spacing w:line="400" w:lineRule="exact"/>
              <w:ind w:firstLine="420" w:firstLineChars="200"/>
              <w:jc w:val="left"/>
              <w:rPr>
                <w:rFonts w:hint="eastAsia" w:ascii="宋体" w:hAnsi="宋体" w:eastAsia="宋体"/>
                <w:kern w:val="0"/>
                <w:highlight w:val="none"/>
                <w:lang w:eastAsia="zh-CN"/>
              </w:rPr>
            </w:pPr>
            <w:r>
              <w:rPr>
                <w:rFonts w:ascii="宋体" w:hAnsi="宋体"/>
                <w:kern w:val="0"/>
                <w:highlight w:val="none"/>
              </w:rPr>
              <w:t>符合第二章“</w:t>
            </w:r>
            <w:r>
              <w:rPr>
                <w:rFonts w:hint="eastAsia" w:ascii="宋体" w:hAnsi="宋体"/>
                <w:kern w:val="0"/>
                <w:highlight w:val="none"/>
                <w:lang w:eastAsia="zh-CN"/>
              </w:rPr>
              <w:t>比选申请人</w:t>
            </w:r>
            <w:r>
              <w:rPr>
                <w:rFonts w:ascii="宋体" w:hAnsi="宋体"/>
                <w:kern w:val="0"/>
                <w:highlight w:val="none"/>
              </w:rPr>
              <w:t>须知”第1.4.1项规定</w:t>
            </w:r>
            <w:r>
              <w:rPr>
                <w:rFonts w:hint="eastAsia" w:ascii="宋体" w:hAnsi="宋体"/>
                <w:kern w:val="0"/>
                <w:highlight w:val="none"/>
                <w:lang w:eastAsia="zh-CN"/>
              </w:rPr>
              <w:t>。</w:t>
            </w:r>
          </w:p>
        </w:tc>
      </w:tr>
      <w:tr w14:paraId="082A74E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tcPr>
          <w:p w14:paraId="297353B3">
            <w:pPr>
              <w:spacing w:line="400" w:lineRule="exact"/>
              <w:jc w:val="center"/>
              <w:rPr>
                <w:rFonts w:ascii="宋体" w:hAnsi="宋体"/>
                <w:kern w:val="0"/>
                <w:highlight w:val="none"/>
              </w:rPr>
            </w:pPr>
          </w:p>
        </w:tc>
        <w:tc>
          <w:tcPr>
            <w:tcW w:w="1628" w:type="dxa"/>
            <w:vMerge w:val="continue"/>
            <w:tcBorders>
              <w:right w:val="single" w:color="auto" w:sz="4" w:space="0"/>
            </w:tcBorders>
          </w:tcPr>
          <w:p w14:paraId="0B187F8B">
            <w:pPr>
              <w:spacing w:line="400" w:lineRule="exact"/>
              <w:jc w:val="center"/>
              <w:rPr>
                <w:rFonts w:ascii="宋体" w:hAnsi="宋体"/>
                <w:kern w:val="0"/>
                <w:highlight w:val="none"/>
              </w:rPr>
            </w:pPr>
          </w:p>
        </w:tc>
        <w:tc>
          <w:tcPr>
            <w:tcW w:w="2304" w:type="dxa"/>
            <w:gridSpan w:val="2"/>
            <w:tcBorders>
              <w:left w:val="single" w:color="auto" w:sz="4" w:space="0"/>
            </w:tcBorders>
          </w:tcPr>
          <w:p w14:paraId="18B333D4">
            <w:pPr>
              <w:spacing w:line="400" w:lineRule="exact"/>
              <w:jc w:val="left"/>
              <w:rPr>
                <w:rFonts w:ascii="宋体" w:hAnsi="宋体"/>
                <w:kern w:val="0"/>
                <w:highlight w:val="none"/>
              </w:rPr>
            </w:pPr>
            <w:r>
              <w:rPr>
                <w:rFonts w:ascii="宋体" w:hAnsi="宋体"/>
                <w:szCs w:val="21"/>
                <w:highlight w:val="none"/>
              </w:rPr>
              <w:t>投标截止日投标资格情况</w:t>
            </w:r>
          </w:p>
        </w:tc>
        <w:tc>
          <w:tcPr>
            <w:tcW w:w="4688" w:type="dxa"/>
            <w:gridSpan w:val="2"/>
            <w:vAlign w:val="center"/>
          </w:tcPr>
          <w:p w14:paraId="66C69B3D">
            <w:pPr>
              <w:spacing w:line="400" w:lineRule="exact"/>
              <w:ind w:firstLine="420" w:firstLineChars="200"/>
              <w:jc w:val="left"/>
              <w:rPr>
                <w:rFonts w:hint="eastAsia" w:ascii="宋体" w:hAnsi="宋体" w:eastAsia="宋体"/>
                <w:kern w:val="0"/>
                <w:highlight w:val="none"/>
                <w:lang w:eastAsia="zh-CN"/>
              </w:rPr>
            </w:pPr>
            <w:r>
              <w:rPr>
                <w:rFonts w:ascii="宋体" w:hAnsi="宋体"/>
                <w:kern w:val="0"/>
                <w:highlight w:val="none"/>
              </w:rPr>
              <w:t>符合第二章“</w:t>
            </w:r>
            <w:r>
              <w:rPr>
                <w:rFonts w:hint="eastAsia" w:ascii="宋体" w:hAnsi="宋体"/>
                <w:kern w:val="0"/>
                <w:highlight w:val="none"/>
                <w:lang w:eastAsia="zh-CN"/>
              </w:rPr>
              <w:t>比选申请人</w:t>
            </w:r>
            <w:r>
              <w:rPr>
                <w:rFonts w:ascii="宋体" w:hAnsi="宋体"/>
                <w:kern w:val="0"/>
                <w:highlight w:val="none"/>
              </w:rPr>
              <w:t>须知”第1.4.1项规定</w:t>
            </w:r>
            <w:r>
              <w:rPr>
                <w:rFonts w:hint="eastAsia" w:ascii="宋体" w:hAnsi="宋体"/>
                <w:kern w:val="0"/>
                <w:highlight w:val="none"/>
                <w:lang w:eastAsia="zh-CN"/>
              </w:rPr>
              <w:t>。</w:t>
            </w:r>
          </w:p>
        </w:tc>
      </w:tr>
      <w:tr w14:paraId="3B40E5B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tcPr>
          <w:p w14:paraId="2EF92D01">
            <w:pPr>
              <w:spacing w:line="400" w:lineRule="exact"/>
              <w:jc w:val="center"/>
              <w:rPr>
                <w:rFonts w:ascii="宋体" w:hAnsi="宋体"/>
                <w:kern w:val="0"/>
                <w:highlight w:val="none"/>
              </w:rPr>
            </w:pPr>
          </w:p>
        </w:tc>
        <w:tc>
          <w:tcPr>
            <w:tcW w:w="1628" w:type="dxa"/>
            <w:vMerge w:val="continue"/>
            <w:tcBorders>
              <w:right w:val="single" w:color="auto" w:sz="4" w:space="0"/>
            </w:tcBorders>
          </w:tcPr>
          <w:p w14:paraId="61B9E9C1">
            <w:pPr>
              <w:spacing w:line="400" w:lineRule="exact"/>
              <w:jc w:val="center"/>
              <w:rPr>
                <w:rFonts w:ascii="宋体" w:hAnsi="宋体"/>
                <w:kern w:val="0"/>
                <w:highlight w:val="none"/>
              </w:rPr>
            </w:pPr>
          </w:p>
        </w:tc>
        <w:tc>
          <w:tcPr>
            <w:tcW w:w="2304" w:type="dxa"/>
            <w:gridSpan w:val="2"/>
            <w:tcBorders>
              <w:left w:val="single" w:color="auto" w:sz="4" w:space="0"/>
            </w:tcBorders>
          </w:tcPr>
          <w:p w14:paraId="3A86B76B">
            <w:pPr>
              <w:spacing w:line="400" w:lineRule="exact"/>
              <w:jc w:val="left"/>
              <w:rPr>
                <w:rFonts w:ascii="宋体" w:hAnsi="宋体"/>
                <w:kern w:val="0"/>
                <w:highlight w:val="none"/>
              </w:rPr>
            </w:pPr>
            <w:r>
              <w:rPr>
                <w:rFonts w:ascii="宋体" w:hAnsi="宋体"/>
                <w:kern w:val="0"/>
                <w:highlight w:val="none"/>
              </w:rPr>
              <w:t>项目经理资格</w:t>
            </w:r>
            <w:r>
              <w:rPr>
                <w:rFonts w:hint="eastAsia" w:ascii="宋体" w:hAnsi="宋体"/>
                <w:kern w:val="0"/>
                <w:highlight w:val="none"/>
              </w:rPr>
              <w:t>要求</w:t>
            </w:r>
          </w:p>
        </w:tc>
        <w:tc>
          <w:tcPr>
            <w:tcW w:w="4688" w:type="dxa"/>
            <w:gridSpan w:val="2"/>
            <w:vAlign w:val="center"/>
          </w:tcPr>
          <w:p w14:paraId="14EAC926">
            <w:pPr>
              <w:spacing w:line="400" w:lineRule="exact"/>
              <w:ind w:firstLine="420" w:firstLineChars="200"/>
              <w:jc w:val="left"/>
              <w:rPr>
                <w:rFonts w:hint="eastAsia" w:ascii="宋体" w:hAnsi="宋体" w:eastAsia="宋体"/>
                <w:kern w:val="0"/>
                <w:highlight w:val="none"/>
                <w:lang w:eastAsia="zh-CN"/>
              </w:rPr>
            </w:pPr>
            <w:r>
              <w:rPr>
                <w:rFonts w:ascii="宋体" w:hAnsi="宋体"/>
                <w:kern w:val="0"/>
                <w:highlight w:val="none"/>
              </w:rPr>
              <w:t>符合第二章“</w:t>
            </w:r>
            <w:r>
              <w:rPr>
                <w:rFonts w:hint="eastAsia" w:ascii="宋体" w:hAnsi="宋体"/>
                <w:kern w:val="0"/>
                <w:highlight w:val="none"/>
                <w:lang w:eastAsia="zh-CN"/>
              </w:rPr>
              <w:t>比选申请人</w:t>
            </w:r>
            <w:r>
              <w:rPr>
                <w:rFonts w:ascii="宋体" w:hAnsi="宋体"/>
                <w:kern w:val="0"/>
                <w:highlight w:val="none"/>
              </w:rPr>
              <w:t>须知”第1.4.1项规定</w:t>
            </w:r>
            <w:r>
              <w:rPr>
                <w:rFonts w:hint="eastAsia" w:ascii="宋体" w:hAnsi="宋体"/>
                <w:kern w:val="0"/>
                <w:highlight w:val="none"/>
                <w:lang w:eastAsia="zh-CN"/>
              </w:rPr>
              <w:t>。</w:t>
            </w:r>
          </w:p>
        </w:tc>
      </w:tr>
      <w:tr w14:paraId="3A68EF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tcPr>
          <w:p w14:paraId="27357E16">
            <w:pPr>
              <w:spacing w:line="400" w:lineRule="exact"/>
              <w:jc w:val="center"/>
              <w:rPr>
                <w:rFonts w:ascii="宋体" w:hAnsi="宋体"/>
                <w:kern w:val="0"/>
                <w:highlight w:val="none"/>
              </w:rPr>
            </w:pPr>
          </w:p>
        </w:tc>
        <w:tc>
          <w:tcPr>
            <w:tcW w:w="1628" w:type="dxa"/>
            <w:vMerge w:val="continue"/>
            <w:tcBorders>
              <w:right w:val="single" w:color="auto" w:sz="4" w:space="0"/>
            </w:tcBorders>
          </w:tcPr>
          <w:p w14:paraId="632C86E5">
            <w:pPr>
              <w:spacing w:line="400" w:lineRule="exact"/>
              <w:jc w:val="center"/>
              <w:rPr>
                <w:rFonts w:ascii="宋体" w:hAnsi="宋体"/>
                <w:kern w:val="0"/>
                <w:highlight w:val="none"/>
              </w:rPr>
            </w:pPr>
          </w:p>
        </w:tc>
        <w:tc>
          <w:tcPr>
            <w:tcW w:w="2304" w:type="dxa"/>
            <w:gridSpan w:val="2"/>
            <w:tcBorders>
              <w:left w:val="single" w:color="auto" w:sz="4" w:space="0"/>
            </w:tcBorders>
          </w:tcPr>
          <w:p w14:paraId="7D9D733E">
            <w:pPr>
              <w:spacing w:line="400" w:lineRule="exact"/>
              <w:jc w:val="left"/>
              <w:rPr>
                <w:rFonts w:ascii="宋体" w:hAnsi="宋体"/>
                <w:kern w:val="0"/>
                <w:highlight w:val="none"/>
              </w:rPr>
            </w:pPr>
            <w:r>
              <w:rPr>
                <w:rFonts w:ascii="宋体" w:hAnsi="宋体"/>
                <w:kern w:val="0"/>
                <w:highlight w:val="none"/>
              </w:rPr>
              <w:t>其他要求</w:t>
            </w:r>
          </w:p>
        </w:tc>
        <w:tc>
          <w:tcPr>
            <w:tcW w:w="4688" w:type="dxa"/>
            <w:gridSpan w:val="2"/>
            <w:vAlign w:val="center"/>
          </w:tcPr>
          <w:p w14:paraId="691194AF">
            <w:pPr>
              <w:spacing w:line="400" w:lineRule="exact"/>
              <w:ind w:firstLine="420" w:firstLineChars="200"/>
              <w:jc w:val="left"/>
              <w:rPr>
                <w:rFonts w:hint="eastAsia" w:ascii="宋体" w:hAnsi="宋体" w:eastAsia="宋体"/>
                <w:kern w:val="0"/>
                <w:highlight w:val="none"/>
                <w:lang w:eastAsia="zh-CN"/>
              </w:rPr>
            </w:pPr>
            <w:r>
              <w:rPr>
                <w:rFonts w:ascii="宋体" w:hAnsi="宋体"/>
                <w:kern w:val="0"/>
                <w:highlight w:val="none"/>
              </w:rPr>
              <w:t>符合第二章“</w:t>
            </w:r>
            <w:r>
              <w:rPr>
                <w:rFonts w:hint="eastAsia" w:ascii="宋体" w:hAnsi="宋体"/>
                <w:kern w:val="0"/>
                <w:highlight w:val="none"/>
                <w:lang w:eastAsia="zh-CN"/>
              </w:rPr>
              <w:t>比选申请人</w:t>
            </w:r>
            <w:r>
              <w:rPr>
                <w:rFonts w:ascii="宋体" w:hAnsi="宋体"/>
                <w:kern w:val="0"/>
                <w:highlight w:val="none"/>
              </w:rPr>
              <w:t>须知”第1.4.1项规定</w:t>
            </w:r>
            <w:r>
              <w:rPr>
                <w:rFonts w:hint="eastAsia" w:ascii="宋体" w:hAnsi="宋体"/>
                <w:kern w:val="0"/>
                <w:highlight w:val="none"/>
                <w:lang w:eastAsia="zh-CN"/>
              </w:rPr>
              <w:t>。</w:t>
            </w:r>
          </w:p>
        </w:tc>
      </w:tr>
      <w:tr w14:paraId="3DB1E07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restart"/>
            <w:tcBorders>
              <w:right w:val="single" w:color="auto" w:sz="4" w:space="0"/>
            </w:tcBorders>
            <w:vAlign w:val="center"/>
          </w:tcPr>
          <w:p w14:paraId="03D7A669">
            <w:pPr>
              <w:spacing w:line="400" w:lineRule="exact"/>
              <w:jc w:val="center"/>
              <w:rPr>
                <w:rFonts w:ascii="宋体" w:hAnsi="宋体"/>
                <w:kern w:val="0"/>
                <w:highlight w:val="none"/>
              </w:rPr>
            </w:pPr>
            <w:r>
              <w:rPr>
                <w:rFonts w:ascii="宋体" w:hAnsi="宋体"/>
                <w:kern w:val="0"/>
                <w:highlight w:val="none"/>
              </w:rPr>
              <w:t>2.1.</w:t>
            </w:r>
            <w:r>
              <w:rPr>
                <w:rFonts w:hint="eastAsia" w:ascii="宋体" w:hAnsi="宋体"/>
                <w:kern w:val="0"/>
                <w:highlight w:val="none"/>
              </w:rPr>
              <w:t>2</w:t>
            </w:r>
          </w:p>
        </w:tc>
        <w:tc>
          <w:tcPr>
            <w:tcW w:w="1628" w:type="dxa"/>
            <w:vMerge w:val="restart"/>
            <w:tcBorders>
              <w:right w:val="single" w:color="auto" w:sz="4" w:space="0"/>
            </w:tcBorders>
            <w:vAlign w:val="center"/>
          </w:tcPr>
          <w:p w14:paraId="4282BED7">
            <w:pPr>
              <w:spacing w:line="400" w:lineRule="exact"/>
              <w:jc w:val="center"/>
              <w:rPr>
                <w:rFonts w:ascii="宋体" w:hAnsi="宋体"/>
                <w:kern w:val="0"/>
                <w:highlight w:val="none"/>
              </w:rPr>
            </w:pPr>
            <w:r>
              <w:rPr>
                <w:rFonts w:ascii="宋体" w:hAnsi="宋体"/>
                <w:kern w:val="0"/>
                <w:highlight w:val="none"/>
              </w:rPr>
              <w:t>形式评审标准</w:t>
            </w:r>
          </w:p>
        </w:tc>
        <w:tc>
          <w:tcPr>
            <w:tcW w:w="2304" w:type="dxa"/>
            <w:gridSpan w:val="2"/>
            <w:tcBorders>
              <w:left w:val="single" w:color="auto" w:sz="4" w:space="0"/>
            </w:tcBorders>
            <w:vAlign w:val="center"/>
          </w:tcPr>
          <w:p w14:paraId="3BF64856">
            <w:pPr>
              <w:spacing w:line="400" w:lineRule="exact"/>
              <w:jc w:val="left"/>
              <w:rPr>
                <w:rFonts w:ascii="宋体" w:hAnsi="宋体"/>
                <w:kern w:val="0"/>
                <w:highlight w:val="none"/>
              </w:rPr>
            </w:pPr>
            <w:r>
              <w:rPr>
                <w:rFonts w:hint="eastAsia" w:ascii="宋体" w:hAnsi="宋体"/>
                <w:kern w:val="0"/>
                <w:highlight w:val="none"/>
                <w:lang w:eastAsia="zh-CN"/>
              </w:rPr>
              <w:t>比选申请人</w:t>
            </w:r>
            <w:r>
              <w:rPr>
                <w:rFonts w:ascii="宋体" w:hAnsi="宋体"/>
                <w:kern w:val="0"/>
                <w:highlight w:val="none"/>
              </w:rPr>
              <w:t>名称</w:t>
            </w:r>
          </w:p>
        </w:tc>
        <w:tc>
          <w:tcPr>
            <w:tcW w:w="4688" w:type="dxa"/>
            <w:gridSpan w:val="2"/>
            <w:vAlign w:val="center"/>
          </w:tcPr>
          <w:p w14:paraId="549734FD">
            <w:pPr>
              <w:spacing w:line="400" w:lineRule="exact"/>
              <w:ind w:firstLine="420" w:firstLineChars="200"/>
              <w:rPr>
                <w:rFonts w:ascii="宋体" w:hAnsi="宋体"/>
                <w:kern w:val="0"/>
                <w:highlight w:val="none"/>
              </w:rPr>
            </w:pPr>
            <w:r>
              <w:rPr>
                <w:rFonts w:ascii="宋体" w:hAnsi="宋体"/>
                <w:kern w:val="0"/>
                <w:highlight w:val="none"/>
              </w:rPr>
              <w:t>与营业执照、资质证书、安全生产许可证一致。</w:t>
            </w:r>
          </w:p>
        </w:tc>
      </w:tr>
      <w:tr w14:paraId="02D0625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tcPr>
          <w:p w14:paraId="6BC240C4">
            <w:pPr>
              <w:spacing w:line="400" w:lineRule="exact"/>
              <w:jc w:val="center"/>
              <w:rPr>
                <w:rFonts w:ascii="宋体" w:hAnsi="宋体"/>
                <w:kern w:val="0"/>
                <w:highlight w:val="none"/>
              </w:rPr>
            </w:pPr>
          </w:p>
        </w:tc>
        <w:tc>
          <w:tcPr>
            <w:tcW w:w="1628" w:type="dxa"/>
            <w:vMerge w:val="continue"/>
            <w:tcBorders>
              <w:right w:val="single" w:color="auto" w:sz="4" w:space="0"/>
            </w:tcBorders>
          </w:tcPr>
          <w:p w14:paraId="652EDB5A">
            <w:pPr>
              <w:spacing w:line="400" w:lineRule="exact"/>
              <w:jc w:val="center"/>
              <w:rPr>
                <w:rFonts w:ascii="宋体" w:hAnsi="宋体"/>
                <w:kern w:val="0"/>
                <w:highlight w:val="none"/>
              </w:rPr>
            </w:pPr>
          </w:p>
        </w:tc>
        <w:tc>
          <w:tcPr>
            <w:tcW w:w="2304" w:type="dxa"/>
            <w:gridSpan w:val="2"/>
            <w:tcBorders>
              <w:left w:val="single" w:color="auto" w:sz="4" w:space="0"/>
            </w:tcBorders>
            <w:vAlign w:val="center"/>
          </w:tcPr>
          <w:p w14:paraId="03358BB7">
            <w:pPr>
              <w:spacing w:line="400" w:lineRule="exact"/>
              <w:jc w:val="left"/>
              <w:rPr>
                <w:rFonts w:ascii="宋体" w:hAnsi="宋体"/>
                <w:kern w:val="0"/>
                <w:highlight w:val="none"/>
              </w:rPr>
            </w:pPr>
            <w:r>
              <w:rPr>
                <w:rFonts w:hint="eastAsia" w:ascii="宋体" w:hAnsi="宋体"/>
                <w:kern w:val="0"/>
                <w:highlight w:val="none"/>
                <w:lang w:eastAsia="zh-CN"/>
              </w:rPr>
              <w:t>比选申请文件</w:t>
            </w:r>
            <w:r>
              <w:rPr>
                <w:rFonts w:ascii="宋体" w:hAnsi="宋体"/>
                <w:kern w:val="0"/>
                <w:highlight w:val="none"/>
              </w:rPr>
              <w:t>格式</w:t>
            </w:r>
          </w:p>
        </w:tc>
        <w:tc>
          <w:tcPr>
            <w:tcW w:w="4688" w:type="dxa"/>
            <w:gridSpan w:val="2"/>
            <w:vAlign w:val="center"/>
          </w:tcPr>
          <w:p w14:paraId="074258EF">
            <w:pPr>
              <w:spacing w:line="400" w:lineRule="exact"/>
              <w:ind w:firstLine="420" w:firstLineChars="200"/>
              <w:rPr>
                <w:rFonts w:ascii="宋体" w:hAnsi="宋体"/>
                <w:kern w:val="0"/>
                <w:highlight w:val="none"/>
              </w:rPr>
            </w:pPr>
            <w:r>
              <w:rPr>
                <w:rFonts w:ascii="宋体" w:hAnsi="宋体"/>
                <w:kern w:val="0"/>
                <w:highlight w:val="none"/>
              </w:rPr>
              <w:t>符合第</w:t>
            </w:r>
            <w:r>
              <w:rPr>
                <w:rFonts w:hint="eastAsia" w:ascii="宋体" w:hAnsi="宋体"/>
                <w:kern w:val="0"/>
                <w:highlight w:val="none"/>
              </w:rPr>
              <w:t>二</w:t>
            </w:r>
            <w:r>
              <w:rPr>
                <w:rFonts w:ascii="宋体" w:hAnsi="宋体"/>
                <w:kern w:val="0"/>
                <w:highlight w:val="none"/>
              </w:rPr>
              <w:t>章“</w:t>
            </w:r>
            <w:r>
              <w:rPr>
                <w:rFonts w:hint="eastAsia" w:ascii="宋体" w:hAnsi="宋体"/>
                <w:kern w:val="0"/>
                <w:highlight w:val="none"/>
                <w:lang w:eastAsia="zh-CN"/>
              </w:rPr>
              <w:t>比选申请人</w:t>
            </w:r>
            <w:r>
              <w:rPr>
                <w:rFonts w:hint="eastAsia" w:ascii="宋体" w:hAnsi="宋体"/>
                <w:kern w:val="0"/>
                <w:highlight w:val="none"/>
              </w:rPr>
              <w:t>须知</w:t>
            </w:r>
            <w:r>
              <w:rPr>
                <w:rFonts w:ascii="宋体" w:hAnsi="宋体"/>
                <w:kern w:val="0"/>
                <w:highlight w:val="none"/>
              </w:rPr>
              <w:t>”</w:t>
            </w:r>
            <w:r>
              <w:rPr>
                <w:rFonts w:hint="eastAsia" w:ascii="宋体" w:hAnsi="宋体"/>
                <w:kern w:val="0"/>
                <w:highlight w:val="none"/>
              </w:rPr>
              <w:t>第3.7款</w:t>
            </w:r>
            <w:r>
              <w:rPr>
                <w:rFonts w:ascii="宋体" w:hAnsi="宋体"/>
                <w:kern w:val="0"/>
                <w:highlight w:val="none"/>
              </w:rPr>
              <w:t>的要求</w:t>
            </w:r>
            <w:r>
              <w:rPr>
                <w:rFonts w:hint="eastAsia" w:ascii="宋体" w:hAnsi="宋体"/>
                <w:kern w:val="0"/>
                <w:highlight w:val="none"/>
              </w:rPr>
              <w:t>（不含投标函部分）</w:t>
            </w:r>
            <w:r>
              <w:rPr>
                <w:rFonts w:ascii="宋体" w:hAnsi="宋体"/>
                <w:kern w:val="0"/>
                <w:highlight w:val="none"/>
              </w:rPr>
              <w:t>。</w:t>
            </w:r>
          </w:p>
          <w:p w14:paraId="7BE41053">
            <w:pPr>
              <w:spacing w:line="400" w:lineRule="exact"/>
              <w:ind w:firstLine="420" w:firstLineChars="200"/>
              <w:rPr>
                <w:rFonts w:hint="eastAsia" w:ascii="宋体" w:hAnsi="宋体" w:eastAsia="宋体"/>
                <w:kern w:val="0"/>
                <w:highlight w:val="none"/>
                <w:lang w:eastAsia="zh-CN"/>
              </w:rPr>
            </w:pPr>
            <w:r>
              <w:rPr>
                <w:rFonts w:hint="eastAsia" w:ascii="宋体" w:hAnsi="宋体" w:cs="宋体"/>
                <w:color w:val="auto"/>
                <w:szCs w:val="21"/>
                <w:highlight w:val="none"/>
              </w:rPr>
              <w:t>编制</w:t>
            </w:r>
            <w:r>
              <w:rPr>
                <w:rFonts w:hint="eastAsia" w:ascii="宋体" w:hAnsi="宋体" w:cs="宋体"/>
                <w:color w:val="auto"/>
                <w:szCs w:val="21"/>
                <w:highlight w:val="none"/>
                <w:lang w:eastAsia="zh-CN"/>
              </w:rPr>
              <w:t>比选申请文件</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不得</w:t>
            </w:r>
            <w:r>
              <w:rPr>
                <w:rFonts w:hint="eastAsia" w:ascii="宋体" w:hAnsi="宋体" w:cs="宋体"/>
                <w:color w:val="auto"/>
                <w:szCs w:val="21"/>
                <w:highlight w:val="none"/>
              </w:rPr>
              <w:t>对第</w:t>
            </w:r>
            <w:r>
              <w:rPr>
                <w:rFonts w:hint="eastAsia" w:ascii="宋体" w:hAnsi="宋体" w:cs="宋体"/>
                <w:color w:val="auto"/>
                <w:szCs w:val="21"/>
                <w:highlight w:val="none"/>
                <w:lang w:val="en-US" w:eastAsia="zh-CN"/>
              </w:rPr>
              <w:t>八</w:t>
            </w:r>
            <w:r>
              <w:rPr>
                <w:rFonts w:hint="eastAsia" w:ascii="宋体" w:hAnsi="宋体" w:cs="宋体"/>
                <w:color w:val="auto"/>
                <w:szCs w:val="21"/>
                <w:highlight w:val="none"/>
              </w:rPr>
              <w:t>章“</w:t>
            </w:r>
            <w:r>
              <w:rPr>
                <w:rFonts w:hint="eastAsia" w:ascii="宋体" w:hAnsi="宋体" w:cs="宋体"/>
                <w:color w:val="auto"/>
                <w:szCs w:val="21"/>
                <w:highlight w:val="none"/>
                <w:lang w:eastAsia="zh-CN"/>
              </w:rPr>
              <w:t>比选申请文件</w:t>
            </w:r>
            <w:r>
              <w:rPr>
                <w:rFonts w:hint="eastAsia" w:ascii="宋体" w:hAnsi="宋体" w:cs="宋体"/>
                <w:color w:val="auto"/>
                <w:szCs w:val="21"/>
                <w:highlight w:val="none"/>
              </w:rPr>
              <w:t>格式”的相应要素作实质性修改</w:t>
            </w:r>
            <w:r>
              <w:rPr>
                <w:rFonts w:hint="eastAsia" w:ascii="宋体" w:hAnsi="宋体" w:cs="宋体"/>
                <w:color w:val="auto"/>
                <w:szCs w:val="21"/>
                <w:highlight w:val="none"/>
                <w:lang w:eastAsia="zh-CN"/>
              </w:rPr>
              <w:t>。</w:t>
            </w:r>
          </w:p>
        </w:tc>
      </w:tr>
      <w:tr w14:paraId="1B049D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tcPr>
          <w:p w14:paraId="2DBAEA7A">
            <w:pPr>
              <w:spacing w:line="400" w:lineRule="exact"/>
              <w:jc w:val="center"/>
              <w:rPr>
                <w:rFonts w:ascii="宋体" w:hAnsi="宋体"/>
                <w:kern w:val="0"/>
                <w:highlight w:val="none"/>
              </w:rPr>
            </w:pPr>
          </w:p>
        </w:tc>
        <w:tc>
          <w:tcPr>
            <w:tcW w:w="1628" w:type="dxa"/>
            <w:vMerge w:val="continue"/>
            <w:tcBorders>
              <w:right w:val="single" w:color="auto" w:sz="4" w:space="0"/>
            </w:tcBorders>
          </w:tcPr>
          <w:p w14:paraId="2BD6B754">
            <w:pPr>
              <w:spacing w:line="400" w:lineRule="exact"/>
              <w:jc w:val="center"/>
              <w:rPr>
                <w:rFonts w:ascii="宋体" w:hAnsi="宋体"/>
                <w:kern w:val="0"/>
                <w:highlight w:val="none"/>
              </w:rPr>
            </w:pPr>
          </w:p>
        </w:tc>
        <w:tc>
          <w:tcPr>
            <w:tcW w:w="2304" w:type="dxa"/>
            <w:gridSpan w:val="2"/>
            <w:tcBorders>
              <w:left w:val="single" w:color="auto" w:sz="4" w:space="0"/>
            </w:tcBorders>
            <w:vAlign w:val="center"/>
          </w:tcPr>
          <w:p w14:paraId="5B93BCB3">
            <w:pPr>
              <w:spacing w:line="400" w:lineRule="exact"/>
              <w:jc w:val="left"/>
              <w:rPr>
                <w:rFonts w:ascii="宋体" w:hAnsi="宋体"/>
                <w:kern w:val="0"/>
                <w:highlight w:val="none"/>
              </w:rPr>
            </w:pPr>
            <w:r>
              <w:rPr>
                <w:rFonts w:hint="eastAsia" w:ascii="宋体" w:hAnsi="宋体"/>
                <w:kern w:val="0"/>
                <w:highlight w:val="none"/>
                <w:lang w:eastAsia="zh-CN"/>
              </w:rPr>
              <w:t>比选申请文件</w:t>
            </w:r>
            <w:r>
              <w:rPr>
                <w:rFonts w:ascii="宋体" w:hAnsi="宋体"/>
                <w:kern w:val="0"/>
                <w:highlight w:val="none"/>
              </w:rPr>
              <w:t>的签署</w:t>
            </w:r>
          </w:p>
        </w:tc>
        <w:tc>
          <w:tcPr>
            <w:tcW w:w="4688" w:type="dxa"/>
            <w:gridSpan w:val="2"/>
            <w:vAlign w:val="center"/>
          </w:tcPr>
          <w:p w14:paraId="310E2747">
            <w:pPr>
              <w:spacing w:line="400" w:lineRule="exact"/>
              <w:ind w:firstLine="420" w:firstLineChars="200"/>
              <w:rPr>
                <w:rFonts w:ascii="宋体" w:hAnsi="宋体"/>
                <w:kern w:val="0"/>
                <w:highlight w:val="none"/>
              </w:rPr>
            </w:pPr>
            <w:r>
              <w:rPr>
                <w:rFonts w:hint="eastAsia" w:ascii="宋体" w:hAnsi="宋体"/>
                <w:kern w:val="0"/>
                <w:highlight w:val="none"/>
              </w:rPr>
              <w:t xml:space="preserve">第八章 </w:t>
            </w:r>
            <w:r>
              <w:rPr>
                <w:rFonts w:hint="eastAsia" w:ascii="宋体" w:hAnsi="宋体"/>
                <w:kern w:val="0"/>
                <w:highlight w:val="none"/>
                <w:lang w:eastAsia="zh-CN"/>
              </w:rPr>
              <w:t>比选申请文件</w:t>
            </w:r>
            <w:r>
              <w:rPr>
                <w:rFonts w:hint="eastAsia" w:ascii="宋体" w:hAnsi="宋体"/>
                <w:kern w:val="0"/>
                <w:highlight w:val="none"/>
              </w:rPr>
              <w:t>格式（不含投标函部分）要求</w:t>
            </w:r>
            <w:r>
              <w:rPr>
                <w:rFonts w:ascii="宋体" w:hAnsi="宋体"/>
                <w:kern w:val="0"/>
                <w:highlight w:val="none"/>
              </w:rPr>
              <w:t>法定代表人</w:t>
            </w:r>
            <w:r>
              <w:rPr>
                <w:rFonts w:hint="eastAsia" w:ascii="宋体" w:hAnsi="宋体"/>
                <w:kern w:val="0"/>
                <w:highlight w:val="none"/>
                <w:lang w:eastAsia="zh-CN"/>
              </w:rPr>
              <w:t>（</w:t>
            </w:r>
            <w:r>
              <w:rPr>
                <w:rFonts w:ascii="宋体" w:hAnsi="宋体"/>
                <w:kern w:val="0"/>
                <w:highlight w:val="none"/>
              </w:rPr>
              <w:t>或其委托代理人</w:t>
            </w:r>
            <w:r>
              <w:rPr>
                <w:rFonts w:hint="eastAsia" w:ascii="宋体" w:hAnsi="宋体"/>
                <w:kern w:val="0"/>
                <w:highlight w:val="none"/>
                <w:lang w:eastAsia="zh-CN"/>
              </w:rPr>
              <w:t>）</w:t>
            </w:r>
            <w:r>
              <w:rPr>
                <w:rFonts w:hint="eastAsia" w:ascii="宋体" w:hAnsi="宋体"/>
                <w:kern w:val="0"/>
                <w:highlight w:val="none"/>
              </w:rPr>
              <w:t>签名</w:t>
            </w:r>
            <w:r>
              <w:rPr>
                <w:rFonts w:ascii="宋体" w:hAnsi="宋体"/>
                <w:kern w:val="0"/>
                <w:highlight w:val="none"/>
              </w:rPr>
              <w:t>（或盖章）</w:t>
            </w:r>
            <w:r>
              <w:rPr>
                <w:rFonts w:hint="eastAsia" w:ascii="宋体" w:hAnsi="宋体"/>
                <w:kern w:val="0"/>
                <w:highlight w:val="none"/>
              </w:rPr>
              <w:t>的须</w:t>
            </w:r>
            <w:r>
              <w:rPr>
                <w:rFonts w:ascii="宋体" w:hAnsi="宋体"/>
                <w:kern w:val="0"/>
                <w:highlight w:val="none"/>
              </w:rPr>
              <w:t>齐全</w:t>
            </w:r>
            <w:r>
              <w:rPr>
                <w:rFonts w:hint="eastAsia" w:asciiTheme="minorEastAsia" w:hAnsiTheme="minorEastAsia" w:eastAsiaTheme="minorEastAsia" w:cstheme="minorEastAsia"/>
                <w:color w:val="auto"/>
                <w:kern w:val="0"/>
                <w:highlight w:val="none"/>
                <w:lang w:eastAsia="zh-CN"/>
              </w:rPr>
              <w:t>，</w:t>
            </w:r>
            <w:r>
              <w:rPr>
                <w:rFonts w:hint="eastAsia" w:asciiTheme="minorEastAsia" w:hAnsiTheme="minorEastAsia" w:eastAsiaTheme="minorEastAsia" w:cstheme="minorEastAsia"/>
                <w:color w:val="auto"/>
                <w:szCs w:val="21"/>
                <w:highlight w:val="none"/>
                <w:lang w:val="en-US" w:eastAsia="zh-CN"/>
              </w:rPr>
              <w:t>要求签名的，</w:t>
            </w:r>
            <w:r>
              <w:rPr>
                <w:rFonts w:hint="eastAsia" w:asciiTheme="minorEastAsia" w:hAnsiTheme="minorEastAsia" w:eastAsiaTheme="minorEastAsia" w:cstheme="minorEastAsia"/>
                <w:color w:val="auto"/>
                <w:kern w:val="0"/>
                <w:highlight w:val="none"/>
              </w:rPr>
              <w:t>签名采用手写签名或签章或加盖CA数字证书均可</w:t>
            </w:r>
            <w:r>
              <w:rPr>
                <w:rFonts w:ascii="宋体" w:hAnsi="宋体"/>
                <w:kern w:val="0"/>
                <w:highlight w:val="none"/>
              </w:rPr>
              <w:t>。</w:t>
            </w:r>
          </w:p>
          <w:p w14:paraId="132088E9">
            <w:pPr>
              <w:autoSpaceDE w:val="0"/>
              <w:autoSpaceDN w:val="0"/>
              <w:adjustRightInd w:val="0"/>
              <w:snapToGrid w:val="0"/>
              <w:spacing w:line="400" w:lineRule="exact"/>
              <w:ind w:firstLine="420" w:firstLineChars="200"/>
              <w:rPr>
                <w:rFonts w:ascii="宋体" w:hAnsi="宋体"/>
                <w:kern w:val="0"/>
                <w:highlight w:val="none"/>
              </w:rPr>
            </w:pPr>
            <w:r>
              <w:rPr>
                <w:rFonts w:hint="eastAsia" w:ascii="宋体" w:hAnsi="宋体"/>
                <w:kern w:val="0"/>
                <w:highlight w:val="none"/>
              </w:rPr>
              <w:t xml:space="preserve">第八章 </w:t>
            </w:r>
            <w:r>
              <w:rPr>
                <w:rFonts w:hint="eastAsia" w:ascii="宋体" w:hAnsi="宋体"/>
                <w:kern w:val="0"/>
                <w:highlight w:val="none"/>
                <w:lang w:eastAsia="zh-CN"/>
              </w:rPr>
              <w:t>比选申请文件</w:t>
            </w:r>
            <w:r>
              <w:rPr>
                <w:rFonts w:hint="eastAsia" w:ascii="宋体" w:hAnsi="宋体"/>
                <w:kern w:val="0"/>
                <w:highlight w:val="none"/>
              </w:rPr>
              <w:t>格式（不含投标函部分）要求加盖单位法人章的，应使用 CA 数字证书加盖</w:t>
            </w:r>
            <w:r>
              <w:rPr>
                <w:rFonts w:hint="eastAsia" w:ascii="宋体" w:hAnsi="宋体"/>
                <w:kern w:val="0"/>
                <w:highlight w:val="none"/>
                <w:lang w:eastAsia="zh-CN"/>
              </w:rPr>
              <w:t>比选申请人</w:t>
            </w:r>
            <w:r>
              <w:rPr>
                <w:rFonts w:hint="eastAsia" w:ascii="宋体" w:hAnsi="宋体"/>
                <w:kern w:val="0"/>
                <w:highlight w:val="none"/>
              </w:rPr>
              <w:t>的单位电子印章。</w:t>
            </w:r>
          </w:p>
        </w:tc>
      </w:tr>
      <w:tr w14:paraId="33C8AC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tcPr>
          <w:p w14:paraId="39F80437">
            <w:pPr>
              <w:spacing w:line="400" w:lineRule="exact"/>
              <w:jc w:val="center"/>
              <w:rPr>
                <w:rFonts w:ascii="宋体" w:hAnsi="宋体"/>
                <w:kern w:val="0"/>
                <w:highlight w:val="none"/>
              </w:rPr>
            </w:pPr>
          </w:p>
        </w:tc>
        <w:tc>
          <w:tcPr>
            <w:tcW w:w="1628" w:type="dxa"/>
            <w:vMerge w:val="continue"/>
            <w:tcBorders>
              <w:right w:val="single" w:color="auto" w:sz="4" w:space="0"/>
            </w:tcBorders>
          </w:tcPr>
          <w:p w14:paraId="5D3295C3">
            <w:pPr>
              <w:spacing w:line="400" w:lineRule="exact"/>
              <w:jc w:val="center"/>
              <w:rPr>
                <w:rFonts w:ascii="宋体" w:hAnsi="宋体"/>
                <w:kern w:val="0"/>
                <w:highlight w:val="none"/>
              </w:rPr>
            </w:pPr>
          </w:p>
        </w:tc>
        <w:tc>
          <w:tcPr>
            <w:tcW w:w="2304" w:type="dxa"/>
            <w:gridSpan w:val="2"/>
            <w:tcBorders>
              <w:left w:val="single" w:color="auto" w:sz="4" w:space="0"/>
            </w:tcBorders>
            <w:vAlign w:val="center"/>
          </w:tcPr>
          <w:p w14:paraId="207575C2">
            <w:pPr>
              <w:spacing w:line="400" w:lineRule="exact"/>
              <w:jc w:val="left"/>
              <w:rPr>
                <w:rFonts w:ascii="宋体" w:hAnsi="宋体"/>
                <w:kern w:val="0"/>
                <w:highlight w:val="none"/>
              </w:rPr>
            </w:pPr>
            <w:r>
              <w:rPr>
                <w:rFonts w:ascii="宋体" w:hAnsi="宋体"/>
                <w:kern w:val="0"/>
                <w:highlight w:val="none"/>
              </w:rPr>
              <w:t>委托代理人</w:t>
            </w:r>
          </w:p>
        </w:tc>
        <w:tc>
          <w:tcPr>
            <w:tcW w:w="4688" w:type="dxa"/>
            <w:gridSpan w:val="2"/>
            <w:vAlign w:val="center"/>
          </w:tcPr>
          <w:p w14:paraId="52C4622A">
            <w:pPr>
              <w:spacing w:line="400" w:lineRule="exact"/>
              <w:ind w:firstLine="420" w:firstLineChars="200"/>
              <w:rPr>
                <w:rFonts w:ascii="宋体" w:hAnsi="宋体"/>
                <w:kern w:val="0"/>
                <w:highlight w:val="none"/>
              </w:rPr>
            </w:pPr>
            <w:r>
              <w:rPr>
                <w:rFonts w:hint="eastAsia" w:ascii="宋体" w:hAnsi="宋体"/>
                <w:kern w:val="0"/>
                <w:highlight w:val="none"/>
                <w:lang w:eastAsia="zh-CN"/>
              </w:rPr>
              <w:t>比选申请人</w:t>
            </w:r>
            <w:r>
              <w:rPr>
                <w:rFonts w:ascii="宋体" w:hAnsi="宋体"/>
                <w:kern w:val="0"/>
                <w:highlight w:val="none"/>
              </w:rPr>
              <w:t>法定代表人的委托代理人有法定代表人签署的授权委托书</w:t>
            </w:r>
            <w:r>
              <w:rPr>
                <w:rFonts w:hint="eastAsia" w:ascii="宋体" w:hAnsi="宋体"/>
                <w:kern w:val="0"/>
                <w:highlight w:val="none"/>
              </w:rPr>
              <w:t>和</w:t>
            </w:r>
            <w:r>
              <w:rPr>
                <w:rFonts w:hint="eastAsia" w:ascii="宋体" w:hAnsi="宋体"/>
                <w:kern w:val="0"/>
                <w:highlight w:val="none"/>
                <w:lang w:eastAsia="zh-CN"/>
              </w:rPr>
              <w:t>比选申请人</w:t>
            </w:r>
            <w:r>
              <w:rPr>
                <w:rFonts w:hint="eastAsia" w:ascii="宋体" w:hAnsi="宋体"/>
                <w:kern w:val="0"/>
                <w:highlight w:val="none"/>
              </w:rPr>
              <w:t>为其缴纳的养老保险</w:t>
            </w:r>
            <w:r>
              <w:rPr>
                <w:rFonts w:hint="eastAsia" w:ascii="宋体" w:hAnsi="宋体"/>
                <w:kern w:val="0"/>
                <w:highlight w:val="none"/>
                <w:lang w:val="en-US" w:eastAsia="zh-CN"/>
              </w:rPr>
              <w:t>证明材料</w:t>
            </w:r>
            <w:r>
              <w:rPr>
                <w:rFonts w:hint="eastAsia" w:ascii="宋体" w:hAnsi="宋体"/>
                <w:kern w:val="0"/>
                <w:highlight w:val="none"/>
              </w:rPr>
              <w:t>。</w:t>
            </w:r>
          </w:p>
        </w:tc>
      </w:tr>
      <w:tr w14:paraId="23A8EC1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restart"/>
            <w:vAlign w:val="center"/>
          </w:tcPr>
          <w:p w14:paraId="40A55298">
            <w:pPr>
              <w:spacing w:line="400" w:lineRule="exact"/>
              <w:jc w:val="center"/>
              <w:rPr>
                <w:rFonts w:ascii="宋体" w:hAnsi="宋体"/>
                <w:kern w:val="0"/>
                <w:highlight w:val="none"/>
              </w:rPr>
            </w:pPr>
            <w:r>
              <w:rPr>
                <w:rFonts w:ascii="宋体" w:hAnsi="宋体"/>
                <w:kern w:val="0"/>
                <w:highlight w:val="none"/>
              </w:rPr>
              <w:t>2.1.</w:t>
            </w:r>
            <w:r>
              <w:rPr>
                <w:rFonts w:hint="eastAsia" w:ascii="宋体" w:hAnsi="宋体"/>
                <w:kern w:val="0"/>
                <w:highlight w:val="none"/>
              </w:rPr>
              <w:t>3</w:t>
            </w:r>
          </w:p>
        </w:tc>
        <w:tc>
          <w:tcPr>
            <w:tcW w:w="1628" w:type="dxa"/>
            <w:vMerge w:val="restart"/>
            <w:vAlign w:val="center"/>
          </w:tcPr>
          <w:p w14:paraId="27ABFAE4">
            <w:pPr>
              <w:spacing w:line="400" w:lineRule="exact"/>
              <w:jc w:val="center"/>
              <w:rPr>
                <w:rFonts w:ascii="宋体" w:hAnsi="宋体"/>
                <w:kern w:val="0"/>
                <w:highlight w:val="none"/>
              </w:rPr>
            </w:pPr>
            <w:r>
              <w:rPr>
                <w:rFonts w:hint="eastAsia" w:ascii="宋体" w:hAnsi="宋体"/>
                <w:kern w:val="0"/>
                <w:highlight w:val="none"/>
              </w:rPr>
              <w:t>响应性</w:t>
            </w:r>
            <w:r>
              <w:rPr>
                <w:rFonts w:ascii="宋体" w:hAnsi="宋体"/>
                <w:kern w:val="0"/>
                <w:highlight w:val="none"/>
              </w:rPr>
              <w:t>评审标准</w:t>
            </w:r>
          </w:p>
        </w:tc>
        <w:tc>
          <w:tcPr>
            <w:tcW w:w="2304" w:type="dxa"/>
            <w:gridSpan w:val="2"/>
            <w:vAlign w:val="center"/>
          </w:tcPr>
          <w:p w14:paraId="5B7C3339">
            <w:pPr>
              <w:spacing w:line="400" w:lineRule="exact"/>
              <w:jc w:val="left"/>
              <w:rPr>
                <w:rFonts w:ascii="宋体" w:hAnsi="宋体"/>
                <w:kern w:val="0"/>
                <w:highlight w:val="none"/>
              </w:rPr>
            </w:pPr>
            <w:r>
              <w:rPr>
                <w:rFonts w:ascii="宋体" w:hAnsi="宋体"/>
                <w:kern w:val="0"/>
                <w:highlight w:val="none"/>
              </w:rPr>
              <w:t>投标内容</w:t>
            </w:r>
          </w:p>
        </w:tc>
        <w:tc>
          <w:tcPr>
            <w:tcW w:w="4688" w:type="dxa"/>
            <w:gridSpan w:val="2"/>
            <w:vAlign w:val="center"/>
          </w:tcPr>
          <w:p w14:paraId="453D3298">
            <w:pPr>
              <w:spacing w:line="400" w:lineRule="exact"/>
              <w:ind w:firstLine="420" w:firstLineChars="200"/>
              <w:jc w:val="left"/>
              <w:rPr>
                <w:rFonts w:hint="eastAsia" w:ascii="宋体" w:hAnsi="宋体" w:eastAsia="宋体"/>
                <w:kern w:val="0"/>
                <w:highlight w:val="none"/>
                <w:lang w:eastAsia="zh-CN"/>
              </w:rPr>
            </w:pPr>
            <w:r>
              <w:rPr>
                <w:rFonts w:ascii="宋体" w:hAnsi="宋体"/>
                <w:kern w:val="0"/>
                <w:highlight w:val="none"/>
              </w:rPr>
              <w:t>符合第二章“</w:t>
            </w:r>
            <w:r>
              <w:rPr>
                <w:rFonts w:hint="eastAsia" w:ascii="宋体" w:hAnsi="宋体"/>
                <w:kern w:val="0"/>
                <w:highlight w:val="none"/>
                <w:lang w:eastAsia="zh-CN"/>
              </w:rPr>
              <w:t>比选申请人</w:t>
            </w:r>
            <w:r>
              <w:rPr>
                <w:rFonts w:ascii="宋体" w:hAnsi="宋体"/>
                <w:kern w:val="0"/>
                <w:highlight w:val="none"/>
              </w:rPr>
              <w:t>须知”第1.3.1项规定</w:t>
            </w:r>
            <w:r>
              <w:rPr>
                <w:rFonts w:hint="eastAsia" w:ascii="宋体" w:hAnsi="宋体"/>
                <w:kern w:val="0"/>
                <w:highlight w:val="none"/>
                <w:lang w:eastAsia="zh-CN"/>
              </w:rPr>
              <w:t>。</w:t>
            </w:r>
          </w:p>
        </w:tc>
      </w:tr>
      <w:tr w14:paraId="4065D6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vAlign w:val="center"/>
          </w:tcPr>
          <w:p w14:paraId="081F068B">
            <w:pPr>
              <w:spacing w:line="400" w:lineRule="exact"/>
              <w:jc w:val="center"/>
              <w:rPr>
                <w:rFonts w:ascii="宋体" w:hAnsi="宋体"/>
                <w:kern w:val="0"/>
                <w:highlight w:val="none"/>
              </w:rPr>
            </w:pPr>
          </w:p>
        </w:tc>
        <w:tc>
          <w:tcPr>
            <w:tcW w:w="1628" w:type="dxa"/>
            <w:vMerge w:val="continue"/>
            <w:textDirection w:val="tbRlV"/>
            <w:vAlign w:val="center"/>
          </w:tcPr>
          <w:p w14:paraId="147C94FF">
            <w:pPr>
              <w:spacing w:line="400" w:lineRule="exact"/>
              <w:jc w:val="center"/>
              <w:rPr>
                <w:rFonts w:ascii="宋体" w:hAnsi="宋体"/>
                <w:kern w:val="0"/>
                <w:highlight w:val="none"/>
              </w:rPr>
            </w:pPr>
          </w:p>
        </w:tc>
        <w:tc>
          <w:tcPr>
            <w:tcW w:w="2304" w:type="dxa"/>
            <w:gridSpan w:val="2"/>
            <w:tcBorders>
              <w:top w:val="single" w:color="auto" w:sz="4" w:space="0"/>
            </w:tcBorders>
            <w:vAlign w:val="center"/>
          </w:tcPr>
          <w:p w14:paraId="17647F7C">
            <w:pPr>
              <w:spacing w:line="400" w:lineRule="exact"/>
              <w:jc w:val="left"/>
              <w:rPr>
                <w:rFonts w:ascii="宋体" w:hAnsi="宋体"/>
                <w:kern w:val="0"/>
                <w:highlight w:val="none"/>
              </w:rPr>
            </w:pPr>
            <w:r>
              <w:rPr>
                <w:rFonts w:ascii="宋体" w:hAnsi="宋体"/>
                <w:kern w:val="0"/>
                <w:highlight w:val="none"/>
              </w:rPr>
              <w:t>投标保证金</w:t>
            </w:r>
          </w:p>
        </w:tc>
        <w:tc>
          <w:tcPr>
            <w:tcW w:w="4688" w:type="dxa"/>
            <w:gridSpan w:val="2"/>
            <w:vAlign w:val="center"/>
          </w:tcPr>
          <w:p w14:paraId="11A3E531">
            <w:pPr>
              <w:tabs>
                <w:tab w:val="left" w:pos="601"/>
                <w:tab w:val="left" w:pos="669"/>
              </w:tabs>
              <w:snapToGrid w:val="0"/>
              <w:spacing w:line="400" w:lineRule="exact"/>
              <w:ind w:firstLine="420" w:firstLineChars="200"/>
              <w:rPr>
                <w:rFonts w:ascii="宋体" w:hAnsi="宋体"/>
                <w:kern w:val="0"/>
                <w:highlight w:val="none"/>
              </w:rPr>
            </w:pPr>
            <w:r>
              <w:rPr>
                <w:rFonts w:hint="eastAsia" w:ascii="宋体" w:hAnsi="宋体" w:cs="宋体"/>
                <w:kern w:val="0"/>
                <w:highlight w:val="none"/>
              </w:rPr>
              <w:t>符合第二章“</w:t>
            </w:r>
            <w:r>
              <w:rPr>
                <w:rFonts w:hint="eastAsia" w:ascii="宋体" w:hAnsi="宋体" w:cs="宋体"/>
                <w:kern w:val="0"/>
                <w:highlight w:val="none"/>
                <w:lang w:eastAsia="zh-CN"/>
              </w:rPr>
              <w:t>比选申请人</w:t>
            </w:r>
            <w:r>
              <w:rPr>
                <w:rFonts w:hint="eastAsia" w:ascii="宋体" w:hAnsi="宋体" w:cs="宋体"/>
                <w:kern w:val="0"/>
                <w:highlight w:val="none"/>
              </w:rPr>
              <w:t>须知前附表”第3.4款规定。</w:t>
            </w:r>
          </w:p>
        </w:tc>
      </w:tr>
      <w:tr w14:paraId="1048135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Pr>
          <w:p w14:paraId="64FEFB46">
            <w:pPr>
              <w:spacing w:line="400" w:lineRule="exact"/>
              <w:jc w:val="center"/>
              <w:rPr>
                <w:rFonts w:ascii="宋体" w:hAnsi="宋体"/>
                <w:highlight w:val="none"/>
              </w:rPr>
            </w:pPr>
          </w:p>
        </w:tc>
        <w:tc>
          <w:tcPr>
            <w:tcW w:w="1628" w:type="dxa"/>
            <w:vMerge w:val="continue"/>
          </w:tcPr>
          <w:p w14:paraId="0C8E3663">
            <w:pPr>
              <w:spacing w:line="400" w:lineRule="exact"/>
              <w:jc w:val="center"/>
              <w:rPr>
                <w:rFonts w:ascii="宋体" w:hAnsi="宋体"/>
                <w:highlight w:val="none"/>
              </w:rPr>
            </w:pPr>
          </w:p>
        </w:tc>
        <w:tc>
          <w:tcPr>
            <w:tcW w:w="2304" w:type="dxa"/>
            <w:gridSpan w:val="2"/>
            <w:vAlign w:val="center"/>
          </w:tcPr>
          <w:p w14:paraId="4BAE10A7">
            <w:pPr>
              <w:spacing w:line="400" w:lineRule="exact"/>
              <w:jc w:val="left"/>
              <w:rPr>
                <w:rFonts w:ascii="宋体" w:hAnsi="宋体"/>
                <w:kern w:val="0"/>
                <w:highlight w:val="none"/>
              </w:rPr>
            </w:pPr>
            <w:r>
              <w:rPr>
                <w:rFonts w:ascii="宋体" w:hAnsi="宋体"/>
                <w:kern w:val="0"/>
                <w:highlight w:val="none"/>
              </w:rPr>
              <w:t>权利义务</w:t>
            </w:r>
          </w:p>
        </w:tc>
        <w:tc>
          <w:tcPr>
            <w:tcW w:w="4688" w:type="dxa"/>
            <w:gridSpan w:val="2"/>
            <w:vAlign w:val="center"/>
          </w:tcPr>
          <w:p w14:paraId="21DED42C">
            <w:pPr>
              <w:spacing w:after="62" w:afterLines="20" w:line="400" w:lineRule="exact"/>
              <w:ind w:firstLine="420" w:firstLineChars="200"/>
              <w:rPr>
                <w:rFonts w:ascii="宋体" w:hAnsi="宋体"/>
                <w:kern w:val="0"/>
                <w:highlight w:val="none"/>
              </w:rPr>
            </w:pPr>
            <w:r>
              <w:rPr>
                <w:rFonts w:ascii="宋体" w:hAnsi="宋体"/>
                <w:kern w:val="0"/>
                <w:highlight w:val="none"/>
              </w:rPr>
              <w:t>符合第四章“合同条款及格式”规定，</w:t>
            </w:r>
            <w:r>
              <w:rPr>
                <w:rFonts w:hint="eastAsia" w:ascii="宋体" w:hAnsi="宋体"/>
                <w:kern w:val="0"/>
                <w:highlight w:val="none"/>
                <w:lang w:eastAsia="zh-CN"/>
              </w:rPr>
              <w:t>比选申请文件</w:t>
            </w:r>
            <w:r>
              <w:rPr>
                <w:rFonts w:ascii="宋体" w:hAnsi="宋体"/>
                <w:kern w:val="0"/>
                <w:highlight w:val="none"/>
              </w:rPr>
              <w:t>不应附有</w:t>
            </w:r>
            <w:r>
              <w:rPr>
                <w:rFonts w:hint="eastAsia" w:ascii="宋体" w:hAnsi="宋体"/>
                <w:kern w:val="0"/>
                <w:highlight w:val="none"/>
                <w:lang w:eastAsia="zh-CN"/>
              </w:rPr>
              <w:t>比选人</w:t>
            </w:r>
            <w:r>
              <w:rPr>
                <w:rFonts w:ascii="宋体" w:hAnsi="宋体"/>
                <w:kern w:val="0"/>
                <w:highlight w:val="none"/>
              </w:rPr>
              <w:t>不能接受的条件。</w:t>
            </w:r>
            <w:r>
              <w:rPr>
                <w:rFonts w:hint="eastAsia" w:ascii="宋体" w:hAnsi="宋体"/>
                <w:kern w:val="0"/>
                <w:highlight w:val="none"/>
              </w:rPr>
              <w:t>（由</w:t>
            </w:r>
            <w:r>
              <w:rPr>
                <w:rFonts w:hint="eastAsia" w:ascii="宋体" w:hAnsi="宋体"/>
                <w:kern w:val="0"/>
                <w:highlight w:val="none"/>
                <w:lang w:eastAsia="zh-CN"/>
              </w:rPr>
              <w:t>比选申请人</w:t>
            </w:r>
            <w:r>
              <w:rPr>
                <w:rFonts w:hint="eastAsia" w:ascii="宋体" w:hAnsi="宋体"/>
                <w:kern w:val="0"/>
                <w:highlight w:val="none"/>
              </w:rPr>
              <w:t>承诺，承诺书格式详见第八章</w:t>
            </w:r>
            <w:r>
              <w:rPr>
                <w:rFonts w:hint="eastAsia" w:ascii="宋体" w:hAnsi="宋体"/>
                <w:kern w:val="0"/>
                <w:highlight w:val="none"/>
                <w:lang w:eastAsia="zh-CN"/>
              </w:rPr>
              <w:t>比选申请文件</w:t>
            </w:r>
            <w:r>
              <w:rPr>
                <w:rFonts w:hint="eastAsia" w:ascii="宋体" w:hAnsi="宋体"/>
                <w:kern w:val="0"/>
                <w:highlight w:val="none"/>
              </w:rPr>
              <w:t>格式。）</w:t>
            </w:r>
          </w:p>
        </w:tc>
      </w:tr>
      <w:tr w14:paraId="537E13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Pr>
          <w:p w14:paraId="1F401A61">
            <w:pPr>
              <w:spacing w:line="400" w:lineRule="exact"/>
              <w:jc w:val="center"/>
              <w:rPr>
                <w:rFonts w:ascii="宋体" w:hAnsi="宋体"/>
                <w:highlight w:val="none"/>
              </w:rPr>
            </w:pPr>
          </w:p>
        </w:tc>
        <w:tc>
          <w:tcPr>
            <w:tcW w:w="1628" w:type="dxa"/>
            <w:vMerge w:val="continue"/>
          </w:tcPr>
          <w:p w14:paraId="09D946A7">
            <w:pPr>
              <w:spacing w:line="400" w:lineRule="exact"/>
              <w:jc w:val="center"/>
              <w:rPr>
                <w:rFonts w:ascii="宋体" w:hAnsi="宋体"/>
                <w:highlight w:val="none"/>
              </w:rPr>
            </w:pPr>
          </w:p>
        </w:tc>
        <w:tc>
          <w:tcPr>
            <w:tcW w:w="2304" w:type="dxa"/>
            <w:gridSpan w:val="2"/>
            <w:vAlign w:val="center"/>
          </w:tcPr>
          <w:p w14:paraId="10F6ACE4">
            <w:pPr>
              <w:spacing w:line="400" w:lineRule="exact"/>
              <w:jc w:val="left"/>
              <w:rPr>
                <w:rFonts w:ascii="宋体" w:hAnsi="宋体"/>
                <w:kern w:val="0"/>
                <w:highlight w:val="none"/>
              </w:rPr>
            </w:pPr>
            <w:r>
              <w:rPr>
                <w:rFonts w:ascii="宋体" w:hAnsi="宋体"/>
                <w:kern w:val="0"/>
                <w:highlight w:val="none"/>
              </w:rPr>
              <w:t>技术标准和要求</w:t>
            </w:r>
          </w:p>
        </w:tc>
        <w:tc>
          <w:tcPr>
            <w:tcW w:w="4688" w:type="dxa"/>
            <w:gridSpan w:val="2"/>
            <w:vAlign w:val="center"/>
          </w:tcPr>
          <w:p w14:paraId="60854A03">
            <w:pPr>
              <w:spacing w:line="400" w:lineRule="exact"/>
              <w:ind w:firstLine="420" w:firstLineChars="200"/>
              <w:rPr>
                <w:rFonts w:ascii="宋体" w:hAnsi="宋体"/>
                <w:kern w:val="0"/>
                <w:highlight w:val="none"/>
              </w:rPr>
            </w:pPr>
            <w:r>
              <w:rPr>
                <w:rFonts w:ascii="宋体" w:hAnsi="宋体"/>
                <w:kern w:val="0"/>
                <w:highlight w:val="none"/>
              </w:rPr>
              <w:t>符合第七章“技术标准和要求”规定</w:t>
            </w:r>
            <w:r>
              <w:rPr>
                <w:rFonts w:hint="eastAsia" w:ascii="宋体" w:hAnsi="宋体"/>
                <w:kern w:val="0"/>
                <w:highlight w:val="none"/>
              </w:rPr>
              <w:t>。（由</w:t>
            </w:r>
            <w:r>
              <w:rPr>
                <w:rFonts w:hint="eastAsia" w:ascii="宋体" w:hAnsi="宋体"/>
                <w:kern w:val="0"/>
                <w:highlight w:val="none"/>
                <w:lang w:eastAsia="zh-CN"/>
              </w:rPr>
              <w:t>比选申请人</w:t>
            </w:r>
            <w:r>
              <w:rPr>
                <w:rFonts w:hint="eastAsia" w:ascii="宋体" w:hAnsi="宋体"/>
                <w:kern w:val="0"/>
                <w:highlight w:val="none"/>
              </w:rPr>
              <w:t>承诺，承诺书格式详见第八章</w:t>
            </w:r>
            <w:r>
              <w:rPr>
                <w:rFonts w:hint="eastAsia" w:ascii="宋体" w:hAnsi="宋体"/>
                <w:kern w:val="0"/>
                <w:highlight w:val="none"/>
                <w:lang w:eastAsia="zh-CN"/>
              </w:rPr>
              <w:t>比选申请文件</w:t>
            </w:r>
            <w:r>
              <w:rPr>
                <w:rFonts w:hint="eastAsia" w:ascii="宋体" w:hAnsi="宋体"/>
                <w:kern w:val="0"/>
                <w:highlight w:val="none"/>
              </w:rPr>
              <w:t>格式。）</w:t>
            </w:r>
          </w:p>
        </w:tc>
      </w:tr>
      <w:tr w14:paraId="366117A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Pr>
          <w:p w14:paraId="23AB69B4">
            <w:pPr>
              <w:spacing w:line="400" w:lineRule="exact"/>
              <w:rPr>
                <w:rFonts w:ascii="宋体" w:hAnsi="宋体"/>
                <w:highlight w:val="none"/>
              </w:rPr>
            </w:pPr>
          </w:p>
        </w:tc>
        <w:tc>
          <w:tcPr>
            <w:tcW w:w="1628" w:type="dxa"/>
            <w:vMerge w:val="continue"/>
          </w:tcPr>
          <w:p w14:paraId="7A888931">
            <w:pPr>
              <w:spacing w:line="400" w:lineRule="exact"/>
              <w:rPr>
                <w:rFonts w:ascii="宋体" w:hAnsi="宋体"/>
                <w:highlight w:val="none"/>
              </w:rPr>
            </w:pPr>
          </w:p>
        </w:tc>
        <w:tc>
          <w:tcPr>
            <w:tcW w:w="2304" w:type="dxa"/>
            <w:gridSpan w:val="2"/>
            <w:vAlign w:val="center"/>
          </w:tcPr>
          <w:p w14:paraId="6ECFAEFA">
            <w:pPr>
              <w:spacing w:line="400" w:lineRule="exact"/>
              <w:jc w:val="left"/>
              <w:rPr>
                <w:rFonts w:ascii="宋体" w:hAnsi="宋体"/>
                <w:kern w:val="0"/>
                <w:highlight w:val="none"/>
              </w:rPr>
            </w:pPr>
            <w:r>
              <w:rPr>
                <w:rFonts w:hint="eastAsia" w:ascii="宋体" w:hAnsi="宋体"/>
                <w:kern w:val="0"/>
                <w:highlight w:val="none"/>
                <w:lang w:val="en-US" w:eastAsia="zh-CN"/>
              </w:rPr>
              <w:t>其他</w:t>
            </w:r>
            <w:r>
              <w:rPr>
                <w:rFonts w:ascii="宋体" w:hAnsi="宋体"/>
                <w:kern w:val="0"/>
                <w:highlight w:val="none"/>
              </w:rPr>
              <w:t>实质性要求</w:t>
            </w:r>
          </w:p>
        </w:tc>
        <w:tc>
          <w:tcPr>
            <w:tcW w:w="4688" w:type="dxa"/>
            <w:gridSpan w:val="2"/>
            <w:vAlign w:val="center"/>
          </w:tcPr>
          <w:p w14:paraId="77774FC5">
            <w:pPr>
              <w:spacing w:after="62" w:afterLines="20" w:line="400" w:lineRule="exact"/>
              <w:ind w:firstLine="420" w:firstLineChars="200"/>
              <w:rPr>
                <w:rFonts w:ascii="宋体" w:hAnsi="宋体"/>
                <w:kern w:val="0"/>
                <w:highlight w:val="none"/>
              </w:rPr>
            </w:pPr>
            <w:r>
              <w:rPr>
                <w:rFonts w:hint="eastAsia" w:ascii="宋体" w:hAnsi="宋体"/>
                <w:kern w:val="0"/>
                <w:highlight w:val="none"/>
              </w:rPr>
              <w:t>本次投标不得</w:t>
            </w:r>
            <w:r>
              <w:rPr>
                <w:rFonts w:hint="eastAsia" w:ascii="宋体" w:hAnsi="宋体"/>
                <w:kern w:val="0"/>
                <w:highlight w:val="none"/>
                <w:lang w:val="en-US" w:eastAsia="zh-CN"/>
              </w:rPr>
              <w:t>存在弄虚作假等</w:t>
            </w:r>
            <w:r>
              <w:rPr>
                <w:rFonts w:ascii="宋体" w:hAnsi="宋体"/>
                <w:kern w:val="0"/>
                <w:highlight w:val="none"/>
              </w:rPr>
              <w:t>其他违反招投标相关法律、法规</w:t>
            </w:r>
            <w:r>
              <w:rPr>
                <w:rFonts w:hint="eastAsia" w:ascii="宋体" w:hAnsi="宋体"/>
                <w:kern w:val="0"/>
                <w:highlight w:val="none"/>
                <w:lang w:val="en-US" w:eastAsia="zh-CN"/>
              </w:rPr>
              <w:t>的</w:t>
            </w:r>
            <w:r>
              <w:rPr>
                <w:rFonts w:ascii="宋体" w:hAnsi="宋体"/>
                <w:kern w:val="0"/>
                <w:highlight w:val="none"/>
              </w:rPr>
              <w:t>行为。</w:t>
            </w:r>
          </w:p>
          <w:p w14:paraId="089C4580">
            <w:pPr>
              <w:spacing w:after="62" w:afterLines="20" w:line="400" w:lineRule="exact"/>
              <w:ind w:firstLine="420" w:firstLineChars="200"/>
              <w:rPr>
                <w:rFonts w:ascii="宋体" w:hAnsi="宋体"/>
                <w:kern w:val="0"/>
                <w:highlight w:val="none"/>
              </w:rPr>
            </w:pPr>
            <w:r>
              <w:rPr>
                <w:rFonts w:hint="eastAsia" w:ascii="宋体" w:hAnsi="宋体"/>
                <w:kern w:val="0"/>
                <w:highlight w:val="none"/>
              </w:rPr>
              <w:t>按评标委员会要求澄清、说明或补正。</w:t>
            </w:r>
          </w:p>
        </w:tc>
      </w:tr>
      <w:tr w14:paraId="03A2974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tcBorders>
              <w:right w:val="single" w:color="auto" w:sz="4" w:space="0"/>
            </w:tcBorders>
            <w:vAlign w:val="center"/>
          </w:tcPr>
          <w:p w14:paraId="5FA18BFA">
            <w:pPr>
              <w:spacing w:line="400" w:lineRule="exact"/>
              <w:jc w:val="center"/>
              <w:rPr>
                <w:rFonts w:ascii="宋体" w:hAnsi="宋体"/>
                <w:kern w:val="0"/>
                <w:highlight w:val="none"/>
              </w:rPr>
            </w:pPr>
            <w:r>
              <w:rPr>
                <w:rFonts w:ascii="宋体" w:hAnsi="宋体"/>
                <w:kern w:val="0"/>
                <w:highlight w:val="none"/>
              </w:rPr>
              <w:t>2.2.1</w:t>
            </w:r>
          </w:p>
        </w:tc>
        <w:tc>
          <w:tcPr>
            <w:tcW w:w="1628" w:type="dxa"/>
            <w:tcBorders>
              <w:left w:val="single" w:color="auto" w:sz="4" w:space="0"/>
            </w:tcBorders>
            <w:vAlign w:val="center"/>
          </w:tcPr>
          <w:p w14:paraId="1954EE26">
            <w:pPr>
              <w:spacing w:line="400" w:lineRule="exact"/>
              <w:jc w:val="center"/>
              <w:rPr>
                <w:rFonts w:ascii="宋体" w:hAnsi="宋体"/>
                <w:kern w:val="0"/>
                <w:highlight w:val="none"/>
              </w:rPr>
            </w:pPr>
            <w:r>
              <w:rPr>
                <w:rFonts w:ascii="宋体" w:hAnsi="宋体"/>
                <w:kern w:val="0"/>
                <w:highlight w:val="none"/>
              </w:rPr>
              <w:t>分值构成 （总分1</w:t>
            </w:r>
            <w:r>
              <w:rPr>
                <w:rFonts w:hint="eastAsia" w:ascii="宋体" w:hAnsi="宋体"/>
                <w:kern w:val="0"/>
                <w:highlight w:val="none"/>
              </w:rPr>
              <w:t>00</w:t>
            </w:r>
            <w:r>
              <w:rPr>
                <w:rFonts w:ascii="宋体" w:hAnsi="宋体"/>
                <w:kern w:val="0"/>
                <w:highlight w:val="none"/>
              </w:rPr>
              <w:t>分）</w:t>
            </w:r>
          </w:p>
        </w:tc>
        <w:tc>
          <w:tcPr>
            <w:tcW w:w="6992" w:type="dxa"/>
            <w:gridSpan w:val="4"/>
            <w:vAlign w:val="center"/>
          </w:tcPr>
          <w:p w14:paraId="5CD0C48D">
            <w:pPr>
              <w:snapToGrid w:val="0"/>
              <w:spacing w:line="400" w:lineRule="exact"/>
              <w:ind w:firstLine="420" w:firstLineChars="200"/>
              <w:rPr>
                <w:rFonts w:hint="eastAsia" w:ascii="宋体" w:hAnsi="宋体"/>
                <w:kern w:val="0"/>
                <w:highlight w:val="none"/>
              </w:rPr>
            </w:pPr>
            <w:r>
              <w:rPr>
                <w:rFonts w:hint="eastAsia" w:ascii="宋体" w:hAnsi="宋体"/>
                <w:kern w:val="0"/>
                <w:highlight w:val="none"/>
              </w:rPr>
              <w:t>1</w:t>
            </w:r>
            <w:r>
              <w:rPr>
                <w:rFonts w:ascii="宋体" w:hAnsi="宋体"/>
                <w:kern w:val="0"/>
                <w:highlight w:val="none"/>
              </w:rPr>
              <w:t>.</w:t>
            </w:r>
            <w:r>
              <w:rPr>
                <w:rFonts w:hint="eastAsia" w:ascii="宋体" w:hAnsi="宋体"/>
                <w:kern w:val="0"/>
                <w:highlight w:val="none"/>
              </w:rPr>
              <w:t>技术</w:t>
            </w:r>
            <w:r>
              <w:rPr>
                <w:rFonts w:hint="eastAsia" w:ascii="宋体" w:hAnsi="宋体"/>
                <w:kern w:val="0"/>
                <w:highlight w:val="none"/>
                <w:lang w:val="en-US" w:eastAsia="zh-CN"/>
              </w:rPr>
              <w:t>评审</w:t>
            </w:r>
            <w:r>
              <w:rPr>
                <w:rFonts w:hint="eastAsia" w:ascii="宋体" w:hAnsi="宋体"/>
                <w:kern w:val="0"/>
                <w:highlight w:val="none"/>
              </w:rPr>
              <w:t xml:space="preserve"> </w:t>
            </w:r>
            <w:r>
              <w:rPr>
                <w:rFonts w:hint="eastAsia" w:ascii="宋体" w:hAnsi="宋体"/>
                <w:kern w:val="0"/>
                <w:highlight w:val="none"/>
                <w:u w:val="single"/>
                <w:lang w:val="en-US" w:eastAsia="zh-CN"/>
              </w:rPr>
              <w:t>20</w:t>
            </w:r>
            <w:r>
              <w:rPr>
                <w:rFonts w:ascii="宋体" w:hAnsi="宋体"/>
                <w:kern w:val="0"/>
                <w:highlight w:val="none"/>
              </w:rPr>
              <w:t>分</w:t>
            </w:r>
            <w:r>
              <w:rPr>
                <w:rFonts w:hint="eastAsia" w:ascii="宋体" w:hAnsi="宋体"/>
                <w:kern w:val="0"/>
                <w:highlight w:val="none"/>
              </w:rPr>
              <w:t>；</w:t>
            </w:r>
          </w:p>
          <w:p w14:paraId="21D7361D">
            <w:pPr>
              <w:snapToGrid w:val="0"/>
              <w:spacing w:line="400" w:lineRule="exact"/>
              <w:ind w:firstLine="420" w:firstLineChars="200"/>
              <w:rPr>
                <w:rFonts w:ascii="宋体" w:hAnsi="宋体"/>
                <w:i/>
                <w:kern w:val="0"/>
                <w:highlight w:val="none"/>
              </w:rPr>
            </w:pPr>
            <w:r>
              <w:rPr>
                <w:rFonts w:hint="eastAsia" w:ascii="宋体" w:hAnsi="宋体"/>
                <w:kern w:val="0"/>
                <w:highlight w:val="none"/>
                <w:lang w:val="en-US" w:eastAsia="zh-CN"/>
              </w:rPr>
              <w:t>2</w:t>
            </w:r>
            <w:r>
              <w:rPr>
                <w:rFonts w:hint="eastAsia" w:ascii="宋体" w:hAnsi="宋体"/>
                <w:kern w:val="0"/>
                <w:highlight w:val="none"/>
              </w:rPr>
              <w:t>.</w:t>
            </w:r>
            <w:r>
              <w:rPr>
                <w:rFonts w:hint="eastAsia" w:ascii="宋体" w:hAnsi="宋体"/>
                <w:kern w:val="0"/>
                <w:highlight w:val="none"/>
                <w:lang w:val="en-US" w:eastAsia="zh-CN"/>
              </w:rPr>
              <w:t xml:space="preserve">报价评审 </w:t>
            </w:r>
            <w:r>
              <w:rPr>
                <w:rFonts w:hint="eastAsia" w:ascii="宋体" w:hAnsi="宋体"/>
                <w:kern w:val="0"/>
                <w:highlight w:val="none"/>
                <w:u w:val="single"/>
              </w:rPr>
              <w:t xml:space="preserve"> </w:t>
            </w:r>
            <w:r>
              <w:rPr>
                <w:rFonts w:hint="eastAsia" w:ascii="宋体" w:hAnsi="宋体"/>
                <w:kern w:val="0"/>
                <w:highlight w:val="none"/>
                <w:u w:val="single"/>
                <w:lang w:val="en-US" w:eastAsia="zh-CN"/>
              </w:rPr>
              <w:t>80</w:t>
            </w:r>
            <w:r>
              <w:rPr>
                <w:rFonts w:hint="eastAsia" w:ascii="宋体" w:hAnsi="宋体"/>
                <w:kern w:val="0"/>
                <w:highlight w:val="none"/>
                <w:u w:val="single"/>
              </w:rPr>
              <w:t xml:space="preserve"> </w:t>
            </w:r>
            <w:r>
              <w:rPr>
                <w:rFonts w:hint="eastAsia" w:ascii="宋体" w:hAnsi="宋体"/>
                <w:kern w:val="0"/>
                <w:highlight w:val="none"/>
              </w:rPr>
              <w:t>分。</w:t>
            </w:r>
          </w:p>
        </w:tc>
      </w:tr>
      <w:tr w14:paraId="2E9ADA2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restart"/>
            <w:tcBorders>
              <w:right w:val="single" w:color="auto" w:sz="4" w:space="0"/>
            </w:tcBorders>
            <w:vAlign w:val="center"/>
          </w:tcPr>
          <w:p w14:paraId="14BEA908">
            <w:pPr>
              <w:spacing w:line="400" w:lineRule="exact"/>
              <w:jc w:val="center"/>
              <w:rPr>
                <w:rFonts w:ascii="宋体" w:hAnsi="宋体"/>
                <w:kern w:val="0"/>
                <w:highlight w:val="none"/>
              </w:rPr>
            </w:pPr>
            <w:r>
              <w:rPr>
                <w:rFonts w:hint="eastAsia" w:ascii="宋体" w:hAnsi="宋体"/>
                <w:kern w:val="0"/>
                <w:highlight w:val="none"/>
                <w:lang w:eastAsia="zh-CN"/>
              </w:rPr>
              <w:t>☑</w:t>
            </w:r>
            <w:r>
              <w:rPr>
                <w:rFonts w:hint="eastAsia" w:ascii="宋体" w:hAnsi="宋体"/>
                <w:kern w:val="0"/>
                <w:highlight w:val="none"/>
              </w:rPr>
              <w:t>2.2.2（1）</w:t>
            </w:r>
          </w:p>
        </w:tc>
        <w:tc>
          <w:tcPr>
            <w:tcW w:w="1628" w:type="dxa"/>
            <w:vMerge w:val="restart"/>
            <w:tcBorders>
              <w:left w:val="single" w:color="auto" w:sz="4" w:space="0"/>
            </w:tcBorders>
            <w:vAlign w:val="center"/>
          </w:tcPr>
          <w:p w14:paraId="38131C53">
            <w:pPr>
              <w:spacing w:line="400" w:lineRule="exact"/>
              <w:jc w:val="center"/>
              <w:rPr>
                <w:rFonts w:hint="default" w:ascii="宋体" w:hAnsi="宋体" w:eastAsia="宋体"/>
                <w:kern w:val="0"/>
                <w:highlight w:val="none"/>
                <w:lang w:val="en-US" w:eastAsia="zh-CN"/>
              </w:rPr>
            </w:pPr>
            <w:r>
              <w:rPr>
                <w:rFonts w:hint="eastAsia" w:ascii="宋体" w:hAnsi="宋体"/>
                <w:kern w:val="0"/>
                <w:highlight w:val="none"/>
              </w:rPr>
              <w:t>技术</w:t>
            </w:r>
            <w:r>
              <w:rPr>
                <w:rFonts w:hint="eastAsia" w:ascii="宋体" w:hAnsi="宋体"/>
                <w:kern w:val="0"/>
                <w:highlight w:val="none"/>
                <w:lang w:val="en-US" w:eastAsia="zh-CN"/>
              </w:rPr>
              <w:t>评审</w:t>
            </w:r>
            <w:r>
              <w:rPr>
                <w:rFonts w:hint="eastAsia" w:ascii="宋体" w:hAnsi="宋体"/>
                <w:kern w:val="0"/>
                <w:highlight w:val="none"/>
              </w:rPr>
              <w:t>标准</w:t>
            </w:r>
          </w:p>
        </w:tc>
        <w:tc>
          <w:tcPr>
            <w:tcW w:w="734" w:type="dxa"/>
            <w:vMerge w:val="restart"/>
            <w:tcBorders>
              <w:right w:val="single" w:color="auto" w:sz="4" w:space="0"/>
            </w:tcBorders>
            <w:vAlign w:val="center"/>
          </w:tcPr>
          <w:p w14:paraId="3F0E35A8">
            <w:pPr>
              <w:tabs>
                <w:tab w:val="left" w:pos="1875"/>
              </w:tabs>
              <w:spacing w:line="400" w:lineRule="exact"/>
              <w:jc w:val="center"/>
              <w:rPr>
                <w:rFonts w:ascii="宋体" w:hAnsi="宋体"/>
                <w:kern w:val="0"/>
                <w:highlight w:val="none"/>
              </w:rPr>
            </w:pPr>
            <w:r>
              <w:rPr>
                <w:rFonts w:ascii="宋体" w:hAnsi="宋体"/>
                <w:kern w:val="0"/>
                <w:highlight w:val="none"/>
              </w:rPr>
              <w:t>技</w:t>
            </w:r>
          </w:p>
          <w:p w14:paraId="54AC34C7">
            <w:pPr>
              <w:tabs>
                <w:tab w:val="left" w:pos="1875"/>
              </w:tabs>
              <w:spacing w:line="400" w:lineRule="exact"/>
              <w:jc w:val="center"/>
              <w:rPr>
                <w:rFonts w:ascii="宋体" w:hAnsi="宋体"/>
                <w:kern w:val="0"/>
                <w:highlight w:val="none"/>
              </w:rPr>
            </w:pPr>
            <w:r>
              <w:rPr>
                <w:rFonts w:ascii="宋体" w:hAnsi="宋体"/>
                <w:kern w:val="0"/>
                <w:highlight w:val="none"/>
              </w:rPr>
              <w:t>术</w:t>
            </w:r>
          </w:p>
          <w:p w14:paraId="345E1D67">
            <w:pPr>
              <w:tabs>
                <w:tab w:val="left" w:pos="1875"/>
              </w:tabs>
              <w:spacing w:line="400" w:lineRule="exact"/>
              <w:jc w:val="center"/>
              <w:rPr>
                <w:rFonts w:ascii="宋体" w:hAnsi="宋体"/>
                <w:kern w:val="0"/>
                <w:highlight w:val="none"/>
              </w:rPr>
            </w:pPr>
            <w:r>
              <w:rPr>
                <w:rFonts w:ascii="宋体" w:hAnsi="宋体"/>
                <w:kern w:val="0"/>
                <w:highlight w:val="none"/>
              </w:rPr>
              <w:t>方</w:t>
            </w:r>
          </w:p>
          <w:p w14:paraId="1541F6CD">
            <w:pPr>
              <w:tabs>
                <w:tab w:val="left" w:pos="1875"/>
              </w:tabs>
              <w:spacing w:line="400" w:lineRule="exact"/>
              <w:jc w:val="center"/>
              <w:rPr>
                <w:rFonts w:ascii="宋体" w:hAnsi="宋体"/>
                <w:kern w:val="0"/>
                <w:highlight w:val="none"/>
              </w:rPr>
            </w:pPr>
            <w:r>
              <w:rPr>
                <w:rFonts w:ascii="宋体" w:hAnsi="宋体"/>
                <w:kern w:val="0"/>
                <w:highlight w:val="none"/>
              </w:rPr>
              <w:t>案</w:t>
            </w:r>
          </w:p>
          <w:p w14:paraId="744A0A9D">
            <w:pPr>
              <w:tabs>
                <w:tab w:val="left" w:pos="1875"/>
              </w:tabs>
              <w:spacing w:line="400" w:lineRule="exact"/>
              <w:jc w:val="center"/>
              <w:rPr>
                <w:rFonts w:ascii="宋体" w:hAnsi="宋体"/>
                <w:kern w:val="0"/>
                <w:highlight w:val="none"/>
              </w:rPr>
            </w:pPr>
            <w:r>
              <w:rPr>
                <w:rFonts w:ascii="宋体" w:hAnsi="宋体"/>
                <w:kern w:val="0"/>
                <w:highlight w:val="none"/>
              </w:rPr>
              <w:t>评</w:t>
            </w:r>
          </w:p>
          <w:p w14:paraId="4292EA8A">
            <w:pPr>
              <w:tabs>
                <w:tab w:val="left" w:pos="1875"/>
              </w:tabs>
              <w:spacing w:line="400" w:lineRule="exact"/>
              <w:jc w:val="center"/>
              <w:rPr>
                <w:rFonts w:ascii="宋体" w:hAnsi="宋体"/>
                <w:kern w:val="0"/>
                <w:highlight w:val="none"/>
              </w:rPr>
            </w:pPr>
            <w:r>
              <w:rPr>
                <w:rFonts w:ascii="宋体" w:hAnsi="宋体"/>
                <w:kern w:val="0"/>
                <w:highlight w:val="none"/>
              </w:rPr>
              <w:t>审</w:t>
            </w:r>
          </w:p>
        </w:tc>
        <w:tc>
          <w:tcPr>
            <w:tcW w:w="1570" w:type="dxa"/>
            <w:tcBorders>
              <w:left w:val="single" w:color="auto" w:sz="4" w:space="0"/>
            </w:tcBorders>
            <w:vAlign w:val="center"/>
          </w:tcPr>
          <w:p w14:paraId="3A7112C6">
            <w:pPr>
              <w:tabs>
                <w:tab w:val="left" w:pos="1875"/>
              </w:tabs>
              <w:spacing w:line="400" w:lineRule="exact"/>
              <w:rPr>
                <w:rFonts w:ascii="宋体" w:hAnsi="宋体"/>
                <w:kern w:val="0"/>
                <w:highlight w:val="none"/>
              </w:rPr>
            </w:pPr>
            <w:r>
              <w:rPr>
                <w:rFonts w:hint="eastAsia" w:ascii="宋体" w:hAnsi="宋体" w:cs="宋体"/>
                <w:kern w:val="0"/>
                <w:highlight w:val="none"/>
              </w:rPr>
              <w:t>技术方案形式要求</w:t>
            </w:r>
          </w:p>
        </w:tc>
        <w:tc>
          <w:tcPr>
            <w:tcW w:w="4688" w:type="dxa"/>
            <w:gridSpan w:val="2"/>
            <w:vAlign w:val="center"/>
          </w:tcPr>
          <w:p w14:paraId="0C9CCD7E">
            <w:pPr>
              <w:snapToGrid w:val="0"/>
              <w:spacing w:line="400" w:lineRule="exact"/>
              <w:ind w:firstLine="420" w:firstLineChars="200"/>
              <w:rPr>
                <w:rFonts w:ascii="宋体" w:hAnsi="宋体"/>
                <w:highlight w:val="none"/>
                <w:u w:val="single"/>
              </w:rPr>
            </w:pPr>
            <w:r>
              <w:rPr>
                <w:rFonts w:hint="eastAsia" w:ascii="宋体" w:hAnsi="宋体" w:cs="宋体"/>
                <w:kern w:val="0"/>
                <w:highlight w:val="none"/>
              </w:rPr>
              <w:t>须符合第二章</w:t>
            </w:r>
            <w:r>
              <w:rPr>
                <w:rFonts w:hint="eastAsia" w:ascii="宋体" w:hAnsi="宋体" w:cs="宋体"/>
                <w:kern w:val="0"/>
                <w:highlight w:val="none"/>
                <w:lang w:eastAsia="zh-CN"/>
              </w:rPr>
              <w:t>比选申请人</w:t>
            </w:r>
            <w:r>
              <w:rPr>
                <w:rFonts w:hint="eastAsia" w:ascii="宋体" w:hAnsi="宋体" w:cs="宋体"/>
                <w:kern w:val="0"/>
                <w:highlight w:val="none"/>
              </w:rPr>
              <w:t>须知前附表第3.7.5项（</w:t>
            </w:r>
            <w:r>
              <w:rPr>
                <w:rFonts w:hint="eastAsia" w:ascii="宋体" w:hAnsi="宋体" w:cs="宋体"/>
                <w:kern w:val="0"/>
                <w:highlight w:val="none"/>
                <w:lang w:val="en-US" w:eastAsia="zh-CN"/>
              </w:rPr>
              <w:t>4</w:t>
            </w:r>
            <w:r>
              <w:rPr>
                <w:rFonts w:hint="eastAsia" w:ascii="宋体" w:hAnsi="宋体" w:cs="宋体"/>
                <w:kern w:val="0"/>
                <w:highlight w:val="none"/>
              </w:rPr>
              <w:t>）技术部分</w:t>
            </w:r>
            <w:r>
              <w:rPr>
                <w:rFonts w:hint="eastAsia" w:ascii="宋体" w:hAnsi="宋体" w:cs="宋体"/>
                <w:kern w:val="0"/>
                <w:highlight w:val="none"/>
                <w:lang w:val="en-US" w:eastAsia="zh-CN"/>
              </w:rPr>
              <w:t>的</w:t>
            </w:r>
            <w:r>
              <w:rPr>
                <w:rFonts w:hint="eastAsia" w:ascii="宋体" w:hAnsi="宋体" w:cs="宋体"/>
                <w:kern w:val="0"/>
                <w:highlight w:val="none"/>
              </w:rPr>
              <w:t>要求，否则其技术方案为0分，不再对技术方案的其他评分标准进行评审。</w:t>
            </w:r>
          </w:p>
        </w:tc>
      </w:tr>
      <w:tr w14:paraId="4280BF2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7C6412C0">
            <w:pPr>
              <w:spacing w:line="400" w:lineRule="exact"/>
              <w:jc w:val="center"/>
              <w:rPr>
                <w:rFonts w:ascii="宋体" w:hAnsi="宋体"/>
                <w:kern w:val="0"/>
                <w:highlight w:val="none"/>
              </w:rPr>
            </w:pPr>
          </w:p>
        </w:tc>
        <w:tc>
          <w:tcPr>
            <w:tcW w:w="1628" w:type="dxa"/>
            <w:vMerge w:val="continue"/>
            <w:tcBorders>
              <w:left w:val="single" w:color="auto" w:sz="4" w:space="0"/>
            </w:tcBorders>
            <w:vAlign w:val="center"/>
          </w:tcPr>
          <w:p w14:paraId="4C945142">
            <w:pPr>
              <w:spacing w:line="400" w:lineRule="exact"/>
              <w:jc w:val="center"/>
              <w:rPr>
                <w:rFonts w:ascii="宋体" w:hAnsi="宋体"/>
                <w:kern w:val="0"/>
                <w:highlight w:val="none"/>
              </w:rPr>
            </w:pPr>
          </w:p>
        </w:tc>
        <w:tc>
          <w:tcPr>
            <w:tcW w:w="734" w:type="dxa"/>
            <w:vMerge w:val="continue"/>
            <w:tcBorders>
              <w:right w:val="single" w:color="auto" w:sz="4" w:space="0"/>
            </w:tcBorders>
            <w:vAlign w:val="center"/>
          </w:tcPr>
          <w:p w14:paraId="60445551">
            <w:pPr>
              <w:tabs>
                <w:tab w:val="left" w:pos="1875"/>
              </w:tabs>
              <w:spacing w:line="400" w:lineRule="exact"/>
              <w:jc w:val="center"/>
              <w:rPr>
                <w:rFonts w:ascii="宋体" w:hAnsi="宋体"/>
                <w:kern w:val="0"/>
                <w:highlight w:val="none"/>
              </w:rPr>
            </w:pPr>
          </w:p>
        </w:tc>
        <w:tc>
          <w:tcPr>
            <w:tcW w:w="1570" w:type="dxa"/>
            <w:tcBorders>
              <w:left w:val="single" w:color="auto" w:sz="4" w:space="0"/>
            </w:tcBorders>
            <w:vAlign w:val="center"/>
          </w:tcPr>
          <w:p w14:paraId="79414B29">
            <w:pPr>
              <w:tabs>
                <w:tab w:val="left" w:pos="1875"/>
              </w:tabs>
              <w:spacing w:line="400" w:lineRule="exact"/>
              <w:rPr>
                <w:rFonts w:ascii="宋体" w:hAnsi="宋体"/>
                <w:kern w:val="0"/>
                <w:highlight w:val="none"/>
              </w:rPr>
            </w:pPr>
            <w:r>
              <w:rPr>
                <w:rFonts w:hint="eastAsia" w:ascii="宋体" w:hAnsi="宋体"/>
                <w:kern w:val="0"/>
                <w:highlight w:val="none"/>
              </w:rPr>
              <w:t>内容完整性和编制水平</w:t>
            </w:r>
          </w:p>
        </w:tc>
        <w:tc>
          <w:tcPr>
            <w:tcW w:w="4688" w:type="dxa"/>
            <w:gridSpan w:val="2"/>
            <w:vAlign w:val="center"/>
          </w:tcPr>
          <w:p w14:paraId="668B455B">
            <w:pPr>
              <w:snapToGrid w:val="0"/>
              <w:spacing w:line="400" w:lineRule="exact"/>
              <w:ind w:firstLine="420" w:firstLineChars="200"/>
              <w:rPr>
                <w:rFonts w:ascii="宋体" w:hAnsi="宋体"/>
                <w:highlight w:val="none"/>
                <w:u w:val="single"/>
              </w:rPr>
            </w:pPr>
            <w:r>
              <w:rPr>
                <w:rFonts w:hint="eastAsia" w:ascii="宋体" w:hAnsi="宋体"/>
                <w:highlight w:val="none"/>
                <w:u w:val="single"/>
                <w:lang w:val="en-US" w:eastAsia="zh-CN"/>
              </w:rPr>
              <w:t xml:space="preserve">4 分 编制要点：对项目总体认识深刻，工程概况描述清晰、完整，施工部署、总体组织安排、施工方案选择、施工进度计划编制合理，质量、安全环境保护及安全文明施工控制论述完整，整体方案思路清晰、符合工程实际情况，具有针对性、可行性和指导性。 </w:t>
            </w:r>
          </w:p>
          <w:p w14:paraId="4FA7382C">
            <w:pPr>
              <w:snapToGrid w:val="0"/>
              <w:spacing w:line="400" w:lineRule="exact"/>
              <w:ind w:firstLine="420" w:firstLineChars="200"/>
              <w:rPr>
                <w:rFonts w:ascii="宋体" w:hAnsi="宋体"/>
                <w:highlight w:val="none"/>
                <w:u w:val="single"/>
              </w:rPr>
            </w:pPr>
            <w:r>
              <w:rPr>
                <w:rFonts w:hint="eastAsia" w:ascii="宋体" w:hAnsi="宋体" w:eastAsia="宋体" w:cs="Times New Roman"/>
                <w:highlight w:val="none"/>
                <w:u w:val="single"/>
                <w:lang w:val="en-US" w:eastAsia="zh-CN"/>
              </w:rPr>
              <w:t xml:space="preserve">优得 </w:t>
            </w:r>
            <w:r>
              <w:rPr>
                <w:rFonts w:hint="eastAsia" w:ascii="宋体" w:hAnsi="宋体" w:cs="Times New Roman"/>
                <w:highlight w:val="none"/>
                <w:u w:val="single"/>
                <w:lang w:val="en-US" w:eastAsia="zh-CN"/>
              </w:rPr>
              <w:t>3.6</w:t>
            </w:r>
            <w:r>
              <w:rPr>
                <w:rFonts w:hint="eastAsia" w:ascii="宋体" w:hAnsi="宋体" w:eastAsia="宋体" w:cs="Times New Roman"/>
                <w:highlight w:val="none"/>
                <w:u w:val="single"/>
                <w:lang w:val="en-US" w:eastAsia="zh-CN"/>
              </w:rPr>
              <w:t xml:space="preserve"> 分- </w:t>
            </w:r>
            <w:r>
              <w:rPr>
                <w:rFonts w:hint="eastAsia" w:ascii="宋体" w:hAnsi="宋体" w:cs="Times New Roman"/>
                <w:highlight w:val="none"/>
                <w:u w:val="single"/>
                <w:lang w:val="en-US" w:eastAsia="zh-CN"/>
              </w:rPr>
              <w:t>4</w:t>
            </w:r>
            <w:r>
              <w:rPr>
                <w:rFonts w:hint="eastAsia" w:ascii="宋体" w:hAnsi="宋体" w:eastAsia="宋体" w:cs="Times New Roman"/>
                <w:highlight w:val="none"/>
                <w:u w:val="single"/>
                <w:lang w:val="en-US" w:eastAsia="zh-CN"/>
              </w:rPr>
              <w:t xml:space="preserve">分，良得 </w:t>
            </w:r>
            <w:r>
              <w:rPr>
                <w:rFonts w:hint="eastAsia" w:ascii="宋体" w:hAnsi="宋体" w:cs="Times New Roman"/>
                <w:highlight w:val="none"/>
                <w:u w:val="single"/>
                <w:lang w:val="en-US" w:eastAsia="zh-CN"/>
              </w:rPr>
              <w:t>3.2</w:t>
            </w:r>
            <w:r>
              <w:rPr>
                <w:rFonts w:hint="eastAsia" w:ascii="宋体" w:hAnsi="宋体" w:eastAsia="宋体" w:cs="Times New Roman"/>
                <w:highlight w:val="none"/>
                <w:u w:val="single"/>
                <w:lang w:val="en-US" w:eastAsia="zh-CN"/>
              </w:rPr>
              <w:t xml:space="preserve"> 分-</w:t>
            </w:r>
            <w:r>
              <w:rPr>
                <w:rFonts w:hint="eastAsia" w:ascii="宋体" w:hAnsi="宋体" w:cs="Times New Roman"/>
                <w:highlight w:val="none"/>
                <w:u w:val="single"/>
                <w:lang w:val="en-US" w:eastAsia="zh-CN"/>
              </w:rPr>
              <w:t>3.6</w:t>
            </w:r>
            <w:r>
              <w:rPr>
                <w:rFonts w:hint="eastAsia" w:ascii="宋体" w:hAnsi="宋体" w:eastAsia="宋体" w:cs="Times New Roman"/>
                <w:highlight w:val="none"/>
                <w:u w:val="single"/>
                <w:lang w:val="en-US" w:eastAsia="zh-CN"/>
              </w:rPr>
              <w:t xml:space="preserve">分（不含）， 一般得 </w:t>
            </w:r>
            <w:r>
              <w:rPr>
                <w:rFonts w:hint="eastAsia" w:ascii="宋体" w:hAnsi="宋体" w:cs="Times New Roman"/>
                <w:highlight w:val="none"/>
                <w:u w:val="single"/>
                <w:lang w:val="en-US" w:eastAsia="zh-CN"/>
              </w:rPr>
              <w:t>2.4</w:t>
            </w:r>
            <w:r>
              <w:rPr>
                <w:rFonts w:hint="eastAsia" w:ascii="宋体" w:hAnsi="宋体" w:eastAsia="宋体" w:cs="Times New Roman"/>
                <w:highlight w:val="none"/>
                <w:u w:val="single"/>
                <w:lang w:val="en-US" w:eastAsia="zh-CN"/>
              </w:rPr>
              <w:t>分-</w:t>
            </w:r>
            <w:r>
              <w:rPr>
                <w:rFonts w:hint="eastAsia" w:ascii="宋体" w:hAnsi="宋体" w:cs="Times New Roman"/>
                <w:highlight w:val="none"/>
                <w:u w:val="single"/>
                <w:lang w:val="en-US" w:eastAsia="zh-CN"/>
              </w:rPr>
              <w:t>3.6</w:t>
            </w:r>
            <w:r>
              <w:rPr>
                <w:rFonts w:hint="eastAsia" w:ascii="宋体" w:hAnsi="宋体" w:eastAsia="宋体" w:cs="Times New Roman"/>
                <w:highlight w:val="none"/>
                <w:u w:val="single"/>
                <w:lang w:val="en-US" w:eastAsia="zh-CN"/>
              </w:rPr>
              <w:t xml:space="preserve">分（不含），差得 0 分- </w:t>
            </w:r>
            <w:r>
              <w:rPr>
                <w:rFonts w:hint="eastAsia" w:ascii="宋体" w:hAnsi="宋体" w:cs="Times New Roman"/>
                <w:highlight w:val="none"/>
                <w:u w:val="single"/>
                <w:lang w:val="en-US" w:eastAsia="zh-CN"/>
              </w:rPr>
              <w:t>2.4</w:t>
            </w:r>
            <w:r>
              <w:rPr>
                <w:rFonts w:hint="eastAsia" w:ascii="宋体" w:hAnsi="宋体" w:eastAsia="宋体" w:cs="Times New Roman"/>
                <w:highlight w:val="none"/>
                <w:u w:val="single"/>
                <w:lang w:val="en-US" w:eastAsia="zh-CN"/>
              </w:rPr>
              <w:t xml:space="preserve"> 分（不含）。</w:t>
            </w:r>
          </w:p>
        </w:tc>
      </w:tr>
      <w:tr w14:paraId="0C6C03F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64AF0A2C">
            <w:pPr>
              <w:spacing w:line="400" w:lineRule="exact"/>
              <w:ind w:firstLine="210" w:firstLineChars="100"/>
              <w:jc w:val="center"/>
              <w:rPr>
                <w:rFonts w:ascii="宋体" w:hAnsi="宋体"/>
                <w:kern w:val="0"/>
                <w:highlight w:val="none"/>
              </w:rPr>
            </w:pPr>
          </w:p>
        </w:tc>
        <w:tc>
          <w:tcPr>
            <w:tcW w:w="1628" w:type="dxa"/>
            <w:vMerge w:val="continue"/>
            <w:tcBorders>
              <w:left w:val="single" w:color="auto" w:sz="4" w:space="0"/>
            </w:tcBorders>
            <w:vAlign w:val="center"/>
          </w:tcPr>
          <w:p w14:paraId="3F12AD16">
            <w:pPr>
              <w:spacing w:line="400" w:lineRule="exact"/>
              <w:ind w:firstLine="210" w:firstLineChars="100"/>
              <w:jc w:val="center"/>
              <w:rPr>
                <w:rFonts w:ascii="宋体" w:hAnsi="宋体"/>
                <w:kern w:val="0"/>
                <w:highlight w:val="none"/>
              </w:rPr>
            </w:pPr>
          </w:p>
        </w:tc>
        <w:tc>
          <w:tcPr>
            <w:tcW w:w="734" w:type="dxa"/>
            <w:vMerge w:val="continue"/>
            <w:tcBorders>
              <w:right w:val="single" w:color="auto" w:sz="4" w:space="0"/>
            </w:tcBorders>
            <w:vAlign w:val="center"/>
          </w:tcPr>
          <w:p w14:paraId="5AEED74C">
            <w:pPr>
              <w:tabs>
                <w:tab w:val="left" w:pos="1875"/>
              </w:tabs>
              <w:spacing w:line="400" w:lineRule="exact"/>
              <w:jc w:val="left"/>
              <w:rPr>
                <w:rFonts w:ascii="宋体" w:hAnsi="宋体"/>
                <w:kern w:val="0"/>
                <w:highlight w:val="none"/>
              </w:rPr>
            </w:pPr>
          </w:p>
        </w:tc>
        <w:tc>
          <w:tcPr>
            <w:tcW w:w="1570" w:type="dxa"/>
            <w:tcBorders>
              <w:left w:val="single" w:color="auto" w:sz="4" w:space="0"/>
            </w:tcBorders>
            <w:vAlign w:val="center"/>
          </w:tcPr>
          <w:p w14:paraId="736CAD23">
            <w:pPr>
              <w:tabs>
                <w:tab w:val="left" w:pos="1875"/>
              </w:tabs>
              <w:spacing w:line="400" w:lineRule="exact"/>
              <w:rPr>
                <w:rFonts w:ascii="宋体" w:hAnsi="宋体"/>
                <w:kern w:val="0"/>
                <w:highlight w:val="none"/>
              </w:rPr>
            </w:pPr>
            <w:r>
              <w:rPr>
                <w:rFonts w:hint="eastAsia" w:ascii="宋体" w:hAnsi="宋体"/>
                <w:kern w:val="0"/>
                <w:highlight w:val="none"/>
              </w:rPr>
              <w:t>施工方案与技术措施</w:t>
            </w:r>
          </w:p>
        </w:tc>
        <w:tc>
          <w:tcPr>
            <w:tcW w:w="4688" w:type="dxa"/>
            <w:gridSpan w:val="2"/>
            <w:vAlign w:val="center"/>
          </w:tcPr>
          <w:p w14:paraId="73CCC18F">
            <w:pPr>
              <w:snapToGrid w:val="0"/>
              <w:spacing w:line="400" w:lineRule="exact"/>
              <w:ind w:firstLine="420" w:firstLineChars="200"/>
              <w:rPr>
                <w:rFonts w:hint="eastAsia" w:ascii="宋体" w:hAnsi="宋体" w:eastAsia="宋体" w:cs="Times New Roman"/>
                <w:highlight w:val="none"/>
                <w:u w:val="single"/>
                <w:lang w:val="en-US" w:eastAsia="zh-CN"/>
              </w:rPr>
            </w:pPr>
            <w:r>
              <w:rPr>
                <w:rFonts w:hint="eastAsia" w:ascii="宋体" w:hAnsi="宋体" w:cs="Times New Roman"/>
                <w:highlight w:val="none"/>
                <w:u w:val="single"/>
                <w:lang w:val="en-US" w:eastAsia="zh-CN"/>
              </w:rPr>
              <w:t>4</w:t>
            </w:r>
            <w:r>
              <w:rPr>
                <w:rFonts w:hint="eastAsia" w:ascii="宋体" w:hAnsi="宋体" w:eastAsia="宋体" w:cs="Times New Roman"/>
                <w:highlight w:val="none"/>
                <w:u w:val="single"/>
                <w:lang w:val="en-US" w:eastAsia="zh-CN"/>
              </w:rPr>
              <w:t xml:space="preserve"> 分 编制要点：施工方案和技术措施应科学合理， 对工程施工重点、技术关键控制点有充分的理解和认识并进行阐述，对把本项目复杂技术、特殊要求辨识准确，针对复杂技术、特殊性的技术方案技术措施科学合理。对需要保护的既有建、构筑物、管线等辨识准确、全面，保护措施正确、安全可靠。</w:t>
            </w:r>
          </w:p>
          <w:p w14:paraId="541EB8C5">
            <w:pPr>
              <w:snapToGrid w:val="0"/>
              <w:spacing w:line="400" w:lineRule="exact"/>
              <w:ind w:firstLine="420" w:firstLineChars="200"/>
              <w:rPr>
                <w:rFonts w:ascii="宋体" w:hAnsi="宋体"/>
                <w:kern w:val="0"/>
                <w:highlight w:val="none"/>
              </w:rPr>
            </w:pPr>
            <w:r>
              <w:rPr>
                <w:rFonts w:hint="eastAsia" w:ascii="宋体" w:hAnsi="宋体" w:eastAsia="宋体" w:cs="Times New Roman"/>
                <w:highlight w:val="none"/>
                <w:u w:val="single"/>
                <w:lang w:val="en-US" w:eastAsia="zh-CN"/>
              </w:rPr>
              <w:t xml:space="preserve">优得 </w:t>
            </w:r>
            <w:r>
              <w:rPr>
                <w:rFonts w:hint="eastAsia" w:ascii="宋体" w:hAnsi="宋体" w:cs="Times New Roman"/>
                <w:highlight w:val="none"/>
                <w:u w:val="single"/>
                <w:lang w:val="en-US" w:eastAsia="zh-CN"/>
              </w:rPr>
              <w:t>3.6</w:t>
            </w:r>
            <w:r>
              <w:rPr>
                <w:rFonts w:hint="eastAsia" w:ascii="宋体" w:hAnsi="宋体" w:eastAsia="宋体" w:cs="Times New Roman"/>
                <w:highlight w:val="none"/>
                <w:u w:val="single"/>
                <w:lang w:val="en-US" w:eastAsia="zh-CN"/>
              </w:rPr>
              <w:t xml:space="preserve"> 分- </w:t>
            </w:r>
            <w:r>
              <w:rPr>
                <w:rFonts w:hint="eastAsia" w:ascii="宋体" w:hAnsi="宋体" w:cs="Times New Roman"/>
                <w:highlight w:val="none"/>
                <w:u w:val="single"/>
                <w:lang w:val="en-US" w:eastAsia="zh-CN"/>
              </w:rPr>
              <w:t>4</w:t>
            </w:r>
            <w:r>
              <w:rPr>
                <w:rFonts w:hint="eastAsia" w:ascii="宋体" w:hAnsi="宋体" w:eastAsia="宋体" w:cs="Times New Roman"/>
                <w:highlight w:val="none"/>
                <w:u w:val="single"/>
                <w:lang w:val="en-US" w:eastAsia="zh-CN"/>
              </w:rPr>
              <w:t xml:space="preserve">分，良得 </w:t>
            </w:r>
            <w:r>
              <w:rPr>
                <w:rFonts w:hint="eastAsia" w:ascii="宋体" w:hAnsi="宋体" w:cs="Times New Roman"/>
                <w:highlight w:val="none"/>
                <w:u w:val="single"/>
                <w:lang w:val="en-US" w:eastAsia="zh-CN"/>
              </w:rPr>
              <w:t>3.2</w:t>
            </w:r>
            <w:r>
              <w:rPr>
                <w:rFonts w:hint="eastAsia" w:ascii="宋体" w:hAnsi="宋体" w:eastAsia="宋体" w:cs="Times New Roman"/>
                <w:highlight w:val="none"/>
                <w:u w:val="single"/>
                <w:lang w:val="en-US" w:eastAsia="zh-CN"/>
              </w:rPr>
              <w:t xml:space="preserve"> 分-</w:t>
            </w:r>
            <w:r>
              <w:rPr>
                <w:rFonts w:hint="eastAsia" w:ascii="宋体" w:hAnsi="宋体" w:cs="Times New Roman"/>
                <w:highlight w:val="none"/>
                <w:u w:val="single"/>
                <w:lang w:val="en-US" w:eastAsia="zh-CN"/>
              </w:rPr>
              <w:t>3.6</w:t>
            </w:r>
            <w:r>
              <w:rPr>
                <w:rFonts w:hint="eastAsia" w:ascii="宋体" w:hAnsi="宋体" w:eastAsia="宋体" w:cs="Times New Roman"/>
                <w:highlight w:val="none"/>
                <w:u w:val="single"/>
                <w:lang w:val="en-US" w:eastAsia="zh-CN"/>
              </w:rPr>
              <w:t xml:space="preserve">分（不含）， 一般得 </w:t>
            </w:r>
            <w:r>
              <w:rPr>
                <w:rFonts w:hint="eastAsia" w:ascii="宋体" w:hAnsi="宋体" w:cs="Times New Roman"/>
                <w:highlight w:val="none"/>
                <w:u w:val="single"/>
                <w:lang w:val="en-US" w:eastAsia="zh-CN"/>
              </w:rPr>
              <w:t>2.4</w:t>
            </w:r>
            <w:r>
              <w:rPr>
                <w:rFonts w:hint="eastAsia" w:ascii="宋体" w:hAnsi="宋体" w:eastAsia="宋体" w:cs="Times New Roman"/>
                <w:highlight w:val="none"/>
                <w:u w:val="single"/>
                <w:lang w:val="en-US" w:eastAsia="zh-CN"/>
              </w:rPr>
              <w:t>分-</w:t>
            </w:r>
            <w:r>
              <w:rPr>
                <w:rFonts w:hint="eastAsia" w:ascii="宋体" w:hAnsi="宋体" w:cs="Times New Roman"/>
                <w:highlight w:val="none"/>
                <w:u w:val="single"/>
                <w:lang w:val="en-US" w:eastAsia="zh-CN"/>
              </w:rPr>
              <w:t>3.6</w:t>
            </w:r>
            <w:r>
              <w:rPr>
                <w:rFonts w:hint="eastAsia" w:ascii="宋体" w:hAnsi="宋体" w:eastAsia="宋体" w:cs="Times New Roman"/>
                <w:highlight w:val="none"/>
                <w:u w:val="single"/>
                <w:lang w:val="en-US" w:eastAsia="zh-CN"/>
              </w:rPr>
              <w:t xml:space="preserve">分（不含），差得 0 分- </w:t>
            </w:r>
            <w:r>
              <w:rPr>
                <w:rFonts w:hint="eastAsia" w:ascii="宋体" w:hAnsi="宋体" w:cs="Times New Roman"/>
                <w:highlight w:val="none"/>
                <w:u w:val="single"/>
                <w:lang w:val="en-US" w:eastAsia="zh-CN"/>
              </w:rPr>
              <w:t>2.4</w:t>
            </w:r>
            <w:r>
              <w:rPr>
                <w:rFonts w:hint="eastAsia" w:ascii="宋体" w:hAnsi="宋体" w:eastAsia="宋体" w:cs="Times New Roman"/>
                <w:highlight w:val="none"/>
                <w:u w:val="single"/>
                <w:lang w:val="en-US" w:eastAsia="zh-CN"/>
              </w:rPr>
              <w:t xml:space="preserve"> 分（不含）。</w:t>
            </w:r>
          </w:p>
        </w:tc>
      </w:tr>
      <w:tr w14:paraId="29D6BCC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37365221">
            <w:pPr>
              <w:spacing w:line="400" w:lineRule="exact"/>
              <w:ind w:firstLine="210" w:firstLineChars="100"/>
              <w:jc w:val="center"/>
              <w:rPr>
                <w:rFonts w:ascii="宋体" w:hAnsi="宋体"/>
                <w:kern w:val="0"/>
                <w:highlight w:val="none"/>
              </w:rPr>
            </w:pPr>
          </w:p>
        </w:tc>
        <w:tc>
          <w:tcPr>
            <w:tcW w:w="1628" w:type="dxa"/>
            <w:vMerge w:val="continue"/>
            <w:tcBorders>
              <w:left w:val="single" w:color="auto" w:sz="4" w:space="0"/>
            </w:tcBorders>
            <w:vAlign w:val="center"/>
          </w:tcPr>
          <w:p w14:paraId="3D8A1181">
            <w:pPr>
              <w:spacing w:line="400" w:lineRule="exact"/>
              <w:ind w:firstLine="210" w:firstLineChars="100"/>
              <w:jc w:val="center"/>
              <w:rPr>
                <w:rFonts w:ascii="宋体" w:hAnsi="宋体"/>
                <w:kern w:val="0"/>
                <w:highlight w:val="none"/>
              </w:rPr>
            </w:pPr>
          </w:p>
        </w:tc>
        <w:tc>
          <w:tcPr>
            <w:tcW w:w="734" w:type="dxa"/>
            <w:vMerge w:val="continue"/>
            <w:tcBorders>
              <w:right w:val="single" w:color="auto" w:sz="4" w:space="0"/>
            </w:tcBorders>
            <w:vAlign w:val="center"/>
          </w:tcPr>
          <w:p w14:paraId="52FFB705">
            <w:pPr>
              <w:tabs>
                <w:tab w:val="left" w:pos="1875"/>
              </w:tabs>
              <w:spacing w:line="400" w:lineRule="exact"/>
              <w:jc w:val="left"/>
              <w:rPr>
                <w:rFonts w:ascii="宋体" w:hAnsi="宋体"/>
                <w:kern w:val="0"/>
                <w:highlight w:val="none"/>
              </w:rPr>
            </w:pPr>
          </w:p>
        </w:tc>
        <w:tc>
          <w:tcPr>
            <w:tcW w:w="1570" w:type="dxa"/>
            <w:tcBorders>
              <w:left w:val="single" w:color="auto" w:sz="4" w:space="0"/>
            </w:tcBorders>
            <w:vAlign w:val="center"/>
          </w:tcPr>
          <w:p w14:paraId="0C8DC277">
            <w:pPr>
              <w:tabs>
                <w:tab w:val="left" w:pos="1875"/>
              </w:tabs>
              <w:spacing w:line="400" w:lineRule="exact"/>
              <w:rPr>
                <w:rFonts w:ascii="宋体" w:hAnsi="宋体"/>
                <w:kern w:val="0"/>
                <w:highlight w:val="none"/>
              </w:rPr>
            </w:pPr>
            <w:r>
              <w:rPr>
                <w:rFonts w:ascii="宋体" w:hAnsi="宋体"/>
                <w:kern w:val="0"/>
                <w:highlight w:val="none"/>
              </w:rPr>
              <w:t>质量管理体系与措施</w:t>
            </w:r>
          </w:p>
        </w:tc>
        <w:tc>
          <w:tcPr>
            <w:tcW w:w="4688" w:type="dxa"/>
            <w:gridSpan w:val="2"/>
            <w:vAlign w:val="center"/>
          </w:tcPr>
          <w:p w14:paraId="76EC37BF">
            <w:pPr>
              <w:snapToGrid w:val="0"/>
              <w:spacing w:line="400" w:lineRule="exact"/>
              <w:ind w:firstLine="420" w:firstLineChars="200"/>
              <w:rPr>
                <w:rFonts w:hint="eastAsia" w:ascii="宋体" w:hAnsi="宋体"/>
                <w:kern w:val="0"/>
                <w:highlight w:val="none"/>
                <w:u w:val="single"/>
                <w:lang w:val="en-US" w:eastAsia="zh-CN"/>
              </w:rPr>
            </w:pPr>
            <w:r>
              <w:rPr>
                <w:rFonts w:hint="eastAsia" w:ascii="宋体" w:hAnsi="宋体"/>
                <w:kern w:val="0"/>
                <w:highlight w:val="none"/>
                <w:u w:val="single"/>
                <w:lang w:val="en-US" w:eastAsia="zh-CN"/>
              </w:rPr>
              <w:t xml:space="preserve">2 分 编制要点：工程的质量管理体系是否健全有效，硬性措施是否切实可行，管理措施是否恰当。 </w:t>
            </w:r>
          </w:p>
          <w:p w14:paraId="34774584">
            <w:pPr>
              <w:snapToGrid w:val="0"/>
              <w:spacing w:line="400" w:lineRule="exact"/>
              <w:ind w:firstLine="420" w:firstLineChars="200"/>
              <w:rPr>
                <w:rFonts w:ascii="宋体" w:hAnsi="宋体"/>
                <w:kern w:val="0"/>
                <w:highlight w:val="none"/>
              </w:rPr>
            </w:pPr>
            <w:r>
              <w:rPr>
                <w:rFonts w:hint="eastAsia" w:ascii="宋体" w:hAnsi="宋体"/>
                <w:kern w:val="0"/>
                <w:highlight w:val="none"/>
                <w:u w:val="single"/>
                <w:lang w:val="en-US" w:eastAsia="zh-CN"/>
              </w:rPr>
              <w:t>优得 1.8 分- 2 分，良得 1.6 分-1.8 分（不含）， 一般得 1.2 分-1.6 分（不含），差得 0 分- 1.2 分（不含）。</w:t>
            </w:r>
          </w:p>
        </w:tc>
      </w:tr>
      <w:tr w14:paraId="1F0105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4D8B044B">
            <w:pPr>
              <w:spacing w:line="400" w:lineRule="exact"/>
              <w:ind w:firstLine="210" w:firstLineChars="100"/>
              <w:jc w:val="center"/>
              <w:rPr>
                <w:rFonts w:ascii="宋体" w:hAnsi="宋体"/>
                <w:kern w:val="0"/>
                <w:highlight w:val="none"/>
              </w:rPr>
            </w:pPr>
          </w:p>
        </w:tc>
        <w:tc>
          <w:tcPr>
            <w:tcW w:w="1628" w:type="dxa"/>
            <w:vMerge w:val="continue"/>
            <w:tcBorders>
              <w:left w:val="single" w:color="auto" w:sz="4" w:space="0"/>
            </w:tcBorders>
            <w:vAlign w:val="center"/>
          </w:tcPr>
          <w:p w14:paraId="7F59B4EC">
            <w:pPr>
              <w:spacing w:line="400" w:lineRule="exact"/>
              <w:ind w:firstLine="210" w:firstLineChars="100"/>
              <w:jc w:val="center"/>
              <w:rPr>
                <w:rFonts w:ascii="宋体" w:hAnsi="宋体"/>
                <w:kern w:val="0"/>
                <w:highlight w:val="none"/>
              </w:rPr>
            </w:pPr>
          </w:p>
        </w:tc>
        <w:tc>
          <w:tcPr>
            <w:tcW w:w="734" w:type="dxa"/>
            <w:vMerge w:val="continue"/>
            <w:tcBorders>
              <w:right w:val="single" w:color="auto" w:sz="4" w:space="0"/>
            </w:tcBorders>
            <w:vAlign w:val="center"/>
          </w:tcPr>
          <w:p w14:paraId="252D70C1">
            <w:pPr>
              <w:tabs>
                <w:tab w:val="left" w:pos="1875"/>
              </w:tabs>
              <w:spacing w:line="400" w:lineRule="exact"/>
              <w:jc w:val="left"/>
              <w:rPr>
                <w:rFonts w:ascii="宋体" w:hAnsi="宋体"/>
                <w:kern w:val="0"/>
                <w:highlight w:val="none"/>
              </w:rPr>
            </w:pPr>
          </w:p>
        </w:tc>
        <w:tc>
          <w:tcPr>
            <w:tcW w:w="1570" w:type="dxa"/>
            <w:tcBorders>
              <w:left w:val="single" w:color="auto" w:sz="4" w:space="0"/>
            </w:tcBorders>
            <w:vAlign w:val="center"/>
          </w:tcPr>
          <w:p w14:paraId="7BCC47D5">
            <w:pPr>
              <w:tabs>
                <w:tab w:val="left" w:pos="1875"/>
              </w:tabs>
              <w:spacing w:line="400" w:lineRule="exact"/>
              <w:rPr>
                <w:rFonts w:ascii="宋体" w:hAnsi="宋体"/>
                <w:kern w:val="0"/>
                <w:highlight w:val="none"/>
              </w:rPr>
            </w:pPr>
            <w:r>
              <w:rPr>
                <w:rFonts w:ascii="宋体" w:hAnsi="宋体"/>
                <w:kern w:val="0"/>
                <w:highlight w:val="none"/>
              </w:rPr>
              <w:t>安全管理体系与措施</w:t>
            </w:r>
          </w:p>
        </w:tc>
        <w:tc>
          <w:tcPr>
            <w:tcW w:w="4688" w:type="dxa"/>
            <w:gridSpan w:val="2"/>
            <w:vAlign w:val="center"/>
          </w:tcPr>
          <w:p w14:paraId="25260548">
            <w:pPr>
              <w:snapToGrid w:val="0"/>
              <w:spacing w:line="400" w:lineRule="exact"/>
              <w:ind w:firstLine="420" w:firstLineChars="200"/>
              <w:rPr>
                <w:rFonts w:hint="eastAsia" w:ascii="宋体" w:hAnsi="宋体" w:eastAsia="宋体" w:cs="Times New Roman"/>
                <w:kern w:val="0"/>
                <w:highlight w:val="none"/>
                <w:u w:val="single"/>
                <w:lang w:val="en-US" w:eastAsia="zh-CN"/>
              </w:rPr>
            </w:pPr>
            <w:r>
              <w:rPr>
                <w:rFonts w:hint="eastAsia" w:ascii="宋体" w:hAnsi="宋体" w:eastAsia="宋体" w:cs="Times New Roman"/>
                <w:kern w:val="0"/>
                <w:highlight w:val="none"/>
                <w:u w:val="single"/>
                <w:lang w:val="en-US" w:eastAsia="zh-CN"/>
              </w:rPr>
              <w:t>3 分 编制要点：安全生产体系健全、制度完整，职责明确，责任落实到人，根据现场实际情况结合图纸制定切实可行、有针对性的安全生产保证措施。</w:t>
            </w:r>
          </w:p>
          <w:p w14:paraId="64E37AAB">
            <w:pPr>
              <w:snapToGrid w:val="0"/>
              <w:spacing w:line="400" w:lineRule="exact"/>
              <w:ind w:firstLine="420" w:firstLineChars="200"/>
              <w:rPr>
                <w:rFonts w:ascii="宋体" w:hAnsi="宋体"/>
                <w:kern w:val="0"/>
                <w:highlight w:val="none"/>
              </w:rPr>
            </w:pPr>
            <w:r>
              <w:rPr>
                <w:rFonts w:hint="eastAsia" w:ascii="宋体" w:hAnsi="宋体" w:eastAsia="宋体" w:cs="Times New Roman"/>
                <w:kern w:val="0"/>
                <w:highlight w:val="none"/>
                <w:u w:val="single"/>
                <w:lang w:val="en-US" w:eastAsia="zh-CN"/>
              </w:rPr>
              <w:t>优得 2.7 分- 3 分，良得 2.4 分-2.7 分（不含）， 一般得 1.8 分- 2.4 分（不含），差得 0 分- 1.8 分 （不含）。</w:t>
            </w:r>
          </w:p>
        </w:tc>
      </w:tr>
      <w:tr w14:paraId="5EF3181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05" w:hRule="atLeast"/>
          <w:jc w:val="center"/>
        </w:trPr>
        <w:tc>
          <w:tcPr>
            <w:tcW w:w="855" w:type="dxa"/>
            <w:vMerge w:val="continue"/>
            <w:tcBorders>
              <w:right w:val="single" w:color="auto" w:sz="4" w:space="0"/>
            </w:tcBorders>
            <w:vAlign w:val="center"/>
          </w:tcPr>
          <w:p w14:paraId="7A7C80FC">
            <w:pPr>
              <w:spacing w:line="400" w:lineRule="exact"/>
              <w:ind w:firstLine="210" w:firstLineChars="100"/>
              <w:jc w:val="center"/>
              <w:rPr>
                <w:rFonts w:ascii="宋体" w:hAnsi="宋体"/>
                <w:kern w:val="0"/>
                <w:highlight w:val="none"/>
              </w:rPr>
            </w:pPr>
          </w:p>
        </w:tc>
        <w:tc>
          <w:tcPr>
            <w:tcW w:w="1628" w:type="dxa"/>
            <w:vMerge w:val="continue"/>
            <w:tcBorders>
              <w:left w:val="single" w:color="auto" w:sz="4" w:space="0"/>
            </w:tcBorders>
            <w:vAlign w:val="center"/>
          </w:tcPr>
          <w:p w14:paraId="4D200CCC">
            <w:pPr>
              <w:spacing w:line="400" w:lineRule="exact"/>
              <w:ind w:firstLine="210" w:firstLineChars="100"/>
              <w:jc w:val="center"/>
              <w:rPr>
                <w:rFonts w:ascii="宋体" w:hAnsi="宋体"/>
                <w:kern w:val="0"/>
                <w:highlight w:val="none"/>
              </w:rPr>
            </w:pPr>
          </w:p>
        </w:tc>
        <w:tc>
          <w:tcPr>
            <w:tcW w:w="734" w:type="dxa"/>
            <w:vMerge w:val="continue"/>
            <w:tcBorders>
              <w:right w:val="single" w:color="auto" w:sz="4" w:space="0"/>
            </w:tcBorders>
            <w:vAlign w:val="center"/>
          </w:tcPr>
          <w:p w14:paraId="4BD128BC">
            <w:pPr>
              <w:tabs>
                <w:tab w:val="left" w:pos="1875"/>
              </w:tabs>
              <w:spacing w:line="400" w:lineRule="exact"/>
              <w:jc w:val="left"/>
              <w:rPr>
                <w:rFonts w:ascii="宋体" w:hAnsi="宋体"/>
                <w:kern w:val="0"/>
                <w:highlight w:val="none"/>
              </w:rPr>
            </w:pPr>
          </w:p>
        </w:tc>
        <w:tc>
          <w:tcPr>
            <w:tcW w:w="1570" w:type="dxa"/>
            <w:tcBorders>
              <w:left w:val="single" w:color="auto" w:sz="4" w:space="0"/>
            </w:tcBorders>
            <w:vAlign w:val="center"/>
          </w:tcPr>
          <w:p w14:paraId="3BB02531">
            <w:pPr>
              <w:tabs>
                <w:tab w:val="left" w:pos="1875"/>
              </w:tabs>
              <w:spacing w:line="400" w:lineRule="exact"/>
              <w:rPr>
                <w:rFonts w:ascii="宋体" w:hAnsi="宋体"/>
                <w:kern w:val="0"/>
                <w:highlight w:val="none"/>
              </w:rPr>
            </w:pPr>
            <w:r>
              <w:rPr>
                <w:rFonts w:ascii="宋体" w:hAnsi="宋体"/>
                <w:kern w:val="0"/>
                <w:highlight w:val="none"/>
              </w:rPr>
              <w:t>环境保护管理体系</w:t>
            </w:r>
            <w:r>
              <w:rPr>
                <w:rFonts w:hint="eastAsia" w:ascii="宋体" w:hAnsi="宋体"/>
                <w:kern w:val="0"/>
                <w:highlight w:val="none"/>
                <w:lang w:val="en-US" w:eastAsia="zh-CN"/>
              </w:rPr>
              <w:t>与</w:t>
            </w:r>
            <w:r>
              <w:rPr>
                <w:rFonts w:ascii="宋体" w:hAnsi="宋体"/>
                <w:kern w:val="0"/>
                <w:highlight w:val="none"/>
              </w:rPr>
              <w:t>措施</w:t>
            </w:r>
          </w:p>
        </w:tc>
        <w:tc>
          <w:tcPr>
            <w:tcW w:w="4688" w:type="dxa"/>
            <w:gridSpan w:val="2"/>
            <w:vAlign w:val="center"/>
          </w:tcPr>
          <w:p w14:paraId="3F66BCA4">
            <w:pPr>
              <w:snapToGrid w:val="0"/>
              <w:spacing w:line="400" w:lineRule="exact"/>
              <w:ind w:firstLine="420" w:firstLineChars="200"/>
              <w:rPr>
                <w:rFonts w:hint="eastAsia" w:ascii="宋体" w:hAnsi="宋体" w:eastAsia="宋体" w:cs="Times New Roman"/>
                <w:kern w:val="0"/>
                <w:highlight w:val="none"/>
                <w:u w:val="single"/>
                <w:lang w:val="en-US" w:eastAsia="zh-CN"/>
              </w:rPr>
            </w:pPr>
            <w:r>
              <w:rPr>
                <w:rFonts w:hint="eastAsia" w:ascii="宋体" w:hAnsi="宋体" w:eastAsia="宋体" w:cs="Times New Roman"/>
                <w:kern w:val="0"/>
                <w:highlight w:val="none"/>
                <w:u w:val="single"/>
                <w:lang w:val="en-US" w:eastAsia="zh-CN"/>
              </w:rPr>
              <w:t xml:space="preserve">2 分 编制要点：环境管理体系和措施应完善、合理，针对可能产生的污染制定合理、有针对性措施。 </w:t>
            </w:r>
          </w:p>
          <w:p w14:paraId="6A5D8BF9">
            <w:pPr>
              <w:snapToGrid w:val="0"/>
              <w:spacing w:line="400" w:lineRule="exact"/>
              <w:ind w:firstLine="420" w:firstLineChars="200"/>
              <w:rPr>
                <w:rFonts w:ascii="宋体" w:hAnsi="宋体"/>
                <w:kern w:val="0"/>
                <w:highlight w:val="none"/>
              </w:rPr>
            </w:pPr>
            <w:r>
              <w:rPr>
                <w:rFonts w:hint="eastAsia" w:ascii="宋体" w:hAnsi="宋体" w:eastAsia="宋体" w:cs="Times New Roman"/>
                <w:kern w:val="0"/>
                <w:highlight w:val="none"/>
                <w:u w:val="single"/>
                <w:lang w:val="en-US" w:eastAsia="zh-CN"/>
              </w:rPr>
              <w:t>优得 1.8 分- 2 分，良得 1.6 分-1.8 分（不含）， 一般得 1.2 分-1.6 分（不含），差得 0 分- 1.2 分（不含）。</w:t>
            </w:r>
          </w:p>
        </w:tc>
      </w:tr>
      <w:tr w14:paraId="2BF02E7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14035592">
            <w:pPr>
              <w:spacing w:line="400" w:lineRule="exact"/>
              <w:ind w:firstLine="210" w:firstLineChars="100"/>
              <w:jc w:val="center"/>
              <w:rPr>
                <w:rFonts w:ascii="宋体" w:hAnsi="宋体"/>
                <w:kern w:val="0"/>
                <w:highlight w:val="none"/>
              </w:rPr>
            </w:pPr>
          </w:p>
        </w:tc>
        <w:tc>
          <w:tcPr>
            <w:tcW w:w="1628" w:type="dxa"/>
            <w:vMerge w:val="continue"/>
            <w:tcBorders>
              <w:left w:val="single" w:color="auto" w:sz="4" w:space="0"/>
            </w:tcBorders>
            <w:vAlign w:val="center"/>
          </w:tcPr>
          <w:p w14:paraId="2F419D0E">
            <w:pPr>
              <w:spacing w:line="400" w:lineRule="exact"/>
              <w:ind w:firstLine="210" w:firstLineChars="100"/>
              <w:jc w:val="center"/>
              <w:rPr>
                <w:rFonts w:ascii="宋体" w:hAnsi="宋体"/>
                <w:kern w:val="0"/>
                <w:highlight w:val="none"/>
              </w:rPr>
            </w:pPr>
          </w:p>
        </w:tc>
        <w:tc>
          <w:tcPr>
            <w:tcW w:w="734" w:type="dxa"/>
            <w:vMerge w:val="continue"/>
            <w:tcBorders>
              <w:right w:val="single" w:color="auto" w:sz="4" w:space="0"/>
            </w:tcBorders>
            <w:vAlign w:val="center"/>
          </w:tcPr>
          <w:p w14:paraId="3CF110EC">
            <w:pPr>
              <w:tabs>
                <w:tab w:val="left" w:pos="1875"/>
              </w:tabs>
              <w:spacing w:line="400" w:lineRule="exact"/>
              <w:jc w:val="left"/>
              <w:rPr>
                <w:rFonts w:ascii="宋体" w:hAnsi="宋体"/>
                <w:kern w:val="0"/>
                <w:highlight w:val="none"/>
              </w:rPr>
            </w:pPr>
          </w:p>
        </w:tc>
        <w:tc>
          <w:tcPr>
            <w:tcW w:w="1570" w:type="dxa"/>
            <w:tcBorders>
              <w:left w:val="single" w:color="auto" w:sz="4" w:space="0"/>
            </w:tcBorders>
            <w:vAlign w:val="center"/>
          </w:tcPr>
          <w:p w14:paraId="258CB353">
            <w:pPr>
              <w:tabs>
                <w:tab w:val="left" w:pos="1875"/>
              </w:tabs>
              <w:spacing w:line="400" w:lineRule="exact"/>
              <w:rPr>
                <w:rFonts w:ascii="宋体" w:hAnsi="宋体"/>
                <w:kern w:val="0"/>
                <w:highlight w:val="none"/>
              </w:rPr>
            </w:pPr>
            <w:r>
              <w:rPr>
                <w:rFonts w:ascii="宋体" w:hAnsi="宋体"/>
                <w:kern w:val="0"/>
                <w:highlight w:val="none"/>
              </w:rPr>
              <w:t>工程进度计划与措施</w:t>
            </w:r>
          </w:p>
        </w:tc>
        <w:tc>
          <w:tcPr>
            <w:tcW w:w="4688" w:type="dxa"/>
            <w:gridSpan w:val="2"/>
            <w:vAlign w:val="center"/>
          </w:tcPr>
          <w:p w14:paraId="5F0AAC48">
            <w:pPr>
              <w:snapToGrid w:val="0"/>
              <w:spacing w:line="400" w:lineRule="exact"/>
              <w:ind w:firstLine="420" w:firstLineChars="200"/>
              <w:rPr>
                <w:rFonts w:ascii="宋体" w:hAnsi="宋体"/>
                <w:kern w:val="0"/>
                <w:highlight w:val="none"/>
                <w:u w:val="single"/>
              </w:rPr>
            </w:pPr>
            <w:r>
              <w:rPr>
                <w:rFonts w:hint="eastAsia" w:ascii="宋体" w:hAnsi="宋体"/>
                <w:kern w:val="0"/>
                <w:highlight w:val="none"/>
                <w:u w:val="single"/>
                <w:lang w:val="en-US" w:eastAsia="zh-CN"/>
              </w:rPr>
              <w:t xml:space="preserve">3 分 编制要点：编制合理可行的进度计划，清晰体现关键工作，并以网络图（或横道图）表示，说明按竞争性比选文件要求的计划工期进行施工的各个关键日期。 </w:t>
            </w:r>
          </w:p>
          <w:p w14:paraId="0C1D1754">
            <w:pPr>
              <w:snapToGrid w:val="0"/>
              <w:spacing w:line="400" w:lineRule="exact"/>
              <w:ind w:firstLine="420" w:firstLineChars="200"/>
              <w:rPr>
                <w:rFonts w:ascii="宋体" w:hAnsi="宋体"/>
                <w:kern w:val="0"/>
                <w:highlight w:val="none"/>
              </w:rPr>
            </w:pPr>
            <w:r>
              <w:rPr>
                <w:rFonts w:hint="eastAsia" w:ascii="宋体" w:hAnsi="宋体"/>
                <w:kern w:val="0"/>
                <w:highlight w:val="none"/>
                <w:u w:val="single"/>
                <w:lang w:val="en-US" w:eastAsia="zh-CN"/>
              </w:rPr>
              <w:t>优得 2.7 分- 3 分，良得 2.4 分-2.7 分（不含）， 一般得 1.8 分- 2.4 分（不含），差得 0 分- 1.8 分 （不含）。</w:t>
            </w:r>
          </w:p>
        </w:tc>
      </w:tr>
      <w:tr w14:paraId="03AC74E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32E59142">
            <w:pPr>
              <w:spacing w:line="400" w:lineRule="exact"/>
              <w:ind w:firstLine="210" w:firstLineChars="100"/>
              <w:jc w:val="center"/>
              <w:rPr>
                <w:rFonts w:ascii="宋体" w:hAnsi="宋体"/>
                <w:kern w:val="0"/>
                <w:highlight w:val="none"/>
              </w:rPr>
            </w:pPr>
          </w:p>
        </w:tc>
        <w:tc>
          <w:tcPr>
            <w:tcW w:w="1628" w:type="dxa"/>
            <w:vMerge w:val="continue"/>
            <w:tcBorders>
              <w:left w:val="single" w:color="auto" w:sz="4" w:space="0"/>
            </w:tcBorders>
            <w:vAlign w:val="center"/>
          </w:tcPr>
          <w:p w14:paraId="6623BA6B">
            <w:pPr>
              <w:spacing w:line="400" w:lineRule="exact"/>
              <w:ind w:firstLine="210" w:firstLineChars="100"/>
              <w:jc w:val="center"/>
              <w:rPr>
                <w:rFonts w:ascii="宋体" w:hAnsi="宋体"/>
                <w:kern w:val="0"/>
                <w:highlight w:val="none"/>
              </w:rPr>
            </w:pPr>
          </w:p>
        </w:tc>
        <w:tc>
          <w:tcPr>
            <w:tcW w:w="734" w:type="dxa"/>
            <w:vMerge w:val="continue"/>
            <w:tcBorders>
              <w:right w:val="single" w:color="auto" w:sz="4" w:space="0"/>
            </w:tcBorders>
            <w:vAlign w:val="center"/>
          </w:tcPr>
          <w:p w14:paraId="10AF02FF">
            <w:pPr>
              <w:tabs>
                <w:tab w:val="left" w:pos="1875"/>
              </w:tabs>
              <w:spacing w:line="400" w:lineRule="exact"/>
              <w:jc w:val="left"/>
              <w:rPr>
                <w:rFonts w:ascii="宋体" w:hAnsi="宋体"/>
                <w:kern w:val="0"/>
                <w:highlight w:val="none"/>
              </w:rPr>
            </w:pPr>
          </w:p>
        </w:tc>
        <w:tc>
          <w:tcPr>
            <w:tcW w:w="1570" w:type="dxa"/>
            <w:tcBorders>
              <w:left w:val="single" w:color="auto" w:sz="4" w:space="0"/>
            </w:tcBorders>
            <w:vAlign w:val="center"/>
          </w:tcPr>
          <w:p w14:paraId="64C34051">
            <w:pPr>
              <w:tabs>
                <w:tab w:val="left" w:pos="1875"/>
              </w:tabs>
              <w:spacing w:line="400" w:lineRule="exact"/>
              <w:rPr>
                <w:rFonts w:ascii="宋体" w:hAnsi="宋体"/>
                <w:kern w:val="0"/>
                <w:highlight w:val="none"/>
              </w:rPr>
            </w:pPr>
            <w:r>
              <w:rPr>
                <w:rFonts w:ascii="宋体" w:hAnsi="宋体"/>
                <w:kern w:val="0"/>
                <w:highlight w:val="none"/>
              </w:rPr>
              <w:t>资源配备计划与先进性</w:t>
            </w:r>
          </w:p>
        </w:tc>
        <w:tc>
          <w:tcPr>
            <w:tcW w:w="4688" w:type="dxa"/>
            <w:gridSpan w:val="2"/>
            <w:vAlign w:val="center"/>
          </w:tcPr>
          <w:p w14:paraId="3D628A0C">
            <w:pPr>
              <w:snapToGrid w:val="0"/>
              <w:spacing w:line="400" w:lineRule="exact"/>
              <w:ind w:firstLine="420" w:firstLineChars="200"/>
              <w:rPr>
                <w:rFonts w:ascii="宋体" w:hAnsi="宋体"/>
                <w:kern w:val="0"/>
                <w:highlight w:val="none"/>
                <w:u w:val="single"/>
              </w:rPr>
            </w:pPr>
            <w:r>
              <w:rPr>
                <w:rFonts w:hint="eastAsia" w:ascii="宋体" w:hAnsi="宋体"/>
                <w:kern w:val="0"/>
                <w:highlight w:val="none"/>
                <w:u w:val="single"/>
                <w:lang w:val="en-US" w:eastAsia="zh-CN"/>
              </w:rPr>
              <w:t xml:space="preserve">2 分 编制要点：据工程内容特点编制相应计 划，要求施工设备、试验和检测仪器配置齐全，材料资源组织合理，人力资源配置科学、资金使用计划完善，不使用禁止或限制使用落后设备和机具。 </w:t>
            </w:r>
          </w:p>
          <w:p w14:paraId="3F22268B">
            <w:pPr>
              <w:snapToGrid w:val="0"/>
              <w:spacing w:line="400" w:lineRule="exact"/>
              <w:ind w:firstLine="420" w:firstLineChars="200"/>
              <w:rPr>
                <w:rFonts w:ascii="宋体" w:hAnsi="宋体"/>
                <w:kern w:val="0"/>
                <w:highlight w:val="none"/>
              </w:rPr>
            </w:pPr>
            <w:r>
              <w:rPr>
                <w:rFonts w:hint="eastAsia" w:ascii="宋体" w:hAnsi="宋体"/>
                <w:kern w:val="0"/>
                <w:highlight w:val="none"/>
                <w:u w:val="single"/>
                <w:lang w:val="en-US" w:eastAsia="zh-CN"/>
              </w:rPr>
              <w:t>优得 1.8 分- 2 分，良得 1.6 分-1.8 分（不含）， 一般得 1.2 分-1.6 分（不含），差得 0 分- 1.2 分（不含）。</w:t>
            </w:r>
          </w:p>
        </w:tc>
      </w:tr>
      <w:tr w14:paraId="645D3B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restart"/>
            <w:tcBorders>
              <w:right w:val="single" w:color="auto" w:sz="4" w:space="0"/>
            </w:tcBorders>
            <w:vAlign w:val="center"/>
          </w:tcPr>
          <w:p w14:paraId="25092C71">
            <w:pPr>
              <w:spacing w:line="400" w:lineRule="exact"/>
              <w:jc w:val="center"/>
              <w:rPr>
                <w:rFonts w:ascii="宋体" w:hAnsi="宋体"/>
                <w:kern w:val="0"/>
                <w:highlight w:val="none"/>
              </w:rPr>
            </w:pPr>
            <w:r>
              <w:rPr>
                <w:rFonts w:hint="eastAsia" w:ascii="宋体" w:hAnsi="宋体"/>
                <w:kern w:val="0"/>
                <w:highlight w:val="none"/>
              </w:rPr>
              <w:t>2.2.2（</w:t>
            </w:r>
            <w:r>
              <w:rPr>
                <w:rFonts w:hint="eastAsia" w:ascii="宋体" w:hAnsi="宋体"/>
                <w:kern w:val="0"/>
                <w:highlight w:val="none"/>
                <w:lang w:val="en-US" w:eastAsia="zh-CN"/>
              </w:rPr>
              <w:t>2</w:t>
            </w:r>
            <w:r>
              <w:rPr>
                <w:rFonts w:hint="eastAsia" w:ascii="宋体" w:hAnsi="宋体"/>
                <w:kern w:val="0"/>
                <w:highlight w:val="none"/>
              </w:rPr>
              <w:t>）</w:t>
            </w:r>
          </w:p>
        </w:tc>
        <w:tc>
          <w:tcPr>
            <w:tcW w:w="1628" w:type="dxa"/>
            <w:vMerge w:val="restart"/>
            <w:tcBorders>
              <w:left w:val="single" w:color="auto" w:sz="4" w:space="0"/>
            </w:tcBorders>
            <w:vAlign w:val="center"/>
          </w:tcPr>
          <w:p w14:paraId="618FC7E9">
            <w:pPr>
              <w:spacing w:line="400" w:lineRule="exact"/>
              <w:jc w:val="center"/>
              <w:rPr>
                <w:rFonts w:ascii="宋体" w:hAnsi="宋体"/>
                <w:kern w:val="0"/>
                <w:highlight w:val="none"/>
              </w:rPr>
            </w:pPr>
            <w:r>
              <w:rPr>
                <w:rFonts w:hint="eastAsia" w:ascii="宋体" w:hAnsi="宋体"/>
                <w:kern w:val="0"/>
                <w:highlight w:val="none"/>
              </w:rPr>
              <w:t>投标函</w:t>
            </w:r>
            <w:r>
              <w:rPr>
                <w:rFonts w:hint="eastAsia" w:ascii="宋体" w:hAnsi="宋体"/>
                <w:kern w:val="0"/>
                <w:highlight w:val="none"/>
                <w:lang w:val="en-US" w:eastAsia="zh-CN"/>
              </w:rPr>
              <w:t>部分</w:t>
            </w:r>
            <w:r>
              <w:rPr>
                <w:rFonts w:hint="eastAsia" w:ascii="宋体" w:hAnsi="宋体"/>
                <w:kern w:val="0"/>
                <w:highlight w:val="none"/>
              </w:rPr>
              <w:t>评审标准</w:t>
            </w:r>
          </w:p>
        </w:tc>
        <w:tc>
          <w:tcPr>
            <w:tcW w:w="2304" w:type="dxa"/>
            <w:gridSpan w:val="2"/>
            <w:vAlign w:val="center"/>
          </w:tcPr>
          <w:p w14:paraId="76B9E4F2">
            <w:pPr>
              <w:tabs>
                <w:tab w:val="left" w:pos="1875"/>
              </w:tabs>
              <w:spacing w:line="400" w:lineRule="exact"/>
              <w:jc w:val="left"/>
              <w:rPr>
                <w:rFonts w:ascii="宋体" w:hAnsi="宋体" w:cs="宋体"/>
                <w:kern w:val="0"/>
                <w:highlight w:val="none"/>
              </w:rPr>
            </w:pPr>
            <w:r>
              <w:rPr>
                <w:rFonts w:hint="eastAsia" w:ascii="宋体" w:hAnsi="宋体" w:cs="宋体"/>
                <w:kern w:val="0"/>
                <w:highlight w:val="none"/>
              </w:rPr>
              <w:t>投标函部分的签名盖章</w:t>
            </w:r>
          </w:p>
        </w:tc>
        <w:tc>
          <w:tcPr>
            <w:tcW w:w="4688" w:type="dxa"/>
            <w:gridSpan w:val="2"/>
            <w:vAlign w:val="center"/>
          </w:tcPr>
          <w:p w14:paraId="5D40BD62">
            <w:pPr>
              <w:snapToGrid w:val="0"/>
              <w:spacing w:line="400" w:lineRule="exact"/>
              <w:ind w:firstLine="420" w:firstLineChars="200"/>
              <w:rPr>
                <w:rFonts w:ascii="宋体" w:hAnsi="宋体" w:cs="宋体"/>
                <w:kern w:val="0"/>
                <w:highlight w:val="none"/>
              </w:rPr>
            </w:pPr>
            <w:r>
              <w:rPr>
                <w:rFonts w:hint="eastAsia" w:ascii="宋体" w:hAnsi="宋体" w:cs="宋体"/>
                <w:kern w:val="0"/>
                <w:highlight w:val="none"/>
              </w:rPr>
              <w:t>投标函部分的格式要求法定代表人</w:t>
            </w:r>
            <w:r>
              <w:rPr>
                <w:rFonts w:hint="eastAsia" w:ascii="宋体" w:hAnsi="宋体" w:cs="宋体"/>
                <w:kern w:val="0"/>
                <w:highlight w:val="none"/>
                <w:lang w:eastAsia="zh-CN"/>
              </w:rPr>
              <w:t>（</w:t>
            </w:r>
            <w:r>
              <w:rPr>
                <w:rFonts w:hint="eastAsia" w:ascii="宋体" w:hAnsi="宋体" w:cs="宋体"/>
                <w:kern w:val="0"/>
                <w:highlight w:val="none"/>
              </w:rPr>
              <w:t>或其委托代理人</w:t>
            </w:r>
            <w:r>
              <w:rPr>
                <w:rFonts w:hint="eastAsia" w:ascii="宋体" w:hAnsi="宋体" w:cs="宋体"/>
                <w:kern w:val="0"/>
                <w:highlight w:val="none"/>
                <w:lang w:eastAsia="zh-CN"/>
              </w:rPr>
              <w:t>）</w:t>
            </w:r>
            <w:r>
              <w:rPr>
                <w:rFonts w:hint="eastAsia" w:ascii="宋体" w:hAnsi="宋体" w:cs="宋体"/>
                <w:kern w:val="0"/>
                <w:highlight w:val="none"/>
              </w:rPr>
              <w:t>签名（或盖章）的须齐全，</w:t>
            </w:r>
            <w:r>
              <w:rPr>
                <w:rFonts w:hint="eastAsia" w:asciiTheme="minorEastAsia" w:hAnsiTheme="minorEastAsia" w:eastAsiaTheme="minorEastAsia" w:cstheme="minorEastAsia"/>
                <w:color w:val="auto"/>
                <w:szCs w:val="21"/>
                <w:highlight w:val="none"/>
                <w:lang w:val="en-US" w:eastAsia="zh-CN"/>
              </w:rPr>
              <w:t>要求签名的，</w:t>
            </w:r>
            <w:r>
              <w:rPr>
                <w:rFonts w:hint="eastAsia" w:asciiTheme="minorEastAsia" w:hAnsiTheme="minorEastAsia" w:eastAsiaTheme="minorEastAsia" w:cstheme="minorEastAsia"/>
                <w:color w:val="auto"/>
                <w:kern w:val="0"/>
                <w:highlight w:val="none"/>
              </w:rPr>
              <w:t>签名采用手写签名或签章或加盖CA数字证书均可</w:t>
            </w:r>
            <w:r>
              <w:rPr>
                <w:rFonts w:hint="eastAsia" w:asciiTheme="minorEastAsia" w:hAnsiTheme="minorEastAsia" w:eastAsiaTheme="minorEastAsia" w:cstheme="minorEastAsia"/>
                <w:color w:val="auto"/>
                <w:kern w:val="0"/>
                <w:highlight w:val="none"/>
                <w:lang w:eastAsia="zh-CN"/>
              </w:rPr>
              <w:t>，</w:t>
            </w:r>
            <w:r>
              <w:rPr>
                <w:rFonts w:hint="eastAsia" w:ascii="宋体" w:hAnsi="宋体" w:cs="宋体"/>
                <w:kern w:val="0"/>
                <w:highlight w:val="none"/>
              </w:rPr>
              <w:t>要求加盖单位法人章的，应使用 CA 数字证书加盖</w:t>
            </w:r>
            <w:r>
              <w:rPr>
                <w:rFonts w:hint="eastAsia" w:ascii="宋体" w:hAnsi="宋体" w:cs="宋体"/>
                <w:kern w:val="0"/>
                <w:highlight w:val="none"/>
                <w:lang w:eastAsia="zh-CN"/>
              </w:rPr>
              <w:t>比选申请人</w:t>
            </w:r>
            <w:r>
              <w:rPr>
                <w:rFonts w:hint="eastAsia" w:ascii="宋体" w:hAnsi="宋体" w:cs="宋体"/>
                <w:kern w:val="0"/>
                <w:highlight w:val="none"/>
              </w:rPr>
              <w:t>的单位电子印章。</w:t>
            </w:r>
          </w:p>
          <w:p w14:paraId="14BE8043">
            <w:pPr>
              <w:snapToGrid w:val="0"/>
              <w:spacing w:line="400" w:lineRule="exact"/>
              <w:ind w:firstLine="420" w:firstLineChars="200"/>
              <w:rPr>
                <w:rFonts w:ascii="宋体" w:hAnsi="宋体"/>
                <w:highlight w:val="none"/>
                <w:u w:val="single"/>
              </w:rPr>
            </w:pPr>
            <w:r>
              <w:rPr>
                <w:rFonts w:hint="eastAsia" w:ascii="宋体" w:hAnsi="宋体" w:cs="宋体"/>
                <w:kern w:val="0"/>
                <w:highlight w:val="none"/>
              </w:rPr>
              <w:t>联合体投标的，投标函部分的格式中要求</w:t>
            </w:r>
            <w:r>
              <w:rPr>
                <w:rFonts w:hint="eastAsia" w:ascii="宋体" w:hAnsi="宋体" w:cs="宋体"/>
                <w:kern w:val="0"/>
                <w:highlight w:val="none"/>
                <w:lang w:eastAsia="zh-CN"/>
              </w:rPr>
              <w:t>比选申请人</w:t>
            </w:r>
            <w:r>
              <w:rPr>
                <w:rFonts w:hint="eastAsia" w:ascii="宋体" w:hAnsi="宋体" w:cs="宋体"/>
                <w:kern w:val="0"/>
                <w:highlight w:val="none"/>
              </w:rPr>
              <w:t>加盖单位法人章的，均由联合体牵头人使用 CA 数字证书加盖其单位电子印章。</w:t>
            </w:r>
          </w:p>
        </w:tc>
      </w:tr>
      <w:tr w14:paraId="522C1B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52B1BCD9">
            <w:pPr>
              <w:spacing w:line="400" w:lineRule="exact"/>
              <w:rPr>
                <w:rFonts w:hint="eastAsia" w:ascii="宋体" w:hAnsi="宋体"/>
                <w:kern w:val="0"/>
                <w:highlight w:val="none"/>
              </w:rPr>
            </w:pPr>
          </w:p>
        </w:tc>
        <w:tc>
          <w:tcPr>
            <w:tcW w:w="1628" w:type="dxa"/>
            <w:vMerge w:val="continue"/>
            <w:tcBorders>
              <w:left w:val="single" w:color="auto" w:sz="4" w:space="0"/>
            </w:tcBorders>
            <w:vAlign w:val="center"/>
          </w:tcPr>
          <w:p w14:paraId="2BB7CB13">
            <w:pPr>
              <w:spacing w:line="400" w:lineRule="exact"/>
              <w:jc w:val="center"/>
              <w:rPr>
                <w:rFonts w:hint="eastAsia" w:ascii="宋体" w:hAnsi="宋体"/>
                <w:kern w:val="0"/>
                <w:highlight w:val="none"/>
              </w:rPr>
            </w:pPr>
          </w:p>
        </w:tc>
        <w:tc>
          <w:tcPr>
            <w:tcW w:w="2304" w:type="dxa"/>
            <w:gridSpan w:val="2"/>
            <w:vAlign w:val="center"/>
          </w:tcPr>
          <w:p w14:paraId="49D94BAF">
            <w:pPr>
              <w:tabs>
                <w:tab w:val="left" w:pos="1875"/>
              </w:tabs>
              <w:spacing w:line="400" w:lineRule="exact"/>
              <w:jc w:val="left"/>
              <w:rPr>
                <w:rFonts w:hint="eastAsia" w:ascii="宋体" w:hAnsi="宋体" w:cs="宋体"/>
                <w:kern w:val="0"/>
                <w:highlight w:val="none"/>
              </w:rPr>
            </w:pPr>
            <w:r>
              <w:rPr>
                <w:rFonts w:hint="eastAsia" w:ascii="宋体" w:hAnsi="宋体" w:cs="宋体"/>
                <w:kern w:val="0"/>
                <w:highlight w:val="none"/>
                <w:lang w:val="en-US" w:eastAsia="zh-CN"/>
              </w:rPr>
              <w:t>人员</w:t>
            </w:r>
          </w:p>
        </w:tc>
        <w:tc>
          <w:tcPr>
            <w:tcW w:w="4688" w:type="dxa"/>
            <w:gridSpan w:val="2"/>
            <w:vAlign w:val="center"/>
          </w:tcPr>
          <w:p w14:paraId="18F54863">
            <w:pPr>
              <w:snapToGrid w:val="0"/>
              <w:spacing w:line="400" w:lineRule="exact"/>
              <w:ind w:firstLine="420" w:firstLineChars="200"/>
              <w:rPr>
                <w:rFonts w:hint="eastAsia" w:ascii="宋体" w:hAnsi="宋体" w:cs="宋体"/>
                <w:kern w:val="0"/>
                <w:highlight w:val="none"/>
              </w:rPr>
            </w:pPr>
            <w:r>
              <w:rPr>
                <w:rFonts w:hint="eastAsia" w:ascii="宋体" w:hAnsi="宋体" w:cs="宋体"/>
                <w:kern w:val="0"/>
                <w:highlight w:val="none"/>
                <w:lang w:val="en-US" w:eastAsia="zh-CN"/>
              </w:rPr>
              <w:t>《投标函》中填写的项目经理应与拟派项目经理的信息一致。</w:t>
            </w:r>
          </w:p>
        </w:tc>
      </w:tr>
      <w:tr w14:paraId="5DD61D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4AABFF82">
            <w:pPr>
              <w:spacing w:line="400" w:lineRule="exact"/>
              <w:rPr>
                <w:rFonts w:ascii="宋体" w:hAnsi="宋体"/>
                <w:kern w:val="0"/>
                <w:highlight w:val="none"/>
              </w:rPr>
            </w:pPr>
          </w:p>
        </w:tc>
        <w:tc>
          <w:tcPr>
            <w:tcW w:w="1628" w:type="dxa"/>
            <w:vMerge w:val="continue"/>
            <w:tcBorders>
              <w:left w:val="single" w:color="auto" w:sz="4" w:space="0"/>
            </w:tcBorders>
            <w:vAlign w:val="center"/>
          </w:tcPr>
          <w:p w14:paraId="17F16B0E">
            <w:pPr>
              <w:spacing w:line="400" w:lineRule="exact"/>
              <w:ind w:firstLine="210" w:firstLineChars="100"/>
              <w:jc w:val="center"/>
              <w:rPr>
                <w:rFonts w:ascii="宋体" w:hAnsi="宋体"/>
                <w:kern w:val="0"/>
                <w:highlight w:val="none"/>
              </w:rPr>
            </w:pPr>
          </w:p>
        </w:tc>
        <w:tc>
          <w:tcPr>
            <w:tcW w:w="2304" w:type="dxa"/>
            <w:gridSpan w:val="2"/>
            <w:vAlign w:val="center"/>
          </w:tcPr>
          <w:p w14:paraId="74DC1FE3">
            <w:pPr>
              <w:tabs>
                <w:tab w:val="left" w:pos="1875"/>
              </w:tabs>
              <w:spacing w:line="400" w:lineRule="exact"/>
              <w:jc w:val="left"/>
              <w:rPr>
                <w:rFonts w:ascii="宋体" w:hAnsi="宋体" w:cs="宋体"/>
                <w:kern w:val="0"/>
                <w:highlight w:val="none"/>
              </w:rPr>
            </w:pPr>
            <w:r>
              <w:rPr>
                <w:rFonts w:hint="eastAsia" w:ascii="宋体" w:hAnsi="宋体" w:cs="宋体"/>
                <w:kern w:val="0"/>
                <w:highlight w:val="none"/>
              </w:rPr>
              <w:t>工期</w:t>
            </w:r>
          </w:p>
        </w:tc>
        <w:tc>
          <w:tcPr>
            <w:tcW w:w="4688" w:type="dxa"/>
            <w:gridSpan w:val="2"/>
            <w:vAlign w:val="center"/>
          </w:tcPr>
          <w:p w14:paraId="3713C9EC">
            <w:pPr>
              <w:snapToGrid w:val="0"/>
              <w:spacing w:line="400" w:lineRule="exact"/>
              <w:ind w:firstLine="420" w:firstLineChars="200"/>
              <w:rPr>
                <w:rFonts w:hint="eastAsia" w:ascii="宋体" w:hAnsi="宋体" w:eastAsia="宋体"/>
                <w:highlight w:val="none"/>
                <w:u w:val="single"/>
                <w:lang w:eastAsia="zh-CN"/>
              </w:rPr>
            </w:pPr>
            <w:r>
              <w:rPr>
                <w:rFonts w:hint="eastAsia" w:ascii="宋体" w:hAnsi="宋体" w:cs="宋体"/>
                <w:kern w:val="0"/>
                <w:highlight w:val="none"/>
              </w:rPr>
              <w:t>符合第二章“</w:t>
            </w:r>
            <w:r>
              <w:rPr>
                <w:rFonts w:hint="eastAsia" w:ascii="宋体" w:hAnsi="宋体" w:cs="宋体"/>
                <w:kern w:val="0"/>
                <w:highlight w:val="none"/>
                <w:lang w:eastAsia="zh-CN"/>
              </w:rPr>
              <w:t>比选申请人</w:t>
            </w:r>
            <w:r>
              <w:rPr>
                <w:rFonts w:hint="eastAsia" w:ascii="宋体" w:hAnsi="宋体" w:cs="宋体"/>
                <w:kern w:val="0"/>
                <w:highlight w:val="none"/>
              </w:rPr>
              <w:t>须知”第1.3.2项规定</w:t>
            </w:r>
            <w:r>
              <w:rPr>
                <w:rFonts w:hint="eastAsia" w:ascii="宋体" w:hAnsi="宋体" w:cs="宋体"/>
                <w:kern w:val="0"/>
                <w:highlight w:val="none"/>
                <w:lang w:eastAsia="zh-CN"/>
              </w:rPr>
              <w:t>。</w:t>
            </w:r>
          </w:p>
        </w:tc>
      </w:tr>
      <w:tr w14:paraId="3250C6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78C73175">
            <w:pPr>
              <w:spacing w:line="400" w:lineRule="exact"/>
              <w:rPr>
                <w:rFonts w:ascii="宋体" w:hAnsi="宋体"/>
                <w:kern w:val="0"/>
                <w:highlight w:val="none"/>
              </w:rPr>
            </w:pPr>
          </w:p>
        </w:tc>
        <w:tc>
          <w:tcPr>
            <w:tcW w:w="1628" w:type="dxa"/>
            <w:vMerge w:val="continue"/>
            <w:tcBorders>
              <w:left w:val="single" w:color="auto" w:sz="4" w:space="0"/>
            </w:tcBorders>
            <w:vAlign w:val="center"/>
          </w:tcPr>
          <w:p w14:paraId="170D5378">
            <w:pPr>
              <w:spacing w:line="400" w:lineRule="exact"/>
              <w:ind w:firstLine="210" w:firstLineChars="100"/>
              <w:jc w:val="center"/>
              <w:rPr>
                <w:rFonts w:ascii="宋体" w:hAnsi="宋体"/>
                <w:kern w:val="0"/>
                <w:highlight w:val="none"/>
              </w:rPr>
            </w:pPr>
          </w:p>
        </w:tc>
        <w:tc>
          <w:tcPr>
            <w:tcW w:w="2304" w:type="dxa"/>
            <w:gridSpan w:val="2"/>
            <w:vAlign w:val="center"/>
          </w:tcPr>
          <w:p w14:paraId="451F8C19">
            <w:pPr>
              <w:tabs>
                <w:tab w:val="left" w:pos="1875"/>
              </w:tabs>
              <w:spacing w:line="400" w:lineRule="exact"/>
              <w:jc w:val="left"/>
              <w:rPr>
                <w:rFonts w:ascii="宋体" w:hAnsi="宋体" w:cs="宋体"/>
                <w:kern w:val="0"/>
                <w:highlight w:val="none"/>
              </w:rPr>
            </w:pPr>
            <w:r>
              <w:rPr>
                <w:rFonts w:hint="eastAsia" w:ascii="宋体" w:hAnsi="宋体" w:cs="宋体"/>
                <w:kern w:val="0"/>
                <w:highlight w:val="none"/>
              </w:rPr>
              <w:t>工程质量</w:t>
            </w:r>
          </w:p>
        </w:tc>
        <w:tc>
          <w:tcPr>
            <w:tcW w:w="4688" w:type="dxa"/>
            <w:gridSpan w:val="2"/>
            <w:vAlign w:val="center"/>
          </w:tcPr>
          <w:p w14:paraId="178F08C8">
            <w:pPr>
              <w:snapToGrid w:val="0"/>
              <w:spacing w:line="400" w:lineRule="exact"/>
              <w:ind w:firstLine="420" w:firstLineChars="200"/>
              <w:rPr>
                <w:rFonts w:hint="eastAsia" w:ascii="宋体" w:hAnsi="宋体" w:eastAsia="宋体"/>
                <w:highlight w:val="none"/>
                <w:u w:val="single"/>
                <w:lang w:eastAsia="zh-CN"/>
              </w:rPr>
            </w:pPr>
            <w:r>
              <w:rPr>
                <w:rFonts w:hint="eastAsia" w:ascii="宋体" w:hAnsi="宋体" w:cs="宋体"/>
                <w:kern w:val="0"/>
                <w:highlight w:val="none"/>
              </w:rPr>
              <w:t>符合第二章“</w:t>
            </w:r>
            <w:r>
              <w:rPr>
                <w:rFonts w:hint="eastAsia" w:ascii="宋体" w:hAnsi="宋体" w:cs="宋体"/>
                <w:kern w:val="0"/>
                <w:highlight w:val="none"/>
                <w:lang w:eastAsia="zh-CN"/>
              </w:rPr>
              <w:t>比选申请人</w:t>
            </w:r>
            <w:r>
              <w:rPr>
                <w:rFonts w:hint="eastAsia" w:ascii="宋体" w:hAnsi="宋体" w:cs="宋体"/>
                <w:kern w:val="0"/>
                <w:highlight w:val="none"/>
              </w:rPr>
              <w:t>须知”第1.3.3项规定</w:t>
            </w:r>
            <w:r>
              <w:rPr>
                <w:rFonts w:hint="eastAsia" w:ascii="宋体" w:hAnsi="宋体" w:cs="宋体"/>
                <w:kern w:val="0"/>
                <w:highlight w:val="none"/>
                <w:lang w:eastAsia="zh-CN"/>
              </w:rPr>
              <w:t>。</w:t>
            </w:r>
          </w:p>
        </w:tc>
      </w:tr>
      <w:tr w14:paraId="260D318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2F19FCF9">
            <w:pPr>
              <w:spacing w:line="400" w:lineRule="exact"/>
              <w:rPr>
                <w:rFonts w:ascii="宋体" w:hAnsi="宋体"/>
                <w:kern w:val="0"/>
                <w:highlight w:val="none"/>
              </w:rPr>
            </w:pPr>
          </w:p>
        </w:tc>
        <w:tc>
          <w:tcPr>
            <w:tcW w:w="1628" w:type="dxa"/>
            <w:vMerge w:val="continue"/>
            <w:tcBorders>
              <w:left w:val="single" w:color="auto" w:sz="4" w:space="0"/>
            </w:tcBorders>
            <w:vAlign w:val="center"/>
          </w:tcPr>
          <w:p w14:paraId="585A90C2">
            <w:pPr>
              <w:spacing w:line="400" w:lineRule="exact"/>
              <w:ind w:firstLine="210" w:firstLineChars="100"/>
              <w:jc w:val="center"/>
              <w:rPr>
                <w:rFonts w:ascii="宋体" w:hAnsi="宋体"/>
                <w:kern w:val="0"/>
                <w:highlight w:val="none"/>
              </w:rPr>
            </w:pPr>
          </w:p>
        </w:tc>
        <w:tc>
          <w:tcPr>
            <w:tcW w:w="2304" w:type="dxa"/>
            <w:gridSpan w:val="2"/>
            <w:vAlign w:val="center"/>
          </w:tcPr>
          <w:p w14:paraId="5DFCDFCD">
            <w:pPr>
              <w:tabs>
                <w:tab w:val="left" w:pos="1875"/>
              </w:tabs>
              <w:spacing w:line="400" w:lineRule="exact"/>
              <w:jc w:val="left"/>
              <w:rPr>
                <w:rFonts w:ascii="宋体" w:hAnsi="宋体" w:cs="宋体"/>
                <w:kern w:val="0"/>
                <w:highlight w:val="none"/>
              </w:rPr>
            </w:pPr>
            <w:r>
              <w:rPr>
                <w:rFonts w:hint="eastAsia" w:ascii="宋体" w:hAnsi="宋体" w:cs="宋体"/>
                <w:kern w:val="0"/>
                <w:highlight w:val="none"/>
              </w:rPr>
              <w:t>投标有效期</w:t>
            </w:r>
          </w:p>
        </w:tc>
        <w:tc>
          <w:tcPr>
            <w:tcW w:w="4688" w:type="dxa"/>
            <w:gridSpan w:val="2"/>
            <w:vAlign w:val="center"/>
          </w:tcPr>
          <w:p w14:paraId="23866F21">
            <w:pPr>
              <w:snapToGrid w:val="0"/>
              <w:spacing w:line="400" w:lineRule="exact"/>
              <w:ind w:firstLine="420" w:firstLineChars="200"/>
              <w:rPr>
                <w:rFonts w:hint="eastAsia" w:ascii="宋体" w:hAnsi="宋体" w:eastAsia="宋体"/>
                <w:highlight w:val="none"/>
                <w:u w:val="single"/>
                <w:lang w:eastAsia="zh-CN"/>
              </w:rPr>
            </w:pPr>
            <w:r>
              <w:rPr>
                <w:rFonts w:hint="eastAsia" w:ascii="宋体" w:hAnsi="宋体" w:cs="宋体"/>
                <w:kern w:val="0"/>
                <w:highlight w:val="none"/>
              </w:rPr>
              <w:t>符合第二章“</w:t>
            </w:r>
            <w:r>
              <w:rPr>
                <w:rFonts w:hint="eastAsia" w:ascii="宋体" w:hAnsi="宋体" w:cs="宋体"/>
                <w:kern w:val="0"/>
                <w:highlight w:val="none"/>
                <w:lang w:eastAsia="zh-CN"/>
              </w:rPr>
              <w:t>比选申请人</w:t>
            </w:r>
            <w:r>
              <w:rPr>
                <w:rFonts w:hint="eastAsia" w:ascii="宋体" w:hAnsi="宋体" w:cs="宋体"/>
                <w:kern w:val="0"/>
                <w:highlight w:val="none"/>
              </w:rPr>
              <w:t>须知”第3.3.1项规定</w:t>
            </w:r>
            <w:r>
              <w:rPr>
                <w:rFonts w:hint="eastAsia" w:ascii="宋体" w:hAnsi="宋体" w:cs="宋体"/>
                <w:kern w:val="0"/>
                <w:highlight w:val="none"/>
                <w:lang w:eastAsia="zh-CN"/>
              </w:rPr>
              <w:t>。</w:t>
            </w:r>
          </w:p>
        </w:tc>
      </w:tr>
      <w:tr w14:paraId="11B6F70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7C2C4562">
            <w:pPr>
              <w:spacing w:line="400" w:lineRule="exact"/>
              <w:rPr>
                <w:rFonts w:ascii="宋体" w:hAnsi="宋体"/>
                <w:kern w:val="0"/>
                <w:highlight w:val="none"/>
              </w:rPr>
            </w:pPr>
          </w:p>
        </w:tc>
        <w:tc>
          <w:tcPr>
            <w:tcW w:w="1628" w:type="dxa"/>
            <w:vMerge w:val="continue"/>
            <w:tcBorders>
              <w:left w:val="single" w:color="auto" w:sz="4" w:space="0"/>
            </w:tcBorders>
            <w:vAlign w:val="center"/>
          </w:tcPr>
          <w:p w14:paraId="4250A19C">
            <w:pPr>
              <w:spacing w:line="400" w:lineRule="exact"/>
              <w:ind w:firstLine="210" w:firstLineChars="100"/>
              <w:jc w:val="center"/>
              <w:rPr>
                <w:rFonts w:ascii="宋体" w:hAnsi="宋体"/>
                <w:kern w:val="0"/>
                <w:highlight w:val="none"/>
              </w:rPr>
            </w:pPr>
          </w:p>
        </w:tc>
        <w:tc>
          <w:tcPr>
            <w:tcW w:w="2304" w:type="dxa"/>
            <w:gridSpan w:val="2"/>
            <w:vAlign w:val="center"/>
          </w:tcPr>
          <w:p w14:paraId="26B7AB33">
            <w:pPr>
              <w:tabs>
                <w:tab w:val="left" w:pos="1875"/>
              </w:tabs>
              <w:spacing w:line="400" w:lineRule="exact"/>
              <w:jc w:val="left"/>
              <w:rPr>
                <w:rFonts w:ascii="宋体" w:hAnsi="宋体" w:cs="宋体"/>
                <w:kern w:val="0"/>
                <w:highlight w:val="none"/>
              </w:rPr>
            </w:pPr>
            <w:r>
              <w:rPr>
                <w:rFonts w:ascii="宋体" w:hAnsi="宋体"/>
                <w:kern w:val="0"/>
                <w:highlight w:val="none"/>
              </w:rPr>
              <w:t>投标总报价</w:t>
            </w:r>
          </w:p>
        </w:tc>
        <w:tc>
          <w:tcPr>
            <w:tcW w:w="4688" w:type="dxa"/>
            <w:gridSpan w:val="2"/>
            <w:vAlign w:val="center"/>
          </w:tcPr>
          <w:p w14:paraId="2BDAA16B">
            <w:pPr>
              <w:spacing w:line="400" w:lineRule="exact"/>
              <w:ind w:firstLine="420" w:firstLineChars="200"/>
              <w:rPr>
                <w:rFonts w:ascii="宋体" w:hAnsi="宋体"/>
                <w:kern w:val="0"/>
                <w:highlight w:val="none"/>
              </w:rPr>
            </w:pPr>
            <w:r>
              <w:rPr>
                <w:rFonts w:hint="eastAsia" w:ascii="宋体" w:hAnsi="宋体"/>
                <w:kern w:val="0"/>
                <w:highlight w:val="none"/>
              </w:rPr>
              <w:t>1.投标函中的总报价</w:t>
            </w:r>
            <w:r>
              <w:rPr>
                <w:rFonts w:hint="eastAsia" w:ascii="宋体" w:hAnsi="宋体"/>
                <w:kern w:val="0"/>
                <w:highlight w:val="none"/>
                <w:lang w:val="en-US" w:eastAsia="zh-CN"/>
              </w:rPr>
              <w:t>应</w:t>
            </w:r>
            <w:r>
              <w:rPr>
                <w:rFonts w:hint="eastAsia" w:ascii="宋体" w:hAnsi="宋体"/>
                <w:kern w:val="0"/>
                <w:highlight w:val="none"/>
              </w:rPr>
              <w:t>与已标价工程量清单总报价一致</w:t>
            </w:r>
            <w:r>
              <w:rPr>
                <w:rFonts w:hint="eastAsia" w:ascii="宋体" w:hAnsi="宋体"/>
                <w:kern w:val="0"/>
                <w:highlight w:val="none"/>
                <w:lang w:eastAsia="zh-CN"/>
              </w:rPr>
              <w:t>，</w:t>
            </w:r>
            <w:r>
              <w:rPr>
                <w:rFonts w:hint="eastAsia" w:ascii="宋体" w:hAnsi="宋体"/>
                <w:kern w:val="0"/>
                <w:highlight w:val="none"/>
              </w:rPr>
              <w:t>工程量清单总报价</w:t>
            </w:r>
            <w:r>
              <w:rPr>
                <w:rFonts w:hint="eastAsia" w:ascii="宋体" w:hAnsi="宋体"/>
                <w:kern w:val="0"/>
                <w:highlight w:val="none"/>
                <w:lang w:val="en-US" w:eastAsia="zh-CN"/>
              </w:rPr>
              <w:t>应</w:t>
            </w:r>
            <w:r>
              <w:rPr>
                <w:rFonts w:hint="eastAsia" w:ascii="宋体" w:hAnsi="宋体"/>
                <w:kern w:val="0"/>
                <w:highlight w:val="none"/>
              </w:rPr>
              <w:t>与依据单价、工程数量、分部分项工程合价计算出的结果一致</w:t>
            </w:r>
            <w:r>
              <w:rPr>
                <w:rFonts w:hint="eastAsia" w:ascii="宋体" w:hAnsi="宋体"/>
                <w:kern w:val="0"/>
                <w:highlight w:val="none"/>
                <w:lang w:eastAsia="zh-CN"/>
              </w:rPr>
              <w:t>（</w:t>
            </w:r>
            <w:r>
              <w:rPr>
                <w:rFonts w:hint="eastAsia" w:ascii="宋体" w:hAnsi="宋体"/>
                <w:kern w:val="0"/>
                <w:highlight w:val="none"/>
                <w:lang w:val="en-US" w:eastAsia="zh-CN"/>
              </w:rPr>
              <w:t>如有</w:t>
            </w:r>
            <w:r>
              <w:rPr>
                <w:rFonts w:hint="eastAsia" w:ascii="宋体" w:hAnsi="宋体"/>
                <w:kern w:val="0"/>
                <w:highlight w:val="none"/>
                <w:lang w:eastAsia="zh-CN"/>
              </w:rPr>
              <w:t>）</w:t>
            </w:r>
            <w:r>
              <w:rPr>
                <w:rFonts w:hint="eastAsia" w:ascii="宋体" w:hAnsi="宋体"/>
                <w:kern w:val="0"/>
                <w:highlight w:val="none"/>
              </w:rPr>
              <w:t>。</w:t>
            </w:r>
          </w:p>
          <w:p w14:paraId="4D5B7F47">
            <w:pPr>
              <w:spacing w:line="400" w:lineRule="exact"/>
              <w:ind w:firstLine="420" w:firstLineChars="200"/>
              <w:rPr>
                <w:rFonts w:hint="eastAsia" w:ascii="宋体" w:hAnsi="宋体"/>
                <w:kern w:val="0"/>
                <w:highlight w:val="none"/>
              </w:rPr>
            </w:pPr>
            <w:r>
              <w:rPr>
                <w:rFonts w:hint="eastAsia" w:ascii="宋体" w:hAnsi="宋体"/>
                <w:kern w:val="0"/>
                <w:highlight w:val="none"/>
              </w:rPr>
              <w:t>2</w:t>
            </w:r>
            <w:r>
              <w:rPr>
                <w:rFonts w:ascii="宋体" w:hAnsi="宋体"/>
                <w:kern w:val="0"/>
                <w:highlight w:val="none"/>
              </w:rPr>
              <w:t>.投标总报价不得高于</w:t>
            </w:r>
            <w:r>
              <w:rPr>
                <w:rFonts w:hint="eastAsia" w:ascii="宋体" w:hAnsi="宋体"/>
                <w:kern w:val="0"/>
                <w:highlight w:val="none"/>
                <w:lang w:eastAsia="zh-CN"/>
              </w:rPr>
              <w:t>比选人</w:t>
            </w:r>
            <w:r>
              <w:rPr>
                <w:rFonts w:ascii="宋体" w:hAnsi="宋体"/>
                <w:kern w:val="0"/>
                <w:highlight w:val="none"/>
              </w:rPr>
              <w:t>公布的投标总报价最高限价</w:t>
            </w:r>
            <w:r>
              <w:rPr>
                <w:rFonts w:hint="eastAsia" w:ascii="宋体" w:hAnsi="宋体"/>
                <w:kern w:val="0"/>
                <w:highlight w:val="none"/>
              </w:rPr>
              <w:t>。</w:t>
            </w:r>
          </w:p>
          <w:p w14:paraId="0BBB7967">
            <w:pPr>
              <w:spacing w:line="400" w:lineRule="exact"/>
              <w:ind w:firstLine="420" w:firstLineChars="200"/>
              <w:rPr>
                <w:rFonts w:ascii="宋体" w:hAnsi="宋体"/>
                <w:kern w:val="0"/>
                <w:highlight w:val="none"/>
              </w:rPr>
            </w:pPr>
            <w:r>
              <w:rPr>
                <w:rFonts w:hint="eastAsia" w:ascii="宋体" w:hAnsi="宋体" w:cs="宋体"/>
                <w:kern w:val="0"/>
                <w:highlight w:val="none"/>
              </w:rPr>
              <w:t>3.</w:t>
            </w:r>
            <w:r>
              <w:rPr>
                <w:rFonts w:hint="eastAsia" w:ascii="宋体" w:hAnsi="宋体" w:cs="宋体"/>
                <w:kern w:val="0"/>
                <w:highlight w:val="none"/>
                <w:lang w:eastAsia="zh-CN"/>
              </w:rPr>
              <w:t>比选申请人</w:t>
            </w:r>
            <w:r>
              <w:rPr>
                <w:rFonts w:hint="eastAsia" w:ascii="宋体" w:hAnsi="宋体" w:cs="宋体"/>
                <w:kern w:val="0"/>
                <w:highlight w:val="none"/>
              </w:rPr>
              <w:t>投标总报价或者部分单项</w:t>
            </w:r>
            <w:r>
              <w:rPr>
                <w:rFonts w:hint="eastAsia" w:ascii="宋体" w:hAnsi="宋体" w:cs="宋体"/>
                <w:kern w:val="0"/>
                <w:highlight w:val="none"/>
                <w:lang w:val="en-US" w:eastAsia="zh-CN"/>
              </w:rPr>
              <w:t>报价</w:t>
            </w:r>
            <w:r>
              <w:rPr>
                <w:rFonts w:hint="eastAsia" w:ascii="宋体" w:hAnsi="宋体" w:cs="宋体"/>
                <w:kern w:val="0"/>
                <w:highlight w:val="none"/>
              </w:rPr>
              <w:t>低于</w:t>
            </w:r>
            <w:r>
              <w:rPr>
                <w:rFonts w:hint="eastAsia" w:ascii="宋体" w:hAnsi="宋体" w:cs="宋体"/>
                <w:kern w:val="0"/>
                <w:highlight w:val="none"/>
                <w:lang w:eastAsia="zh-CN"/>
              </w:rPr>
              <w:t>竞争性比选文件</w:t>
            </w:r>
            <w:r>
              <w:rPr>
                <w:rFonts w:hint="eastAsia" w:ascii="宋体" w:hAnsi="宋体" w:cs="宋体"/>
                <w:kern w:val="0"/>
                <w:highlight w:val="none"/>
              </w:rPr>
              <w:t>规定的对应的异常低价警戒线的，应提供报价合理性说明，并提供必要的证明材料</w:t>
            </w:r>
            <w:r>
              <w:rPr>
                <w:rFonts w:hint="eastAsia" w:ascii="宋体" w:hAnsi="宋体" w:eastAsia="宋体" w:cs="宋体"/>
                <w:color w:val="auto"/>
                <w:kern w:val="0"/>
                <w:szCs w:val="21"/>
                <w:highlight w:val="none"/>
                <w:lang w:val="en-US" w:eastAsia="zh-CN"/>
              </w:rPr>
              <w:t>，以说明其报价的合理性</w:t>
            </w:r>
            <w:r>
              <w:rPr>
                <w:rFonts w:hint="eastAsia" w:ascii="宋体" w:hAnsi="宋体" w:cs="宋体"/>
                <w:kern w:val="0"/>
                <w:highlight w:val="none"/>
                <w:lang w:eastAsia="zh-CN"/>
              </w:rPr>
              <w:t>（</w:t>
            </w:r>
            <w:r>
              <w:rPr>
                <w:rFonts w:hint="eastAsia" w:ascii="宋体" w:hAnsi="宋体" w:cs="宋体"/>
                <w:kern w:val="0"/>
                <w:highlight w:val="none"/>
                <w:lang w:val="en-US" w:eastAsia="zh-CN"/>
              </w:rPr>
              <w:t>如有</w:t>
            </w:r>
            <w:r>
              <w:rPr>
                <w:rFonts w:hint="eastAsia" w:ascii="宋体" w:hAnsi="宋体" w:cs="宋体"/>
                <w:kern w:val="0"/>
                <w:highlight w:val="none"/>
                <w:lang w:eastAsia="zh-CN"/>
              </w:rPr>
              <w:t>）</w:t>
            </w:r>
            <w:r>
              <w:rPr>
                <w:rFonts w:hint="eastAsia" w:ascii="宋体" w:hAnsi="宋体" w:cs="宋体"/>
                <w:kern w:val="0"/>
                <w:highlight w:val="none"/>
              </w:rPr>
              <w:t>。</w:t>
            </w:r>
          </w:p>
        </w:tc>
      </w:tr>
      <w:tr w14:paraId="7C0EAD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0E555490">
            <w:pPr>
              <w:spacing w:line="400" w:lineRule="exact"/>
              <w:rPr>
                <w:rFonts w:ascii="宋体" w:hAnsi="宋体"/>
                <w:kern w:val="0"/>
                <w:highlight w:val="none"/>
              </w:rPr>
            </w:pPr>
          </w:p>
        </w:tc>
        <w:tc>
          <w:tcPr>
            <w:tcW w:w="1628" w:type="dxa"/>
            <w:vMerge w:val="continue"/>
            <w:tcBorders>
              <w:left w:val="single" w:color="auto" w:sz="4" w:space="0"/>
            </w:tcBorders>
            <w:vAlign w:val="center"/>
          </w:tcPr>
          <w:p w14:paraId="2987450B">
            <w:pPr>
              <w:spacing w:line="400" w:lineRule="exact"/>
              <w:ind w:firstLine="210" w:firstLineChars="100"/>
              <w:jc w:val="center"/>
              <w:rPr>
                <w:rFonts w:ascii="宋体" w:hAnsi="宋体"/>
                <w:kern w:val="0"/>
                <w:highlight w:val="none"/>
              </w:rPr>
            </w:pPr>
          </w:p>
        </w:tc>
        <w:tc>
          <w:tcPr>
            <w:tcW w:w="2304" w:type="dxa"/>
            <w:gridSpan w:val="2"/>
            <w:vAlign w:val="center"/>
          </w:tcPr>
          <w:p w14:paraId="47FB00D3">
            <w:pPr>
              <w:tabs>
                <w:tab w:val="left" w:pos="1875"/>
              </w:tabs>
              <w:spacing w:line="400" w:lineRule="exact"/>
              <w:jc w:val="left"/>
              <w:rPr>
                <w:rFonts w:ascii="宋体" w:hAnsi="宋体"/>
                <w:kern w:val="0"/>
                <w:highlight w:val="none"/>
              </w:rPr>
            </w:pPr>
            <w:r>
              <w:rPr>
                <w:rFonts w:hint="eastAsia" w:ascii="宋体" w:hAnsi="宋体"/>
                <w:kern w:val="0"/>
                <w:highlight w:val="none"/>
              </w:rPr>
              <w:t>暂定金额</w:t>
            </w:r>
          </w:p>
        </w:tc>
        <w:tc>
          <w:tcPr>
            <w:tcW w:w="4688" w:type="dxa"/>
            <w:gridSpan w:val="2"/>
            <w:vAlign w:val="center"/>
          </w:tcPr>
          <w:p w14:paraId="0989861F">
            <w:pPr>
              <w:spacing w:line="400" w:lineRule="exact"/>
              <w:ind w:firstLine="420" w:firstLineChars="200"/>
              <w:rPr>
                <w:rFonts w:hint="eastAsia" w:ascii="宋体" w:hAnsi="宋体" w:eastAsia="宋体"/>
                <w:kern w:val="0"/>
                <w:highlight w:val="none"/>
                <w:lang w:eastAsia="zh-CN"/>
              </w:rPr>
            </w:pPr>
            <w:r>
              <w:rPr>
                <w:rFonts w:hint="eastAsia" w:ascii="宋体" w:hAnsi="宋体"/>
                <w:kern w:val="0"/>
                <w:highlight w:val="none"/>
              </w:rPr>
              <w:t>暂列金额、暂估价、安全文明施工费等暂定金额必须按照</w:t>
            </w:r>
            <w:r>
              <w:rPr>
                <w:rFonts w:hint="eastAsia" w:ascii="宋体" w:hAnsi="宋体"/>
                <w:kern w:val="0"/>
                <w:highlight w:val="none"/>
                <w:lang w:eastAsia="zh-CN"/>
              </w:rPr>
              <w:t>竞争性比选文件</w:t>
            </w:r>
            <w:r>
              <w:rPr>
                <w:rFonts w:hint="eastAsia" w:ascii="宋体" w:hAnsi="宋体"/>
                <w:kern w:val="0"/>
                <w:highlight w:val="none"/>
              </w:rPr>
              <w:t>给定的金额填报</w:t>
            </w:r>
            <w:r>
              <w:rPr>
                <w:rFonts w:hint="eastAsia" w:ascii="宋体" w:hAnsi="宋体"/>
                <w:kern w:val="0"/>
                <w:highlight w:val="none"/>
                <w:lang w:eastAsia="zh-CN"/>
              </w:rPr>
              <w:t>。</w:t>
            </w:r>
          </w:p>
        </w:tc>
      </w:tr>
      <w:tr w14:paraId="71DADC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061A8390">
            <w:pPr>
              <w:spacing w:line="400" w:lineRule="exact"/>
              <w:rPr>
                <w:rFonts w:ascii="宋体" w:hAnsi="宋体"/>
                <w:kern w:val="0"/>
                <w:highlight w:val="none"/>
              </w:rPr>
            </w:pPr>
          </w:p>
        </w:tc>
        <w:tc>
          <w:tcPr>
            <w:tcW w:w="1628" w:type="dxa"/>
            <w:vMerge w:val="continue"/>
            <w:tcBorders>
              <w:left w:val="single" w:color="auto" w:sz="4" w:space="0"/>
            </w:tcBorders>
            <w:vAlign w:val="center"/>
          </w:tcPr>
          <w:p w14:paraId="702F3991">
            <w:pPr>
              <w:spacing w:line="400" w:lineRule="exact"/>
              <w:ind w:firstLine="210" w:firstLineChars="100"/>
              <w:jc w:val="center"/>
              <w:rPr>
                <w:rFonts w:ascii="宋体" w:hAnsi="宋体"/>
                <w:kern w:val="0"/>
                <w:highlight w:val="none"/>
              </w:rPr>
            </w:pPr>
          </w:p>
        </w:tc>
        <w:tc>
          <w:tcPr>
            <w:tcW w:w="2304" w:type="dxa"/>
            <w:gridSpan w:val="2"/>
            <w:vAlign w:val="center"/>
          </w:tcPr>
          <w:p w14:paraId="571EE896">
            <w:pPr>
              <w:tabs>
                <w:tab w:val="left" w:pos="1875"/>
              </w:tabs>
              <w:spacing w:line="400" w:lineRule="exact"/>
              <w:jc w:val="left"/>
              <w:rPr>
                <w:rFonts w:ascii="宋体" w:hAnsi="宋体" w:cs="宋体"/>
                <w:kern w:val="0"/>
                <w:highlight w:val="none"/>
              </w:rPr>
            </w:pPr>
            <w:r>
              <w:rPr>
                <w:rFonts w:ascii="宋体" w:hAnsi="宋体"/>
                <w:kern w:val="0"/>
                <w:highlight w:val="none"/>
              </w:rPr>
              <w:t>报价唯一</w:t>
            </w:r>
          </w:p>
        </w:tc>
        <w:tc>
          <w:tcPr>
            <w:tcW w:w="4688" w:type="dxa"/>
            <w:gridSpan w:val="2"/>
            <w:vAlign w:val="center"/>
          </w:tcPr>
          <w:p w14:paraId="12EC1358">
            <w:pPr>
              <w:snapToGrid w:val="0"/>
              <w:spacing w:line="400" w:lineRule="exact"/>
              <w:ind w:firstLine="420" w:firstLineChars="200"/>
              <w:rPr>
                <w:rFonts w:ascii="宋体" w:hAnsi="宋体"/>
                <w:highlight w:val="none"/>
                <w:u w:val="single"/>
              </w:rPr>
            </w:pPr>
            <w:r>
              <w:rPr>
                <w:rFonts w:ascii="宋体" w:hAnsi="宋体"/>
                <w:kern w:val="0"/>
                <w:highlight w:val="none"/>
              </w:rPr>
              <w:t>只能有一个有效报价，在</w:t>
            </w:r>
            <w:r>
              <w:rPr>
                <w:rFonts w:hint="eastAsia" w:ascii="宋体" w:hAnsi="宋体"/>
                <w:kern w:val="0"/>
                <w:highlight w:val="none"/>
                <w:lang w:eastAsia="zh-CN"/>
              </w:rPr>
              <w:t>竞争性比选文件</w:t>
            </w:r>
            <w:r>
              <w:rPr>
                <w:rFonts w:ascii="宋体" w:hAnsi="宋体"/>
                <w:kern w:val="0"/>
                <w:highlight w:val="none"/>
              </w:rPr>
              <w:t>没有规定的情况下，不得提交选择性报价。</w:t>
            </w:r>
          </w:p>
        </w:tc>
      </w:tr>
      <w:tr w14:paraId="348AD82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28FBC398">
            <w:pPr>
              <w:spacing w:line="400" w:lineRule="exact"/>
              <w:rPr>
                <w:rFonts w:ascii="宋体" w:hAnsi="宋体"/>
                <w:kern w:val="0"/>
                <w:highlight w:val="none"/>
              </w:rPr>
            </w:pPr>
          </w:p>
        </w:tc>
        <w:tc>
          <w:tcPr>
            <w:tcW w:w="1628" w:type="dxa"/>
            <w:vMerge w:val="continue"/>
            <w:tcBorders>
              <w:left w:val="single" w:color="auto" w:sz="4" w:space="0"/>
            </w:tcBorders>
            <w:vAlign w:val="center"/>
          </w:tcPr>
          <w:p w14:paraId="36B72D7B">
            <w:pPr>
              <w:spacing w:line="400" w:lineRule="exact"/>
              <w:ind w:firstLine="210" w:firstLineChars="100"/>
              <w:jc w:val="center"/>
              <w:rPr>
                <w:rFonts w:ascii="宋体" w:hAnsi="宋体"/>
                <w:kern w:val="0"/>
                <w:highlight w:val="none"/>
              </w:rPr>
            </w:pPr>
          </w:p>
        </w:tc>
        <w:tc>
          <w:tcPr>
            <w:tcW w:w="2304" w:type="dxa"/>
            <w:gridSpan w:val="2"/>
            <w:vAlign w:val="center"/>
          </w:tcPr>
          <w:p w14:paraId="0EB16337">
            <w:pPr>
              <w:tabs>
                <w:tab w:val="left" w:pos="1875"/>
              </w:tabs>
              <w:spacing w:line="400" w:lineRule="exact"/>
              <w:jc w:val="left"/>
              <w:rPr>
                <w:rFonts w:ascii="宋体" w:hAnsi="宋体" w:cs="宋体"/>
                <w:kern w:val="0"/>
                <w:highlight w:val="none"/>
              </w:rPr>
            </w:pPr>
            <w:r>
              <w:rPr>
                <w:rFonts w:ascii="宋体" w:hAnsi="宋体"/>
                <w:kern w:val="0"/>
                <w:highlight w:val="none"/>
              </w:rPr>
              <w:t>已标价工程量清单</w:t>
            </w:r>
          </w:p>
        </w:tc>
        <w:tc>
          <w:tcPr>
            <w:tcW w:w="4688" w:type="dxa"/>
            <w:gridSpan w:val="2"/>
            <w:vAlign w:val="center"/>
          </w:tcPr>
          <w:p w14:paraId="77FC6549">
            <w:pPr>
              <w:spacing w:after="62" w:afterLines="20" w:line="400" w:lineRule="exact"/>
              <w:ind w:firstLine="420" w:firstLineChars="200"/>
              <w:rPr>
                <w:rFonts w:ascii="宋体" w:hAnsi="宋体"/>
                <w:kern w:val="0"/>
                <w:highlight w:val="none"/>
              </w:rPr>
            </w:pPr>
            <w:r>
              <w:rPr>
                <w:rFonts w:hint="eastAsia" w:ascii="宋体" w:hAnsi="宋体"/>
                <w:kern w:val="0"/>
                <w:highlight w:val="none"/>
              </w:rPr>
              <w:t>1</w:t>
            </w:r>
            <w:r>
              <w:rPr>
                <w:rFonts w:ascii="宋体" w:hAnsi="宋体"/>
                <w:kern w:val="0"/>
                <w:highlight w:val="none"/>
              </w:rPr>
              <w:t>.</w:t>
            </w:r>
            <w:r>
              <w:rPr>
                <w:rFonts w:hint="eastAsia" w:ascii="宋体" w:hAnsi="宋体" w:cs="宋体"/>
                <w:kern w:val="0"/>
                <w:highlight w:val="none"/>
                <w:lang w:val="en-US" w:eastAsia="zh-CN"/>
              </w:rPr>
              <w:t>比选申请人</w:t>
            </w:r>
            <w:r>
              <w:rPr>
                <w:rFonts w:hint="eastAsia" w:ascii="宋体" w:hAnsi="宋体"/>
                <w:szCs w:val="21"/>
                <w:highlight w:val="none"/>
                <w:lang w:val="en-US" w:eastAsia="zh-CN"/>
              </w:rPr>
              <w:t>应当</w:t>
            </w:r>
            <w:r>
              <w:rPr>
                <w:rFonts w:hint="eastAsia" w:ascii="宋体" w:hAnsi="宋体"/>
                <w:szCs w:val="21"/>
                <w:highlight w:val="none"/>
              </w:rPr>
              <w:t>按招标工程量清单填报价格。项目编码、项目名称、项目特征、计量单位、工程量</w:t>
            </w:r>
            <w:r>
              <w:rPr>
                <w:rFonts w:hint="eastAsia" w:ascii="宋体" w:hAnsi="宋体"/>
                <w:szCs w:val="21"/>
                <w:highlight w:val="none"/>
                <w:lang w:val="en-US" w:eastAsia="zh-CN"/>
              </w:rPr>
              <w:t>应当</w:t>
            </w:r>
            <w:r>
              <w:rPr>
                <w:rFonts w:hint="eastAsia" w:ascii="宋体" w:hAnsi="宋体"/>
                <w:szCs w:val="21"/>
                <w:highlight w:val="none"/>
              </w:rPr>
              <w:t>与招标工程量清单一致</w:t>
            </w:r>
            <w:r>
              <w:rPr>
                <w:rFonts w:ascii="宋体" w:hAnsi="宋体"/>
                <w:kern w:val="0"/>
                <w:highlight w:val="none"/>
              </w:rPr>
              <w:t>。</w:t>
            </w:r>
          </w:p>
          <w:p w14:paraId="5A38317E">
            <w:pPr>
              <w:snapToGrid w:val="0"/>
              <w:spacing w:line="400" w:lineRule="exact"/>
              <w:ind w:firstLine="420" w:firstLineChars="200"/>
              <w:rPr>
                <w:rFonts w:hint="eastAsia" w:ascii="宋体" w:hAnsi="宋体"/>
                <w:kern w:val="0"/>
                <w:highlight w:val="none"/>
              </w:rPr>
            </w:pPr>
            <w:r>
              <w:rPr>
                <w:rFonts w:ascii="宋体" w:hAnsi="宋体"/>
                <w:kern w:val="0"/>
                <w:highlight w:val="none"/>
              </w:rPr>
              <w:t>2</w:t>
            </w:r>
            <w:r>
              <w:rPr>
                <w:rFonts w:hint="eastAsia" w:ascii="宋体" w:hAnsi="宋体"/>
                <w:kern w:val="0"/>
                <w:highlight w:val="none"/>
              </w:rPr>
              <w:t>.每项清单综合单价报价不得高于每项清单综合单价最高限价。</w:t>
            </w:r>
          </w:p>
          <w:p w14:paraId="2099A788">
            <w:pPr>
              <w:snapToGrid w:val="0"/>
              <w:spacing w:line="400" w:lineRule="exact"/>
              <w:ind w:firstLine="420" w:firstLineChars="200"/>
              <w:rPr>
                <w:rFonts w:hint="eastAsia" w:ascii="宋体" w:hAnsi="宋体"/>
                <w:kern w:val="0"/>
                <w:szCs w:val="21"/>
                <w:highlight w:val="none"/>
                <w:u w:val="none"/>
                <w:lang w:val="en-US" w:eastAsia="zh-CN"/>
              </w:rPr>
            </w:pPr>
            <w:r>
              <w:rPr>
                <w:rFonts w:hint="eastAsia" w:ascii="宋体" w:hAnsi="宋体" w:cs="宋体"/>
                <w:kern w:val="0"/>
                <w:highlight w:val="none"/>
                <w:lang w:val="en-US" w:eastAsia="zh-CN"/>
              </w:rPr>
              <w:t>3.</w:t>
            </w:r>
            <w:r>
              <w:rPr>
                <w:rFonts w:hint="eastAsia" w:ascii="宋体" w:hAnsi="宋体"/>
                <w:kern w:val="0"/>
                <w:szCs w:val="21"/>
                <w:highlight w:val="none"/>
                <w:u w:val="none"/>
                <w:lang w:eastAsia="zh-CN"/>
              </w:rPr>
              <w:t>比选申请人</w:t>
            </w:r>
            <w:r>
              <w:rPr>
                <w:rFonts w:hint="default" w:ascii="宋体" w:hAnsi="宋体"/>
                <w:kern w:val="0"/>
                <w:szCs w:val="21"/>
                <w:highlight w:val="none"/>
                <w:u w:val="none"/>
              </w:rPr>
              <w:t>的</w:t>
            </w:r>
            <w:r>
              <w:rPr>
                <w:rFonts w:hint="eastAsia" w:ascii="宋体" w:hAnsi="宋体"/>
                <w:kern w:val="0"/>
                <w:szCs w:val="21"/>
                <w:highlight w:val="none"/>
                <w:u w:val="none"/>
                <w:lang w:val="en-US" w:eastAsia="zh-CN"/>
              </w:rPr>
              <w:t>工程量清单单项报价</w:t>
            </w:r>
            <w:r>
              <w:rPr>
                <w:rFonts w:hint="default" w:ascii="宋体" w:hAnsi="宋体"/>
                <w:kern w:val="0"/>
                <w:szCs w:val="21"/>
                <w:highlight w:val="none"/>
                <w:u w:val="none"/>
              </w:rPr>
              <w:t>不得</w:t>
            </w:r>
            <w:r>
              <w:rPr>
                <w:rFonts w:hint="eastAsia" w:ascii="宋体" w:hAnsi="宋体"/>
                <w:kern w:val="0"/>
                <w:szCs w:val="21"/>
                <w:highlight w:val="none"/>
                <w:u w:val="none"/>
                <w:lang w:val="en-US" w:eastAsia="zh-CN"/>
              </w:rPr>
              <w:t>为零报价（比选人提供的工程量清单单项最高限价中金额为零的除外）或者负数报价（如有）。</w:t>
            </w:r>
          </w:p>
          <w:p w14:paraId="34F9984A">
            <w:pPr>
              <w:snapToGrid w:val="0"/>
              <w:spacing w:line="400" w:lineRule="exact"/>
              <w:ind w:firstLine="420" w:firstLineChars="200"/>
              <w:rPr>
                <w:rFonts w:ascii="宋体" w:hAnsi="宋体"/>
                <w:highlight w:val="none"/>
                <w:u w:val="single"/>
              </w:rPr>
            </w:pPr>
            <w:r>
              <w:rPr>
                <w:rFonts w:hint="eastAsia" w:ascii="宋体" w:hAnsi="宋体"/>
                <w:kern w:val="0"/>
                <w:szCs w:val="21"/>
                <w:highlight w:val="none"/>
                <w:u w:val="none"/>
                <w:lang w:val="en-US" w:eastAsia="zh-CN"/>
              </w:rPr>
              <w:t>4.比选申请人的工程量清单中有不平衡报价的，应符合第二章“比选申请人须知前附表”第3.2款关于不平衡报价的要求（如有）。</w:t>
            </w:r>
          </w:p>
        </w:tc>
      </w:tr>
      <w:tr w14:paraId="3BC8AD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Merge w:val="continue"/>
            <w:tcBorders>
              <w:right w:val="single" w:color="auto" w:sz="4" w:space="0"/>
            </w:tcBorders>
            <w:vAlign w:val="center"/>
          </w:tcPr>
          <w:p w14:paraId="49DFC451">
            <w:pPr>
              <w:spacing w:line="400" w:lineRule="exact"/>
              <w:rPr>
                <w:rFonts w:ascii="宋体" w:hAnsi="宋体"/>
                <w:kern w:val="0"/>
                <w:highlight w:val="none"/>
              </w:rPr>
            </w:pPr>
          </w:p>
        </w:tc>
        <w:tc>
          <w:tcPr>
            <w:tcW w:w="1628" w:type="dxa"/>
            <w:vMerge w:val="continue"/>
            <w:tcBorders>
              <w:left w:val="single" w:color="auto" w:sz="4" w:space="0"/>
            </w:tcBorders>
            <w:vAlign w:val="center"/>
          </w:tcPr>
          <w:p w14:paraId="3C8FB4C5">
            <w:pPr>
              <w:spacing w:line="400" w:lineRule="exact"/>
              <w:ind w:firstLine="210" w:firstLineChars="100"/>
              <w:jc w:val="center"/>
              <w:rPr>
                <w:rFonts w:ascii="宋体" w:hAnsi="宋体"/>
                <w:kern w:val="0"/>
                <w:highlight w:val="none"/>
              </w:rPr>
            </w:pPr>
          </w:p>
        </w:tc>
        <w:tc>
          <w:tcPr>
            <w:tcW w:w="2304" w:type="dxa"/>
            <w:gridSpan w:val="2"/>
            <w:vAlign w:val="center"/>
          </w:tcPr>
          <w:p w14:paraId="6CC65FC8">
            <w:pPr>
              <w:tabs>
                <w:tab w:val="left" w:pos="1875"/>
              </w:tabs>
              <w:spacing w:line="400" w:lineRule="exact"/>
              <w:jc w:val="left"/>
              <w:rPr>
                <w:rFonts w:ascii="宋体" w:hAnsi="宋体"/>
                <w:kern w:val="0"/>
                <w:highlight w:val="none"/>
              </w:rPr>
            </w:pPr>
            <w:r>
              <w:rPr>
                <w:rFonts w:ascii="宋体" w:hAnsi="宋体"/>
                <w:kern w:val="0"/>
                <w:highlight w:val="none"/>
              </w:rPr>
              <w:t>投标报价</w:t>
            </w:r>
            <w:r>
              <w:rPr>
                <w:rFonts w:hint="eastAsia" w:ascii="宋体" w:hAnsi="宋体"/>
                <w:kern w:val="0"/>
                <w:highlight w:val="none"/>
                <w:lang w:val="en-US" w:eastAsia="zh-CN"/>
              </w:rPr>
              <w:t>大小写不一致</w:t>
            </w:r>
            <w:r>
              <w:rPr>
                <w:rFonts w:ascii="宋体" w:hAnsi="宋体"/>
                <w:kern w:val="0"/>
                <w:highlight w:val="none"/>
              </w:rPr>
              <w:t>修正</w:t>
            </w:r>
          </w:p>
        </w:tc>
        <w:tc>
          <w:tcPr>
            <w:tcW w:w="4688" w:type="dxa"/>
            <w:gridSpan w:val="2"/>
            <w:vAlign w:val="center"/>
          </w:tcPr>
          <w:p w14:paraId="0C20AE70">
            <w:pPr>
              <w:snapToGrid w:val="0"/>
              <w:spacing w:line="400" w:lineRule="exact"/>
              <w:ind w:firstLine="420" w:firstLineChars="200"/>
              <w:rPr>
                <w:rFonts w:ascii="宋体" w:hAnsi="宋体"/>
                <w:kern w:val="0"/>
                <w:highlight w:val="none"/>
              </w:rPr>
            </w:pPr>
            <w:r>
              <w:rPr>
                <w:rFonts w:ascii="宋体" w:hAnsi="宋体"/>
                <w:kern w:val="0"/>
                <w:highlight w:val="none"/>
              </w:rPr>
              <w:t>符合第三章3.评标程序第3.1.</w:t>
            </w:r>
            <w:r>
              <w:rPr>
                <w:rFonts w:hint="eastAsia" w:ascii="宋体" w:hAnsi="宋体"/>
                <w:kern w:val="0"/>
                <w:highlight w:val="none"/>
                <w:lang w:val="en-US" w:eastAsia="zh-CN"/>
              </w:rPr>
              <w:t>2</w:t>
            </w:r>
            <w:r>
              <w:rPr>
                <w:rFonts w:ascii="宋体" w:hAnsi="宋体"/>
                <w:kern w:val="0"/>
                <w:highlight w:val="none"/>
              </w:rPr>
              <w:t>项规定。</w:t>
            </w:r>
          </w:p>
        </w:tc>
      </w:tr>
      <w:tr w14:paraId="08BA8B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Align w:val="center"/>
          </w:tcPr>
          <w:p w14:paraId="1D6C3152">
            <w:pPr>
              <w:spacing w:line="400" w:lineRule="exact"/>
              <w:jc w:val="center"/>
              <w:rPr>
                <w:rFonts w:ascii="宋体" w:hAnsi="宋体"/>
                <w:kern w:val="0"/>
                <w:highlight w:val="none"/>
              </w:rPr>
            </w:pPr>
            <w:r>
              <w:rPr>
                <w:rFonts w:ascii="宋体" w:hAnsi="宋体"/>
                <w:kern w:val="0"/>
                <w:highlight w:val="none"/>
              </w:rPr>
              <w:t>2.2.</w:t>
            </w:r>
            <w:r>
              <w:rPr>
                <w:rFonts w:hint="eastAsia" w:ascii="宋体" w:hAnsi="宋体"/>
                <w:kern w:val="0"/>
                <w:highlight w:val="none"/>
              </w:rPr>
              <w:t>3</w:t>
            </w:r>
          </w:p>
        </w:tc>
        <w:tc>
          <w:tcPr>
            <w:tcW w:w="1628" w:type="dxa"/>
            <w:vAlign w:val="center"/>
          </w:tcPr>
          <w:p w14:paraId="6C70A422">
            <w:pPr>
              <w:spacing w:line="400" w:lineRule="exact"/>
              <w:jc w:val="center"/>
              <w:rPr>
                <w:rFonts w:ascii="宋体" w:hAnsi="宋体"/>
                <w:kern w:val="0"/>
                <w:highlight w:val="none"/>
              </w:rPr>
            </w:pPr>
            <w:r>
              <w:rPr>
                <w:rFonts w:ascii="宋体" w:hAnsi="宋体"/>
                <w:kern w:val="0"/>
                <w:highlight w:val="none"/>
              </w:rPr>
              <w:t>评标基准价计算方法</w:t>
            </w:r>
          </w:p>
        </w:tc>
        <w:tc>
          <w:tcPr>
            <w:tcW w:w="2304" w:type="dxa"/>
            <w:gridSpan w:val="2"/>
            <w:vAlign w:val="center"/>
          </w:tcPr>
          <w:p w14:paraId="613B6673">
            <w:pPr>
              <w:spacing w:line="400" w:lineRule="exact"/>
              <w:jc w:val="center"/>
              <w:rPr>
                <w:rFonts w:ascii="宋体" w:hAnsi="宋体"/>
                <w:kern w:val="0"/>
                <w:highlight w:val="none"/>
              </w:rPr>
            </w:pPr>
            <w:r>
              <w:rPr>
                <w:rFonts w:ascii="宋体" w:hAnsi="宋体"/>
                <w:kern w:val="0"/>
                <w:highlight w:val="none"/>
              </w:rPr>
              <w:t>投标总报价</w:t>
            </w:r>
          </w:p>
        </w:tc>
        <w:tc>
          <w:tcPr>
            <w:tcW w:w="4688" w:type="dxa"/>
            <w:gridSpan w:val="2"/>
          </w:tcPr>
          <w:p w14:paraId="70BE6232">
            <w:pPr>
              <w:snapToGrid w:val="0"/>
              <w:spacing w:line="400" w:lineRule="exact"/>
              <w:ind w:firstLine="420" w:firstLineChars="200"/>
              <w:jc w:val="left"/>
              <w:rPr>
                <w:rFonts w:ascii="宋体" w:hAnsi="宋体"/>
                <w:kern w:val="0"/>
                <w:szCs w:val="21"/>
                <w:highlight w:val="none"/>
              </w:rPr>
            </w:pPr>
            <w:r>
              <w:rPr>
                <w:rFonts w:hint="eastAsia" w:ascii="宋体" w:hAnsi="宋体" w:cs="宋体"/>
                <w:color w:val="auto"/>
                <w:kern w:val="0"/>
                <w:szCs w:val="21"/>
                <w:highlight w:val="none"/>
                <w:lang w:eastAsia="zh-CN"/>
              </w:rPr>
              <w:t>进入报价评审的</w:t>
            </w:r>
            <w:r>
              <w:rPr>
                <w:rFonts w:hint="eastAsia" w:ascii="宋体" w:hAnsi="宋体"/>
                <w:kern w:val="0"/>
                <w:szCs w:val="21"/>
                <w:highlight w:val="none"/>
                <w:lang w:eastAsia="zh-CN"/>
              </w:rPr>
              <w:t>比选申请人</w:t>
            </w:r>
            <w:r>
              <w:rPr>
                <w:rFonts w:ascii="宋体" w:hAnsi="宋体"/>
                <w:szCs w:val="21"/>
                <w:highlight w:val="none"/>
              </w:rPr>
              <w:t>的投标总报</w:t>
            </w:r>
            <w:r>
              <w:rPr>
                <w:rFonts w:ascii="宋体" w:hAnsi="宋体"/>
                <w:kern w:val="0"/>
                <w:szCs w:val="21"/>
                <w:highlight w:val="none"/>
              </w:rPr>
              <w:t>价中去掉六分之一（不能整除的按小数点前整数取整，不足六家报价则不去掉）的最低价和相同家数的最高价后的算术平均值</w:t>
            </w:r>
            <w:r>
              <w:rPr>
                <w:rFonts w:hint="eastAsia" w:ascii="宋体" w:hAnsi="宋体"/>
                <w:kern w:val="0"/>
                <w:szCs w:val="21"/>
                <w:highlight w:val="none"/>
              </w:rPr>
              <w:t>，即为本项目的投标总报价的评标基准价。</w:t>
            </w:r>
          </w:p>
          <w:p w14:paraId="0A78BC5E">
            <w:pPr>
              <w:snapToGrid w:val="0"/>
              <w:spacing w:line="400" w:lineRule="exact"/>
              <w:ind w:firstLine="420" w:firstLineChars="200"/>
              <w:rPr>
                <w:rFonts w:ascii="宋体" w:hAnsi="宋体"/>
                <w:kern w:val="0"/>
                <w:szCs w:val="21"/>
                <w:highlight w:val="none"/>
              </w:rPr>
            </w:pPr>
            <w:r>
              <w:rPr>
                <w:rFonts w:hint="eastAsia" w:ascii="宋体" w:hAnsi="宋体"/>
                <w:kern w:val="0"/>
                <w:szCs w:val="21"/>
                <w:highlight w:val="none"/>
              </w:rPr>
              <w:t>评标基准价计算的最终</w:t>
            </w:r>
            <w:r>
              <w:rPr>
                <w:rFonts w:ascii="宋体" w:hAnsi="宋体"/>
                <w:kern w:val="0"/>
                <w:szCs w:val="21"/>
                <w:highlight w:val="none"/>
              </w:rPr>
              <w:t>结果取小数点后两位，</w:t>
            </w:r>
            <w:r>
              <w:rPr>
                <w:rFonts w:hint="eastAsia" w:asciiTheme="minorEastAsia" w:hAnsiTheme="minorEastAsia" w:eastAsiaTheme="minorEastAsia" w:cstheme="minorEastAsia"/>
                <w:color w:val="auto"/>
                <w:kern w:val="0"/>
                <w:szCs w:val="21"/>
                <w:highlight w:val="none"/>
                <w:lang w:val="en-US" w:eastAsia="zh-CN"/>
              </w:rPr>
              <w:t>小数点后</w:t>
            </w:r>
            <w:r>
              <w:rPr>
                <w:rFonts w:ascii="宋体" w:hAnsi="宋体"/>
                <w:kern w:val="0"/>
                <w:szCs w:val="21"/>
                <w:highlight w:val="none"/>
              </w:rPr>
              <w:t>第三位四舍五入。</w:t>
            </w:r>
          </w:p>
        </w:tc>
      </w:tr>
      <w:tr w14:paraId="5D8C606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380" w:hRule="atLeast"/>
          <w:jc w:val="center"/>
        </w:trPr>
        <w:tc>
          <w:tcPr>
            <w:tcW w:w="855" w:type="dxa"/>
            <w:vAlign w:val="center"/>
          </w:tcPr>
          <w:p w14:paraId="42740E97">
            <w:pPr>
              <w:spacing w:line="400" w:lineRule="exact"/>
              <w:jc w:val="center"/>
              <w:rPr>
                <w:rFonts w:ascii="宋体" w:hAnsi="宋体"/>
                <w:kern w:val="0"/>
                <w:highlight w:val="none"/>
              </w:rPr>
            </w:pPr>
            <w:r>
              <w:rPr>
                <w:rFonts w:ascii="宋体" w:hAnsi="宋体"/>
                <w:kern w:val="0"/>
                <w:highlight w:val="none"/>
              </w:rPr>
              <w:t>2.2.</w:t>
            </w:r>
            <w:r>
              <w:rPr>
                <w:rFonts w:hint="eastAsia" w:ascii="宋体" w:hAnsi="宋体"/>
                <w:kern w:val="0"/>
                <w:highlight w:val="none"/>
              </w:rPr>
              <w:t>4（1）</w:t>
            </w:r>
          </w:p>
        </w:tc>
        <w:tc>
          <w:tcPr>
            <w:tcW w:w="3932" w:type="dxa"/>
            <w:gridSpan w:val="3"/>
            <w:vAlign w:val="center"/>
          </w:tcPr>
          <w:p w14:paraId="10808EA4">
            <w:pPr>
              <w:spacing w:line="400" w:lineRule="exact"/>
              <w:jc w:val="center"/>
              <w:rPr>
                <w:rFonts w:ascii="宋体" w:hAnsi="宋体"/>
                <w:kern w:val="0"/>
                <w:highlight w:val="none"/>
              </w:rPr>
            </w:pPr>
            <w:r>
              <w:rPr>
                <w:rFonts w:hint="eastAsia" w:ascii="宋体" w:hAnsi="宋体"/>
                <w:kern w:val="0"/>
                <w:highlight w:val="none"/>
              </w:rPr>
              <w:t>允许偏差率</w:t>
            </w:r>
          </w:p>
        </w:tc>
        <w:tc>
          <w:tcPr>
            <w:tcW w:w="4688" w:type="dxa"/>
            <w:gridSpan w:val="2"/>
            <w:vAlign w:val="center"/>
          </w:tcPr>
          <w:p w14:paraId="271E33C4">
            <w:pPr>
              <w:spacing w:line="400" w:lineRule="exact"/>
              <w:ind w:firstLine="420" w:firstLineChars="200"/>
              <w:jc w:val="left"/>
              <w:rPr>
                <w:rFonts w:ascii="宋体" w:hAnsi="宋体"/>
                <w:kern w:val="0"/>
                <w:highlight w:val="none"/>
              </w:rPr>
            </w:pPr>
            <w:r>
              <w:rPr>
                <w:rFonts w:ascii="宋体" w:hAnsi="宋体"/>
                <w:kern w:val="0"/>
                <w:highlight w:val="none"/>
              </w:rPr>
              <w:t>投标总报价的偏差率计算公式</w:t>
            </w:r>
          </w:p>
          <w:p w14:paraId="1960BFC5">
            <w:pPr>
              <w:spacing w:line="400" w:lineRule="exact"/>
              <w:ind w:firstLine="420" w:firstLineChars="200"/>
              <w:jc w:val="left"/>
              <w:rPr>
                <w:rFonts w:ascii="宋体" w:hAnsi="宋体"/>
                <w:kern w:val="0"/>
                <w:highlight w:val="none"/>
              </w:rPr>
            </w:pPr>
            <w:r>
              <w:rPr>
                <w:rFonts w:ascii="宋体" w:hAnsi="宋体"/>
                <w:kern w:val="0"/>
                <w:highlight w:val="none"/>
              </w:rPr>
              <w:t>偏差率</w:t>
            </w:r>
            <w:r>
              <w:rPr>
                <w:rFonts w:ascii="宋体" w:hAnsi="宋体"/>
                <w:kern w:val="0"/>
                <w:sz w:val="28"/>
                <w:szCs w:val="28"/>
                <w:highlight w:val="none"/>
              </w:rPr>
              <w:t>=</w:t>
            </w:r>
            <w:r>
              <w:rPr>
                <w:rFonts w:ascii="宋体" w:hAnsi="宋体"/>
                <w:kern w:val="0"/>
                <w:highlight w:val="none"/>
              </w:rPr>
              <w:t>100％×（</w:t>
            </w:r>
            <w:r>
              <w:rPr>
                <w:rFonts w:hint="eastAsia" w:ascii="宋体" w:hAnsi="宋体"/>
                <w:kern w:val="0"/>
                <w:highlight w:val="none"/>
                <w:lang w:eastAsia="zh-CN"/>
              </w:rPr>
              <w:t>比选申请人</w:t>
            </w:r>
            <w:r>
              <w:rPr>
                <w:rFonts w:ascii="宋体" w:hAnsi="宋体"/>
                <w:kern w:val="0"/>
                <w:highlight w:val="none"/>
              </w:rPr>
              <w:t>报价</w:t>
            </w:r>
            <w:r>
              <w:rPr>
                <w:rFonts w:hint="eastAsia" w:ascii="宋体" w:hAnsi="宋体"/>
                <w:kern w:val="0"/>
                <w:highlight w:val="none"/>
              </w:rPr>
              <w:t>－</w:t>
            </w:r>
            <w:r>
              <w:rPr>
                <w:rFonts w:ascii="宋体" w:hAnsi="宋体"/>
                <w:kern w:val="0"/>
                <w:highlight w:val="none"/>
              </w:rPr>
              <w:t>评标基准价）／评标基准价</w:t>
            </w:r>
          </w:p>
          <w:p w14:paraId="2F157A86">
            <w:pPr>
              <w:spacing w:line="400" w:lineRule="exact"/>
              <w:ind w:firstLine="200"/>
              <w:rPr>
                <w:rFonts w:ascii="宋体" w:hAnsi="宋体"/>
                <w:kern w:val="0"/>
                <w:highlight w:val="none"/>
              </w:rPr>
            </w:pPr>
            <w:r>
              <w:rPr>
                <w:rFonts w:ascii="宋体" w:hAnsi="宋体"/>
                <w:kern w:val="0"/>
                <w:highlight w:val="none"/>
              </w:rPr>
              <w:t xml:space="preserve">  偏差率</w:t>
            </w:r>
            <w:r>
              <w:rPr>
                <w:rFonts w:ascii="宋体" w:hAnsi="宋体"/>
                <w:kern w:val="0"/>
                <w:szCs w:val="21"/>
                <w:highlight w:val="none"/>
              </w:rPr>
              <w:t>计算的最终结果</w:t>
            </w:r>
            <w:r>
              <w:rPr>
                <w:rFonts w:hint="eastAsia" w:ascii="宋体" w:hAnsi="宋体"/>
                <w:kern w:val="0"/>
                <w:szCs w:val="21"/>
                <w:highlight w:val="none"/>
              </w:rPr>
              <w:t>取</w:t>
            </w:r>
            <w:r>
              <w:rPr>
                <w:rFonts w:ascii="宋体" w:hAnsi="宋体"/>
                <w:kern w:val="0"/>
                <w:szCs w:val="21"/>
                <w:highlight w:val="none"/>
              </w:rPr>
              <w:t>小数点后两位，小数点后第三位四舍五入。</w:t>
            </w:r>
          </w:p>
        </w:tc>
      </w:tr>
      <w:tr w14:paraId="72F9C5D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Align w:val="center"/>
          </w:tcPr>
          <w:p w14:paraId="174DFE6E">
            <w:pPr>
              <w:spacing w:line="400" w:lineRule="exact"/>
              <w:jc w:val="center"/>
              <w:rPr>
                <w:rFonts w:ascii="宋体" w:hAnsi="宋体"/>
                <w:kern w:val="0"/>
                <w:highlight w:val="none"/>
              </w:rPr>
            </w:pPr>
            <w:r>
              <w:rPr>
                <w:rFonts w:ascii="宋体" w:hAnsi="宋体"/>
                <w:kern w:val="0"/>
                <w:highlight w:val="none"/>
              </w:rPr>
              <w:t>2.2.</w:t>
            </w:r>
            <w:r>
              <w:rPr>
                <w:rFonts w:hint="eastAsia" w:ascii="宋体" w:hAnsi="宋体"/>
                <w:kern w:val="0"/>
                <w:highlight w:val="none"/>
              </w:rPr>
              <w:t>4（2）</w:t>
            </w:r>
          </w:p>
        </w:tc>
        <w:tc>
          <w:tcPr>
            <w:tcW w:w="3932" w:type="dxa"/>
            <w:gridSpan w:val="3"/>
            <w:vAlign w:val="center"/>
          </w:tcPr>
          <w:p w14:paraId="1BAD2480">
            <w:pPr>
              <w:spacing w:line="400" w:lineRule="exact"/>
              <w:jc w:val="center"/>
              <w:rPr>
                <w:rFonts w:ascii="宋体" w:hAnsi="宋体"/>
                <w:kern w:val="0"/>
                <w:highlight w:val="none"/>
              </w:rPr>
            </w:pPr>
            <w:r>
              <w:rPr>
                <w:rFonts w:ascii="宋体" w:hAnsi="宋体"/>
                <w:kern w:val="0"/>
                <w:highlight w:val="none"/>
              </w:rPr>
              <w:t>投标</w:t>
            </w:r>
            <w:r>
              <w:rPr>
                <w:rFonts w:hint="eastAsia" w:ascii="宋体" w:hAnsi="宋体"/>
                <w:kern w:val="0"/>
                <w:highlight w:val="none"/>
              </w:rPr>
              <w:t>总</w:t>
            </w:r>
            <w:r>
              <w:rPr>
                <w:rFonts w:ascii="宋体" w:hAnsi="宋体"/>
                <w:kern w:val="0"/>
                <w:highlight w:val="none"/>
              </w:rPr>
              <w:t>报价的允许偏差范围</w:t>
            </w:r>
          </w:p>
        </w:tc>
        <w:tc>
          <w:tcPr>
            <w:tcW w:w="4688" w:type="dxa"/>
            <w:gridSpan w:val="2"/>
            <w:vAlign w:val="center"/>
          </w:tcPr>
          <w:p w14:paraId="1374170F">
            <w:pPr>
              <w:spacing w:line="400" w:lineRule="exact"/>
              <w:ind w:firstLine="420" w:firstLineChars="200"/>
              <w:jc w:val="center"/>
              <w:rPr>
                <w:rFonts w:hint="default" w:ascii="宋体" w:hAnsi="宋体" w:eastAsia="宋体"/>
                <w:i/>
                <w:kern w:val="0"/>
                <w:highlight w:val="none"/>
                <w:lang w:val="en-US" w:eastAsia="zh-CN"/>
              </w:rPr>
            </w:pPr>
            <w:r>
              <w:rPr>
                <w:rFonts w:hint="eastAsia" w:ascii="宋体" w:hAnsi="宋体"/>
                <w:i w:val="0"/>
                <w:iCs/>
                <w:kern w:val="0"/>
                <w:highlight w:val="none"/>
                <w:lang w:val="en-US" w:eastAsia="zh-CN"/>
              </w:rPr>
              <w:t>/</w:t>
            </w:r>
          </w:p>
        </w:tc>
      </w:tr>
      <w:tr w14:paraId="3B3021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Align w:val="center"/>
          </w:tcPr>
          <w:p w14:paraId="7BB0EB50">
            <w:pPr>
              <w:spacing w:line="400" w:lineRule="exact"/>
              <w:jc w:val="center"/>
              <w:rPr>
                <w:rFonts w:ascii="宋体" w:hAnsi="宋体"/>
                <w:kern w:val="0"/>
                <w:highlight w:val="none"/>
              </w:rPr>
            </w:pPr>
            <w:r>
              <w:rPr>
                <w:rFonts w:ascii="宋体" w:hAnsi="宋体"/>
                <w:highlight w:val="none"/>
              </w:rPr>
              <w:t>3</w:t>
            </w:r>
          </w:p>
        </w:tc>
        <w:tc>
          <w:tcPr>
            <w:tcW w:w="1628" w:type="dxa"/>
            <w:vAlign w:val="center"/>
          </w:tcPr>
          <w:p w14:paraId="683CCD92">
            <w:pPr>
              <w:spacing w:line="400" w:lineRule="exact"/>
              <w:jc w:val="center"/>
              <w:rPr>
                <w:rFonts w:ascii="宋体" w:hAnsi="宋体"/>
                <w:kern w:val="0"/>
                <w:highlight w:val="none"/>
              </w:rPr>
            </w:pPr>
            <w:r>
              <w:rPr>
                <w:rFonts w:ascii="宋体" w:hAnsi="宋体"/>
                <w:highlight w:val="none"/>
              </w:rPr>
              <w:t>评标程序</w:t>
            </w:r>
          </w:p>
        </w:tc>
        <w:tc>
          <w:tcPr>
            <w:tcW w:w="6992" w:type="dxa"/>
            <w:gridSpan w:val="4"/>
          </w:tcPr>
          <w:p w14:paraId="424C6294">
            <w:pPr>
              <w:keepNext w:val="0"/>
              <w:keepLines w:val="0"/>
              <w:pageBreakBefore w:val="0"/>
              <w:widowControl w:val="0"/>
              <w:kinsoku/>
              <w:wordWrap/>
              <w:overflowPunct/>
              <w:topLinePunct w:val="0"/>
              <w:bidi w:val="0"/>
              <w:spacing w:beforeAutospacing="0" w:afterAutospacing="0" w:line="400" w:lineRule="exact"/>
              <w:ind w:firstLine="420" w:firstLineChars="200"/>
              <w:textAlignment w:val="auto"/>
              <w:rPr>
                <w:rFonts w:hint="default" w:ascii="宋体" w:hAnsi="宋体" w:cs="宋体"/>
                <w:szCs w:val="21"/>
                <w:highlight w:val="none"/>
                <w:lang w:val="en-US" w:eastAsia="zh-CN"/>
              </w:rPr>
            </w:pPr>
            <w:r>
              <w:rPr>
                <w:rFonts w:hint="eastAsia" w:ascii="宋体" w:hAnsi="宋体" w:cs="宋体"/>
                <w:szCs w:val="21"/>
                <w:highlight w:val="none"/>
                <w:lang w:val="en-US" w:eastAsia="zh-CN"/>
              </w:rPr>
              <w:t>☑方式三：</w:t>
            </w:r>
            <w:r>
              <w:rPr>
                <w:rFonts w:hint="eastAsia" w:ascii="宋体" w:hAnsi="宋体" w:cs="宋体"/>
                <w:szCs w:val="21"/>
                <w:highlight w:val="none"/>
              </w:rPr>
              <w:t>全部评审方式</w:t>
            </w:r>
          </w:p>
          <w:p w14:paraId="4B0E615F">
            <w:pPr>
              <w:spacing w:line="400" w:lineRule="exact"/>
              <w:ind w:firstLine="420" w:firstLineChars="200"/>
              <w:rPr>
                <w:rFonts w:ascii="宋体" w:hAnsi="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初步评审。</w:t>
            </w:r>
            <w:r>
              <w:rPr>
                <w:rFonts w:hint="eastAsia" w:ascii="宋体" w:hAnsi="宋体" w:cs="宋体"/>
                <w:szCs w:val="21"/>
                <w:highlight w:val="none"/>
              </w:rPr>
              <w:t>按</w:t>
            </w:r>
            <w:r>
              <w:rPr>
                <w:rFonts w:hint="eastAsia" w:ascii="宋体" w:hAnsi="宋体" w:cs="宋体"/>
                <w:szCs w:val="21"/>
                <w:highlight w:val="none"/>
                <w:lang w:val="en-US" w:eastAsia="zh-CN"/>
              </w:rPr>
              <w:t>照第2.1.1项至第2.1.3项的规定，对所有比选申请文件</w:t>
            </w:r>
            <w:r>
              <w:rPr>
                <w:rFonts w:hint="eastAsia" w:ascii="宋体" w:hAnsi="宋体" w:cs="宋体"/>
                <w:szCs w:val="21"/>
                <w:highlight w:val="none"/>
              </w:rPr>
              <w:t>进行初步评审。未通过初步评审或评标委员会认定为无效的</w:t>
            </w:r>
            <w:r>
              <w:rPr>
                <w:rFonts w:hint="eastAsia" w:ascii="宋体" w:hAnsi="宋体" w:cs="宋体"/>
                <w:szCs w:val="21"/>
                <w:highlight w:val="none"/>
                <w:lang w:eastAsia="zh-CN"/>
              </w:rPr>
              <w:t>比选申请文件</w:t>
            </w:r>
            <w:r>
              <w:rPr>
                <w:rFonts w:hint="eastAsia" w:ascii="宋体" w:hAnsi="宋体" w:cs="宋体"/>
                <w:szCs w:val="21"/>
                <w:highlight w:val="none"/>
              </w:rPr>
              <w:t>的不再进行后续评审</w:t>
            </w:r>
            <w:r>
              <w:rPr>
                <w:rFonts w:hint="eastAsia" w:ascii="宋体" w:hAnsi="宋体"/>
                <w:szCs w:val="21"/>
                <w:highlight w:val="none"/>
              </w:rPr>
              <w:t>。</w:t>
            </w:r>
          </w:p>
          <w:p w14:paraId="17D368E4">
            <w:pPr>
              <w:spacing w:line="400" w:lineRule="exact"/>
              <w:ind w:firstLine="420" w:firstLineChars="200"/>
              <w:rPr>
                <w:rFonts w:hint="eastAsia" w:ascii="宋体" w:hAnsi="宋体"/>
                <w:szCs w:val="21"/>
                <w:highlight w:val="none"/>
              </w:rPr>
            </w:pPr>
            <w:r>
              <w:rPr>
                <w:rFonts w:hint="eastAsia" w:ascii="宋体" w:hAnsi="宋体" w:cs="宋体"/>
                <w:szCs w:val="21"/>
                <w:highlight w:val="none"/>
                <w:lang w:val="en-US" w:eastAsia="zh-CN"/>
              </w:rPr>
              <w:t>2.技术评审。</w:t>
            </w:r>
            <w:r>
              <w:rPr>
                <w:rFonts w:hint="eastAsia" w:ascii="宋体" w:hAnsi="宋体" w:cs="宋体"/>
                <w:szCs w:val="21"/>
                <w:highlight w:val="none"/>
              </w:rPr>
              <w:t>按</w:t>
            </w:r>
            <w:r>
              <w:rPr>
                <w:rFonts w:hint="eastAsia" w:ascii="宋体" w:hAnsi="宋体" w:cs="宋体"/>
                <w:szCs w:val="21"/>
                <w:highlight w:val="none"/>
                <w:lang w:val="en-US" w:eastAsia="zh-CN"/>
              </w:rPr>
              <w:t>照</w:t>
            </w:r>
            <w:r>
              <w:rPr>
                <w:rFonts w:hint="eastAsia" w:ascii="宋体" w:hAnsi="宋体"/>
                <w:szCs w:val="21"/>
                <w:highlight w:val="none"/>
              </w:rPr>
              <w:t>第2.2.2（1）目及第3.2.1（1）目的规定</w:t>
            </w:r>
            <w:r>
              <w:rPr>
                <w:rFonts w:hint="eastAsia" w:ascii="宋体" w:hAnsi="宋体"/>
                <w:szCs w:val="21"/>
                <w:highlight w:val="none"/>
                <w:lang w:eastAsia="zh-CN"/>
              </w:rPr>
              <w:t>，</w:t>
            </w:r>
            <w:r>
              <w:rPr>
                <w:rFonts w:hint="eastAsia" w:ascii="宋体" w:hAnsi="宋体" w:cs="宋体"/>
                <w:szCs w:val="21"/>
                <w:highlight w:val="none"/>
                <w:lang w:val="en-US" w:eastAsia="zh-CN"/>
              </w:rPr>
              <w:t>进行</w:t>
            </w:r>
            <w:r>
              <w:rPr>
                <w:rFonts w:hint="eastAsia" w:ascii="宋体" w:hAnsi="宋体" w:cs="宋体"/>
                <w:szCs w:val="21"/>
                <w:highlight w:val="none"/>
              </w:rPr>
              <w:t>技术评审</w:t>
            </w:r>
            <w:r>
              <w:rPr>
                <w:rFonts w:hint="eastAsia" w:ascii="宋体" w:hAnsi="宋体" w:cs="宋体"/>
                <w:szCs w:val="21"/>
                <w:highlight w:val="none"/>
                <w:lang w:eastAsia="zh-CN"/>
              </w:rPr>
              <w:t>，</w:t>
            </w:r>
            <w:r>
              <w:rPr>
                <w:rFonts w:hint="eastAsia" w:ascii="宋体" w:hAnsi="宋体" w:cs="宋体"/>
                <w:szCs w:val="21"/>
                <w:highlight w:val="none"/>
                <w:lang w:val="en-US" w:eastAsia="zh-CN"/>
              </w:rPr>
              <w:t>计算出技术得分A</w:t>
            </w:r>
            <w:r>
              <w:rPr>
                <w:rFonts w:hint="eastAsia" w:ascii="宋体" w:hAnsi="宋体"/>
                <w:szCs w:val="21"/>
                <w:highlight w:val="none"/>
              </w:rPr>
              <w:t>。</w:t>
            </w:r>
          </w:p>
          <w:p w14:paraId="3159D18A">
            <w:pPr>
              <w:spacing w:line="400" w:lineRule="exact"/>
              <w:ind w:firstLine="420" w:firstLineChars="200"/>
              <w:rPr>
                <w:rFonts w:ascii="宋体" w:hAnsi="宋体"/>
                <w:szCs w:val="21"/>
                <w:highlight w:val="none"/>
              </w:rPr>
            </w:pPr>
            <w:r>
              <w:rPr>
                <w:rFonts w:hint="eastAsia" w:ascii="宋体" w:hAnsi="宋体" w:cs="宋体"/>
                <w:szCs w:val="21"/>
                <w:highlight w:val="none"/>
                <w:lang w:val="en-US" w:eastAsia="zh-CN"/>
              </w:rPr>
              <w:t>3.投标函部分评审。</w:t>
            </w:r>
            <w:r>
              <w:rPr>
                <w:rFonts w:hint="eastAsia" w:ascii="宋体" w:hAnsi="宋体" w:cs="宋体"/>
                <w:szCs w:val="21"/>
                <w:highlight w:val="none"/>
              </w:rPr>
              <w:t>按</w:t>
            </w:r>
            <w:r>
              <w:rPr>
                <w:rFonts w:hint="eastAsia" w:ascii="宋体" w:hAnsi="宋体" w:cs="宋体"/>
                <w:szCs w:val="21"/>
                <w:highlight w:val="none"/>
                <w:lang w:val="en-US" w:eastAsia="zh-CN"/>
              </w:rPr>
              <w:t>照</w:t>
            </w:r>
            <w:r>
              <w:rPr>
                <w:rFonts w:hint="eastAsia" w:ascii="宋体" w:hAnsi="宋体" w:cs="宋体"/>
                <w:szCs w:val="21"/>
                <w:highlight w:val="none"/>
              </w:rPr>
              <w:t>第2.2.2（</w:t>
            </w:r>
            <w:r>
              <w:rPr>
                <w:rFonts w:hint="eastAsia" w:ascii="宋体" w:hAnsi="宋体" w:cs="宋体"/>
                <w:szCs w:val="21"/>
                <w:highlight w:val="none"/>
                <w:lang w:val="en-US" w:eastAsia="zh-CN"/>
              </w:rPr>
              <w:t>2</w:t>
            </w:r>
            <w:r>
              <w:rPr>
                <w:rFonts w:hint="eastAsia" w:ascii="宋体" w:hAnsi="宋体" w:cs="宋体"/>
                <w:szCs w:val="21"/>
                <w:highlight w:val="none"/>
              </w:rPr>
              <w:t>）目的规定</w:t>
            </w:r>
            <w:r>
              <w:rPr>
                <w:rFonts w:hint="eastAsia" w:ascii="宋体" w:hAnsi="宋体" w:cs="宋体"/>
                <w:szCs w:val="21"/>
                <w:highlight w:val="none"/>
                <w:lang w:eastAsia="zh-CN"/>
              </w:rPr>
              <w:t>，</w:t>
            </w:r>
            <w:r>
              <w:rPr>
                <w:rFonts w:hint="eastAsia" w:ascii="宋体" w:hAnsi="宋体" w:cs="宋体"/>
                <w:szCs w:val="21"/>
                <w:highlight w:val="none"/>
                <w:lang w:val="en-US" w:eastAsia="zh-CN"/>
              </w:rPr>
              <w:t>进行投标函部分</w:t>
            </w:r>
            <w:r>
              <w:rPr>
                <w:rFonts w:hint="eastAsia" w:ascii="宋体" w:hAnsi="宋体" w:cs="宋体"/>
                <w:szCs w:val="21"/>
                <w:highlight w:val="none"/>
              </w:rPr>
              <w:t>评审，</w:t>
            </w:r>
            <w:r>
              <w:rPr>
                <w:rFonts w:hint="eastAsia" w:ascii="宋体" w:hAnsi="宋体" w:cs="宋体"/>
                <w:szCs w:val="21"/>
                <w:highlight w:val="none"/>
                <w:lang w:eastAsia="zh-CN"/>
              </w:rPr>
              <w:t>未通过</w:t>
            </w:r>
            <w:r>
              <w:rPr>
                <w:rFonts w:hint="eastAsia" w:ascii="宋体" w:hAnsi="宋体" w:cs="宋体"/>
                <w:szCs w:val="21"/>
                <w:highlight w:val="none"/>
                <w:lang w:val="en-US" w:eastAsia="zh-CN"/>
              </w:rPr>
              <w:t>投标函部分</w:t>
            </w:r>
            <w:r>
              <w:rPr>
                <w:rFonts w:hint="eastAsia" w:ascii="宋体" w:hAnsi="宋体" w:cs="宋体"/>
                <w:szCs w:val="21"/>
                <w:highlight w:val="none"/>
              </w:rPr>
              <w:t>评审的</w:t>
            </w:r>
            <w:r>
              <w:rPr>
                <w:rFonts w:hint="eastAsia" w:ascii="宋体" w:hAnsi="宋体" w:cs="宋体"/>
                <w:szCs w:val="21"/>
                <w:highlight w:val="none"/>
                <w:lang w:eastAsia="zh-CN"/>
              </w:rPr>
              <w:t>比选申请文件</w:t>
            </w:r>
            <w:r>
              <w:rPr>
                <w:rFonts w:hint="eastAsia" w:ascii="宋体" w:hAnsi="宋体" w:cs="宋体"/>
                <w:szCs w:val="21"/>
                <w:highlight w:val="none"/>
              </w:rPr>
              <w:t>不再</w:t>
            </w:r>
            <w:r>
              <w:rPr>
                <w:rFonts w:hint="eastAsia" w:ascii="宋体" w:hAnsi="宋体" w:cs="宋体"/>
                <w:szCs w:val="21"/>
                <w:highlight w:val="none"/>
                <w:lang w:val="en-US" w:eastAsia="zh-CN"/>
              </w:rPr>
              <w:t>进行</w:t>
            </w:r>
            <w:r>
              <w:rPr>
                <w:rFonts w:hint="eastAsia" w:ascii="宋体" w:hAnsi="宋体" w:cs="宋体"/>
                <w:szCs w:val="21"/>
                <w:highlight w:val="none"/>
              </w:rPr>
              <w:t>后续评审</w:t>
            </w:r>
            <w:r>
              <w:rPr>
                <w:rFonts w:hint="eastAsia" w:ascii="宋体" w:hAnsi="宋体"/>
                <w:szCs w:val="21"/>
                <w:highlight w:val="none"/>
                <w:lang w:eastAsia="zh-CN"/>
              </w:rPr>
              <w:t>。</w:t>
            </w:r>
          </w:p>
          <w:p w14:paraId="1463EAC1">
            <w:pPr>
              <w:spacing w:line="400" w:lineRule="exact"/>
              <w:ind w:firstLine="420" w:firstLineChars="200"/>
              <w:rPr>
                <w:rFonts w:ascii="宋体" w:hAnsi="宋体"/>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w:t>
            </w:r>
            <w:r>
              <w:rPr>
                <w:rFonts w:hint="eastAsia" w:ascii="宋体" w:hAnsi="宋体" w:cs="宋体"/>
                <w:szCs w:val="21"/>
                <w:highlight w:val="none"/>
                <w:lang w:eastAsia="zh-CN"/>
              </w:rPr>
              <w:t>报价评审。</w:t>
            </w:r>
            <w:r>
              <w:rPr>
                <w:rFonts w:hint="eastAsia" w:ascii="宋体" w:hAnsi="宋体" w:cs="宋体"/>
                <w:szCs w:val="21"/>
                <w:highlight w:val="none"/>
              </w:rPr>
              <w:t>按照</w:t>
            </w:r>
            <w:r>
              <w:rPr>
                <w:rFonts w:hint="eastAsia" w:ascii="宋体" w:hAnsi="宋体"/>
                <w:szCs w:val="21"/>
                <w:highlight w:val="none"/>
              </w:rPr>
              <w:t>第2.2.3项</w:t>
            </w:r>
            <w:r>
              <w:rPr>
                <w:rFonts w:hint="eastAsia" w:ascii="宋体" w:hAnsi="宋体" w:cs="宋体"/>
                <w:szCs w:val="21"/>
                <w:highlight w:val="none"/>
                <w:lang w:val="en-US" w:eastAsia="zh-CN"/>
              </w:rPr>
              <w:t>的规定，</w:t>
            </w:r>
            <w:r>
              <w:rPr>
                <w:rFonts w:hint="eastAsia" w:ascii="宋体" w:hAnsi="宋体" w:cs="宋体"/>
                <w:szCs w:val="21"/>
                <w:highlight w:val="none"/>
              </w:rPr>
              <w:t>计算评标基准价</w:t>
            </w:r>
            <w:r>
              <w:rPr>
                <w:rFonts w:hint="eastAsia" w:ascii="宋体" w:hAnsi="宋体"/>
                <w:szCs w:val="21"/>
                <w:highlight w:val="none"/>
                <w:lang w:eastAsia="zh-CN"/>
              </w:rPr>
              <w:t>；</w:t>
            </w:r>
            <w:r>
              <w:rPr>
                <w:rFonts w:hint="eastAsia" w:ascii="宋体" w:hAnsi="宋体" w:cs="宋体"/>
                <w:szCs w:val="21"/>
                <w:highlight w:val="none"/>
              </w:rPr>
              <w:t>并按</w:t>
            </w:r>
            <w:r>
              <w:rPr>
                <w:rFonts w:hint="eastAsia" w:ascii="宋体" w:hAnsi="宋体" w:cs="宋体"/>
                <w:szCs w:val="21"/>
                <w:highlight w:val="none"/>
                <w:lang w:val="en-US" w:eastAsia="zh-CN"/>
              </w:rPr>
              <w:t>照</w:t>
            </w:r>
            <w:r>
              <w:rPr>
                <w:rFonts w:hint="eastAsia" w:ascii="宋体" w:hAnsi="宋体" w:cs="宋体"/>
                <w:szCs w:val="21"/>
                <w:highlight w:val="none"/>
              </w:rPr>
              <w:t>第</w:t>
            </w:r>
            <w:r>
              <w:rPr>
                <w:rFonts w:hint="eastAsia" w:ascii="宋体" w:hAnsi="宋体"/>
                <w:szCs w:val="21"/>
                <w:highlight w:val="none"/>
              </w:rPr>
              <w:t>3.2.1（</w:t>
            </w:r>
            <w:r>
              <w:rPr>
                <w:rFonts w:hint="eastAsia" w:ascii="宋体" w:hAnsi="宋体"/>
                <w:szCs w:val="21"/>
                <w:highlight w:val="none"/>
                <w:lang w:val="en-US" w:eastAsia="zh-CN"/>
              </w:rPr>
              <w:t>3</w:t>
            </w:r>
            <w:r>
              <w:rPr>
                <w:rFonts w:hint="eastAsia" w:ascii="宋体" w:hAnsi="宋体"/>
                <w:szCs w:val="21"/>
                <w:highlight w:val="none"/>
              </w:rPr>
              <w:t>）目</w:t>
            </w:r>
            <w:r>
              <w:rPr>
                <w:rFonts w:hint="eastAsia" w:ascii="宋体" w:hAnsi="宋体"/>
                <w:szCs w:val="21"/>
                <w:highlight w:val="none"/>
                <w:lang w:val="en-US" w:eastAsia="zh-CN"/>
              </w:rPr>
              <w:t>的</w:t>
            </w:r>
            <w:r>
              <w:rPr>
                <w:rFonts w:hint="eastAsia" w:ascii="宋体" w:hAnsi="宋体"/>
                <w:szCs w:val="21"/>
                <w:highlight w:val="none"/>
              </w:rPr>
              <w:t>规定</w:t>
            </w:r>
            <w:r>
              <w:rPr>
                <w:rFonts w:hint="eastAsia" w:ascii="宋体" w:hAnsi="宋体"/>
                <w:szCs w:val="21"/>
                <w:highlight w:val="none"/>
                <w:lang w:eastAsia="zh-CN"/>
              </w:rPr>
              <w:t>，</w:t>
            </w:r>
            <w:r>
              <w:rPr>
                <w:rFonts w:hint="eastAsia" w:ascii="宋体" w:hAnsi="宋体" w:cs="宋体"/>
                <w:szCs w:val="21"/>
                <w:highlight w:val="none"/>
              </w:rPr>
              <w:t>进行</w:t>
            </w:r>
            <w:r>
              <w:rPr>
                <w:rFonts w:hint="eastAsia" w:ascii="宋体" w:hAnsi="宋体" w:cs="宋体"/>
                <w:szCs w:val="21"/>
                <w:highlight w:val="none"/>
                <w:lang w:val="en-US" w:eastAsia="zh-CN"/>
              </w:rPr>
              <w:t>报价评审，计算出报价得分C</w:t>
            </w:r>
            <w:r>
              <w:rPr>
                <w:rFonts w:hint="eastAsia" w:ascii="宋体" w:hAnsi="宋体"/>
                <w:szCs w:val="21"/>
                <w:highlight w:val="none"/>
              </w:rPr>
              <w:t>。</w:t>
            </w:r>
          </w:p>
          <w:p w14:paraId="52B6296F">
            <w:pPr>
              <w:spacing w:after="31" w:afterLines="10" w:line="400" w:lineRule="exact"/>
              <w:ind w:firstLine="420" w:firstLineChars="200"/>
              <w:jc w:val="left"/>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cs="宋体"/>
                <w:szCs w:val="21"/>
                <w:highlight w:val="none"/>
                <w:lang w:eastAsia="zh-CN"/>
              </w:rPr>
              <w:t>汇总得分。</w:t>
            </w:r>
            <w:r>
              <w:rPr>
                <w:rFonts w:hint="eastAsia" w:ascii="宋体" w:hAnsi="宋体" w:cs="宋体"/>
                <w:szCs w:val="21"/>
                <w:highlight w:val="none"/>
              </w:rPr>
              <w:t>对技术</w:t>
            </w:r>
            <w:r>
              <w:rPr>
                <w:rFonts w:hint="eastAsia" w:ascii="宋体" w:hAnsi="宋体" w:cs="宋体"/>
                <w:szCs w:val="21"/>
                <w:highlight w:val="none"/>
                <w:lang w:val="en-US" w:eastAsia="zh-CN"/>
              </w:rPr>
              <w:t>得分A</w:t>
            </w:r>
            <w:r>
              <w:rPr>
                <w:rFonts w:hint="eastAsia" w:ascii="宋体" w:hAnsi="宋体" w:cs="宋体"/>
                <w:szCs w:val="21"/>
                <w:highlight w:val="none"/>
                <w:lang w:eastAsia="zh-CN"/>
              </w:rPr>
              <w:t>、</w:t>
            </w:r>
            <w:r>
              <w:rPr>
                <w:rFonts w:hint="eastAsia" w:ascii="宋体" w:hAnsi="宋体" w:cs="宋体"/>
                <w:szCs w:val="21"/>
                <w:highlight w:val="none"/>
              </w:rPr>
              <w:t>报价得分</w:t>
            </w:r>
            <w:r>
              <w:rPr>
                <w:rFonts w:hint="eastAsia" w:ascii="宋体" w:hAnsi="宋体" w:cs="宋体"/>
                <w:szCs w:val="21"/>
                <w:highlight w:val="none"/>
                <w:lang w:val="en-US" w:eastAsia="zh-CN"/>
              </w:rPr>
              <w:t>B</w:t>
            </w:r>
            <w:r>
              <w:rPr>
                <w:rFonts w:hint="eastAsia" w:ascii="宋体" w:hAnsi="宋体" w:cs="宋体"/>
                <w:szCs w:val="21"/>
                <w:highlight w:val="none"/>
              </w:rPr>
              <w:t>进行汇总</w:t>
            </w:r>
            <w:r>
              <w:rPr>
                <w:rFonts w:hint="eastAsia" w:ascii="宋体" w:hAnsi="宋体"/>
                <w:szCs w:val="21"/>
                <w:highlight w:val="none"/>
              </w:rPr>
              <w:t>，确定得分由高至低前三名</w:t>
            </w:r>
            <w:r>
              <w:rPr>
                <w:rFonts w:hint="eastAsia" w:ascii="宋体" w:hAnsi="宋体"/>
                <w:szCs w:val="21"/>
                <w:highlight w:val="none"/>
                <w:lang w:eastAsia="zh-CN"/>
              </w:rPr>
              <w:t>比选申请人</w:t>
            </w:r>
            <w:r>
              <w:rPr>
                <w:rFonts w:hint="eastAsia" w:ascii="宋体" w:hAnsi="宋体"/>
                <w:szCs w:val="21"/>
                <w:highlight w:val="none"/>
              </w:rPr>
              <w:t>为中标候选人。</w:t>
            </w:r>
          </w:p>
          <w:p w14:paraId="51223AA9">
            <w:pPr>
              <w:spacing w:after="31" w:afterLines="10" w:line="400" w:lineRule="exact"/>
              <w:ind w:firstLine="420" w:firstLineChars="200"/>
              <w:jc w:val="left"/>
              <w:rPr>
                <w:rFonts w:hint="eastAsia" w:asciiTheme="minorEastAsia" w:hAnsiTheme="minorEastAsia" w:eastAsiaTheme="minorEastAsia" w:cstheme="minorEastAsia"/>
                <w:i w:val="0"/>
                <w:iCs w:val="0"/>
                <w:color w:val="auto"/>
                <w:kern w:val="0"/>
                <w:szCs w:val="21"/>
                <w:highlight w:val="none"/>
                <w:lang w:val="en-US" w:eastAsia="zh-CN"/>
              </w:rPr>
            </w:pPr>
            <w:r>
              <w:rPr>
                <w:rFonts w:hint="eastAsia" w:ascii="宋体" w:hAnsi="宋体"/>
                <w:szCs w:val="21"/>
                <w:highlight w:val="none"/>
                <w:lang w:val="en-US" w:eastAsia="zh-CN"/>
              </w:rPr>
              <w:t>注：1</w:t>
            </w:r>
            <w:r>
              <w:rPr>
                <w:rFonts w:hint="eastAsia" w:ascii="宋体" w:hAnsi="宋体"/>
                <w:szCs w:val="21"/>
                <w:highlight w:val="none"/>
              </w:rPr>
              <w:t>.因评标委员会作否决投标处理导致有效</w:t>
            </w:r>
            <w:r>
              <w:rPr>
                <w:rFonts w:hint="eastAsia" w:ascii="宋体" w:hAnsi="宋体"/>
                <w:szCs w:val="21"/>
                <w:highlight w:val="none"/>
                <w:lang w:eastAsia="zh-CN"/>
              </w:rPr>
              <w:t>比选申请人</w:t>
            </w:r>
            <w:r>
              <w:rPr>
                <w:rFonts w:hint="eastAsia" w:ascii="宋体" w:hAnsi="宋体"/>
                <w:szCs w:val="21"/>
                <w:highlight w:val="none"/>
              </w:rPr>
              <w:t>不足三个的，评标委员会应当</w:t>
            </w:r>
            <w:r>
              <w:rPr>
                <w:rFonts w:hint="eastAsia" w:ascii="宋体" w:hAnsi="宋体"/>
                <w:color w:val="auto"/>
                <w:spacing w:val="4"/>
                <w:kern w:val="0"/>
                <w:szCs w:val="21"/>
                <w:highlight w:val="none"/>
                <w:lang w:eastAsia="zh-CN"/>
              </w:rPr>
              <w:t>对有效比选申请人是否仍具有竞争性进行论证</w:t>
            </w:r>
            <w:r>
              <w:rPr>
                <w:rFonts w:hint="eastAsia" w:ascii="宋体" w:hAnsi="宋体"/>
                <w:color w:val="auto"/>
                <w:spacing w:val="4"/>
                <w:kern w:val="0"/>
                <w:szCs w:val="21"/>
                <w:highlight w:val="none"/>
              </w:rPr>
              <w:t>。评标委员会</w:t>
            </w:r>
            <w:r>
              <w:rPr>
                <w:rFonts w:hint="eastAsia" w:ascii="宋体" w:hAnsi="宋体"/>
                <w:color w:val="auto"/>
                <w:spacing w:val="4"/>
                <w:kern w:val="0"/>
                <w:szCs w:val="21"/>
                <w:highlight w:val="none"/>
                <w:lang w:eastAsia="zh-CN"/>
              </w:rPr>
              <w:t>认为</w:t>
            </w:r>
            <w:r>
              <w:rPr>
                <w:rFonts w:hint="eastAsia" w:ascii="宋体" w:hAnsi="宋体"/>
                <w:szCs w:val="21"/>
                <w:highlight w:val="none"/>
              </w:rPr>
              <w:t>有效</w:t>
            </w:r>
            <w:r>
              <w:rPr>
                <w:rFonts w:hint="eastAsia" w:ascii="宋体" w:hAnsi="宋体"/>
                <w:szCs w:val="21"/>
                <w:highlight w:val="none"/>
                <w:lang w:eastAsia="zh-CN"/>
              </w:rPr>
              <w:t>比选申请人</w:t>
            </w:r>
            <w:r>
              <w:rPr>
                <w:rFonts w:hint="eastAsia" w:ascii="宋体" w:hAnsi="宋体"/>
                <w:szCs w:val="21"/>
                <w:highlight w:val="none"/>
              </w:rPr>
              <w:t>的经济、技术等指标仍然具有市场竞争力，能够满足</w:t>
            </w:r>
            <w:r>
              <w:rPr>
                <w:rFonts w:hint="eastAsia" w:ascii="宋体" w:hAnsi="宋体"/>
                <w:szCs w:val="21"/>
                <w:highlight w:val="none"/>
                <w:lang w:eastAsia="zh-CN"/>
              </w:rPr>
              <w:t>竞争性比选文件</w:t>
            </w:r>
            <w:r>
              <w:rPr>
                <w:rFonts w:hint="eastAsia" w:ascii="宋体" w:hAnsi="宋体"/>
                <w:szCs w:val="21"/>
                <w:highlight w:val="none"/>
              </w:rPr>
              <w:t>要求的，评标委员会可以继续评标并确定中标候选人。</w:t>
            </w:r>
            <w:r>
              <w:rPr>
                <w:rFonts w:hint="eastAsia" w:asciiTheme="minorEastAsia" w:hAnsiTheme="minorEastAsia" w:eastAsiaTheme="minorEastAsia" w:cstheme="minorEastAsia"/>
                <w:i w:val="0"/>
                <w:iCs w:val="0"/>
                <w:color w:val="auto"/>
                <w:kern w:val="0"/>
                <w:szCs w:val="21"/>
                <w:highlight w:val="none"/>
                <w:lang w:val="en-US" w:eastAsia="zh-CN"/>
              </w:rPr>
              <w:t>（</w:t>
            </w:r>
            <w:r>
              <w:rPr>
                <w:rFonts w:hint="eastAsia" w:ascii="宋体" w:hAnsi="宋体" w:eastAsia="宋体" w:cs="宋体"/>
                <w:i w:val="0"/>
                <w:iCs w:val="0"/>
                <w:color w:val="auto"/>
                <w:kern w:val="0"/>
                <w:szCs w:val="21"/>
                <w:highlight w:val="none"/>
                <w:lang w:val="en-US" w:eastAsia="zh-CN"/>
              </w:rPr>
              <w:t>注：本款只适用于首次招标。</w:t>
            </w:r>
            <w:r>
              <w:rPr>
                <w:rFonts w:hint="eastAsia" w:ascii="宋体" w:hAnsi="宋体" w:cs="宋体"/>
                <w:i w:val="0"/>
                <w:iCs w:val="0"/>
                <w:color w:val="auto"/>
                <w:kern w:val="0"/>
                <w:szCs w:val="21"/>
                <w:highlight w:val="none"/>
                <w:lang w:val="en-US" w:eastAsia="zh-CN"/>
              </w:rPr>
              <w:t>重新招标经评审有有效比选申请人的，应当依法确定中标候选人。</w:t>
            </w:r>
            <w:r>
              <w:rPr>
                <w:rFonts w:hint="eastAsia" w:asciiTheme="minorEastAsia" w:hAnsiTheme="minorEastAsia" w:eastAsiaTheme="minorEastAsia" w:cstheme="minorEastAsia"/>
                <w:i w:val="0"/>
                <w:iCs w:val="0"/>
                <w:color w:val="auto"/>
                <w:kern w:val="0"/>
                <w:szCs w:val="21"/>
                <w:highlight w:val="none"/>
                <w:lang w:val="en-US" w:eastAsia="zh-CN"/>
              </w:rPr>
              <w:t>）</w:t>
            </w:r>
          </w:p>
          <w:p w14:paraId="5DF45008">
            <w:pPr>
              <w:spacing w:after="31" w:afterLines="10" w:line="400" w:lineRule="exact"/>
              <w:ind w:firstLine="420" w:firstLineChars="200"/>
              <w:jc w:val="left"/>
              <w:rPr>
                <w:rFonts w:ascii="宋体" w:hAnsi="宋体"/>
                <w:szCs w:val="21"/>
                <w:highlight w:val="none"/>
              </w:rPr>
            </w:pPr>
            <w:r>
              <w:rPr>
                <w:rFonts w:hint="eastAsia" w:ascii="宋体" w:hAnsi="宋体"/>
                <w:kern w:val="0"/>
                <w:szCs w:val="21"/>
                <w:highlight w:val="none"/>
                <w:lang w:val="en-US" w:eastAsia="zh-CN"/>
              </w:rPr>
              <w:t>2.综合评分</w:t>
            </w:r>
            <w:r>
              <w:rPr>
                <w:rFonts w:hint="eastAsia" w:ascii="宋体" w:hAnsi="宋体"/>
                <w:kern w:val="0"/>
                <w:szCs w:val="21"/>
                <w:highlight w:val="none"/>
              </w:rPr>
              <w:t>相</w:t>
            </w:r>
            <w:r>
              <w:rPr>
                <w:rFonts w:hint="eastAsia" w:ascii="宋体" w:hAnsi="宋体"/>
                <w:kern w:val="0"/>
                <w:szCs w:val="21"/>
                <w:highlight w:val="none"/>
                <w:lang w:eastAsia="zh-CN"/>
              </w:rPr>
              <w:t>等</w:t>
            </w:r>
            <w:r>
              <w:rPr>
                <w:rFonts w:hint="eastAsia" w:ascii="宋体" w:hAnsi="宋体"/>
                <w:kern w:val="0"/>
                <w:szCs w:val="21"/>
                <w:highlight w:val="none"/>
              </w:rPr>
              <w:t>的，以投标报价低的优先；投标报价相</w:t>
            </w:r>
            <w:r>
              <w:rPr>
                <w:rFonts w:hint="eastAsia" w:ascii="宋体" w:hAnsi="宋体"/>
                <w:kern w:val="0"/>
                <w:szCs w:val="21"/>
                <w:highlight w:val="none"/>
                <w:lang w:eastAsia="zh-CN"/>
              </w:rPr>
              <w:t>等</w:t>
            </w:r>
            <w:r>
              <w:rPr>
                <w:rFonts w:hint="eastAsia" w:ascii="宋体" w:hAnsi="宋体"/>
                <w:kern w:val="0"/>
                <w:szCs w:val="21"/>
                <w:highlight w:val="none"/>
              </w:rPr>
              <w:t>的，</w:t>
            </w:r>
            <w:r>
              <w:rPr>
                <w:rFonts w:hint="eastAsia" w:ascii="宋体" w:hAnsi="宋体"/>
                <w:kern w:val="0"/>
                <w:szCs w:val="21"/>
                <w:highlight w:val="none"/>
                <w:lang w:eastAsia="zh-CN"/>
              </w:rPr>
              <w:t>以</w:t>
            </w:r>
            <w:r>
              <w:rPr>
                <w:rFonts w:hint="eastAsia" w:ascii="宋体" w:hAnsi="宋体"/>
                <w:kern w:val="0"/>
                <w:szCs w:val="21"/>
                <w:highlight w:val="none"/>
                <w:u w:val="single"/>
                <w:lang w:val="en-US" w:eastAsia="zh-CN"/>
              </w:rPr>
              <w:t xml:space="preserve"> </w:t>
            </w:r>
            <w:r>
              <w:rPr>
                <w:rFonts w:hint="eastAsia" w:asciiTheme="minorEastAsia" w:hAnsiTheme="minorEastAsia" w:eastAsiaTheme="minorEastAsia" w:cstheme="minorEastAsia"/>
                <w:color w:val="auto"/>
                <w:kern w:val="0"/>
                <w:highlight w:val="none"/>
                <w:u w:val="single"/>
                <w:lang w:val="en-US" w:eastAsia="zh-CN"/>
              </w:rPr>
              <w:t>资格审查资料中提供的财务审计报告及财务报表所显示的2025年度营业收入较高的</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none"/>
                <w:lang w:val="en-US" w:eastAsia="zh-CN"/>
              </w:rPr>
              <w:t>优先；</w:t>
            </w:r>
            <w:r>
              <w:rPr>
                <w:rFonts w:hint="eastAsia" w:ascii="宋体" w:hAnsi="宋体"/>
                <w:kern w:val="0"/>
                <w:szCs w:val="21"/>
                <w:highlight w:val="none"/>
                <w:u w:val="single"/>
                <w:lang w:val="en-US" w:eastAsia="zh-CN"/>
              </w:rPr>
              <w:t xml:space="preserve"> 财务报告金额 </w:t>
            </w:r>
            <w:r>
              <w:rPr>
                <w:rFonts w:hint="eastAsia" w:ascii="宋体" w:hAnsi="宋体"/>
                <w:kern w:val="0"/>
                <w:szCs w:val="21"/>
                <w:highlight w:val="none"/>
                <w:u w:val="none"/>
                <w:lang w:val="en-US" w:eastAsia="zh-CN"/>
              </w:rPr>
              <w:t>也相同的，</w:t>
            </w:r>
            <w:r>
              <w:rPr>
                <w:rFonts w:hint="eastAsia" w:ascii="宋体" w:hAnsi="宋体"/>
                <w:kern w:val="0"/>
                <w:szCs w:val="21"/>
                <w:highlight w:val="none"/>
              </w:rPr>
              <w:t>由评标委员</w:t>
            </w:r>
            <w:r>
              <w:rPr>
                <w:rFonts w:hint="eastAsia" w:ascii="宋体" w:hAnsi="宋体"/>
                <w:kern w:val="0"/>
                <w:szCs w:val="21"/>
                <w:highlight w:val="none"/>
                <w:lang w:val="en-US" w:eastAsia="zh-CN"/>
              </w:rPr>
              <w:t>会</w:t>
            </w:r>
            <w:r>
              <w:rPr>
                <w:rFonts w:hint="eastAsia" w:ascii="宋体" w:hAnsi="宋体"/>
                <w:kern w:val="0"/>
                <w:szCs w:val="21"/>
                <w:highlight w:val="none"/>
                <w:lang w:eastAsia="zh-CN"/>
              </w:rPr>
              <w:t>投票</w:t>
            </w:r>
            <w:r>
              <w:rPr>
                <w:rFonts w:hint="eastAsia" w:ascii="宋体" w:hAnsi="宋体"/>
                <w:kern w:val="0"/>
                <w:szCs w:val="21"/>
                <w:highlight w:val="none"/>
              </w:rPr>
              <w:t>排序。</w:t>
            </w:r>
          </w:p>
        </w:tc>
      </w:tr>
      <w:tr w14:paraId="0A4D23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5" w:type="dxa"/>
            <w:vMerge w:val="restart"/>
            <w:vAlign w:val="center"/>
          </w:tcPr>
          <w:p w14:paraId="2B2F6ECE">
            <w:pPr>
              <w:spacing w:line="400" w:lineRule="exact"/>
              <w:jc w:val="center"/>
              <w:rPr>
                <w:rFonts w:ascii="宋体" w:hAnsi="宋体"/>
                <w:highlight w:val="none"/>
              </w:rPr>
            </w:pPr>
            <w:r>
              <w:rPr>
                <w:rFonts w:hint="eastAsia" w:ascii="宋体" w:hAnsi="宋体"/>
                <w:highlight w:val="none"/>
                <w:lang w:eastAsia="zh-CN"/>
              </w:rPr>
              <w:t>☑</w:t>
            </w:r>
            <w:r>
              <w:rPr>
                <w:rFonts w:ascii="宋体" w:hAnsi="宋体"/>
                <w:highlight w:val="none"/>
              </w:rPr>
              <w:t>3.2.1（</w:t>
            </w:r>
            <w:r>
              <w:rPr>
                <w:rFonts w:hint="eastAsia" w:ascii="宋体" w:hAnsi="宋体"/>
                <w:highlight w:val="none"/>
              </w:rPr>
              <w:t>1</w:t>
            </w:r>
            <w:r>
              <w:rPr>
                <w:rFonts w:ascii="宋体" w:hAnsi="宋体"/>
                <w:highlight w:val="none"/>
              </w:rPr>
              <w:t>）</w:t>
            </w:r>
          </w:p>
        </w:tc>
        <w:tc>
          <w:tcPr>
            <w:tcW w:w="1628" w:type="dxa"/>
            <w:vMerge w:val="restart"/>
            <w:vAlign w:val="center"/>
          </w:tcPr>
          <w:p w14:paraId="72D3B8C4">
            <w:pPr>
              <w:spacing w:line="400" w:lineRule="exact"/>
              <w:jc w:val="center"/>
              <w:rPr>
                <w:rFonts w:ascii="宋体" w:hAnsi="宋体"/>
                <w:highlight w:val="none"/>
              </w:rPr>
            </w:pPr>
            <w:r>
              <w:rPr>
                <w:rFonts w:hint="eastAsia" w:ascii="宋体" w:hAnsi="宋体"/>
                <w:highlight w:val="none"/>
              </w:rPr>
              <w:t>技术</w:t>
            </w:r>
            <w:r>
              <w:rPr>
                <w:rFonts w:hint="eastAsia" w:ascii="宋体" w:hAnsi="宋体"/>
                <w:highlight w:val="none"/>
                <w:lang w:val="en-US" w:eastAsia="zh-CN"/>
              </w:rPr>
              <w:t>评审得分</w:t>
            </w:r>
            <w:r>
              <w:rPr>
                <w:rFonts w:ascii="宋体" w:hAnsi="宋体"/>
                <w:spacing w:val="-4"/>
                <w:highlight w:val="none"/>
              </w:rPr>
              <w:t>（</w:t>
            </w:r>
            <w:r>
              <w:rPr>
                <w:rFonts w:hint="eastAsia" w:ascii="宋体" w:hAnsi="宋体"/>
                <w:spacing w:val="-4"/>
                <w:highlight w:val="none"/>
              </w:rPr>
              <w:t>A）</w:t>
            </w:r>
          </w:p>
        </w:tc>
        <w:tc>
          <w:tcPr>
            <w:tcW w:w="2675" w:type="dxa"/>
            <w:gridSpan w:val="3"/>
            <w:tcBorders>
              <w:bottom w:val="single" w:color="auto" w:sz="4" w:space="0"/>
            </w:tcBorders>
            <w:vAlign w:val="center"/>
          </w:tcPr>
          <w:p w14:paraId="1585512D">
            <w:pPr>
              <w:spacing w:line="400" w:lineRule="exact"/>
              <w:jc w:val="both"/>
              <w:rPr>
                <w:rFonts w:ascii="宋体" w:hAnsi="宋体"/>
                <w:highlight w:val="none"/>
              </w:rPr>
            </w:pPr>
            <w:r>
              <w:rPr>
                <w:rFonts w:hint="eastAsia" w:ascii="宋体" w:hAnsi="宋体" w:cs="宋体"/>
                <w:kern w:val="0"/>
                <w:highlight w:val="none"/>
              </w:rPr>
              <w:t>技术方案形式要求</w:t>
            </w:r>
          </w:p>
        </w:tc>
        <w:tc>
          <w:tcPr>
            <w:tcW w:w="4317" w:type="dxa"/>
            <w:tcBorders>
              <w:bottom w:val="single" w:color="auto" w:sz="4" w:space="0"/>
            </w:tcBorders>
            <w:vAlign w:val="center"/>
          </w:tcPr>
          <w:p w14:paraId="3E54D0CB">
            <w:pPr>
              <w:spacing w:line="400" w:lineRule="exact"/>
              <w:ind w:firstLine="420" w:firstLineChars="200"/>
              <w:rPr>
                <w:rFonts w:ascii="宋体" w:hAnsi="宋体"/>
                <w:kern w:val="0"/>
                <w:szCs w:val="21"/>
                <w:highlight w:val="none"/>
              </w:rPr>
            </w:pPr>
            <w:r>
              <w:rPr>
                <w:rFonts w:hint="eastAsia" w:ascii="宋体" w:hAnsi="宋体"/>
                <w:kern w:val="0"/>
                <w:highlight w:val="none"/>
              </w:rPr>
              <w:t>不符合</w:t>
            </w:r>
            <w:r>
              <w:rPr>
                <w:rFonts w:hint="eastAsia" w:ascii="宋体" w:hAnsi="宋体" w:cs="宋体"/>
                <w:kern w:val="0"/>
                <w:highlight w:val="none"/>
              </w:rPr>
              <w:t>第二章</w:t>
            </w:r>
            <w:r>
              <w:rPr>
                <w:rFonts w:hint="eastAsia" w:ascii="宋体" w:hAnsi="宋体" w:cs="宋体"/>
                <w:kern w:val="0"/>
                <w:highlight w:val="none"/>
                <w:lang w:eastAsia="zh-CN"/>
              </w:rPr>
              <w:t>比选申请人</w:t>
            </w:r>
            <w:r>
              <w:rPr>
                <w:rFonts w:hint="eastAsia" w:ascii="宋体" w:hAnsi="宋体" w:cs="宋体"/>
                <w:kern w:val="0"/>
                <w:highlight w:val="none"/>
              </w:rPr>
              <w:t>须知前附表第3.7.5项（</w:t>
            </w:r>
            <w:r>
              <w:rPr>
                <w:rFonts w:hint="eastAsia" w:ascii="宋体" w:hAnsi="宋体" w:cs="宋体"/>
                <w:kern w:val="0"/>
                <w:highlight w:val="none"/>
                <w:lang w:val="en-US" w:eastAsia="zh-CN"/>
              </w:rPr>
              <w:t>4</w:t>
            </w:r>
            <w:r>
              <w:rPr>
                <w:rFonts w:hint="eastAsia" w:ascii="宋体" w:hAnsi="宋体" w:cs="宋体"/>
                <w:kern w:val="0"/>
                <w:highlight w:val="none"/>
              </w:rPr>
              <w:t>）技术部分要求的</w:t>
            </w:r>
            <w:r>
              <w:rPr>
                <w:rFonts w:hint="eastAsia" w:ascii="宋体" w:hAnsi="宋体"/>
                <w:kern w:val="0"/>
                <w:highlight w:val="none"/>
              </w:rPr>
              <w:t>，技术方案得0分。</w:t>
            </w:r>
          </w:p>
        </w:tc>
      </w:tr>
      <w:tr w14:paraId="668BD5D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5" w:type="dxa"/>
            <w:vMerge w:val="continue"/>
            <w:vAlign w:val="center"/>
          </w:tcPr>
          <w:p w14:paraId="24DEF4E4">
            <w:pPr>
              <w:spacing w:line="400" w:lineRule="exact"/>
              <w:jc w:val="center"/>
              <w:rPr>
                <w:rFonts w:ascii="宋体" w:hAnsi="宋体"/>
                <w:highlight w:val="none"/>
              </w:rPr>
            </w:pPr>
          </w:p>
        </w:tc>
        <w:tc>
          <w:tcPr>
            <w:tcW w:w="1628" w:type="dxa"/>
            <w:vMerge w:val="continue"/>
            <w:vAlign w:val="center"/>
          </w:tcPr>
          <w:p w14:paraId="27A05BDB">
            <w:pPr>
              <w:spacing w:line="400" w:lineRule="exact"/>
              <w:jc w:val="center"/>
              <w:rPr>
                <w:rFonts w:ascii="宋体" w:hAnsi="宋体"/>
                <w:highlight w:val="none"/>
              </w:rPr>
            </w:pPr>
          </w:p>
        </w:tc>
        <w:tc>
          <w:tcPr>
            <w:tcW w:w="2675" w:type="dxa"/>
            <w:gridSpan w:val="3"/>
            <w:tcBorders>
              <w:bottom w:val="single" w:color="auto" w:sz="4" w:space="0"/>
            </w:tcBorders>
            <w:vAlign w:val="center"/>
          </w:tcPr>
          <w:p w14:paraId="3134EB66">
            <w:pPr>
              <w:spacing w:line="400" w:lineRule="exact"/>
              <w:jc w:val="both"/>
              <w:rPr>
                <w:rFonts w:ascii="宋体" w:hAnsi="宋体"/>
                <w:kern w:val="0"/>
                <w:highlight w:val="none"/>
              </w:rPr>
            </w:pPr>
            <w:r>
              <w:rPr>
                <w:rFonts w:ascii="宋体" w:hAnsi="宋体"/>
                <w:kern w:val="0"/>
                <w:highlight w:val="none"/>
              </w:rPr>
              <w:t>内容完整性和编制水平</w:t>
            </w:r>
          </w:p>
        </w:tc>
        <w:tc>
          <w:tcPr>
            <w:tcW w:w="4317" w:type="dxa"/>
            <w:vMerge w:val="restart"/>
            <w:tcBorders>
              <w:top w:val="single" w:color="auto" w:sz="4" w:space="0"/>
            </w:tcBorders>
            <w:vAlign w:val="center"/>
          </w:tcPr>
          <w:p w14:paraId="00FF967B">
            <w:pPr>
              <w:autoSpaceDE w:val="0"/>
              <w:autoSpaceDN w:val="0"/>
              <w:adjustRightInd w:val="0"/>
              <w:snapToGrid w:val="0"/>
              <w:spacing w:line="400" w:lineRule="exact"/>
              <w:ind w:firstLine="420" w:firstLineChars="200"/>
              <w:rPr>
                <w:rFonts w:ascii="宋体" w:hAnsi="宋体"/>
                <w:szCs w:val="21"/>
                <w:highlight w:val="none"/>
              </w:rPr>
            </w:pPr>
            <w:r>
              <w:rPr>
                <w:rFonts w:ascii="宋体" w:hAnsi="宋体"/>
                <w:szCs w:val="21"/>
                <w:highlight w:val="none"/>
              </w:rPr>
              <w:t>评标委员会按第2.2.</w:t>
            </w:r>
            <w:r>
              <w:rPr>
                <w:rFonts w:hint="eastAsia" w:ascii="宋体" w:hAnsi="宋体"/>
                <w:szCs w:val="21"/>
                <w:highlight w:val="none"/>
              </w:rPr>
              <w:t>2（1）目</w:t>
            </w:r>
            <w:r>
              <w:rPr>
                <w:rFonts w:ascii="宋体" w:hAnsi="宋体"/>
                <w:szCs w:val="21"/>
                <w:highlight w:val="none"/>
              </w:rPr>
              <w:t>各评审因素设定的分值评分。</w:t>
            </w:r>
          </w:p>
          <w:p w14:paraId="3FBFD77A">
            <w:pPr>
              <w:spacing w:line="400" w:lineRule="exact"/>
              <w:ind w:firstLine="420" w:firstLineChars="200"/>
              <w:rPr>
                <w:rFonts w:hint="eastAsia" w:asciiTheme="minorEastAsia" w:hAnsiTheme="minorEastAsia" w:eastAsiaTheme="minorEastAsia" w:cstheme="minorEastAsia"/>
                <w:snapToGrid w:val="0"/>
                <w:color w:val="auto"/>
                <w:kern w:val="0"/>
                <w:szCs w:val="21"/>
                <w:highlight w:val="none"/>
              </w:rPr>
            </w:pPr>
            <w:r>
              <w:rPr>
                <w:rFonts w:hint="eastAsia" w:asciiTheme="minorEastAsia" w:hAnsiTheme="minorEastAsia" w:eastAsiaTheme="minorEastAsia" w:cstheme="minorEastAsia"/>
                <w:snapToGrid w:val="0"/>
                <w:color w:val="auto"/>
                <w:kern w:val="0"/>
                <w:szCs w:val="21"/>
                <w:highlight w:val="none"/>
              </w:rPr>
              <w:t>评标委员会按照优、良、一般、差四个档次进行评分</w:t>
            </w:r>
            <w:r>
              <w:rPr>
                <w:rFonts w:hint="eastAsia" w:asciiTheme="minorEastAsia" w:hAnsiTheme="minorEastAsia" w:eastAsiaTheme="minorEastAsia" w:cstheme="minorEastAsia"/>
                <w:snapToGrid w:val="0"/>
                <w:color w:val="auto"/>
                <w:kern w:val="0"/>
                <w:szCs w:val="21"/>
                <w:highlight w:val="none"/>
                <w:lang w:eastAsia="zh-CN"/>
              </w:rPr>
              <w:t>。</w:t>
            </w:r>
            <w:r>
              <w:rPr>
                <w:rFonts w:hint="eastAsia" w:asciiTheme="minorEastAsia" w:hAnsiTheme="minorEastAsia" w:eastAsiaTheme="minorEastAsia" w:cstheme="minorEastAsia"/>
                <w:snapToGrid w:val="0"/>
                <w:color w:val="auto"/>
                <w:kern w:val="0"/>
                <w:szCs w:val="21"/>
                <w:highlight w:val="none"/>
                <w:lang w:val="en-US" w:eastAsia="zh-CN"/>
              </w:rPr>
              <w:t>若评标专家</w:t>
            </w:r>
            <w:r>
              <w:rPr>
                <w:rFonts w:hint="eastAsia" w:asciiTheme="minorEastAsia" w:hAnsiTheme="minorEastAsia" w:eastAsiaTheme="minorEastAsia" w:cstheme="minorEastAsia"/>
                <w:snapToGrid w:val="0"/>
                <w:color w:val="auto"/>
                <w:kern w:val="0"/>
                <w:szCs w:val="21"/>
                <w:highlight w:val="none"/>
              </w:rPr>
              <w:t>对</w:t>
            </w:r>
            <w:r>
              <w:rPr>
                <w:rFonts w:hint="eastAsia" w:asciiTheme="minorEastAsia" w:hAnsiTheme="minorEastAsia" w:eastAsiaTheme="minorEastAsia" w:cstheme="minorEastAsia"/>
                <w:snapToGrid w:val="0"/>
                <w:color w:val="auto"/>
                <w:kern w:val="0"/>
                <w:szCs w:val="21"/>
                <w:highlight w:val="none"/>
                <w:lang w:eastAsia="zh-CN"/>
              </w:rPr>
              <w:t>比选申请人</w:t>
            </w:r>
            <w:r>
              <w:rPr>
                <w:rFonts w:hint="eastAsia" w:asciiTheme="minorEastAsia" w:hAnsiTheme="minorEastAsia" w:eastAsiaTheme="minorEastAsia" w:cstheme="minorEastAsia"/>
                <w:snapToGrid w:val="0"/>
                <w:color w:val="auto"/>
                <w:kern w:val="0"/>
                <w:szCs w:val="21"/>
                <w:highlight w:val="none"/>
                <w:lang w:val="en-US" w:eastAsia="zh-CN"/>
              </w:rPr>
              <w:t>技术方案部分单项评分低于该项指标总分值60%的，</w:t>
            </w:r>
            <w:r>
              <w:rPr>
                <w:rFonts w:hint="eastAsia" w:asciiTheme="minorEastAsia" w:hAnsiTheme="minorEastAsia" w:eastAsiaTheme="minorEastAsia" w:cstheme="minorEastAsia"/>
                <w:snapToGrid w:val="0"/>
                <w:color w:val="auto"/>
                <w:kern w:val="0"/>
                <w:szCs w:val="21"/>
                <w:highlight w:val="none"/>
              </w:rPr>
              <w:t>须</w:t>
            </w:r>
            <w:r>
              <w:rPr>
                <w:rFonts w:hint="eastAsia" w:asciiTheme="minorEastAsia" w:hAnsiTheme="minorEastAsia" w:eastAsiaTheme="minorEastAsia" w:cstheme="minorEastAsia"/>
                <w:snapToGrid w:val="0"/>
                <w:color w:val="auto"/>
                <w:kern w:val="0"/>
                <w:szCs w:val="21"/>
                <w:highlight w:val="none"/>
                <w:lang w:val="en-US" w:eastAsia="zh-CN"/>
              </w:rPr>
              <w:t>对其评分合理性进行说明。评标专家不提供合理性说明或者超过半数的评标专家认为其说明不具备合理性的，应当以其他评标专家评分的算术平均值代替其评分，相关情况应当记入评标报告。</w:t>
            </w:r>
            <w:r>
              <w:rPr>
                <w:rFonts w:hint="eastAsia" w:asciiTheme="minorEastAsia" w:hAnsiTheme="minorEastAsia" w:eastAsiaTheme="minorEastAsia" w:cstheme="minorEastAsia"/>
                <w:snapToGrid w:val="0"/>
                <w:color w:val="auto"/>
                <w:kern w:val="0"/>
                <w:szCs w:val="21"/>
                <w:highlight w:val="none"/>
              </w:rPr>
              <w:t>技术</w:t>
            </w:r>
            <w:r>
              <w:rPr>
                <w:rFonts w:hint="eastAsia" w:asciiTheme="minorEastAsia" w:hAnsiTheme="minorEastAsia" w:eastAsiaTheme="minorEastAsia" w:cstheme="minorEastAsia"/>
                <w:snapToGrid w:val="0"/>
                <w:color w:val="auto"/>
                <w:kern w:val="0"/>
                <w:szCs w:val="21"/>
                <w:highlight w:val="none"/>
                <w:lang w:val="en-US" w:eastAsia="zh-CN"/>
              </w:rPr>
              <w:t>方案</w:t>
            </w:r>
            <w:r>
              <w:rPr>
                <w:rFonts w:hint="eastAsia" w:asciiTheme="minorEastAsia" w:hAnsiTheme="minorEastAsia" w:eastAsiaTheme="minorEastAsia" w:cstheme="minorEastAsia"/>
                <w:snapToGrid w:val="0"/>
                <w:color w:val="auto"/>
                <w:kern w:val="0"/>
                <w:szCs w:val="21"/>
                <w:highlight w:val="none"/>
              </w:rPr>
              <w:t>部分缺项的该项得0分。</w:t>
            </w:r>
          </w:p>
          <w:p w14:paraId="36486AF0">
            <w:pPr>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评标委员会成员为5人及以上时，所有评委</w:t>
            </w:r>
            <w:r>
              <w:rPr>
                <w:rFonts w:hint="eastAsia" w:ascii="宋体" w:hAnsi="宋体"/>
                <w:snapToGrid w:val="0"/>
                <w:kern w:val="0"/>
                <w:szCs w:val="21"/>
                <w:highlight w:val="none"/>
                <w:lang w:eastAsia="zh-CN"/>
              </w:rPr>
              <w:t>评分</w:t>
            </w:r>
            <w:r>
              <w:rPr>
                <w:rFonts w:ascii="宋体" w:hAnsi="宋体"/>
                <w:snapToGrid w:val="0"/>
                <w:kern w:val="0"/>
                <w:szCs w:val="21"/>
                <w:highlight w:val="none"/>
              </w:rPr>
              <w:t>中去掉一个最高和一个最低分，余下评委</w:t>
            </w:r>
            <w:r>
              <w:rPr>
                <w:rFonts w:hint="eastAsia" w:ascii="宋体" w:hAnsi="宋体"/>
                <w:snapToGrid w:val="0"/>
                <w:kern w:val="0"/>
                <w:szCs w:val="21"/>
                <w:highlight w:val="none"/>
                <w:lang w:eastAsia="zh-CN"/>
              </w:rPr>
              <w:t>评分</w:t>
            </w:r>
            <w:r>
              <w:rPr>
                <w:rFonts w:ascii="宋体" w:hAnsi="宋体"/>
                <w:snapToGrid w:val="0"/>
                <w:kern w:val="0"/>
                <w:szCs w:val="21"/>
                <w:highlight w:val="none"/>
              </w:rPr>
              <w:t>取算术平均值为该</w:t>
            </w:r>
            <w:r>
              <w:rPr>
                <w:rFonts w:hint="eastAsia" w:ascii="宋体" w:hAnsi="宋体"/>
                <w:snapToGrid w:val="0"/>
                <w:kern w:val="0"/>
                <w:szCs w:val="21"/>
                <w:highlight w:val="none"/>
                <w:lang w:eastAsia="zh-CN"/>
              </w:rPr>
              <w:t>比选申请人</w:t>
            </w:r>
            <w:r>
              <w:rPr>
                <w:rFonts w:ascii="宋体" w:hAnsi="宋体"/>
                <w:snapToGrid w:val="0"/>
                <w:kern w:val="0"/>
                <w:szCs w:val="21"/>
                <w:highlight w:val="none"/>
              </w:rPr>
              <w:t>技术方案得分。</w:t>
            </w:r>
          </w:p>
          <w:p w14:paraId="32072123">
            <w:pPr>
              <w:spacing w:line="400" w:lineRule="exact"/>
              <w:ind w:firstLine="420" w:firstLineChars="200"/>
              <w:rPr>
                <w:rFonts w:ascii="宋体" w:hAnsi="宋体"/>
                <w:kern w:val="0"/>
                <w:szCs w:val="21"/>
                <w:highlight w:val="none"/>
              </w:rPr>
            </w:pPr>
            <w:r>
              <w:rPr>
                <w:rFonts w:ascii="宋体" w:hAnsi="宋体"/>
                <w:kern w:val="0"/>
                <w:szCs w:val="21"/>
                <w:highlight w:val="none"/>
              </w:rPr>
              <w:t>技术方案得分的最终结果取小数点后两位，</w:t>
            </w:r>
            <w:r>
              <w:rPr>
                <w:rFonts w:hint="eastAsia" w:asciiTheme="minorEastAsia" w:hAnsiTheme="minorEastAsia" w:eastAsiaTheme="minorEastAsia" w:cstheme="minorEastAsia"/>
                <w:color w:val="auto"/>
                <w:kern w:val="0"/>
                <w:szCs w:val="21"/>
                <w:highlight w:val="none"/>
                <w:lang w:val="en-US" w:eastAsia="zh-CN"/>
              </w:rPr>
              <w:t>小数点后</w:t>
            </w:r>
            <w:r>
              <w:rPr>
                <w:rFonts w:ascii="宋体" w:hAnsi="宋体"/>
                <w:kern w:val="0"/>
                <w:szCs w:val="21"/>
                <w:highlight w:val="none"/>
              </w:rPr>
              <w:t>第三位四舍五入。</w:t>
            </w:r>
          </w:p>
        </w:tc>
      </w:tr>
      <w:tr w14:paraId="6263AB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5" w:type="dxa"/>
            <w:vMerge w:val="continue"/>
            <w:vAlign w:val="center"/>
          </w:tcPr>
          <w:p w14:paraId="6EE74BAF">
            <w:pPr>
              <w:spacing w:line="400" w:lineRule="exact"/>
              <w:jc w:val="center"/>
              <w:rPr>
                <w:rFonts w:ascii="宋体" w:hAnsi="宋体"/>
                <w:highlight w:val="none"/>
              </w:rPr>
            </w:pPr>
          </w:p>
        </w:tc>
        <w:tc>
          <w:tcPr>
            <w:tcW w:w="1628" w:type="dxa"/>
            <w:vMerge w:val="continue"/>
            <w:vAlign w:val="center"/>
          </w:tcPr>
          <w:p w14:paraId="7173D90C">
            <w:pPr>
              <w:spacing w:line="400" w:lineRule="exact"/>
              <w:jc w:val="center"/>
              <w:rPr>
                <w:rFonts w:ascii="宋体" w:hAnsi="宋体"/>
                <w:highlight w:val="none"/>
              </w:rPr>
            </w:pPr>
          </w:p>
        </w:tc>
        <w:tc>
          <w:tcPr>
            <w:tcW w:w="2675" w:type="dxa"/>
            <w:gridSpan w:val="3"/>
            <w:tcBorders>
              <w:top w:val="single" w:color="auto" w:sz="4" w:space="0"/>
              <w:bottom w:val="single" w:color="auto" w:sz="4" w:space="0"/>
            </w:tcBorders>
            <w:vAlign w:val="center"/>
          </w:tcPr>
          <w:p w14:paraId="0E20661C">
            <w:pPr>
              <w:spacing w:line="400" w:lineRule="exact"/>
              <w:jc w:val="both"/>
              <w:rPr>
                <w:rFonts w:ascii="宋体" w:hAnsi="宋体"/>
                <w:highlight w:val="none"/>
              </w:rPr>
            </w:pPr>
            <w:r>
              <w:rPr>
                <w:rFonts w:ascii="宋体" w:hAnsi="宋体"/>
                <w:kern w:val="0"/>
                <w:highlight w:val="none"/>
              </w:rPr>
              <w:t>施工方案与技术措施</w:t>
            </w:r>
          </w:p>
        </w:tc>
        <w:tc>
          <w:tcPr>
            <w:tcW w:w="4317" w:type="dxa"/>
            <w:vMerge w:val="continue"/>
            <w:vAlign w:val="center"/>
          </w:tcPr>
          <w:p w14:paraId="4C3DCAFA">
            <w:pPr>
              <w:autoSpaceDE w:val="0"/>
              <w:autoSpaceDN w:val="0"/>
              <w:adjustRightInd w:val="0"/>
              <w:snapToGrid w:val="0"/>
              <w:spacing w:line="400" w:lineRule="exact"/>
              <w:ind w:firstLine="420" w:firstLineChars="200"/>
              <w:rPr>
                <w:rFonts w:ascii="宋体" w:hAnsi="宋体"/>
                <w:szCs w:val="21"/>
                <w:highlight w:val="none"/>
              </w:rPr>
            </w:pPr>
          </w:p>
        </w:tc>
      </w:tr>
      <w:tr w14:paraId="358C8DF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5" w:type="dxa"/>
            <w:vMerge w:val="continue"/>
            <w:vAlign w:val="center"/>
          </w:tcPr>
          <w:p w14:paraId="055E44D4">
            <w:pPr>
              <w:spacing w:line="400" w:lineRule="exact"/>
              <w:jc w:val="center"/>
              <w:rPr>
                <w:rFonts w:ascii="宋体" w:hAnsi="宋体"/>
                <w:highlight w:val="none"/>
              </w:rPr>
            </w:pPr>
          </w:p>
        </w:tc>
        <w:tc>
          <w:tcPr>
            <w:tcW w:w="1628" w:type="dxa"/>
            <w:vMerge w:val="continue"/>
            <w:vAlign w:val="center"/>
          </w:tcPr>
          <w:p w14:paraId="202F3C94">
            <w:pPr>
              <w:spacing w:line="400" w:lineRule="exact"/>
              <w:jc w:val="center"/>
              <w:rPr>
                <w:rFonts w:ascii="宋体" w:hAnsi="宋体"/>
                <w:highlight w:val="none"/>
              </w:rPr>
            </w:pPr>
          </w:p>
        </w:tc>
        <w:tc>
          <w:tcPr>
            <w:tcW w:w="2675" w:type="dxa"/>
            <w:gridSpan w:val="3"/>
            <w:tcBorders>
              <w:top w:val="single" w:color="auto" w:sz="4" w:space="0"/>
              <w:bottom w:val="single" w:color="auto" w:sz="4" w:space="0"/>
            </w:tcBorders>
            <w:vAlign w:val="center"/>
          </w:tcPr>
          <w:p w14:paraId="5E000138">
            <w:pPr>
              <w:spacing w:line="400" w:lineRule="exact"/>
              <w:jc w:val="both"/>
              <w:rPr>
                <w:rFonts w:ascii="宋体" w:hAnsi="宋体"/>
                <w:highlight w:val="none"/>
              </w:rPr>
            </w:pPr>
            <w:r>
              <w:rPr>
                <w:rFonts w:ascii="宋体" w:hAnsi="宋体"/>
                <w:kern w:val="0"/>
                <w:highlight w:val="none"/>
              </w:rPr>
              <w:t>质量管理体系与措施</w:t>
            </w:r>
          </w:p>
        </w:tc>
        <w:tc>
          <w:tcPr>
            <w:tcW w:w="4317" w:type="dxa"/>
            <w:vMerge w:val="continue"/>
            <w:vAlign w:val="center"/>
          </w:tcPr>
          <w:p w14:paraId="14DDBCD8">
            <w:pPr>
              <w:autoSpaceDE w:val="0"/>
              <w:autoSpaceDN w:val="0"/>
              <w:adjustRightInd w:val="0"/>
              <w:snapToGrid w:val="0"/>
              <w:spacing w:line="400" w:lineRule="exact"/>
              <w:ind w:firstLine="420" w:firstLineChars="200"/>
              <w:rPr>
                <w:rFonts w:ascii="宋体" w:hAnsi="宋体"/>
                <w:szCs w:val="21"/>
                <w:highlight w:val="none"/>
              </w:rPr>
            </w:pPr>
          </w:p>
        </w:tc>
      </w:tr>
      <w:tr w14:paraId="2B54A3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5" w:type="dxa"/>
            <w:vMerge w:val="continue"/>
            <w:vAlign w:val="center"/>
          </w:tcPr>
          <w:p w14:paraId="63BF4290">
            <w:pPr>
              <w:spacing w:line="400" w:lineRule="exact"/>
              <w:jc w:val="center"/>
              <w:rPr>
                <w:rFonts w:ascii="宋体" w:hAnsi="宋体"/>
                <w:highlight w:val="none"/>
              </w:rPr>
            </w:pPr>
          </w:p>
        </w:tc>
        <w:tc>
          <w:tcPr>
            <w:tcW w:w="1628" w:type="dxa"/>
            <w:vMerge w:val="continue"/>
            <w:vAlign w:val="center"/>
          </w:tcPr>
          <w:p w14:paraId="7FE95D0B">
            <w:pPr>
              <w:spacing w:line="400" w:lineRule="exact"/>
              <w:jc w:val="center"/>
              <w:rPr>
                <w:rFonts w:ascii="宋体" w:hAnsi="宋体"/>
                <w:highlight w:val="none"/>
              </w:rPr>
            </w:pPr>
          </w:p>
        </w:tc>
        <w:tc>
          <w:tcPr>
            <w:tcW w:w="2675" w:type="dxa"/>
            <w:gridSpan w:val="3"/>
            <w:tcBorders>
              <w:top w:val="single" w:color="auto" w:sz="4" w:space="0"/>
              <w:bottom w:val="single" w:color="auto" w:sz="4" w:space="0"/>
            </w:tcBorders>
            <w:vAlign w:val="center"/>
          </w:tcPr>
          <w:p w14:paraId="7E682361">
            <w:pPr>
              <w:spacing w:line="400" w:lineRule="exact"/>
              <w:jc w:val="both"/>
              <w:rPr>
                <w:rFonts w:ascii="宋体" w:hAnsi="宋体"/>
                <w:highlight w:val="none"/>
              </w:rPr>
            </w:pPr>
            <w:r>
              <w:rPr>
                <w:rFonts w:ascii="宋体" w:hAnsi="宋体"/>
                <w:kern w:val="0"/>
                <w:highlight w:val="none"/>
              </w:rPr>
              <w:t>安全管理体系与措施</w:t>
            </w:r>
          </w:p>
        </w:tc>
        <w:tc>
          <w:tcPr>
            <w:tcW w:w="4317" w:type="dxa"/>
            <w:vMerge w:val="continue"/>
            <w:vAlign w:val="center"/>
          </w:tcPr>
          <w:p w14:paraId="5C23548F">
            <w:pPr>
              <w:autoSpaceDE w:val="0"/>
              <w:autoSpaceDN w:val="0"/>
              <w:adjustRightInd w:val="0"/>
              <w:snapToGrid w:val="0"/>
              <w:spacing w:line="400" w:lineRule="exact"/>
              <w:ind w:firstLine="420" w:firstLineChars="200"/>
              <w:rPr>
                <w:rFonts w:ascii="宋体" w:hAnsi="宋体"/>
                <w:szCs w:val="21"/>
                <w:highlight w:val="none"/>
              </w:rPr>
            </w:pPr>
          </w:p>
        </w:tc>
      </w:tr>
      <w:tr w14:paraId="54E1078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5" w:type="dxa"/>
            <w:vMerge w:val="continue"/>
            <w:vAlign w:val="center"/>
          </w:tcPr>
          <w:p w14:paraId="5552AB7D">
            <w:pPr>
              <w:spacing w:line="400" w:lineRule="exact"/>
              <w:jc w:val="center"/>
              <w:rPr>
                <w:rFonts w:ascii="宋体" w:hAnsi="宋体"/>
                <w:highlight w:val="none"/>
              </w:rPr>
            </w:pPr>
          </w:p>
        </w:tc>
        <w:tc>
          <w:tcPr>
            <w:tcW w:w="1628" w:type="dxa"/>
            <w:vMerge w:val="continue"/>
            <w:vAlign w:val="center"/>
          </w:tcPr>
          <w:p w14:paraId="56136F7D">
            <w:pPr>
              <w:spacing w:line="400" w:lineRule="exact"/>
              <w:jc w:val="center"/>
              <w:rPr>
                <w:rFonts w:ascii="宋体" w:hAnsi="宋体"/>
                <w:highlight w:val="none"/>
              </w:rPr>
            </w:pPr>
          </w:p>
        </w:tc>
        <w:tc>
          <w:tcPr>
            <w:tcW w:w="2675" w:type="dxa"/>
            <w:gridSpan w:val="3"/>
            <w:tcBorders>
              <w:top w:val="single" w:color="auto" w:sz="4" w:space="0"/>
              <w:bottom w:val="single" w:color="auto" w:sz="4" w:space="0"/>
            </w:tcBorders>
            <w:vAlign w:val="center"/>
          </w:tcPr>
          <w:p w14:paraId="7B48BEF3">
            <w:pPr>
              <w:spacing w:line="400" w:lineRule="exact"/>
              <w:jc w:val="both"/>
              <w:rPr>
                <w:rFonts w:ascii="宋体" w:hAnsi="宋体"/>
                <w:highlight w:val="none"/>
              </w:rPr>
            </w:pPr>
            <w:r>
              <w:rPr>
                <w:rFonts w:ascii="宋体" w:hAnsi="宋体"/>
                <w:kern w:val="0"/>
                <w:highlight w:val="none"/>
              </w:rPr>
              <w:t>环境保护管理体系</w:t>
            </w:r>
            <w:r>
              <w:rPr>
                <w:rFonts w:hint="eastAsia" w:ascii="宋体" w:hAnsi="宋体"/>
                <w:kern w:val="0"/>
                <w:highlight w:val="none"/>
                <w:lang w:val="en-US" w:eastAsia="zh-CN"/>
              </w:rPr>
              <w:t>与</w:t>
            </w:r>
            <w:r>
              <w:rPr>
                <w:rFonts w:ascii="宋体" w:hAnsi="宋体"/>
                <w:kern w:val="0"/>
                <w:highlight w:val="none"/>
              </w:rPr>
              <w:t>措施</w:t>
            </w:r>
          </w:p>
        </w:tc>
        <w:tc>
          <w:tcPr>
            <w:tcW w:w="4317" w:type="dxa"/>
            <w:vMerge w:val="continue"/>
            <w:vAlign w:val="center"/>
          </w:tcPr>
          <w:p w14:paraId="16529CC2">
            <w:pPr>
              <w:autoSpaceDE w:val="0"/>
              <w:autoSpaceDN w:val="0"/>
              <w:adjustRightInd w:val="0"/>
              <w:snapToGrid w:val="0"/>
              <w:spacing w:line="400" w:lineRule="exact"/>
              <w:ind w:firstLine="420" w:firstLineChars="200"/>
              <w:rPr>
                <w:rFonts w:ascii="宋体" w:hAnsi="宋体"/>
                <w:szCs w:val="21"/>
                <w:highlight w:val="none"/>
              </w:rPr>
            </w:pPr>
          </w:p>
        </w:tc>
      </w:tr>
      <w:tr w14:paraId="01CEC1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855" w:type="dxa"/>
            <w:vMerge w:val="continue"/>
            <w:vAlign w:val="center"/>
          </w:tcPr>
          <w:p w14:paraId="5341C45F">
            <w:pPr>
              <w:spacing w:line="400" w:lineRule="exact"/>
              <w:jc w:val="center"/>
              <w:rPr>
                <w:rFonts w:ascii="宋体" w:hAnsi="宋体"/>
                <w:highlight w:val="none"/>
              </w:rPr>
            </w:pPr>
          </w:p>
        </w:tc>
        <w:tc>
          <w:tcPr>
            <w:tcW w:w="1628" w:type="dxa"/>
            <w:vMerge w:val="continue"/>
            <w:vAlign w:val="center"/>
          </w:tcPr>
          <w:p w14:paraId="19099859">
            <w:pPr>
              <w:spacing w:line="400" w:lineRule="exact"/>
              <w:jc w:val="center"/>
              <w:rPr>
                <w:rFonts w:ascii="宋体" w:hAnsi="宋体"/>
                <w:highlight w:val="none"/>
              </w:rPr>
            </w:pPr>
          </w:p>
        </w:tc>
        <w:tc>
          <w:tcPr>
            <w:tcW w:w="2675" w:type="dxa"/>
            <w:gridSpan w:val="3"/>
            <w:tcBorders>
              <w:top w:val="single" w:color="auto" w:sz="4" w:space="0"/>
              <w:bottom w:val="single" w:color="auto" w:sz="4" w:space="0"/>
            </w:tcBorders>
            <w:vAlign w:val="center"/>
          </w:tcPr>
          <w:p w14:paraId="2D5201B2">
            <w:pPr>
              <w:spacing w:line="400" w:lineRule="exact"/>
              <w:jc w:val="both"/>
              <w:rPr>
                <w:rFonts w:ascii="宋体" w:hAnsi="宋体"/>
                <w:highlight w:val="none"/>
              </w:rPr>
            </w:pPr>
            <w:r>
              <w:rPr>
                <w:rFonts w:ascii="宋体" w:hAnsi="宋体"/>
                <w:kern w:val="0"/>
                <w:highlight w:val="none"/>
              </w:rPr>
              <w:t>工程进度计划与措施</w:t>
            </w:r>
          </w:p>
        </w:tc>
        <w:tc>
          <w:tcPr>
            <w:tcW w:w="4317" w:type="dxa"/>
            <w:vMerge w:val="continue"/>
            <w:vAlign w:val="center"/>
          </w:tcPr>
          <w:p w14:paraId="51B5290C">
            <w:pPr>
              <w:autoSpaceDE w:val="0"/>
              <w:autoSpaceDN w:val="0"/>
              <w:adjustRightInd w:val="0"/>
              <w:snapToGrid w:val="0"/>
              <w:spacing w:line="400" w:lineRule="exact"/>
              <w:ind w:firstLine="420" w:firstLineChars="200"/>
              <w:rPr>
                <w:rFonts w:ascii="宋体" w:hAnsi="宋体"/>
                <w:szCs w:val="21"/>
                <w:highlight w:val="none"/>
              </w:rPr>
            </w:pPr>
          </w:p>
        </w:tc>
      </w:tr>
      <w:tr w14:paraId="17B0E0B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855" w:type="dxa"/>
            <w:vMerge w:val="continue"/>
            <w:vAlign w:val="center"/>
          </w:tcPr>
          <w:p w14:paraId="1CF4029B">
            <w:pPr>
              <w:spacing w:line="400" w:lineRule="exact"/>
              <w:jc w:val="center"/>
              <w:rPr>
                <w:rFonts w:ascii="宋体" w:hAnsi="宋体"/>
                <w:highlight w:val="none"/>
              </w:rPr>
            </w:pPr>
          </w:p>
        </w:tc>
        <w:tc>
          <w:tcPr>
            <w:tcW w:w="1628" w:type="dxa"/>
            <w:vMerge w:val="continue"/>
            <w:vAlign w:val="center"/>
          </w:tcPr>
          <w:p w14:paraId="6DB867AD">
            <w:pPr>
              <w:spacing w:line="400" w:lineRule="exact"/>
              <w:jc w:val="center"/>
              <w:rPr>
                <w:rFonts w:ascii="宋体" w:hAnsi="宋体"/>
                <w:highlight w:val="none"/>
              </w:rPr>
            </w:pPr>
          </w:p>
        </w:tc>
        <w:tc>
          <w:tcPr>
            <w:tcW w:w="2675" w:type="dxa"/>
            <w:gridSpan w:val="3"/>
            <w:tcBorders>
              <w:top w:val="single" w:color="auto" w:sz="4" w:space="0"/>
              <w:bottom w:val="single" w:color="auto" w:sz="4" w:space="0"/>
            </w:tcBorders>
            <w:vAlign w:val="center"/>
          </w:tcPr>
          <w:p w14:paraId="743C1F6E">
            <w:pPr>
              <w:spacing w:line="400" w:lineRule="exact"/>
              <w:jc w:val="both"/>
              <w:rPr>
                <w:rFonts w:ascii="宋体" w:hAnsi="宋体"/>
                <w:highlight w:val="none"/>
              </w:rPr>
            </w:pPr>
            <w:r>
              <w:rPr>
                <w:rFonts w:ascii="宋体" w:hAnsi="宋体"/>
                <w:kern w:val="0"/>
                <w:highlight w:val="none"/>
              </w:rPr>
              <w:t>资源配备计划与先进性</w:t>
            </w:r>
          </w:p>
        </w:tc>
        <w:tc>
          <w:tcPr>
            <w:tcW w:w="4317" w:type="dxa"/>
            <w:vMerge w:val="continue"/>
            <w:vAlign w:val="center"/>
          </w:tcPr>
          <w:p w14:paraId="191BCCF8">
            <w:pPr>
              <w:autoSpaceDE w:val="0"/>
              <w:autoSpaceDN w:val="0"/>
              <w:adjustRightInd w:val="0"/>
              <w:snapToGrid w:val="0"/>
              <w:spacing w:line="400" w:lineRule="exact"/>
              <w:ind w:firstLine="420" w:firstLineChars="200"/>
              <w:rPr>
                <w:rFonts w:ascii="宋体" w:hAnsi="宋体"/>
                <w:szCs w:val="21"/>
                <w:highlight w:val="none"/>
              </w:rPr>
            </w:pPr>
          </w:p>
        </w:tc>
      </w:tr>
      <w:tr w14:paraId="034822C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855" w:type="dxa"/>
            <w:vAlign w:val="center"/>
          </w:tcPr>
          <w:p w14:paraId="79A641F2">
            <w:pPr>
              <w:spacing w:line="400" w:lineRule="exact"/>
              <w:jc w:val="center"/>
              <w:rPr>
                <w:rFonts w:ascii="宋体" w:hAnsi="宋体"/>
                <w:highlight w:val="none"/>
              </w:rPr>
            </w:pPr>
            <w:r>
              <w:rPr>
                <w:rFonts w:ascii="宋体" w:hAnsi="宋体"/>
                <w:highlight w:val="none"/>
              </w:rPr>
              <w:t>3.2.1（</w:t>
            </w:r>
            <w:r>
              <w:rPr>
                <w:rFonts w:hint="eastAsia" w:ascii="宋体" w:hAnsi="宋体"/>
                <w:highlight w:val="none"/>
                <w:lang w:val="en-US" w:eastAsia="zh-CN"/>
              </w:rPr>
              <w:t>2</w:t>
            </w:r>
            <w:r>
              <w:rPr>
                <w:rFonts w:ascii="宋体" w:hAnsi="宋体"/>
                <w:highlight w:val="none"/>
              </w:rPr>
              <w:t>）</w:t>
            </w:r>
          </w:p>
        </w:tc>
        <w:tc>
          <w:tcPr>
            <w:tcW w:w="1628" w:type="dxa"/>
            <w:vAlign w:val="center"/>
          </w:tcPr>
          <w:p w14:paraId="597B94CA">
            <w:pPr>
              <w:spacing w:line="400" w:lineRule="exact"/>
              <w:rPr>
                <w:rFonts w:ascii="宋体" w:hAnsi="宋体"/>
                <w:b/>
                <w:kern w:val="0"/>
                <w:szCs w:val="21"/>
                <w:highlight w:val="none"/>
              </w:rPr>
            </w:pPr>
            <w:r>
              <w:rPr>
                <w:rFonts w:hint="eastAsia" w:ascii="宋体" w:hAnsi="宋体"/>
                <w:b/>
                <w:kern w:val="0"/>
                <w:szCs w:val="21"/>
                <w:highlight w:val="none"/>
                <w:lang w:eastAsia="zh-CN"/>
              </w:rPr>
              <w:t>☑</w:t>
            </w:r>
            <w:r>
              <w:rPr>
                <w:rFonts w:ascii="宋体" w:hAnsi="宋体"/>
                <w:b/>
                <w:kern w:val="0"/>
                <w:szCs w:val="21"/>
                <w:highlight w:val="none"/>
              </w:rPr>
              <w:t>选项一</w:t>
            </w:r>
            <w:r>
              <w:rPr>
                <w:rFonts w:ascii="宋体" w:hAnsi="宋体"/>
                <w:b/>
                <w:kern w:val="0"/>
                <w:highlight w:val="none"/>
              </w:rPr>
              <w:t>：</w:t>
            </w:r>
          </w:p>
          <w:p w14:paraId="2C2F35F3">
            <w:pPr>
              <w:spacing w:line="400" w:lineRule="exact"/>
              <w:jc w:val="center"/>
              <w:rPr>
                <w:rFonts w:ascii="宋体" w:hAnsi="宋体"/>
                <w:highlight w:val="none"/>
              </w:rPr>
            </w:pPr>
            <w:r>
              <w:rPr>
                <w:rFonts w:hint="eastAsia" w:ascii="宋体" w:hAnsi="宋体"/>
                <w:highlight w:val="none"/>
                <w:lang w:val="en-US" w:eastAsia="zh-CN"/>
              </w:rPr>
              <w:t>报价评审</w:t>
            </w:r>
            <w:r>
              <w:rPr>
                <w:rFonts w:ascii="宋体" w:hAnsi="宋体"/>
                <w:kern w:val="0"/>
                <w:highlight w:val="none"/>
              </w:rPr>
              <w:t>得分</w:t>
            </w:r>
            <w:r>
              <w:rPr>
                <w:rFonts w:ascii="宋体" w:hAnsi="宋体"/>
                <w:spacing w:val="-8"/>
                <w:highlight w:val="none"/>
              </w:rPr>
              <w:t>（</w:t>
            </w:r>
            <w:r>
              <w:rPr>
                <w:rFonts w:hint="eastAsia" w:ascii="宋体" w:hAnsi="宋体"/>
                <w:spacing w:val="-8"/>
                <w:highlight w:val="none"/>
                <w:lang w:val="en-US" w:eastAsia="zh-CN"/>
              </w:rPr>
              <w:t>B</w:t>
            </w:r>
            <w:r>
              <w:rPr>
                <w:rFonts w:ascii="宋体" w:hAnsi="宋体"/>
                <w:spacing w:val="-8"/>
                <w:highlight w:val="none"/>
              </w:rPr>
              <w:t>）</w:t>
            </w:r>
          </w:p>
        </w:tc>
        <w:tc>
          <w:tcPr>
            <w:tcW w:w="2675" w:type="dxa"/>
            <w:gridSpan w:val="3"/>
            <w:tcBorders>
              <w:top w:val="single" w:color="auto" w:sz="4" w:space="0"/>
            </w:tcBorders>
            <w:vAlign w:val="center"/>
          </w:tcPr>
          <w:p w14:paraId="46F2F90F">
            <w:pPr>
              <w:spacing w:line="400" w:lineRule="exact"/>
              <w:jc w:val="center"/>
              <w:rPr>
                <w:rFonts w:ascii="宋体" w:hAnsi="宋体"/>
                <w:highlight w:val="none"/>
              </w:rPr>
            </w:pPr>
            <w:r>
              <w:rPr>
                <w:rFonts w:ascii="宋体" w:hAnsi="宋体"/>
                <w:highlight w:val="none"/>
              </w:rPr>
              <w:t>投标总报价</w:t>
            </w:r>
          </w:p>
        </w:tc>
        <w:tc>
          <w:tcPr>
            <w:tcW w:w="4317" w:type="dxa"/>
            <w:vAlign w:val="center"/>
          </w:tcPr>
          <w:p w14:paraId="2B0DE336">
            <w:pPr>
              <w:spacing w:line="400" w:lineRule="exact"/>
              <w:ind w:firstLine="420" w:firstLineChars="200"/>
              <w:rPr>
                <w:rFonts w:hint="default" w:ascii="宋体" w:hAnsi="宋体" w:eastAsia="宋体"/>
                <w:szCs w:val="21"/>
                <w:highlight w:val="none"/>
                <w:lang w:val="en-US" w:eastAsia="zh-CN"/>
              </w:rPr>
            </w:pPr>
            <w:r>
              <w:rPr>
                <w:rFonts w:hint="eastAsia" w:ascii="宋体" w:hAnsi="宋体"/>
                <w:szCs w:val="21"/>
                <w:highlight w:val="none"/>
              </w:rPr>
              <w:t>设置</w:t>
            </w:r>
            <w:r>
              <w:rPr>
                <w:rFonts w:ascii="宋体" w:hAnsi="宋体"/>
                <w:szCs w:val="21"/>
                <w:highlight w:val="none"/>
              </w:rPr>
              <w:t>允许偏差范围</w:t>
            </w:r>
            <w:r>
              <w:rPr>
                <w:rFonts w:hint="eastAsia" w:ascii="宋体" w:hAnsi="宋体"/>
                <w:szCs w:val="21"/>
                <w:highlight w:val="none"/>
              </w:rPr>
              <w:t>的，</w:t>
            </w:r>
            <w:r>
              <w:rPr>
                <w:rFonts w:ascii="宋体" w:hAnsi="宋体"/>
                <w:kern w:val="0"/>
                <w:highlight w:val="none"/>
              </w:rPr>
              <w:t>投标总报价的偏差在</w:t>
            </w:r>
            <w:r>
              <w:rPr>
                <w:rFonts w:ascii="宋体" w:hAnsi="宋体"/>
                <w:szCs w:val="21"/>
                <w:highlight w:val="none"/>
              </w:rPr>
              <w:t>允许偏差范围外，</w:t>
            </w:r>
            <w:r>
              <w:rPr>
                <w:rFonts w:ascii="宋体" w:hAnsi="宋体"/>
                <w:bCs/>
                <w:szCs w:val="28"/>
                <w:highlight w:val="none"/>
              </w:rPr>
              <w:t>得零分</w:t>
            </w:r>
            <w:r>
              <w:rPr>
                <w:rFonts w:ascii="宋体" w:hAnsi="宋体"/>
                <w:kern w:val="0"/>
                <w:highlight w:val="none"/>
              </w:rPr>
              <w:t>；</w:t>
            </w:r>
            <w:r>
              <w:rPr>
                <w:rFonts w:hint="eastAsia" w:ascii="宋体" w:hAnsi="宋体"/>
                <w:kern w:val="0"/>
                <w:highlight w:val="none"/>
              </w:rPr>
              <w:t>不设置允许偏差范围或</w:t>
            </w:r>
            <w:r>
              <w:rPr>
                <w:rFonts w:ascii="宋体" w:hAnsi="宋体"/>
                <w:szCs w:val="21"/>
                <w:highlight w:val="none"/>
              </w:rPr>
              <w:t>投标总报价偏差在允许范围内的（含上、下限值），</w:t>
            </w:r>
            <w:r>
              <w:rPr>
                <w:rFonts w:hint="eastAsia" w:ascii="宋体" w:hAnsi="宋体" w:cs="宋体"/>
                <w:color w:val="auto"/>
                <w:kern w:val="0"/>
                <w:szCs w:val="21"/>
                <w:highlight w:val="none"/>
                <w:lang w:eastAsia="zh-CN"/>
              </w:rPr>
              <w:t>进入报价评审的</w:t>
            </w:r>
            <w:r>
              <w:rPr>
                <w:rFonts w:hint="eastAsia" w:ascii="宋体" w:hAnsi="宋体"/>
                <w:kern w:val="0"/>
                <w:szCs w:val="21"/>
                <w:highlight w:val="none"/>
                <w:lang w:eastAsia="zh-CN"/>
              </w:rPr>
              <w:t>比选申请人</w:t>
            </w:r>
            <w:r>
              <w:rPr>
                <w:rFonts w:hint="eastAsia" w:ascii="宋体" w:hAnsi="宋体"/>
                <w:color w:val="auto"/>
                <w:kern w:val="0"/>
                <w:szCs w:val="21"/>
                <w:highlight w:val="none"/>
              </w:rPr>
              <w:t>的投标总报价</w:t>
            </w:r>
            <w:r>
              <w:rPr>
                <w:rFonts w:hint="eastAsia" w:ascii="宋体" w:hAnsi="宋体"/>
                <w:color w:val="auto"/>
                <w:kern w:val="0"/>
                <w:szCs w:val="21"/>
                <w:highlight w:val="none"/>
                <w:lang w:eastAsia="zh-CN"/>
              </w:rPr>
              <w:t>，</w:t>
            </w:r>
            <w:r>
              <w:rPr>
                <w:rFonts w:ascii="宋体" w:hAnsi="宋体"/>
                <w:szCs w:val="21"/>
                <w:highlight w:val="none"/>
              </w:rPr>
              <w:t>得</w:t>
            </w:r>
            <w:r>
              <w:rPr>
                <w:rFonts w:ascii="宋体" w:hAnsi="宋体"/>
                <w:bCs/>
                <w:szCs w:val="28"/>
                <w:highlight w:val="none"/>
              </w:rPr>
              <w:t>本附表第2.2.1项规定分值的满分</w:t>
            </w:r>
            <w:r>
              <w:rPr>
                <w:rFonts w:hint="eastAsia" w:ascii="宋体" w:hAnsi="宋体"/>
                <w:bCs/>
                <w:szCs w:val="28"/>
                <w:highlight w:val="none"/>
                <w:u w:val="single"/>
                <w:lang w:val="en-US" w:eastAsia="zh-CN"/>
              </w:rPr>
              <w:t xml:space="preserve">  80 </w:t>
            </w:r>
            <w:r>
              <w:rPr>
                <w:rFonts w:ascii="宋体" w:hAnsi="宋体"/>
                <w:szCs w:val="21"/>
                <w:highlight w:val="none"/>
              </w:rPr>
              <w:t>分。在此基础上，投标总报价与评标基准价相比，每增加1%扣</w:t>
            </w:r>
            <w:r>
              <w:rPr>
                <w:rFonts w:hint="eastAsia" w:ascii="宋体" w:hAnsi="宋体"/>
                <w:bCs/>
                <w:szCs w:val="28"/>
                <w:highlight w:val="none"/>
                <w:u w:val="single"/>
                <w:lang w:val="en-US" w:eastAsia="zh-CN"/>
              </w:rPr>
              <w:t xml:space="preserve"> 1 </w:t>
            </w:r>
            <w:r>
              <w:rPr>
                <w:rFonts w:ascii="宋体" w:hAnsi="宋体"/>
                <w:szCs w:val="21"/>
                <w:highlight w:val="none"/>
              </w:rPr>
              <w:t>分，每减少1%扣</w:t>
            </w:r>
            <w:r>
              <w:rPr>
                <w:rFonts w:hint="eastAsia" w:ascii="宋体" w:hAnsi="宋体"/>
                <w:bCs/>
                <w:szCs w:val="28"/>
                <w:highlight w:val="none"/>
                <w:u w:val="single"/>
                <w:lang w:val="en-US" w:eastAsia="zh-CN"/>
              </w:rPr>
              <w:t xml:space="preserve"> 0.9  </w:t>
            </w:r>
            <w:r>
              <w:rPr>
                <w:rFonts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lang w:val="en-US" w:eastAsia="zh-CN"/>
              </w:rPr>
              <w:t>扣完为止</w:t>
            </w:r>
            <w:r>
              <w:rPr>
                <w:rFonts w:ascii="宋体" w:hAnsi="宋体"/>
                <w:szCs w:val="21"/>
                <w:highlight w:val="none"/>
              </w:rPr>
              <w:t>。</w:t>
            </w:r>
          </w:p>
          <w:p w14:paraId="50E1926A">
            <w:pPr>
              <w:spacing w:line="400" w:lineRule="exact"/>
              <w:ind w:firstLine="420" w:firstLineChars="200"/>
              <w:rPr>
                <w:rFonts w:ascii="宋体" w:hAnsi="宋体"/>
                <w:szCs w:val="21"/>
                <w:highlight w:val="none"/>
              </w:rPr>
            </w:pPr>
            <w:r>
              <w:rPr>
                <w:rFonts w:ascii="宋体" w:hAnsi="宋体"/>
                <w:szCs w:val="21"/>
                <w:highlight w:val="none"/>
              </w:rPr>
              <w:t>按插入法计算得分。</w:t>
            </w:r>
          </w:p>
          <w:p w14:paraId="753F5C1A">
            <w:pPr>
              <w:spacing w:line="400" w:lineRule="exact"/>
              <w:ind w:firstLine="420" w:firstLineChars="200"/>
              <w:rPr>
                <w:rFonts w:ascii="宋体" w:hAnsi="宋体"/>
                <w:szCs w:val="21"/>
                <w:highlight w:val="none"/>
              </w:rPr>
            </w:pPr>
            <w:r>
              <w:rPr>
                <w:rFonts w:ascii="宋体" w:hAnsi="宋体"/>
                <w:szCs w:val="21"/>
                <w:highlight w:val="none"/>
              </w:rPr>
              <w:t>在偏差范围内，未参与评标基准价计算的投标报价，仍应参加计算相应分值。</w:t>
            </w:r>
          </w:p>
          <w:p w14:paraId="5B967C8D">
            <w:pPr>
              <w:spacing w:line="400" w:lineRule="exact"/>
              <w:ind w:firstLine="420" w:firstLineChars="200"/>
              <w:rPr>
                <w:rFonts w:ascii="宋体" w:hAnsi="宋体"/>
                <w:kern w:val="0"/>
                <w:szCs w:val="21"/>
                <w:highlight w:val="none"/>
              </w:rPr>
            </w:pPr>
            <w:r>
              <w:rPr>
                <w:rFonts w:hint="eastAsia" w:ascii="宋体" w:hAnsi="宋体"/>
                <w:kern w:val="0"/>
                <w:szCs w:val="21"/>
                <w:highlight w:val="none"/>
              </w:rPr>
              <w:t>投标总报价得分最终结果</w:t>
            </w:r>
            <w:r>
              <w:rPr>
                <w:rFonts w:ascii="宋体" w:hAnsi="宋体"/>
                <w:kern w:val="0"/>
                <w:szCs w:val="21"/>
                <w:highlight w:val="none"/>
              </w:rPr>
              <w:t>取小数点后两位，</w:t>
            </w:r>
            <w:r>
              <w:rPr>
                <w:rFonts w:hint="eastAsia" w:asciiTheme="minorEastAsia" w:hAnsiTheme="minorEastAsia" w:eastAsiaTheme="minorEastAsia" w:cstheme="minorEastAsia"/>
                <w:color w:val="auto"/>
                <w:kern w:val="0"/>
                <w:szCs w:val="21"/>
                <w:highlight w:val="none"/>
                <w:lang w:val="en-US" w:eastAsia="zh-CN"/>
              </w:rPr>
              <w:t>小数点后</w:t>
            </w:r>
            <w:r>
              <w:rPr>
                <w:rFonts w:ascii="宋体" w:hAnsi="宋体"/>
                <w:kern w:val="0"/>
                <w:szCs w:val="21"/>
                <w:highlight w:val="none"/>
              </w:rPr>
              <w:t>第三位四舍五入。</w:t>
            </w:r>
          </w:p>
        </w:tc>
      </w:tr>
      <w:tr w14:paraId="0B04B5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855" w:type="dxa"/>
            <w:vAlign w:val="center"/>
          </w:tcPr>
          <w:p w14:paraId="50E257AB">
            <w:pPr>
              <w:spacing w:line="400" w:lineRule="exact"/>
              <w:ind w:firstLine="18" w:firstLineChars="9"/>
              <w:jc w:val="center"/>
              <w:rPr>
                <w:rFonts w:ascii="宋体" w:hAnsi="宋体"/>
                <w:szCs w:val="21"/>
                <w:highlight w:val="none"/>
              </w:rPr>
            </w:pPr>
            <w:r>
              <w:rPr>
                <w:rFonts w:ascii="宋体" w:hAnsi="宋体"/>
                <w:szCs w:val="21"/>
                <w:highlight w:val="none"/>
              </w:rPr>
              <w:t>3.2.3</w:t>
            </w:r>
          </w:p>
        </w:tc>
        <w:tc>
          <w:tcPr>
            <w:tcW w:w="1628" w:type="dxa"/>
            <w:tcBorders>
              <w:right w:val="single" w:color="auto" w:sz="4" w:space="0"/>
            </w:tcBorders>
            <w:vAlign w:val="center"/>
          </w:tcPr>
          <w:p w14:paraId="5F6527AB">
            <w:pPr>
              <w:spacing w:line="400" w:lineRule="exact"/>
              <w:ind w:firstLine="18" w:firstLineChars="9"/>
              <w:jc w:val="center"/>
              <w:rPr>
                <w:rFonts w:ascii="宋体" w:hAnsi="宋体"/>
                <w:szCs w:val="21"/>
                <w:highlight w:val="none"/>
              </w:rPr>
            </w:pPr>
            <w:r>
              <w:rPr>
                <w:rFonts w:hint="eastAsia" w:ascii="宋体" w:hAnsi="宋体"/>
                <w:szCs w:val="21"/>
                <w:highlight w:val="none"/>
                <w:lang w:eastAsia="zh-CN"/>
              </w:rPr>
              <w:t>比选申请人</w:t>
            </w:r>
            <w:r>
              <w:rPr>
                <w:rFonts w:ascii="宋体" w:hAnsi="宋体"/>
                <w:szCs w:val="21"/>
                <w:highlight w:val="none"/>
              </w:rPr>
              <w:t>得分</w:t>
            </w:r>
          </w:p>
        </w:tc>
        <w:tc>
          <w:tcPr>
            <w:tcW w:w="6992" w:type="dxa"/>
            <w:gridSpan w:val="4"/>
            <w:tcBorders>
              <w:left w:val="single" w:color="auto" w:sz="4" w:space="0"/>
            </w:tcBorders>
            <w:vAlign w:val="center"/>
          </w:tcPr>
          <w:p w14:paraId="45A9F6F1">
            <w:pPr>
              <w:spacing w:line="400" w:lineRule="exact"/>
              <w:jc w:val="center"/>
              <w:rPr>
                <w:rFonts w:hint="default" w:ascii="宋体" w:hAnsi="宋体" w:eastAsia="宋体"/>
                <w:szCs w:val="21"/>
                <w:highlight w:val="none"/>
                <w:u w:val="single"/>
                <w:lang w:val="en-US" w:eastAsia="zh-CN"/>
              </w:rPr>
            </w:pPr>
            <w:r>
              <w:rPr>
                <w:rFonts w:hint="eastAsia" w:ascii="宋体" w:hAnsi="宋体"/>
                <w:szCs w:val="21"/>
                <w:highlight w:val="none"/>
                <w:u w:val="none"/>
                <w:lang w:eastAsia="zh-CN"/>
              </w:rPr>
              <w:t>比选申请人</w:t>
            </w:r>
            <w:r>
              <w:rPr>
                <w:rFonts w:ascii="宋体" w:hAnsi="宋体"/>
                <w:szCs w:val="21"/>
                <w:highlight w:val="none"/>
                <w:u w:val="none"/>
              </w:rPr>
              <w:t>得分=A+B</w:t>
            </w:r>
          </w:p>
        </w:tc>
      </w:tr>
      <w:bookmarkEnd w:id="573"/>
      <w:bookmarkEnd w:id="574"/>
      <w:bookmarkEnd w:id="575"/>
      <w:bookmarkEnd w:id="576"/>
      <w:bookmarkEnd w:id="577"/>
    </w:tbl>
    <w:p w14:paraId="3372A95E">
      <w:pPr>
        <w:pStyle w:val="4"/>
        <w:spacing w:before="0" w:after="0" w:line="360" w:lineRule="auto"/>
        <w:rPr>
          <w:rFonts w:ascii="宋体" w:hAnsi="宋体"/>
          <w:b w:val="0"/>
          <w:snapToGrid w:val="0"/>
          <w:highlight w:val="none"/>
        </w:rPr>
      </w:pPr>
      <w:bookmarkStart w:id="581" w:name="_Toc509218776"/>
      <w:r>
        <w:rPr>
          <w:rFonts w:ascii="宋体" w:hAnsi="宋体"/>
          <w:b w:val="0"/>
          <w:snapToGrid w:val="0"/>
          <w:highlight w:val="none"/>
        </w:rPr>
        <w:br w:type="page"/>
      </w:r>
      <w:bookmarkStart w:id="582" w:name="_Toc21422"/>
      <w:bookmarkStart w:id="583" w:name="_Toc23704"/>
      <w:r>
        <w:rPr>
          <w:rFonts w:ascii="宋体" w:hAnsi="宋体"/>
          <w:b w:val="0"/>
          <w:snapToGrid w:val="0"/>
          <w:highlight w:val="none"/>
        </w:rPr>
        <w:t>1.  评标方法</w:t>
      </w:r>
      <w:bookmarkEnd w:id="564"/>
      <w:bookmarkEnd w:id="565"/>
      <w:bookmarkEnd w:id="566"/>
      <w:bookmarkEnd w:id="567"/>
      <w:bookmarkEnd w:id="568"/>
      <w:bookmarkEnd w:id="569"/>
      <w:bookmarkEnd w:id="581"/>
      <w:bookmarkEnd w:id="582"/>
      <w:bookmarkEnd w:id="583"/>
    </w:p>
    <w:p w14:paraId="184ED886">
      <w:pPr>
        <w:autoSpaceDE w:val="0"/>
        <w:autoSpaceDN w:val="0"/>
        <w:adjustRightInd w:val="0"/>
        <w:snapToGrid w:val="0"/>
        <w:spacing w:line="360" w:lineRule="auto"/>
        <w:ind w:firstLine="420"/>
        <w:rPr>
          <w:rFonts w:ascii="宋体" w:hAnsi="宋体"/>
          <w:kern w:val="0"/>
          <w:szCs w:val="21"/>
          <w:highlight w:val="none"/>
        </w:rPr>
      </w:pPr>
      <w:r>
        <w:rPr>
          <w:rFonts w:ascii="宋体" w:hAnsi="宋体"/>
          <w:kern w:val="0"/>
          <w:szCs w:val="21"/>
          <w:highlight w:val="none"/>
        </w:rPr>
        <w:t>本次评标采用综合评估法</w:t>
      </w:r>
      <w:r>
        <w:rPr>
          <w:rFonts w:ascii="宋体" w:hAnsi="宋体"/>
          <w:spacing w:val="-47"/>
          <w:kern w:val="0"/>
          <w:szCs w:val="21"/>
          <w:highlight w:val="none"/>
        </w:rPr>
        <w:t>。</w:t>
      </w:r>
      <w:r>
        <w:rPr>
          <w:rFonts w:ascii="宋体" w:hAnsi="宋体"/>
          <w:kern w:val="0"/>
          <w:szCs w:val="21"/>
          <w:highlight w:val="none"/>
        </w:rPr>
        <w:t>评标委员会</w:t>
      </w:r>
      <w:r>
        <w:rPr>
          <w:rFonts w:hint="eastAsia" w:ascii="宋体" w:hAnsi="宋体"/>
          <w:highlight w:val="none"/>
        </w:rPr>
        <w:t>对满足</w:t>
      </w:r>
      <w:r>
        <w:rPr>
          <w:rFonts w:hint="eastAsia" w:ascii="宋体" w:hAnsi="宋体"/>
          <w:highlight w:val="none"/>
          <w:lang w:eastAsia="zh-CN"/>
        </w:rPr>
        <w:t>竞争性比选文件</w:t>
      </w:r>
      <w:r>
        <w:rPr>
          <w:rFonts w:hint="eastAsia" w:ascii="宋体" w:hAnsi="宋体"/>
          <w:highlight w:val="none"/>
        </w:rPr>
        <w:t>实质要求的</w:t>
      </w:r>
      <w:r>
        <w:rPr>
          <w:rFonts w:hint="eastAsia" w:ascii="宋体" w:hAnsi="宋体"/>
          <w:highlight w:val="none"/>
          <w:lang w:eastAsia="zh-CN"/>
        </w:rPr>
        <w:t>比选申请文件</w:t>
      </w:r>
      <w:r>
        <w:rPr>
          <w:rFonts w:hint="eastAsia" w:ascii="宋体" w:hAnsi="宋体"/>
          <w:highlight w:val="none"/>
        </w:rPr>
        <w:t>，</w:t>
      </w:r>
      <w:r>
        <w:rPr>
          <w:rFonts w:ascii="宋体" w:hAnsi="宋体"/>
          <w:kern w:val="0"/>
          <w:szCs w:val="21"/>
          <w:highlight w:val="none"/>
        </w:rPr>
        <w:t xml:space="preserve">按照本章第 </w:t>
      </w:r>
      <w:r>
        <w:rPr>
          <w:rFonts w:ascii="宋体" w:hAnsi="宋体"/>
          <w:spacing w:val="1"/>
          <w:kern w:val="0"/>
          <w:szCs w:val="21"/>
          <w:highlight w:val="none"/>
        </w:rPr>
        <w:t>2</w:t>
      </w:r>
      <w:r>
        <w:rPr>
          <w:rFonts w:ascii="宋体" w:hAnsi="宋体"/>
          <w:spacing w:val="-1"/>
          <w:kern w:val="0"/>
          <w:szCs w:val="21"/>
          <w:highlight w:val="none"/>
        </w:rPr>
        <w:t>.</w:t>
      </w:r>
      <w:r>
        <w:rPr>
          <w:rFonts w:ascii="宋体" w:hAnsi="宋体"/>
          <w:kern w:val="0"/>
          <w:szCs w:val="21"/>
          <w:highlight w:val="none"/>
        </w:rPr>
        <w:t>2</w:t>
      </w:r>
      <w:r>
        <w:rPr>
          <w:rFonts w:ascii="宋体" w:hAnsi="宋体"/>
          <w:spacing w:val="1"/>
          <w:kern w:val="0"/>
          <w:szCs w:val="21"/>
          <w:highlight w:val="none"/>
        </w:rPr>
        <w:t xml:space="preserve"> </w:t>
      </w:r>
      <w:r>
        <w:rPr>
          <w:rFonts w:ascii="宋体" w:hAnsi="宋体"/>
          <w:kern w:val="0"/>
          <w:szCs w:val="21"/>
          <w:highlight w:val="none"/>
        </w:rPr>
        <w:t>款</w:t>
      </w:r>
      <w:r>
        <w:rPr>
          <w:rFonts w:ascii="宋体" w:hAnsi="宋体"/>
          <w:spacing w:val="-1"/>
          <w:kern w:val="0"/>
          <w:szCs w:val="21"/>
          <w:highlight w:val="none"/>
        </w:rPr>
        <w:t>规</w:t>
      </w:r>
      <w:r>
        <w:rPr>
          <w:rFonts w:ascii="宋体" w:hAnsi="宋体"/>
          <w:kern w:val="0"/>
          <w:szCs w:val="21"/>
          <w:highlight w:val="none"/>
        </w:rPr>
        <w:t>定的评分标准进行</w:t>
      </w:r>
      <w:r>
        <w:rPr>
          <w:rFonts w:hint="eastAsia" w:ascii="宋体" w:hAnsi="宋体"/>
          <w:kern w:val="0"/>
          <w:szCs w:val="21"/>
          <w:highlight w:val="none"/>
          <w:lang w:eastAsia="zh-CN"/>
        </w:rPr>
        <w:t>评分</w:t>
      </w:r>
      <w:r>
        <w:rPr>
          <w:rFonts w:ascii="宋体" w:hAnsi="宋体"/>
          <w:kern w:val="0"/>
          <w:szCs w:val="21"/>
          <w:highlight w:val="none"/>
        </w:rPr>
        <w:t>，按得分由高到低顺序推荐中标候选人</w:t>
      </w:r>
      <w:r>
        <w:rPr>
          <w:rFonts w:ascii="宋体" w:hAnsi="宋体"/>
          <w:spacing w:val="-20"/>
          <w:kern w:val="0"/>
          <w:szCs w:val="21"/>
          <w:highlight w:val="none"/>
        </w:rPr>
        <w:t>，</w:t>
      </w:r>
      <w:r>
        <w:rPr>
          <w:rFonts w:ascii="宋体" w:hAnsi="宋体"/>
          <w:kern w:val="0"/>
          <w:szCs w:val="21"/>
          <w:highlight w:val="none"/>
        </w:rPr>
        <w:t>或根据</w:t>
      </w:r>
      <w:r>
        <w:rPr>
          <w:rFonts w:hint="eastAsia" w:ascii="宋体" w:hAnsi="宋体"/>
          <w:kern w:val="0"/>
          <w:szCs w:val="21"/>
          <w:highlight w:val="none"/>
          <w:lang w:eastAsia="zh-CN"/>
        </w:rPr>
        <w:t>比选人</w:t>
      </w:r>
      <w:r>
        <w:rPr>
          <w:rFonts w:ascii="宋体" w:hAnsi="宋体"/>
          <w:kern w:val="0"/>
          <w:szCs w:val="21"/>
          <w:highlight w:val="none"/>
        </w:rPr>
        <w:t>授权直接确定中标人</w:t>
      </w:r>
      <w:r>
        <w:rPr>
          <w:rFonts w:hint="eastAsia" w:ascii="宋体" w:hAnsi="宋体"/>
          <w:kern w:val="0"/>
          <w:szCs w:val="21"/>
          <w:highlight w:val="none"/>
        </w:rPr>
        <w:t>，若出现</w:t>
      </w:r>
      <w:r>
        <w:rPr>
          <w:rFonts w:hint="eastAsia" w:ascii="宋体" w:hAnsi="宋体"/>
          <w:kern w:val="0"/>
          <w:szCs w:val="21"/>
          <w:highlight w:val="none"/>
          <w:lang w:eastAsia="zh-CN"/>
        </w:rPr>
        <w:t>比选申请人</w:t>
      </w:r>
      <w:r>
        <w:rPr>
          <w:rFonts w:hint="eastAsia" w:ascii="宋体" w:hAnsi="宋体"/>
          <w:kern w:val="0"/>
          <w:szCs w:val="21"/>
          <w:highlight w:val="none"/>
        </w:rPr>
        <w:t>综合评分相等的，以评标办法前附表约定的原则确定排序</w:t>
      </w:r>
      <w:r>
        <w:rPr>
          <w:rFonts w:ascii="宋体" w:hAnsi="宋体"/>
          <w:spacing w:val="-31"/>
          <w:kern w:val="0"/>
          <w:szCs w:val="21"/>
          <w:highlight w:val="none"/>
        </w:rPr>
        <w:t>。</w:t>
      </w:r>
    </w:p>
    <w:p w14:paraId="2B906459">
      <w:pPr>
        <w:pStyle w:val="4"/>
        <w:spacing w:before="0" w:after="0" w:line="360" w:lineRule="auto"/>
        <w:rPr>
          <w:rFonts w:ascii="宋体" w:hAnsi="宋体"/>
          <w:b w:val="0"/>
          <w:snapToGrid w:val="0"/>
          <w:highlight w:val="none"/>
        </w:rPr>
      </w:pPr>
      <w:bookmarkStart w:id="584" w:name="_Toc224103385"/>
      <w:bookmarkStart w:id="585" w:name="_Toc200513199"/>
      <w:bookmarkStart w:id="586" w:name="_Toc509218777"/>
      <w:bookmarkStart w:id="587" w:name="_Toc430530501"/>
      <w:bookmarkStart w:id="588" w:name="_Toc287620752"/>
      <w:bookmarkStart w:id="589" w:name="_Toc1457"/>
      <w:bookmarkStart w:id="590" w:name="_Toc13383"/>
      <w:bookmarkStart w:id="591" w:name="_Toc287607813"/>
      <w:bookmarkStart w:id="592" w:name="_Toc277082619"/>
      <w:r>
        <w:rPr>
          <w:rFonts w:ascii="宋体" w:hAnsi="宋体"/>
          <w:b w:val="0"/>
          <w:snapToGrid w:val="0"/>
          <w:highlight w:val="none"/>
        </w:rPr>
        <w:t>2.  评审标准</w:t>
      </w:r>
      <w:bookmarkEnd w:id="584"/>
      <w:bookmarkEnd w:id="585"/>
      <w:bookmarkEnd w:id="586"/>
      <w:bookmarkEnd w:id="587"/>
      <w:bookmarkEnd w:id="588"/>
      <w:bookmarkEnd w:id="589"/>
      <w:bookmarkEnd w:id="590"/>
      <w:bookmarkEnd w:id="591"/>
      <w:bookmarkEnd w:id="592"/>
    </w:p>
    <w:p w14:paraId="45574FD0">
      <w:pPr>
        <w:pStyle w:val="5"/>
        <w:snapToGrid w:val="0"/>
        <w:spacing w:before="0" w:after="0" w:line="360" w:lineRule="auto"/>
        <w:rPr>
          <w:rFonts w:ascii="宋体" w:hAnsi="宋体"/>
          <w:b w:val="0"/>
          <w:snapToGrid w:val="0"/>
          <w:sz w:val="24"/>
          <w:szCs w:val="24"/>
          <w:highlight w:val="none"/>
        </w:rPr>
      </w:pPr>
      <w:bookmarkStart w:id="593" w:name="_Toc287607814"/>
      <w:bookmarkStart w:id="594" w:name="_Toc509218778"/>
      <w:bookmarkStart w:id="595" w:name="_Toc200513200"/>
      <w:bookmarkStart w:id="596" w:name="_Toc224103386"/>
      <w:bookmarkStart w:id="597" w:name="_Toc287620753"/>
      <w:bookmarkStart w:id="598" w:name="_Toc2071"/>
      <w:bookmarkStart w:id="599" w:name="_Toc277082620"/>
      <w:bookmarkStart w:id="600" w:name="_Toc430530502"/>
      <w:bookmarkStart w:id="601" w:name="_Toc29541"/>
      <w:r>
        <w:rPr>
          <w:rFonts w:ascii="宋体" w:hAnsi="宋体"/>
          <w:b w:val="0"/>
          <w:snapToGrid w:val="0"/>
          <w:sz w:val="24"/>
          <w:szCs w:val="24"/>
          <w:highlight w:val="none"/>
        </w:rPr>
        <w:t>2.1  初步评审标准</w:t>
      </w:r>
      <w:bookmarkEnd w:id="593"/>
      <w:bookmarkEnd w:id="594"/>
      <w:bookmarkEnd w:id="595"/>
      <w:bookmarkEnd w:id="596"/>
      <w:bookmarkEnd w:id="597"/>
      <w:bookmarkEnd w:id="598"/>
      <w:bookmarkEnd w:id="599"/>
      <w:bookmarkEnd w:id="600"/>
      <w:bookmarkEnd w:id="601"/>
    </w:p>
    <w:p w14:paraId="2592C86A">
      <w:pPr>
        <w:autoSpaceDE w:val="0"/>
        <w:autoSpaceDN w:val="0"/>
        <w:adjustRightInd w:val="0"/>
        <w:snapToGrid w:val="0"/>
        <w:spacing w:line="360" w:lineRule="auto"/>
        <w:ind w:firstLine="535" w:firstLineChars="255"/>
        <w:rPr>
          <w:rFonts w:ascii="宋体" w:hAnsi="宋体"/>
          <w:kern w:val="0"/>
          <w:szCs w:val="21"/>
          <w:highlight w:val="none"/>
        </w:rPr>
      </w:pPr>
      <w:r>
        <w:rPr>
          <w:rFonts w:ascii="宋体" w:hAnsi="宋体"/>
          <w:kern w:val="0"/>
          <w:szCs w:val="21"/>
          <w:highlight w:val="none"/>
        </w:rPr>
        <w:t>2.1.</w:t>
      </w:r>
      <w:r>
        <w:rPr>
          <w:rFonts w:hint="eastAsia" w:ascii="宋体" w:hAnsi="宋体"/>
          <w:kern w:val="0"/>
          <w:szCs w:val="21"/>
          <w:highlight w:val="none"/>
        </w:rPr>
        <w:t>1</w:t>
      </w:r>
      <w:r>
        <w:rPr>
          <w:rFonts w:ascii="宋体" w:hAnsi="宋体"/>
          <w:kern w:val="0"/>
          <w:szCs w:val="21"/>
          <w:highlight w:val="none"/>
        </w:rPr>
        <w:t xml:space="preserve">  资格评审标准：见评标办法前附表。</w:t>
      </w:r>
    </w:p>
    <w:p w14:paraId="5E9D361B">
      <w:pPr>
        <w:autoSpaceDE w:val="0"/>
        <w:autoSpaceDN w:val="0"/>
        <w:adjustRightInd w:val="0"/>
        <w:snapToGrid w:val="0"/>
        <w:spacing w:line="360" w:lineRule="auto"/>
        <w:ind w:firstLine="535" w:firstLineChars="255"/>
        <w:rPr>
          <w:rFonts w:ascii="宋体" w:hAnsi="宋体"/>
          <w:kern w:val="0"/>
          <w:szCs w:val="21"/>
          <w:highlight w:val="none"/>
        </w:rPr>
      </w:pPr>
      <w:r>
        <w:rPr>
          <w:rFonts w:ascii="宋体" w:hAnsi="宋体"/>
          <w:kern w:val="0"/>
          <w:szCs w:val="21"/>
          <w:highlight w:val="none"/>
        </w:rPr>
        <w:t>2.1.</w:t>
      </w:r>
      <w:r>
        <w:rPr>
          <w:rFonts w:hint="eastAsia" w:ascii="宋体" w:hAnsi="宋体"/>
          <w:kern w:val="0"/>
          <w:szCs w:val="21"/>
          <w:highlight w:val="none"/>
        </w:rPr>
        <w:t>2</w:t>
      </w:r>
      <w:r>
        <w:rPr>
          <w:rFonts w:ascii="宋体" w:hAnsi="宋体"/>
          <w:kern w:val="0"/>
          <w:szCs w:val="21"/>
          <w:highlight w:val="none"/>
        </w:rPr>
        <w:t xml:space="preserve">  形式评审标准：见评标办法前附表。</w:t>
      </w:r>
    </w:p>
    <w:p w14:paraId="5F4D3145">
      <w:pPr>
        <w:autoSpaceDE w:val="0"/>
        <w:autoSpaceDN w:val="0"/>
        <w:adjustRightInd w:val="0"/>
        <w:snapToGrid w:val="0"/>
        <w:spacing w:line="360" w:lineRule="auto"/>
        <w:ind w:firstLine="535" w:firstLineChars="255"/>
        <w:rPr>
          <w:rFonts w:ascii="宋体" w:hAnsi="宋体"/>
          <w:kern w:val="0"/>
          <w:szCs w:val="21"/>
          <w:highlight w:val="none"/>
        </w:rPr>
      </w:pPr>
      <w:r>
        <w:rPr>
          <w:rFonts w:ascii="宋体" w:hAnsi="宋体"/>
          <w:kern w:val="0"/>
          <w:szCs w:val="21"/>
          <w:highlight w:val="none"/>
        </w:rPr>
        <w:t>2.1.3  响应性评审标准：见评标办法前附表。</w:t>
      </w:r>
    </w:p>
    <w:p w14:paraId="5B85AB57">
      <w:pPr>
        <w:pStyle w:val="5"/>
        <w:snapToGrid w:val="0"/>
        <w:spacing w:before="0" w:after="0" w:line="360" w:lineRule="auto"/>
        <w:rPr>
          <w:rFonts w:ascii="宋体" w:hAnsi="宋体"/>
          <w:b w:val="0"/>
          <w:snapToGrid w:val="0"/>
          <w:sz w:val="24"/>
          <w:szCs w:val="24"/>
          <w:highlight w:val="none"/>
        </w:rPr>
      </w:pPr>
      <w:bookmarkStart w:id="602" w:name="_Toc200513201"/>
      <w:bookmarkStart w:id="603" w:name="_Toc287607815"/>
      <w:bookmarkStart w:id="604" w:name="_Toc430530503"/>
      <w:bookmarkStart w:id="605" w:name="_Toc27323"/>
      <w:bookmarkStart w:id="606" w:name="_Toc287620754"/>
      <w:bookmarkStart w:id="607" w:name="_Toc224103387"/>
      <w:bookmarkStart w:id="608" w:name="_Toc5630"/>
      <w:bookmarkStart w:id="609" w:name="_Toc509218779"/>
      <w:bookmarkStart w:id="610" w:name="_Toc277082621"/>
      <w:r>
        <w:rPr>
          <w:rFonts w:ascii="宋体" w:hAnsi="宋体"/>
          <w:b w:val="0"/>
          <w:snapToGrid w:val="0"/>
          <w:sz w:val="24"/>
          <w:szCs w:val="24"/>
          <w:highlight w:val="none"/>
        </w:rPr>
        <w:t>2.2  分值构成与评分标准</w:t>
      </w:r>
      <w:bookmarkEnd w:id="602"/>
      <w:bookmarkEnd w:id="603"/>
      <w:bookmarkEnd w:id="604"/>
      <w:bookmarkEnd w:id="605"/>
      <w:bookmarkEnd w:id="606"/>
      <w:bookmarkEnd w:id="607"/>
      <w:bookmarkEnd w:id="608"/>
      <w:bookmarkEnd w:id="609"/>
      <w:bookmarkEnd w:id="610"/>
    </w:p>
    <w:p w14:paraId="6384C08E">
      <w:pPr>
        <w:autoSpaceDE w:val="0"/>
        <w:autoSpaceDN w:val="0"/>
        <w:adjustRightInd w:val="0"/>
        <w:snapToGrid w:val="0"/>
        <w:spacing w:line="360" w:lineRule="auto"/>
        <w:ind w:firstLine="525" w:firstLineChars="250"/>
        <w:rPr>
          <w:rFonts w:ascii="宋体" w:hAnsi="宋体"/>
          <w:kern w:val="0"/>
          <w:szCs w:val="21"/>
          <w:highlight w:val="none"/>
        </w:rPr>
      </w:pPr>
      <w:r>
        <w:rPr>
          <w:rFonts w:ascii="宋体" w:hAnsi="宋体"/>
          <w:kern w:val="0"/>
          <w:szCs w:val="21"/>
          <w:highlight w:val="none"/>
        </w:rPr>
        <w:t>2.2.1  分值构成</w:t>
      </w:r>
    </w:p>
    <w:p w14:paraId="1009E690">
      <w:pPr>
        <w:autoSpaceDE w:val="0"/>
        <w:autoSpaceDN w:val="0"/>
        <w:adjustRightInd w:val="0"/>
        <w:snapToGrid w:val="0"/>
        <w:spacing w:line="360" w:lineRule="auto"/>
        <w:ind w:firstLine="420" w:firstLineChars="200"/>
        <w:rPr>
          <w:rFonts w:hint="eastAsia" w:ascii="宋体" w:hAnsi="宋体"/>
          <w:kern w:val="0"/>
          <w:szCs w:val="21"/>
          <w:highlight w:val="none"/>
        </w:rPr>
      </w:pPr>
      <w:r>
        <w:rPr>
          <w:rFonts w:ascii="宋体" w:hAnsi="宋体"/>
          <w:kern w:val="0"/>
          <w:szCs w:val="21"/>
          <w:highlight w:val="none"/>
        </w:rPr>
        <w:t>（</w:t>
      </w:r>
      <w:r>
        <w:rPr>
          <w:rFonts w:hint="eastAsia" w:ascii="宋体" w:hAnsi="宋体"/>
          <w:spacing w:val="1"/>
          <w:kern w:val="0"/>
          <w:szCs w:val="21"/>
          <w:highlight w:val="none"/>
        </w:rPr>
        <w:t>1</w:t>
      </w:r>
      <w:r>
        <w:rPr>
          <w:rFonts w:ascii="宋体" w:hAnsi="宋体"/>
          <w:kern w:val="0"/>
          <w:szCs w:val="21"/>
          <w:highlight w:val="none"/>
        </w:rPr>
        <w:t>）技术</w:t>
      </w:r>
      <w:r>
        <w:rPr>
          <w:rFonts w:hint="eastAsia" w:ascii="宋体" w:hAnsi="宋体"/>
          <w:kern w:val="0"/>
          <w:szCs w:val="21"/>
          <w:highlight w:val="none"/>
          <w:lang w:val="en-US" w:eastAsia="zh-CN"/>
        </w:rPr>
        <w:t>评审分值</w:t>
      </w:r>
      <w:r>
        <w:rPr>
          <w:rFonts w:ascii="宋体" w:hAnsi="宋体"/>
          <w:kern w:val="0"/>
          <w:szCs w:val="21"/>
          <w:highlight w:val="none"/>
        </w:rPr>
        <w:t>：见评标办法前附表</w:t>
      </w:r>
      <w:r>
        <w:rPr>
          <w:rFonts w:hint="eastAsia" w:ascii="宋体" w:hAnsi="宋体"/>
          <w:kern w:val="0"/>
          <w:szCs w:val="21"/>
          <w:highlight w:val="none"/>
        </w:rPr>
        <w:t>；</w:t>
      </w:r>
    </w:p>
    <w:p w14:paraId="626A34C7">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w:t>
      </w:r>
      <w:r>
        <w:rPr>
          <w:rFonts w:hint="eastAsia" w:ascii="宋体" w:hAnsi="宋体"/>
          <w:spacing w:val="1"/>
          <w:kern w:val="0"/>
          <w:szCs w:val="21"/>
          <w:highlight w:val="none"/>
          <w:lang w:val="en-US" w:eastAsia="zh-CN"/>
        </w:rPr>
        <w:t>2</w:t>
      </w:r>
      <w:r>
        <w:rPr>
          <w:rFonts w:ascii="宋体" w:hAnsi="宋体"/>
          <w:kern w:val="0"/>
          <w:szCs w:val="21"/>
          <w:highlight w:val="none"/>
        </w:rPr>
        <w:t>）</w:t>
      </w:r>
      <w:r>
        <w:rPr>
          <w:rFonts w:hint="eastAsia" w:ascii="宋体" w:hAnsi="宋体"/>
          <w:kern w:val="0"/>
          <w:szCs w:val="21"/>
          <w:highlight w:val="none"/>
          <w:lang w:val="en-US" w:eastAsia="zh-CN"/>
        </w:rPr>
        <w:t>报价评审分值</w:t>
      </w:r>
      <w:r>
        <w:rPr>
          <w:rFonts w:ascii="宋体" w:hAnsi="宋体"/>
          <w:kern w:val="0"/>
          <w:szCs w:val="21"/>
          <w:highlight w:val="none"/>
        </w:rPr>
        <w:t>：见评标办法前附表</w:t>
      </w:r>
      <w:r>
        <w:rPr>
          <w:rFonts w:hint="eastAsia" w:ascii="宋体" w:hAnsi="宋体"/>
          <w:kern w:val="0"/>
          <w:szCs w:val="21"/>
          <w:highlight w:val="none"/>
        </w:rPr>
        <w:t>。</w:t>
      </w:r>
    </w:p>
    <w:p w14:paraId="5C576A74">
      <w:pPr>
        <w:autoSpaceDE w:val="0"/>
        <w:autoSpaceDN w:val="0"/>
        <w:adjustRightInd w:val="0"/>
        <w:snapToGrid w:val="0"/>
        <w:spacing w:line="360" w:lineRule="auto"/>
        <w:ind w:firstLine="535" w:firstLineChars="255"/>
        <w:rPr>
          <w:rFonts w:ascii="宋体" w:hAnsi="宋体"/>
          <w:kern w:val="0"/>
          <w:szCs w:val="21"/>
          <w:highlight w:val="none"/>
        </w:rPr>
      </w:pPr>
      <w:r>
        <w:rPr>
          <w:rFonts w:ascii="宋体" w:hAnsi="宋体"/>
          <w:kern w:val="0"/>
          <w:szCs w:val="21"/>
          <w:highlight w:val="none"/>
        </w:rPr>
        <w:t>2.2.</w:t>
      </w:r>
      <w:r>
        <w:rPr>
          <w:rFonts w:hint="eastAsia" w:ascii="宋体" w:hAnsi="宋体"/>
          <w:kern w:val="0"/>
          <w:szCs w:val="21"/>
          <w:highlight w:val="none"/>
        </w:rPr>
        <w:t>2  评审标准</w:t>
      </w:r>
    </w:p>
    <w:p w14:paraId="32C14912">
      <w:pPr>
        <w:autoSpaceDE w:val="0"/>
        <w:autoSpaceDN w:val="0"/>
        <w:adjustRightInd w:val="0"/>
        <w:snapToGrid w:val="0"/>
        <w:spacing w:line="360" w:lineRule="auto"/>
        <w:ind w:firstLine="535" w:firstLineChars="255"/>
        <w:rPr>
          <w:rFonts w:ascii="宋体" w:hAnsi="宋体"/>
          <w:kern w:val="0"/>
          <w:szCs w:val="21"/>
          <w:highlight w:val="none"/>
        </w:rPr>
      </w:pPr>
      <w:r>
        <w:rPr>
          <w:rFonts w:hint="eastAsia" w:ascii="宋体" w:hAnsi="宋体"/>
          <w:kern w:val="0"/>
          <w:szCs w:val="21"/>
          <w:highlight w:val="none"/>
        </w:rPr>
        <w:t>（1）</w:t>
      </w:r>
      <w:r>
        <w:rPr>
          <w:rFonts w:ascii="宋体" w:hAnsi="宋体"/>
          <w:kern w:val="0"/>
          <w:szCs w:val="21"/>
          <w:highlight w:val="none"/>
        </w:rPr>
        <w:t>技术</w:t>
      </w:r>
      <w:r>
        <w:rPr>
          <w:rFonts w:hint="eastAsia" w:ascii="宋体" w:hAnsi="宋体"/>
          <w:kern w:val="0"/>
          <w:szCs w:val="21"/>
          <w:highlight w:val="none"/>
          <w:lang w:val="en-US" w:eastAsia="zh-CN"/>
        </w:rPr>
        <w:t>评审</w:t>
      </w:r>
      <w:r>
        <w:rPr>
          <w:rFonts w:ascii="宋体" w:hAnsi="宋体"/>
          <w:kern w:val="0"/>
          <w:szCs w:val="21"/>
          <w:highlight w:val="none"/>
        </w:rPr>
        <w:t>标准：见评标办法前附表；</w:t>
      </w:r>
    </w:p>
    <w:p w14:paraId="1C9DE2A3">
      <w:pPr>
        <w:autoSpaceDE w:val="0"/>
        <w:autoSpaceDN w:val="0"/>
        <w:adjustRightInd w:val="0"/>
        <w:snapToGrid w:val="0"/>
        <w:spacing w:line="360" w:lineRule="auto"/>
        <w:ind w:firstLine="535" w:firstLineChars="255"/>
        <w:rPr>
          <w:rFonts w:hint="eastAsia" w:ascii="宋体" w:hAnsi="宋体" w:eastAsia="宋体"/>
          <w:kern w:val="0"/>
          <w:szCs w:val="21"/>
          <w:highlight w:val="none"/>
          <w:lang w:eastAsia="zh-CN"/>
        </w:rPr>
      </w:pPr>
      <w:r>
        <w:rPr>
          <w:rFonts w:hint="eastAsia" w:ascii="宋体" w:hAnsi="宋体"/>
          <w:kern w:val="0"/>
          <w:szCs w:val="21"/>
          <w:highlight w:val="none"/>
        </w:rPr>
        <w:t>（</w:t>
      </w:r>
      <w:r>
        <w:rPr>
          <w:rFonts w:hint="eastAsia" w:ascii="宋体" w:hAnsi="宋体"/>
          <w:kern w:val="0"/>
          <w:szCs w:val="21"/>
          <w:highlight w:val="none"/>
          <w:lang w:val="en-US" w:eastAsia="zh-CN"/>
        </w:rPr>
        <w:t>2</w:t>
      </w:r>
      <w:r>
        <w:rPr>
          <w:rFonts w:hint="eastAsia" w:ascii="宋体" w:hAnsi="宋体"/>
          <w:kern w:val="0"/>
          <w:szCs w:val="21"/>
          <w:highlight w:val="none"/>
        </w:rPr>
        <w:t>）投标函</w:t>
      </w:r>
      <w:r>
        <w:rPr>
          <w:rFonts w:hint="eastAsia" w:ascii="宋体" w:hAnsi="宋体"/>
          <w:kern w:val="0"/>
          <w:szCs w:val="21"/>
          <w:highlight w:val="none"/>
          <w:lang w:val="en-US" w:eastAsia="zh-CN"/>
        </w:rPr>
        <w:t>部分</w:t>
      </w:r>
      <w:r>
        <w:rPr>
          <w:rFonts w:hint="eastAsia" w:ascii="宋体" w:hAnsi="宋体"/>
          <w:kern w:val="0"/>
          <w:szCs w:val="21"/>
          <w:highlight w:val="none"/>
        </w:rPr>
        <w:t>评审标准：见评标办法前附表</w:t>
      </w:r>
      <w:r>
        <w:rPr>
          <w:rFonts w:hint="eastAsia" w:ascii="宋体" w:hAnsi="宋体"/>
          <w:kern w:val="0"/>
          <w:szCs w:val="21"/>
          <w:highlight w:val="none"/>
          <w:lang w:val="en-US" w:eastAsia="zh-CN"/>
        </w:rPr>
        <w:t>。</w:t>
      </w:r>
    </w:p>
    <w:p w14:paraId="5D6F10A2">
      <w:pPr>
        <w:autoSpaceDE w:val="0"/>
        <w:autoSpaceDN w:val="0"/>
        <w:adjustRightInd w:val="0"/>
        <w:snapToGrid w:val="0"/>
        <w:spacing w:line="360" w:lineRule="auto"/>
        <w:ind w:firstLine="535" w:firstLineChars="255"/>
        <w:rPr>
          <w:rFonts w:ascii="宋体" w:hAnsi="宋体"/>
          <w:kern w:val="0"/>
          <w:szCs w:val="21"/>
          <w:highlight w:val="none"/>
        </w:rPr>
      </w:pPr>
      <w:r>
        <w:rPr>
          <w:rFonts w:ascii="宋体" w:hAnsi="宋体"/>
          <w:kern w:val="0"/>
          <w:szCs w:val="21"/>
          <w:highlight w:val="none"/>
        </w:rPr>
        <w:t>2.2.</w:t>
      </w:r>
      <w:r>
        <w:rPr>
          <w:rFonts w:hint="eastAsia" w:ascii="宋体" w:hAnsi="宋体"/>
          <w:kern w:val="0"/>
          <w:szCs w:val="21"/>
          <w:highlight w:val="none"/>
        </w:rPr>
        <w:t>3</w:t>
      </w:r>
      <w:r>
        <w:rPr>
          <w:rFonts w:ascii="宋体" w:hAnsi="宋体"/>
          <w:kern w:val="0"/>
          <w:szCs w:val="21"/>
          <w:highlight w:val="none"/>
        </w:rPr>
        <w:t xml:space="preserve">  评标基准价计算</w:t>
      </w:r>
    </w:p>
    <w:p w14:paraId="336DAD33">
      <w:pPr>
        <w:autoSpaceDE w:val="0"/>
        <w:autoSpaceDN w:val="0"/>
        <w:adjustRightInd w:val="0"/>
        <w:snapToGrid w:val="0"/>
        <w:spacing w:line="360" w:lineRule="auto"/>
        <w:ind w:firstLine="535" w:firstLineChars="255"/>
        <w:rPr>
          <w:rFonts w:ascii="宋体" w:hAnsi="宋体"/>
          <w:kern w:val="0"/>
          <w:szCs w:val="21"/>
          <w:highlight w:val="none"/>
        </w:rPr>
      </w:pPr>
      <w:r>
        <w:rPr>
          <w:rFonts w:ascii="宋体" w:hAnsi="宋体"/>
          <w:kern w:val="0"/>
          <w:szCs w:val="21"/>
          <w:highlight w:val="none"/>
        </w:rPr>
        <w:t>评标基准价计算方法：见评标办法前附表。</w:t>
      </w:r>
    </w:p>
    <w:p w14:paraId="41187C42">
      <w:pPr>
        <w:autoSpaceDE w:val="0"/>
        <w:autoSpaceDN w:val="0"/>
        <w:adjustRightInd w:val="0"/>
        <w:snapToGrid w:val="0"/>
        <w:spacing w:line="360" w:lineRule="auto"/>
        <w:ind w:firstLine="535" w:firstLineChars="255"/>
        <w:rPr>
          <w:rFonts w:ascii="宋体" w:hAnsi="宋体"/>
          <w:kern w:val="0"/>
          <w:szCs w:val="21"/>
          <w:highlight w:val="none"/>
        </w:rPr>
      </w:pPr>
      <w:r>
        <w:rPr>
          <w:rFonts w:ascii="宋体" w:hAnsi="宋体"/>
          <w:kern w:val="0"/>
          <w:szCs w:val="21"/>
          <w:highlight w:val="none"/>
        </w:rPr>
        <w:t>2.2.</w:t>
      </w:r>
      <w:r>
        <w:rPr>
          <w:rFonts w:hint="eastAsia" w:ascii="宋体" w:hAnsi="宋体"/>
          <w:kern w:val="0"/>
          <w:szCs w:val="21"/>
          <w:highlight w:val="none"/>
        </w:rPr>
        <w:t>4</w:t>
      </w:r>
      <w:r>
        <w:rPr>
          <w:rFonts w:ascii="宋体" w:hAnsi="宋体"/>
          <w:kern w:val="0"/>
          <w:szCs w:val="21"/>
          <w:highlight w:val="none"/>
        </w:rPr>
        <w:t xml:space="preserve"> </w:t>
      </w:r>
      <w:r>
        <w:rPr>
          <w:rFonts w:hint="eastAsia" w:ascii="宋体" w:hAnsi="宋体"/>
          <w:kern w:val="0"/>
          <w:szCs w:val="21"/>
          <w:highlight w:val="none"/>
        </w:rPr>
        <w:t xml:space="preserve"> </w:t>
      </w:r>
      <w:r>
        <w:rPr>
          <w:rFonts w:ascii="宋体" w:hAnsi="宋体"/>
          <w:kern w:val="0"/>
          <w:szCs w:val="21"/>
          <w:highlight w:val="none"/>
        </w:rPr>
        <w:t>投标报价的偏差率计算</w:t>
      </w:r>
      <w:r>
        <w:rPr>
          <w:rFonts w:hint="eastAsia" w:ascii="宋体" w:hAnsi="宋体"/>
          <w:kern w:val="0"/>
          <w:szCs w:val="21"/>
          <w:highlight w:val="none"/>
        </w:rPr>
        <w:t>和允许偏差范围</w:t>
      </w:r>
    </w:p>
    <w:p w14:paraId="357FA3B6">
      <w:pPr>
        <w:autoSpaceDE w:val="0"/>
        <w:autoSpaceDN w:val="0"/>
        <w:adjustRightInd w:val="0"/>
        <w:snapToGrid w:val="0"/>
        <w:spacing w:line="360" w:lineRule="auto"/>
        <w:ind w:firstLine="420" w:firstLineChars="200"/>
        <w:rPr>
          <w:rFonts w:ascii="宋体" w:hAnsi="宋体"/>
          <w:kern w:val="0"/>
          <w:szCs w:val="21"/>
          <w:highlight w:val="none"/>
        </w:rPr>
      </w:pPr>
      <w:r>
        <w:rPr>
          <w:rFonts w:hint="eastAsia" w:ascii="宋体" w:hAnsi="宋体"/>
          <w:kern w:val="0"/>
          <w:szCs w:val="21"/>
          <w:highlight w:val="none"/>
        </w:rPr>
        <w:t>（1）</w:t>
      </w:r>
      <w:r>
        <w:rPr>
          <w:rFonts w:ascii="宋体" w:hAnsi="宋体"/>
          <w:kern w:val="0"/>
          <w:szCs w:val="21"/>
          <w:highlight w:val="none"/>
        </w:rPr>
        <w:t>投标报价的偏差率计算公式：见评标办法前附表</w:t>
      </w:r>
      <w:r>
        <w:rPr>
          <w:rFonts w:hint="eastAsia" w:ascii="宋体" w:hAnsi="宋体"/>
          <w:kern w:val="0"/>
          <w:szCs w:val="21"/>
          <w:highlight w:val="none"/>
        </w:rPr>
        <w:t>；</w:t>
      </w:r>
    </w:p>
    <w:p w14:paraId="4C7F841A">
      <w:pPr>
        <w:autoSpaceDE w:val="0"/>
        <w:autoSpaceDN w:val="0"/>
        <w:adjustRightInd w:val="0"/>
        <w:snapToGrid w:val="0"/>
        <w:spacing w:line="360" w:lineRule="auto"/>
        <w:ind w:firstLine="420" w:firstLineChars="200"/>
        <w:rPr>
          <w:rFonts w:ascii="宋体" w:hAnsi="宋体"/>
          <w:kern w:val="0"/>
          <w:szCs w:val="21"/>
          <w:highlight w:val="none"/>
        </w:rPr>
      </w:pPr>
      <w:r>
        <w:rPr>
          <w:rFonts w:hint="eastAsia" w:ascii="宋体" w:hAnsi="宋体"/>
          <w:kern w:val="0"/>
          <w:szCs w:val="21"/>
          <w:highlight w:val="none"/>
        </w:rPr>
        <w:t>（2）投标报价的允许偏差范围</w:t>
      </w:r>
      <w:r>
        <w:rPr>
          <w:rFonts w:ascii="宋体" w:hAnsi="宋体"/>
          <w:kern w:val="0"/>
          <w:szCs w:val="21"/>
          <w:highlight w:val="none"/>
        </w:rPr>
        <w:t>：见评标办法前附表</w:t>
      </w:r>
      <w:r>
        <w:rPr>
          <w:rFonts w:hint="eastAsia" w:ascii="宋体" w:hAnsi="宋体"/>
          <w:kern w:val="0"/>
          <w:szCs w:val="21"/>
          <w:highlight w:val="none"/>
        </w:rPr>
        <w:t>。</w:t>
      </w:r>
    </w:p>
    <w:p w14:paraId="55747430">
      <w:pPr>
        <w:pStyle w:val="4"/>
        <w:spacing w:before="0" w:after="0" w:line="360" w:lineRule="auto"/>
        <w:rPr>
          <w:rFonts w:ascii="宋体" w:hAnsi="宋体"/>
          <w:b w:val="0"/>
          <w:snapToGrid w:val="0"/>
          <w:highlight w:val="none"/>
        </w:rPr>
      </w:pPr>
      <w:bookmarkStart w:id="611" w:name="_Toc509218780"/>
      <w:bookmarkStart w:id="612" w:name="_Toc287620755"/>
      <w:bookmarkStart w:id="613" w:name="_Toc200513202"/>
      <w:bookmarkStart w:id="614" w:name="_Toc277082622"/>
      <w:bookmarkStart w:id="615" w:name="_Toc430530504"/>
      <w:bookmarkStart w:id="616" w:name="_Toc8274"/>
      <w:bookmarkStart w:id="617" w:name="_Toc17013"/>
      <w:bookmarkStart w:id="618" w:name="_Toc287607816"/>
      <w:bookmarkStart w:id="619" w:name="_Toc224103388"/>
      <w:r>
        <w:rPr>
          <w:rFonts w:ascii="宋体" w:hAnsi="宋体"/>
          <w:b w:val="0"/>
          <w:snapToGrid w:val="0"/>
          <w:highlight w:val="none"/>
        </w:rPr>
        <w:t>3.  评标程序</w:t>
      </w:r>
      <w:bookmarkEnd w:id="611"/>
      <w:bookmarkEnd w:id="612"/>
      <w:bookmarkEnd w:id="613"/>
      <w:bookmarkEnd w:id="614"/>
      <w:bookmarkEnd w:id="615"/>
      <w:bookmarkEnd w:id="616"/>
      <w:bookmarkEnd w:id="617"/>
      <w:bookmarkEnd w:id="618"/>
      <w:bookmarkEnd w:id="619"/>
    </w:p>
    <w:p w14:paraId="79317F45">
      <w:pPr>
        <w:pStyle w:val="5"/>
        <w:snapToGrid w:val="0"/>
        <w:spacing w:before="0" w:after="0" w:line="360" w:lineRule="auto"/>
        <w:rPr>
          <w:rFonts w:ascii="宋体" w:hAnsi="宋体"/>
          <w:b w:val="0"/>
          <w:snapToGrid w:val="0"/>
          <w:sz w:val="24"/>
          <w:szCs w:val="24"/>
          <w:highlight w:val="none"/>
        </w:rPr>
      </w:pPr>
      <w:bookmarkStart w:id="620" w:name="_Toc277082623"/>
      <w:bookmarkStart w:id="621" w:name="_Toc200513203"/>
      <w:bookmarkStart w:id="622" w:name="_Toc224103389"/>
      <w:bookmarkStart w:id="623" w:name="_Toc9214"/>
      <w:bookmarkStart w:id="624" w:name="_Toc287620756"/>
      <w:bookmarkStart w:id="625" w:name="_Toc509218781"/>
      <w:bookmarkStart w:id="626" w:name="_Toc22005"/>
      <w:bookmarkStart w:id="627" w:name="_Toc287607817"/>
      <w:bookmarkStart w:id="628" w:name="_Toc430530505"/>
      <w:r>
        <w:rPr>
          <w:rFonts w:ascii="宋体" w:hAnsi="宋体"/>
          <w:b w:val="0"/>
          <w:snapToGrid w:val="0"/>
          <w:sz w:val="24"/>
          <w:szCs w:val="24"/>
          <w:highlight w:val="none"/>
        </w:rPr>
        <w:t>3.1  初步评审</w:t>
      </w:r>
      <w:bookmarkEnd w:id="620"/>
      <w:bookmarkEnd w:id="621"/>
      <w:bookmarkEnd w:id="622"/>
      <w:bookmarkEnd w:id="623"/>
      <w:bookmarkEnd w:id="624"/>
      <w:bookmarkEnd w:id="625"/>
      <w:bookmarkEnd w:id="626"/>
      <w:bookmarkEnd w:id="627"/>
      <w:bookmarkEnd w:id="628"/>
    </w:p>
    <w:p w14:paraId="2A3E5F4B">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3.1.1  评标委员会依据本章第 2.1 款规定的标准对</w:t>
      </w:r>
      <w:r>
        <w:rPr>
          <w:rFonts w:hint="eastAsia" w:ascii="宋体" w:hAnsi="宋体"/>
          <w:kern w:val="0"/>
          <w:szCs w:val="21"/>
          <w:highlight w:val="none"/>
          <w:lang w:eastAsia="zh-CN"/>
        </w:rPr>
        <w:t>比选申请文件</w:t>
      </w:r>
      <w:r>
        <w:rPr>
          <w:rFonts w:ascii="宋体" w:hAnsi="宋体"/>
          <w:kern w:val="0"/>
          <w:szCs w:val="21"/>
          <w:highlight w:val="none"/>
        </w:rPr>
        <w:t>进行初步评审。有一项不符合评审标准的，作否决投标处理。</w:t>
      </w:r>
    </w:p>
    <w:p w14:paraId="1DABA7C6">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3.1.</w:t>
      </w:r>
      <w:r>
        <w:rPr>
          <w:rFonts w:hint="eastAsia" w:ascii="宋体" w:hAnsi="宋体"/>
          <w:kern w:val="0"/>
          <w:szCs w:val="21"/>
          <w:highlight w:val="none"/>
          <w:lang w:val="en-US" w:eastAsia="zh-CN"/>
        </w:rPr>
        <w:t>2</w:t>
      </w:r>
      <w:r>
        <w:rPr>
          <w:rFonts w:ascii="宋体" w:hAnsi="宋体"/>
          <w:kern w:val="0"/>
          <w:szCs w:val="21"/>
          <w:highlight w:val="none"/>
        </w:rPr>
        <w:t xml:space="preserve">  </w:t>
      </w:r>
      <w:r>
        <w:rPr>
          <w:rFonts w:hint="eastAsia" w:ascii="宋体" w:hAnsi="宋体"/>
          <w:kern w:val="0"/>
          <w:szCs w:val="21"/>
          <w:highlight w:val="none"/>
          <w:lang w:eastAsia="zh-CN"/>
        </w:rPr>
        <w:t>比选申请文件</w:t>
      </w:r>
      <w:r>
        <w:rPr>
          <w:rFonts w:ascii="宋体" w:hAnsi="宋体"/>
          <w:kern w:val="0"/>
          <w:szCs w:val="21"/>
          <w:highlight w:val="none"/>
        </w:rPr>
        <w:t>中的大写金额与小写金额不一致的，评标委员会按</w:t>
      </w:r>
      <w:r>
        <w:rPr>
          <w:rFonts w:hint="eastAsia" w:ascii="宋体" w:hAnsi="宋体"/>
          <w:kern w:val="0"/>
          <w:szCs w:val="21"/>
          <w:highlight w:val="none"/>
          <w:lang w:val="en-US" w:eastAsia="zh-CN"/>
        </w:rPr>
        <w:t>照以大写金额为准的</w:t>
      </w:r>
      <w:r>
        <w:rPr>
          <w:rFonts w:ascii="宋体" w:hAnsi="宋体"/>
          <w:kern w:val="0"/>
          <w:szCs w:val="21"/>
          <w:highlight w:val="none"/>
        </w:rPr>
        <w:t>原则对投标报价进行修正，修正的价格经</w:t>
      </w:r>
      <w:r>
        <w:rPr>
          <w:rFonts w:hint="eastAsia" w:ascii="宋体" w:hAnsi="宋体"/>
          <w:kern w:val="0"/>
          <w:szCs w:val="21"/>
          <w:highlight w:val="none"/>
          <w:lang w:eastAsia="zh-CN"/>
        </w:rPr>
        <w:t>比选申请人</w:t>
      </w:r>
      <w:r>
        <w:rPr>
          <w:rFonts w:ascii="宋体" w:hAnsi="宋体"/>
          <w:kern w:val="0"/>
          <w:szCs w:val="21"/>
          <w:highlight w:val="none"/>
        </w:rPr>
        <w:t>书面确认后具有约束力。</w:t>
      </w:r>
    </w:p>
    <w:p w14:paraId="50110A7B">
      <w:pPr>
        <w:pStyle w:val="5"/>
        <w:snapToGrid w:val="0"/>
        <w:spacing w:before="0" w:after="0" w:line="360" w:lineRule="auto"/>
        <w:rPr>
          <w:rFonts w:ascii="宋体" w:hAnsi="宋体"/>
          <w:b w:val="0"/>
          <w:snapToGrid w:val="0"/>
          <w:sz w:val="24"/>
          <w:szCs w:val="24"/>
          <w:highlight w:val="none"/>
        </w:rPr>
      </w:pPr>
      <w:bookmarkStart w:id="629" w:name="_Toc509218782"/>
      <w:bookmarkStart w:id="630" w:name="_Toc30280"/>
      <w:bookmarkStart w:id="631" w:name="_Toc287620757"/>
      <w:bookmarkStart w:id="632" w:name="_Toc224103390"/>
      <w:bookmarkStart w:id="633" w:name="_Toc287607818"/>
      <w:bookmarkStart w:id="634" w:name="_Toc277082624"/>
      <w:bookmarkStart w:id="635" w:name="_Toc430530506"/>
      <w:bookmarkStart w:id="636" w:name="_Toc200513204"/>
      <w:bookmarkStart w:id="637" w:name="_Toc20043"/>
      <w:r>
        <w:rPr>
          <w:rFonts w:ascii="宋体" w:hAnsi="宋体"/>
          <w:b w:val="0"/>
          <w:snapToGrid w:val="0"/>
          <w:sz w:val="24"/>
          <w:szCs w:val="24"/>
          <w:highlight w:val="none"/>
        </w:rPr>
        <w:t>3.2  详细评审</w:t>
      </w:r>
      <w:bookmarkEnd w:id="629"/>
      <w:bookmarkEnd w:id="630"/>
      <w:bookmarkEnd w:id="631"/>
      <w:bookmarkEnd w:id="632"/>
      <w:bookmarkEnd w:id="633"/>
      <w:bookmarkEnd w:id="634"/>
      <w:bookmarkEnd w:id="635"/>
      <w:bookmarkEnd w:id="636"/>
      <w:bookmarkEnd w:id="637"/>
    </w:p>
    <w:p w14:paraId="11D98B44">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 xml:space="preserve">3.2.1  </w:t>
      </w:r>
      <w:r>
        <w:rPr>
          <w:rFonts w:hint="eastAsia" w:ascii="宋体" w:hAnsi="宋体" w:cs="宋体"/>
          <w:color w:val="auto"/>
          <w:szCs w:val="22"/>
          <w:highlight w:val="none"/>
          <w:lang w:val="en-US" w:eastAsia="zh-CN"/>
        </w:rPr>
        <w:t>详细评标程序：</w:t>
      </w:r>
      <w:r>
        <w:rPr>
          <w:rFonts w:hint="eastAsia" w:ascii="宋体" w:hAnsi="宋体" w:eastAsia="宋体" w:cs="宋体"/>
          <w:color w:val="auto"/>
          <w:kern w:val="2"/>
          <w:szCs w:val="22"/>
          <w:highlight w:val="none"/>
        </w:rPr>
        <w:t>见评标办法前附表</w:t>
      </w:r>
      <w:r>
        <w:rPr>
          <w:rFonts w:hint="eastAsia" w:ascii="宋体" w:hAnsi="宋体"/>
          <w:kern w:val="0"/>
          <w:szCs w:val="21"/>
          <w:highlight w:val="none"/>
        </w:rPr>
        <w:t>。</w:t>
      </w:r>
    </w:p>
    <w:p w14:paraId="2C27346C">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3.2.2  各类评分分值的最终计算结果保留小数点后两位，小数点后第三位“四舍五入”。</w:t>
      </w:r>
    </w:p>
    <w:p w14:paraId="2008346B">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 xml:space="preserve">3.2.3  </w:t>
      </w:r>
      <w:r>
        <w:rPr>
          <w:rFonts w:hint="eastAsia" w:ascii="宋体" w:hAnsi="宋体"/>
          <w:kern w:val="0"/>
          <w:szCs w:val="21"/>
          <w:highlight w:val="none"/>
          <w:lang w:eastAsia="zh-CN"/>
        </w:rPr>
        <w:t>比选申请人</w:t>
      </w:r>
      <w:r>
        <w:rPr>
          <w:rFonts w:ascii="宋体" w:hAnsi="宋体"/>
          <w:kern w:val="0"/>
          <w:szCs w:val="21"/>
          <w:highlight w:val="none"/>
        </w:rPr>
        <w:t>得分=A+B</w:t>
      </w:r>
      <w:r>
        <w:rPr>
          <w:rFonts w:hint="eastAsia" w:ascii="宋体" w:hAnsi="宋体"/>
          <w:kern w:val="0"/>
          <w:szCs w:val="21"/>
          <w:highlight w:val="none"/>
        </w:rPr>
        <w:t>。</w:t>
      </w:r>
    </w:p>
    <w:p w14:paraId="44E7DF26">
      <w:pPr>
        <w:pStyle w:val="5"/>
        <w:snapToGrid w:val="0"/>
        <w:spacing w:before="0" w:after="0" w:line="360" w:lineRule="auto"/>
        <w:rPr>
          <w:rFonts w:ascii="宋体" w:hAnsi="宋体"/>
          <w:b w:val="0"/>
          <w:snapToGrid w:val="0"/>
          <w:sz w:val="24"/>
          <w:szCs w:val="24"/>
          <w:highlight w:val="none"/>
        </w:rPr>
      </w:pPr>
      <w:bookmarkStart w:id="638" w:name="_Toc6043"/>
      <w:bookmarkStart w:id="639" w:name="_Toc509218783"/>
      <w:bookmarkStart w:id="640" w:name="_Toc200513205"/>
      <w:bookmarkStart w:id="641" w:name="_Toc430530507"/>
      <w:bookmarkStart w:id="642" w:name="_Toc277082625"/>
      <w:bookmarkStart w:id="643" w:name="_Toc17481"/>
      <w:bookmarkStart w:id="644" w:name="_Toc287620758"/>
      <w:bookmarkStart w:id="645" w:name="_Toc287607819"/>
      <w:bookmarkStart w:id="646" w:name="_Toc224103391"/>
      <w:r>
        <w:rPr>
          <w:rFonts w:ascii="宋体" w:hAnsi="宋体"/>
          <w:b w:val="0"/>
          <w:snapToGrid w:val="0"/>
          <w:sz w:val="24"/>
          <w:szCs w:val="24"/>
          <w:highlight w:val="none"/>
        </w:rPr>
        <w:t xml:space="preserve">3.3  </w:t>
      </w:r>
      <w:r>
        <w:rPr>
          <w:rFonts w:hint="eastAsia" w:ascii="宋体" w:hAnsi="宋体"/>
          <w:b w:val="0"/>
          <w:snapToGrid w:val="0"/>
          <w:sz w:val="24"/>
          <w:szCs w:val="24"/>
          <w:highlight w:val="none"/>
          <w:lang w:eastAsia="zh-CN"/>
        </w:rPr>
        <w:t>比选申请文件</w:t>
      </w:r>
      <w:r>
        <w:rPr>
          <w:rFonts w:ascii="宋体" w:hAnsi="宋体"/>
          <w:b w:val="0"/>
          <w:snapToGrid w:val="0"/>
          <w:sz w:val="24"/>
          <w:szCs w:val="24"/>
          <w:highlight w:val="none"/>
        </w:rPr>
        <w:t>的澄清和补正</w:t>
      </w:r>
      <w:bookmarkEnd w:id="638"/>
      <w:bookmarkEnd w:id="639"/>
      <w:bookmarkEnd w:id="640"/>
      <w:bookmarkEnd w:id="641"/>
      <w:bookmarkEnd w:id="642"/>
      <w:bookmarkEnd w:id="643"/>
      <w:bookmarkEnd w:id="644"/>
      <w:bookmarkEnd w:id="645"/>
      <w:bookmarkEnd w:id="646"/>
    </w:p>
    <w:p w14:paraId="264D8AA2">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3.3.1  在评标过程中，评标委员会可以书面形式要求</w:t>
      </w:r>
      <w:r>
        <w:rPr>
          <w:rFonts w:hint="eastAsia" w:ascii="宋体" w:hAnsi="宋体"/>
          <w:kern w:val="0"/>
          <w:szCs w:val="21"/>
          <w:highlight w:val="none"/>
          <w:lang w:eastAsia="zh-CN"/>
        </w:rPr>
        <w:t>比选申请人</w:t>
      </w:r>
      <w:r>
        <w:rPr>
          <w:rFonts w:ascii="宋体" w:hAnsi="宋体"/>
          <w:kern w:val="0"/>
          <w:szCs w:val="21"/>
          <w:highlight w:val="none"/>
        </w:rPr>
        <w:t>对所提交</w:t>
      </w:r>
      <w:r>
        <w:rPr>
          <w:rFonts w:hint="eastAsia" w:ascii="宋体" w:hAnsi="宋体"/>
          <w:kern w:val="0"/>
          <w:szCs w:val="21"/>
          <w:highlight w:val="none"/>
          <w:lang w:eastAsia="zh-CN"/>
        </w:rPr>
        <w:t>比选申请文件</w:t>
      </w:r>
      <w:r>
        <w:rPr>
          <w:rFonts w:ascii="宋体" w:hAnsi="宋体"/>
          <w:kern w:val="0"/>
          <w:szCs w:val="21"/>
          <w:highlight w:val="none"/>
        </w:rPr>
        <w:t>中不明确的内容进行书面澄清或说明，或者对细微偏差进行补正。评标委员会不接受</w:t>
      </w:r>
      <w:r>
        <w:rPr>
          <w:rFonts w:hint="eastAsia" w:ascii="宋体" w:hAnsi="宋体"/>
          <w:kern w:val="0"/>
          <w:szCs w:val="21"/>
          <w:highlight w:val="none"/>
          <w:lang w:eastAsia="zh-CN"/>
        </w:rPr>
        <w:t>比选申请人</w:t>
      </w:r>
      <w:r>
        <w:rPr>
          <w:rFonts w:ascii="宋体" w:hAnsi="宋体"/>
          <w:kern w:val="0"/>
          <w:szCs w:val="21"/>
          <w:highlight w:val="none"/>
        </w:rPr>
        <w:t>主动提出的澄清、说明或补正。</w:t>
      </w:r>
    </w:p>
    <w:p w14:paraId="2E629F7B">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3.3.2  澄清、说明和补正不得改变</w:t>
      </w:r>
      <w:r>
        <w:rPr>
          <w:rFonts w:hint="eastAsia" w:ascii="宋体" w:hAnsi="宋体"/>
          <w:kern w:val="0"/>
          <w:szCs w:val="21"/>
          <w:highlight w:val="none"/>
          <w:lang w:eastAsia="zh-CN"/>
        </w:rPr>
        <w:t>比选申请文件</w:t>
      </w:r>
      <w:r>
        <w:rPr>
          <w:rFonts w:ascii="宋体" w:hAnsi="宋体"/>
          <w:kern w:val="0"/>
          <w:szCs w:val="21"/>
          <w:highlight w:val="none"/>
        </w:rPr>
        <w:t>的实质性内容。</w:t>
      </w:r>
      <w:r>
        <w:rPr>
          <w:rFonts w:hint="eastAsia" w:ascii="宋体" w:hAnsi="宋体"/>
          <w:kern w:val="0"/>
          <w:szCs w:val="21"/>
          <w:highlight w:val="none"/>
          <w:lang w:eastAsia="zh-CN"/>
        </w:rPr>
        <w:t>比选申请人</w:t>
      </w:r>
      <w:r>
        <w:rPr>
          <w:rFonts w:ascii="宋体" w:hAnsi="宋体"/>
          <w:kern w:val="0"/>
          <w:szCs w:val="21"/>
          <w:highlight w:val="none"/>
        </w:rPr>
        <w:t>的书面澄清、说明和补正属于</w:t>
      </w:r>
      <w:r>
        <w:rPr>
          <w:rFonts w:hint="eastAsia" w:ascii="宋体" w:hAnsi="宋体"/>
          <w:kern w:val="0"/>
          <w:szCs w:val="21"/>
          <w:highlight w:val="none"/>
          <w:lang w:eastAsia="zh-CN"/>
        </w:rPr>
        <w:t>比选申请文件</w:t>
      </w:r>
      <w:r>
        <w:rPr>
          <w:rFonts w:ascii="宋体" w:hAnsi="宋体"/>
          <w:kern w:val="0"/>
          <w:szCs w:val="21"/>
          <w:highlight w:val="none"/>
        </w:rPr>
        <w:t>的组成部分。</w:t>
      </w:r>
    </w:p>
    <w:p w14:paraId="069ADC10">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3.3.3  评标委员会对</w:t>
      </w:r>
      <w:r>
        <w:rPr>
          <w:rFonts w:hint="eastAsia" w:ascii="宋体" w:hAnsi="宋体"/>
          <w:kern w:val="0"/>
          <w:szCs w:val="21"/>
          <w:highlight w:val="none"/>
          <w:lang w:eastAsia="zh-CN"/>
        </w:rPr>
        <w:t>比选申请人</w:t>
      </w:r>
      <w:r>
        <w:rPr>
          <w:rFonts w:ascii="宋体" w:hAnsi="宋体"/>
          <w:kern w:val="0"/>
          <w:szCs w:val="21"/>
          <w:highlight w:val="none"/>
        </w:rPr>
        <w:t>提交的澄清、说明或补正有疑问的，可以要求</w:t>
      </w:r>
      <w:r>
        <w:rPr>
          <w:rFonts w:hint="eastAsia" w:ascii="宋体" w:hAnsi="宋体"/>
          <w:kern w:val="0"/>
          <w:szCs w:val="21"/>
          <w:highlight w:val="none"/>
          <w:lang w:eastAsia="zh-CN"/>
        </w:rPr>
        <w:t>比选申请人</w:t>
      </w:r>
      <w:r>
        <w:rPr>
          <w:rFonts w:ascii="宋体" w:hAnsi="宋体"/>
          <w:kern w:val="0"/>
          <w:szCs w:val="21"/>
          <w:highlight w:val="none"/>
        </w:rPr>
        <w:t>进一步澄清、说明或补正，直至满足评标委员会的要求。</w:t>
      </w:r>
    </w:p>
    <w:p w14:paraId="54E48B26">
      <w:pPr>
        <w:pStyle w:val="5"/>
        <w:snapToGrid w:val="0"/>
        <w:spacing w:before="0" w:after="0" w:line="360" w:lineRule="auto"/>
        <w:rPr>
          <w:rFonts w:ascii="宋体" w:hAnsi="宋体"/>
          <w:b w:val="0"/>
          <w:snapToGrid w:val="0"/>
          <w:sz w:val="24"/>
          <w:szCs w:val="24"/>
          <w:highlight w:val="none"/>
        </w:rPr>
      </w:pPr>
      <w:bookmarkStart w:id="647" w:name="_Toc287620759"/>
      <w:bookmarkStart w:id="648" w:name="_Toc224103392"/>
      <w:bookmarkStart w:id="649" w:name="_Toc200513206"/>
      <w:bookmarkStart w:id="650" w:name="_Toc287607820"/>
      <w:bookmarkStart w:id="651" w:name="_Toc277082626"/>
      <w:bookmarkStart w:id="652" w:name="_Toc1078"/>
      <w:bookmarkStart w:id="653" w:name="_Toc430530508"/>
      <w:bookmarkStart w:id="654" w:name="_Toc13641"/>
      <w:bookmarkStart w:id="655" w:name="_Toc509218784"/>
      <w:r>
        <w:rPr>
          <w:rFonts w:ascii="宋体" w:hAnsi="宋体"/>
          <w:b w:val="0"/>
          <w:snapToGrid w:val="0"/>
          <w:sz w:val="24"/>
          <w:szCs w:val="24"/>
          <w:highlight w:val="none"/>
        </w:rPr>
        <w:t>3.4  评标结果</w:t>
      </w:r>
      <w:bookmarkEnd w:id="647"/>
      <w:bookmarkEnd w:id="648"/>
      <w:bookmarkEnd w:id="649"/>
      <w:bookmarkEnd w:id="650"/>
      <w:bookmarkEnd w:id="651"/>
      <w:bookmarkEnd w:id="652"/>
      <w:bookmarkEnd w:id="653"/>
      <w:bookmarkEnd w:id="654"/>
      <w:bookmarkEnd w:id="655"/>
    </w:p>
    <w:p w14:paraId="2E529835">
      <w:pPr>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3.</w:t>
      </w:r>
      <w:r>
        <w:rPr>
          <w:rFonts w:ascii="宋体" w:hAnsi="宋体"/>
          <w:spacing w:val="-1"/>
          <w:kern w:val="0"/>
          <w:szCs w:val="21"/>
          <w:highlight w:val="none"/>
        </w:rPr>
        <w:t>4</w:t>
      </w:r>
      <w:r>
        <w:rPr>
          <w:rFonts w:ascii="宋体" w:hAnsi="宋体"/>
          <w:kern w:val="0"/>
          <w:szCs w:val="21"/>
          <w:highlight w:val="none"/>
        </w:rPr>
        <w:t xml:space="preserve">.1 </w:t>
      </w:r>
      <w:r>
        <w:rPr>
          <w:rFonts w:ascii="宋体" w:hAnsi="宋体"/>
          <w:spacing w:val="1"/>
          <w:kern w:val="0"/>
          <w:szCs w:val="21"/>
          <w:highlight w:val="none"/>
        </w:rPr>
        <w:t xml:space="preserve"> </w:t>
      </w:r>
      <w:r>
        <w:rPr>
          <w:rFonts w:ascii="宋体" w:hAnsi="宋体"/>
          <w:kern w:val="0"/>
          <w:szCs w:val="21"/>
          <w:highlight w:val="none"/>
        </w:rPr>
        <w:t>除第二章“</w:t>
      </w:r>
      <w:r>
        <w:rPr>
          <w:rFonts w:hint="eastAsia" w:ascii="宋体" w:hAnsi="宋体"/>
          <w:kern w:val="0"/>
          <w:szCs w:val="21"/>
          <w:highlight w:val="none"/>
          <w:lang w:eastAsia="zh-CN"/>
        </w:rPr>
        <w:t>比选申请人</w:t>
      </w:r>
      <w:r>
        <w:rPr>
          <w:rFonts w:ascii="宋体" w:hAnsi="宋体"/>
          <w:kern w:val="0"/>
          <w:szCs w:val="21"/>
          <w:highlight w:val="none"/>
        </w:rPr>
        <w:t>须知”前</w:t>
      </w:r>
      <w:r>
        <w:rPr>
          <w:rFonts w:ascii="宋体" w:hAnsi="宋体"/>
          <w:spacing w:val="1"/>
          <w:kern w:val="0"/>
          <w:szCs w:val="21"/>
          <w:highlight w:val="none"/>
        </w:rPr>
        <w:t>附</w:t>
      </w:r>
      <w:r>
        <w:rPr>
          <w:rFonts w:ascii="宋体" w:hAnsi="宋体"/>
          <w:kern w:val="0"/>
          <w:szCs w:val="21"/>
          <w:highlight w:val="none"/>
        </w:rPr>
        <w:t>表授权直</w:t>
      </w:r>
      <w:r>
        <w:rPr>
          <w:rFonts w:ascii="宋体" w:hAnsi="宋体"/>
          <w:spacing w:val="1"/>
          <w:kern w:val="0"/>
          <w:szCs w:val="21"/>
          <w:highlight w:val="none"/>
        </w:rPr>
        <w:t>接</w:t>
      </w:r>
      <w:r>
        <w:rPr>
          <w:rFonts w:ascii="宋体" w:hAnsi="宋体"/>
          <w:kern w:val="0"/>
          <w:szCs w:val="21"/>
          <w:highlight w:val="none"/>
        </w:rPr>
        <w:t>确定中标</w:t>
      </w:r>
      <w:r>
        <w:rPr>
          <w:rFonts w:ascii="宋体" w:hAnsi="宋体"/>
          <w:spacing w:val="1"/>
          <w:kern w:val="0"/>
          <w:szCs w:val="21"/>
          <w:highlight w:val="none"/>
        </w:rPr>
        <w:t>人</w:t>
      </w:r>
      <w:r>
        <w:rPr>
          <w:rFonts w:ascii="宋体" w:hAnsi="宋体"/>
          <w:kern w:val="0"/>
          <w:szCs w:val="21"/>
          <w:highlight w:val="none"/>
        </w:rPr>
        <w:t>外，评标</w:t>
      </w:r>
      <w:r>
        <w:rPr>
          <w:rFonts w:ascii="宋体" w:hAnsi="宋体"/>
          <w:spacing w:val="1"/>
          <w:kern w:val="0"/>
          <w:szCs w:val="21"/>
          <w:highlight w:val="none"/>
        </w:rPr>
        <w:t>委</w:t>
      </w:r>
      <w:r>
        <w:rPr>
          <w:rFonts w:ascii="宋体" w:hAnsi="宋体"/>
          <w:kern w:val="0"/>
          <w:szCs w:val="21"/>
          <w:highlight w:val="none"/>
        </w:rPr>
        <w:t>员会按照</w:t>
      </w:r>
      <w:r>
        <w:rPr>
          <w:rFonts w:ascii="宋体" w:hAnsi="宋体"/>
          <w:spacing w:val="1"/>
          <w:kern w:val="0"/>
          <w:szCs w:val="21"/>
          <w:highlight w:val="none"/>
        </w:rPr>
        <w:t>得分</w:t>
      </w:r>
      <w:r>
        <w:rPr>
          <w:rFonts w:ascii="宋体" w:hAnsi="宋体"/>
          <w:kern w:val="0"/>
          <w:szCs w:val="21"/>
          <w:highlight w:val="none"/>
        </w:rPr>
        <w:t>由高到低的顺序推荐中标候选人。</w:t>
      </w:r>
    </w:p>
    <w:p w14:paraId="161AD42B">
      <w:pPr>
        <w:autoSpaceDE w:val="0"/>
        <w:autoSpaceDN w:val="0"/>
        <w:adjustRightInd w:val="0"/>
        <w:snapToGrid w:val="0"/>
        <w:spacing w:line="360" w:lineRule="auto"/>
        <w:ind w:firstLine="424" w:firstLineChars="200"/>
        <w:rPr>
          <w:rFonts w:ascii="宋体" w:hAnsi="宋体"/>
          <w:kern w:val="0"/>
          <w:szCs w:val="21"/>
          <w:highlight w:val="none"/>
        </w:rPr>
      </w:pPr>
      <w:r>
        <w:rPr>
          <w:rFonts w:ascii="宋体" w:hAnsi="宋体"/>
          <w:spacing w:val="1"/>
          <w:kern w:val="0"/>
          <w:szCs w:val="21"/>
          <w:highlight w:val="none"/>
        </w:rPr>
        <w:t>3</w:t>
      </w:r>
      <w:r>
        <w:rPr>
          <w:rFonts w:ascii="宋体" w:hAnsi="宋体"/>
          <w:kern w:val="0"/>
          <w:szCs w:val="21"/>
          <w:highlight w:val="none"/>
        </w:rPr>
        <w:t>.4.2  评标</w:t>
      </w:r>
      <w:r>
        <w:rPr>
          <w:rFonts w:ascii="宋体" w:hAnsi="宋体"/>
          <w:spacing w:val="-1"/>
          <w:kern w:val="0"/>
          <w:szCs w:val="21"/>
          <w:highlight w:val="none"/>
        </w:rPr>
        <w:t>委</w:t>
      </w:r>
      <w:r>
        <w:rPr>
          <w:rFonts w:ascii="宋体" w:hAnsi="宋体"/>
          <w:kern w:val="0"/>
          <w:szCs w:val="21"/>
          <w:highlight w:val="none"/>
        </w:rPr>
        <w:t>员会完成评标后，应当向</w:t>
      </w:r>
      <w:r>
        <w:rPr>
          <w:rFonts w:hint="eastAsia" w:ascii="宋体" w:hAnsi="宋体"/>
          <w:kern w:val="0"/>
          <w:szCs w:val="21"/>
          <w:highlight w:val="none"/>
          <w:lang w:eastAsia="zh-CN"/>
        </w:rPr>
        <w:t>比选人</w:t>
      </w:r>
      <w:r>
        <w:rPr>
          <w:rFonts w:ascii="宋体" w:hAnsi="宋体"/>
          <w:kern w:val="0"/>
          <w:szCs w:val="21"/>
          <w:highlight w:val="none"/>
        </w:rPr>
        <w:t>提交书面评标报告</w:t>
      </w:r>
      <w:r>
        <w:rPr>
          <w:rFonts w:hint="eastAsia" w:ascii="宋体" w:hAnsi="宋体"/>
          <w:kern w:val="0"/>
          <w:szCs w:val="21"/>
          <w:highlight w:val="none"/>
        </w:rPr>
        <w:t>和中标候选人名单</w:t>
      </w:r>
      <w:r>
        <w:rPr>
          <w:rFonts w:ascii="宋体" w:hAnsi="宋体"/>
          <w:kern w:val="0"/>
          <w:szCs w:val="21"/>
          <w:highlight w:val="none"/>
        </w:rPr>
        <w:t>。</w:t>
      </w:r>
    </w:p>
    <w:p w14:paraId="55305C40">
      <w:pPr>
        <w:autoSpaceDE w:val="0"/>
        <w:autoSpaceDN w:val="0"/>
        <w:adjustRightInd w:val="0"/>
        <w:snapToGrid w:val="0"/>
        <w:spacing w:line="360" w:lineRule="auto"/>
        <w:ind w:firstLine="420" w:firstLineChars="200"/>
        <w:rPr>
          <w:rFonts w:ascii="宋体" w:hAnsi="宋体"/>
          <w:kern w:val="0"/>
          <w:sz w:val="20"/>
          <w:szCs w:val="20"/>
          <w:highlight w:val="none"/>
        </w:rPr>
      </w:pPr>
      <w:r>
        <w:rPr>
          <w:rFonts w:hint="eastAsia" w:asciiTheme="minorEastAsia" w:hAnsiTheme="minorEastAsia" w:eastAsiaTheme="minorEastAsia"/>
          <w:color w:val="auto"/>
          <w:kern w:val="0"/>
          <w:szCs w:val="21"/>
          <w:highlight w:val="none"/>
          <w:lang w:val="en-US" w:eastAsia="zh-CN"/>
        </w:rPr>
        <w:t>3.4.3 有效比选申请人不足三个的，</w:t>
      </w:r>
      <w:r>
        <w:rPr>
          <w:rFonts w:hint="eastAsia" w:asciiTheme="minorEastAsia" w:hAnsiTheme="minorEastAsia" w:eastAsiaTheme="minorEastAsia"/>
          <w:color w:val="auto"/>
          <w:kern w:val="0"/>
          <w:szCs w:val="21"/>
          <w:highlight w:val="none"/>
        </w:rPr>
        <w:t>评标委员会应当对有效</w:t>
      </w:r>
      <w:r>
        <w:rPr>
          <w:rFonts w:hint="eastAsia" w:asciiTheme="minorEastAsia" w:hAnsiTheme="minorEastAsia" w:eastAsiaTheme="minorEastAsia"/>
          <w:color w:val="auto"/>
          <w:kern w:val="0"/>
          <w:szCs w:val="21"/>
          <w:highlight w:val="none"/>
          <w:lang w:eastAsia="zh-CN"/>
        </w:rPr>
        <w:t>比选申请人</w:t>
      </w:r>
      <w:r>
        <w:rPr>
          <w:rFonts w:hint="eastAsia" w:asciiTheme="minorEastAsia" w:hAnsiTheme="minorEastAsia" w:eastAsiaTheme="minorEastAsia"/>
          <w:color w:val="auto"/>
          <w:kern w:val="0"/>
          <w:szCs w:val="21"/>
          <w:highlight w:val="none"/>
        </w:rPr>
        <w:t>是否仍具有竞争性进行论证</w:t>
      </w:r>
      <w:r>
        <w:rPr>
          <w:rFonts w:hint="eastAsia" w:asciiTheme="minorEastAsia" w:hAnsiTheme="minorEastAsia" w:eastAsiaTheme="minorEastAsia"/>
          <w:color w:val="auto"/>
          <w:kern w:val="0"/>
          <w:szCs w:val="21"/>
          <w:highlight w:val="none"/>
          <w:lang w:val="en-US" w:eastAsia="zh-CN"/>
        </w:rPr>
        <w:t>，并在评标报告中记载论证过程和结果。</w:t>
      </w:r>
    </w:p>
    <w:p w14:paraId="72D26007">
      <w:pPr>
        <w:spacing w:line="360" w:lineRule="auto"/>
        <w:rPr>
          <w:rFonts w:ascii="宋体" w:hAnsi="宋体"/>
          <w:b/>
          <w:szCs w:val="20"/>
          <w:highlight w:val="none"/>
        </w:rPr>
      </w:pPr>
      <w:r>
        <w:rPr>
          <w:rFonts w:ascii="宋体" w:hAnsi="宋体"/>
          <w:kern w:val="0"/>
          <w:sz w:val="20"/>
          <w:szCs w:val="20"/>
          <w:highlight w:val="none"/>
        </w:rPr>
        <w:br w:type="page"/>
      </w:r>
    </w:p>
    <w:p w14:paraId="7DFB2F79">
      <w:pPr>
        <w:pStyle w:val="13"/>
        <w:spacing w:line="360" w:lineRule="auto"/>
        <w:rPr>
          <w:rFonts w:ascii="宋体" w:hAnsi="宋体"/>
          <w:b/>
          <w:sz w:val="28"/>
          <w:szCs w:val="28"/>
          <w:highlight w:val="none"/>
          <w:u w:val="none"/>
          <w:lang w:eastAsia="zh-CN"/>
        </w:rPr>
      </w:pPr>
      <w:bookmarkStart w:id="656" w:name="招标文件04章合同条款及格式"/>
      <w:bookmarkEnd w:id="656"/>
      <w:bookmarkStart w:id="657" w:name="招标文件03章02评标办法综合评估法02附件02"/>
      <w:bookmarkEnd w:id="657"/>
      <w:bookmarkStart w:id="658" w:name="_Toc230410480"/>
      <w:bookmarkStart w:id="659" w:name="_Toc277082627"/>
      <w:r>
        <w:rPr>
          <w:rFonts w:ascii="宋体" w:hAnsi="宋体"/>
          <w:b/>
          <w:sz w:val="28"/>
          <w:szCs w:val="28"/>
          <w:highlight w:val="none"/>
          <w:u w:val="none"/>
          <w:lang w:eastAsia="zh-CN"/>
        </w:rPr>
        <w:t>附件A：综合评估法否决投标情况一览表</w:t>
      </w:r>
      <w:bookmarkEnd w:id="658"/>
    </w:p>
    <w:bookmarkEnd w:id="659"/>
    <w:p w14:paraId="58926C7F">
      <w:pPr>
        <w:pStyle w:val="13"/>
        <w:spacing w:line="360" w:lineRule="auto"/>
        <w:ind w:firstLine="420" w:firstLineChars="200"/>
        <w:jc w:val="both"/>
        <w:rPr>
          <w:rFonts w:ascii="宋体" w:hAnsi="宋体"/>
          <w:sz w:val="21"/>
          <w:szCs w:val="21"/>
          <w:highlight w:val="none"/>
          <w:u w:val="none"/>
          <w:lang w:eastAsia="zh-CN"/>
        </w:rPr>
      </w:pPr>
      <w:r>
        <w:rPr>
          <w:rFonts w:hint="eastAsia" w:ascii="宋体" w:hAnsi="宋体"/>
          <w:sz w:val="21"/>
          <w:szCs w:val="21"/>
          <w:highlight w:val="none"/>
          <w:u w:val="none"/>
          <w:lang w:eastAsia="zh-CN"/>
        </w:rPr>
        <w:t>比选申请文件存在本一览表下列情形之一的，比选申请文件视为重大偏差并作否决投标处理，否则，评标委员会不得视为重大偏差而否决比选申请人的比选申请文件</w:t>
      </w:r>
      <w:r>
        <w:rPr>
          <w:rFonts w:ascii="宋体" w:hAnsi="宋体"/>
          <w:sz w:val="21"/>
          <w:szCs w:val="21"/>
          <w:highlight w:val="none"/>
          <w:u w:val="none"/>
          <w:lang w:eastAsia="zh-CN"/>
        </w:rPr>
        <w:t>。</w:t>
      </w:r>
    </w:p>
    <w:tbl>
      <w:tblPr>
        <w:tblStyle w:val="17"/>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317"/>
        <w:gridCol w:w="1943"/>
        <w:gridCol w:w="6209"/>
      </w:tblGrid>
      <w:tr w14:paraId="3E5C668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Align w:val="center"/>
          </w:tcPr>
          <w:p w14:paraId="2B6B0DDE">
            <w:pPr>
              <w:spacing w:line="400" w:lineRule="exact"/>
              <w:jc w:val="center"/>
              <w:rPr>
                <w:rFonts w:ascii="宋体" w:hAnsi="宋体"/>
                <w:b/>
                <w:szCs w:val="21"/>
                <w:highlight w:val="none"/>
              </w:rPr>
            </w:pPr>
            <w:r>
              <w:rPr>
                <w:rFonts w:ascii="宋体" w:hAnsi="宋体"/>
                <w:b/>
                <w:szCs w:val="21"/>
                <w:highlight w:val="none"/>
              </w:rPr>
              <w:t>章节号</w:t>
            </w:r>
          </w:p>
        </w:tc>
        <w:tc>
          <w:tcPr>
            <w:tcW w:w="1943" w:type="dxa"/>
            <w:vAlign w:val="center"/>
          </w:tcPr>
          <w:p w14:paraId="3D8BE456">
            <w:pPr>
              <w:spacing w:line="400" w:lineRule="exact"/>
              <w:jc w:val="center"/>
              <w:rPr>
                <w:rFonts w:ascii="宋体" w:hAnsi="宋体"/>
                <w:b/>
                <w:szCs w:val="21"/>
                <w:highlight w:val="none"/>
              </w:rPr>
            </w:pPr>
            <w:r>
              <w:rPr>
                <w:rFonts w:ascii="宋体" w:hAnsi="宋体"/>
                <w:b/>
                <w:szCs w:val="21"/>
                <w:highlight w:val="none"/>
              </w:rPr>
              <w:t>条款名称</w:t>
            </w:r>
          </w:p>
        </w:tc>
        <w:tc>
          <w:tcPr>
            <w:tcW w:w="6209" w:type="dxa"/>
            <w:vAlign w:val="center"/>
          </w:tcPr>
          <w:p w14:paraId="537611C6">
            <w:pPr>
              <w:spacing w:line="400" w:lineRule="exact"/>
              <w:jc w:val="center"/>
              <w:rPr>
                <w:rFonts w:ascii="宋体" w:hAnsi="宋体"/>
                <w:b/>
                <w:szCs w:val="21"/>
                <w:highlight w:val="none"/>
              </w:rPr>
            </w:pPr>
            <w:r>
              <w:rPr>
                <w:rFonts w:ascii="宋体" w:hAnsi="宋体"/>
                <w:b/>
                <w:szCs w:val="21"/>
                <w:highlight w:val="none"/>
              </w:rPr>
              <w:t>否决投标条件</w:t>
            </w:r>
          </w:p>
        </w:tc>
      </w:tr>
      <w:tr w14:paraId="1B25A1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317" w:type="dxa"/>
            <w:vMerge w:val="restart"/>
            <w:vAlign w:val="center"/>
          </w:tcPr>
          <w:p w14:paraId="303B947F">
            <w:pPr>
              <w:spacing w:line="400" w:lineRule="exact"/>
              <w:jc w:val="center"/>
              <w:rPr>
                <w:rFonts w:ascii="宋体" w:hAnsi="宋体"/>
                <w:szCs w:val="21"/>
                <w:highlight w:val="none"/>
              </w:rPr>
            </w:pPr>
            <w:r>
              <w:rPr>
                <w:rFonts w:hint="eastAsia" w:ascii="宋体" w:hAnsi="宋体"/>
                <w:szCs w:val="21"/>
                <w:highlight w:val="none"/>
              </w:rPr>
              <w:t>第三章</w:t>
            </w:r>
          </w:p>
        </w:tc>
        <w:tc>
          <w:tcPr>
            <w:tcW w:w="1943" w:type="dxa"/>
            <w:vMerge w:val="restart"/>
            <w:vAlign w:val="center"/>
          </w:tcPr>
          <w:p w14:paraId="693CBCA7">
            <w:pPr>
              <w:spacing w:line="400" w:lineRule="exact"/>
              <w:jc w:val="center"/>
              <w:rPr>
                <w:rFonts w:ascii="宋体" w:hAnsi="宋体"/>
                <w:szCs w:val="21"/>
                <w:highlight w:val="none"/>
              </w:rPr>
            </w:pPr>
            <w:r>
              <w:rPr>
                <w:rFonts w:hint="eastAsia" w:ascii="宋体" w:hAnsi="宋体"/>
                <w:szCs w:val="21"/>
                <w:highlight w:val="none"/>
              </w:rPr>
              <w:t>资格评审</w:t>
            </w:r>
          </w:p>
        </w:tc>
        <w:tc>
          <w:tcPr>
            <w:tcW w:w="6209" w:type="dxa"/>
            <w:vAlign w:val="center"/>
          </w:tcPr>
          <w:p w14:paraId="0E9AD18B">
            <w:pPr>
              <w:spacing w:line="400" w:lineRule="exact"/>
              <w:ind w:firstLine="420" w:firstLineChars="200"/>
              <w:rPr>
                <w:rFonts w:ascii="宋体" w:hAnsi="宋体"/>
                <w:szCs w:val="21"/>
                <w:highlight w:val="none"/>
              </w:rPr>
            </w:pPr>
            <w:r>
              <w:rPr>
                <w:rFonts w:hint="eastAsia" w:ascii="宋体" w:hAnsi="宋体"/>
                <w:szCs w:val="21"/>
                <w:highlight w:val="none"/>
              </w:rPr>
              <w:t>A-1</w:t>
            </w:r>
            <w:r>
              <w:rPr>
                <w:rFonts w:hint="eastAsia" w:ascii="宋体" w:hAnsi="宋体"/>
                <w:szCs w:val="21"/>
                <w:highlight w:val="none"/>
                <w:lang w:eastAsia="zh-CN"/>
              </w:rPr>
              <w:t>比选申请人</w:t>
            </w:r>
            <w:r>
              <w:rPr>
                <w:rFonts w:hint="eastAsia" w:ascii="宋体" w:hAnsi="宋体"/>
                <w:szCs w:val="21"/>
                <w:highlight w:val="none"/>
              </w:rPr>
              <w:t>的资质条件、</w:t>
            </w:r>
            <w:r>
              <w:rPr>
                <w:rFonts w:hint="eastAsia" w:ascii="宋体" w:hAnsi="宋体"/>
                <w:szCs w:val="21"/>
                <w:highlight w:val="none"/>
                <w:lang w:eastAsia="zh-CN"/>
              </w:rPr>
              <w:t>独立法人资格</w:t>
            </w:r>
            <w:r>
              <w:rPr>
                <w:rFonts w:hint="eastAsia" w:ascii="宋体" w:hAnsi="宋体"/>
                <w:szCs w:val="21"/>
                <w:highlight w:val="none"/>
              </w:rPr>
              <w:t>及安全生产条件</w:t>
            </w:r>
            <w:r>
              <w:rPr>
                <w:rFonts w:hint="eastAsia" w:ascii="宋体" w:hAnsi="宋体"/>
                <w:szCs w:val="21"/>
                <w:highlight w:val="none"/>
                <w:lang w:val="en-US" w:eastAsia="zh-CN"/>
              </w:rPr>
              <w:t>不</w:t>
            </w:r>
            <w:r>
              <w:rPr>
                <w:rFonts w:hint="eastAsia" w:ascii="宋体" w:hAnsi="宋体"/>
                <w:szCs w:val="21"/>
                <w:highlight w:val="none"/>
              </w:rPr>
              <w:t>满足</w:t>
            </w:r>
            <w:r>
              <w:rPr>
                <w:rFonts w:hint="eastAsia" w:ascii="宋体" w:hAnsi="宋体"/>
                <w:szCs w:val="21"/>
                <w:highlight w:val="none"/>
                <w:lang w:eastAsia="zh-CN"/>
              </w:rPr>
              <w:t>比选申请人</w:t>
            </w:r>
            <w:r>
              <w:rPr>
                <w:rFonts w:hint="eastAsia" w:ascii="宋体" w:hAnsi="宋体"/>
                <w:szCs w:val="21"/>
                <w:highlight w:val="none"/>
              </w:rPr>
              <w:t>须知前附表</w:t>
            </w:r>
            <w:r>
              <w:rPr>
                <w:rFonts w:hint="eastAsia" w:ascii="宋体" w:hAnsi="宋体"/>
                <w:szCs w:val="21"/>
                <w:highlight w:val="none"/>
                <w:lang w:val="en-US" w:eastAsia="zh-CN"/>
              </w:rPr>
              <w:t>第</w:t>
            </w:r>
            <w:r>
              <w:rPr>
                <w:rFonts w:hint="eastAsia" w:ascii="宋体" w:hAnsi="宋体"/>
                <w:szCs w:val="21"/>
                <w:highlight w:val="none"/>
              </w:rPr>
              <w:t>1.4.1项的要求。</w:t>
            </w:r>
          </w:p>
        </w:tc>
      </w:tr>
      <w:tr w14:paraId="431FAF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317" w:type="dxa"/>
            <w:vMerge w:val="continue"/>
            <w:vAlign w:val="center"/>
          </w:tcPr>
          <w:p w14:paraId="1A1F8651">
            <w:pPr>
              <w:spacing w:line="400" w:lineRule="exact"/>
              <w:jc w:val="center"/>
              <w:rPr>
                <w:rFonts w:ascii="宋体" w:hAnsi="宋体"/>
                <w:szCs w:val="21"/>
                <w:highlight w:val="none"/>
              </w:rPr>
            </w:pPr>
          </w:p>
        </w:tc>
        <w:tc>
          <w:tcPr>
            <w:tcW w:w="1943" w:type="dxa"/>
            <w:vMerge w:val="continue"/>
            <w:vAlign w:val="center"/>
          </w:tcPr>
          <w:p w14:paraId="2E4EE2B1">
            <w:pPr>
              <w:spacing w:line="400" w:lineRule="exact"/>
              <w:jc w:val="center"/>
              <w:rPr>
                <w:rFonts w:ascii="宋体" w:hAnsi="宋体"/>
                <w:szCs w:val="21"/>
                <w:highlight w:val="none"/>
              </w:rPr>
            </w:pPr>
          </w:p>
        </w:tc>
        <w:tc>
          <w:tcPr>
            <w:tcW w:w="6209" w:type="dxa"/>
            <w:vAlign w:val="center"/>
          </w:tcPr>
          <w:p w14:paraId="35486E33">
            <w:pPr>
              <w:spacing w:line="400" w:lineRule="exact"/>
              <w:ind w:firstLine="420" w:firstLineChars="200"/>
              <w:rPr>
                <w:rFonts w:ascii="宋体" w:hAnsi="宋体"/>
                <w:szCs w:val="21"/>
                <w:highlight w:val="none"/>
              </w:rPr>
            </w:pPr>
            <w:r>
              <w:rPr>
                <w:rFonts w:hint="eastAsia" w:ascii="宋体" w:hAnsi="宋体"/>
                <w:szCs w:val="21"/>
                <w:highlight w:val="none"/>
              </w:rPr>
              <w:t>A-2</w:t>
            </w:r>
            <w:r>
              <w:rPr>
                <w:rFonts w:hint="eastAsia" w:ascii="宋体" w:hAnsi="宋体"/>
                <w:szCs w:val="21"/>
                <w:highlight w:val="none"/>
                <w:lang w:eastAsia="zh-CN"/>
              </w:rPr>
              <w:t>比选申请人</w:t>
            </w:r>
            <w:r>
              <w:rPr>
                <w:rFonts w:hint="eastAsia" w:ascii="宋体" w:hAnsi="宋体"/>
                <w:szCs w:val="21"/>
                <w:highlight w:val="none"/>
              </w:rPr>
              <w:t>的财务</w:t>
            </w:r>
            <w:r>
              <w:rPr>
                <w:rFonts w:hint="eastAsia" w:ascii="宋体" w:hAnsi="宋体"/>
                <w:szCs w:val="21"/>
                <w:highlight w:val="none"/>
                <w:lang w:val="en-US" w:eastAsia="zh-CN"/>
              </w:rPr>
              <w:t>不</w:t>
            </w:r>
            <w:r>
              <w:rPr>
                <w:rFonts w:hint="eastAsia" w:ascii="宋体" w:hAnsi="宋体"/>
                <w:szCs w:val="21"/>
                <w:highlight w:val="none"/>
              </w:rPr>
              <w:t>满足</w:t>
            </w:r>
            <w:r>
              <w:rPr>
                <w:rFonts w:hint="eastAsia" w:ascii="宋体" w:hAnsi="宋体"/>
                <w:szCs w:val="21"/>
                <w:highlight w:val="none"/>
                <w:lang w:eastAsia="zh-CN"/>
              </w:rPr>
              <w:t>比选申请人</w:t>
            </w:r>
            <w:r>
              <w:rPr>
                <w:rFonts w:hint="eastAsia" w:ascii="宋体" w:hAnsi="宋体"/>
                <w:szCs w:val="21"/>
                <w:highlight w:val="none"/>
              </w:rPr>
              <w:t>须知前附表第1.4.1项的要求（如有）。</w:t>
            </w:r>
          </w:p>
        </w:tc>
      </w:tr>
      <w:tr w14:paraId="6B4597D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317" w:type="dxa"/>
            <w:vMerge w:val="continue"/>
            <w:vAlign w:val="center"/>
          </w:tcPr>
          <w:p w14:paraId="07DD9330">
            <w:pPr>
              <w:spacing w:line="400" w:lineRule="exact"/>
              <w:jc w:val="center"/>
              <w:rPr>
                <w:rFonts w:ascii="宋体" w:hAnsi="宋体"/>
                <w:szCs w:val="21"/>
                <w:highlight w:val="none"/>
              </w:rPr>
            </w:pPr>
          </w:p>
        </w:tc>
        <w:tc>
          <w:tcPr>
            <w:tcW w:w="1943" w:type="dxa"/>
            <w:vMerge w:val="continue"/>
            <w:vAlign w:val="center"/>
          </w:tcPr>
          <w:p w14:paraId="37F96372">
            <w:pPr>
              <w:spacing w:line="400" w:lineRule="exact"/>
              <w:jc w:val="center"/>
              <w:rPr>
                <w:rFonts w:ascii="宋体" w:hAnsi="宋体"/>
                <w:szCs w:val="21"/>
                <w:highlight w:val="none"/>
              </w:rPr>
            </w:pPr>
          </w:p>
        </w:tc>
        <w:tc>
          <w:tcPr>
            <w:tcW w:w="6209" w:type="dxa"/>
            <w:vAlign w:val="center"/>
          </w:tcPr>
          <w:p w14:paraId="7B87AA22">
            <w:pPr>
              <w:spacing w:line="400" w:lineRule="exact"/>
              <w:ind w:firstLine="420" w:firstLineChars="200"/>
              <w:rPr>
                <w:rFonts w:ascii="宋体" w:hAnsi="宋体"/>
                <w:szCs w:val="21"/>
                <w:highlight w:val="none"/>
              </w:rPr>
            </w:pPr>
            <w:r>
              <w:rPr>
                <w:rFonts w:hint="eastAsia" w:ascii="宋体" w:hAnsi="宋体"/>
                <w:szCs w:val="21"/>
                <w:highlight w:val="none"/>
              </w:rPr>
              <w:t>A-3</w:t>
            </w:r>
            <w:r>
              <w:rPr>
                <w:rFonts w:hint="eastAsia" w:ascii="宋体" w:hAnsi="宋体"/>
                <w:szCs w:val="21"/>
                <w:highlight w:val="none"/>
                <w:lang w:eastAsia="zh-CN"/>
              </w:rPr>
              <w:t>比选申请人</w:t>
            </w:r>
            <w:r>
              <w:rPr>
                <w:rFonts w:hint="eastAsia" w:ascii="宋体" w:hAnsi="宋体"/>
                <w:szCs w:val="21"/>
                <w:highlight w:val="none"/>
              </w:rPr>
              <w:t>的业绩</w:t>
            </w:r>
            <w:r>
              <w:rPr>
                <w:rFonts w:hint="eastAsia" w:ascii="宋体" w:hAnsi="宋体"/>
                <w:szCs w:val="21"/>
                <w:highlight w:val="none"/>
                <w:lang w:val="en-US" w:eastAsia="zh-CN"/>
              </w:rPr>
              <w:t>不</w:t>
            </w:r>
            <w:r>
              <w:rPr>
                <w:rFonts w:hint="eastAsia" w:ascii="宋体" w:hAnsi="宋体"/>
                <w:szCs w:val="21"/>
                <w:highlight w:val="none"/>
              </w:rPr>
              <w:t>满足</w:t>
            </w:r>
            <w:r>
              <w:rPr>
                <w:rFonts w:hint="eastAsia" w:ascii="宋体" w:hAnsi="宋体"/>
                <w:szCs w:val="21"/>
                <w:highlight w:val="none"/>
                <w:lang w:eastAsia="zh-CN"/>
              </w:rPr>
              <w:t>比选申请人</w:t>
            </w:r>
            <w:r>
              <w:rPr>
                <w:rFonts w:hint="eastAsia" w:ascii="宋体" w:hAnsi="宋体"/>
                <w:szCs w:val="21"/>
                <w:highlight w:val="none"/>
              </w:rPr>
              <w:t>须知前附表第1.4.1项的要求（如有）。</w:t>
            </w:r>
          </w:p>
        </w:tc>
      </w:tr>
      <w:tr w14:paraId="198453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317" w:type="dxa"/>
            <w:vMerge w:val="continue"/>
            <w:vAlign w:val="center"/>
          </w:tcPr>
          <w:p w14:paraId="5D24A0EF">
            <w:pPr>
              <w:spacing w:line="400" w:lineRule="exact"/>
              <w:jc w:val="center"/>
              <w:rPr>
                <w:rFonts w:ascii="宋体" w:hAnsi="宋体"/>
                <w:szCs w:val="21"/>
                <w:highlight w:val="none"/>
              </w:rPr>
            </w:pPr>
          </w:p>
        </w:tc>
        <w:tc>
          <w:tcPr>
            <w:tcW w:w="1943" w:type="dxa"/>
            <w:vMerge w:val="continue"/>
            <w:vAlign w:val="center"/>
          </w:tcPr>
          <w:p w14:paraId="6DFC9CBB">
            <w:pPr>
              <w:spacing w:line="400" w:lineRule="exact"/>
              <w:jc w:val="center"/>
              <w:rPr>
                <w:rFonts w:ascii="宋体" w:hAnsi="宋体"/>
                <w:szCs w:val="21"/>
                <w:highlight w:val="none"/>
              </w:rPr>
            </w:pPr>
          </w:p>
        </w:tc>
        <w:tc>
          <w:tcPr>
            <w:tcW w:w="6209" w:type="dxa"/>
            <w:vAlign w:val="center"/>
          </w:tcPr>
          <w:p w14:paraId="2C00CC53">
            <w:pPr>
              <w:spacing w:line="400" w:lineRule="exact"/>
              <w:ind w:firstLine="420" w:firstLineChars="200"/>
              <w:rPr>
                <w:rFonts w:ascii="宋体" w:hAnsi="宋体"/>
                <w:szCs w:val="21"/>
                <w:highlight w:val="none"/>
              </w:rPr>
            </w:pPr>
            <w:r>
              <w:rPr>
                <w:rFonts w:hint="eastAsia" w:ascii="宋体" w:hAnsi="宋体"/>
                <w:szCs w:val="21"/>
                <w:highlight w:val="none"/>
              </w:rPr>
              <w:t>A-4</w:t>
            </w:r>
            <w:r>
              <w:rPr>
                <w:rFonts w:hint="eastAsia" w:ascii="宋体" w:hAnsi="宋体"/>
                <w:szCs w:val="21"/>
                <w:highlight w:val="none"/>
                <w:lang w:eastAsia="zh-CN"/>
              </w:rPr>
              <w:t>比选申请人</w:t>
            </w:r>
            <w:r>
              <w:rPr>
                <w:rFonts w:hint="eastAsia" w:ascii="宋体" w:hAnsi="宋体"/>
                <w:szCs w:val="21"/>
                <w:highlight w:val="none"/>
              </w:rPr>
              <w:t>的投标截止日投标资格情况</w:t>
            </w:r>
            <w:r>
              <w:rPr>
                <w:rFonts w:hint="eastAsia" w:ascii="宋体" w:hAnsi="宋体"/>
                <w:szCs w:val="21"/>
                <w:highlight w:val="none"/>
                <w:lang w:val="en-US" w:eastAsia="zh-CN"/>
              </w:rPr>
              <w:t>不</w:t>
            </w:r>
            <w:r>
              <w:rPr>
                <w:rFonts w:hint="eastAsia" w:ascii="宋体" w:hAnsi="宋体"/>
                <w:szCs w:val="21"/>
                <w:highlight w:val="none"/>
              </w:rPr>
              <w:t>满足</w:t>
            </w:r>
            <w:r>
              <w:rPr>
                <w:rFonts w:hint="eastAsia" w:ascii="宋体" w:hAnsi="宋体"/>
                <w:szCs w:val="21"/>
                <w:highlight w:val="none"/>
                <w:lang w:eastAsia="zh-CN"/>
              </w:rPr>
              <w:t>比选申请人</w:t>
            </w:r>
            <w:r>
              <w:rPr>
                <w:rFonts w:hint="eastAsia" w:ascii="宋体" w:hAnsi="宋体"/>
                <w:szCs w:val="21"/>
                <w:highlight w:val="none"/>
              </w:rPr>
              <w:t>须知前附表第1.4.1项的要求。</w:t>
            </w:r>
          </w:p>
        </w:tc>
      </w:tr>
      <w:tr w14:paraId="6468FC8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317" w:type="dxa"/>
            <w:vMerge w:val="continue"/>
            <w:vAlign w:val="center"/>
          </w:tcPr>
          <w:p w14:paraId="7E0791E8">
            <w:pPr>
              <w:spacing w:line="400" w:lineRule="exact"/>
              <w:jc w:val="center"/>
              <w:rPr>
                <w:rFonts w:ascii="宋体" w:hAnsi="宋体"/>
                <w:szCs w:val="21"/>
                <w:highlight w:val="none"/>
              </w:rPr>
            </w:pPr>
          </w:p>
        </w:tc>
        <w:tc>
          <w:tcPr>
            <w:tcW w:w="1943" w:type="dxa"/>
            <w:vMerge w:val="continue"/>
            <w:vAlign w:val="center"/>
          </w:tcPr>
          <w:p w14:paraId="010ABC1F">
            <w:pPr>
              <w:spacing w:line="400" w:lineRule="exact"/>
              <w:jc w:val="center"/>
              <w:rPr>
                <w:rFonts w:ascii="宋体" w:hAnsi="宋体"/>
                <w:szCs w:val="21"/>
                <w:highlight w:val="none"/>
              </w:rPr>
            </w:pPr>
          </w:p>
        </w:tc>
        <w:tc>
          <w:tcPr>
            <w:tcW w:w="6209" w:type="dxa"/>
            <w:vAlign w:val="center"/>
          </w:tcPr>
          <w:p w14:paraId="410983EE">
            <w:pPr>
              <w:spacing w:line="400" w:lineRule="exact"/>
              <w:ind w:firstLine="420" w:firstLineChars="200"/>
              <w:rPr>
                <w:rFonts w:ascii="宋体" w:hAnsi="宋体"/>
                <w:szCs w:val="21"/>
                <w:highlight w:val="none"/>
              </w:rPr>
            </w:pPr>
            <w:r>
              <w:rPr>
                <w:rFonts w:hint="eastAsia" w:ascii="宋体" w:hAnsi="宋体"/>
                <w:szCs w:val="21"/>
                <w:highlight w:val="none"/>
              </w:rPr>
              <w:t>A-5</w:t>
            </w:r>
            <w:r>
              <w:rPr>
                <w:rFonts w:hint="eastAsia" w:ascii="宋体" w:hAnsi="宋体"/>
                <w:szCs w:val="21"/>
                <w:highlight w:val="none"/>
                <w:lang w:eastAsia="zh-CN"/>
              </w:rPr>
              <w:t>比选申请人</w:t>
            </w:r>
            <w:r>
              <w:rPr>
                <w:rFonts w:hint="eastAsia" w:ascii="宋体" w:hAnsi="宋体"/>
                <w:szCs w:val="21"/>
                <w:highlight w:val="none"/>
              </w:rPr>
              <w:t>的项目经理资格</w:t>
            </w:r>
            <w:r>
              <w:rPr>
                <w:rFonts w:hint="eastAsia" w:ascii="宋体" w:hAnsi="宋体"/>
                <w:szCs w:val="21"/>
                <w:highlight w:val="none"/>
                <w:lang w:val="en-US" w:eastAsia="zh-CN"/>
              </w:rPr>
              <w:t>不</w:t>
            </w:r>
            <w:r>
              <w:rPr>
                <w:rFonts w:hint="eastAsia" w:ascii="宋体" w:hAnsi="宋体"/>
                <w:szCs w:val="21"/>
                <w:highlight w:val="none"/>
              </w:rPr>
              <w:t>满足</w:t>
            </w:r>
            <w:r>
              <w:rPr>
                <w:rFonts w:hint="eastAsia" w:ascii="宋体" w:hAnsi="宋体"/>
                <w:szCs w:val="21"/>
                <w:highlight w:val="none"/>
                <w:lang w:eastAsia="zh-CN"/>
              </w:rPr>
              <w:t>比选申请人</w:t>
            </w:r>
            <w:r>
              <w:rPr>
                <w:rFonts w:hint="eastAsia" w:ascii="宋体" w:hAnsi="宋体"/>
                <w:szCs w:val="21"/>
                <w:highlight w:val="none"/>
              </w:rPr>
              <w:t>须知前附表第1.4.1项的要求。</w:t>
            </w:r>
          </w:p>
        </w:tc>
      </w:tr>
      <w:tr w14:paraId="599FA0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80" w:hRule="atLeast"/>
          <w:tblHeader/>
          <w:jc w:val="center"/>
        </w:trPr>
        <w:tc>
          <w:tcPr>
            <w:tcW w:w="1317" w:type="dxa"/>
            <w:vMerge w:val="continue"/>
            <w:vAlign w:val="center"/>
          </w:tcPr>
          <w:p w14:paraId="276471F5">
            <w:pPr>
              <w:spacing w:line="400" w:lineRule="exact"/>
              <w:jc w:val="center"/>
              <w:rPr>
                <w:rFonts w:ascii="宋体" w:hAnsi="宋体"/>
                <w:szCs w:val="21"/>
                <w:highlight w:val="none"/>
              </w:rPr>
            </w:pPr>
          </w:p>
        </w:tc>
        <w:tc>
          <w:tcPr>
            <w:tcW w:w="1943" w:type="dxa"/>
            <w:vMerge w:val="continue"/>
            <w:vAlign w:val="center"/>
          </w:tcPr>
          <w:p w14:paraId="37113405">
            <w:pPr>
              <w:spacing w:line="400" w:lineRule="exact"/>
              <w:jc w:val="center"/>
              <w:rPr>
                <w:rFonts w:ascii="宋体" w:hAnsi="宋体"/>
                <w:szCs w:val="21"/>
                <w:highlight w:val="none"/>
              </w:rPr>
            </w:pPr>
          </w:p>
        </w:tc>
        <w:tc>
          <w:tcPr>
            <w:tcW w:w="6209" w:type="dxa"/>
            <w:vAlign w:val="center"/>
          </w:tcPr>
          <w:p w14:paraId="5840154A">
            <w:pPr>
              <w:spacing w:line="400" w:lineRule="exact"/>
              <w:ind w:firstLine="420" w:firstLineChars="200"/>
              <w:rPr>
                <w:rFonts w:ascii="宋体" w:hAnsi="宋体"/>
                <w:szCs w:val="21"/>
                <w:highlight w:val="none"/>
              </w:rPr>
            </w:pPr>
            <w:r>
              <w:rPr>
                <w:rFonts w:hint="eastAsia" w:ascii="宋体" w:hAnsi="宋体"/>
                <w:szCs w:val="21"/>
                <w:highlight w:val="none"/>
              </w:rPr>
              <w:t>A-6</w:t>
            </w:r>
            <w:r>
              <w:rPr>
                <w:rFonts w:hint="eastAsia" w:ascii="宋体" w:hAnsi="宋体"/>
                <w:szCs w:val="21"/>
                <w:highlight w:val="none"/>
                <w:lang w:eastAsia="zh-CN"/>
              </w:rPr>
              <w:t>比选申请人</w:t>
            </w:r>
            <w:r>
              <w:rPr>
                <w:rFonts w:hint="eastAsia" w:ascii="宋体" w:hAnsi="宋体"/>
                <w:szCs w:val="21"/>
                <w:highlight w:val="none"/>
              </w:rPr>
              <w:t>的其他要求</w:t>
            </w:r>
            <w:r>
              <w:rPr>
                <w:rFonts w:hint="eastAsia" w:ascii="宋体" w:hAnsi="宋体"/>
                <w:szCs w:val="21"/>
                <w:highlight w:val="none"/>
                <w:lang w:val="en-US" w:eastAsia="zh-CN"/>
              </w:rPr>
              <w:t>不</w:t>
            </w:r>
            <w:r>
              <w:rPr>
                <w:rFonts w:hint="eastAsia" w:ascii="宋体" w:hAnsi="宋体"/>
                <w:szCs w:val="21"/>
                <w:highlight w:val="none"/>
              </w:rPr>
              <w:t>满足</w:t>
            </w:r>
            <w:r>
              <w:rPr>
                <w:rFonts w:hint="eastAsia" w:ascii="宋体" w:hAnsi="宋体"/>
                <w:szCs w:val="21"/>
                <w:highlight w:val="none"/>
                <w:lang w:eastAsia="zh-CN"/>
              </w:rPr>
              <w:t>比选申请人</w:t>
            </w:r>
            <w:r>
              <w:rPr>
                <w:rFonts w:hint="eastAsia" w:ascii="宋体" w:hAnsi="宋体"/>
                <w:szCs w:val="21"/>
                <w:highlight w:val="none"/>
              </w:rPr>
              <w:t>须知前附表1.4.1项的要求。</w:t>
            </w:r>
          </w:p>
        </w:tc>
      </w:tr>
      <w:tr w14:paraId="57ABF4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4928DD04">
            <w:pPr>
              <w:spacing w:line="400" w:lineRule="exact"/>
              <w:jc w:val="center"/>
              <w:rPr>
                <w:rFonts w:ascii="宋体" w:hAnsi="宋体"/>
                <w:szCs w:val="21"/>
                <w:highlight w:val="none"/>
              </w:rPr>
            </w:pPr>
          </w:p>
        </w:tc>
        <w:tc>
          <w:tcPr>
            <w:tcW w:w="1943" w:type="dxa"/>
            <w:vMerge w:val="restart"/>
            <w:vAlign w:val="center"/>
          </w:tcPr>
          <w:p w14:paraId="3D0F0779">
            <w:pPr>
              <w:spacing w:line="400" w:lineRule="exact"/>
              <w:jc w:val="center"/>
              <w:rPr>
                <w:rFonts w:ascii="宋体" w:hAnsi="宋体"/>
                <w:szCs w:val="21"/>
                <w:highlight w:val="none"/>
              </w:rPr>
            </w:pPr>
            <w:r>
              <w:rPr>
                <w:rFonts w:hint="eastAsia" w:ascii="宋体" w:hAnsi="宋体"/>
                <w:szCs w:val="21"/>
                <w:highlight w:val="none"/>
              </w:rPr>
              <w:t>形式评审</w:t>
            </w:r>
          </w:p>
        </w:tc>
        <w:tc>
          <w:tcPr>
            <w:tcW w:w="6209" w:type="dxa"/>
          </w:tcPr>
          <w:p w14:paraId="23D44A6A">
            <w:pPr>
              <w:spacing w:line="400" w:lineRule="exact"/>
              <w:ind w:firstLine="420" w:firstLineChars="200"/>
              <w:rPr>
                <w:rFonts w:ascii="宋体" w:hAnsi="宋体"/>
                <w:szCs w:val="21"/>
                <w:highlight w:val="none"/>
              </w:rPr>
            </w:pPr>
            <w:r>
              <w:rPr>
                <w:rFonts w:hint="eastAsia" w:ascii="宋体" w:hAnsi="宋体"/>
                <w:szCs w:val="21"/>
                <w:highlight w:val="none"/>
              </w:rPr>
              <w:t>A-</w:t>
            </w:r>
            <w:r>
              <w:rPr>
                <w:rFonts w:hint="eastAsia" w:ascii="宋体" w:hAnsi="宋体"/>
                <w:szCs w:val="21"/>
                <w:highlight w:val="none"/>
                <w:lang w:val="en-US" w:eastAsia="zh-CN"/>
              </w:rPr>
              <w:t>7</w:t>
            </w:r>
            <w:r>
              <w:rPr>
                <w:rFonts w:hint="eastAsia" w:ascii="宋体" w:hAnsi="宋体"/>
                <w:szCs w:val="21"/>
                <w:highlight w:val="none"/>
                <w:lang w:eastAsia="zh-CN"/>
              </w:rPr>
              <w:t>比选申请人</w:t>
            </w:r>
            <w:r>
              <w:rPr>
                <w:rFonts w:hint="eastAsia" w:ascii="宋体" w:hAnsi="宋体"/>
                <w:szCs w:val="21"/>
                <w:highlight w:val="none"/>
              </w:rPr>
              <w:t>名称与营业执照、资质证书、安全生产许可证</w:t>
            </w:r>
            <w:r>
              <w:rPr>
                <w:rFonts w:hint="eastAsia" w:ascii="宋体" w:hAnsi="宋体"/>
                <w:szCs w:val="21"/>
                <w:highlight w:val="none"/>
                <w:lang w:val="en-US" w:eastAsia="zh-CN"/>
              </w:rPr>
              <w:t>不</w:t>
            </w:r>
            <w:r>
              <w:rPr>
                <w:rFonts w:hint="eastAsia" w:ascii="宋体" w:hAnsi="宋体"/>
                <w:szCs w:val="21"/>
                <w:highlight w:val="none"/>
              </w:rPr>
              <w:t>一致</w:t>
            </w:r>
            <w:r>
              <w:rPr>
                <w:rFonts w:ascii="宋体" w:hAnsi="宋体"/>
                <w:szCs w:val="21"/>
                <w:highlight w:val="none"/>
              </w:rPr>
              <w:t>。</w:t>
            </w:r>
          </w:p>
        </w:tc>
      </w:tr>
      <w:tr w14:paraId="3861409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610" w:hRule="atLeast"/>
          <w:jc w:val="center"/>
        </w:trPr>
        <w:tc>
          <w:tcPr>
            <w:tcW w:w="1317" w:type="dxa"/>
            <w:vMerge w:val="continue"/>
            <w:vAlign w:val="center"/>
          </w:tcPr>
          <w:p w14:paraId="7C351EC2">
            <w:pPr>
              <w:spacing w:line="400" w:lineRule="exact"/>
              <w:jc w:val="center"/>
              <w:rPr>
                <w:rFonts w:ascii="宋体" w:hAnsi="宋体"/>
                <w:szCs w:val="21"/>
                <w:highlight w:val="none"/>
              </w:rPr>
            </w:pPr>
          </w:p>
        </w:tc>
        <w:tc>
          <w:tcPr>
            <w:tcW w:w="1943" w:type="dxa"/>
            <w:vMerge w:val="continue"/>
            <w:vAlign w:val="center"/>
          </w:tcPr>
          <w:p w14:paraId="1BB92360">
            <w:pPr>
              <w:spacing w:line="400" w:lineRule="exact"/>
              <w:jc w:val="center"/>
              <w:rPr>
                <w:rFonts w:ascii="宋体" w:hAnsi="宋体"/>
                <w:szCs w:val="21"/>
                <w:highlight w:val="none"/>
              </w:rPr>
            </w:pPr>
          </w:p>
        </w:tc>
        <w:tc>
          <w:tcPr>
            <w:tcW w:w="6209" w:type="dxa"/>
          </w:tcPr>
          <w:p w14:paraId="4F3B1C24">
            <w:pPr>
              <w:spacing w:line="400" w:lineRule="exact"/>
              <w:ind w:firstLine="420" w:firstLineChars="200"/>
              <w:rPr>
                <w:rFonts w:ascii="宋体" w:hAnsi="宋体"/>
                <w:szCs w:val="21"/>
                <w:highlight w:val="none"/>
              </w:rPr>
            </w:pPr>
            <w:r>
              <w:rPr>
                <w:rFonts w:hint="eastAsia" w:ascii="宋体" w:hAnsi="宋体"/>
                <w:szCs w:val="21"/>
                <w:highlight w:val="none"/>
              </w:rPr>
              <w:t>A-</w:t>
            </w:r>
            <w:r>
              <w:rPr>
                <w:rFonts w:hint="eastAsia" w:ascii="宋体" w:hAnsi="宋体"/>
                <w:szCs w:val="21"/>
                <w:highlight w:val="none"/>
                <w:lang w:val="en-US" w:eastAsia="zh-CN"/>
              </w:rPr>
              <w:t>8</w:t>
            </w:r>
            <w:r>
              <w:rPr>
                <w:rFonts w:hint="eastAsia" w:ascii="宋体" w:hAnsi="宋体"/>
                <w:szCs w:val="21"/>
                <w:highlight w:val="none"/>
                <w:lang w:eastAsia="zh-CN"/>
              </w:rPr>
              <w:t>比选申请文件</w:t>
            </w:r>
            <w:r>
              <w:rPr>
                <w:rFonts w:hint="eastAsia" w:ascii="宋体" w:hAnsi="宋体"/>
                <w:szCs w:val="21"/>
                <w:highlight w:val="none"/>
              </w:rPr>
              <w:t>格式（不含投标函部分）</w:t>
            </w:r>
            <w:r>
              <w:rPr>
                <w:rFonts w:hint="eastAsia" w:ascii="宋体" w:hAnsi="宋体"/>
                <w:szCs w:val="21"/>
                <w:highlight w:val="none"/>
                <w:lang w:val="en-US" w:eastAsia="zh-CN"/>
              </w:rPr>
              <w:t>不</w:t>
            </w:r>
            <w:r>
              <w:rPr>
                <w:rFonts w:hint="eastAsia" w:ascii="宋体" w:hAnsi="宋体"/>
                <w:szCs w:val="21"/>
                <w:highlight w:val="none"/>
              </w:rPr>
              <w:t>符合第二章“</w:t>
            </w:r>
            <w:r>
              <w:rPr>
                <w:rFonts w:hint="eastAsia" w:ascii="宋体" w:hAnsi="宋体"/>
                <w:szCs w:val="21"/>
                <w:highlight w:val="none"/>
                <w:lang w:eastAsia="zh-CN"/>
              </w:rPr>
              <w:t>比选申请人</w:t>
            </w:r>
            <w:r>
              <w:rPr>
                <w:rFonts w:hint="eastAsia" w:ascii="宋体" w:hAnsi="宋体"/>
                <w:szCs w:val="21"/>
                <w:highlight w:val="none"/>
              </w:rPr>
              <w:t>须知”第3.7款的要求。</w:t>
            </w:r>
          </w:p>
          <w:p w14:paraId="12E02908">
            <w:pPr>
              <w:spacing w:line="400" w:lineRule="exact"/>
              <w:ind w:firstLine="420" w:firstLineChars="200"/>
              <w:rPr>
                <w:rFonts w:ascii="宋体" w:hAnsi="宋体"/>
                <w:szCs w:val="21"/>
                <w:highlight w:val="none"/>
              </w:rPr>
            </w:pPr>
            <w:r>
              <w:rPr>
                <w:rFonts w:hint="eastAsia" w:ascii="宋体" w:hAnsi="宋体"/>
                <w:szCs w:val="21"/>
                <w:highlight w:val="none"/>
              </w:rPr>
              <w:t>编制</w:t>
            </w:r>
            <w:r>
              <w:rPr>
                <w:rFonts w:hint="eastAsia" w:ascii="宋体" w:hAnsi="宋体"/>
                <w:szCs w:val="21"/>
                <w:highlight w:val="none"/>
                <w:lang w:eastAsia="zh-CN"/>
              </w:rPr>
              <w:t>比选申请文件</w:t>
            </w:r>
            <w:r>
              <w:rPr>
                <w:rFonts w:hint="eastAsia" w:ascii="宋体" w:hAnsi="宋体"/>
                <w:szCs w:val="21"/>
                <w:highlight w:val="none"/>
              </w:rPr>
              <w:t>时对第八章“</w:t>
            </w:r>
            <w:r>
              <w:rPr>
                <w:rFonts w:hint="eastAsia" w:ascii="宋体" w:hAnsi="宋体"/>
                <w:szCs w:val="21"/>
                <w:highlight w:val="none"/>
                <w:lang w:eastAsia="zh-CN"/>
              </w:rPr>
              <w:t>比选申请文件</w:t>
            </w:r>
            <w:r>
              <w:rPr>
                <w:rFonts w:hint="eastAsia" w:ascii="宋体" w:hAnsi="宋体"/>
                <w:szCs w:val="21"/>
                <w:highlight w:val="none"/>
              </w:rPr>
              <w:t>格式”的相应要素作实质性修改。</w:t>
            </w:r>
          </w:p>
        </w:tc>
      </w:tr>
      <w:tr w14:paraId="022766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4C3042A7">
            <w:pPr>
              <w:spacing w:line="400" w:lineRule="exact"/>
              <w:jc w:val="center"/>
              <w:rPr>
                <w:rFonts w:ascii="宋体" w:hAnsi="宋体"/>
                <w:szCs w:val="21"/>
                <w:highlight w:val="none"/>
              </w:rPr>
            </w:pPr>
          </w:p>
        </w:tc>
        <w:tc>
          <w:tcPr>
            <w:tcW w:w="1943" w:type="dxa"/>
            <w:vMerge w:val="continue"/>
            <w:vAlign w:val="center"/>
          </w:tcPr>
          <w:p w14:paraId="1B32245A">
            <w:pPr>
              <w:spacing w:line="400" w:lineRule="exact"/>
              <w:jc w:val="center"/>
              <w:rPr>
                <w:rFonts w:ascii="宋体" w:hAnsi="宋体"/>
                <w:szCs w:val="21"/>
                <w:highlight w:val="none"/>
              </w:rPr>
            </w:pPr>
          </w:p>
        </w:tc>
        <w:tc>
          <w:tcPr>
            <w:tcW w:w="6209" w:type="dxa"/>
          </w:tcPr>
          <w:p w14:paraId="5A882F28">
            <w:pPr>
              <w:spacing w:line="400" w:lineRule="exact"/>
              <w:ind w:firstLine="420" w:firstLineChars="200"/>
              <w:rPr>
                <w:rFonts w:ascii="宋体" w:hAnsi="宋体"/>
                <w:szCs w:val="21"/>
                <w:highlight w:val="none"/>
              </w:rPr>
            </w:pPr>
            <w:r>
              <w:rPr>
                <w:rFonts w:hint="eastAsia" w:ascii="宋体" w:hAnsi="宋体"/>
                <w:szCs w:val="21"/>
                <w:highlight w:val="none"/>
              </w:rPr>
              <w:t>A-</w:t>
            </w:r>
            <w:r>
              <w:rPr>
                <w:rFonts w:hint="eastAsia" w:ascii="宋体" w:hAnsi="宋体"/>
                <w:szCs w:val="21"/>
                <w:highlight w:val="none"/>
                <w:lang w:val="en-US" w:eastAsia="zh-CN"/>
              </w:rPr>
              <w:t>9</w:t>
            </w:r>
            <w:r>
              <w:rPr>
                <w:rFonts w:hint="eastAsia" w:ascii="宋体" w:hAnsi="宋体"/>
                <w:szCs w:val="21"/>
                <w:highlight w:val="none"/>
              </w:rPr>
              <w:t>第八章</w:t>
            </w:r>
            <w:r>
              <w:rPr>
                <w:rFonts w:hint="eastAsia" w:ascii="宋体" w:hAnsi="宋体"/>
                <w:szCs w:val="21"/>
                <w:highlight w:val="none"/>
                <w:lang w:val="en-US" w:eastAsia="zh-CN"/>
              </w:rPr>
              <w:t xml:space="preserve"> </w:t>
            </w:r>
            <w:r>
              <w:rPr>
                <w:rFonts w:hint="eastAsia" w:ascii="宋体" w:hAnsi="宋体"/>
                <w:color w:val="auto"/>
                <w:szCs w:val="21"/>
                <w:highlight w:val="none"/>
                <w:lang w:eastAsia="zh-CN"/>
              </w:rPr>
              <w:t>比选申请文件</w:t>
            </w:r>
            <w:r>
              <w:rPr>
                <w:rFonts w:hint="eastAsia" w:ascii="宋体" w:hAnsi="宋体"/>
                <w:color w:val="auto"/>
                <w:szCs w:val="21"/>
                <w:highlight w:val="none"/>
              </w:rPr>
              <w:t>格式（不含投标函部分）要求法定代表人（或其委托代理人）签名（或盖章）的须齐全。</w:t>
            </w:r>
          </w:p>
        </w:tc>
      </w:tr>
      <w:tr w14:paraId="3EBFA80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2E1846CF">
            <w:pPr>
              <w:spacing w:line="400" w:lineRule="exact"/>
              <w:jc w:val="center"/>
              <w:rPr>
                <w:rFonts w:ascii="宋体" w:hAnsi="宋体"/>
                <w:szCs w:val="21"/>
                <w:highlight w:val="none"/>
              </w:rPr>
            </w:pPr>
          </w:p>
        </w:tc>
        <w:tc>
          <w:tcPr>
            <w:tcW w:w="1943" w:type="dxa"/>
            <w:vMerge w:val="continue"/>
            <w:vAlign w:val="center"/>
          </w:tcPr>
          <w:p w14:paraId="5913A8EF">
            <w:pPr>
              <w:spacing w:line="400" w:lineRule="exact"/>
              <w:jc w:val="center"/>
              <w:rPr>
                <w:rFonts w:ascii="宋体" w:hAnsi="宋体"/>
                <w:szCs w:val="21"/>
                <w:highlight w:val="none"/>
              </w:rPr>
            </w:pPr>
          </w:p>
        </w:tc>
        <w:tc>
          <w:tcPr>
            <w:tcW w:w="6209" w:type="dxa"/>
          </w:tcPr>
          <w:p w14:paraId="743DEED6">
            <w:pPr>
              <w:spacing w:line="400" w:lineRule="exact"/>
              <w:ind w:firstLine="420" w:firstLineChars="200"/>
              <w:rPr>
                <w:rFonts w:ascii="宋体" w:hAnsi="宋体"/>
                <w:szCs w:val="21"/>
                <w:highlight w:val="none"/>
              </w:rPr>
            </w:pPr>
            <w:r>
              <w:rPr>
                <w:rFonts w:hint="eastAsia" w:ascii="宋体" w:hAnsi="宋体"/>
                <w:szCs w:val="21"/>
                <w:highlight w:val="none"/>
              </w:rPr>
              <w:t>A-1</w:t>
            </w:r>
            <w:r>
              <w:rPr>
                <w:rFonts w:hint="eastAsia" w:ascii="宋体" w:hAnsi="宋体"/>
                <w:szCs w:val="21"/>
                <w:highlight w:val="none"/>
                <w:lang w:val="en-US" w:eastAsia="zh-CN"/>
              </w:rPr>
              <w:t>0</w:t>
            </w:r>
            <w:r>
              <w:rPr>
                <w:rFonts w:hint="eastAsia" w:ascii="宋体" w:hAnsi="宋体"/>
                <w:szCs w:val="21"/>
                <w:highlight w:val="none"/>
                <w:lang w:eastAsia="zh-CN"/>
              </w:rPr>
              <w:t>比选申请人</w:t>
            </w:r>
            <w:r>
              <w:rPr>
                <w:rFonts w:hint="eastAsia" w:ascii="宋体" w:hAnsi="宋体"/>
                <w:szCs w:val="21"/>
                <w:highlight w:val="none"/>
              </w:rPr>
              <w:t>法定代表人的委托代理人</w:t>
            </w:r>
            <w:r>
              <w:rPr>
                <w:rFonts w:hint="eastAsia" w:ascii="宋体" w:hAnsi="宋体"/>
                <w:szCs w:val="21"/>
                <w:highlight w:val="none"/>
                <w:lang w:val="en-US" w:eastAsia="zh-CN"/>
              </w:rPr>
              <w:t>无</w:t>
            </w:r>
            <w:r>
              <w:rPr>
                <w:rFonts w:hint="eastAsia" w:ascii="宋体" w:hAnsi="宋体"/>
                <w:szCs w:val="21"/>
                <w:highlight w:val="none"/>
              </w:rPr>
              <w:t>法定代表人签署的授权委托书</w:t>
            </w:r>
            <w:r>
              <w:rPr>
                <w:rFonts w:hint="eastAsia" w:ascii="宋体" w:hAnsi="宋体"/>
                <w:szCs w:val="21"/>
                <w:highlight w:val="none"/>
                <w:lang w:eastAsia="zh-CN"/>
              </w:rPr>
              <w:t>，</w:t>
            </w:r>
            <w:r>
              <w:rPr>
                <w:rFonts w:hint="eastAsia" w:ascii="宋体" w:hAnsi="宋体"/>
                <w:szCs w:val="21"/>
                <w:highlight w:val="none"/>
                <w:lang w:val="en-US" w:eastAsia="zh-CN"/>
              </w:rPr>
              <w:t>或无</w:t>
            </w:r>
            <w:r>
              <w:rPr>
                <w:rFonts w:hint="eastAsia" w:ascii="宋体" w:hAnsi="宋体"/>
                <w:szCs w:val="21"/>
                <w:highlight w:val="none"/>
                <w:lang w:eastAsia="zh-CN"/>
              </w:rPr>
              <w:t>比选申请人</w:t>
            </w:r>
            <w:r>
              <w:rPr>
                <w:rFonts w:hint="eastAsia" w:ascii="宋体" w:hAnsi="宋体"/>
                <w:szCs w:val="21"/>
                <w:highlight w:val="none"/>
              </w:rPr>
              <w:t>为其缴纳的养老保险证明材料。</w:t>
            </w:r>
          </w:p>
        </w:tc>
      </w:tr>
      <w:tr w14:paraId="3F96803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508F1D20">
            <w:pPr>
              <w:spacing w:line="400" w:lineRule="exact"/>
              <w:jc w:val="center"/>
              <w:rPr>
                <w:rFonts w:ascii="宋体" w:hAnsi="宋体"/>
                <w:szCs w:val="21"/>
                <w:highlight w:val="none"/>
              </w:rPr>
            </w:pPr>
          </w:p>
        </w:tc>
        <w:tc>
          <w:tcPr>
            <w:tcW w:w="1943" w:type="dxa"/>
            <w:vMerge w:val="restart"/>
            <w:vAlign w:val="center"/>
          </w:tcPr>
          <w:p w14:paraId="3F8A3935">
            <w:pPr>
              <w:spacing w:line="400" w:lineRule="exact"/>
              <w:jc w:val="center"/>
              <w:rPr>
                <w:rFonts w:ascii="宋体" w:hAnsi="宋体"/>
                <w:szCs w:val="21"/>
                <w:highlight w:val="none"/>
              </w:rPr>
            </w:pPr>
            <w:r>
              <w:rPr>
                <w:rFonts w:hint="eastAsia" w:ascii="宋体" w:hAnsi="宋体"/>
                <w:szCs w:val="21"/>
                <w:highlight w:val="none"/>
              </w:rPr>
              <w:t>响应性评审</w:t>
            </w:r>
          </w:p>
        </w:tc>
        <w:tc>
          <w:tcPr>
            <w:tcW w:w="6209" w:type="dxa"/>
            <w:vAlign w:val="center"/>
          </w:tcPr>
          <w:p w14:paraId="6E7F8F61">
            <w:pPr>
              <w:spacing w:line="400" w:lineRule="exact"/>
              <w:ind w:firstLine="420" w:firstLineChars="200"/>
              <w:rPr>
                <w:rFonts w:ascii="宋体" w:hAnsi="宋体"/>
                <w:szCs w:val="21"/>
                <w:highlight w:val="none"/>
              </w:rPr>
            </w:pPr>
            <w:r>
              <w:rPr>
                <w:rFonts w:hint="eastAsia" w:ascii="宋体" w:hAnsi="宋体"/>
                <w:szCs w:val="21"/>
                <w:highlight w:val="none"/>
              </w:rPr>
              <w:t>A-1</w:t>
            </w:r>
            <w:r>
              <w:rPr>
                <w:rFonts w:hint="eastAsia" w:ascii="宋体" w:hAnsi="宋体"/>
                <w:szCs w:val="21"/>
                <w:highlight w:val="none"/>
                <w:lang w:val="en-US" w:eastAsia="zh-CN"/>
              </w:rPr>
              <w:t>1</w:t>
            </w:r>
            <w:r>
              <w:rPr>
                <w:rFonts w:hint="eastAsia" w:ascii="宋体" w:hAnsi="宋体"/>
                <w:szCs w:val="21"/>
                <w:highlight w:val="none"/>
              </w:rPr>
              <w:t>投标内容</w:t>
            </w:r>
            <w:r>
              <w:rPr>
                <w:rFonts w:hint="eastAsia" w:ascii="宋体" w:hAnsi="宋体"/>
                <w:szCs w:val="21"/>
                <w:highlight w:val="none"/>
                <w:lang w:val="en-US" w:eastAsia="zh-CN"/>
              </w:rPr>
              <w:t>不</w:t>
            </w:r>
            <w:r>
              <w:rPr>
                <w:rFonts w:hint="eastAsia" w:ascii="宋体" w:hAnsi="宋体"/>
                <w:szCs w:val="21"/>
                <w:highlight w:val="none"/>
              </w:rPr>
              <w:t>符合第二章“</w:t>
            </w:r>
            <w:r>
              <w:rPr>
                <w:rFonts w:hint="eastAsia" w:ascii="宋体" w:hAnsi="宋体"/>
                <w:szCs w:val="21"/>
                <w:highlight w:val="none"/>
                <w:lang w:eastAsia="zh-CN"/>
              </w:rPr>
              <w:t>比选申请人</w:t>
            </w:r>
            <w:r>
              <w:rPr>
                <w:rFonts w:hint="eastAsia" w:ascii="宋体" w:hAnsi="宋体"/>
                <w:szCs w:val="21"/>
                <w:highlight w:val="none"/>
              </w:rPr>
              <w:t>须知”第1.3.1项规定。</w:t>
            </w:r>
          </w:p>
        </w:tc>
      </w:tr>
      <w:tr w14:paraId="6E09F87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0BAA2DA0">
            <w:pPr>
              <w:spacing w:line="400" w:lineRule="exact"/>
              <w:jc w:val="center"/>
              <w:rPr>
                <w:rFonts w:ascii="宋体" w:hAnsi="宋体"/>
                <w:szCs w:val="21"/>
                <w:highlight w:val="none"/>
              </w:rPr>
            </w:pPr>
          </w:p>
        </w:tc>
        <w:tc>
          <w:tcPr>
            <w:tcW w:w="1943" w:type="dxa"/>
            <w:vMerge w:val="continue"/>
            <w:vAlign w:val="center"/>
          </w:tcPr>
          <w:p w14:paraId="1E42726B">
            <w:pPr>
              <w:spacing w:line="400" w:lineRule="exact"/>
              <w:jc w:val="center"/>
              <w:rPr>
                <w:rFonts w:ascii="宋体" w:hAnsi="宋体"/>
                <w:szCs w:val="21"/>
                <w:highlight w:val="none"/>
              </w:rPr>
            </w:pPr>
          </w:p>
        </w:tc>
        <w:tc>
          <w:tcPr>
            <w:tcW w:w="6209" w:type="dxa"/>
            <w:vAlign w:val="center"/>
          </w:tcPr>
          <w:p w14:paraId="66FDCD70">
            <w:pPr>
              <w:spacing w:line="400" w:lineRule="exact"/>
              <w:ind w:firstLine="420" w:firstLineChars="200"/>
              <w:rPr>
                <w:rFonts w:ascii="宋体" w:hAnsi="宋体"/>
                <w:szCs w:val="21"/>
                <w:highlight w:val="none"/>
              </w:rPr>
            </w:pPr>
            <w:r>
              <w:rPr>
                <w:rFonts w:hint="eastAsia" w:ascii="宋体" w:hAnsi="宋体"/>
                <w:szCs w:val="21"/>
                <w:highlight w:val="none"/>
              </w:rPr>
              <w:t>A-1</w:t>
            </w:r>
            <w:r>
              <w:rPr>
                <w:rFonts w:hint="eastAsia" w:ascii="宋体" w:hAnsi="宋体"/>
                <w:szCs w:val="21"/>
                <w:highlight w:val="none"/>
                <w:lang w:val="en-US" w:eastAsia="zh-CN"/>
              </w:rPr>
              <w:t>2</w:t>
            </w:r>
            <w:r>
              <w:rPr>
                <w:rFonts w:hint="eastAsia" w:ascii="宋体" w:hAnsi="宋体" w:cs="宋体"/>
                <w:color w:val="auto"/>
                <w:szCs w:val="21"/>
                <w:highlight w:val="none"/>
              </w:rPr>
              <w:t>投标保证金</w:t>
            </w:r>
            <w:r>
              <w:rPr>
                <w:rFonts w:hint="eastAsia" w:ascii="宋体" w:hAnsi="宋体" w:cs="宋体"/>
                <w:color w:val="auto"/>
                <w:szCs w:val="21"/>
                <w:highlight w:val="none"/>
                <w:lang w:val="en-US" w:eastAsia="zh-CN"/>
              </w:rPr>
              <w:t>不</w:t>
            </w:r>
            <w:r>
              <w:rPr>
                <w:rFonts w:hint="eastAsia" w:ascii="宋体" w:hAnsi="宋体" w:cs="宋体"/>
                <w:kern w:val="0"/>
                <w:highlight w:val="none"/>
              </w:rPr>
              <w:t>符合第二章“</w:t>
            </w:r>
            <w:r>
              <w:rPr>
                <w:rFonts w:hint="eastAsia" w:ascii="宋体" w:hAnsi="宋体" w:cs="宋体"/>
                <w:kern w:val="0"/>
                <w:highlight w:val="none"/>
                <w:lang w:eastAsia="zh-CN"/>
              </w:rPr>
              <w:t>比选申请人</w:t>
            </w:r>
            <w:r>
              <w:rPr>
                <w:rFonts w:hint="eastAsia" w:ascii="宋体" w:hAnsi="宋体" w:cs="宋体"/>
                <w:kern w:val="0"/>
                <w:highlight w:val="none"/>
              </w:rPr>
              <w:t>须知前附表”第3.4款规定</w:t>
            </w:r>
            <w:r>
              <w:rPr>
                <w:rFonts w:hint="eastAsia" w:ascii="宋体" w:hAnsi="宋体"/>
                <w:szCs w:val="21"/>
                <w:highlight w:val="none"/>
              </w:rPr>
              <w:t>。</w:t>
            </w:r>
          </w:p>
        </w:tc>
      </w:tr>
      <w:tr w14:paraId="455305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540729E8">
            <w:pPr>
              <w:spacing w:line="400" w:lineRule="exact"/>
              <w:jc w:val="center"/>
              <w:rPr>
                <w:rFonts w:ascii="宋体" w:hAnsi="宋体"/>
                <w:szCs w:val="21"/>
                <w:highlight w:val="none"/>
              </w:rPr>
            </w:pPr>
          </w:p>
        </w:tc>
        <w:tc>
          <w:tcPr>
            <w:tcW w:w="1943" w:type="dxa"/>
            <w:vMerge w:val="continue"/>
            <w:vAlign w:val="center"/>
          </w:tcPr>
          <w:p w14:paraId="092C759F">
            <w:pPr>
              <w:spacing w:line="400" w:lineRule="exact"/>
              <w:jc w:val="center"/>
              <w:rPr>
                <w:rFonts w:ascii="宋体" w:hAnsi="宋体"/>
                <w:szCs w:val="21"/>
                <w:highlight w:val="none"/>
              </w:rPr>
            </w:pPr>
          </w:p>
        </w:tc>
        <w:tc>
          <w:tcPr>
            <w:tcW w:w="6209" w:type="dxa"/>
            <w:vAlign w:val="center"/>
          </w:tcPr>
          <w:p w14:paraId="364FAD29">
            <w:pPr>
              <w:spacing w:line="400" w:lineRule="exact"/>
              <w:ind w:firstLine="420" w:firstLineChars="200"/>
              <w:rPr>
                <w:rFonts w:ascii="宋体" w:hAnsi="宋体"/>
                <w:szCs w:val="21"/>
                <w:highlight w:val="none"/>
              </w:rPr>
            </w:pPr>
            <w:r>
              <w:rPr>
                <w:rFonts w:hint="eastAsia" w:ascii="宋体" w:hAnsi="宋体"/>
                <w:szCs w:val="21"/>
                <w:highlight w:val="none"/>
              </w:rPr>
              <w:t>A-1</w:t>
            </w:r>
            <w:r>
              <w:rPr>
                <w:rFonts w:hint="eastAsia" w:ascii="宋体" w:hAnsi="宋体"/>
                <w:szCs w:val="21"/>
                <w:highlight w:val="none"/>
                <w:lang w:val="en-US" w:eastAsia="zh-CN"/>
              </w:rPr>
              <w:t>3不</w:t>
            </w:r>
            <w:r>
              <w:rPr>
                <w:rFonts w:hint="eastAsia" w:ascii="宋体" w:hAnsi="宋体"/>
                <w:szCs w:val="21"/>
                <w:highlight w:val="none"/>
              </w:rPr>
              <w:t>符合第四章“合同条款及格式”规定，</w:t>
            </w:r>
            <w:r>
              <w:rPr>
                <w:rFonts w:hint="eastAsia" w:ascii="宋体" w:hAnsi="宋体"/>
                <w:szCs w:val="21"/>
                <w:highlight w:val="none"/>
                <w:lang w:eastAsia="zh-CN"/>
              </w:rPr>
              <w:t>比选申请文件</w:t>
            </w:r>
            <w:r>
              <w:rPr>
                <w:rFonts w:hint="eastAsia" w:ascii="宋体" w:hAnsi="宋体"/>
                <w:szCs w:val="21"/>
                <w:highlight w:val="none"/>
              </w:rPr>
              <w:t>附有</w:t>
            </w:r>
            <w:r>
              <w:rPr>
                <w:rFonts w:hint="eastAsia" w:ascii="宋体" w:hAnsi="宋体"/>
                <w:szCs w:val="21"/>
                <w:highlight w:val="none"/>
                <w:lang w:eastAsia="zh-CN"/>
              </w:rPr>
              <w:t>比选人</w:t>
            </w:r>
            <w:r>
              <w:rPr>
                <w:rFonts w:hint="eastAsia" w:ascii="宋体" w:hAnsi="宋体"/>
                <w:szCs w:val="21"/>
                <w:highlight w:val="none"/>
              </w:rPr>
              <w:t>不能接受的条件。（由</w:t>
            </w:r>
            <w:r>
              <w:rPr>
                <w:rFonts w:hint="eastAsia" w:ascii="宋体" w:hAnsi="宋体"/>
                <w:szCs w:val="21"/>
                <w:highlight w:val="none"/>
                <w:lang w:eastAsia="zh-CN"/>
              </w:rPr>
              <w:t>比选申请人</w:t>
            </w:r>
            <w:r>
              <w:rPr>
                <w:rFonts w:hint="eastAsia" w:ascii="宋体" w:hAnsi="宋体"/>
                <w:szCs w:val="21"/>
                <w:highlight w:val="none"/>
              </w:rPr>
              <w:t>承诺，承诺书格式详见第八章</w:t>
            </w:r>
            <w:r>
              <w:rPr>
                <w:rFonts w:hint="eastAsia" w:ascii="宋体" w:hAnsi="宋体"/>
                <w:szCs w:val="21"/>
                <w:highlight w:val="none"/>
                <w:lang w:eastAsia="zh-CN"/>
              </w:rPr>
              <w:t>比选申请文件</w:t>
            </w:r>
            <w:r>
              <w:rPr>
                <w:rFonts w:hint="eastAsia" w:ascii="宋体" w:hAnsi="宋体"/>
                <w:szCs w:val="21"/>
                <w:highlight w:val="none"/>
              </w:rPr>
              <w:t>格式。）</w:t>
            </w:r>
          </w:p>
        </w:tc>
      </w:tr>
      <w:tr w14:paraId="66E8B5F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2EFEBA88">
            <w:pPr>
              <w:spacing w:line="400" w:lineRule="exact"/>
              <w:jc w:val="center"/>
              <w:rPr>
                <w:rFonts w:ascii="宋体" w:hAnsi="宋体"/>
                <w:szCs w:val="21"/>
                <w:highlight w:val="none"/>
              </w:rPr>
            </w:pPr>
          </w:p>
        </w:tc>
        <w:tc>
          <w:tcPr>
            <w:tcW w:w="1943" w:type="dxa"/>
            <w:vMerge w:val="continue"/>
            <w:vAlign w:val="center"/>
          </w:tcPr>
          <w:p w14:paraId="12A35DD7">
            <w:pPr>
              <w:spacing w:line="400" w:lineRule="exact"/>
              <w:jc w:val="center"/>
              <w:rPr>
                <w:rFonts w:ascii="宋体" w:hAnsi="宋体"/>
                <w:szCs w:val="21"/>
                <w:highlight w:val="none"/>
              </w:rPr>
            </w:pPr>
          </w:p>
        </w:tc>
        <w:tc>
          <w:tcPr>
            <w:tcW w:w="6209" w:type="dxa"/>
            <w:vAlign w:val="center"/>
          </w:tcPr>
          <w:p w14:paraId="3D135026">
            <w:pPr>
              <w:spacing w:line="400" w:lineRule="exact"/>
              <w:ind w:firstLine="420" w:firstLineChars="200"/>
              <w:rPr>
                <w:rFonts w:ascii="宋体" w:hAnsi="宋体"/>
                <w:szCs w:val="21"/>
                <w:highlight w:val="none"/>
              </w:rPr>
            </w:pPr>
            <w:r>
              <w:rPr>
                <w:rFonts w:hint="eastAsia" w:ascii="宋体" w:hAnsi="宋体"/>
                <w:szCs w:val="21"/>
                <w:highlight w:val="none"/>
              </w:rPr>
              <w:t>A-1</w:t>
            </w:r>
            <w:r>
              <w:rPr>
                <w:rFonts w:hint="eastAsia" w:ascii="宋体" w:hAnsi="宋体"/>
                <w:szCs w:val="21"/>
                <w:highlight w:val="none"/>
                <w:lang w:val="en-US" w:eastAsia="zh-CN"/>
              </w:rPr>
              <w:t>4不</w:t>
            </w:r>
            <w:r>
              <w:rPr>
                <w:rFonts w:hint="eastAsia" w:ascii="宋体" w:hAnsi="宋体"/>
                <w:szCs w:val="21"/>
                <w:highlight w:val="none"/>
              </w:rPr>
              <w:t>符合第七章“技术标准和要求”规定（如有）。（由</w:t>
            </w:r>
            <w:r>
              <w:rPr>
                <w:rFonts w:hint="eastAsia" w:ascii="宋体" w:hAnsi="宋体"/>
                <w:szCs w:val="21"/>
                <w:highlight w:val="none"/>
                <w:lang w:eastAsia="zh-CN"/>
              </w:rPr>
              <w:t>比选申请人</w:t>
            </w:r>
            <w:r>
              <w:rPr>
                <w:rFonts w:hint="eastAsia" w:ascii="宋体" w:hAnsi="宋体"/>
                <w:szCs w:val="21"/>
                <w:highlight w:val="none"/>
              </w:rPr>
              <w:t>承诺，承诺书格式详见第八章</w:t>
            </w:r>
            <w:r>
              <w:rPr>
                <w:rFonts w:hint="eastAsia" w:ascii="宋体" w:hAnsi="宋体"/>
                <w:szCs w:val="21"/>
                <w:highlight w:val="none"/>
                <w:lang w:eastAsia="zh-CN"/>
              </w:rPr>
              <w:t>比选申请文件</w:t>
            </w:r>
            <w:r>
              <w:rPr>
                <w:rFonts w:hint="eastAsia" w:ascii="宋体" w:hAnsi="宋体"/>
                <w:szCs w:val="21"/>
                <w:highlight w:val="none"/>
              </w:rPr>
              <w:t>格式。）</w:t>
            </w:r>
          </w:p>
        </w:tc>
      </w:tr>
      <w:tr w14:paraId="1F4BA6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7645318F">
            <w:pPr>
              <w:spacing w:line="400" w:lineRule="exact"/>
              <w:jc w:val="center"/>
              <w:rPr>
                <w:rFonts w:ascii="宋体" w:hAnsi="宋体"/>
                <w:szCs w:val="21"/>
                <w:highlight w:val="none"/>
              </w:rPr>
            </w:pPr>
          </w:p>
        </w:tc>
        <w:tc>
          <w:tcPr>
            <w:tcW w:w="1943" w:type="dxa"/>
            <w:vMerge w:val="continue"/>
            <w:vAlign w:val="center"/>
          </w:tcPr>
          <w:p w14:paraId="029A7452">
            <w:pPr>
              <w:spacing w:line="400" w:lineRule="exact"/>
              <w:jc w:val="center"/>
              <w:rPr>
                <w:rFonts w:ascii="宋体" w:hAnsi="宋体"/>
                <w:szCs w:val="21"/>
                <w:highlight w:val="none"/>
              </w:rPr>
            </w:pPr>
          </w:p>
        </w:tc>
        <w:tc>
          <w:tcPr>
            <w:tcW w:w="6209" w:type="dxa"/>
            <w:vAlign w:val="center"/>
          </w:tcPr>
          <w:p w14:paraId="31AD972A">
            <w:pPr>
              <w:spacing w:line="400" w:lineRule="exact"/>
              <w:ind w:firstLine="420" w:firstLineChars="200"/>
              <w:rPr>
                <w:rFonts w:ascii="宋体" w:hAnsi="宋体"/>
                <w:szCs w:val="21"/>
                <w:highlight w:val="none"/>
              </w:rPr>
            </w:pPr>
            <w:r>
              <w:rPr>
                <w:rFonts w:hint="eastAsia" w:ascii="宋体" w:hAnsi="宋体"/>
                <w:szCs w:val="21"/>
                <w:highlight w:val="none"/>
              </w:rPr>
              <w:t>A-1</w:t>
            </w:r>
            <w:r>
              <w:rPr>
                <w:rFonts w:hint="eastAsia" w:ascii="宋体" w:hAnsi="宋体"/>
                <w:szCs w:val="21"/>
                <w:highlight w:val="none"/>
                <w:lang w:val="en-US" w:eastAsia="zh-CN"/>
              </w:rPr>
              <w:t>5</w:t>
            </w:r>
            <w:r>
              <w:rPr>
                <w:rFonts w:hint="eastAsia" w:ascii="宋体" w:hAnsi="宋体"/>
                <w:szCs w:val="21"/>
                <w:highlight w:val="none"/>
                <w:lang w:eastAsia="zh-CN"/>
              </w:rPr>
              <w:t>比选申请人</w:t>
            </w:r>
            <w:r>
              <w:rPr>
                <w:rFonts w:hint="eastAsia" w:ascii="宋体" w:hAnsi="宋体"/>
                <w:szCs w:val="21"/>
                <w:highlight w:val="none"/>
              </w:rPr>
              <w:t>有以下情形之一的：</w:t>
            </w:r>
          </w:p>
          <w:p w14:paraId="0FC4BA56">
            <w:pPr>
              <w:spacing w:line="400" w:lineRule="exact"/>
              <w:ind w:firstLine="420" w:firstLineChars="200"/>
              <w:rPr>
                <w:rFonts w:ascii="宋体" w:hAnsi="宋体"/>
                <w:szCs w:val="21"/>
                <w:highlight w:val="none"/>
              </w:rPr>
            </w:pPr>
            <w:r>
              <w:rPr>
                <w:rFonts w:hint="eastAsia" w:ascii="宋体" w:hAnsi="宋体"/>
                <w:szCs w:val="21"/>
                <w:highlight w:val="none"/>
              </w:rPr>
              <w:t>1.本次投标</w:t>
            </w:r>
            <w:r>
              <w:rPr>
                <w:rFonts w:hint="eastAsia" w:ascii="宋体" w:hAnsi="宋体"/>
                <w:kern w:val="0"/>
                <w:highlight w:val="none"/>
                <w:lang w:val="en-US" w:eastAsia="zh-CN"/>
              </w:rPr>
              <w:t>存在弄虚作假等其他</w:t>
            </w:r>
            <w:r>
              <w:rPr>
                <w:rFonts w:hint="eastAsia" w:ascii="宋体" w:hAnsi="宋体"/>
                <w:szCs w:val="21"/>
                <w:highlight w:val="none"/>
              </w:rPr>
              <w:t>违反招投标相关法律、法规的行为的；</w:t>
            </w:r>
          </w:p>
          <w:p w14:paraId="010221B3">
            <w:pPr>
              <w:spacing w:line="400" w:lineRule="exact"/>
              <w:ind w:firstLine="420" w:firstLineChars="200"/>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.拒绝按评标委员会要求澄清、说明或补正的。</w:t>
            </w:r>
          </w:p>
        </w:tc>
      </w:tr>
      <w:tr w14:paraId="5A742BF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1F8E4D4B">
            <w:pPr>
              <w:spacing w:line="400" w:lineRule="exact"/>
              <w:jc w:val="center"/>
              <w:rPr>
                <w:rFonts w:ascii="宋体" w:hAnsi="宋体"/>
                <w:szCs w:val="21"/>
                <w:highlight w:val="none"/>
              </w:rPr>
            </w:pPr>
          </w:p>
        </w:tc>
        <w:tc>
          <w:tcPr>
            <w:tcW w:w="1943" w:type="dxa"/>
            <w:vMerge w:val="restart"/>
            <w:vAlign w:val="center"/>
          </w:tcPr>
          <w:p w14:paraId="21FD1410">
            <w:pPr>
              <w:spacing w:line="400" w:lineRule="exact"/>
              <w:jc w:val="center"/>
              <w:rPr>
                <w:rFonts w:ascii="宋体" w:hAnsi="宋体"/>
                <w:szCs w:val="21"/>
                <w:highlight w:val="none"/>
              </w:rPr>
            </w:pPr>
            <w:r>
              <w:rPr>
                <w:rFonts w:hint="eastAsia" w:ascii="宋体" w:hAnsi="宋体"/>
                <w:szCs w:val="21"/>
                <w:highlight w:val="none"/>
              </w:rPr>
              <w:t>投标函</w:t>
            </w:r>
            <w:r>
              <w:rPr>
                <w:rFonts w:hint="eastAsia" w:ascii="宋体" w:hAnsi="宋体"/>
                <w:szCs w:val="21"/>
                <w:highlight w:val="none"/>
                <w:lang w:val="en-US" w:eastAsia="zh-CN"/>
              </w:rPr>
              <w:t>部分</w:t>
            </w:r>
            <w:r>
              <w:rPr>
                <w:rFonts w:hint="eastAsia" w:ascii="宋体" w:hAnsi="宋体"/>
                <w:szCs w:val="21"/>
                <w:highlight w:val="none"/>
              </w:rPr>
              <w:t>评审</w:t>
            </w:r>
          </w:p>
        </w:tc>
        <w:tc>
          <w:tcPr>
            <w:tcW w:w="6209" w:type="dxa"/>
          </w:tcPr>
          <w:p w14:paraId="21BE8CCC">
            <w:pPr>
              <w:spacing w:line="400" w:lineRule="exact"/>
              <w:ind w:firstLine="420" w:firstLineChars="200"/>
              <w:rPr>
                <w:rFonts w:ascii="宋体" w:hAnsi="宋体"/>
                <w:i/>
                <w:szCs w:val="21"/>
                <w:highlight w:val="none"/>
              </w:rPr>
            </w:pPr>
            <w:r>
              <w:rPr>
                <w:rFonts w:hint="eastAsia" w:ascii="宋体" w:hAnsi="宋体"/>
                <w:szCs w:val="21"/>
                <w:highlight w:val="none"/>
              </w:rPr>
              <w:t>A-1</w:t>
            </w:r>
            <w:r>
              <w:rPr>
                <w:rFonts w:hint="eastAsia" w:ascii="宋体" w:hAnsi="宋体"/>
                <w:szCs w:val="21"/>
                <w:highlight w:val="none"/>
                <w:lang w:val="en-US" w:eastAsia="zh-CN"/>
              </w:rPr>
              <w:t>6</w:t>
            </w:r>
            <w:r>
              <w:rPr>
                <w:rFonts w:hint="eastAsia" w:ascii="宋体" w:hAnsi="宋体" w:cs="宋体"/>
                <w:color w:val="auto"/>
                <w:kern w:val="0"/>
                <w:highlight w:val="none"/>
              </w:rPr>
              <w:t>投标函部分的格式要求法定代表人（或其委托代理人）签名（或盖章）的须齐全</w:t>
            </w:r>
            <w:r>
              <w:rPr>
                <w:rFonts w:hint="eastAsia" w:ascii="宋体" w:hAnsi="宋体"/>
                <w:color w:val="auto"/>
                <w:szCs w:val="21"/>
                <w:highlight w:val="none"/>
              </w:rPr>
              <w:t>。要求签名的，</w:t>
            </w:r>
            <w:r>
              <w:rPr>
                <w:rFonts w:hint="eastAsia" w:ascii="宋体" w:hAnsi="宋体" w:cs="宋体"/>
                <w:color w:val="auto"/>
                <w:kern w:val="0"/>
                <w:highlight w:val="none"/>
              </w:rPr>
              <w:t>签名采用手写签名</w:t>
            </w:r>
            <w:r>
              <w:rPr>
                <w:rFonts w:hint="eastAsia" w:ascii="宋体" w:hAnsi="宋体"/>
                <w:color w:val="auto"/>
                <w:szCs w:val="21"/>
                <w:highlight w:val="none"/>
              </w:rPr>
              <w:t>或签章</w:t>
            </w:r>
            <w:r>
              <w:rPr>
                <w:rFonts w:hint="eastAsia" w:ascii="宋体" w:hAnsi="宋体" w:cs="宋体"/>
                <w:color w:val="auto"/>
                <w:kern w:val="0"/>
                <w:highlight w:val="none"/>
              </w:rPr>
              <w:t>均可。</w:t>
            </w:r>
            <w:r>
              <w:rPr>
                <w:rFonts w:hint="eastAsia" w:ascii="宋体" w:hAnsi="宋体"/>
                <w:color w:val="auto"/>
                <w:szCs w:val="21"/>
                <w:highlight w:val="none"/>
              </w:rPr>
              <w:t>否则由评标委员会作否决投标处理。</w:t>
            </w:r>
          </w:p>
        </w:tc>
      </w:tr>
      <w:tr w14:paraId="419C1FE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185D3BD2">
            <w:pPr>
              <w:spacing w:line="400" w:lineRule="exact"/>
              <w:jc w:val="center"/>
              <w:rPr>
                <w:rFonts w:ascii="宋体" w:hAnsi="宋体"/>
                <w:szCs w:val="21"/>
                <w:highlight w:val="none"/>
              </w:rPr>
            </w:pPr>
          </w:p>
        </w:tc>
        <w:tc>
          <w:tcPr>
            <w:tcW w:w="1943" w:type="dxa"/>
            <w:vMerge w:val="continue"/>
            <w:vAlign w:val="center"/>
          </w:tcPr>
          <w:p w14:paraId="3EE324AB">
            <w:pPr>
              <w:spacing w:line="400" w:lineRule="exact"/>
              <w:jc w:val="center"/>
              <w:rPr>
                <w:rFonts w:hint="eastAsia" w:ascii="宋体" w:hAnsi="宋体"/>
                <w:szCs w:val="21"/>
                <w:highlight w:val="none"/>
              </w:rPr>
            </w:pPr>
          </w:p>
        </w:tc>
        <w:tc>
          <w:tcPr>
            <w:tcW w:w="6209" w:type="dxa"/>
          </w:tcPr>
          <w:p w14:paraId="2068B72D">
            <w:pPr>
              <w:spacing w:line="400" w:lineRule="exact"/>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A-17</w:t>
            </w:r>
            <w:r>
              <w:rPr>
                <w:rFonts w:hint="eastAsia" w:ascii="宋体" w:hAnsi="宋体"/>
                <w:szCs w:val="21"/>
                <w:highlight w:val="none"/>
              </w:rPr>
              <w:t>《投标函》中填写的项目经理与拟派项目经理的信息</w:t>
            </w:r>
            <w:r>
              <w:rPr>
                <w:rFonts w:hint="eastAsia" w:ascii="宋体" w:hAnsi="宋体"/>
                <w:szCs w:val="21"/>
                <w:highlight w:val="none"/>
                <w:lang w:val="en-US" w:eastAsia="zh-CN"/>
              </w:rPr>
              <w:t>不</w:t>
            </w:r>
            <w:r>
              <w:rPr>
                <w:rFonts w:hint="eastAsia" w:ascii="宋体" w:hAnsi="宋体"/>
                <w:szCs w:val="21"/>
                <w:highlight w:val="none"/>
              </w:rPr>
              <w:t>一致</w:t>
            </w:r>
            <w:r>
              <w:rPr>
                <w:rFonts w:hint="eastAsia" w:ascii="宋体" w:hAnsi="宋体"/>
                <w:szCs w:val="21"/>
                <w:highlight w:val="none"/>
                <w:lang w:eastAsia="zh-CN"/>
              </w:rPr>
              <w:t>。</w:t>
            </w:r>
          </w:p>
        </w:tc>
      </w:tr>
      <w:tr w14:paraId="341BCD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14558E0B">
            <w:pPr>
              <w:spacing w:line="400" w:lineRule="exact"/>
              <w:jc w:val="center"/>
              <w:rPr>
                <w:rFonts w:ascii="宋体" w:hAnsi="宋体"/>
                <w:szCs w:val="21"/>
                <w:highlight w:val="none"/>
              </w:rPr>
            </w:pPr>
          </w:p>
        </w:tc>
        <w:tc>
          <w:tcPr>
            <w:tcW w:w="1943" w:type="dxa"/>
            <w:vMerge w:val="continue"/>
            <w:vAlign w:val="center"/>
          </w:tcPr>
          <w:p w14:paraId="6D5B8C93">
            <w:pPr>
              <w:spacing w:line="400" w:lineRule="exact"/>
              <w:jc w:val="center"/>
              <w:rPr>
                <w:rFonts w:ascii="宋体" w:hAnsi="宋体"/>
                <w:szCs w:val="21"/>
                <w:highlight w:val="none"/>
              </w:rPr>
            </w:pPr>
          </w:p>
        </w:tc>
        <w:tc>
          <w:tcPr>
            <w:tcW w:w="6209" w:type="dxa"/>
          </w:tcPr>
          <w:p w14:paraId="370E2D8E">
            <w:pPr>
              <w:spacing w:line="400" w:lineRule="exact"/>
              <w:ind w:firstLine="420" w:firstLineChars="200"/>
              <w:rPr>
                <w:rFonts w:ascii="宋体" w:hAnsi="宋体"/>
                <w:i/>
                <w:szCs w:val="21"/>
                <w:highlight w:val="none"/>
              </w:rPr>
            </w:pPr>
            <w:r>
              <w:rPr>
                <w:rFonts w:hint="eastAsia" w:ascii="宋体" w:hAnsi="宋体"/>
                <w:szCs w:val="21"/>
                <w:highlight w:val="none"/>
              </w:rPr>
              <w:t>A-</w:t>
            </w:r>
            <w:r>
              <w:rPr>
                <w:rFonts w:hint="eastAsia" w:ascii="宋体" w:hAnsi="宋体"/>
                <w:szCs w:val="21"/>
                <w:highlight w:val="none"/>
                <w:lang w:val="en-US" w:eastAsia="zh-CN"/>
              </w:rPr>
              <w:t>18</w:t>
            </w:r>
            <w:r>
              <w:rPr>
                <w:rFonts w:hint="eastAsia" w:ascii="宋体" w:hAnsi="宋体"/>
                <w:szCs w:val="21"/>
                <w:highlight w:val="none"/>
              </w:rPr>
              <w:t>工期</w:t>
            </w:r>
            <w:r>
              <w:rPr>
                <w:rFonts w:hint="eastAsia" w:ascii="宋体" w:hAnsi="宋体"/>
                <w:szCs w:val="21"/>
                <w:highlight w:val="none"/>
                <w:lang w:val="en-US" w:eastAsia="zh-CN"/>
              </w:rPr>
              <w:t>不</w:t>
            </w:r>
            <w:r>
              <w:rPr>
                <w:rFonts w:hint="eastAsia" w:ascii="宋体" w:hAnsi="宋体"/>
                <w:szCs w:val="21"/>
                <w:highlight w:val="none"/>
              </w:rPr>
              <w:t>符合第二章“</w:t>
            </w:r>
            <w:r>
              <w:rPr>
                <w:rFonts w:hint="eastAsia" w:ascii="宋体" w:hAnsi="宋体"/>
                <w:szCs w:val="21"/>
                <w:highlight w:val="none"/>
                <w:lang w:eastAsia="zh-CN"/>
              </w:rPr>
              <w:t>比选申请人</w:t>
            </w:r>
            <w:r>
              <w:rPr>
                <w:rFonts w:hint="eastAsia" w:ascii="宋体" w:hAnsi="宋体"/>
                <w:szCs w:val="21"/>
                <w:highlight w:val="none"/>
              </w:rPr>
              <w:t>须知”第1.3.2项规定。</w:t>
            </w:r>
          </w:p>
        </w:tc>
      </w:tr>
      <w:tr w14:paraId="0D65A28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30AE97D3">
            <w:pPr>
              <w:spacing w:line="400" w:lineRule="exact"/>
              <w:jc w:val="center"/>
              <w:rPr>
                <w:rFonts w:ascii="宋体" w:hAnsi="宋体"/>
                <w:szCs w:val="21"/>
                <w:highlight w:val="none"/>
              </w:rPr>
            </w:pPr>
          </w:p>
        </w:tc>
        <w:tc>
          <w:tcPr>
            <w:tcW w:w="1943" w:type="dxa"/>
            <w:vMerge w:val="continue"/>
            <w:vAlign w:val="center"/>
          </w:tcPr>
          <w:p w14:paraId="347D46E6">
            <w:pPr>
              <w:spacing w:line="400" w:lineRule="exact"/>
              <w:jc w:val="center"/>
              <w:rPr>
                <w:rFonts w:ascii="宋体" w:hAnsi="宋体"/>
                <w:szCs w:val="21"/>
                <w:highlight w:val="none"/>
              </w:rPr>
            </w:pPr>
          </w:p>
        </w:tc>
        <w:tc>
          <w:tcPr>
            <w:tcW w:w="6209" w:type="dxa"/>
          </w:tcPr>
          <w:p w14:paraId="6256D83E">
            <w:pPr>
              <w:spacing w:line="400" w:lineRule="exact"/>
              <w:ind w:firstLine="420" w:firstLineChars="200"/>
              <w:rPr>
                <w:rFonts w:ascii="宋体" w:hAnsi="宋体"/>
                <w:i/>
                <w:szCs w:val="21"/>
                <w:highlight w:val="none"/>
              </w:rPr>
            </w:pPr>
            <w:r>
              <w:rPr>
                <w:rFonts w:hint="eastAsia" w:ascii="宋体" w:hAnsi="宋体"/>
                <w:szCs w:val="21"/>
                <w:highlight w:val="none"/>
              </w:rPr>
              <w:t>A-</w:t>
            </w:r>
            <w:r>
              <w:rPr>
                <w:rFonts w:hint="eastAsia" w:ascii="宋体" w:hAnsi="宋体"/>
                <w:szCs w:val="21"/>
                <w:highlight w:val="none"/>
                <w:lang w:val="en-US" w:eastAsia="zh-CN"/>
              </w:rPr>
              <w:t>19</w:t>
            </w:r>
            <w:r>
              <w:rPr>
                <w:rFonts w:hint="eastAsia" w:ascii="宋体" w:hAnsi="宋体"/>
                <w:szCs w:val="21"/>
                <w:highlight w:val="none"/>
              </w:rPr>
              <w:t>工程质量</w:t>
            </w:r>
            <w:r>
              <w:rPr>
                <w:rFonts w:hint="eastAsia" w:ascii="宋体" w:hAnsi="宋体"/>
                <w:szCs w:val="21"/>
                <w:highlight w:val="none"/>
                <w:lang w:val="en-US" w:eastAsia="zh-CN"/>
              </w:rPr>
              <w:t>不</w:t>
            </w:r>
            <w:r>
              <w:rPr>
                <w:rFonts w:hint="eastAsia" w:ascii="宋体" w:hAnsi="宋体"/>
                <w:szCs w:val="21"/>
                <w:highlight w:val="none"/>
              </w:rPr>
              <w:t>符合第二章“</w:t>
            </w:r>
            <w:r>
              <w:rPr>
                <w:rFonts w:hint="eastAsia" w:ascii="宋体" w:hAnsi="宋体"/>
                <w:szCs w:val="21"/>
                <w:highlight w:val="none"/>
                <w:lang w:eastAsia="zh-CN"/>
              </w:rPr>
              <w:t>比选申请人</w:t>
            </w:r>
            <w:r>
              <w:rPr>
                <w:rFonts w:hint="eastAsia" w:ascii="宋体" w:hAnsi="宋体"/>
                <w:szCs w:val="21"/>
                <w:highlight w:val="none"/>
              </w:rPr>
              <w:t>须知”第1.3.3项规定。</w:t>
            </w:r>
          </w:p>
        </w:tc>
      </w:tr>
      <w:tr w14:paraId="156B2FD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508D8ACE">
            <w:pPr>
              <w:spacing w:line="400" w:lineRule="exact"/>
              <w:jc w:val="center"/>
              <w:rPr>
                <w:rFonts w:ascii="宋体" w:hAnsi="宋体"/>
                <w:szCs w:val="21"/>
                <w:highlight w:val="none"/>
              </w:rPr>
            </w:pPr>
          </w:p>
        </w:tc>
        <w:tc>
          <w:tcPr>
            <w:tcW w:w="1943" w:type="dxa"/>
            <w:vMerge w:val="continue"/>
            <w:vAlign w:val="center"/>
          </w:tcPr>
          <w:p w14:paraId="72FD588B">
            <w:pPr>
              <w:spacing w:line="400" w:lineRule="exact"/>
              <w:jc w:val="center"/>
              <w:rPr>
                <w:rFonts w:ascii="宋体" w:hAnsi="宋体"/>
                <w:szCs w:val="21"/>
                <w:highlight w:val="none"/>
              </w:rPr>
            </w:pPr>
          </w:p>
        </w:tc>
        <w:tc>
          <w:tcPr>
            <w:tcW w:w="6209" w:type="dxa"/>
          </w:tcPr>
          <w:p w14:paraId="40553AEF">
            <w:pPr>
              <w:spacing w:line="400" w:lineRule="exact"/>
              <w:ind w:firstLine="420" w:firstLineChars="200"/>
              <w:rPr>
                <w:rFonts w:ascii="宋体" w:hAnsi="宋体"/>
                <w:i/>
                <w:szCs w:val="21"/>
                <w:highlight w:val="none"/>
              </w:rPr>
            </w:pPr>
            <w:r>
              <w:rPr>
                <w:rFonts w:hint="eastAsia" w:ascii="宋体" w:hAnsi="宋体"/>
                <w:szCs w:val="21"/>
                <w:highlight w:val="none"/>
              </w:rPr>
              <w:t>A-</w:t>
            </w:r>
            <w:r>
              <w:rPr>
                <w:rFonts w:hint="eastAsia" w:ascii="宋体" w:hAnsi="宋体"/>
                <w:szCs w:val="21"/>
                <w:highlight w:val="none"/>
                <w:lang w:val="en-US" w:eastAsia="zh-CN"/>
              </w:rPr>
              <w:t>20</w:t>
            </w:r>
            <w:r>
              <w:rPr>
                <w:rFonts w:hint="eastAsia" w:ascii="宋体" w:hAnsi="宋体"/>
                <w:szCs w:val="21"/>
                <w:highlight w:val="none"/>
              </w:rPr>
              <w:t>投标有效期</w:t>
            </w:r>
            <w:r>
              <w:rPr>
                <w:rFonts w:hint="eastAsia" w:ascii="宋体" w:hAnsi="宋体"/>
                <w:szCs w:val="21"/>
                <w:highlight w:val="none"/>
                <w:lang w:val="en-US" w:eastAsia="zh-CN"/>
              </w:rPr>
              <w:t>不</w:t>
            </w:r>
            <w:r>
              <w:rPr>
                <w:rFonts w:hint="eastAsia" w:ascii="宋体" w:hAnsi="宋体"/>
                <w:szCs w:val="21"/>
                <w:highlight w:val="none"/>
              </w:rPr>
              <w:t>符合第二章“</w:t>
            </w:r>
            <w:r>
              <w:rPr>
                <w:rFonts w:hint="eastAsia" w:ascii="宋体" w:hAnsi="宋体"/>
                <w:szCs w:val="21"/>
                <w:highlight w:val="none"/>
                <w:lang w:eastAsia="zh-CN"/>
              </w:rPr>
              <w:t>比选申请人</w:t>
            </w:r>
            <w:r>
              <w:rPr>
                <w:rFonts w:hint="eastAsia" w:ascii="宋体" w:hAnsi="宋体"/>
                <w:szCs w:val="21"/>
                <w:highlight w:val="none"/>
              </w:rPr>
              <w:t>须知”第3.3.1项规定。</w:t>
            </w:r>
          </w:p>
        </w:tc>
      </w:tr>
      <w:tr w14:paraId="757756E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1D929384">
            <w:pPr>
              <w:spacing w:line="400" w:lineRule="exact"/>
              <w:jc w:val="center"/>
              <w:rPr>
                <w:rFonts w:ascii="宋体" w:hAnsi="宋体"/>
                <w:szCs w:val="21"/>
                <w:highlight w:val="none"/>
              </w:rPr>
            </w:pPr>
          </w:p>
        </w:tc>
        <w:tc>
          <w:tcPr>
            <w:tcW w:w="1943" w:type="dxa"/>
            <w:vMerge w:val="continue"/>
            <w:vAlign w:val="center"/>
          </w:tcPr>
          <w:p w14:paraId="32583FAB">
            <w:pPr>
              <w:spacing w:line="400" w:lineRule="exact"/>
              <w:jc w:val="center"/>
              <w:rPr>
                <w:rFonts w:ascii="宋体" w:hAnsi="宋体"/>
                <w:szCs w:val="21"/>
                <w:highlight w:val="none"/>
              </w:rPr>
            </w:pPr>
          </w:p>
        </w:tc>
        <w:tc>
          <w:tcPr>
            <w:tcW w:w="6209" w:type="dxa"/>
            <w:vAlign w:val="center"/>
          </w:tcPr>
          <w:p w14:paraId="7409DDAA">
            <w:pPr>
              <w:spacing w:line="400" w:lineRule="exact"/>
              <w:ind w:firstLine="420" w:firstLineChars="200"/>
              <w:rPr>
                <w:rFonts w:ascii="宋体" w:hAnsi="宋体"/>
                <w:i/>
                <w:szCs w:val="21"/>
                <w:highlight w:val="none"/>
              </w:rPr>
            </w:pPr>
            <w:r>
              <w:rPr>
                <w:rFonts w:hint="eastAsia" w:ascii="宋体" w:hAnsi="宋体"/>
                <w:szCs w:val="21"/>
                <w:highlight w:val="none"/>
              </w:rPr>
              <w:t>A-</w:t>
            </w:r>
            <w:r>
              <w:rPr>
                <w:rFonts w:hint="eastAsia" w:ascii="宋体" w:hAnsi="宋体"/>
                <w:szCs w:val="21"/>
                <w:highlight w:val="none"/>
                <w:lang w:val="en-US" w:eastAsia="zh-CN"/>
              </w:rPr>
              <w:t>21</w:t>
            </w:r>
            <w:r>
              <w:rPr>
                <w:rFonts w:hint="eastAsia" w:ascii="宋体" w:hAnsi="宋体"/>
                <w:szCs w:val="21"/>
                <w:highlight w:val="none"/>
              </w:rPr>
              <w:t>投标函中的总报价与已标价工程量清单总报价</w:t>
            </w:r>
            <w:r>
              <w:rPr>
                <w:rFonts w:hint="eastAsia" w:ascii="宋体" w:hAnsi="宋体"/>
                <w:szCs w:val="21"/>
                <w:highlight w:val="none"/>
                <w:lang w:val="en-US" w:eastAsia="zh-CN"/>
              </w:rPr>
              <w:t>不</w:t>
            </w:r>
            <w:r>
              <w:rPr>
                <w:rFonts w:hint="eastAsia" w:ascii="宋体" w:hAnsi="宋体"/>
                <w:szCs w:val="21"/>
                <w:highlight w:val="none"/>
              </w:rPr>
              <w:t>一致</w:t>
            </w:r>
            <w:r>
              <w:rPr>
                <w:rFonts w:hint="eastAsia" w:ascii="宋体" w:hAnsi="宋体"/>
                <w:szCs w:val="21"/>
                <w:highlight w:val="none"/>
                <w:lang w:eastAsia="zh-CN"/>
              </w:rPr>
              <w:t>，</w:t>
            </w:r>
            <w:r>
              <w:rPr>
                <w:rFonts w:hint="eastAsia" w:ascii="宋体" w:hAnsi="宋体"/>
                <w:szCs w:val="21"/>
                <w:highlight w:val="none"/>
                <w:lang w:val="en-US" w:eastAsia="zh-CN"/>
              </w:rPr>
              <w:t>或</w:t>
            </w:r>
            <w:r>
              <w:rPr>
                <w:rFonts w:hint="eastAsia" w:ascii="宋体" w:hAnsi="宋体"/>
                <w:szCs w:val="21"/>
                <w:highlight w:val="none"/>
              </w:rPr>
              <w:t>工程量清单总报价与依据单价、工程数量、分部分项工程合价计算出的结果</w:t>
            </w:r>
            <w:r>
              <w:rPr>
                <w:rFonts w:hint="eastAsia" w:ascii="宋体" w:hAnsi="宋体"/>
                <w:szCs w:val="21"/>
                <w:highlight w:val="none"/>
                <w:lang w:val="en-US" w:eastAsia="zh-CN"/>
              </w:rPr>
              <w:t>不</w:t>
            </w:r>
            <w:r>
              <w:rPr>
                <w:rFonts w:hint="eastAsia" w:ascii="宋体" w:hAnsi="宋体"/>
                <w:szCs w:val="21"/>
                <w:highlight w:val="none"/>
              </w:rPr>
              <w:t>一致</w:t>
            </w:r>
            <w:r>
              <w:rPr>
                <w:rFonts w:hint="eastAsia" w:ascii="宋体" w:hAnsi="宋体"/>
                <w:szCs w:val="21"/>
                <w:highlight w:val="none"/>
                <w:lang w:eastAsia="zh-CN"/>
              </w:rPr>
              <w:t>（</w:t>
            </w:r>
            <w:r>
              <w:rPr>
                <w:rFonts w:hint="eastAsia" w:ascii="宋体" w:hAnsi="宋体"/>
                <w:szCs w:val="21"/>
                <w:highlight w:val="none"/>
                <w:lang w:val="en-US" w:eastAsia="zh-CN"/>
              </w:rPr>
              <w:t>如有</w:t>
            </w:r>
            <w:r>
              <w:rPr>
                <w:rFonts w:hint="eastAsia" w:ascii="宋体" w:hAnsi="宋体"/>
                <w:szCs w:val="21"/>
                <w:highlight w:val="none"/>
                <w:lang w:eastAsia="zh-CN"/>
              </w:rPr>
              <w:t>）</w:t>
            </w:r>
            <w:r>
              <w:rPr>
                <w:rFonts w:hint="eastAsia" w:ascii="宋体" w:hAnsi="宋体"/>
                <w:szCs w:val="21"/>
                <w:highlight w:val="none"/>
              </w:rPr>
              <w:t>。</w:t>
            </w:r>
          </w:p>
        </w:tc>
      </w:tr>
      <w:tr w14:paraId="074096D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0F81065C">
            <w:pPr>
              <w:spacing w:line="400" w:lineRule="exact"/>
              <w:jc w:val="center"/>
              <w:rPr>
                <w:rFonts w:ascii="宋体" w:hAnsi="宋体"/>
                <w:szCs w:val="21"/>
                <w:highlight w:val="none"/>
              </w:rPr>
            </w:pPr>
          </w:p>
        </w:tc>
        <w:tc>
          <w:tcPr>
            <w:tcW w:w="1943" w:type="dxa"/>
            <w:vMerge w:val="continue"/>
            <w:vAlign w:val="center"/>
          </w:tcPr>
          <w:p w14:paraId="329C5B99">
            <w:pPr>
              <w:spacing w:line="400" w:lineRule="exact"/>
              <w:jc w:val="center"/>
              <w:rPr>
                <w:rFonts w:ascii="宋体" w:hAnsi="宋体"/>
                <w:szCs w:val="21"/>
                <w:highlight w:val="none"/>
              </w:rPr>
            </w:pPr>
          </w:p>
        </w:tc>
        <w:tc>
          <w:tcPr>
            <w:tcW w:w="6209" w:type="dxa"/>
            <w:vAlign w:val="center"/>
          </w:tcPr>
          <w:p w14:paraId="4905A11E">
            <w:pPr>
              <w:spacing w:line="400" w:lineRule="exact"/>
              <w:ind w:firstLine="420" w:firstLineChars="200"/>
              <w:rPr>
                <w:rFonts w:ascii="宋体" w:hAnsi="宋体"/>
                <w:i/>
                <w:szCs w:val="21"/>
                <w:highlight w:val="none"/>
              </w:rPr>
            </w:pPr>
            <w:r>
              <w:rPr>
                <w:rFonts w:hint="eastAsia" w:ascii="宋体" w:hAnsi="宋体"/>
                <w:szCs w:val="21"/>
                <w:highlight w:val="none"/>
              </w:rPr>
              <w:t>A-</w:t>
            </w:r>
            <w:r>
              <w:rPr>
                <w:rFonts w:hint="eastAsia" w:ascii="宋体" w:hAnsi="宋体"/>
                <w:szCs w:val="21"/>
                <w:highlight w:val="none"/>
                <w:lang w:val="en-US" w:eastAsia="zh-CN"/>
              </w:rPr>
              <w:t>22投标函中</w:t>
            </w:r>
            <w:r>
              <w:rPr>
                <w:rFonts w:hint="eastAsia" w:ascii="宋体" w:hAnsi="宋体"/>
                <w:szCs w:val="21"/>
                <w:highlight w:val="none"/>
              </w:rPr>
              <w:t>的投标总报价</w:t>
            </w:r>
            <w:r>
              <w:rPr>
                <w:rFonts w:hint="eastAsia" w:ascii="宋体" w:hAnsi="宋体"/>
                <w:szCs w:val="21"/>
                <w:highlight w:val="none"/>
                <w:lang w:val="en-US" w:eastAsia="zh-CN"/>
              </w:rPr>
              <w:t>高于比选人公布的</w:t>
            </w:r>
            <w:r>
              <w:rPr>
                <w:rFonts w:hint="eastAsia" w:ascii="宋体" w:hAnsi="宋体"/>
                <w:szCs w:val="21"/>
                <w:highlight w:val="none"/>
              </w:rPr>
              <w:t>投标总报价最高限价。</w:t>
            </w:r>
          </w:p>
        </w:tc>
      </w:tr>
      <w:tr w14:paraId="32A7BC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52E1A2A4">
            <w:pPr>
              <w:spacing w:line="400" w:lineRule="exact"/>
              <w:jc w:val="center"/>
              <w:rPr>
                <w:rFonts w:ascii="宋体" w:hAnsi="宋体"/>
                <w:szCs w:val="21"/>
                <w:highlight w:val="none"/>
              </w:rPr>
            </w:pPr>
          </w:p>
        </w:tc>
        <w:tc>
          <w:tcPr>
            <w:tcW w:w="1943" w:type="dxa"/>
            <w:vMerge w:val="continue"/>
            <w:vAlign w:val="center"/>
          </w:tcPr>
          <w:p w14:paraId="2F87C491">
            <w:pPr>
              <w:spacing w:line="400" w:lineRule="exact"/>
              <w:jc w:val="center"/>
              <w:rPr>
                <w:rFonts w:ascii="宋体" w:hAnsi="宋体"/>
                <w:szCs w:val="21"/>
                <w:highlight w:val="none"/>
              </w:rPr>
            </w:pPr>
          </w:p>
        </w:tc>
        <w:tc>
          <w:tcPr>
            <w:tcW w:w="6209" w:type="dxa"/>
            <w:vAlign w:val="center"/>
          </w:tcPr>
          <w:p w14:paraId="6450C863">
            <w:pPr>
              <w:spacing w:line="400" w:lineRule="exact"/>
              <w:ind w:firstLine="420" w:firstLineChars="200"/>
              <w:rPr>
                <w:rFonts w:hint="eastAsia" w:ascii="宋体" w:hAnsi="宋体" w:eastAsia="宋体"/>
                <w:szCs w:val="21"/>
                <w:highlight w:val="none"/>
                <w:lang w:eastAsia="zh-CN"/>
              </w:rPr>
            </w:pPr>
            <w:r>
              <w:rPr>
                <w:rFonts w:hint="eastAsia" w:ascii="宋体" w:hAnsi="宋体"/>
                <w:szCs w:val="21"/>
                <w:highlight w:val="none"/>
              </w:rPr>
              <w:t>A-</w:t>
            </w:r>
            <w:r>
              <w:rPr>
                <w:rFonts w:hint="eastAsia" w:ascii="宋体" w:hAnsi="宋体"/>
                <w:szCs w:val="21"/>
                <w:highlight w:val="none"/>
                <w:lang w:val="en-US" w:eastAsia="zh-CN"/>
              </w:rPr>
              <w:t>23</w:t>
            </w:r>
            <w:r>
              <w:rPr>
                <w:rFonts w:hint="eastAsia" w:ascii="宋体" w:hAnsi="宋体"/>
                <w:szCs w:val="21"/>
                <w:highlight w:val="none"/>
                <w:lang w:eastAsia="zh-CN"/>
              </w:rPr>
              <w:t>比选申请人</w:t>
            </w:r>
            <w:r>
              <w:rPr>
                <w:rFonts w:hint="eastAsia" w:ascii="宋体" w:hAnsi="宋体"/>
                <w:szCs w:val="21"/>
                <w:highlight w:val="none"/>
              </w:rPr>
              <w:t>投标总报价或者部分单项</w:t>
            </w:r>
            <w:r>
              <w:rPr>
                <w:rFonts w:hint="eastAsia" w:ascii="宋体" w:hAnsi="宋体"/>
                <w:szCs w:val="21"/>
                <w:highlight w:val="none"/>
                <w:lang w:val="en-US" w:eastAsia="zh-CN"/>
              </w:rPr>
              <w:t>报价</w:t>
            </w:r>
            <w:r>
              <w:rPr>
                <w:rFonts w:hint="eastAsia" w:ascii="宋体" w:hAnsi="宋体"/>
                <w:szCs w:val="21"/>
                <w:highlight w:val="none"/>
              </w:rPr>
              <w:t>低于</w:t>
            </w:r>
            <w:r>
              <w:rPr>
                <w:rFonts w:hint="eastAsia" w:ascii="宋体" w:hAnsi="宋体"/>
                <w:szCs w:val="21"/>
                <w:highlight w:val="none"/>
                <w:lang w:eastAsia="zh-CN"/>
              </w:rPr>
              <w:t>竞争性比选文件</w:t>
            </w:r>
            <w:r>
              <w:rPr>
                <w:rFonts w:hint="eastAsia" w:ascii="宋体" w:hAnsi="宋体"/>
                <w:szCs w:val="21"/>
                <w:highlight w:val="none"/>
              </w:rPr>
              <w:t>规定的对应的异常低价警戒线的，</w:t>
            </w:r>
            <w:r>
              <w:rPr>
                <w:rFonts w:hint="eastAsia" w:ascii="宋体" w:hAnsi="宋体" w:eastAsia="宋体" w:cs="宋体"/>
                <w:kern w:val="0"/>
                <w:szCs w:val="21"/>
                <w:highlight w:val="none"/>
                <w:lang w:val="en-US" w:eastAsia="zh-CN"/>
              </w:rPr>
              <w:t>未</w:t>
            </w:r>
            <w:r>
              <w:rPr>
                <w:rFonts w:hint="eastAsia" w:ascii="宋体" w:hAnsi="宋体" w:eastAsia="宋体" w:cs="宋体"/>
                <w:kern w:val="0"/>
                <w:szCs w:val="21"/>
                <w:highlight w:val="none"/>
              </w:rPr>
              <w:t>提供报价合理性说明，</w:t>
            </w:r>
            <w:r>
              <w:rPr>
                <w:rFonts w:hint="eastAsia" w:ascii="宋体" w:hAnsi="宋体" w:eastAsia="宋体" w:cs="宋体"/>
                <w:kern w:val="0"/>
                <w:szCs w:val="21"/>
                <w:highlight w:val="none"/>
                <w:lang w:val="en-US" w:eastAsia="zh-CN"/>
              </w:rPr>
              <w:t>或未</w:t>
            </w:r>
            <w:r>
              <w:rPr>
                <w:rFonts w:hint="eastAsia" w:ascii="宋体" w:hAnsi="宋体" w:eastAsia="宋体" w:cs="宋体"/>
                <w:kern w:val="0"/>
                <w:szCs w:val="21"/>
                <w:highlight w:val="none"/>
              </w:rPr>
              <w:t>提供必要的证明材料</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或提供的证明材料</w:t>
            </w:r>
            <w:r>
              <w:rPr>
                <w:rFonts w:hint="eastAsia" w:ascii="宋体" w:hAnsi="宋体" w:cs="宋体"/>
                <w:color w:val="auto"/>
                <w:kern w:val="0"/>
                <w:szCs w:val="21"/>
                <w:highlight w:val="none"/>
                <w:lang w:val="en-US" w:eastAsia="zh-CN"/>
              </w:rPr>
              <w:t>不能</w:t>
            </w:r>
            <w:r>
              <w:rPr>
                <w:rFonts w:hint="eastAsia" w:ascii="宋体" w:hAnsi="宋体" w:eastAsia="宋体" w:cs="宋体"/>
                <w:color w:val="auto"/>
                <w:kern w:val="0"/>
                <w:szCs w:val="21"/>
                <w:highlight w:val="none"/>
                <w:lang w:val="en-US" w:eastAsia="zh-CN"/>
              </w:rPr>
              <w:t>说明其报价的合理性</w:t>
            </w:r>
            <w:r>
              <w:rPr>
                <w:rFonts w:hint="eastAsia" w:ascii="宋体" w:hAnsi="宋体"/>
                <w:szCs w:val="21"/>
                <w:highlight w:val="none"/>
                <w:lang w:val="en-US" w:eastAsia="zh-CN"/>
              </w:rPr>
              <w:t>（如有）</w:t>
            </w:r>
            <w:r>
              <w:rPr>
                <w:rFonts w:hint="eastAsia" w:ascii="宋体" w:hAnsi="宋体"/>
                <w:szCs w:val="21"/>
                <w:highlight w:val="none"/>
                <w:lang w:eastAsia="zh-CN"/>
              </w:rPr>
              <w:t>。</w:t>
            </w:r>
          </w:p>
        </w:tc>
      </w:tr>
      <w:tr w14:paraId="38CF766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29D3B8F0">
            <w:pPr>
              <w:spacing w:line="400" w:lineRule="exact"/>
              <w:jc w:val="center"/>
              <w:rPr>
                <w:rFonts w:ascii="宋体" w:hAnsi="宋体"/>
                <w:szCs w:val="21"/>
                <w:highlight w:val="none"/>
              </w:rPr>
            </w:pPr>
          </w:p>
        </w:tc>
        <w:tc>
          <w:tcPr>
            <w:tcW w:w="1943" w:type="dxa"/>
            <w:vMerge w:val="continue"/>
            <w:vAlign w:val="center"/>
          </w:tcPr>
          <w:p w14:paraId="61461BCA">
            <w:pPr>
              <w:spacing w:line="400" w:lineRule="exact"/>
              <w:jc w:val="center"/>
              <w:rPr>
                <w:rFonts w:ascii="宋体" w:hAnsi="宋体"/>
                <w:szCs w:val="21"/>
                <w:highlight w:val="none"/>
              </w:rPr>
            </w:pPr>
          </w:p>
        </w:tc>
        <w:tc>
          <w:tcPr>
            <w:tcW w:w="6209" w:type="dxa"/>
            <w:vAlign w:val="center"/>
          </w:tcPr>
          <w:p w14:paraId="12DEE2ED">
            <w:pPr>
              <w:spacing w:line="400" w:lineRule="exact"/>
              <w:ind w:firstLine="420" w:firstLineChars="200"/>
              <w:rPr>
                <w:rFonts w:ascii="宋体" w:hAnsi="宋体"/>
                <w:szCs w:val="21"/>
                <w:highlight w:val="none"/>
              </w:rPr>
            </w:pPr>
            <w:r>
              <w:rPr>
                <w:rFonts w:hint="eastAsia" w:ascii="宋体" w:hAnsi="宋体"/>
                <w:szCs w:val="21"/>
                <w:highlight w:val="none"/>
              </w:rPr>
              <w:t>A-</w:t>
            </w:r>
            <w:r>
              <w:rPr>
                <w:rFonts w:hint="eastAsia" w:ascii="宋体" w:hAnsi="宋体"/>
                <w:szCs w:val="21"/>
                <w:highlight w:val="none"/>
                <w:lang w:val="en-US" w:eastAsia="zh-CN"/>
              </w:rPr>
              <w:t>24</w:t>
            </w:r>
            <w:r>
              <w:rPr>
                <w:rFonts w:hint="eastAsia" w:ascii="宋体" w:hAnsi="宋体"/>
                <w:szCs w:val="21"/>
                <w:highlight w:val="none"/>
              </w:rPr>
              <w:t>投标函中的安全文明施工费金额或</w:t>
            </w:r>
            <w:r>
              <w:rPr>
                <w:rFonts w:hint="eastAsia" w:ascii="宋体" w:hAnsi="宋体" w:cs="宋体"/>
                <w:kern w:val="0"/>
                <w:highlight w:val="none"/>
                <w:lang w:val="en-US" w:eastAsia="zh-CN"/>
              </w:rPr>
              <w:t>已标价工程量清单</w:t>
            </w:r>
            <w:r>
              <w:rPr>
                <w:rFonts w:hint="eastAsia" w:ascii="宋体" w:hAnsi="宋体"/>
                <w:szCs w:val="21"/>
                <w:highlight w:val="none"/>
              </w:rPr>
              <w:t>中安全文明施工费的汇总金额未按照</w:t>
            </w:r>
            <w:r>
              <w:rPr>
                <w:rFonts w:hint="eastAsia" w:ascii="宋体" w:hAnsi="宋体"/>
                <w:szCs w:val="21"/>
                <w:highlight w:val="none"/>
                <w:lang w:eastAsia="zh-CN"/>
              </w:rPr>
              <w:t>比选人</w:t>
            </w:r>
            <w:r>
              <w:rPr>
                <w:rFonts w:hint="eastAsia" w:ascii="宋体" w:hAnsi="宋体"/>
                <w:szCs w:val="21"/>
                <w:highlight w:val="none"/>
              </w:rPr>
              <w:t>给出的暂定金额填报。</w:t>
            </w:r>
            <w:r>
              <w:rPr>
                <w:rFonts w:hint="eastAsia" w:ascii="宋体" w:hAnsi="宋体"/>
                <w:szCs w:val="21"/>
                <w:highlight w:val="none"/>
                <w:lang w:val="en-US" w:eastAsia="zh-CN"/>
              </w:rPr>
              <w:t>暂列金额、暂估价等暂定金额</w:t>
            </w:r>
            <w:r>
              <w:rPr>
                <w:rFonts w:hint="eastAsia" w:ascii="宋体" w:hAnsi="宋体"/>
                <w:szCs w:val="21"/>
                <w:highlight w:val="none"/>
              </w:rPr>
              <w:t>未按照</w:t>
            </w:r>
            <w:r>
              <w:rPr>
                <w:rFonts w:hint="eastAsia" w:ascii="宋体" w:hAnsi="宋体"/>
                <w:szCs w:val="21"/>
                <w:highlight w:val="none"/>
                <w:lang w:eastAsia="zh-CN"/>
              </w:rPr>
              <w:t>比选人</w:t>
            </w:r>
            <w:r>
              <w:rPr>
                <w:rFonts w:hint="eastAsia" w:ascii="宋体" w:hAnsi="宋体"/>
                <w:szCs w:val="21"/>
                <w:highlight w:val="none"/>
              </w:rPr>
              <w:t>给出的暂定金额填报</w:t>
            </w:r>
            <w:r>
              <w:rPr>
                <w:rFonts w:hint="eastAsia" w:ascii="宋体" w:hAnsi="宋体"/>
                <w:szCs w:val="21"/>
                <w:highlight w:val="none"/>
                <w:lang w:eastAsia="zh-CN"/>
              </w:rPr>
              <w:t>。</w:t>
            </w:r>
          </w:p>
        </w:tc>
      </w:tr>
      <w:tr w14:paraId="74C6DD2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017DECE9">
            <w:pPr>
              <w:spacing w:line="400" w:lineRule="exact"/>
              <w:jc w:val="center"/>
              <w:rPr>
                <w:rFonts w:ascii="宋体" w:hAnsi="宋体"/>
                <w:szCs w:val="21"/>
                <w:highlight w:val="none"/>
              </w:rPr>
            </w:pPr>
          </w:p>
        </w:tc>
        <w:tc>
          <w:tcPr>
            <w:tcW w:w="1943" w:type="dxa"/>
            <w:vMerge w:val="continue"/>
            <w:vAlign w:val="center"/>
          </w:tcPr>
          <w:p w14:paraId="47DF9D43">
            <w:pPr>
              <w:spacing w:line="400" w:lineRule="exact"/>
              <w:jc w:val="center"/>
              <w:rPr>
                <w:rFonts w:ascii="宋体" w:hAnsi="宋体"/>
                <w:szCs w:val="21"/>
                <w:highlight w:val="none"/>
              </w:rPr>
            </w:pPr>
          </w:p>
        </w:tc>
        <w:tc>
          <w:tcPr>
            <w:tcW w:w="6209" w:type="dxa"/>
            <w:vAlign w:val="center"/>
          </w:tcPr>
          <w:p w14:paraId="68FFD86D">
            <w:pPr>
              <w:spacing w:line="400" w:lineRule="exact"/>
              <w:ind w:firstLine="420" w:firstLineChars="200"/>
              <w:rPr>
                <w:rFonts w:ascii="宋体" w:hAnsi="宋体"/>
                <w:szCs w:val="21"/>
                <w:highlight w:val="none"/>
              </w:rPr>
            </w:pPr>
            <w:r>
              <w:rPr>
                <w:rFonts w:hint="eastAsia" w:ascii="宋体" w:hAnsi="宋体"/>
                <w:szCs w:val="21"/>
                <w:highlight w:val="none"/>
              </w:rPr>
              <w:t>A-</w:t>
            </w:r>
            <w:r>
              <w:rPr>
                <w:rFonts w:hint="eastAsia" w:ascii="宋体" w:hAnsi="宋体"/>
                <w:szCs w:val="21"/>
                <w:highlight w:val="none"/>
                <w:lang w:val="en-US" w:eastAsia="zh-CN"/>
              </w:rPr>
              <w:t>25</w:t>
            </w:r>
            <w:r>
              <w:rPr>
                <w:rFonts w:hint="eastAsia" w:ascii="宋体" w:hAnsi="宋体"/>
                <w:szCs w:val="21"/>
                <w:highlight w:val="none"/>
              </w:rPr>
              <w:t>有</w:t>
            </w:r>
            <w:r>
              <w:rPr>
                <w:rFonts w:hint="eastAsia" w:ascii="宋体" w:hAnsi="宋体"/>
                <w:szCs w:val="21"/>
                <w:highlight w:val="none"/>
                <w:lang w:val="en-US" w:eastAsia="zh-CN"/>
              </w:rPr>
              <w:t>多</w:t>
            </w:r>
            <w:r>
              <w:rPr>
                <w:rFonts w:hint="eastAsia" w:ascii="宋体" w:hAnsi="宋体"/>
                <w:szCs w:val="21"/>
                <w:highlight w:val="none"/>
              </w:rPr>
              <w:t>个有效报价。在</w:t>
            </w:r>
            <w:r>
              <w:rPr>
                <w:rFonts w:hint="eastAsia" w:ascii="宋体" w:hAnsi="宋体"/>
                <w:szCs w:val="21"/>
                <w:highlight w:val="none"/>
                <w:lang w:eastAsia="zh-CN"/>
              </w:rPr>
              <w:t>竞争性比选文件</w:t>
            </w:r>
            <w:r>
              <w:rPr>
                <w:rFonts w:hint="eastAsia" w:ascii="宋体" w:hAnsi="宋体"/>
                <w:szCs w:val="21"/>
                <w:highlight w:val="none"/>
              </w:rPr>
              <w:t>没有规定的情况下，提交选择性报价。</w:t>
            </w:r>
          </w:p>
        </w:tc>
      </w:tr>
      <w:tr w14:paraId="3AEE42C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363FDA5F">
            <w:pPr>
              <w:spacing w:line="400" w:lineRule="exact"/>
              <w:jc w:val="center"/>
              <w:rPr>
                <w:rFonts w:ascii="宋体" w:hAnsi="宋体"/>
                <w:szCs w:val="21"/>
                <w:highlight w:val="none"/>
              </w:rPr>
            </w:pPr>
          </w:p>
        </w:tc>
        <w:tc>
          <w:tcPr>
            <w:tcW w:w="1943" w:type="dxa"/>
            <w:vMerge w:val="continue"/>
            <w:vAlign w:val="center"/>
          </w:tcPr>
          <w:p w14:paraId="10FFDC35">
            <w:pPr>
              <w:spacing w:line="400" w:lineRule="exact"/>
              <w:jc w:val="center"/>
              <w:rPr>
                <w:rFonts w:ascii="宋体" w:hAnsi="宋体"/>
                <w:szCs w:val="21"/>
                <w:highlight w:val="none"/>
              </w:rPr>
            </w:pPr>
          </w:p>
        </w:tc>
        <w:tc>
          <w:tcPr>
            <w:tcW w:w="6209" w:type="dxa"/>
            <w:vAlign w:val="center"/>
          </w:tcPr>
          <w:p w14:paraId="112ABF4A">
            <w:pPr>
              <w:spacing w:line="400" w:lineRule="exact"/>
              <w:ind w:firstLine="420" w:firstLineChars="200"/>
              <w:rPr>
                <w:rFonts w:ascii="宋体" w:hAnsi="宋体"/>
                <w:i/>
                <w:szCs w:val="21"/>
                <w:highlight w:val="none"/>
              </w:rPr>
            </w:pPr>
            <w:r>
              <w:rPr>
                <w:rFonts w:hint="eastAsia" w:ascii="宋体" w:hAnsi="宋体"/>
                <w:szCs w:val="21"/>
                <w:highlight w:val="none"/>
              </w:rPr>
              <w:t>A-</w:t>
            </w:r>
            <w:r>
              <w:rPr>
                <w:rFonts w:hint="eastAsia" w:ascii="宋体" w:hAnsi="宋体"/>
                <w:szCs w:val="21"/>
                <w:highlight w:val="none"/>
                <w:lang w:val="en-US" w:eastAsia="zh-CN"/>
              </w:rPr>
              <w:t>26</w:t>
            </w:r>
            <w:r>
              <w:rPr>
                <w:rFonts w:hint="eastAsia" w:ascii="宋体" w:hAnsi="宋体"/>
                <w:szCs w:val="21"/>
                <w:highlight w:val="none"/>
                <w:lang w:eastAsia="zh-CN"/>
              </w:rPr>
              <w:t>比选申请人</w:t>
            </w:r>
            <w:r>
              <w:rPr>
                <w:rFonts w:hint="eastAsia" w:ascii="宋体" w:hAnsi="宋体"/>
                <w:szCs w:val="21"/>
                <w:highlight w:val="none"/>
                <w:lang w:val="en-US" w:eastAsia="zh-CN"/>
              </w:rPr>
              <w:t>未</w:t>
            </w:r>
            <w:r>
              <w:rPr>
                <w:rFonts w:hint="eastAsia" w:ascii="宋体" w:hAnsi="宋体"/>
                <w:szCs w:val="21"/>
                <w:highlight w:val="none"/>
              </w:rPr>
              <w:t>按招标工程量清单填报价格。项目编码、项目名称、项目特征、计量单位、工程量与招标工程量清单</w:t>
            </w:r>
            <w:r>
              <w:rPr>
                <w:rFonts w:hint="eastAsia" w:ascii="宋体" w:hAnsi="宋体"/>
                <w:szCs w:val="21"/>
                <w:highlight w:val="none"/>
                <w:lang w:val="en-US" w:eastAsia="zh-CN"/>
              </w:rPr>
              <w:t>不</w:t>
            </w:r>
            <w:r>
              <w:rPr>
                <w:rFonts w:hint="eastAsia" w:ascii="宋体" w:hAnsi="宋体"/>
                <w:szCs w:val="21"/>
                <w:highlight w:val="none"/>
              </w:rPr>
              <w:t>一致。</w:t>
            </w:r>
          </w:p>
        </w:tc>
      </w:tr>
      <w:tr w14:paraId="10176A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2B669745">
            <w:pPr>
              <w:spacing w:line="400" w:lineRule="exact"/>
              <w:jc w:val="center"/>
              <w:rPr>
                <w:rFonts w:ascii="宋体" w:hAnsi="宋体"/>
                <w:szCs w:val="21"/>
                <w:highlight w:val="none"/>
              </w:rPr>
            </w:pPr>
          </w:p>
        </w:tc>
        <w:tc>
          <w:tcPr>
            <w:tcW w:w="1943" w:type="dxa"/>
            <w:vMerge w:val="continue"/>
            <w:vAlign w:val="center"/>
          </w:tcPr>
          <w:p w14:paraId="65C9AE60">
            <w:pPr>
              <w:spacing w:line="400" w:lineRule="exact"/>
              <w:jc w:val="center"/>
              <w:rPr>
                <w:rFonts w:ascii="宋体" w:hAnsi="宋体"/>
                <w:szCs w:val="21"/>
                <w:highlight w:val="none"/>
              </w:rPr>
            </w:pPr>
          </w:p>
        </w:tc>
        <w:tc>
          <w:tcPr>
            <w:tcW w:w="6209" w:type="dxa"/>
            <w:vAlign w:val="center"/>
          </w:tcPr>
          <w:p w14:paraId="3857E14F">
            <w:pPr>
              <w:spacing w:line="400" w:lineRule="exact"/>
              <w:ind w:firstLine="420" w:firstLineChars="200"/>
              <w:rPr>
                <w:rFonts w:ascii="宋体" w:hAnsi="宋体"/>
                <w:i/>
                <w:szCs w:val="21"/>
                <w:highlight w:val="none"/>
              </w:rPr>
            </w:pPr>
            <w:r>
              <w:rPr>
                <w:rFonts w:hint="eastAsia" w:ascii="宋体" w:hAnsi="宋体"/>
                <w:szCs w:val="21"/>
                <w:highlight w:val="none"/>
              </w:rPr>
              <w:t>A-</w:t>
            </w:r>
            <w:r>
              <w:rPr>
                <w:rFonts w:hint="eastAsia" w:ascii="宋体" w:hAnsi="宋体"/>
                <w:szCs w:val="21"/>
                <w:highlight w:val="none"/>
                <w:lang w:val="en-US" w:eastAsia="zh-CN"/>
              </w:rPr>
              <w:t>27</w:t>
            </w:r>
            <w:r>
              <w:rPr>
                <w:rFonts w:hint="eastAsia" w:ascii="宋体" w:hAnsi="宋体"/>
                <w:szCs w:val="21"/>
                <w:highlight w:val="none"/>
                <w:lang w:eastAsia="zh-CN"/>
              </w:rPr>
              <w:t>比选申请人</w:t>
            </w:r>
            <w:r>
              <w:rPr>
                <w:rFonts w:hint="eastAsia" w:ascii="宋体" w:hAnsi="宋体"/>
                <w:szCs w:val="21"/>
                <w:highlight w:val="none"/>
              </w:rPr>
              <w:t>的</w:t>
            </w:r>
            <w:r>
              <w:rPr>
                <w:rFonts w:hint="eastAsia" w:ascii="宋体" w:hAnsi="宋体"/>
                <w:szCs w:val="21"/>
                <w:highlight w:val="none"/>
                <w:lang w:val="en-US" w:eastAsia="zh-CN"/>
              </w:rPr>
              <w:t>一项或多项</w:t>
            </w:r>
            <w:r>
              <w:rPr>
                <w:rFonts w:hint="eastAsia" w:ascii="宋体" w:hAnsi="宋体"/>
                <w:szCs w:val="21"/>
                <w:highlight w:val="none"/>
              </w:rPr>
              <w:t>清单综合单价报价超过</w:t>
            </w:r>
            <w:r>
              <w:rPr>
                <w:rFonts w:hint="eastAsia" w:ascii="宋体" w:hAnsi="宋体"/>
                <w:szCs w:val="21"/>
                <w:highlight w:val="none"/>
                <w:lang w:val="en-US" w:eastAsia="zh-CN"/>
              </w:rPr>
              <w:t>对应的</w:t>
            </w:r>
            <w:r>
              <w:rPr>
                <w:rFonts w:hint="eastAsia" w:ascii="宋体" w:hAnsi="宋体"/>
                <w:szCs w:val="21"/>
                <w:highlight w:val="none"/>
              </w:rPr>
              <w:t>清单综合单价最高限价。</w:t>
            </w:r>
          </w:p>
        </w:tc>
      </w:tr>
      <w:tr w14:paraId="75E9AB8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3CB61164">
            <w:pPr>
              <w:spacing w:line="400" w:lineRule="exact"/>
              <w:jc w:val="center"/>
              <w:rPr>
                <w:rFonts w:ascii="宋体" w:hAnsi="宋体"/>
                <w:szCs w:val="21"/>
                <w:highlight w:val="none"/>
              </w:rPr>
            </w:pPr>
          </w:p>
        </w:tc>
        <w:tc>
          <w:tcPr>
            <w:tcW w:w="1943" w:type="dxa"/>
            <w:vMerge w:val="continue"/>
            <w:vAlign w:val="center"/>
          </w:tcPr>
          <w:p w14:paraId="78E84BFF">
            <w:pPr>
              <w:spacing w:line="400" w:lineRule="exact"/>
              <w:jc w:val="center"/>
              <w:rPr>
                <w:rFonts w:ascii="宋体" w:hAnsi="宋体"/>
                <w:szCs w:val="21"/>
                <w:highlight w:val="none"/>
              </w:rPr>
            </w:pPr>
          </w:p>
        </w:tc>
        <w:tc>
          <w:tcPr>
            <w:tcW w:w="6209" w:type="dxa"/>
            <w:vAlign w:val="center"/>
          </w:tcPr>
          <w:p w14:paraId="5AAE94CB">
            <w:pPr>
              <w:spacing w:line="400" w:lineRule="exact"/>
              <w:ind w:firstLine="420" w:firstLineChars="200"/>
              <w:rPr>
                <w:rFonts w:hint="eastAsia" w:ascii="宋体" w:hAnsi="宋体"/>
                <w:szCs w:val="21"/>
                <w:highlight w:val="none"/>
              </w:rPr>
            </w:pPr>
            <w:r>
              <w:rPr>
                <w:rFonts w:hint="eastAsia" w:ascii="宋体" w:hAnsi="宋体"/>
                <w:szCs w:val="21"/>
                <w:highlight w:val="none"/>
              </w:rPr>
              <w:t>A-</w:t>
            </w:r>
            <w:r>
              <w:rPr>
                <w:rFonts w:hint="eastAsia" w:ascii="宋体" w:hAnsi="宋体"/>
                <w:szCs w:val="21"/>
                <w:highlight w:val="none"/>
                <w:lang w:val="en-US" w:eastAsia="zh-CN"/>
              </w:rPr>
              <w:t>28</w:t>
            </w:r>
            <w:r>
              <w:rPr>
                <w:rFonts w:hint="eastAsia" w:ascii="宋体" w:hAnsi="宋体"/>
                <w:kern w:val="0"/>
                <w:szCs w:val="21"/>
                <w:highlight w:val="none"/>
                <w:u w:val="none"/>
                <w:lang w:eastAsia="zh-CN"/>
              </w:rPr>
              <w:t>比选申请人</w:t>
            </w:r>
            <w:r>
              <w:rPr>
                <w:rFonts w:hint="default" w:ascii="宋体" w:hAnsi="宋体"/>
                <w:kern w:val="0"/>
                <w:szCs w:val="21"/>
                <w:highlight w:val="none"/>
                <w:u w:val="none"/>
              </w:rPr>
              <w:t>的</w:t>
            </w:r>
            <w:r>
              <w:rPr>
                <w:rFonts w:hint="eastAsia" w:ascii="宋体" w:hAnsi="宋体"/>
                <w:kern w:val="0"/>
                <w:szCs w:val="21"/>
                <w:highlight w:val="none"/>
                <w:u w:val="none"/>
                <w:lang w:val="en-US" w:eastAsia="zh-CN"/>
              </w:rPr>
              <w:t>工程量清单单项报价为零报价（比选人提供的工程量清单单项最高限价中金额为零的除外）或者负数报价（如有）</w:t>
            </w:r>
            <w:r>
              <w:rPr>
                <w:rFonts w:hint="eastAsia" w:ascii="宋体" w:hAnsi="宋体"/>
                <w:szCs w:val="21"/>
                <w:highlight w:val="none"/>
                <w:lang w:eastAsia="zh-CN"/>
              </w:rPr>
              <w:t>。</w:t>
            </w:r>
          </w:p>
        </w:tc>
      </w:tr>
      <w:tr w14:paraId="32A29B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744DCA3E">
            <w:pPr>
              <w:spacing w:line="400" w:lineRule="exact"/>
              <w:jc w:val="center"/>
              <w:rPr>
                <w:rFonts w:ascii="宋体" w:hAnsi="宋体"/>
                <w:szCs w:val="21"/>
                <w:highlight w:val="none"/>
              </w:rPr>
            </w:pPr>
          </w:p>
        </w:tc>
        <w:tc>
          <w:tcPr>
            <w:tcW w:w="1943" w:type="dxa"/>
            <w:vMerge w:val="continue"/>
            <w:vAlign w:val="center"/>
          </w:tcPr>
          <w:p w14:paraId="31D4AF3C">
            <w:pPr>
              <w:spacing w:line="400" w:lineRule="exact"/>
              <w:jc w:val="center"/>
              <w:rPr>
                <w:rFonts w:ascii="宋体" w:hAnsi="宋体"/>
                <w:szCs w:val="21"/>
                <w:highlight w:val="none"/>
              </w:rPr>
            </w:pPr>
          </w:p>
        </w:tc>
        <w:tc>
          <w:tcPr>
            <w:tcW w:w="6209" w:type="dxa"/>
            <w:vAlign w:val="center"/>
          </w:tcPr>
          <w:p w14:paraId="5B71093A">
            <w:pPr>
              <w:spacing w:line="400" w:lineRule="exact"/>
              <w:ind w:firstLine="420" w:firstLineChars="200"/>
              <w:rPr>
                <w:rFonts w:hint="default" w:ascii="宋体" w:hAnsi="宋体" w:eastAsia="宋体"/>
                <w:szCs w:val="21"/>
                <w:highlight w:val="none"/>
                <w:lang w:val="en-US" w:eastAsia="zh-CN"/>
              </w:rPr>
            </w:pPr>
            <w:r>
              <w:rPr>
                <w:rFonts w:hint="eastAsia" w:ascii="宋体" w:hAnsi="宋体"/>
                <w:szCs w:val="21"/>
                <w:highlight w:val="none"/>
                <w:lang w:val="en-US" w:eastAsia="zh-CN"/>
              </w:rPr>
              <w:t>A-29</w:t>
            </w:r>
            <w:r>
              <w:rPr>
                <w:rFonts w:hint="eastAsia" w:ascii="宋体" w:hAnsi="宋体"/>
                <w:kern w:val="0"/>
                <w:szCs w:val="21"/>
                <w:highlight w:val="none"/>
                <w:u w:val="none"/>
                <w:lang w:val="en-US" w:eastAsia="zh-CN"/>
              </w:rPr>
              <w:t>比选申请人的工程量清单中有不平衡报价的，不符合第二章“比选申请人须知前附表”第3.2款关于不平衡报价的要求（如有）。</w:t>
            </w:r>
          </w:p>
        </w:tc>
      </w:tr>
      <w:tr w14:paraId="7A9B15F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Merge w:val="continue"/>
            <w:vAlign w:val="center"/>
          </w:tcPr>
          <w:p w14:paraId="0E6EE4D6">
            <w:pPr>
              <w:spacing w:line="400" w:lineRule="exact"/>
              <w:jc w:val="center"/>
              <w:rPr>
                <w:rFonts w:ascii="宋体" w:hAnsi="宋体"/>
                <w:szCs w:val="21"/>
                <w:highlight w:val="none"/>
              </w:rPr>
            </w:pPr>
          </w:p>
        </w:tc>
        <w:tc>
          <w:tcPr>
            <w:tcW w:w="1943" w:type="dxa"/>
            <w:vMerge w:val="continue"/>
            <w:vAlign w:val="center"/>
          </w:tcPr>
          <w:p w14:paraId="057DC051">
            <w:pPr>
              <w:spacing w:line="400" w:lineRule="exact"/>
              <w:jc w:val="center"/>
              <w:rPr>
                <w:rFonts w:ascii="宋体" w:hAnsi="宋体"/>
                <w:szCs w:val="21"/>
                <w:highlight w:val="none"/>
              </w:rPr>
            </w:pPr>
          </w:p>
        </w:tc>
        <w:tc>
          <w:tcPr>
            <w:tcW w:w="6209" w:type="dxa"/>
          </w:tcPr>
          <w:p w14:paraId="6BB423BC">
            <w:pPr>
              <w:spacing w:line="400" w:lineRule="exact"/>
              <w:ind w:firstLine="420" w:firstLineChars="200"/>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A-30投标报价有大小写不一致的，未按照第三章3.评标程序第3.1.2项规定执行。</w:t>
            </w:r>
          </w:p>
        </w:tc>
      </w:tr>
      <w:tr w14:paraId="167160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317" w:type="dxa"/>
            <w:vAlign w:val="center"/>
          </w:tcPr>
          <w:p w14:paraId="0A1CA5B1">
            <w:pPr>
              <w:spacing w:line="400" w:lineRule="exact"/>
              <w:jc w:val="center"/>
              <w:rPr>
                <w:rFonts w:ascii="宋体" w:hAnsi="宋体"/>
                <w:szCs w:val="21"/>
                <w:highlight w:val="none"/>
              </w:rPr>
            </w:pPr>
            <w:r>
              <w:rPr>
                <w:rFonts w:ascii="宋体" w:hAnsi="宋体"/>
                <w:szCs w:val="21"/>
                <w:highlight w:val="none"/>
              </w:rPr>
              <w:t>其他</w:t>
            </w:r>
          </w:p>
        </w:tc>
        <w:tc>
          <w:tcPr>
            <w:tcW w:w="1943" w:type="dxa"/>
            <w:vAlign w:val="center"/>
          </w:tcPr>
          <w:p w14:paraId="48D7226B">
            <w:pPr>
              <w:spacing w:line="400" w:lineRule="exact"/>
              <w:jc w:val="center"/>
              <w:rPr>
                <w:rFonts w:ascii="宋体" w:hAnsi="宋体"/>
                <w:szCs w:val="21"/>
                <w:highlight w:val="none"/>
              </w:rPr>
            </w:pPr>
          </w:p>
        </w:tc>
        <w:tc>
          <w:tcPr>
            <w:tcW w:w="6209" w:type="dxa"/>
          </w:tcPr>
          <w:p w14:paraId="54247B79">
            <w:pPr>
              <w:spacing w:line="400" w:lineRule="exact"/>
              <w:ind w:firstLine="420" w:firstLineChars="200"/>
              <w:rPr>
                <w:rFonts w:hint="default" w:ascii="宋体" w:hAnsi="宋体" w:eastAsia="宋体" w:cs="Times New Roman"/>
                <w:szCs w:val="21"/>
                <w:highlight w:val="none"/>
                <w:lang w:val="en-US" w:eastAsia="zh-CN"/>
              </w:rPr>
            </w:pPr>
            <w:r>
              <w:rPr>
                <w:rFonts w:hint="eastAsia" w:ascii="宋体" w:hAnsi="宋体" w:cs="Times New Roman"/>
                <w:szCs w:val="21"/>
                <w:highlight w:val="none"/>
                <w:lang w:val="en-US" w:eastAsia="zh-CN"/>
              </w:rPr>
              <w:t>无</w:t>
            </w:r>
          </w:p>
        </w:tc>
      </w:tr>
    </w:tbl>
    <w:p w14:paraId="0BC4DA80">
      <w:pPr>
        <w:pStyle w:val="13"/>
        <w:spacing w:line="360" w:lineRule="auto"/>
        <w:ind w:firstLine="420" w:firstLineChars="200"/>
        <w:jc w:val="both"/>
        <w:rPr>
          <w:rFonts w:ascii="宋体" w:hAnsi="宋体"/>
          <w:sz w:val="21"/>
          <w:szCs w:val="21"/>
          <w:highlight w:val="none"/>
          <w:u w:val="none"/>
          <w:lang w:eastAsia="zh-CN"/>
        </w:rPr>
      </w:pPr>
    </w:p>
    <w:p w14:paraId="7D2EF425">
      <w:pPr>
        <w:autoSpaceDE w:val="0"/>
        <w:autoSpaceDN w:val="0"/>
        <w:adjustRightInd w:val="0"/>
        <w:snapToGrid w:val="0"/>
        <w:spacing w:line="360" w:lineRule="auto"/>
        <w:jc w:val="left"/>
        <w:rPr>
          <w:rFonts w:ascii="宋体" w:hAnsi="宋体"/>
          <w:b/>
          <w:kern w:val="0"/>
          <w:sz w:val="20"/>
          <w:szCs w:val="20"/>
          <w:highlight w:val="none"/>
        </w:rPr>
      </w:pPr>
    </w:p>
    <w:p w14:paraId="6B727A84">
      <w:pPr>
        <w:autoSpaceDE w:val="0"/>
        <w:autoSpaceDN w:val="0"/>
        <w:adjustRightInd w:val="0"/>
        <w:snapToGrid w:val="0"/>
        <w:spacing w:before="340" w:after="330" w:line="360" w:lineRule="auto"/>
        <w:jc w:val="left"/>
        <w:rPr>
          <w:rFonts w:ascii="宋体" w:hAnsi="宋体"/>
          <w:kern w:val="0"/>
          <w:sz w:val="52"/>
          <w:szCs w:val="52"/>
          <w:highlight w:val="none"/>
        </w:rPr>
      </w:pPr>
      <w:r>
        <w:rPr>
          <w:rFonts w:ascii="宋体" w:hAnsi="宋体"/>
          <w:kern w:val="0"/>
          <w:highlight w:val="none"/>
        </w:rPr>
        <w:br w:type="page"/>
      </w:r>
    </w:p>
    <w:p w14:paraId="21DE1613">
      <w:pPr>
        <w:pStyle w:val="3"/>
        <w:spacing w:line="360" w:lineRule="auto"/>
        <w:jc w:val="center"/>
        <w:rPr>
          <w:rFonts w:ascii="宋体" w:hAnsi="宋体"/>
          <w:kern w:val="0"/>
          <w:highlight w:val="none"/>
        </w:rPr>
      </w:pPr>
      <w:bookmarkStart w:id="660" w:name="_Toc430530509"/>
      <w:bookmarkStart w:id="661" w:name="_Toc16689"/>
      <w:bookmarkStart w:id="662" w:name="_Toc22893"/>
      <w:bookmarkStart w:id="663" w:name="_Toc509218785"/>
      <w:r>
        <w:rPr>
          <w:rFonts w:hint="eastAsia" w:ascii="宋体" w:hAnsi="宋体"/>
          <w:kern w:val="0"/>
          <w:highlight w:val="none"/>
        </w:rPr>
        <w:t>第四章  合同条款及格式</w:t>
      </w:r>
      <w:bookmarkEnd w:id="660"/>
      <w:bookmarkEnd w:id="661"/>
      <w:bookmarkEnd w:id="662"/>
      <w:bookmarkEnd w:id="663"/>
    </w:p>
    <w:p w14:paraId="083C724B">
      <w:pPr>
        <w:rPr>
          <w:rFonts w:ascii="宋体" w:hAnsi="宋体"/>
          <w:sz w:val="44"/>
          <w:szCs w:val="44"/>
          <w:highlight w:val="none"/>
        </w:rPr>
      </w:pPr>
      <w:r>
        <w:rPr>
          <w:rFonts w:ascii="宋体" w:hAnsi="宋体"/>
          <w:highlight w:val="none"/>
        </w:rPr>
        <w:br w:type="page"/>
      </w:r>
      <w:bookmarkStart w:id="664" w:name="_Toc296890982"/>
      <w:bookmarkStart w:id="665" w:name="_Toc296503025"/>
      <w:bookmarkStart w:id="666" w:name="_Toc351203480"/>
    </w:p>
    <w:p w14:paraId="4DF67444">
      <w:pPr>
        <w:spacing w:line="360" w:lineRule="auto"/>
        <w:jc w:val="center"/>
        <w:rPr>
          <w:rFonts w:ascii="宋体" w:hAnsi="宋体"/>
          <w:sz w:val="44"/>
          <w:szCs w:val="44"/>
          <w:highlight w:val="none"/>
        </w:rPr>
      </w:pPr>
      <w:r>
        <w:rPr>
          <w:rFonts w:hint="eastAsia" w:ascii="宋体" w:hAnsi="宋体"/>
          <w:sz w:val="44"/>
          <w:szCs w:val="44"/>
          <w:highlight w:val="none"/>
        </w:rPr>
        <w:t>第一部分 合同协议书</w:t>
      </w:r>
    </w:p>
    <w:p w14:paraId="3F9371BC">
      <w:pPr>
        <w:pStyle w:val="25"/>
        <w:snapToGrid w:val="0"/>
        <w:spacing w:before="0" w:line="360" w:lineRule="auto"/>
        <w:ind w:firstLine="562" w:firstLineChars="200"/>
        <w:rPr>
          <w:rFonts w:ascii="宋体" w:hAnsi="宋体"/>
          <w:color w:val="auto"/>
          <w:highlight w:val="none"/>
        </w:rPr>
      </w:pPr>
    </w:p>
    <w:p w14:paraId="05413994">
      <w:pPr>
        <w:spacing w:line="360" w:lineRule="auto"/>
        <w:ind w:firstLine="420" w:firstLineChars="200"/>
        <w:rPr>
          <w:rFonts w:ascii="宋体" w:hAnsi="宋体"/>
          <w:bCs/>
          <w:i/>
          <w:szCs w:val="21"/>
          <w:highlight w:val="none"/>
        </w:rPr>
      </w:pPr>
      <w:r>
        <w:rPr>
          <w:rFonts w:hint="eastAsia" w:ascii="宋体" w:hAnsi="宋体"/>
          <w:bCs/>
          <w:i/>
          <w:szCs w:val="21"/>
          <w:highlight w:val="none"/>
        </w:rPr>
        <w:t>[提示：合同协议书为示范性内容，</w:t>
      </w:r>
      <w:r>
        <w:rPr>
          <w:rFonts w:hint="eastAsia" w:ascii="宋体" w:hAnsi="宋体"/>
          <w:bCs/>
          <w:i/>
          <w:szCs w:val="21"/>
          <w:highlight w:val="none"/>
          <w:lang w:eastAsia="zh-CN"/>
        </w:rPr>
        <w:t>比选人</w:t>
      </w:r>
      <w:r>
        <w:rPr>
          <w:rFonts w:hint="eastAsia" w:ascii="宋体" w:hAnsi="宋体"/>
          <w:bCs/>
          <w:i/>
          <w:szCs w:val="21"/>
          <w:highlight w:val="none"/>
        </w:rPr>
        <w:t>在编制</w:t>
      </w:r>
      <w:r>
        <w:rPr>
          <w:rFonts w:hint="eastAsia" w:ascii="宋体" w:hAnsi="宋体"/>
          <w:bCs/>
          <w:i/>
          <w:szCs w:val="21"/>
          <w:highlight w:val="none"/>
          <w:lang w:eastAsia="zh-CN"/>
        </w:rPr>
        <w:t>竞争性比选文件</w:t>
      </w:r>
      <w:r>
        <w:rPr>
          <w:rFonts w:hint="eastAsia" w:ascii="宋体" w:hAnsi="宋体"/>
          <w:bCs/>
          <w:i/>
          <w:szCs w:val="21"/>
          <w:highlight w:val="none"/>
        </w:rPr>
        <w:t>时不必填写，供中标后签订合同时填写。]</w:t>
      </w:r>
    </w:p>
    <w:p w14:paraId="38F70970">
      <w:pPr>
        <w:rPr>
          <w:rFonts w:ascii="宋体" w:hAnsi="宋体"/>
          <w:b/>
          <w:highlight w:val="none"/>
        </w:rPr>
      </w:pPr>
      <w:r>
        <w:rPr>
          <w:rFonts w:ascii="宋体" w:hAnsi="宋体"/>
          <w:highlight w:val="none"/>
        </w:rPr>
        <w:br w:type="page"/>
      </w:r>
    </w:p>
    <w:p w14:paraId="7A44B27A">
      <w:pPr>
        <w:pStyle w:val="5"/>
        <w:jc w:val="center"/>
        <w:rPr>
          <w:rFonts w:ascii="宋体" w:hAnsi="宋体"/>
          <w:b w:val="0"/>
          <w:color w:val="auto"/>
          <w:sz w:val="44"/>
          <w:szCs w:val="44"/>
          <w:highlight w:val="none"/>
        </w:rPr>
      </w:pPr>
      <w:bookmarkStart w:id="667" w:name="_Toc12041"/>
      <w:bookmarkStart w:id="668" w:name="_Toc534185765"/>
      <w:bookmarkStart w:id="669" w:name="_Toc509218786"/>
      <w:bookmarkStart w:id="670" w:name="_Toc57820637"/>
      <w:bookmarkStart w:id="671" w:name="_Toc27863"/>
      <w:bookmarkStart w:id="672" w:name="_Toc351203494"/>
      <w:bookmarkStart w:id="673" w:name="_Toc509218844"/>
      <w:bookmarkStart w:id="674" w:name="_Toc14382"/>
      <w:bookmarkStart w:id="675" w:name="_Toc534185823"/>
      <w:r>
        <w:rPr>
          <w:rFonts w:ascii="宋体" w:hAnsi="宋体"/>
          <w:color w:val="auto"/>
          <w:sz w:val="44"/>
          <w:szCs w:val="44"/>
          <w:highlight w:val="none"/>
        </w:rPr>
        <w:t>第一部分 合同协议书</w:t>
      </w:r>
      <w:bookmarkEnd w:id="667"/>
      <w:bookmarkEnd w:id="668"/>
      <w:bookmarkEnd w:id="669"/>
      <w:bookmarkEnd w:id="670"/>
      <w:bookmarkEnd w:id="671"/>
    </w:p>
    <w:bookmarkEnd w:id="672"/>
    <w:p w14:paraId="7CD5EC2C">
      <w:pPr>
        <w:snapToGrid w:val="0"/>
        <w:spacing w:line="600" w:lineRule="exact"/>
        <w:ind w:firstLine="480" w:firstLineChars="200"/>
        <w:rPr>
          <w:rFonts w:ascii="宋体" w:hAnsi="宋体"/>
          <w:color w:val="auto"/>
          <w:sz w:val="24"/>
          <w:highlight w:val="none"/>
        </w:rPr>
      </w:pPr>
      <w:bookmarkStart w:id="676" w:name="_Toc351203632"/>
    </w:p>
    <w:p w14:paraId="6886DA76">
      <w:pPr>
        <w:snapToGrid w:val="0"/>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发包人（全称）：</w:t>
      </w:r>
      <w:r>
        <w:rPr>
          <w:rFonts w:hint="eastAsia" w:ascii="宋体" w:hAnsi="宋体"/>
          <w:b/>
          <w:color w:val="auto"/>
          <w:szCs w:val="21"/>
          <w:highlight w:val="none"/>
          <w:u w:val="single"/>
        </w:rPr>
        <w:t xml:space="preserve">  </w:t>
      </w:r>
      <w:r>
        <w:rPr>
          <w:rFonts w:hint="eastAsia" w:ascii="宋体" w:hAnsi="宋体"/>
          <w:snapToGrid w:val="0"/>
          <w:color w:val="auto"/>
          <w:kern w:val="0"/>
          <w:szCs w:val="21"/>
          <w:highlight w:val="none"/>
          <w:u w:val="single"/>
          <w:lang w:eastAsia="zh-CN"/>
        </w:rPr>
        <w:t>重庆市江南城市建设发展(集团)有限公司</w:t>
      </w:r>
      <w:r>
        <w:rPr>
          <w:rFonts w:hint="eastAsia" w:ascii="宋体" w:hAnsi="宋体"/>
          <w:b/>
          <w:color w:val="auto"/>
          <w:szCs w:val="21"/>
          <w:highlight w:val="none"/>
          <w:u w:val="single"/>
        </w:rPr>
        <w:t xml:space="preserve"> </w:t>
      </w:r>
    </w:p>
    <w:p w14:paraId="4F5E5F18">
      <w:pPr>
        <w:snapToGrid w:val="0"/>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承包人（全称）：</w:t>
      </w:r>
      <w:r>
        <w:rPr>
          <w:rFonts w:hint="eastAsia" w:ascii="宋体" w:hAnsi="宋体"/>
          <w:color w:val="auto"/>
          <w:szCs w:val="21"/>
          <w:highlight w:val="none"/>
          <w:u w:val="single"/>
        </w:rPr>
        <w:t xml:space="preserve">                                 </w:t>
      </w:r>
    </w:p>
    <w:p w14:paraId="40AA8E23">
      <w:pPr>
        <w:spacing w:line="360" w:lineRule="auto"/>
        <w:ind w:firstLine="420" w:firstLineChars="200"/>
        <w:rPr>
          <w:rFonts w:ascii="宋体" w:hAnsi="宋体"/>
          <w:b/>
          <w:color w:val="auto"/>
          <w:szCs w:val="21"/>
          <w:highlight w:val="none"/>
          <w:u w:val="single"/>
        </w:rPr>
      </w:pPr>
      <w:r>
        <w:rPr>
          <w:rFonts w:hint="eastAsia" w:ascii="宋体" w:hAnsi="宋体"/>
          <w:color w:val="auto"/>
          <w:szCs w:val="21"/>
          <w:highlight w:val="none"/>
        </w:rPr>
        <w:t>根据《中华人民共和国民法典》、《中华人民共和国建筑法》及有关法律、法规规定，遵循平等、自愿、公平和诚实信用的原则，双方就</w:t>
      </w:r>
      <w:r>
        <w:rPr>
          <w:rFonts w:hint="eastAsia" w:ascii="宋体" w:hAnsi="宋体"/>
          <w:color w:val="auto"/>
          <w:szCs w:val="21"/>
          <w:highlight w:val="none"/>
          <w:u w:val="single"/>
          <w:lang w:val="en-US" w:eastAsia="zh-CN"/>
        </w:rPr>
        <w:t xml:space="preserve"> </w:t>
      </w:r>
      <w:r>
        <w:rPr>
          <w:rFonts w:hint="eastAsia" w:ascii="宋体" w:hAnsi="宋体"/>
          <w:snapToGrid w:val="0"/>
          <w:color w:val="auto"/>
          <w:kern w:val="0"/>
          <w:szCs w:val="21"/>
          <w:highlight w:val="none"/>
          <w:u w:val="single"/>
          <w:lang w:eastAsia="zh-CN"/>
        </w:rPr>
        <w:t>南岸区2025年供水管网更新改造工程（帷幄大厦应急整治工程）</w:t>
      </w:r>
      <w:r>
        <w:rPr>
          <w:rFonts w:hint="eastAsia" w:ascii="宋体" w:hAnsi="宋体"/>
          <w:color w:val="auto"/>
          <w:szCs w:val="21"/>
          <w:highlight w:val="none"/>
          <w:u w:val="single"/>
        </w:rPr>
        <w:t xml:space="preserve">  </w:t>
      </w:r>
      <w:r>
        <w:rPr>
          <w:rFonts w:hint="eastAsia" w:ascii="宋体" w:hAnsi="宋体"/>
          <w:color w:val="auto"/>
          <w:szCs w:val="21"/>
          <w:highlight w:val="none"/>
        </w:rPr>
        <w:t>施工及有关事项协商一致，共同达成如下协议：</w:t>
      </w:r>
    </w:p>
    <w:p w14:paraId="6EA781B4">
      <w:pPr>
        <w:pStyle w:val="6"/>
        <w:keepNext/>
        <w:keepLines/>
        <w:spacing w:before="120" w:after="120" w:line="360" w:lineRule="auto"/>
        <w:ind w:firstLine="422" w:firstLineChars="200"/>
        <w:jc w:val="both"/>
        <w:rPr>
          <w:color w:val="auto"/>
          <w:kern w:val="2"/>
          <w:sz w:val="21"/>
          <w:szCs w:val="21"/>
          <w:highlight w:val="none"/>
        </w:rPr>
      </w:pPr>
      <w:bookmarkStart w:id="677" w:name="_Toc532377166"/>
      <w:bookmarkStart w:id="678" w:name="_Toc351203481"/>
      <w:bookmarkStart w:id="679" w:name="_Toc532375573"/>
      <w:r>
        <w:rPr>
          <w:rFonts w:hint="eastAsia"/>
          <w:color w:val="auto"/>
          <w:kern w:val="2"/>
          <w:sz w:val="21"/>
          <w:szCs w:val="21"/>
          <w:highlight w:val="none"/>
        </w:rPr>
        <w:t>一、工程概况</w:t>
      </w:r>
      <w:bookmarkEnd w:id="677"/>
      <w:bookmarkEnd w:id="678"/>
      <w:bookmarkEnd w:id="679"/>
    </w:p>
    <w:p w14:paraId="507808DC">
      <w:pPr>
        <w:snapToGrid w:val="0"/>
        <w:spacing w:line="360" w:lineRule="auto"/>
        <w:ind w:firstLine="420" w:firstLineChars="200"/>
        <w:rPr>
          <w:rFonts w:ascii="宋体" w:hAnsi="宋体"/>
          <w:color w:val="auto"/>
          <w:szCs w:val="21"/>
          <w:highlight w:val="none"/>
          <w:u w:val="single"/>
        </w:rPr>
      </w:pPr>
      <w:r>
        <w:rPr>
          <w:rFonts w:hint="eastAsia" w:ascii="宋体" w:hAnsi="宋体"/>
          <w:bCs/>
          <w:color w:val="auto"/>
          <w:szCs w:val="21"/>
          <w:highlight w:val="none"/>
        </w:rPr>
        <w:t>1.工程名称</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南岸区2025年供水管网更新改造工程（帷幄大厦应急整治工程）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C6A29BF">
      <w:pPr>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2.工程地点：</w:t>
      </w:r>
      <w:r>
        <w:rPr>
          <w:rFonts w:hint="eastAsia" w:ascii="宋体" w:hAnsi="宋体"/>
          <w:color w:val="auto"/>
          <w:szCs w:val="21"/>
          <w:highlight w:val="none"/>
          <w:u w:val="single"/>
        </w:rPr>
        <w:t xml:space="preserve"> </w:t>
      </w:r>
      <w:r>
        <w:rPr>
          <w:rFonts w:hint="eastAsia" w:ascii="宋体" w:hAnsi="宋体"/>
          <w:snapToGrid w:val="0"/>
          <w:color w:val="auto"/>
          <w:kern w:val="0"/>
          <w:szCs w:val="21"/>
          <w:highlight w:val="none"/>
          <w:u w:val="single"/>
          <w:lang w:val="en-US" w:eastAsia="zh-CN"/>
        </w:rPr>
        <w:t xml:space="preserve">重庆市南岸区南坪东路15号 </w:t>
      </w:r>
      <w:r>
        <w:rPr>
          <w:rFonts w:hint="eastAsia" w:ascii="宋体" w:hAnsi="宋体"/>
          <w:color w:val="auto"/>
          <w:szCs w:val="21"/>
          <w:highlight w:val="none"/>
        </w:rPr>
        <w:t>。</w:t>
      </w:r>
    </w:p>
    <w:p w14:paraId="7D298ABF">
      <w:pPr>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3.工程立项批准文号：</w:t>
      </w:r>
      <w:r>
        <w:rPr>
          <w:rFonts w:hint="eastAsia" w:ascii="宋体" w:hAnsi="宋体"/>
          <w:color w:val="auto"/>
          <w:szCs w:val="21"/>
          <w:highlight w:val="none"/>
          <w:u w:val="single"/>
        </w:rPr>
        <w:t xml:space="preserve">  </w:t>
      </w:r>
      <w:r>
        <w:rPr>
          <w:rFonts w:hint="eastAsia" w:ascii="宋体" w:hAnsi="宋体"/>
          <w:snapToGrid w:val="0"/>
          <w:color w:val="auto"/>
          <w:kern w:val="0"/>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bCs/>
          <w:color w:val="auto"/>
          <w:szCs w:val="21"/>
          <w:highlight w:val="none"/>
        </w:rPr>
        <w:t>。</w:t>
      </w:r>
    </w:p>
    <w:p w14:paraId="44934952">
      <w:pPr>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4.资金来源：</w:t>
      </w:r>
      <w:r>
        <w:rPr>
          <w:rFonts w:hint="eastAsia" w:ascii="宋体" w:hAnsi="宋体"/>
          <w:color w:val="auto"/>
          <w:szCs w:val="21"/>
          <w:highlight w:val="none"/>
          <w:u w:val="single"/>
        </w:rPr>
        <w:t xml:space="preserve">   </w:t>
      </w:r>
      <w:r>
        <w:rPr>
          <w:rFonts w:hint="eastAsia" w:ascii="宋体" w:hAnsi="宋体"/>
          <w:snapToGrid w:val="0"/>
          <w:kern w:val="0"/>
          <w:szCs w:val="21"/>
          <w:highlight w:val="none"/>
          <w:u w:val="single"/>
        </w:rPr>
        <w:t>财政资金</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1060690">
      <w:pPr>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5.工程内容：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7F65930C">
      <w:pPr>
        <w:snapToGrid w:val="0"/>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6.工程承包范围：</w:t>
      </w:r>
      <w:r>
        <w:rPr>
          <w:rFonts w:hint="eastAsia" w:ascii="宋体" w:hAnsi="宋体"/>
          <w:snapToGrid w:val="0"/>
          <w:kern w:val="0"/>
          <w:szCs w:val="21"/>
          <w:highlight w:val="none"/>
          <w:u w:val="single"/>
        </w:rPr>
        <w:t xml:space="preserve">具体范围详见施工图及工程量清单，若施工图及工程量清单不一致时，以工程量清单为准。 </w:t>
      </w:r>
    </w:p>
    <w:p w14:paraId="3319BC37">
      <w:pPr>
        <w:pStyle w:val="6"/>
        <w:keepNext/>
        <w:keepLines/>
        <w:spacing w:before="120" w:after="120" w:line="360" w:lineRule="auto"/>
        <w:ind w:firstLine="422" w:firstLineChars="200"/>
        <w:jc w:val="both"/>
        <w:rPr>
          <w:color w:val="auto"/>
          <w:kern w:val="2"/>
          <w:sz w:val="21"/>
          <w:szCs w:val="21"/>
          <w:highlight w:val="none"/>
        </w:rPr>
      </w:pPr>
      <w:bookmarkStart w:id="680" w:name="_Toc351203482"/>
      <w:bookmarkStart w:id="681" w:name="_Toc532377167"/>
      <w:bookmarkStart w:id="682" w:name="_Toc532375574"/>
      <w:r>
        <w:rPr>
          <w:rFonts w:hint="eastAsia"/>
          <w:color w:val="auto"/>
          <w:kern w:val="2"/>
          <w:sz w:val="21"/>
          <w:szCs w:val="21"/>
          <w:highlight w:val="none"/>
        </w:rPr>
        <w:t>二、合同工期</w:t>
      </w:r>
      <w:bookmarkEnd w:id="680"/>
      <w:bookmarkEnd w:id="681"/>
      <w:bookmarkEnd w:id="682"/>
    </w:p>
    <w:p w14:paraId="37909017">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承包人投标函中承诺的工期：</w:t>
      </w:r>
      <w:r>
        <w:rPr>
          <w:rFonts w:hint="eastAsia" w:ascii="宋体" w:hAnsi="宋体"/>
          <w:bCs/>
          <w:color w:val="auto"/>
          <w:szCs w:val="21"/>
          <w:highlight w:val="none"/>
          <w:u w:val="single"/>
        </w:rPr>
        <w:t>日历天</w:t>
      </w:r>
      <w:r>
        <w:rPr>
          <w:rFonts w:hint="eastAsia" w:ascii="宋体" w:hAnsi="宋体"/>
          <w:bCs/>
          <w:color w:val="auto"/>
          <w:szCs w:val="21"/>
          <w:highlight w:val="none"/>
        </w:rPr>
        <w:t>。</w:t>
      </w:r>
    </w:p>
    <w:p w14:paraId="521C26CE">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计划开工日期：</w:t>
      </w:r>
      <w:r>
        <w:rPr>
          <w:rFonts w:hint="eastAsia" w:ascii="宋体" w:hAnsi="宋体"/>
          <w:bCs/>
          <w:color w:val="auto"/>
          <w:szCs w:val="21"/>
          <w:highlight w:val="none"/>
          <w:u w:val="single"/>
        </w:rPr>
        <w:t></w:t>
      </w:r>
      <w:r>
        <w:rPr>
          <w:rFonts w:hint="eastAsia" w:ascii="宋体" w:hAnsi="宋体"/>
          <w:bCs/>
          <w:color w:val="auto"/>
          <w:szCs w:val="21"/>
          <w:highlight w:val="none"/>
          <w:u w:val="single"/>
          <w:lang w:val="en-US" w:eastAsia="zh-CN"/>
        </w:rPr>
        <w:t>2026</w:t>
      </w:r>
      <w:r>
        <w:rPr>
          <w:rFonts w:hint="eastAsia" w:ascii="宋体" w:hAnsi="宋体"/>
          <w:bCs/>
          <w:color w:val="auto"/>
          <w:szCs w:val="21"/>
          <w:highlight w:val="none"/>
          <w:u w:val="single"/>
        </w:rPr>
        <w:t></w:t>
      </w:r>
      <w:r>
        <w:rPr>
          <w:rFonts w:hint="eastAsia" w:ascii="宋体" w:hAnsi="宋体"/>
          <w:bCs/>
          <w:color w:val="auto"/>
          <w:szCs w:val="21"/>
          <w:highlight w:val="none"/>
        </w:rPr>
        <w:t>年</w:t>
      </w:r>
      <w:r>
        <w:rPr>
          <w:rFonts w:hint="eastAsia" w:ascii="宋体" w:hAnsi="宋体"/>
          <w:bCs/>
          <w:color w:val="auto"/>
          <w:szCs w:val="21"/>
          <w:highlight w:val="none"/>
          <w:u w:val="single"/>
        </w:rPr>
        <w:t></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u w:val="single"/>
        </w:rPr>
        <w:t></w:t>
      </w:r>
      <w:r>
        <w:rPr>
          <w:rFonts w:hint="eastAsia" w:ascii="宋体" w:hAnsi="宋体"/>
          <w:bCs/>
          <w:color w:val="auto"/>
          <w:szCs w:val="21"/>
          <w:highlight w:val="none"/>
        </w:rPr>
        <w:t>月</w:t>
      </w:r>
      <w:r>
        <w:rPr>
          <w:rFonts w:hint="eastAsia" w:ascii="宋体" w:hAnsi="宋体"/>
          <w:bCs/>
          <w:color w:val="auto"/>
          <w:szCs w:val="21"/>
          <w:highlight w:val="none"/>
          <w:u w:val="single"/>
        </w:rPr>
        <w:t></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u w:val="single"/>
        </w:rPr>
        <w:t></w:t>
      </w:r>
      <w:r>
        <w:rPr>
          <w:rFonts w:hint="eastAsia" w:ascii="宋体" w:hAnsi="宋体"/>
          <w:bCs/>
          <w:color w:val="auto"/>
          <w:szCs w:val="21"/>
          <w:highlight w:val="none"/>
        </w:rPr>
        <w:t>日，实际开工日期以监理工程师签发的工程开工通知明确的开工日期为准。</w:t>
      </w:r>
    </w:p>
    <w:p w14:paraId="7CCEBA64">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计划竣工日期：</w:t>
      </w:r>
      <w:r>
        <w:rPr>
          <w:rFonts w:hint="eastAsia" w:ascii="宋体" w:hAnsi="宋体"/>
          <w:bCs/>
          <w:color w:val="auto"/>
          <w:szCs w:val="21"/>
          <w:highlight w:val="none"/>
          <w:u w:val="single"/>
        </w:rPr>
        <w:t></w:t>
      </w:r>
      <w:r>
        <w:rPr>
          <w:rFonts w:hint="eastAsia" w:ascii="宋体" w:hAnsi="宋体"/>
          <w:bCs/>
          <w:color w:val="auto"/>
          <w:szCs w:val="21"/>
          <w:highlight w:val="none"/>
          <w:u w:val="single"/>
          <w:lang w:val="en-US" w:eastAsia="zh-CN"/>
        </w:rPr>
        <w:t>2026</w:t>
      </w:r>
      <w:r>
        <w:rPr>
          <w:rFonts w:hint="eastAsia" w:ascii="宋体" w:hAnsi="宋体"/>
          <w:bCs/>
          <w:color w:val="auto"/>
          <w:szCs w:val="21"/>
          <w:highlight w:val="none"/>
          <w:u w:val="single"/>
        </w:rPr>
        <w:t></w:t>
      </w:r>
      <w:r>
        <w:rPr>
          <w:rFonts w:hint="eastAsia" w:ascii="宋体" w:hAnsi="宋体"/>
          <w:bCs/>
          <w:color w:val="auto"/>
          <w:szCs w:val="21"/>
          <w:highlight w:val="none"/>
        </w:rPr>
        <w:t>年</w:t>
      </w:r>
      <w:r>
        <w:rPr>
          <w:rFonts w:hint="eastAsia" w:ascii="宋体" w:hAnsi="宋体"/>
          <w:bCs/>
          <w:color w:val="auto"/>
          <w:szCs w:val="21"/>
          <w:highlight w:val="none"/>
          <w:u w:val="single"/>
        </w:rPr>
        <w:t></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u w:val="single"/>
        </w:rPr>
        <w:t></w:t>
      </w:r>
      <w:r>
        <w:rPr>
          <w:rFonts w:hint="eastAsia" w:ascii="宋体" w:hAnsi="宋体"/>
          <w:bCs/>
          <w:color w:val="auto"/>
          <w:szCs w:val="21"/>
          <w:highlight w:val="none"/>
        </w:rPr>
        <w:t>月</w:t>
      </w:r>
      <w:r>
        <w:rPr>
          <w:rFonts w:hint="eastAsia" w:ascii="宋体" w:hAnsi="宋体"/>
          <w:bCs/>
          <w:color w:val="auto"/>
          <w:szCs w:val="21"/>
          <w:highlight w:val="none"/>
          <w:u w:val="single"/>
        </w:rPr>
        <w:t></w:t>
      </w:r>
      <w:r>
        <w:rPr>
          <w:rFonts w:hint="eastAsia" w:ascii="宋体" w:hAnsi="宋体"/>
          <w:bCs/>
          <w:color w:val="auto"/>
          <w:szCs w:val="21"/>
          <w:highlight w:val="none"/>
          <w:u w:val="single"/>
          <w:lang w:val="en-US" w:eastAsia="zh-CN"/>
        </w:rPr>
        <w:t xml:space="preserve"> </w:t>
      </w:r>
      <w:r>
        <w:rPr>
          <w:rFonts w:hint="eastAsia" w:ascii="宋体" w:hAnsi="宋体"/>
          <w:bCs/>
          <w:color w:val="auto"/>
          <w:szCs w:val="21"/>
          <w:highlight w:val="none"/>
          <w:u w:val="single"/>
        </w:rPr>
        <w:t></w:t>
      </w:r>
      <w:r>
        <w:rPr>
          <w:rFonts w:hint="eastAsia" w:ascii="宋体" w:hAnsi="宋体"/>
          <w:bCs/>
          <w:color w:val="auto"/>
          <w:szCs w:val="21"/>
          <w:highlight w:val="none"/>
        </w:rPr>
        <w:t>日，实际竣工日期以工程竣工验收合格之日为准。</w:t>
      </w:r>
    </w:p>
    <w:p w14:paraId="79DD86EA">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工期总日历天数</w:t>
      </w:r>
      <w:r>
        <w:rPr>
          <w:rFonts w:hint="eastAsia" w:ascii="宋体" w:hAnsi="宋体"/>
          <w:bCs/>
          <w:color w:val="auto"/>
          <w:szCs w:val="21"/>
          <w:highlight w:val="none"/>
          <w:u w:val="single"/>
        </w:rPr>
        <w:t></w:t>
      </w:r>
      <w:r>
        <w:rPr>
          <w:rFonts w:hint="eastAsia" w:ascii="宋体" w:hAnsi="宋体"/>
          <w:bCs/>
          <w:color w:val="auto"/>
          <w:szCs w:val="21"/>
          <w:highlight w:val="none"/>
          <w:u w:val="single"/>
          <w:lang w:val="en-US" w:eastAsia="zh-CN"/>
        </w:rPr>
        <w:t>90</w:t>
      </w:r>
      <w:r>
        <w:rPr>
          <w:rFonts w:hint="eastAsia" w:ascii="宋体" w:hAnsi="宋体"/>
          <w:bCs/>
          <w:color w:val="auto"/>
          <w:szCs w:val="21"/>
          <w:highlight w:val="none"/>
          <w:u w:val="single"/>
        </w:rPr>
        <w:t></w:t>
      </w:r>
      <w:r>
        <w:rPr>
          <w:rFonts w:hint="eastAsia" w:ascii="宋体" w:hAnsi="宋体"/>
          <w:bCs/>
          <w:color w:val="auto"/>
          <w:szCs w:val="21"/>
          <w:highlight w:val="none"/>
        </w:rPr>
        <w:t>天。工期总日历天数与根据前述计划开竣工日期计算的工期天数不一</w:t>
      </w:r>
      <w:r>
        <w:rPr>
          <w:rFonts w:hint="eastAsia" w:ascii="宋体" w:hAnsi="宋体"/>
          <w:color w:val="auto"/>
          <w:szCs w:val="21"/>
          <w:highlight w:val="none"/>
        </w:rPr>
        <w:t>致的，以工期总日历天数为准。</w:t>
      </w:r>
    </w:p>
    <w:p w14:paraId="6B928126">
      <w:pPr>
        <w:pStyle w:val="6"/>
        <w:keepNext/>
        <w:keepLines/>
        <w:spacing w:before="120" w:after="120" w:line="360" w:lineRule="auto"/>
        <w:ind w:firstLine="422" w:firstLineChars="200"/>
        <w:jc w:val="both"/>
        <w:rPr>
          <w:color w:val="auto"/>
          <w:kern w:val="2"/>
          <w:sz w:val="21"/>
          <w:szCs w:val="21"/>
          <w:highlight w:val="none"/>
        </w:rPr>
      </w:pPr>
      <w:bookmarkStart w:id="683" w:name="_Toc532377168"/>
      <w:bookmarkStart w:id="684" w:name="_Toc351203483"/>
      <w:bookmarkStart w:id="685" w:name="_Toc532375575"/>
      <w:r>
        <w:rPr>
          <w:rFonts w:hint="eastAsia"/>
          <w:color w:val="auto"/>
          <w:kern w:val="2"/>
          <w:sz w:val="21"/>
          <w:szCs w:val="21"/>
          <w:highlight w:val="none"/>
        </w:rPr>
        <w:t>三、质量标准</w:t>
      </w:r>
      <w:bookmarkEnd w:id="683"/>
      <w:bookmarkEnd w:id="684"/>
      <w:bookmarkEnd w:id="685"/>
    </w:p>
    <w:p w14:paraId="67D4A579">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工程质量符合强制性质量标准，</w:t>
      </w:r>
      <w:r>
        <w:rPr>
          <w:rFonts w:hint="eastAsia" w:ascii="宋体" w:hAnsi="宋体"/>
          <w:color w:val="auto"/>
          <w:szCs w:val="21"/>
          <w:highlight w:val="none"/>
          <w:u w:val="single"/>
        </w:rPr>
        <w:t>符合国家</w:t>
      </w:r>
      <w:r>
        <w:rPr>
          <w:rFonts w:ascii="宋体" w:hAnsi="宋体"/>
          <w:color w:val="auto"/>
          <w:szCs w:val="21"/>
          <w:highlight w:val="none"/>
          <w:u w:val="single"/>
        </w:rPr>
        <w:t>和重庆市现行</w:t>
      </w:r>
      <w:r>
        <w:rPr>
          <w:rFonts w:hint="eastAsia" w:ascii="宋体" w:hAnsi="宋体"/>
          <w:color w:val="auto"/>
          <w:szCs w:val="21"/>
          <w:highlight w:val="none"/>
          <w:u w:val="single"/>
        </w:rPr>
        <w:t>有关施工质量验收规范要求，并达到合格</w:t>
      </w:r>
      <w:r>
        <w:rPr>
          <w:rFonts w:hint="eastAsia" w:ascii="宋体" w:hAnsi="宋体"/>
          <w:color w:val="auto"/>
          <w:szCs w:val="21"/>
          <w:highlight w:val="none"/>
        </w:rPr>
        <w:t>标准。</w:t>
      </w:r>
    </w:p>
    <w:p w14:paraId="2CD250DE">
      <w:pPr>
        <w:pStyle w:val="6"/>
        <w:keepNext/>
        <w:keepLines/>
        <w:spacing w:before="120" w:after="120" w:line="360" w:lineRule="auto"/>
        <w:ind w:firstLine="422" w:firstLineChars="200"/>
        <w:jc w:val="both"/>
        <w:rPr>
          <w:color w:val="auto"/>
          <w:kern w:val="2"/>
          <w:sz w:val="21"/>
          <w:szCs w:val="21"/>
          <w:highlight w:val="none"/>
        </w:rPr>
      </w:pPr>
      <w:bookmarkStart w:id="686" w:name="_Toc532377169"/>
      <w:bookmarkStart w:id="687" w:name="_Toc351203484"/>
      <w:bookmarkStart w:id="688" w:name="_Toc532375576"/>
      <w:r>
        <w:rPr>
          <w:rFonts w:hint="eastAsia"/>
          <w:color w:val="auto"/>
          <w:kern w:val="2"/>
          <w:sz w:val="21"/>
          <w:szCs w:val="21"/>
          <w:highlight w:val="none"/>
        </w:rPr>
        <w:t>四、签约合同价与合同价格形式</w:t>
      </w:r>
      <w:bookmarkEnd w:id="686"/>
      <w:bookmarkEnd w:id="687"/>
      <w:bookmarkEnd w:id="688"/>
      <w:r>
        <w:rPr>
          <w:rFonts w:hint="eastAsia"/>
          <w:color w:val="auto"/>
          <w:kern w:val="2"/>
          <w:sz w:val="21"/>
          <w:szCs w:val="21"/>
          <w:highlight w:val="none"/>
        </w:rPr>
        <w:tab/>
      </w:r>
    </w:p>
    <w:p w14:paraId="776B543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1.承包人投标函中承诺的中标价为：</w:t>
      </w:r>
    </w:p>
    <w:p w14:paraId="71F967C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元）；</w:t>
      </w:r>
    </w:p>
    <w:p w14:paraId="01F2B75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2.签约合同价为：</w:t>
      </w:r>
    </w:p>
    <w:p w14:paraId="2AE506E3">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r>
        <w:rPr>
          <w:rFonts w:ascii="宋体" w:hAnsi="宋体"/>
          <w:color w:val="auto"/>
          <w:szCs w:val="21"/>
          <w:highlight w:val="none"/>
          <w:u w:val="single"/>
        </w:rPr>
        <w:t xml:space="preserve">            </w:t>
      </w:r>
      <w:r>
        <w:rPr>
          <w:rFonts w:ascii="宋体" w:hAnsi="宋体"/>
          <w:color w:val="auto"/>
          <w:szCs w:val="21"/>
          <w:highlight w:val="none"/>
        </w:rPr>
        <w:t>元）</w:t>
      </w:r>
      <w:r>
        <w:rPr>
          <w:rFonts w:hint="eastAsia" w:ascii="宋体" w:hAnsi="宋体"/>
          <w:color w:val="auto"/>
          <w:szCs w:val="21"/>
          <w:highlight w:val="none"/>
        </w:rPr>
        <w:t>；</w:t>
      </w:r>
    </w:p>
    <w:p w14:paraId="01A0FE8B">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其中：</w:t>
      </w:r>
    </w:p>
    <w:p w14:paraId="217DF05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（1）安全文明施工费：</w:t>
      </w:r>
    </w:p>
    <w:p w14:paraId="36FDCF8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r>
        <w:rPr>
          <w:rFonts w:ascii="宋体" w:hAnsi="宋体"/>
          <w:color w:val="auto"/>
          <w:szCs w:val="21"/>
          <w:highlight w:val="none"/>
          <w:u w:val="single"/>
        </w:rPr>
        <w:t xml:space="preserve">            </w:t>
      </w:r>
      <w:r>
        <w:rPr>
          <w:rFonts w:ascii="宋体" w:hAnsi="宋体"/>
          <w:color w:val="auto"/>
          <w:szCs w:val="21"/>
          <w:highlight w:val="none"/>
        </w:rPr>
        <w:t>元）</w:t>
      </w:r>
      <w:r>
        <w:rPr>
          <w:rFonts w:hint="eastAsia" w:ascii="宋体" w:hAnsi="宋体"/>
          <w:color w:val="auto"/>
          <w:szCs w:val="21"/>
          <w:highlight w:val="none"/>
        </w:rPr>
        <w:t>；</w:t>
      </w:r>
    </w:p>
    <w:p w14:paraId="1FFEB53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（2）材料和工程设备暂估价金额：</w:t>
      </w:r>
    </w:p>
    <w:p w14:paraId="286C68D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r>
        <w:rPr>
          <w:rFonts w:ascii="宋体" w:hAnsi="宋体"/>
          <w:color w:val="auto"/>
          <w:szCs w:val="21"/>
          <w:highlight w:val="none"/>
          <w:u w:val="single"/>
        </w:rPr>
        <w:t xml:space="preserve">            </w:t>
      </w:r>
      <w:r>
        <w:rPr>
          <w:rFonts w:ascii="宋体" w:hAnsi="宋体"/>
          <w:color w:val="auto"/>
          <w:szCs w:val="21"/>
          <w:highlight w:val="none"/>
        </w:rPr>
        <w:t>元）</w:t>
      </w:r>
      <w:r>
        <w:rPr>
          <w:rFonts w:hint="eastAsia" w:ascii="宋体" w:hAnsi="宋体"/>
          <w:color w:val="auto"/>
          <w:szCs w:val="21"/>
          <w:highlight w:val="none"/>
        </w:rPr>
        <w:t>；</w:t>
      </w:r>
    </w:p>
    <w:p w14:paraId="53E9B080">
      <w:pPr>
        <w:numPr>
          <w:ilvl w:val="0"/>
          <w:numId w:val="1"/>
        </w:num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专业工程暂估价金额：</w:t>
      </w:r>
    </w:p>
    <w:p w14:paraId="508AD17B">
      <w:pPr>
        <w:numPr>
          <w:ilvl w:val="0"/>
          <w:numId w:val="0"/>
        </w:num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ascii="宋体" w:hAnsi="宋体"/>
          <w:color w:val="auto"/>
          <w:szCs w:val="21"/>
          <w:highlight w:val="none"/>
        </w:rPr>
        <w:t>元）</w:t>
      </w:r>
      <w:r>
        <w:rPr>
          <w:rFonts w:hint="eastAsia" w:ascii="宋体" w:hAnsi="宋体"/>
          <w:color w:val="auto"/>
          <w:szCs w:val="21"/>
          <w:highlight w:val="none"/>
        </w:rPr>
        <w:t>；</w:t>
      </w:r>
    </w:p>
    <w:p w14:paraId="5427BFD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（4）暂列金额：</w:t>
      </w:r>
    </w:p>
    <w:p w14:paraId="3D64DD1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ascii="宋体" w:hAnsi="宋体"/>
          <w:color w:val="auto"/>
          <w:szCs w:val="21"/>
          <w:highlight w:val="none"/>
          <w:u w:val="single"/>
        </w:rPr>
        <w:t xml:space="preserve">    </w:t>
      </w:r>
      <w:r>
        <w:rPr>
          <w:rFonts w:ascii="宋体" w:hAnsi="宋体"/>
          <w:color w:val="auto"/>
          <w:szCs w:val="21"/>
          <w:highlight w:val="none"/>
        </w:rPr>
        <w:t>元）</w:t>
      </w:r>
      <w:r>
        <w:rPr>
          <w:rFonts w:hint="eastAsia" w:ascii="宋体" w:hAnsi="宋体"/>
          <w:color w:val="auto"/>
          <w:szCs w:val="21"/>
          <w:highlight w:val="none"/>
        </w:rPr>
        <w:t>。</w:t>
      </w:r>
    </w:p>
    <w:p w14:paraId="7B858F0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（5）人工费（工资款）</w:t>
      </w:r>
    </w:p>
    <w:p w14:paraId="77313F6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该项目实行人工费（工资款）与其他工程款分账管理，发包人将应付工程款中的人工费（工资款），以不低于已完成合同价款的</w:t>
      </w:r>
      <w:r>
        <w:rPr>
          <w:rFonts w:hint="eastAsia" w:ascii="宋体" w:hAnsi="宋体"/>
          <w:color w:val="auto"/>
          <w:szCs w:val="21"/>
          <w:highlight w:val="none"/>
          <w:u w:val="single"/>
        </w:rPr>
        <w:t xml:space="preserve">    </w:t>
      </w:r>
      <w:r>
        <w:rPr>
          <w:rFonts w:hint="eastAsia" w:ascii="宋体" w:hAnsi="宋体"/>
          <w:color w:val="auto"/>
          <w:szCs w:val="21"/>
          <w:highlight w:val="none"/>
        </w:rPr>
        <w:t>，农民工工资单独支付至承包人设立的农民工工资专用账户。</w:t>
      </w:r>
    </w:p>
    <w:p w14:paraId="7BF84D1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3.合同价格形式：</w:t>
      </w:r>
      <w:r>
        <w:rPr>
          <w:rFonts w:ascii="宋体" w:hAnsi="宋体"/>
          <w:color w:val="auto"/>
          <w:szCs w:val="21"/>
          <w:highlight w:val="none"/>
          <w:u w:val="single"/>
        </w:rPr>
        <w:t xml:space="preserve">              </w:t>
      </w:r>
      <w:r>
        <w:rPr>
          <w:rFonts w:hint="eastAsia" w:ascii="宋体" w:hAnsi="宋体"/>
          <w:color w:val="auto"/>
          <w:szCs w:val="21"/>
          <w:highlight w:val="none"/>
        </w:rPr>
        <w:t>。</w:t>
      </w:r>
    </w:p>
    <w:p w14:paraId="1810CE3C">
      <w:pPr>
        <w:pStyle w:val="6"/>
        <w:keepNext/>
        <w:keepLines/>
        <w:spacing w:before="120" w:after="120" w:line="360" w:lineRule="auto"/>
        <w:ind w:firstLine="422" w:firstLineChars="200"/>
        <w:jc w:val="both"/>
        <w:rPr>
          <w:color w:val="auto"/>
          <w:kern w:val="2"/>
          <w:sz w:val="21"/>
          <w:szCs w:val="21"/>
          <w:highlight w:val="none"/>
        </w:rPr>
      </w:pPr>
      <w:bookmarkStart w:id="689" w:name="_Toc351203485"/>
      <w:bookmarkStart w:id="690" w:name="_Toc532377170"/>
      <w:bookmarkStart w:id="691" w:name="_Toc532375577"/>
      <w:r>
        <w:rPr>
          <w:rFonts w:hint="eastAsia"/>
          <w:color w:val="auto"/>
          <w:kern w:val="2"/>
          <w:sz w:val="21"/>
          <w:szCs w:val="21"/>
          <w:highlight w:val="none"/>
        </w:rPr>
        <w:t>五、</w:t>
      </w:r>
      <w:bookmarkEnd w:id="689"/>
      <w:r>
        <w:rPr>
          <w:rFonts w:hint="eastAsia"/>
          <w:color w:val="auto"/>
          <w:kern w:val="2"/>
          <w:sz w:val="21"/>
          <w:szCs w:val="21"/>
          <w:highlight w:val="none"/>
        </w:rPr>
        <w:t>项目经理及技术负责人</w:t>
      </w:r>
      <w:bookmarkEnd w:id="690"/>
      <w:bookmarkEnd w:id="691"/>
    </w:p>
    <w:p w14:paraId="0740004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w:t>
      </w:r>
      <w:r>
        <w:rPr>
          <w:rFonts w:hint="eastAsia" w:ascii="宋体" w:hAnsi="宋体"/>
          <w:color w:val="auto"/>
          <w:szCs w:val="21"/>
          <w:highlight w:val="none"/>
          <w:lang w:eastAsia="zh-CN"/>
        </w:rPr>
        <w:t>比选申请文件</w:t>
      </w:r>
      <w:r>
        <w:rPr>
          <w:rFonts w:hint="eastAsia" w:ascii="宋体" w:hAnsi="宋体"/>
          <w:color w:val="auto"/>
          <w:szCs w:val="21"/>
          <w:highlight w:val="none"/>
        </w:rPr>
        <w:t>中承诺的项目经理：</w:t>
      </w:r>
    </w:p>
    <w:p w14:paraId="7CFD92C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p>
    <w:p w14:paraId="2CD9B03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身份证号码：</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p>
    <w:p w14:paraId="0EF1EF3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建造师</w:t>
      </w:r>
      <w:r>
        <w:rPr>
          <w:rFonts w:ascii="宋体" w:hAnsi="宋体"/>
          <w:color w:val="auto"/>
          <w:szCs w:val="21"/>
          <w:highlight w:val="none"/>
        </w:rPr>
        <w:t>注册证书号</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p>
    <w:p w14:paraId="396C138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w:t>
      </w:r>
      <w:r>
        <w:rPr>
          <w:rFonts w:hint="eastAsia" w:ascii="宋体" w:hAnsi="宋体"/>
          <w:color w:val="auto"/>
          <w:szCs w:val="21"/>
          <w:highlight w:val="none"/>
          <w:lang w:eastAsia="zh-CN"/>
        </w:rPr>
        <w:t>比选申请文件</w:t>
      </w:r>
      <w:r>
        <w:rPr>
          <w:rFonts w:hint="eastAsia" w:ascii="宋体" w:hAnsi="宋体"/>
          <w:color w:val="auto"/>
          <w:szCs w:val="21"/>
          <w:highlight w:val="none"/>
        </w:rPr>
        <w:t>中承诺的技术负责人：</w:t>
      </w:r>
    </w:p>
    <w:p w14:paraId="45B6FB9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p>
    <w:p w14:paraId="7240FA4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身份证号码：</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p>
    <w:p w14:paraId="74C2D544">
      <w:pPr>
        <w:pStyle w:val="2"/>
        <w:spacing w:line="360" w:lineRule="auto"/>
        <w:rPr>
          <w:rFonts w:ascii="宋体" w:hAnsi="宋体"/>
          <w:color w:val="auto"/>
          <w:szCs w:val="21"/>
          <w:highlight w:val="none"/>
        </w:rPr>
      </w:pPr>
      <w:r>
        <w:rPr>
          <w:rFonts w:hint="eastAsia" w:ascii="宋体" w:hAnsi="宋体"/>
          <w:color w:val="auto"/>
          <w:szCs w:val="21"/>
          <w:highlight w:val="none"/>
        </w:rPr>
        <w:t xml:space="preserve">    证书名称</w:t>
      </w:r>
      <w:r>
        <w:rPr>
          <w:rFonts w:ascii="宋体" w:hAnsi="宋体"/>
          <w:color w:val="auto"/>
          <w:szCs w:val="21"/>
          <w:highlight w:val="none"/>
        </w:rPr>
        <w:t>及号码：</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EEAA922">
      <w:pPr>
        <w:pStyle w:val="6"/>
        <w:keepNext/>
        <w:keepLines/>
        <w:spacing w:before="120" w:after="120" w:line="360" w:lineRule="auto"/>
        <w:ind w:firstLine="422" w:firstLineChars="200"/>
        <w:jc w:val="both"/>
        <w:rPr>
          <w:color w:val="auto"/>
          <w:kern w:val="2"/>
          <w:sz w:val="21"/>
          <w:szCs w:val="21"/>
          <w:highlight w:val="none"/>
        </w:rPr>
      </w:pPr>
      <w:bookmarkStart w:id="692" w:name="_Toc351203486"/>
      <w:bookmarkStart w:id="693" w:name="_Toc532375578"/>
      <w:bookmarkStart w:id="694" w:name="_Toc532377171"/>
      <w:r>
        <w:rPr>
          <w:rFonts w:hint="eastAsia"/>
          <w:color w:val="auto"/>
          <w:kern w:val="2"/>
          <w:sz w:val="21"/>
          <w:szCs w:val="21"/>
          <w:highlight w:val="none"/>
        </w:rPr>
        <w:t>六、合同文件构成</w:t>
      </w:r>
      <w:bookmarkEnd w:id="692"/>
      <w:bookmarkEnd w:id="693"/>
      <w:bookmarkEnd w:id="694"/>
    </w:p>
    <w:p w14:paraId="4E9C745E">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合同由以下文件构成：</w:t>
      </w:r>
    </w:p>
    <w:p w14:paraId="623F34A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（1）合同协议书；</w:t>
      </w:r>
    </w:p>
    <w:p w14:paraId="016D371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（2）中标通知书；</w:t>
      </w:r>
    </w:p>
    <w:p w14:paraId="4B8BC3F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（3）投标函及投标函附录；</w:t>
      </w:r>
    </w:p>
    <w:p w14:paraId="3F61F2D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（4）专用合同条款及其附件；</w:t>
      </w:r>
    </w:p>
    <w:p w14:paraId="6DE846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（5）通用合同条款；</w:t>
      </w:r>
    </w:p>
    <w:p w14:paraId="47BF922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eastAsia="zh-CN"/>
        </w:rPr>
        <w:t>比选申请文件</w:t>
      </w:r>
      <w:r>
        <w:rPr>
          <w:rFonts w:hint="eastAsia" w:ascii="宋体" w:hAnsi="宋体"/>
          <w:color w:val="auto"/>
          <w:szCs w:val="21"/>
          <w:highlight w:val="none"/>
        </w:rPr>
        <w:t>（投标函及投标函附录除外）；</w:t>
      </w:r>
    </w:p>
    <w:p w14:paraId="2EA9A5B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w:t>
      </w:r>
      <w:r>
        <w:rPr>
          <w:rFonts w:hint="eastAsia" w:ascii="宋体" w:hAnsi="宋体"/>
          <w:color w:val="auto"/>
          <w:szCs w:val="21"/>
          <w:highlight w:val="none"/>
          <w:lang w:eastAsia="zh-CN"/>
        </w:rPr>
        <w:t>竞争性比选文件</w:t>
      </w:r>
      <w:r>
        <w:rPr>
          <w:rFonts w:hint="eastAsia" w:ascii="宋体" w:hAnsi="宋体"/>
          <w:color w:val="auto"/>
          <w:szCs w:val="21"/>
          <w:highlight w:val="none"/>
        </w:rPr>
        <w:t>及修改文件；</w:t>
      </w:r>
    </w:p>
    <w:p w14:paraId="39D2562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（8）技术标准和要求；</w:t>
      </w:r>
    </w:p>
    <w:p w14:paraId="3374C8D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（9）图纸；</w:t>
      </w:r>
    </w:p>
    <w:p w14:paraId="2A3AEA3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（10）其他合同文件。</w:t>
      </w:r>
    </w:p>
    <w:p w14:paraId="006A554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在合同订立、履行过程中形成的与合同有关的书面形式的文件均构成合同文件组成部分。</w:t>
      </w:r>
    </w:p>
    <w:p w14:paraId="3828DD9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上述各项合同文件包括合同当事人就该项合同文件所作出的补充和修改，属于同一类内容的文件，应以最新签署的为准。专用合同条款及其附件须经合同当事人签名或盖章。</w:t>
      </w:r>
    </w:p>
    <w:p w14:paraId="15A29555">
      <w:pPr>
        <w:pStyle w:val="6"/>
        <w:keepNext/>
        <w:keepLines/>
        <w:spacing w:before="120" w:after="120" w:line="360" w:lineRule="auto"/>
        <w:ind w:firstLine="422" w:firstLineChars="200"/>
        <w:jc w:val="both"/>
        <w:rPr>
          <w:color w:val="auto"/>
          <w:kern w:val="2"/>
          <w:sz w:val="21"/>
          <w:szCs w:val="21"/>
          <w:highlight w:val="none"/>
        </w:rPr>
      </w:pPr>
      <w:bookmarkStart w:id="695" w:name="_Toc532377172"/>
      <w:bookmarkStart w:id="696" w:name="_Toc532375579"/>
      <w:bookmarkStart w:id="697" w:name="_Toc351203487"/>
      <w:r>
        <w:rPr>
          <w:rFonts w:hint="eastAsia"/>
          <w:color w:val="auto"/>
          <w:kern w:val="2"/>
          <w:sz w:val="21"/>
          <w:szCs w:val="21"/>
          <w:highlight w:val="none"/>
        </w:rPr>
        <w:t>七、承诺</w:t>
      </w:r>
      <w:bookmarkEnd w:id="695"/>
      <w:bookmarkEnd w:id="696"/>
      <w:bookmarkEnd w:id="697"/>
    </w:p>
    <w:p w14:paraId="43D59879">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1.发包人承诺按照法律规定履行项目审批手续、筹集工程建设资金并按照合同约定的期限和方式支付合同价款。</w:t>
      </w:r>
    </w:p>
    <w:p w14:paraId="7F05ED74">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w:t>
      </w:r>
      <w:r>
        <w:rPr>
          <w:rFonts w:hint="eastAsia" w:ascii="宋体" w:hAnsi="宋体"/>
          <w:color w:val="auto"/>
          <w:szCs w:val="21"/>
          <w:highlight w:val="none"/>
        </w:rPr>
        <w:t>承包人承诺按照法律规定及合同约定组织完成工程施工，确保工程质量和安全，不进行转包及违法分包，并在缺陷责任期及保修期内承担相应的工程维修责任</w:t>
      </w:r>
      <w:r>
        <w:rPr>
          <w:rFonts w:hint="eastAsia" w:ascii="宋体" w:hAnsi="宋体"/>
          <w:bCs/>
          <w:color w:val="auto"/>
          <w:szCs w:val="21"/>
          <w:highlight w:val="none"/>
        </w:rPr>
        <w:t>。</w:t>
      </w:r>
    </w:p>
    <w:p w14:paraId="47194352">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3.发包人和承包人通过招投标形式签订合同的，双方理解并承诺不再就同一工程另行签订与合同实质性内容相背离的协议。</w:t>
      </w:r>
    </w:p>
    <w:p w14:paraId="3D758209">
      <w:pPr>
        <w:pStyle w:val="6"/>
        <w:keepNext/>
        <w:keepLines/>
        <w:spacing w:before="120" w:after="120" w:line="360" w:lineRule="auto"/>
        <w:ind w:firstLine="422" w:firstLineChars="200"/>
        <w:jc w:val="both"/>
        <w:rPr>
          <w:color w:val="auto"/>
          <w:kern w:val="2"/>
          <w:sz w:val="21"/>
          <w:szCs w:val="21"/>
          <w:highlight w:val="none"/>
        </w:rPr>
      </w:pPr>
      <w:bookmarkStart w:id="698" w:name="_Toc351203488"/>
      <w:bookmarkStart w:id="699" w:name="_Toc532375580"/>
      <w:bookmarkStart w:id="700" w:name="_Toc532377173"/>
      <w:r>
        <w:rPr>
          <w:rFonts w:hint="eastAsia"/>
          <w:color w:val="auto"/>
          <w:kern w:val="2"/>
          <w:sz w:val="21"/>
          <w:szCs w:val="21"/>
          <w:highlight w:val="none"/>
        </w:rPr>
        <w:t>八、词语含义</w:t>
      </w:r>
      <w:bookmarkEnd w:id="698"/>
      <w:bookmarkEnd w:id="699"/>
      <w:bookmarkEnd w:id="700"/>
    </w:p>
    <w:p w14:paraId="57890F2A">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本协议书中词语含义与专用合同条款及通用合同条款中赋予的含义相同。</w:t>
      </w:r>
    </w:p>
    <w:p w14:paraId="734DEF72">
      <w:pPr>
        <w:pStyle w:val="6"/>
        <w:keepNext/>
        <w:keepLines/>
        <w:spacing w:before="120" w:after="120" w:line="360" w:lineRule="auto"/>
        <w:ind w:firstLine="422" w:firstLineChars="200"/>
        <w:jc w:val="both"/>
        <w:rPr>
          <w:color w:val="auto"/>
          <w:kern w:val="2"/>
          <w:sz w:val="21"/>
          <w:szCs w:val="21"/>
          <w:highlight w:val="none"/>
        </w:rPr>
      </w:pPr>
      <w:bookmarkStart w:id="701" w:name="_Toc532377174"/>
      <w:bookmarkStart w:id="702" w:name="_Toc532375581"/>
      <w:r>
        <w:rPr>
          <w:rFonts w:hint="eastAsia"/>
          <w:color w:val="auto"/>
          <w:kern w:val="2"/>
          <w:sz w:val="21"/>
          <w:szCs w:val="21"/>
          <w:highlight w:val="none"/>
        </w:rPr>
        <w:t>九、签订时间</w:t>
      </w:r>
      <w:bookmarkEnd w:id="701"/>
      <w:bookmarkEnd w:id="702"/>
    </w:p>
    <w:p w14:paraId="04568581">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合同于</w:t>
      </w:r>
      <w:r>
        <w:rPr>
          <w:rFonts w:hint="eastAsia" w:ascii="宋体" w:hAnsi="宋体"/>
          <w:bCs/>
          <w:color w:val="auto"/>
          <w:szCs w:val="21"/>
          <w:highlight w:val="none"/>
          <w:u w:val="single"/>
        </w:rPr>
        <w:t xml:space="preserve">    </w:t>
      </w:r>
      <w:r>
        <w:rPr>
          <w:rFonts w:hint="eastAsia" w:ascii="宋体" w:hAnsi="宋体"/>
          <w:bCs/>
          <w:color w:val="auto"/>
          <w:szCs w:val="21"/>
          <w:highlight w:val="none"/>
        </w:rPr>
        <w:t>年</w:t>
      </w:r>
      <w:r>
        <w:rPr>
          <w:rFonts w:hint="eastAsia" w:ascii="宋体" w:hAnsi="宋体"/>
          <w:bCs/>
          <w:color w:val="auto"/>
          <w:szCs w:val="21"/>
          <w:highlight w:val="none"/>
          <w:u w:val="single"/>
        </w:rPr>
        <w:t xml:space="preserve">    </w:t>
      </w:r>
      <w:r>
        <w:rPr>
          <w:rFonts w:hint="eastAsia" w:ascii="宋体" w:hAnsi="宋体"/>
          <w:bCs/>
          <w:color w:val="auto"/>
          <w:szCs w:val="21"/>
          <w:highlight w:val="none"/>
        </w:rPr>
        <w:t>月</w:t>
      </w:r>
      <w:r>
        <w:rPr>
          <w:rFonts w:hint="eastAsia" w:ascii="宋体" w:hAnsi="宋体"/>
          <w:bCs/>
          <w:color w:val="auto"/>
          <w:szCs w:val="21"/>
          <w:highlight w:val="none"/>
          <w:u w:val="single"/>
        </w:rPr>
        <w:t xml:space="preserve">    </w:t>
      </w:r>
      <w:r>
        <w:rPr>
          <w:rFonts w:hint="eastAsia" w:ascii="宋体" w:hAnsi="宋体"/>
          <w:bCs/>
          <w:color w:val="auto"/>
          <w:szCs w:val="21"/>
          <w:highlight w:val="none"/>
        </w:rPr>
        <w:t>日签订</w:t>
      </w:r>
    </w:p>
    <w:p w14:paraId="675F3259">
      <w:pPr>
        <w:pStyle w:val="6"/>
        <w:keepNext/>
        <w:keepLines/>
        <w:spacing w:before="120" w:after="120" w:line="360" w:lineRule="auto"/>
        <w:ind w:firstLine="422" w:firstLineChars="200"/>
        <w:jc w:val="both"/>
        <w:rPr>
          <w:color w:val="auto"/>
          <w:kern w:val="2"/>
          <w:sz w:val="21"/>
          <w:szCs w:val="21"/>
          <w:highlight w:val="none"/>
        </w:rPr>
      </w:pPr>
      <w:bookmarkStart w:id="703" w:name="_Toc351203489"/>
      <w:bookmarkStart w:id="704" w:name="_Toc532375582"/>
      <w:bookmarkStart w:id="705" w:name="_Toc532377175"/>
      <w:r>
        <w:rPr>
          <w:rFonts w:hint="eastAsia"/>
          <w:color w:val="auto"/>
          <w:kern w:val="2"/>
          <w:sz w:val="21"/>
          <w:szCs w:val="21"/>
          <w:highlight w:val="none"/>
        </w:rPr>
        <w:t>十、</w:t>
      </w:r>
      <w:bookmarkEnd w:id="703"/>
      <w:bookmarkStart w:id="706" w:name="_Toc351203490"/>
      <w:r>
        <w:rPr>
          <w:rFonts w:hint="eastAsia"/>
          <w:color w:val="auto"/>
          <w:kern w:val="2"/>
          <w:sz w:val="21"/>
          <w:szCs w:val="21"/>
          <w:highlight w:val="none"/>
        </w:rPr>
        <w:t>签订地点</w:t>
      </w:r>
      <w:bookmarkEnd w:id="704"/>
      <w:bookmarkEnd w:id="705"/>
      <w:bookmarkEnd w:id="706"/>
    </w:p>
    <w:p w14:paraId="4FB538FB">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合同在</w:t>
      </w:r>
      <w:r>
        <w:rPr>
          <w:rFonts w:hint="eastAsia" w:ascii="宋体" w:hAnsi="宋体"/>
          <w:bCs/>
          <w:color w:val="auto"/>
          <w:szCs w:val="21"/>
          <w:highlight w:val="none"/>
          <w:u w:val="single"/>
        </w:rPr>
        <w:t xml:space="preserve">            </w:t>
      </w:r>
      <w:r>
        <w:rPr>
          <w:rFonts w:hint="eastAsia" w:ascii="宋体" w:hAnsi="宋体"/>
          <w:bCs/>
          <w:color w:val="auto"/>
          <w:szCs w:val="21"/>
          <w:highlight w:val="none"/>
        </w:rPr>
        <w:t>签订。</w:t>
      </w:r>
    </w:p>
    <w:p w14:paraId="0BF79A39">
      <w:pPr>
        <w:pStyle w:val="6"/>
        <w:keepNext/>
        <w:keepLines/>
        <w:spacing w:before="120" w:after="120" w:line="360" w:lineRule="auto"/>
        <w:ind w:firstLine="422" w:firstLineChars="200"/>
        <w:jc w:val="both"/>
        <w:rPr>
          <w:color w:val="auto"/>
          <w:kern w:val="2"/>
          <w:sz w:val="21"/>
          <w:szCs w:val="21"/>
          <w:highlight w:val="none"/>
        </w:rPr>
      </w:pPr>
      <w:bookmarkStart w:id="707" w:name="_Toc532377176"/>
      <w:bookmarkStart w:id="708" w:name="_Toc351203491"/>
      <w:bookmarkStart w:id="709" w:name="_Toc532375583"/>
      <w:r>
        <w:rPr>
          <w:rFonts w:hint="eastAsia"/>
          <w:color w:val="auto"/>
          <w:kern w:val="2"/>
          <w:sz w:val="21"/>
          <w:szCs w:val="21"/>
          <w:highlight w:val="none"/>
        </w:rPr>
        <w:t>十一、补充协议</w:t>
      </w:r>
      <w:bookmarkEnd w:id="707"/>
      <w:bookmarkEnd w:id="708"/>
      <w:bookmarkEnd w:id="709"/>
    </w:p>
    <w:p w14:paraId="4511D61C">
      <w:pPr>
        <w:spacing w:line="360" w:lineRule="auto"/>
        <w:ind w:firstLine="420" w:firstLineChars="200"/>
        <w:rPr>
          <w:rFonts w:ascii="宋体" w:hAnsi="宋体"/>
          <w:b/>
          <w:bCs/>
          <w:color w:val="auto"/>
          <w:szCs w:val="21"/>
          <w:highlight w:val="none"/>
        </w:rPr>
      </w:pPr>
      <w:r>
        <w:rPr>
          <w:rFonts w:hint="eastAsia" w:ascii="宋体" w:hAnsi="宋体"/>
          <w:bCs/>
          <w:color w:val="auto"/>
          <w:szCs w:val="21"/>
          <w:highlight w:val="none"/>
        </w:rPr>
        <w:t>合同未尽事宜，合同当事人另行签订补充协议，补充协议是合同的组成部分。</w:t>
      </w:r>
    </w:p>
    <w:p w14:paraId="66959185">
      <w:pPr>
        <w:pStyle w:val="6"/>
        <w:keepNext/>
        <w:keepLines/>
        <w:spacing w:before="120" w:after="120" w:line="360" w:lineRule="auto"/>
        <w:ind w:firstLine="422" w:firstLineChars="200"/>
        <w:jc w:val="both"/>
        <w:rPr>
          <w:color w:val="auto"/>
          <w:kern w:val="2"/>
          <w:sz w:val="21"/>
          <w:szCs w:val="21"/>
          <w:highlight w:val="none"/>
        </w:rPr>
      </w:pPr>
      <w:bookmarkStart w:id="710" w:name="_Toc532377177"/>
      <w:bookmarkStart w:id="711" w:name="_Toc351203492"/>
      <w:bookmarkStart w:id="712" w:name="_Toc532375584"/>
      <w:r>
        <w:rPr>
          <w:rFonts w:hint="eastAsia"/>
          <w:color w:val="auto"/>
          <w:kern w:val="2"/>
          <w:sz w:val="21"/>
          <w:szCs w:val="21"/>
          <w:highlight w:val="none"/>
        </w:rPr>
        <w:t>十二、合同生效</w:t>
      </w:r>
      <w:bookmarkEnd w:id="710"/>
      <w:bookmarkEnd w:id="711"/>
      <w:bookmarkEnd w:id="712"/>
    </w:p>
    <w:p w14:paraId="59DD4E71">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合同在以下条件全部满足之后生效：</w:t>
      </w:r>
    </w:p>
    <w:p w14:paraId="79349AD2">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1.合同</w:t>
      </w:r>
      <w:r>
        <w:rPr>
          <w:rFonts w:hint="eastAsia" w:ascii="宋体" w:hAnsi="宋体"/>
          <w:color w:val="auto"/>
          <w:szCs w:val="21"/>
          <w:highlight w:val="none"/>
        </w:rPr>
        <w:t>经双方法定代表人或其委托代理人签名并加盖</w:t>
      </w:r>
      <w:r>
        <w:rPr>
          <w:rFonts w:hint="eastAsia" w:ascii="宋体" w:hAnsi="宋体"/>
          <w:color w:val="auto"/>
          <w:szCs w:val="21"/>
          <w:highlight w:val="none"/>
          <w:lang w:val="en-US" w:eastAsia="zh-CN"/>
        </w:rPr>
        <w:t>单位</w:t>
      </w:r>
      <w:r>
        <w:rPr>
          <w:rFonts w:hint="eastAsia" w:ascii="宋体" w:hAnsi="宋体"/>
          <w:snapToGrid w:val="0"/>
          <w:color w:val="auto"/>
          <w:kern w:val="0"/>
          <w:szCs w:val="21"/>
          <w:highlight w:val="none"/>
        </w:rPr>
        <w:t>公章或合同专用章</w:t>
      </w:r>
      <w:r>
        <w:rPr>
          <w:rFonts w:hint="eastAsia" w:ascii="宋体" w:hAnsi="宋体"/>
          <w:color w:val="auto"/>
          <w:szCs w:val="21"/>
          <w:highlight w:val="none"/>
        </w:rPr>
        <w:t>；</w:t>
      </w:r>
    </w:p>
    <w:p w14:paraId="26016B3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2.采用保函形式递交履约担保的，承包人按合同约定向发包人提交履约担保后；</w:t>
      </w:r>
    </w:p>
    <w:p w14:paraId="0B28FB4D">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3.</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5AEBC25">
      <w:pPr>
        <w:pStyle w:val="6"/>
        <w:keepNext/>
        <w:keepLines/>
        <w:spacing w:before="120" w:after="120" w:line="360" w:lineRule="auto"/>
        <w:ind w:firstLine="422" w:firstLineChars="200"/>
        <w:jc w:val="both"/>
        <w:rPr>
          <w:color w:val="auto"/>
          <w:kern w:val="2"/>
          <w:sz w:val="21"/>
          <w:szCs w:val="21"/>
          <w:highlight w:val="none"/>
        </w:rPr>
      </w:pPr>
      <w:bookmarkStart w:id="713" w:name="_Toc351203493"/>
      <w:bookmarkStart w:id="714" w:name="_Toc532375585"/>
      <w:bookmarkStart w:id="715" w:name="_Toc532377178"/>
      <w:r>
        <w:rPr>
          <w:rFonts w:hint="eastAsia"/>
          <w:color w:val="auto"/>
          <w:kern w:val="2"/>
          <w:sz w:val="21"/>
          <w:szCs w:val="21"/>
          <w:highlight w:val="none"/>
        </w:rPr>
        <w:t>十三、合同份数</w:t>
      </w:r>
      <w:bookmarkEnd w:id="713"/>
      <w:bookmarkEnd w:id="714"/>
      <w:bookmarkEnd w:id="715"/>
    </w:p>
    <w:p w14:paraId="21C1483D">
      <w:pPr>
        <w:spacing w:line="360" w:lineRule="auto"/>
        <w:ind w:firstLine="420" w:firstLineChars="200"/>
        <w:rPr>
          <w:rFonts w:ascii="宋体" w:hAnsi="宋体"/>
          <w:bCs/>
          <w:color w:val="auto"/>
          <w:szCs w:val="21"/>
          <w:highlight w:val="none"/>
        </w:rPr>
      </w:pPr>
      <w:r>
        <w:rPr>
          <w:rFonts w:hint="eastAsia" w:ascii="宋体" w:hAnsi="宋体" w:cs="Microsoft Sans Serif"/>
          <w:bCs/>
          <w:color w:val="auto"/>
          <w:szCs w:val="21"/>
          <w:highlight w:val="none"/>
        </w:rPr>
        <w:t>合同一式</w:t>
      </w:r>
      <w:r>
        <w:rPr>
          <w:rFonts w:hint="eastAsia" w:ascii="宋体" w:hAnsi="宋体" w:cs="Microsoft Sans Serif"/>
          <w:bCs/>
          <w:color w:val="auto"/>
          <w:szCs w:val="21"/>
          <w:highlight w:val="none"/>
          <w:u w:val="single"/>
        </w:rPr>
        <w:t xml:space="preserve">     </w:t>
      </w:r>
      <w:r>
        <w:rPr>
          <w:rFonts w:hint="eastAsia" w:ascii="宋体" w:hAnsi="宋体" w:cs="Microsoft Sans Serif"/>
          <w:bCs/>
          <w:color w:val="auto"/>
          <w:szCs w:val="21"/>
          <w:highlight w:val="none"/>
        </w:rPr>
        <w:t>份，其中正本</w:t>
      </w:r>
      <w:r>
        <w:rPr>
          <w:rFonts w:hint="eastAsia" w:ascii="宋体" w:hAnsi="宋体" w:cs="Microsoft Sans Serif"/>
          <w:bCs/>
          <w:color w:val="auto"/>
          <w:szCs w:val="21"/>
          <w:highlight w:val="none"/>
          <w:u w:val="single"/>
        </w:rPr>
        <w:t xml:space="preserve">    </w:t>
      </w:r>
      <w:r>
        <w:rPr>
          <w:rFonts w:hint="eastAsia" w:ascii="宋体" w:hAnsi="宋体" w:cs="Microsoft Sans Serif"/>
          <w:bCs/>
          <w:color w:val="auto"/>
          <w:szCs w:val="21"/>
          <w:highlight w:val="none"/>
        </w:rPr>
        <w:t>份，双方各持</w:t>
      </w:r>
      <w:r>
        <w:rPr>
          <w:rFonts w:hint="eastAsia" w:ascii="宋体" w:hAnsi="宋体" w:cs="Microsoft Sans Serif"/>
          <w:bCs/>
          <w:color w:val="auto"/>
          <w:szCs w:val="21"/>
          <w:highlight w:val="none"/>
          <w:u w:val="single"/>
        </w:rPr>
        <w:t xml:space="preserve">    </w:t>
      </w:r>
      <w:r>
        <w:rPr>
          <w:rFonts w:hint="eastAsia" w:ascii="宋体" w:hAnsi="宋体" w:cs="Microsoft Sans Serif"/>
          <w:bCs/>
          <w:color w:val="auto"/>
          <w:szCs w:val="21"/>
          <w:highlight w:val="none"/>
        </w:rPr>
        <w:t>份，副本</w:t>
      </w:r>
      <w:r>
        <w:rPr>
          <w:rFonts w:hint="eastAsia" w:ascii="宋体" w:hAnsi="宋体" w:cs="Microsoft Sans Serif"/>
          <w:bCs/>
          <w:color w:val="auto"/>
          <w:szCs w:val="21"/>
          <w:highlight w:val="none"/>
          <w:u w:val="single"/>
        </w:rPr>
        <w:t xml:space="preserve">    </w:t>
      </w:r>
      <w:r>
        <w:rPr>
          <w:rFonts w:hint="eastAsia" w:ascii="宋体" w:hAnsi="宋体" w:cs="Microsoft Sans Serif"/>
          <w:bCs/>
          <w:color w:val="auto"/>
          <w:szCs w:val="21"/>
          <w:highlight w:val="none"/>
        </w:rPr>
        <w:t>份，双方各执</w:t>
      </w:r>
      <w:r>
        <w:rPr>
          <w:rFonts w:hint="eastAsia" w:ascii="宋体" w:hAnsi="宋体" w:cs="Microsoft Sans Serif"/>
          <w:bCs/>
          <w:color w:val="auto"/>
          <w:szCs w:val="21"/>
          <w:highlight w:val="none"/>
          <w:u w:val="single"/>
        </w:rPr>
        <w:t xml:space="preserve">    </w:t>
      </w:r>
      <w:r>
        <w:rPr>
          <w:rFonts w:hint="eastAsia" w:ascii="宋体" w:hAnsi="宋体" w:cs="Microsoft Sans Serif"/>
          <w:bCs/>
          <w:color w:val="auto"/>
          <w:szCs w:val="21"/>
          <w:highlight w:val="none"/>
        </w:rPr>
        <w:t>份。副本与正本不一致时，以正本为准</w:t>
      </w:r>
      <w:r>
        <w:rPr>
          <w:rFonts w:hint="eastAsia" w:ascii="宋体" w:hAnsi="宋体"/>
          <w:bCs/>
          <w:color w:val="auto"/>
          <w:szCs w:val="21"/>
          <w:highlight w:val="none"/>
        </w:rPr>
        <w:t>。</w:t>
      </w:r>
    </w:p>
    <w:p w14:paraId="03ED45E5">
      <w:pPr>
        <w:spacing w:line="360" w:lineRule="auto"/>
        <w:ind w:firstLine="420" w:firstLineChars="200"/>
        <w:rPr>
          <w:rFonts w:ascii="宋体" w:hAnsi="宋体"/>
          <w:bCs/>
          <w:color w:val="auto"/>
          <w:szCs w:val="21"/>
          <w:highlight w:val="none"/>
        </w:rPr>
      </w:pPr>
    </w:p>
    <w:p w14:paraId="643727AF">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（以下为签名盖章页）。</w:t>
      </w:r>
    </w:p>
    <w:p w14:paraId="0DFA65C0">
      <w:pPr>
        <w:adjustRightInd w:val="0"/>
        <w:spacing w:line="360" w:lineRule="auto"/>
        <w:rPr>
          <w:rFonts w:ascii="宋体" w:hAnsi="宋体"/>
          <w:snapToGrid w:val="0"/>
          <w:color w:val="auto"/>
          <w:kern w:val="0"/>
          <w:szCs w:val="21"/>
          <w:highlight w:val="none"/>
          <w:u w:val="single"/>
        </w:rPr>
      </w:pPr>
      <w:bookmarkStart w:id="716" w:name="_Toc467689623"/>
    </w:p>
    <w:p w14:paraId="62DA7B87">
      <w:pPr>
        <w:adjustRightInd w:val="0"/>
        <w:spacing w:line="360" w:lineRule="auto"/>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u w:val="none"/>
        </w:rPr>
        <w:t>发包人</w:t>
      </w:r>
      <w:r>
        <w:rPr>
          <w:rFonts w:ascii="宋体" w:hAnsi="宋体"/>
          <w:snapToGrid w:val="0"/>
          <w:color w:val="auto"/>
          <w:kern w:val="0"/>
          <w:szCs w:val="21"/>
          <w:highlight w:val="none"/>
        </w:rPr>
        <w:t>：</w:t>
      </w:r>
      <w:r>
        <w:rPr>
          <w:rFonts w:ascii="宋体" w:hAnsi="宋体"/>
          <w:snapToGrid w:val="0"/>
          <w:color w:val="auto"/>
          <w:kern w:val="0"/>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w:t>
      </w:r>
      <w:r>
        <w:rPr>
          <w:rFonts w:hint="eastAsia" w:ascii="宋体" w:hAnsi="宋体"/>
          <w:snapToGrid w:val="0"/>
          <w:color w:val="auto"/>
          <w:kern w:val="0"/>
          <w:szCs w:val="21"/>
          <w:highlight w:val="none"/>
        </w:rPr>
        <w:t>盖单位</w:t>
      </w:r>
      <w:r>
        <w:rPr>
          <w:rFonts w:ascii="宋体" w:hAnsi="宋体"/>
          <w:snapToGrid w:val="0"/>
          <w:color w:val="auto"/>
          <w:kern w:val="0"/>
          <w:szCs w:val="21"/>
          <w:highlight w:val="none"/>
        </w:rPr>
        <w:t>公章</w:t>
      </w:r>
      <w:r>
        <w:rPr>
          <w:rFonts w:hint="eastAsia" w:ascii="宋体" w:hAnsi="宋体"/>
          <w:snapToGrid w:val="0"/>
          <w:color w:val="auto"/>
          <w:kern w:val="0"/>
          <w:szCs w:val="21"/>
          <w:highlight w:val="none"/>
        </w:rPr>
        <w:t>或合同专用章</w:t>
      </w:r>
      <w:r>
        <w:rPr>
          <w:rFonts w:ascii="宋体" w:hAnsi="宋体"/>
          <w:snapToGrid w:val="0"/>
          <w:color w:val="auto"/>
          <w:kern w:val="0"/>
          <w:szCs w:val="21"/>
          <w:highlight w:val="none"/>
        </w:rPr>
        <w:t>）</w:t>
      </w:r>
    </w:p>
    <w:p w14:paraId="6CDFC4A1">
      <w:pPr>
        <w:spacing w:line="360" w:lineRule="auto"/>
        <w:ind w:firstLine="420" w:firstLineChars="200"/>
        <w:rPr>
          <w:rFonts w:ascii="宋体" w:hAnsi="宋体"/>
          <w:snapToGrid w:val="0"/>
          <w:color w:val="auto"/>
          <w:kern w:val="0"/>
          <w:szCs w:val="21"/>
          <w:highlight w:val="none"/>
        </w:rPr>
      </w:pPr>
      <w:r>
        <w:rPr>
          <w:rFonts w:ascii="宋体" w:hAnsi="宋体"/>
          <w:snapToGrid w:val="0"/>
          <w:color w:val="auto"/>
          <w:kern w:val="0"/>
          <w:szCs w:val="21"/>
          <w:highlight w:val="none"/>
        </w:rPr>
        <w:t>法定代表人或其委托代理人：</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ascii="宋体" w:hAnsi="宋体"/>
          <w:snapToGrid w:val="0"/>
          <w:color w:val="auto"/>
          <w:kern w:val="0"/>
          <w:szCs w:val="21"/>
          <w:highlight w:val="none"/>
        </w:rPr>
        <w:t>（</w:t>
      </w:r>
      <w:r>
        <w:rPr>
          <w:rFonts w:hint="eastAsia" w:ascii="宋体" w:hAnsi="宋体"/>
          <w:snapToGrid w:val="0"/>
          <w:color w:val="auto"/>
          <w:kern w:val="0"/>
          <w:szCs w:val="21"/>
          <w:highlight w:val="none"/>
        </w:rPr>
        <w:t>签名</w:t>
      </w:r>
      <w:r>
        <w:rPr>
          <w:rFonts w:ascii="宋体" w:hAnsi="宋体"/>
          <w:snapToGrid w:val="0"/>
          <w:color w:val="auto"/>
          <w:kern w:val="0"/>
          <w:szCs w:val="21"/>
          <w:highlight w:val="none"/>
        </w:rPr>
        <w:t>）</w:t>
      </w:r>
    </w:p>
    <w:p w14:paraId="018F865C">
      <w:pPr>
        <w:spacing w:line="360" w:lineRule="auto"/>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统一社会信用代码：</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5C80D8EE">
      <w:pPr>
        <w:spacing w:line="360" w:lineRule="auto"/>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纳税人识别号：</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66B08830">
      <w:pPr>
        <w:spacing w:line="360" w:lineRule="auto"/>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地    址：</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7139AF2F">
      <w:pPr>
        <w:spacing w:line="360" w:lineRule="auto"/>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电    话：</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25D823F1">
      <w:pPr>
        <w:spacing w:line="360" w:lineRule="auto"/>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开户银行：</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135FA6F6">
      <w:pPr>
        <w:spacing w:line="360" w:lineRule="auto"/>
        <w:ind w:firstLine="420" w:firstLineChars="200"/>
        <w:rPr>
          <w:rFonts w:hint="eastAsia" w:ascii="宋体" w:hAnsi="宋体"/>
          <w:snapToGrid w:val="0"/>
          <w:color w:val="auto"/>
          <w:kern w:val="0"/>
          <w:szCs w:val="21"/>
          <w:highlight w:val="none"/>
          <w:u w:val="single"/>
        </w:rPr>
      </w:pPr>
      <w:r>
        <w:rPr>
          <w:rFonts w:hint="eastAsia" w:ascii="宋体" w:hAnsi="宋体"/>
          <w:snapToGrid w:val="0"/>
          <w:color w:val="auto"/>
          <w:kern w:val="0"/>
          <w:szCs w:val="21"/>
          <w:highlight w:val="none"/>
        </w:rPr>
        <w:t>账    号：</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459936D6">
      <w:pPr>
        <w:spacing w:line="360" w:lineRule="auto"/>
        <w:rPr>
          <w:rFonts w:ascii="宋体" w:hAnsi="宋体"/>
          <w:snapToGrid w:val="0"/>
          <w:color w:val="auto"/>
          <w:kern w:val="0"/>
          <w:szCs w:val="21"/>
          <w:highlight w:val="none"/>
        </w:rPr>
      </w:pPr>
    </w:p>
    <w:p w14:paraId="1B4F4036">
      <w:pPr>
        <w:spacing w:line="360" w:lineRule="auto"/>
        <w:ind w:firstLine="420" w:firstLineChars="200"/>
        <w:rPr>
          <w:rFonts w:ascii="宋体" w:hAnsi="宋体"/>
          <w:color w:val="auto"/>
          <w:szCs w:val="21"/>
          <w:highlight w:val="none"/>
        </w:rPr>
      </w:pPr>
      <w:r>
        <w:rPr>
          <w:rFonts w:ascii="宋体" w:hAnsi="宋体"/>
          <w:snapToGrid w:val="0"/>
          <w:color w:val="auto"/>
          <w:kern w:val="0"/>
          <w:szCs w:val="21"/>
          <w:highlight w:val="none"/>
        </w:rPr>
        <w:t>承包人：</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r>
        <w:rPr>
          <w:rFonts w:ascii="宋体" w:hAnsi="宋体"/>
          <w:snapToGrid w:val="0"/>
          <w:color w:val="auto"/>
          <w:kern w:val="0"/>
          <w:szCs w:val="21"/>
          <w:highlight w:val="none"/>
        </w:rPr>
        <w:t>（</w:t>
      </w:r>
      <w:r>
        <w:rPr>
          <w:rFonts w:hint="eastAsia" w:ascii="宋体" w:hAnsi="宋体"/>
          <w:snapToGrid w:val="0"/>
          <w:color w:val="auto"/>
          <w:kern w:val="0"/>
          <w:szCs w:val="21"/>
          <w:highlight w:val="none"/>
          <w:lang w:val="en-US" w:eastAsia="zh-CN"/>
        </w:rPr>
        <w:t>盖单位</w:t>
      </w:r>
      <w:r>
        <w:rPr>
          <w:rFonts w:ascii="宋体" w:hAnsi="宋体"/>
          <w:snapToGrid w:val="0"/>
          <w:color w:val="auto"/>
          <w:kern w:val="0"/>
          <w:szCs w:val="21"/>
          <w:highlight w:val="none"/>
        </w:rPr>
        <w:t>公章</w:t>
      </w:r>
      <w:r>
        <w:rPr>
          <w:rFonts w:hint="eastAsia" w:ascii="宋体" w:hAnsi="宋体"/>
          <w:snapToGrid w:val="0"/>
          <w:color w:val="auto"/>
          <w:kern w:val="0"/>
          <w:szCs w:val="21"/>
          <w:highlight w:val="none"/>
        </w:rPr>
        <w:t>或合同专用章</w:t>
      </w:r>
      <w:r>
        <w:rPr>
          <w:rFonts w:ascii="宋体" w:hAnsi="宋体"/>
          <w:snapToGrid w:val="0"/>
          <w:color w:val="auto"/>
          <w:kern w:val="0"/>
          <w:szCs w:val="21"/>
          <w:highlight w:val="none"/>
        </w:rPr>
        <w:t>）</w:t>
      </w:r>
    </w:p>
    <w:p w14:paraId="0C1A0193">
      <w:pPr>
        <w:spacing w:line="360" w:lineRule="auto"/>
        <w:ind w:firstLine="420" w:firstLineChars="200"/>
        <w:rPr>
          <w:rFonts w:ascii="宋体" w:hAnsi="宋体"/>
          <w:snapToGrid w:val="0"/>
          <w:color w:val="auto"/>
          <w:kern w:val="0"/>
          <w:szCs w:val="21"/>
          <w:highlight w:val="none"/>
        </w:rPr>
      </w:pPr>
      <w:r>
        <w:rPr>
          <w:rFonts w:ascii="宋体" w:hAnsi="宋体"/>
          <w:snapToGrid w:val="0"/>
          <w:color w:val="auto"/>
          <w:kern w:val="0"/>
          <w:szCs w:val="21"/>
          <w:highlight w:val="none"/>
        </w:rPr>
        <w:t>法定代表人或其委托代理人：</w:t>
      </w:r>
      <w:r>
        <w:rPr>
          <w:rFonts w:ascii="宋体" w:hAnsi="宋体"/>
          <w:snapToGrid w:val="0"/>
          <w:color w:val="auto"/>
          <w:w w:val="200"/>
          <w:kern w:val="0"/>
          <w:szCs w:val="21"/>
          <w:highlight w:val="none"/>
          <w:u w:val="single"/>
        </w:rPr>
        <w:t xml:space="preserve">         </w:t>
      </w:r>
      <w:r>
        <w:rPr>
          <w:rFonts w:hint="eastAsia"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rPr>
        <w:t>（</w:t>
      </w:r>
      <w:r>
        <w:rPr>
          <w:rFonts w:hint="eastAsia" w:ascii="宋体" w:hAnsi="宋体"/>
          <w:snapToGrid w:val="0"/>
          <w:color w:val="auto"/>
          <w:kern w:val="0"/>
          <w:szCs w:val="21"/>
          <w:highlight w:val="none"/>
        </w:rPr>
        <w:t>签名</w:t>
      </w:r>
      <w:r>
        <w:rPr>
          <w:rFonts w:ascii="宋体" w:hAnsi="宋体"/>
          <w:snapToGrid w:val="0"/>
          <w:color w:val="auto"/>
          <w:kern w:val="0"/>
          <w:szCs w:val="21"/>
          <w:highlight w:val="none"/>
        </w:rPr>
        <w:t>）</w:t>
      </w:r>
    </w:p>
    <w:p w14:paraId="42F8B378">
      <w:pPr>
        <w:spacing w:line="360" w:lineRule="auto"/>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统一社会信用代码：</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55DDA8A9">
      <w:pPr>
        <w:spacing w:line="360" w:lineRule="auto"/>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纳税人识别号：</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3C7A49AC">
      <w:pPr>
        <w:spacing w:line="360" w:lineRule="auto"/>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地    址：</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7C7193AD">
      <w:pPr>
        <w:spacing w:line="360" w:lineRule="auto"/>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电    话：</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7692F162">
      <w:pPr>
        <w:spacing w:line="360" w:lineRule="auto"/>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开户银行：</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5B4A3E5B">
      <w:pPr>
        <w:spacing w:line="360" w:lineRule="auto"/>
        <w:ind w:firstLine="420" w:firstLineChars="200"/>
        <w:rPr>
          <w:rFonts w:ascii="宋体" w:hAnsi="宋体"/>
          <w:snapToGrid w:val="0"/>
          <w:color w:val="auto"/>
          <w:kern w:val="0"/>
          <w:szCs w:val="21"/>
          <w:highlight w:val="none"/>
          <w:u w:val="single"/>
        </w:rPr>
      </w:pPr>
      <w:r>
        <w:rPr>
          <w:rFonts w:hint="eastAsia" w:ascii="宋体" w:hAnsi="宋体"/>
          <w:snapToGrid w:val="0"/>
          <w:color w:val="auto"/>
          <w:kern w:val="0"/>
          <w:szCs w:val="21"/>
          <w:highlight w:val="none"/>
        </w:rPr>
        <w:t>账    号：</w:t>
      </w:r>
      <w:r>
        <w:rPr>
          <w:rFonts w:ascii="宋体" w:hAnsi="宋体"/>
          <w:snapToGrid w:val="0"/>
          <w:color w:val="auto"/>
          <w:w w:val="200"/>
          <w:kern w:val="0"/>
          <w:szCs w:val="21"/>
          <w:highlight w:val="none"/>
          <w:u w:val="single"/>
        </w:rPr>
        <w:t xml:space="preserve"> </w:t>
      </w:r>
      <w:r>
        <w:rPr>
          <w:rFonts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rPr>
        <w:t xml:space="preserve">                </w:t>
      </w:r>
    </w:p>
    <w:p w14:paraId="0C93597E">
      <w:pPr>
        <w:pStyle w:val="2"/>
        <w:spacing w:line="360" w:lineRule="auto"/>
        <w:rPr>
          <w:rFonts w:ascii="宋体" w:hAnsi="宋体"/>
          <w:color w:val="auto"/>
          <w:szCs w:val="21"/>
          <w:highlight w:val="none"/>
        </w:rPr>
      </w:pPr>
    </w:p>
    <w:p w14:paraId="794B7FB0">
      <w:pPr>
        <w:spacing w:line="360" w:lineRule="auto"/>
        <w:jc w:val="right"/>
        <w:rPr>
          <w:rFonts w:ascii="宋体" w:hAnsi="宋体"/>
          <w:snapToGrid w:val="0"/>
          <w:color w:val="auto"/>
          <w:kern w:val="0"/>
          <w:szCs w:val="21"/>
          <w:highlight w:val="none"/>
        </w:rPr>
      </w:pPr>
    </w:p>
    <w:p w14:paraId="1B69F016">
      <w:pPr>
        <w:spacing w:line="360" w:lineRule="auto"/>
        <w:jc w:val="right"/>
        <w:rPr>
          <w:rFonts w:ascii="宋体" w:hAnsi="宋体"/>
          <w:snapToGrid w:val="0"/>
          <w:color w:val="auto"/>
          <w:kern w:val="0"/>
          <w:szCs w:val="21"/>
          <w:highlight w:val="none"/>
        </w:rPr>
      </w:pPr>
    </w:p>
    <w:p w14:paraId="01965A06">
      <w:pPr>
        <w:spacing w:line="360" w:lineRule="auto"/>
        <w:jc w:val="right"/>
        <w:rPr>
          <w:rFonts w:ascii="宋体" w:hAnsi="宋体"/>
          <w:snapToGrid w:val="0"/>
          <w:color w:val="auto"/>
          <w:kern w:val="0"/>
          <w:szCs w:val="21"/>
          <w:highlight w:val="none"/>
        </w:rPr>
      </w:pPr>
      <w:r>
        <w:rPr>
          <w:rFonts w:hint="eastAsia" w:ascii="宋体" w:hAnsi="宋体"/>
          <w:snapToGrid w:val="0"/>
          <w:color w:val="auto"/>
          <w:kern w:val="0"/>
          <w:szCs w:val="21"/>
          <w:highlight w:val="none"/>
        </w:rPr>
        <w:t>签约时间：</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年</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月</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日</w:t>
      </w:r>
      <w:bookmarkEnd w:id="716"/>
    </w:p>
    <w:p w14:paraId="106C3A84">
      <w:pPr>
        <w:pStyle w:val="5"/>
        <w:jc w:val="center"/>
        <w:rPr>
          <w:rFonts w:hint="eastAsia" w:ascii="宋体" w:hAnsi="宋体"/>
          <w:color w:val="auto"/>
          <w:sz w:val="44"/>
          <w:szCs w:val="44"/>
          <w:highlight w:val="none"/>
        </w:rPr>
      </w:pPr>
      <w:bookmarkStart w:id="717" w:name="_Toc57820638"/>
      <w:bookmarkStart w:id="718" w:name="_Toc529388289"/>
      <w:bookmarkStart w:id="719" w:name="_Toc16709"/>
      <w:bookmarkStart w:id="720" w:name="_Toc532375586"/>
      <w:bookmarkStart w:id="721" w:name="_Toc532377179"/>
    </w:p>
    <w:p w14:paraId="65BB4883">
      <w:pPr>
        <w:pStyle w:val="5"/>
        <w:jc w:val="both"/>
        <w:rPr>
          <w:rFonts w:hint="eastAsia" w:ascii="宋体" w:hAnsi="宋体"/>
          <w:color w:val="auto"/>
          <w:sz w:val="44"/>
          <w:szCs w:val="44"/>
          <w:highlight w:val="none"/>
        </w:rPr>
      </w:pPr>
    </w:p>
    <w:p w14:paraId="0EF38B03">
      <w:pPr>
        <w:rPr>
          <w:rFonts w:hint="eastAsia" w:ascii="宋体" w:hAnsi="宋体"/>
          <w:color w:val="auto"/>
          <w:sz w:val="44"/>
          <w:szCs w:val="44"/>
          <w:highlight w:val="none"/>
        </w:rPr>
      </w:pPr>
    </w:p>
    <w:p w14:paraId="6D7B3030">
      <w:pPr>
        <w:pStyle w:val="2"/>
        <w:rPr>
          <w:rFonts w:hint="eastAsia" w:ascii="宋体" w:hAnsi="宋体"/>
          <w:color w:val="auto"/>
          <w:sz w:val="44"/>
          <w:szCs w:val="44"/>
          <w:highlight w:val="none"/>
        </w:rPr>
      </w:pPr>
    </w:p>
    <w:p w14:paraId="21EF5CB0">
      <w:pPr>
        <w:rPr>
          <w:rFonts w:hint="eastAsia" w:ascii="宋体" w:hAnsi="宋体"/>
          <w:color w:val="auto"/>
          <w:sz w:val="44"/>
          <w:szCs w:val="44"/>
          <w:highlight w:val="none"/>
        </w:rPr>
      </w:pPr>
    </w:p>
    <w:p w14:paraId="0412588A">
      <w:pPr>
        <w:pStyle w:val="2"/>
        <w:rPr>
          <w:rFonts w:hint="eastAsia" w:ascii="宋体" w:hAnsi="宋体"/>
          <w:color w:val="auto"/>
          <w:sz w:val="44"/>
          <w:szCs w:val="44"/>
          <w:highlight w:val="none"/>
        </w:rPr>
      </w:pPr>
    </w:p>
    <w:p w14:paraId="206DFBBC">
      <w:pPr>
        <w:rPr>
          <w:rFonts w:hint="eastAsia" w:ascii="宋体" w:hAnsi="宋体"/>
          <w:color w:val="auto"/>
          <w:sz w:val="44"/>
          <w:szCs w:val="44"/>
          <w:highlight w:val="none"/>
        </w:rPr>
      </w:pPr>
    </w:p>
    <w:p w14:paraId="35F80FBA">
      <w:pPr>
        <w:pStyle w:val="2"/>
        <w:rPr>
          <w:rFonts w:hint="eastAsia" w:ascii="宋体" w:hAnsi="宋体"/>
          <w:color w:val="auto"/>
          <w:sz w:val="44"/>
          <w:szCs w:val="44"/>
          <w:highlight w:val="none"/>
        </w:rPr>
      </w:pPr>
    </w:p>
    <w:p w14:paraId="632106AA">
      <w:pPr>
        <w:rPr>
          <w:rFonts w:hint="eastAsia" w:ascii="宋体" w:hAnsi="宋体"/>
          <w:color w:val="auto"/>
          <w:sz w:val="44"/>
          <w:szCs w:val="44"/>
          <w:highlight w:val="none"/>
        </w:rPr>
      </w:pPr>
    </w:p>
    <w:p w14:paraId="0359F5D1">
      <w:pPr>
        <w:pStyle w:val="2"/>
        <w:rPr>
          <w:rFonts w:hint="eastAsia" w:ascii="宋体" w:hAnsi="宋体"/>
          <w:color w:val="auto"/>
          <w:sz w:val="44"/>
          <w:szCs w:val="44"/>
          <w:highlight w:val="none"/>
        </w:rPr>
      </w:pPr>
    </w:p>
    <w:p w14:paraId="2006596E">
      <w:pPr>
        <w:rPr>
          <w:rFonts w:hint="eastAsia"/>
          <w:highlight w:val="none"/>
        </w:rPr>
      </w:pPr>
    </w:p>
    <w:p w14:paraId="011C285B">
      <w:pPr>
        <w:pStyle w:val="5"/>
        <w:jc w:val="center"/>
        <w:rPr>
          <w:rFonts w:ascii="宋体" w:hAnsi="宋体"/>
          <w:bCs w:val="0"/>
          <w:color w:val="auto"/>
          <w:sz w:val="21"/>
          <w:szCs w:val="21"/>
          <w:highlight w:val="none"/>
        </w:rPr>
      </w:pPr>
      <w:bookmarkStart w:id="722" w:name="_Toc12753"/>
      <w:r>
        <w:rPr>
          <w:rFonts w:hint="eastAsia" w:ascii="宋体" w:hAnsi="宋体"/>
          <w:color w:val="auto"/>
          <w:sz w:val="44"/>
          <w:szCs w:val="44"/>
          <w:highlight w:val="none"/>
        </w:rPr>
        <w:t>第二部分 通用合同条款</w:t>
      </w:r>
      <w:bookmarkEnd w:id="717"/>
      <w:bookmarkEnd w:id="718"/>
      <w:bookmarkEnd w:id="719"/>
      <w:bookmarkEnd w:id="720"/>
      <w:bookmarkEnd w:id="721"/>
      <w:bookmarkEnd w:id="722"/>
    </w:p>
    <w:p w14:paraId="1AB9064E">
      <w:pPr>
        <w:pStyle w:val="6"/>
        <w:keepNext/>
        <w:keepLines/>
        <w:spacing w:before="156" w:beforeLines="50" w:beforeAutospacing="0" w:after="156" w:afterLines="50" w:afterAutospacing="0" w:line="360" w:lineRule="auto"/>
        <w:jc w:val="both"/>
        <w:rPr>
          <w:color w:val="auto"/>
          <w:kern w:val="2"/>
          <w:sz w:val="21"/>
          <w:szCs w:val="21"/>
          <w:highlight w:val="none"/>
        </w:rPr>
      </w:pPr>
      <w:bookmarkStart w:id="723" w:name="_Toc532377180"/>
      <w:bookmarkStart w:id="724" w:name="_Toc351203495"/>
      <w:bookmarkStart w:id="725" w:name="_Toc532375587"/>
      <w:r>
        <w:rPr>
          <w:rFonts w:hint="eastAsia"/>
          <w:color w:val="auto"/>
          <w:kern w:val="2"/>
          <w:sz w:val="21"/>
          <w:szCs w:val="21"/>
          <w:highlight w:val="none"/>
        </w:rPr>
        <w:t>1.</w:t>
      </w:r>
      <w:bookmarkStart w:id="726" w:name="_Toc303538973"/>
      <w:bookmarkEnd w:id="726"/>
      <w:bookmarkStart w:id="727" w:name="_Toc303538972"/>
      <w:bookmarkEnd w:id="727"/>
      <w:bookmarkStart w:id="728" w:name="_Toc303538974"/>
      <w:bookmarkEnd w:id="728"/>
      <w:bookmarkStart w:id="729" w:name="_Toc303538975"/>
      <w:bookmarkEnd w:id="729"/>
      <w:bookmarkStart w:id="730" w:name="_Toc303538976"/>
      <w:bookmarkEnd w:id="730"/>
      <w:bookmarkStart w:id="731" w:name="_Toc296346528"/>
      <w:bookmarkStart w:id="732" w:name="_Toc296503027"/>
      <w:r>
        <w:rPr>
          <w:rFonts w:hint="eastAsia"/>
          <w:color w:val="auto"/>
          <w:kern w:val="2"/>
          <w:sz w:val="21"/>
          <w:szCs w:val="21"/>
          <w:highlight w:val="none"/>
        </w:rPr>
        <w:t>一般约定</w:t>
      </w:r>
      <w:bookmarkEnd w:id="723"/>
      <w:bookmarkEnd w:id="724"/>
      <w:bookmarkEnd w:id="725"/>
      <w:bookmarkEnd w:id="731"/>
      <w:bookmarkEnd w:id="732"/>
    </w:p>
    <w:p w14:paraId="129A20D3">
      <w:pPr>
        <w:pStyle w:val="7"/>
        <w:spacing w:before="0" w:beforeAutospacing="0" w:after="0" w:afterAutospacing="0" w:line="360" w:lineRule="auto"/>
        <w:ind w:firstLine="422" w:firstLineChars="200"/>
        <w:rPr>
          <w:color w:val="auto"/>
          <w:sz w:val="21"/>
          <w:szCs w:val="21"/>
          <w:highlight w:val="none"/>
        </w:rPr>
      </w:pPr>
      <w:bookmarkStart w:id="733" w:name="_Toc296503028"/>
      <w:bookmarkStart w:id="734" w:name="_Toc337558728"/>
      <w:bookmarkStart w:id="735" w:name="_Toc296346529"/>
      <w:bookmarkStart w:id="736" w:name="_Toc351203496"/>
      <w:bookmarkStart w:id="737" w:name="_Toc532377181"/>
      <w:r>
        <w:rPr>
          <w:rFonts w:hint="eastAsia"/>
          <w:color w:val="auto"/>
          <w:sz w:val="21"/>
          <w:szCs w:val="21"/>
          <w:highlight w:val="none"/>
        </w:rPr>
        <w:t>1.1词语定义</w:t>
      </w:r>
      <w:bookmarkEnd w:id="733"/>
      <w:bookmarkEnd w:id="734"/>
      <w:bookmarkEnd w:id="735"/>
      <w:r>
        <w:rPr>
          <w:rFonts w:hint="eastAsia"/>
          <w:color w:val="auto"/>
          <w:sz w:val="21"/>
          <w:szCs w:val="21"/>
          <w:highlight w:val="none"/>
        </w:rPr>
        <w:t>与解释</w:t>
      </w:r>
      <w:bookmarkEnd w:id="736"/>
      <w:bookmarkEnd w:id="737"/>
    </w:p>
    <w:p w14:paraId="63DDE39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合同协议书、通用合同条款、专用合同条款中的下列词语具有本款所赋予的含义：</w:t>
      </w:r>
    </w:p>
    <w:p w14:paraId="510CD058">
      <w:pPr>
        <w:pStyle w:val="7"/>
        <w:spacing w:before="0" w:beforeAutospacing="0" w:after="0" w:afterAutospacing="0" w:line="360" w:lineRule="auto"/>
        <w:ind w:firstLine="420" w:firstLineChars="200"/>
        <w:rPr>
          <w:b w:val="0"/>
          <w:bCs w:val="0"/>
          <w:color w:val="auto"/>
          <w:sz w:val="21"/>
          <w:szCs w:val="21"/>
          <w:highlight w:val="none"/>
        </w:rPr>
      </w:pPr>
      <w:bookmarkStart w:id="738" w:name="_Toc532377182"/>
      <w:r>
        <w:rPr>
          <w:rFonts w:hint="eastAsia"/>
          <w:b w:val="0"/>
          <w:bCs w:val="0"/>
          <w:color w:val="auto"/>
          <w:sz w:val="21"/>
          <w:szCs w:val="21"/>
          <w:highlight w:val="none"/>
        </w:rPr>
        <w:t>1.1.1 合同</w:t>
      </w:r>
      <w:bookmarkEnd w:id="738"/>
    </w:p>
    <w:p w14:paraId="32385C3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1.1.1.1 合同：是指根据法律规定和合同当事人约定具有约束力的文件，构成合同的文件包括合同协议书、中标通知书（如有）、投标函及其附录（如有）、专用合同条款</w:t>
      </w:r>
      <w:r>
        <w:rPr>
          <w:rFonts w:hint="eastAsia" w:ascii="宋体" w:hAnsi="宋体"/>
          <w:color w:val="auto"/>
          <w:szCs w:val="21"/>
          <w:highlight w:val="none"/>
        </w:rPr>
        <w:t>及其附件</w:t>
      </w:r>
      <w:r>
        <w:rPr>
          <w:rFonts w:hint="eastAsia" w:ascii="宋体" w:hAnsi="宋体"/>
          <w:color w:val="auto"/>
          <w:kern w:val="0"/>
          <w:szCs w:val="21"/>
          <w:highlight w:val="none"/>
        </w:rPr>
        <w:t>、通用合同条款、技术标准和要求、图纸、已标价工程量清单或预算书以及其他合同文件。</w:t>
      </w:r>
    </w:p>
    <w:p w14:paraId="318878F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1.1.1.2 合同协议书：是指构成合同的由发包人和承包人共同签署的称为“合同协议书”的书面文件。</w:t>
      </w:r>
    </w:p>
    <w:p w14:paraId="76281F5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1.1.1.3 中标通知书：是指构成合同的由发包人通知承包人中标的书面文件。</w:t>
      </w:r>
    </w:p>
    <w:p w14:paraId="4A83C1B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1.1.1.4 投标函：是指构成合同的由承包人填写并签署的用于投标的称为“投标函”的文件。</w:t>
      </w:r>
    </w:p>
    <w:p w14:paraId="2FC2B7F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1.1.1.5 投标函附录：是指构成合同的附在投标函后的称为“投标函附录”的文件。</w:t>
      </w:r>
    </w:p>
    <w:p w14:paraId="09CEAD6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1.1.1.6 技术标准和要求：是指构成合同的施工应当遵守的或指导施工的国家、行业或地方的技术标准和要求，以及合同约定的技术标准和要求。</w:t>
      </w:r>
    </w:p>
    <w:p w14:paraId="3288224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5BC07A5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1.1.1.8 已标价工程量清单：是指构成合同的由承包人按照规定的格式和要求填写并标明价格的工程量清单，包括说明和表格。</w:t>
      </w:r>
    </w:p>
    <w:p w14:paraId="322C4EF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1.1.1.9 预算书：是指构成合同的由承包人按照发包人规定的格式和要求编制的工程预算文件。</w:t>
      </w:r>
    </w:p>
    <w:p w14:paraId="101D2CE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1.1.1.10 其他合同文件：是指经合同当事人约定的与工程施工有关的具有合同约束力的文件或书面协议。合同当事人可以在专用合同条款中进行约定。</w:t>
      </w:r>
    </w:p>
    <w:p w14:paraId="2209CA2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 合同当事人及其他相关方</w:t>
      </w:r>
    </w:p>
    <w:p w14:paraId="3076163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1.1.2.1 合同当事人：是指发包人和（或）承包人。</w:t>
      </w:r>
    </w:p>
    <w:p w14:paraId="53E5F44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1.1.2.2 发包人：是指与承包人签订合同协议书的当事人及取得该当事人资格的合法继承人。</w:t>
      </w:r>
    </w:p>
    <w:p w14:paraId="29C3F85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1.1.2.3 承包人：是指与发包人签订合同协议书的，具有相应工程施工承包资质的当事人及取得该当事人资格的合法继承人。</w:t>
      </w:r>
    </w:p>
    <w:p w14:paraId="2E07FB2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1.1.2.4 监理人：是指在专用合同条款中指明的，受发包人委托按照法律规定进行工程监督管理的法人或其他组织。</w:t>
      </w:r>
    </w:p>
    <w:p w14:paraId="3090AC0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1.1.2.5 设计人：是指在专用合同条款中指明的，受发包人委托负责工程设计并具备相应工程设计资质的法人或其他组织。</w:t>
      </w:r>
    </w:p>
    <w:p w14:paraId="748BBCD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1.1.2.6 分包人：</w:t>
      </w:r>
      <w:bookmarkStart w:id="739" w:name="#go5"/>
      <w:bookmarkEnd w:id="739"/>
      <w:r>
        <w:rPr>
          <w:rFonts w:hint="eastAsia" w:ascii="宋体" w:hAnsi="宋体"/>
          <w:color w:val="auto"/>
          <w:kern w:val="0"/>
          <w:szCs w:val="21"/>
          <w:highlight w:val="none"/>
        </w:rPr>
        <w:t>是指按照法律规定和合同约定，分包部分工程或工作，并与承包人签订分包合同的具有相应资质的法人。</w:t>
      </w:r>
    </w:p>
    <w:p w14:paraId="2BC0176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1.1.2.7 发包人代表：是指由发包人任命并派驻施工现场在发包人授权范围内行使发包人权利的人。</w:t>
      </w:r>
    </w:p>
    <w:p w14:paraId="101449F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1.1.2.8 项目经理：是指由承包人任命并派驻施工现场，在承包人授权范围内负责合同履行，且按照法律规定具有相应资格的项目负责人。</w:t>
      </w:r>
    </w:p>
    <w:p w14:paraId="76E1907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1.1.2.9 总监理工程师：是指由监理人任命并派驻施工现场进行工程监理的总负责人。</w:t>
      </w:r>
    </w:p>
    <w:p w14:paraId="2809448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 工程和设备</w:t>
      </w:r>
    </w:p>
    <w:p w14:paraId="3F3F14F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1.1.3.1 工程：是指与合同协议书中工程承包范围对应的永久工程和（或）临时工程。</w:t>
      </w:r>
    </w:p>
    <w:p w14:paraId="26F4346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1.1.3.2 永久工程：是指按合同约定建造并移交给发包人的工程，包括工程设备。</w:t>
      </w:r>
    </w:p>
    <w:p w14:paraId="4AD6D50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1.1.3.3 临时工程：是指为完成合同约定的永久工程所修建的各类临时性工程，不包括施工设备。</w:t>
      </w:r>
    </w:p>
    <w:p w14:paraId="641B02F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1.1.3.4 单位工程：是指在合同协议书中指明的，具备独立施工条件并能形成独立使用功能的永久工程。</w:t>
      </w:r>
    </w:p>
    <w:p w14:paraId="0ECAC9B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1.1.3.5 工程设备：是指构成永久工程的机电设备、金属结构设备、仪器及其他类似的设备和装置。</w:t>
      </w:r>
    </w:p>
    <w:p w14:paraId="1EDCB4A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1.1.3.6 施工设备：是指为完成合同约定的各项工作所需的设备、器具和其他物品，但不包括工程设备、临时工程和材料。</w:t>
      </w:r>
    </w:p>
    <w:p w14:paraId="10F98C5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1.1.3.7 施工现场：是指用于工程施工的场所，以及在专用合同条款中指明作为施工场所组成部分的其他场所，包括永久占地和临时占地。</w:t>
      </w:r>
    </w:p>
    <w:p w14:paraId="473BC26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1.1.3.8临时设施：是指为完成合同约定的各项工作所服务的临时性生产和生活设施。</w:t>
      </w:r>
    </w:p>
    <w:p w14:paraId="16D2E5E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1.1.3.9 永久占地：是指专用合同条款中指明为实施工程需永久占用的土地。</w:t>
      </w:r>
    </w:p>
    <w:p w14:paraId="7890FC5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1.1.3.10 临时占地：是指专用合同条款中指明为实施工程需要临时占用的土地。</w:t>
      </w:r>
    </w:p>
    <w:p w14:paraId="208E06F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1.1.4 日期和期限</w:t>
      </w:r>
    </w:p>
    <w:p w14:paraId="2715BC4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6205410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1.1.4.2 竣工日期：包括计划竣工日期和实际竣工日期。计划竣工日期是指合同协议书约定的竣工日期；实际竣工日期按照第13.2.3项〔竣工日期〕的约定确定。 </w:t>
      </w:r>
    </w:p>
    <w:p w14:paraId="5CFA7CCF">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1.1.4.3 工期：是指在合同协议书约定的承包人完成工程所需的期限，包括按照合同约定所作的期限变更。</w:t>
      </w:r>
    </w:p>
    <w:p w14:paraId="38C1076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1.1.4.4 缺陷责任期：是指承包人按照合同约定承担缺陷修复义务，且发包人预留质量保证金（已缴纳履约保证金的除外）的期限，自工程实际竣工日期起计算。</w:t>
      </w:r>
    </w:p>
    <w:p w14:paraId="2ACCD82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1.1.4.5 保修期：是指承包人按照合同约定对工程承担保修责任的期限，从工程竣工验收合格之日起计算。</w:t>
      </w:r>
    </w:p>
    <w:p w14:paraId="230F17A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1.1.4.6 基准日期：招标发包的工程以投标截止日前28天的日期为基准日期，直接发包的工程以合同签订日前28天的日期为基准日期。</w:t>
      </w:r>
    </w:p>
    <w:p w14:paraId="26A9C67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1.1.4.7 天：除特别指明外，均指日历天。合同中按天计算时间的，开始当天不计入，从次日开始计算，期限最后一天的截止时间为当天24：00时。</w:t>
      </w:r>
    </w:p>
    <w:p w14:paraId="6463D5D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1.1.5 合同价格和费用</w:t>
      </w:r>
    </w:p>
    <w:p w14:paraId="710DC1BC">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1.1.5.1 签约合同价：是指</w:t>
      </w:r>
      <w:r>
        <w:rPr>
          <w:rFonts w:hint="eastAsia" w:ascii="宋体" w:hAnsi="宋体"/>
          <w:color w:val="auto"/>
          <w:szCs w:val="21"/>
          <w:highlight w:val="none"/>
        </w:rPr>
        <w:t>发包人和承包人在合同协议书中确定的总金额，包括安全文明施工费、暂估价及暂列金额等。</w:t>
      </w:r>
    </w:p>
    <w:p w14:paraId="3D338D9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1.1.5.2 合同价格：是指发包人用于支付承包人按照合同约定完成承包范围内全部工作的金额，包括合同履行过程中按合同约定发生的价格变化。</w:t>
      </w:r>
    </w:p>
    <w:p w14:paraId="133D33B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1.1.5.3 费用：是指为履行合同所发生的或将要发生的所有必需的开支，包括管理费和应分摊的其他费用，但不包括利润。</w:t>
      </w:r>
    </w:p>
    <w:p w14:paraId="5DB452A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1.1.5.4 暂估价：是指发包人在工程量清单或预算书中提供的用于支付必然发生但暂时不能确定价格的材料、工程设备的单价、专业工程以及服务工作的金额。</w:t>
      </w:r>
    </w:p>
    <w:p w14:paraId="066F2AA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4ABD580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1.1.5.6 计日工：是指合同履行过程中，承包人完成发包人提出的零星工作或需要采用计日工计价的变更工作时，按合同中约定的单价计价的一种方式。</w:t>
      </w:r>
    </w:p>
    <w:p w14:paraId="7F970108">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1.1.5.7 质量保证金</w:t>
      </w:r>
      <w:bookmarkStart w:id="740" w:name="#go2"/>
      <w:bookmarkEnd w:id="740"/>
      <w:r>
        <w:rPr>
          <w:rFonts w:hint="eastAsia" w:ascii="宋体" w:hAnsi="宋体"/>
          <w:color w:val="auto"/>
          <w:kern w:val="0"/>
          <w:szCs w:val="21"/>
          <w:highlight w:val="none"/>
        </w:rPr>
        <w:t>：是指按照第15.3款〔质量保证金〕约定承包人用于保证其在缺陷责任期内履行缺陷修补义务的担保</w:t>
      </w:r>
      <w:r>
        <w:rPr>
          <w:rFonts w:hint="eastAsia" w:ascii="宋体" w:hAnsi="宋体"/>
          <w:color w:val="auto"/>
          <w:szCs w:val="21"/>
          <w:highlight w:val="none"/>
        </w:rPr>
        <w:t>。</w:t>
      </w:r>
    </w:p>
    <w:p w14:paraId="27DD135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1.1.5.8 总价项目：是指在现行国家、行业以及地方的计量规则中无工程量计算规则，在已标价工程量清单或预算书中以总价或以费率形式计算的项目。</w:t>
      </w:r>
    </w:p>
    <w:p w14:paraId="7F198EC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1.1.6 其他</w:t>
      </w:r>
    </w:p>
    <w:p w14:paraId="536ABAE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1.1.6.1 书面形式：是指合同文件、信函、电报、传真等可以有形地表现所载内容的形式。</w:t>
      </w:r>
    </w:p>
    <w:p w14:paraId="015ABFC7">
      <w:pPr>
        <w:pStyle w:val="7"/>
        <w:spacing w:before="0" w:beforeAutospacing="0" w:after="0" w:afterAutospacing="0" w:line="360" w:lineRule="auto"/>
        <w:ind w:firstLine="422" w:firstLineChars="200"/>
        <w:rPr>
          <w:color w:val="auto"/>
          <w:sz w:val="21"/>
          <w:szCs w:val="21"/>
          <w:highlight w:val="none"/>
        </w:rPr>
      </w:pPr>
      <w:bookmarkStart w:id="741" w:name="_Toc532377183"/>
      <w:r>
        <w:rPr>
          <w:rFonts w:hint="eastAsia"/>
          <w:color w:val="auto"/>
          <w:sz w:val="21"/>
          <w:szCs w:val="21"/>
          <w:highlight w:val="none"/>
        </w:rPr>
        <w:t>1.2 语言文字</w:t>
      </w:r>
      <w:bookmarkEnd w:id="741"/>
    </w:p>
    <w:p w14:paraId="004D42E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合同以中国的汉语简体文字编写、解释和说明。合同当事人在专用合同条款中约定使用两种以上语言时，汉语为优先解释和说明合同的语言。</w:t>
      </w:r>
    </w:p>
    <w:p w14:paraId="7909C04A">
      <w:pPr>
        <w:pStyle w:val="7"/>
        <w:spacing w:before="0" w:beforeAutospacing="0" w:after="0" w:afterAutospacing="0" w:line="360" w:lineRule="auto"/>
        <w:ind w:firstLine="422" w:firstLineChars="200"/>
        <w:rPr>
          <w:color w:val="auto"/>
          <w:sz w:val="21"/>
          <w:szCs w:val="21"/>
          <w:highlight w:val="none"/>
        </w:rPr>
      </w:pPr>
      <w:bookmarkStart w:id="742" w:name="_Toc337558730"/>
      <w:bookmarkStart w:id="743" w:name="_Toc351203498"/>
      <w:bookmarkStart w:id="744" w:name="_Toc532377184"/>
      <w:bookmarkStart w:id="745" w:name="_Toc296503030"/>
      <w:bookmarkStart w:id="746" w:name="_Toc296346531"/>
      <w:r>
        <w:rPr>
          <w:rFonts w:hint="eastAsia"/>
          <w:color w:val="auto"/>
          <w:sz w:val="21"/>
          <w:szCs w:val="21"/>
          <w:highlight w:val="none"/>
        </w:rPr>
        <w:t>1.3法律</w:t>
      </w:r>
      <w:bookmarkEnd w:id="742"/>
      <w:bookmarkEnd w:id="743"/>
      <w:bookmarkEnd w:id="744"/>
      <w:bookmarkEnd w:id="745"/>
      <w:bookmarkEnd w:id="746"/>
    </w:p>
    <w:p w14:paraId="4AE46D9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合同所称法律是指中华人民共和国法律、行政法规、部门规章，以及工程所在地的地方性法规、自治条例、单行条例和地方政府规章等。</w:t>
      </w:r>
    </w:p>
    <w:p w14:paraId="7F3B665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合同当事人可以在专用合同条款中约定合同适用的其他规范性文件。</w:t>
      </w:r>
    </w:p>
    <w:p w14:paraId="62ADE9A4">
      <w:pPr>
        <w:pStyle w:val="7"/>
        <w:spacing w:before="0" w:beforeAutospacing="0" w:after="0" w:afterAutospacing="0" w:line="360" w:lineRule="auto"/>
        <w:ind w:firstLine="422" w:firstLineChars="200"/>
        <w:rPr>
          <w:color w:val="auto"/>
          <w:sz w:val="21"/>
          <w:szCs w:val="21"/>
          <w:highlight w:val="none"/>
        </w:rPr>
      </w:pPr>
      <w:bookmarkStart w:id="747" w:name="_Toc351203499"/>
      <w:bookmarkStart w:id="748" w:name="_Toc532377185"/>
      <w:r>
        <w:rPr>
          <w:rFonts w:hint="eastAsia"/>
          <w:color w:val="auto"/>
          <w:sz w:val="21"/>
          <w:szCs w:val="21"/>
          <w:highlight w:val="none"/>
        </w:rPr>
        <w:t>1.4 标准和规范</w:t>
      </w:r>
      <w:bookmarkEnd w:id="747"/>
      <w:bookmarkEnd w:id="748"/>
    </w:p>
    <w:p w14:paraId="4DFBA20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1.4.1 适用于工程的国家标准、行业标准、工程所在地的地方性标准，以及相应的规范、规程等，合同当事人有特别要求的，应在专用合同条款中约定。</w:t>
      </w:r>
    </w:p>
    <w:p w14:paraId="20DEB1E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1.4.2 发包人要求使用国外标准、规范的，发包人负责提供原文版本和中文译本，并在专用合同条款中约定提供标准规范的名称、份数和时间。</w:t>
      </w:r>
    </w:p>
    <w:p w14:paraId="3DE8601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1A243604">
      <w:pPr>
        <w:pStyle w:val="7"/>
        <w:spacing w:before="0" w:beforeAutospacing="0" w:after="0" w:afterAutospacing="0" w:line="360" w:lineRule="auto"/>
        <w:ind w:firstLine="422" w:firstLineChars="200"/>
        <w:rPr>
          <w:color w:val="auto"/>
          <w:sz w:val="21"/>
          <w:szCs w:val="21"/>
          <w:highlight w:val="none"/>
        </w:rPr>
      </w:pPr>
      <w:bookmarkStart w:id="749" w:name="_Toc532377186"/>
      <w:bookmarkStart w:id="750" w:name="_Toc351203500"/>
      <w:r>
        <w:rPr>
          <w:rFonts w:hint="eastAsia"/>
          <w:color w:val="auto"/>
          <w:sz w:val="21"/>
          <w:szCs w:val="21"/>
          <w:highlight w:val="none"/>
        </w:rPr>
        <w:t>1</w:t>
      </w:r>
      <w:bookmarkStart w:id="751" w:name="_Toc296346532"/>
      <w:bookmarkStart w:id="752" w:name="_Toc337558731"/>
      <w:bookmarkStart w:id="753" w:name="_Toc296503031"/>
      <w:r>
        <w:rPr>
          <w:rFonts w:hint="eastAsia"/>
          <w:color w:val="auto"/>
          <w:sz w:val="21"/>
          <w:szCs w:val="21"/>
          <w:highlight w:val="none"/>
        </w:rPr>
        <w:t>.5 合同文件的优先顺序</w:t>
      </w:r>
      <w:bookmarkEnd w:id="749"/>
      <w:bookmarkEnd w:id="750"/>
    </w:p>
    <w:bookmarkEnd w:id="751"/>
    <w:bookmarkEnd w:id="752"/>
    <w:bookmarkEnd w:id="753"/>
    <w:p w14:paraId="7FBDD83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组成合同的各项文件应互相解释，互为说明。除专用合同条款另有约定外，解释合同文件的优先顺序如下：</w:t>
      </w:r>
    </w:p>
    <w:p w14:paraId="0B61DC5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（1）合同协议书；</w:t>
      </w:r>
    </w:p>
    <w:p w14:paraId="06D44F1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（2）中标通知书（如有）；</w:t>
      </w:r>
    </w:p>
    <w:p w14:paraId="1DED045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（3）投标函及其附录（如有）；</w:t>
      </w:r>
    </w:p>
    <w:p w14:paraId="470FF9C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（4）专用合同条款及其附件；</w:t>
      </w:r>
    </w:p>
    <w:p w14:paraId="268DE18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（5）通用合同条款；</w:t>
      </w:r>
    </w:p>
    <w:p w14:paraId="570ECF1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（6）技术标准和要求；</w:t>
      </w:r>
    </w:p>
    <w:p w14:paraId="70744AF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（7）图纸；</w:t>
      </w:r>
    </w:p>
    <w:p w14:paraId="686983C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（8）已标价工程量清单或预算书；</w:t>
      </w:r>
    </w:p>
    <w:p w14:paraId="4A81E1E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（9）其他合同文件。</w:t>
      </w:r>
    </w:p>
    <w:p w14:paraId="4D5E715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上述各项合同文件包括合同当事人就该项合同文件所作出的补充和修改，属于同一类内容的文件，应以最新签署的为准。</w:t>
      </w:r>
    </w:p>
    <w:p w14:paraId="41B28DF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在合同订立及履行过程中形成的与合同有关的文件均构成合同文件组成部分，并根据其性质确定优先解释顺序。</w:t>
      </w:r>
    </w:p>
    <w:p w14:paraId="22821717">
      <w:pPr>
        <w:pStyle w:val="7"/>
        <w:spacing w:before="0" w:beforeAutospacing="0" w:after="0" w:afterAutospacing="0" w:line="360" w:lineRule="auto"/>
        <w:ind w:firstLine="422" w:firstLineChars="200"/>
        <w:rPr>
          <w:color w:val="auto"/>
          <w:sz w:val="21"/>
          <w:szCs w:val="21"/>
          <w:highlight w:val="none"/>
        </w:rPr>
      </w:pPr>
      <w:bookmarkStart w:id="754" w:name="_Toc532377187"/>
      <w:bookmarkStart w:id="755" w:name="_Toc351203501"/>
      <w:r>
        <w:rPr>
          <w:rFonts w:hint="eastAsia"/>
          <w:color w:val="auto"/>
          <w:sz w:val="21"/>
          <w:szCs w:val="21"/>
          <w:highlight w:val="none"/>
        </w:rPr>
        <w:t>1</w:t>
      </w:r>
      <w:bookmarkStart w:id="756" w:name="_Toc296503032"/>
      <w:bookmarkStart w:id="757" w:name="_Toc337558732"/>
      <w:bookmarkStart w:id="758" w:name="_Toc296346533"/>
      <w:r>
        <w:rPr>
          <w:rFonts w:hint="eastAsia"/>
          <w:color w:val="auto"/>
          <w:sz w:val="21"/>
          <w:szCs w:val="21"/>
          <w:highlight w:val="none"/>
        </w:rPr>
        <w:t>.6图纸和承包人文件</w:t>
      </w:r>
      <w:bookmarkEnd w:id="754"/>
      <w:bookmarkEnd w:id="755"/>
    </w:p>
    <w:bookmarkEnd w:id="756"/>
    <w:bookmarkEnd w:id="757"/>
    <w:bookmarkEnd w:id="758"/>
    <w:p w14:paraId="1D4B5C0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1.6.1 图纸的提供和交底</w:t>
      </w:r>
    </w:p>
    <w:p w14:paraId="2CC6192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6D66772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因发包人未按合同约定提供图纸导致承包人费用增加和（或）工期延误的，按照第7.5.1项〔因发包人原因导致工期延误〕约定办理。</w:t>
      </w:r>
    </w:p>
    <w:p w14:paraId="1021180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1.6.2 图纸的错误</w:t>
      </w:r>
    </w:p>
    <w:p w14:paraId="63C4062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34E3061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1.6.3 图纸的修改和补充</w:t>
      </w:r>
    </w:p>
    <w:p w14:paraId="3B8E91B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19EDFB7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1.6.4 承包人文件</w:t>
      </w:r>
    </w:p>
    <w:p w14:paraId="70E3027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承包人应按照专用合同条款的约定提供应当由其编制的与工程施工有关的文件，并按照专用合同条款约定的期限、数量和形式提交监理人，并由监理人报送发包人。</w:t>
      </w:r>
    </w:p>
    <w:p w14:paraId="7AC53FB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40FE3E5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1.6.5 图纸和承包人文件的保管</w:t>
      </w:r>
    </w:p>
    <w:p w14:paraId="6470C6B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除专用合同条款另有约定外，承包人应在施工现场另外保存一套完整的图纸和承包人文件，供发包人、监理人及有关人员进行工程检查时使用。</w:t>
      </w:r>
    </w:p>
    <w:p w14:paraId="5999901D">
      <w:pPr>
        <w:pStyle w:val="7"/>
        <w:spacing w:before="0" w:beforeAutospacing="0" w:after="0" w:afterAutospacing="0" w:line="360" w:lineRule="auto"/>
        <w:ind w:firstLine="422" w:firstLineChars="200"/>
        <w:rPr>
          <w:color w:val="auto"/>
          <w:sz w:val="21"/>
          <w:szCs w:val="21"/>
          <w:highlight w:val="none"/>
        </w:rPr>
      </w:pPr>
      <w:bookmarkStart w:id="759" w:name="_Toc351203502"/>
      <w:bookmarkStart w:id="760" w:name="_Toc532377188"/>
      <w:r>
        <w:rPr>
          <w:rFonts w:hint="eastAsia"/>
          <w:color w:val="auto"/>
          <w:sz w:val="21"/>
          <w:szCs w:val="21"/>
          <w:highlight w:val="none"/>
        </w:rPr>
        <w:t>1</w:t>
      </w:r>
      <w:bookmarkStart w:id="761" w:name="_Toc296346534"/>
      <w:bookmarkStart w:id="762" w:name="_Toc296503033"/>
      <w:bookmarkStart w:id="763" w:name="_Toc337558733"/>
      <w:r>
        <w:rPr>
          <w:rFonts w:hint="eastAsia"/>
          <w:color w:val="auto"/>
          <w:sz w:val="21"/>
          <w:szCs w:val="21"/>
          <w:highlight w:val="none"/>
        </w:rPr>
        <w:t>.7联络</w:t>
      </w:r>
      <w:bookmarkEnd w:id="759"/>
      <w:bookmarkEnd w:id="760"/>
    </w:p>
    <w:bookmarkEnd w:id="761"/>
    <w:bookmarkEnd w:id="762"/>
    <w:bookmarkEnd w:id="763"/>
    <w:p w14:paraId="3CFBA99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1.7.1 与合同有关的通知、批准、证明、证书、指示、指令、要求、请求、同意、意见、确定和决定等，均应采用书面形式，并应在合同约定的期限内送达接收人和送达地点。</w:t>
      </w:r>
    </w:p>
    <w:p w14:paraId="48A1636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1.7.2 发包人和承包人应在专用合同条款中约定各自的送达接收人和送达地点。任何一方合同当事人指定的接收人或送达地点发生变动的，应提前3天以书面形式通知对方。</w:t>
      </w:r>
    </w:p>
    <w:p w14:paraId="7B5577E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1.7.3 发包人和承包人应当及时签收另一方送达至送达地点和指定接收人的来往信函。拒不签收的，由此增加的费用和（或）延误的工期由拒绝接收一方承担。</w:t>
      </w:r>
    </w:p>
    <w:p w14:paraId="2BFD7928">
      <w:pPr>
        <w:pStyle w:val="7"/>
        <w:spacing w:before="0" w:beforeAutospacing="0" w:after="0" w:afterAutospacing="0" w:line="360" w:lineRule="auto"/>
        <w:ind w:firstLine="422" w:firstLineChars="200"/>
        <w:rPr>
          <w:color w:val="auto"/>
          <w:sz w:val="21"/>
          <w:szCs w:val="21"/>
          <w:highlight w:val="none"/>
        </w:rPr>
      </w:pPr>
      <w:bookmarkStart w:id="764" w:name="_Toc532377189"/>
      <w:bookmarkStart w:id="765" w:name="_Toc351203503"/>
      <w:r>
        <w:rPr>
          <w:rFonts w:hint="eastAsia"/>
          <w:color w:val="auto"/>
          <w:sz w:val="21"/>
          <w:szCs w:val="21"/>
          <w:highlight w:val="none"/>
        </w:rPr>
        <w:t>1</w:t>
      </w:r>
      <w:bookmarkStart w:id="766" w:name="_Toc337558734"/>
      <w:bookmarkStart w:id="767" w:name="_Toc296503035"/>
      <w:bookmarkStart w:id="768" w:name="_Toc296346536"/>
      <w:r>
        <w:rPr>
          <w:rFonts w:hint="eastAsia"/>
          <w:color w:val="auto"/>
          <w:sz w:val="21"/>
          <w:szCs w:val="21"/>
          <w:highlight w:val="none"/>
        </w:rPr>
        <w:t>.8严禁贿赂</w:t>
      </w:r>
      <w:bookmarkEnd w:id="764"/>
      <w:bookmarkEnd w:id="765"/>
    </w:p>
    <w:bookmarkEnd w:id="766"/>
    <w:bookmarkEnd w:id="767"/>
    <w:bookmarkEnd w:id="768"/>
    <w:p w14:paraId="29ECD7B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合同当事人不得以贿赂或变相贿赂的方式，谋取非法利益或损害对方权益。因一方合同当事人的贿赂造成对方损失的，应赔偿损失，并承担相应的法律责任。</w:t>
      </w:r>
    </w:p>
    <w:p w14:paraId="7F3C09D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14E3EE6B">
      <w:pPr>
        <w:pStyle w:val="7"/>
        <w:spacing w:before="0" w:beforeAutospacing="0" w:after="0" w:afterAutospacing="0" w:line="360" w:lineRule="auto"/>
        <w:ind w:firstLine="422" w:firstLineChars="200"/>
        <w:rPr>
          <w:color w:val="auto"/>
          <w:sz w:val="21"/>
          <w:szCs w:val="21"/>
          <w:highlight w:val="none"/>
        </w:rPr>
      </w:pPr>
      <w:bookmarkStart w:id="769" w:name="_Toc351203504"/>
      <w:bookmarkStart w:id="770" w:name="_Toc532377190"/>
      <w:r>
        <w:rPr>
          <w:rFonts w:hint="eastAsia"/>
          <w:color w:val="auto"/>
          <w:sz w:val="21"/>
          <w:szCs w:val="21"/>
          <w:highlight w:val="none"/>
        </w:rPr>
        <w:t>1</w:t>
      </w:r>
      <w:bookmarkStart w:id="771" w:name="_Toc296503036"/>
      <w:bookmarkStart w:id="772" w:name="_Toc337558735"/>
      <w:bookmarkStart w:id="773" w:name="_Toc296346537"/>
      <w:r>
        <w:rPr>
          <w:rFonts w:hint="eastAsia"/>
          <w:color w:val="auto"/>
          <w:sz w:val="21"/>
          <w:szCs w:val="21"/>
          <w:highlight w:val="none"/>
        </w:rPr>
        <w:t>.9化石、文物</w:t>
      </w:r>
      <w:bookmarkEnd w:id="769"/>
      <w:bookmarkEnd w:id="770"/>
    </w:p>
    <w:bookmarkEnd w:id="771"/>
    <w:bookmarkEnd w:id="772"/>
    <w:bookmarkEnd w:id="773"/>
    <w:p w14:paraId="7C7AAA3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084DDF4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发包人、监理人和承包人应按有关政府行政管理部门要求采取妥善的保护措施，由此增加的费用和（或）延误的工期由发包人承担。</w:t>
      </w:r>
    </w:p>
    <w:p w14:paraId="39DC710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承包人发现文物后不及时报告或隐瞒不报，致使文物丢失或损坏的，应赔偿损失，并承担相应的法律责任。</w:t>
      </w:r>
    </w:p>
    <w:p w14:paraId="6E885B3C">
      <w:pPr>
        <w:pStyle w:val="7"/>
        <w:spacing w:before="0" w:beforeAutospacing="0" w:after="0" w:afterAutospacing="0" w:line="360" w:lineRule="auto"/>
        <w:ind w:firstLine="422" w:firstLineChars="200"/>
        <w:rPr>
          <w:color w:val="auto"/>
          <w:sz w:val="21"/>
          <w:szCs w:val="21"/>
          <w:highlight w:val="none"/>
        </w:rPr>
      </w:pPr>
      <w:bookmarkStart w:id="774" w:name="_Toc351203505"/>
      <w:bookmarkStart w:id="775" w:name="_Toc532377191"/>
      <w:r>
        <w:rPr>
          <w:rFonts w:hint="eastAsia"/>
          <w:color w:val="auto"/>
          <w:sz w:val="21"/>
          <w:szCs w:val="21"/>
          <w:highlight w:val="none"/>
        </w:rPr>
        <w:t>1</w:t>
      </w:r>
      <w:bookmarkStart w:id="776" w:name="_Toc337558736"/>
      <w:r>
        <w:rPr>
          <w:rFonts w:hint="eastAsia"/>
          <w:color w:val="auto"/>
          <w:sz w:val="21"/>
          <w:szCs w:val="21"/>
          <w:highlight w:val="none"/>
        </w:rPr>
        <w:t>.10交通运输</w:t>
      </w:r>
      <w:bookmarkEnd w:id="774"/>
      <w:bookmarkEnd w:id="775"/>
    </w:p>
    <w:bookmarkEnd w:id="776"/>
    <w:p w14:paraId="1FE45C2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1.10.1 出入现场的权利</w:t>
      </w:r>
    </w:p>
    <w:p w14:paraId="70C8E86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56FD8A1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5388314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1.10.2 场外交通</w:t>
      </w:r>
    </w:p>
    <w:p w14:paraId="67C63F0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3861B46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1.10.3场内交通</w:t>
      </w:r>
    </w:p>
    <w:p w14:paraId="6DA4945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08F6B1D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33276A6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场外交通和场内交通的边界由合同当事人在专用合同条款中约定。</w:t>
      </w:r>
    </w:p>
    <w:p w14:paraId="3FE9FC1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1.10.4 超大件和超重件的运输</w:t>
      </w:r>
    </w:p>
    <w:p w14:paraId="4637156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C57510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1.10.5 道路和桥梁的损坏责任</w:t>
      </w:r>
    </w:p>
    <w:p w14:paraId="33ECDD2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因承包人运输造成施工场地内外公共道路和桥梁损坏的，由承包人承担修复损坏的全部费用和可能引起的赔偿。</w:t>
      </w:r>
    </w:p>
    <w:p w14:paraId="1CBE2F0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1.10.6 水路和航空运输</w:t>
      </w:r>
    </w:p>
    <w:p w14:paraId="54B5CBF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本款前述各项的内容适用于水路运输和航空运输，其中“道路”一词的涵义包括河道、航线、船闸、机场、码头、堤防以及水路或航空运输中其他相似结构物；“车辆”一词的涵义包括船舶和飞机等。</w:t>
      </w:r>
    </w:p>
    <w:p w14:paraId="050672C5">
      <w:pPr>
        <w:pStyle w:val="7"/>
        <w:spacing w:before="0" w:beforeAutospacing="0" w:after="0" w:afterAutospacing="0" w:line="360" w:lineRule="auto"/>
        <w:ind w:firstLine="422" w:firstLineChars="200"/>
        <w:rPr>
          <w:color w:val="auto"/>
          <w:sz w:val="21"/>
          <w:szCs w:val="21"/>
          <w:highlight w:val="none"/>
        </w:rPr>
      </w:pPr>
      <w:bookmarkStart w:id="777" w:name="_Toc351203506"/>
      <w:bookmarkStart w:id="778" w:name="_Toc532377192"/>
      <w:r>
        <w:rPr>
          <w:rFonts w:hint="eastAsia"/>
          <w:color w:val="auto"/>
          <w:sz w:val="21"/>
          <w:szCs w:val="21"/>
          <w:highlight w:val="none"/>
        </w:rPr>
        <w:t>1</w:t>
      </w:r>
      <w:bookmarkStart w:id="779" w:name="_Toc337558737"/>
      <w:bookmarkStart w:id="780" w:name="_Toc296346538"/>
      <w:bookmarkStart w:id="781" w:name="_Toc296503037"/>
      <w:r>
        <w:rPr>
          <w:rFonts w:hint="eastAsia"/>
          <w:color w:val="auto"/>
          <w:sz w:val="21"/>
          <w:szCs w:val="21"/>
          <w:highlight w:val="none"/>
        </w:rPr>
        <w:t>.11知识产权</w:t>
      </w:r>
      <w:bookmarkEnd w:id="777"/>
      <w:bookmarkEnd w:id="778"/>
      <w:bookmarkEnd w:id="779"/>
    </w:p>
    <w:bookmarkEnd w:id="780"/>
    <w:bookmarkEnd w:id="781"/>
    <w:p w14:paraId="7615EFB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7D3C217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7BBB266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385BA5E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1.11.4 除专用合同条款另有约定外，承包人在合同签订前和签订时已确定采用的专利、专有技术、技术秘密的使用费已包含在签约合同价中。</w:t>
      </w:r>
    </w:p>
    <w:p w14:paraId="419EF11C">
      <w:pPr>
        <w:pStyle w:val="7"/>
        <w:spacing w:before="0" w:beforeAutospacing="0" w:after="0" w:afterAutospacing="0" w:line="360" w:lineRule="auto"/>
        <w:ind w:firstLine="422" w:firstLineChars="200"/>
        <w:rPr>
          <w:color w:val="auto"/>
          <w:sz w:val="21"/>
          <w:szCs w:val="21"/>
          <w:highlight w:val="none"/>
        </w:rPr>
      </w:pPr>
      <w:bookmarkStart w:id="782" w:name="_Toc351203507"/>
      <w:bookmarkStart w:id="783" w:name="_Toc532377193"/>
      <w:r>
        <w:rPr>
          <w:rFonts w:hint="eastAsia"/>
          <w:color w:val="auto"/>
          <w:sz w:val="21"/>
          <w:szCs w:val="21"/>
          <w:highlight w:val="none"/>
        </w:rPr>
        <w:t>1</w:t>
      </w:r>
      <w:bookmarkStart w:id="784" w:name="_Toc337558738"/>
      <w:r>
        <w:rPr>
          <w:rFonts w:hint="eastAsia"/>
          <w:color w:val="auto"/>
          <w:sz w:val="21"/>
          <w:szCs w:val="21"/>
          <w:highlight w:val="none"/>
        </w:rPr>
        <w:t>.12保密</w:t>
      </w:r>
      <w:bookmarkEnd w:id="782"/>
      <w:bookmarkEnd w:id="783"/>
    </w:p>
    <w:bookmarkEnd w:id="784"/>
    <w:p w14:paraId="27EBC79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除法律规定或合同另有约定外，未经发包人同意，承包人不得将发包人提供的图纸、文件以及声明需要保密的资料信息等商业秘密泄露给第三方。</w:t>
      </w:r>
    </w:p>
    <w:p w14:paraId="10CC247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除法律规定或合同另有约定外，未经承包人同意，发包人不得将承包人提供的技术秘密及声明需要保密的资料信息等商业秘密泄露给第三方。</w:t>
      </w:r>
    </w:p>
    <w:p w14:paraId="42309F01">
      <w:pPr>
        <w:pStyle w:val="7"/>
        <w:spacing w:before="0" w:beforeAutospacing="0" w:after="0" w:afterAutospacing="0" w:line="360" w:lineRule="auto"/>
        <w:ind w:firstLine="422" w:firstLineChars="200"/>
        <w:rPr>
          <w:color w:val="auto"/>
          <w:sz w:val="21"/>
          <w:szCs w:val="21"/>
          <w:highlight w:val="none"/>
        </w:rPr>
      </w:pPr>
      <w:bookmarkStart w:id="785" w:name="_Toc532377194"/>
      <w:bookmarkStart w:id="786" w:name="_Toc351203508"/>
      <w:r>
        <w:rPr>
          <w:rFonts w:hint="eastAsia"/>
          <w:color w:val="auto"/>
          <w:sz w:val="21"/>
          <w:szCs w:val="21"/>
          <w:highlight w:val="none"/>
        </w:rPr>
        <w:t>1.13工程量清单错误的修正</w:t>
      </w:r>
      <w:bookmarkEnd w:id="785"/>
      <w:bookmarkEnd w:id="786"/>
    </w:p>
    <w:p w14:paraId="76AAF0C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除专用合同条款另有约定外，发包人提供的工程量清单，应被认为是准确的和完整的。出现下列情形之一时，发包人应予以修正，并相应调整合同价格：</w:t>
      </w:r>
    </w:p>
    <w:p w14:paraId="6764BD7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（1）工程量清单存在缺项、漏项的；</w:t>
      </w:r>
    </w:p>
    <w:p w14:paraId="190B3A4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（2）工程量清单偏差超出专用合同条款约定的工程量偏差范围的；</w:t>
      </w:r>
    </w:p>
    <w:p w14:paraId="5A74AAE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（3）未按照国家现行计量规范强制性规定计量的。</w:t>
      </w:r>
    </w:p>
    <w:p w14:paraId="4D9F3E25">
      <w:pPr>
        <w:pStyle w:val="6"/>
        <w:keepNext/>
        <w:keepLines/>
        <w:spacing w:before="156" w:beforeLines="50" w:beforeAutospacing="0" w:after="156" w:afterLines="50" w:afterAutospacing="0" w:line="360" w:lineRule="auto"/>
        <w:jc w:val="both"/>
        <w:rPr>
          <w:color w:val="auto"/>
          <w:kern w:val="2"/>
          <w:sz w:val="21"/>
          <w:szCs w:val="21"/>
          <w:highlight w:val="none"/>
        </w:rPr>
      </w:pPr>
      <w:bookmarkStart w:id="787" w:name="_Toc532375588"/>
      <w:bookmarkStart w:id="788" w:name="_Toc351203509"/>
      <w:bookmarkStart w:id="789" w:name="_Toc532377195"/>
      <w:r>
        <w:rPr>
          <w:rFonts w:hint="eastAsia"/>
          <w:color w:val="auto"/>
          <w:kern w:val="2"/>
          <w:sz w:val="21"/>
          <w:szCs w:val="21"/>
          <w:highlight w:val="none"/>
        </w:rPr>
        <w:t>2</w:t>
      </w:r>
      <w:bookmarkStart w:id="790" w:name="_Toc296346539"/>
      <w:bookmarkStart w:id="791" w:name="_Toc296503038"/>
      <w:bookmarkStart w:id="792" w:name="_Toc337558739"/>
      <w:bookmarkStart w:id="793" w:name="OLE_LINK2"/>
      <w:r>
        <w:rPr>
          <w:rFonts w:hint="eastAsia"/>
          <w:color w:val="auto"/>
          <w:kern w:val="2"/>
          <w:sz w:val="21"/>
          <w:szCs w:val="21"/>
          <w:highlight w:val="none"/>
        </w:rPr>
        <w:t>. 发包人</w:t>
      </w:r>
      <w:bookmarkEnd w:id="787"/>
      <w:bookmarkEnd w:id="788"/>
      <w:bookmarkEnd w:id="789"/>
    </w:p>
    <w:bookmarkEnd w:id="790"/>
    <w:bookmarkEnd w:id="791"/>
    <w:bookmarkEnd w:id="792"/>
    <w:p w14:paraId="49302175">
      <w:pPr>
        <w:pStyle w:val="7"/>
        <w:spacing w:before="0" w:beforeAutospacing="0" w:after="0" w:afterAutospacing="0" w:line="360" w:lineRule="auto"/>
        <w:ind w:firstLine="422" w:firstLineChars="200"/>
        <w:rPr>
          <w:color w:val="auto"/>
          <w:sz w:val="21"/>
          <w:szCs w:val="21"/>
          <w:highlight w:val="none"/>
        </w:rPr>
      </w:pPr>
      <w:bookmarkStart w:id="794" w:name="_Toc351203510"/>
      <w:bookmarkStart w:id="795" w:name="_Toc532377196"/>
      <w:r>
        <w:rPr>
          <w:rFonts w:hint="eastAsia"/>
          <w:color w:val="auto"/>
          <w:sz w:val="21"/>
          <w:szCs w:val="21"/>
          <w:highlight w:val="none"/>
        </w:rPr>
        <w:t>2</w:t>
      </w:r>
      <w:bookmarkStart w:id="796" w:name="_Toc296346540"/>
      <w:bookmarkStart w:id="797" w:name="_Toc337558740"/>
      <w:bookmarkStart w:id="798" w:name="_Toc296503039"/>
      <w:r>
        <w:rPr>
          <w:rFonts w:hint="eastAsia"/>
          <w:color w:val="auto"/>
          <w:sz w:val="21"/>
          <w:szCs w:val="21"/>
          <w:highlight w:val="none"/>
        </w:rPr>
        <w:t>.1 许可或批准</w:t>
      </w:r>
      <w:bookmarkEnd w:id="794"/>
      <w:bookmarkEnd w:id="795"/>
    </w:p>
    <w:p w14:paraId="2F36E26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0E78541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因发包人原因未能及时办理完毕前述许可、批准或备案，由发包人承担由此增加的费用和（或）延误的工期，并支付承包人合理的利润。</w:t>
      </w:r>
    </w:p>
    <w:p w14:paraId="3CE03CFB">
      <w:pPr>
        <w:pStyle w:val="7"/>
        <w:spacing w:before="0" w:beforeAutospacing="0" w:after="0" w:afterAutospacing="0" w:line="360" w:lineRule="auto"/>
        <w:ind w:firstLine="422" w:firstLineChars="200"/>
        <w:rPr>
          <w:color w:val="auto"/>
          <w:sz w:val="21"/>
          <w:szCs w:val="21"/>
          <w:highlight w:val="none"/>
        </w:rPr>
      </w:pPr>
      <w:bookmarkStart w:id="799" w:name="_Toc351203511"/>
      <w:bookmarkStart w:id="800" w:name="_Toc532377197"/>
      <w:r>
        <w:rPr>
          <w:rFonts w:hint="eastAsia"/>
          <w:color w:val="auto"/>
          <w:sz w:val="21"/>
          <w:szCs w:val="21"/>
          <w:highlight w:val="none"/>
        </w:rPr>
        <w:t>2.2 发包人代表</w:t>
      </w:r>
      <w:bookmarkEnd w:id="799"/>
      <w:bookmarkEnd w:id="800"/>
    </w:p>
    <w:p w14:paraId="36B43B3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4B988BF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发包人代表不能按照合同约定履行其职责及义务，并导致合同无法继续正常履行的，承包人可以要求发包人撤换发包人代表。</w:t>
      </w:r>
    </w:p>
    <w:p w14:paraId="4E99FF6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不属于法定必须监理的工程，监理人的职权可以由发包人代表或发包人指定的其他人员行使。</w:t>
      </w:r>
    </w:p>
    <w:p w14:paraId="37D19CDF">
      <w:pPr>
        <w:pStyle w:val="7"/>
        <w:spacing w:before="0" w:beforeAutospacing="0" w:after="0" w:afterAutospacing="0" w:line="360" w:lineRule="auto"/>
        <w:ind w:firstLine="422" w:firstLineChars="200"/>
        <w:rPr>
          <w:color w:val="auto"/>
          <w:sz w:val="21"/>
          <w:szCs w:val="21"/>
          <w:highlight w:val="none"/>
        </w:rPr>
      </w:pPr>
      <w:bookmarkStart w:id="801" w:name="_Toc351203512"/>
      <w:bookmarkStart w:id="802" w:name="_Toc532377198"/>
      <w:r>
        <w:rPr>
          <w:rFonts w:hint="eastAsia"/>
          <w:color w:val="auto"/>
          <w:sz w:val="21"/>
          <w:szCs w:val="21"/>
          <w:highlight w:val="none"/>
        </w:rPr>
        <w:t>2.3 发包人人员</w:t>
      </w:r>
      <w:bookmarkEnd w:id="801"/>
      <w:bookmarkEnd w:id="802"/>
    </w:p>
    <w:p w14:paraId="2FA0EF8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发包人应要求在施工现场的发包人人员遵守法律及有关安全、质量、环境保护、文明施工等规定，并保障承包人免于承受因发包人人员未遵守上述要求给承包人造成的损失和责任。</w:t>
      </w:r>
    </w:p>
    <w:p w14:paraId="011B69A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发包人人员包括发包人代表及其他由发包人派驻施工现场的人员。</w:t>
      </w:r>
      <w:bookmarkEnd w:id="796"/>
      <w:bookmarkEnd w:id="797"/>
      <w:bookmarkEnd w:id="798"/>
    </w:p>
    <w:p w14:paraId="2A3C1806">
      <w:pPr>
        <w:pStyle w:val="7"/>
        <w:spacing w:before="0" w:beforeAutospacing="0" w:after="0" w:afterAutospacing="0" w:line="360" w:lineRule="auto"/>
        <w:ind w:firstLine="422" w:firstLineChars="200"/>
        <w:rPr>
          <w:color w:val="auto"/>
          <w:sz w:val="21"/>
          <w:szCs w:val="21"/>
          <w:highlight w:val="none"/>
        </w:rPr>
      </w:pPr>
      <w:bookmarkStart w:id="803" w:name="_Toc351203513"/>
      <w:bookmarkStart w:id="804" w:name="_Toc532377199"/>
      <w:r>
        <w:rPr>
          <w:rFonts w:hint="eastAsia"/>
          <w:color w:val="auto"/>
          <w:sz w:val="21"/>
          <w:szCs w:val="21"/>
          <w:highlight w:val="none"/>
        </w:rPr>
        <w:t>2</w:t>
      </w:r>
      <w:bookmarkStart w:id="805" w:name="_Toc296503040"/>
      <w:bookmarkStart w:id="806" w:name="_Toc296346541"/>
      <w:bookmarkStart w:id="807" w:name="_Toc337558741"/>
      <w:r>
        <w:rPr>
          <w:rFonts w:hint="eastAsia"/>
          <w:color w:val="auto"/>
          <w:sz w:val="21"/>
          <w:szCs w:val="21"/>
          <w:highlight w:val="none"/>
        </w:rPr>
        <w:t>.4 施工现场、施工条件和基础资料的提供</w:t>
      </w:r>
      <w:bookmarkEnd w:id="803"/>
      <w:bookmarkEnd w:id="804"/>
      <w:bookmarkEnd w:id="805"/>
      <w:bookmarkEnd w:id="806"/>
      <w:bookmarkEnd w:id="807"/>
    </w:p>
    <w:p w14:paraId="0632157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2.4.1 提供施工现场</w:t>
      </w:r>
    </w:p>
    <w:p w14:paraId="26E7AE3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w:t>
      </w:r>
      <w:bookmarkEnd w:id="793"/>
      <w:r>
        <w:rPr>
          <w:rFonts w:hint="eastAsia" w:ascii="宋体" w:hAnsi="宋体"/>
          <w:color w:val="auto"/>
          <w:kern w:val="0"/>
          <w:szCs w:val="21"/>
          <w:highlight w:val="none"/>
        </w:rPr>
        <w:t>专用合同条款另有约定外，发包人应最迟于开工日期7天前向承包人移交施工现场。</w:t>
      </w:r>
    </w:p>
    <w:p w14:paraId="2F1BCE5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2.4.2 提供施工条件</w:t>
      </w:r>
    </w:p>
    <w:p w14:paraId="56566B3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除专用合同条款另有约定外，发包人应负责提供施工所需要的条件，包括：</w:t>
      </w:r>
    </w:p>
    <w:p w14:paraId="356A9A6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（1）将施工用水、电力、通讯线路等施工所必需的条件接至施工现场内；</w:t>
      </w:r>
    </w:p>
    <w:p w14:paraId="784817F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（2）保证向承包人提供正常施工所需要的进入施工现场的交通条件；</w:t>
      </w:r>
    </w:p>
    <w:p w14:paraId="25E1627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（3）协调处理施工现场周围地下管线和邻近建筑物、构筑物、古树名木的保护工作，并承担相关费用；</w:t>
      </w:r>
    </w:p>
    <w:p w14:paraId="10CD721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（4）按照专用合同条款约定应提供的其他设施和条件。</w:t>
      </w:r>
    </w:p>
    <w:p w14:paraId="1934991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2.4.3 提供基础资料</w:t>
      </w:r>
    </w:p>
    <w:p w14:paraId="3149179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76E2457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按照法律规定确需在开工后方能提供的基础资料，发包人应尽其努力及时地在相应工程施工前的合理期限内提供，合理期限应以不影响承包人的正常施工为限。</w:t>
      </w:r>
    </w:p>
    <w:p w14:paraId="59EF721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2.4.4 逾期提供的责任</w:t>
      </w:r>
    </w:p>
    <w:p w14:paraId="7AF5897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因发包人原因未能按合同约定及时向承包人提供施工现场、施工条件、基础资料的，由发包人承担由此增加的费用和（或）延误的工期。</w:t>
      </w:r>
    </w:p>
    <w:p w14:paraId="15342111">
      <w:pPr>
        <w:pStyle w:val="7"/>
        <w:spacing w:before="0" w:beforeAutospacing="0" w:after="0" w:afterAutospacing="0" w:line="360" w:lineRule="auto"/>
        <w:ind w:firstLine="422" w:firstLineChars="200"/>
        <w:rPr>
          <w:color w:val="auto"/>
          <w:sz w:val="21"/>
          <w:szCs w:val="21"/>
          <w:highlight w:val="none"/>
        </w:rPr>
      </w:pPr>
      <w:bookmarkStart w:id="808" w:name="_Toc532377200"/>
      <w:bookmarkStart w:id="809" w:name="_Toc351203514"/>
      <w:r>
        <w:rPr>
          <w:rFonts w:hint="eastAsia"/>
          <w:color w:val="auto"/>
          <w:sz w:val="21"/>
          <w:szCs w:val="21"/>
          <w:highlight w:val="none"/>
        </w:rPr>
        <w:t>2</w:t>
      </w:r>
      <w:bookmarkStart w:id="810" w:name="_Toc296346543"/>
      <w:bookmarkStart w:id="811" w:name="_Toc337558745"/>
      <w:bookmarkStart w:id="812" w:name="_Toc296503042"/>
      <w:r>
        <w:rPr>
          <w:rFonts w:hint="eastAsia"/>
          <w:color w:val="auto"/>
          <w:sz w:val="21"/>
          <w:szCs w:val="21"/>
          <w:highlight w:val="none"/>
        </w:rPr>
        <w:t>.5 资</w:t>
      </w:r>
      <w:bookmarkEnd w:id="810"/>
      <w:bookmarkEnd w:id="811"/>
      <w:bookmarkEnd w:id="812"/>
      <w:r>
        <w:rPr>
          <w:rFonts w:hint="eastAsia"/>
          <w:color w:val="auto"/>
          <w:sz w:val="21"/>
          <w:szCs w:val="21"/>
          <w:highlight w:val="none"/>
        </w:rPr>
        <w:t>金来源证明及支付担保</w:t>
      </w:r>
      <w:bookmarkEnd w:id="808"/>
      <w:bookmarkEnd w:id="809"/>
    </w:p>
    <w:p w14:paraId="469EEF7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除专用合同条款另有约定外，发包人应在收到承包人要求提供资金来源证明的书面通知后28天内，向承包人提供能够按照合同约定支付合同价款的相应资金来源证明。</w:t>
      </w:r>
    </w:p>
    <w:p w14:paraId="7BD7707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781D2C29">
      <w:pPr>
        <w:pStyle w:val="7"/>
        <w:spacing w:before="0" w:beforeAutospacing="0" w:after="0" w:afterAutospacing="0" w:line="360" w:lineRule="auto"/>
        <w:ind w:firstLine="422" w:firstLineChars="200"/>
        <w:rPr>
          <w:color w:val="auto"/>
          <w:sz w:val="21"/>
          <w:szCs w:val="21"/>
          <w:highlight w:val="none"/>
        </w:rPr>
      </w:pPr>
      <w:bookmarkStart w:id="813" w:name="_Toc351203515"/>
      <w:bookmarkStart w:id="814" w:name="_Toc532377201"/>
      <w:r>
        <w:rPr>
          <w:rFonts w:hint="eastAsia"/>
          <w:color w:val="auto"/>
          <w:sz w:val="21"/>
          <w:szCs w:val="21"/>
          <w:highlight w:val="none"/>
        </w:rPr>
        <w:t>2.6 支付合同价款</w:t>
      </w:r>
      <w:bookmarkEnd w:id="813"/>
      <w:bookmarkEnd w:id="814"/>
    </w:p>
    <w:p w14:paraId="403C245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发包人应按合同约定向承包人及时支付合同价款。</w:t>
      </w:r>
    </w:p>
    <w:p w14:paraId="5531BD1C">
      <w:pPr>
        <w:pStyle w:val="7"/>
        <w:spacing w:before="0" w:beforeAutospacing="0" w:after="0" w:afterAutospacing="0" w:line="360" w:lineRule="auto"/>
        <w:ind w:firstLine="422" w:firstLineChars="200"/>
        <w:rPr>
          <w:color w:val="auto"/>
          <w:sz w:val="21"/>
          <w:szCs w:val="21"/>
          <w:highlight w:val="none"/>
        </w:rPr>
      </w:pPr>
      <w:bookmarkStart w:id="815" w:name="_Toc351203516"/>
      <w:bookmarkStart w:id="816" w:name="_Toc532377202"/>
      <w:r>
        <w:rPr>
          <w:rFonts w:hint="eastAsia"/>
          <w:color w:val="auto"/>
          <w:sz w:val="21"/>
          <w:szCs w:val="21"/>
          <w:highlight w:val="none"/>
        </w:rPr>
        <w:t>2.7 组织竣工验收</w:t>
      </w:r>
      <w:bookmarkEnd w:id="815"/>
      <w:bookmarkEnd w:id="816"/>
    </w:p>
    <w:p w14:paraId="3C7C23B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发包人应按合同约定及时组织竣工验收。</w:t>
      </w:r>
    </w:p>
    <w:p w14:paraId="167B628A">
      <w:pPr>
        <w:pStyle w:val="7"/>
        <w:spacing w:before="0" w:beforeAutospacing="0" w:after="0" w:afterAutospacing="0" w:line="360" w:lineRule="auto"/>
        <w:ind w:firstLine="422" w:firstLineChars="200"/>
        <w:rPr>
          <w:color w:val="auto"/>
          <w:sz w:val="21"/>
          <w:szCs w:val="21"/>
          <w:highlight w:val="none"/>
        </w:rPr>
      </w:pPr>
      <w:bookmarkStart w:id="817" w:name="_Toc532377203"/>
      <w:bookmarkStart w:id="818" w:name="_Toc351203517"/>
      <w:r>
        <w:rPr>
          <w:rFonts w:hint="eastAsia"/>
          <w:color w:val="auto"/>
          <w:sz w:val="21"/>
          <w:szCs w:val="21"/>
          <w:highlight w:val="none"/>
        </w:rPr>
        <w:t>2.8 现场统一管理协议</w:t>
      </w:r>
      <w:bookmarkEnd w:id="817"/>
      <w:bookmarkEnd w:id="818"/>
    </w:p>
    <w:p w14:paraId="7E2352F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发包人应与承包人、由发包人直接发包的专业工程的承包人签订施工现场统一管理协议，明确各方的权利义务。施工现场统一管理协议作为专用合同条款的附件。</w:t>
      </w:r>
    </w:p>
    <w:p w14:paraId="37A90A54">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819" w:name="_Toc351203518"/>
      <w:bookmarkStart w:id="820" w:name="_Toc532375589"/>
      <w:bookmarkStart w:id="821" w:name="_Toc532377204"/>
      <w:r>
        <w:rPr>
          <w:rFonts w:hint="eastAsia"/>
          <w:color w:val="auto"/>
          <w:kern w:val="2"/>
          <w:sz w:val="21"/>
          <w:szCs w:val="21"/>
          <w:highlight w:val="none"/>
        </w:rPr>
        <w:t>3</w:t>
      </w:r>
      <w:bookmarkStart w:id="822" w:name="_Toc296346546"/>
      <w:bookmarkStart w:id="823" w:name="_Toc296503045"/>
      <w:bookmarkStart w:id="824" w:name="_Toc337558746"/>
      <w:r>
        <w:rPr>
          <w:rFonts w:hint="eastAsia"/>
          <w:color w:val="auto"/>
          <w:kern w:val="2"/>
          <w:sz w:val="21"/>
          <w:szCs w:val="21"/>
          <w:highlight w:val="none"/>
        </w:rPr>
        <w:t>. 承包人</w:t>
      </w:r>
      <w:bookmarkEnd w:id="819"/>
      <w:bookmarkEnd w:id="820"/>
      <w:bookmarkEnd w:id="821"/>
    </w:p>
    <w:bookmarkEnd w:id="822"/>
    <w:bookmarkEnd w:id="823"/>
    <w:bookmarkEnd w:id="824"/>
    <w:p w14:paraId="0AAE9406">
      <w:pPr>
        <w:pStyle w:val="7"/>
        <w:spacing w:before="0" w:beforeAutospacing="0" w:after="0" w:afterAutospacing="0" w:line="360" w:lineRule="auto"/>
        <w:ind w:firstLine="422" w:firstLineChars="200"/>
        <w:rPr>
          <w:color w:val="auto"/>
          <w:sz w:val="21"/>
          <w:szCs w:val="21"/>
          <w:highlight w:val="none"/>
        </w:rPr>
      </w:pPr>
      <w:bookmarkStart w:id="825" w:name="_Toc351203519"/>
      <w:bookmarkStart w:id="826" w:name="_Toc532377205"/>
      <w:r>
        <w:rPr>
          <w:rFonts w:hint="eastAsia"/>
          <w:color w:val="auto"/>
          <w:sz w:val="21"/>
          <w:szCs w:val="21"/>
          <w:highlight w:val="none"/>
        </w:rPr>
        <w:t>3</w:t>
      </w:r>
      <w:bookmarkStart w:id="827" w:name="_Toc337558747"/>
      <w:bookmarkStart w:id="828" w:name="_Toc296346547"/>
      <w:bookmarkStart w:id="829" w:name="_Toc296503046"/>
      <w:r>
        <w:rPr>
          <w:rFonts w:hint="eastAsia"/>
          <w:color w:val="auto"/>
          <w:sz w:val="21"/>
          <w:szCs w:val="21"/>
          <w:highlight w:val="none"/>
        </w:rPr>
        <w:t>.1 承包人的一般义务</w:t>
      </w:r>
      <w:bookmarkEnd w:id="825"/>
      <w:bookmarkEnd w:id="826"/>
    </w:p>
    <w:bookmarkEnd w:id="827"/>
    <w:bookmarkEnd w:id="828"/>
    <w:bookmarkEnd w:id="829"/>
    <w:p w14:paraId="03741CF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承包人在履行合同过程中应遵守法律和工程建设标准规范，并履行以下义务：</w:t>
      </w:r>
    </w:p>
    <w:p w14:paraId="74D91C60">
      <w:pPr>
        <w:numPr>
          <w:ilvl w:val="0"/>
          <w:numId w:val="2"/>
        </w:num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办理法律规定应由承包人办理的许可和批准，并将办理结果书面报送发包人留存；</w:t>
      </w:r>
    </w:p>
    <w:p w14:paraId="7871D57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（2）按法律规定和合同约定完成工程，并在保修期内承担保修义务；</w:t>
      </w:r>
    </w:p>
    <w:p w14:paraId="790C260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（3）按法律规定和合同约定采取施工安全和环境保护措施，办理工伤保险，确保工程及人员、材料、设备和设施的安全；</w:t>
      </w:r>
    </w:p>
    <w:p w14:paraId="2B0C2B6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（4）按合同约定的工作内容和施工进度要求，编制施工组织设计和施工措施计划，并对所有施工作业和施工方法的完备性和安全可靠性负责；</w:t>
      </w:r>
    </w:p>
    <w:p w14:paraId="0E3B40E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272DCBE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（6）按照第6.3款〔环境保护〕约定负责施工场地及其周边环境与生态的保护工作；</w:t>
      </w:r>
    </w:p>
    <w:p w14:paraId="7D5C8FC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（7）按第6.1款〔安全文明施工〕约定采取施工安全措施，确保工程及其人员、材料、设备和设施的安全，防止因工程施工造成的人身伤害和财产损失；</w:t>
      </w:r>
    </w:p>
    <w:p w14:paraId="5A6D8C5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（8）将发包人按合同约定支付的各项价款专用于合同工程，且应及时支付其雇用人员工资，并及时向分包人支付合同价款；</w:t>
      </w:r>
    </w:p>
    <w:p w14:paraId="4F2A2AF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（9）按照法律规定和合同约定编制竣工资料，完成竣工资料立卷及归档，并按专用合同条款约定的竣工资料的套数、内容、时间等要求移交发包人；</w:t>
      </w:r>
    </w:p>
    <w:p w14:paraId="78B8E12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（10）应履行的其他义务。</w:t>
      </w:r>
    </w:p>
    <w:p w14:paraId="06D1B758">
      <w:pPr>
        <w:pStyle w:val="7"/>
        <w:spacing w:before="0" w:beforeAutospacing="0" w:after="0" w:afterAutospacing="0" w:line="360" w:lineRule="auto"/>
        <w:ind w:firstLine="422" w:firstLineChars="200"/>
        <w:rPr>
          <w:color w:val="auto"/>
          <w:sz w:val="21"/>
          <w:szCs w:val="21"/>
          <w:highlight w:val="none"/>
        </w:rPr>
      </w:pPr>
      <w:bookmarkStart w:id="830" w:name="_Toc351203520"/>
      <w:bookmarkStart w:id="831" w:name="_Toc532377206"/>
      <w:r>
        <w:rPr>
          <w:rFonts w:hint="eastAsia"/>
          <w:color w:val="auto"/>
          <w:sz w:val="21"/>
          <w:szCs w:val="21"/>
          <w:highlight w:val="none"/>
        </w:rPr>
        <w:t>3</w:t>
      </w:r>
      <w:bookmarkStart w:id="832" w:name="_Toc296346548"/>
      <w:bookmarkStart w:id="833" w:name="_Toc337558748"/>
      <w:bookmarkStart w:id="834" w:name="_Toc296503047"/>
      <w:r>
        <w:rPr>
          <w:rFonts w:hint="eastAsia"/>
          <w:color w:val="auto"/>
          <w:sz w:val="21"/>
          <w:szCs w:val="21"/>
          <w:highlight w:val="none"/>
        </w:rPr>
        <w:t xml:space="preserve">.2 </w:t>
      </w:r>
      <w:bookmarkEnd w:id="830"/>
      <w:r>
        <w:rPr>
          <w:rFonts w:hint="eastAsia"/>
          <w:color w:val="auto"/>
          <w:sz w:val="21"/>
          <w:szCs w:val="21"/>
          <w:highlight w:val="none"/>
        </w:rPr>
        <w:t>项目经理</w:t>
      </w:r>
      <w:bookmarkEnd w:id="831"/>
    </w:p>
    <w:bookmarkEnd w:id="832"/>
    <w:bookmarkEnd w:id="833"/>
    <w:bookmarkEnd w:id="834"/>
    <w:p w14:paraId="14681C8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6F689D8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45D8CC1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承包人违反上述约定的，应按照专用合同条款的约定，承担违约责任。</w:t>
      </w:r>
    </w:p>
    <w:p w14:paraId="1A45ECA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55D3CED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10B79D4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04E03F5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59425A87">
      <w:pPr>
        <w:pStyle w:val="7"/>
        <w:spacing w:before="0" w:beforeAutospacing="0" w:after="0" w:afterAutospacing="0" w:line="360" w:lineRule="auto"/>
        <w:ind w:firstLine="422" w:firstLineChars="200"/>
        <w:rPr>
          <w:color w:val="auto"/>
          <w:sz w:val="21"/>
          <w:szCs w:val="21"/>
          <w:highlight w:val="none"/>
        </w:rPr>
      </w:pPr>
      <w:bookmarkStart w:id="835" w:name="_Toc532377207"/>
      <w:bookmarkStart w:id="836" w:name="_Toc351203521"/>
      <w:r>
        <w:rPr>
          <w:rFonts w:hint="eastAsia"/>
          <w:color w:val="auto"/>
          <w:sz w:val="21"/>
          <w:szCs w:val="21"/>
          <w:highlight w:val="none"/>
        </w:rPr>
        <w:t>3</w:t>
      </w:r>
      <w:bookmarkStart w:id="837" w:name="_Toc296346549"/>
      <w:bookmarkStart w:id="838" w:name="_Toc296503048"/>
      <w:bookmarkStart w:id="839" w:name="_Toc337558749"/>
      <w:r>
        <w:rPr>
          <w:rFonts w:hint="eastAsia"/>
          <w:color w:val="auto"/>
          <w:sz w:val="21"/>
          <w:szCs w:val="21"/>
          <w:highlight w:val="none"/>
        </w:rPr>
        <w:t xml:space="preserve">.3 </w:t>
      </w:r>
      <w:bookmarkEnd w:id="837"/>
      <w:bookmarkEnd w:id="838"/>
      <w:r>
        <w:rPr>
          <w:rFonts w:hint="eastAsia"/>
          <w:color w:val="auto"/>
          <w:sz w:val="21"/>
          <w:szCs w:val="21"/>
          <w:highlight w:val="none"/>
        </w:rPr>
        <w:t>承包人人员</w:t>
      </w:r>
      <w:bookmarkEnd w:id="835"/>
      <w:bookmarkEnd w:id="836"/>
    </w:p>
    <w:bookmarkEnd w:id="839"/>
    <w:p w14:paraId="4542047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6231F20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D68C99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特殊工种作业人员均应持有相应的资格证明，监理人可以随时检查。</w:t>
      </w:r>
    </w:p>
    <w:p w14:paraId="55BBA00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0126C54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00813FC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3.3.5 承包人擅自更换主要施工管理人员，或前述人员未经监理人或发包人同意擅自离开施工现场的，应按照专用合同条款约定承担违约责任。</w:t>
      </w:r>
    </w:p>
    <w:p w14:paraId="6B5176C4">
      <w:pPr>
        <w:pStyle w:val="7"/>
        <w:spacing w:before="0" w:beforeAutospacing="0" w:after="0" w:afterAutospacing="0" w:line="360" w:lineRule="auto"/>
        <w:ind w:firstLine="422" w:firstLineChars="200"/>
        <w:rPr>
          <w:color w:val="auto"/>
          <w:sz w:val="21"/>
          <w:szCs w:val="21"/>
          <w:highlight w:val="none"/>
        </w:rPr>
      </w:pPr>
      <w:bookmarkStart w:id="840" w:name="_Toc532377208"/>
      <w:bookmarkStart w:id="841" w:name="_Toc351203522"/>
      <w:r>
        <w:rPr>
          <w:rFonts w:hint="eastAsia"/>
          <w:color w:val="auto"/>
          <w:sz w:val="21"/>
          <w:szCs w:val="21"/>
          <w:highlight w:val="none"/>
        </w:rPr>
        <w:t>3</w:t>
      </w:r>
      <w:bookmarkStart w:id="842" w:name="_Toc296503050"/>
      <w:bookmarkStart w:id="843" w:name="_Toc337558750"/>
      <w:bookmarkStart w:id="844" w:name="_Toc296346551"/>
      <w:r>
        <w:rPr>
          <w:rFonts w:hint="eastAsia"/>
          <w:color w:val="auto"/>
          <w:sz w:val="21"/>
          <w:szCs w:val="21"/>
          <w:highlight w:val="none"/>
        </w:rPr>
        <w:t>.4 承包人现场查勘</w:t>
      </w:r>
      <w:bookmarkEnd w:id="840"/>
      <w:bookmarkEnd w:id="841"/>
    </w:p>
    <w:bookmarkEnd w:id="842"/>
    <w:bookmarkEnd w:id="843"/>
    <w:bookmarkEnd w:id="844"/>
    <w:p w14:paraId="4C9D0FF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承包人应对基于发包人按照第2.4.3项〔提供基础资料〕提交的基础资料所做出的解释和推断负责，但因基础资料存在错误、遗漏导致承包人解释或推断失实的，由发包人承担责任。</w:t>
      </w:r>
    </w:p>
    <w:p w14:paraId="5DC9F09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408C2607">
      <w:pPr>
        <w:pStyle w:val="7"/>
        <w:spacing w:before="0" w:beforeAutospacing="0" w:after="0" w:afterAutospacing="0" w:line="360" w:lineRule="auto"/>
        <w:ind w:firstLine="422" w:firstLineChars="200"/>
        <w:rPr>
          <w:color w:val="auto"/>
          <w:sz w:val="21"/>
          <w:szCs w:val="21"/>
          <w:highlight w:val="none"/>
        </w:rPr>
      </w:pPr>
      <w:bookmarkStart w:id="845" w:name="_Toc532377209"/>
      <w:bookmarkStart w:id="846" w:name="_Toc351203523"/>
      <w:r>
        <w:rPr>
          <w:rFonts w:hint="eastAsia"/>
          <w:color w:val="auto"/>
          <w:sz w:val="21"/>
          <w:szCs w:val="21"/>
          <w:highlight w:val="none"/>
        </w:rPr>
        <w:t>3</w:t>
      </w:r>
      <w:bookmarkStart w:id="847" w:name="_Toc337558751"/>
      <w:bookmarkStart w:id="848" w:name="_Toc296346552"/>
      <w:bookmarkStart w:id="849" w:name="_Toc296503051"/>
      <w:r>
        <w:rPr>
          <w:rFonts w:hint="eastAsia"/>
          <w:color w:val="auto"/>
          <w:sz w:val="21"/>
          <w:szCs w:val="21"/>
          <w:highlight w:val="none"/>
        </w:rPr>
        <w:t>.5 分包</w:t>
      </w:r>
      <w:bookmarkEnd w:id="845"/>
      <w:bookmarkEnd w:id="846"/>
    </w:p>
    <w:bookmarkEnd w:id="847"/>
    <w:bookmarkEnd w:id="848"/>
    <w:bookmarkEnd w:id="849"/>
    <w:p w14:paraId="4C3C9FD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3.5.1 分包的一般约定</w:t>
      </w:r>
    </w:p>
    <w:p w14:paraId="5332F14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31AFCF3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承包人不得以劳务分包的名义转包或违法分包工程。</w:t>
      </w:r>
    </w:p>
    <w:p w14:paraId="066346E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3.5.2 分包的确定</w:t>
      </w:r>
    </w:p>
    <w:p w14:paraId="2C445F2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7F08B75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3.5.3 分包管理</w:t>
      </w:r>
    </w:p>
    <w:p w14:paraId="4C48540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承包人应向监理人提交分包人的主要施工管理人员表，并对分包人的施工人员进行实名制管理，包括但不限于进出场管理、登记造册以及各种证照的办理。</w:t>
      </w:r>
    </w:p>
    <w:p w14:paraId="0EA13AE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3.5.4 分包合同价款</w:t>
      </w:r>
    </w:p>
    <w:p w14:paraId="63C8952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（1）除本项第（2）目约定的情况或专用合同条款另有约定外，分包合同价款由承包人与分包人结算，未经承包人同意，发包人不得向分包人支付分包工程价款；</w:t>
      </w:r>
    </w:p>
    <w:p w14:paraId="46BDDFC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（2）生效法律文书要求发包人向分包人支付分包合同价款的，发包人有权从应付承包人工程款中扣除该部分款项。</w:t>
      </w:r>
    </w:p>
    <w:p w14:paraId="30DEA12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3.5.5 分包合同权益的转让</w:t>
      </w:r>
    </w:p>
    <w:p w14:paraId="71DBD63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850" w:name="_Toc351203524"/>
    </w:p>
    <w:p w14:paraId="054293E4">
      <w:pPr>
        <w:pStyle w:val="7"/>
        <w:spacing w:before="0" w:beforeAutospacing="0" w:after="0" w:afterAutospacing="0" w:line="360" w:lineRule="auto"/>
        <w:ind w:firstLine="422" w:firstLineChars="200"/>
        <w:rPr>
          <w:color w:val="auto"/>
          <w:sz w:val="21"/>
          <w:szCs w:val="21"/>
          <w:highlight w:val="none"/>
        </w:rPr>
      </w:pPr>
      <w:bookmarkStart w:id="851" w:name="_Toc532377210"/>
      <w:r>
        <w:rPr>
          <w:rFonts w:hint="eastAsia"/>
          <w:color w:val="auto"/>
          <w:sz w:val="21"/>
          <w:szCs w:val="21"/>
          <w:highlight w:val="none"/>
        </w:rPr>
        <w:t>3.6 工程照管与成品、半成品保护</w:t>
      </w:r>
      <w:bookmarkEnd w:id="850"/>
      <w:bookmarkEnd w:id="851"/>
    </w:p>
    <w:p w14:paraId="368CC9A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（1）除专用合同条款另有约定外，自发包人向承包人移交施工现场之日起，承包人应负责照管工程及工程相关的材料、工程设备，直到颁发工程接收证书之日止。</w:t>
      </w:r>
    </w:p>
    <w:p w14:paraId="71B4EB6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（2）在承包人负责照管期间，因承包人原因造成工程、材料、工程设备损坏的，由承包人负责修复或更换，并承担由此增加的费用和（或）延误的工期。</w:t>
      </w:r>
    </w:p>
    <w:p w14:paraId="13EBDE7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601CB8C7">
      <w:pPr>
        <w:pStyle w:val="7"/>
        <w:spacing w:before="0" w:beforeAutospacing="0" w:after="0" w:afterAutospacing="0" w:line="360" w:lineRule="auto"/>
        <w:ind w:firstLine="422" w:firstLineChars="200"/>
        <w:rPr>
          <w:color w:val="auto"/>
          <w:sz w:val="21"/>
          <w:szCs w:val="21"/>
          <w:highlight w:val="none"/>
        </w:rPr>
      </w:pPr>
      <w:bookmarkStart w:id="852" w:name="_Toc351203525"/>
      <w:bookmarkStart w:id="853" w:name="_Toc532377211"/>
      <w:r>
        <w:rPr>
          <w:rFonts w:hint="eastAsia"/>
          <w:color w:val="auto"/>
          <w:sz w:val="21"/>
          <w:szCs w:val="21"/>
          <w:highlight w:val="none"/>
        </w:rPr>
        <w:t>3</w:t>
      </w:r>
      <w:bookmarkStart w:id="854" w:name="_Toc296346553"/>
      <w:bookmarkStart w:id="855" w:name="_Toc337558752"/>
      <w:bookmarkStart w:id="856" w:name="_Toc296503052"/>
      <w:r>
        <w:rPr>
          <w:rFonts w:hint="eastAsia"/>
          <w:color w:val="auto"/>
          <w:sz w:val="21"/>
          <w:szCs w:val="21"/>
          <w:highlight w:val="none"/>
        </w:rPr>
        <w:t>.7 履约担保</w:t>
      </w:r>
      <w:bookmarkEnd w:id="852"/>
      <w:bookmarkEnd w:id="853"/>
    </w:p>
    <w:bookmarkEnd w:id="854"/>
    <w:bookmarkEnd w:id="855"/>
    <w:bookmarkEnd w:id="856"/>
    <w:p w14:paraId="57FEE05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06F461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因承包人原因导致工期延长的，继续提供履约担保所增加的费用由承包人承担；非因承包人原因导致工期延长的，继续提供履约担保所增加的费用由发包人承担。</w:t>
      </w:r>
    </w:p>
    <w:p w14:paraId="22257A39">
      <w:pPr>
        <w:pStyle w:val="7"/>
        <w:spacing w:before="0" w:beforeAutospacing="0" w:after="0" w:afterAutospacing="0" w:line="360" w:lineRule="auto"/>
        <w:ind w:firstLine="422" w:firstLineChars="200"/>
        <w:rPr>
          <w:color w:val="auto"/>
          <w:sz w:val="21"/>
          <w:szCs w:val="21"/>
          <w:highlight w:val="none"/>
        </w:rPr>
      </w:pPr>
      <w:bookmarkStart w:id="857" w:name="_Toc351203526"/>
      <w:bookmarkStart w:id="858" w:name="_Toc532377212"/>
      <w:r>
        <w:rPr>
          <w:rFonts w:hint="eastAsia"/>
          <w:color w:val="auto"/>
          <w:sz w:val="21"/>
          <w:szCs w:val="21"/>
          <w:highlight w:val="none"/>
        </w:rPr>
        <w:t>3.8 联合体</w:t>
      </w:r>
      <w:bookmarkEnd w:id="857"/>
      <w:bookmarkEnd w:id="858"/>
    </w:p>
    <w:p w14:paraId="1C3FF1A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3.8.1 联合体各方应共同与发包人签订合同协议书。联合体各方应为履行合同向发包人承担连带责任。</w:t>
      </w:r>
    </w:p>
    <w:p w14:paraId="53DCB04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3.8.2 联合体协议经发包人确认后作为合同附件。在履行合同过程中，未经发包人同意，不得修改联合体协议。</w:t>
      </w:r>
    </w:p>
    <w:p w14:paraId="08A628B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3.8.3 联合体牵头人负责与发包人和监理人联系，并接受指示，负责组织联合体各成员全面履行合同。</w:t>
      </w:r>
    </w:p>
    <w:p w14:paraId="5D61B704">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859" w:name="_Toc532377213"/>
      <w:bookmarkStart w:id="860" w:name="_Toc532375590"/>
      <w:bookmarkStart w:id="861" w:name="_Toc351203527"/>
      <w:r>
        <w:rPr>
          <w:rFonts w:hint="eastAsia"/>
          <w:color w:val="auto"/>
          <w:kern w:val="2"/>
          <w:sz w:val="21"/>
          <w:szCs w:val="21"/>
          <w:highlight w:val="none"/>
        </w:rPr>
        <w:t>4</w:t>
      </w:r>
      <w:bookmarkStart w:id="862" w:name="_Toc296346554"/>
      <w:bookmarkStart w:id="863" w:name="_Toc296503053"/>
      <w:bookmarkStart w:id="864" w:name="_Toc337558753"/>
      <w:r>
        <w:rPr>
          <w:rFonts w:hint="eastAsia"/>
          <w:color w:val="auto"/>
          <w:kern w:val="2"/>
          <w:sz w:val="21"/>
          <w:szCs w:val="21"/>
          <w:highlight w:val="none"/>
        </w:rPr>
        <w:t>. 监</w:t>
      </w:r>
      <w:bookmarkEnd w:id="862"/>
      <w:bookmarkEnd w:id="863"/>
      <w:r>
        <w:rPr>
          <w:rFonts w:hint="eastAsia"/>
          <w:color w:val="auto"/>
          <w:kern w:val="2"/>
          <w:sz w:val="21"/>
          <w:szCs w:val="21"/>
          <w:highlight w:val="none"/>
        </w:rPr>
        <w:t>理人</w:t>
      </w:r>
      <w:bookmarkEnd w:id="859"/>
      <w:bookmarkEnd w:id="860"/>
      <w:bookmarkEnd w:id="861"/>
    </w:p>
    <w:bookmarkEnd w:id="864"/>
    <w:p w14:paraId="514DDA98">
      <w:pPr>
        <w:pStyle w:val="7"/>
        <w:spacing w:before="0" w:beforeAutospacing="0" w:after="0" w:afterAutospacing="0" w:line="360" w:lineRule="auto"/>
        <w:ind w:firstLine="422" w:firstLineChars="200"/>
        <w:rPr>
          <w:color w:val="auto"/>
          <w:sz w:val="21"/>
          <w:szCs w:val="21"/>
          <w:highlight w:val="none"/>
        </w:rPr>
      </w:pPr>
      <w:bookmarkStart w:id="865" w:name="_Toc532377214"/>
      <w:bookmarkStart w:id="866" w:name="_Toc351203528"/>
      <w:r>
        <w:rPr>
          <w:rFonts w:hint="eastAsia"/>
          <w:color w:val="auto"/>
          <w:sz w:val="21"/>
          <w:szCs w:val="21"/>
          <w:highlight w:val="none"/>
        </w:rPr>
        <w:t>4</w:t>
      </w:r>
      <w:bookmarkStart w:id="867" w:name="_Toc296346555"/>
      <w:bookmarkStart w:id="868" w:name="_Toc337558754"/>
      <w:bookmarkStart w:id="869" w:name="_Toc296503054"/>
      <w:r>
        <w:rPr>
          <w:rFonts w:hint="eastAsia"/>
          <w:color w:val="auto"/>
          <w:sz w:val="21"/>
          <w:szCs w:val="21"/>
          <w:highlight w:val="none"/>
        </w:rPr>
        <w:t>.1监理人的一般规定</w:t>
      </w:r>
      <w:bookmarkEnd w:id="865"/>
      <w:bookmarkEnd w:id="866"/>
    </w:p>
    <w:bookmarkEnd w:id="867"/>
    <w:bookmarkEnd w:id="868"/>
    <w:bookmarkEnd w:id="869"/>
    <w:p w14:paraId="1783E49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F4E3B7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除专用合同条款另有约定外，监理人在施工现场的办公场所、生活场所由承包人提供，所发生的费用由发包人承担。</w:t>
      </w:r>
    </w:p>
    <w:p w14:paraId="0D7FA362">
      <w:pPr>
        <w:pStyle w:val="7"/>
        <w:spacing w:before="0" w:beforeAutospacing="0" w:after="0" w:afterAutospacing="0" w:line="360" w:lineRule="auto"/>
        <w:ind w:firstLine="422" w:firstLineChars="200"/>
        <w:rPr>
          <w:color w:val="auto"/>
          <w:sz w:val="21"/>
          <w:szCs w:val="21"/>
          <w:highlight w:val="none"/>
        </w:rPr>
      </w:pPr>
      <w:bookmarkStart w:id="870" w:name="_Toc351203529"/>
      <w:bookmarkStart w:id="871" w:name="_Toc532377215"/>
      <w:r>
        <w:rPr>
          <w:rFonts w:hint="eastAsia"/>
          <w:color w:val="auto"/>
          <w:sz w:val="21"/>
          <w:szCs w:val="21"/>
          <w:highlight w:val="none"/>
        </w:rPr>
        <w:t>4</w:t>
      </w:r>
      <w:bookmarkStart w:id="872" w:name="_Toc337558755"/>
      <w:r>
        <w:rPr>
          <w:rFonts w:hint="eastAsia"/>
          <w:color w:val="auto"/>
          <w:sz w:val="21"/>
          <w:szCs w:val="21"/>
          <w:highlight w:val="none"/>
        </w:rPr>
        <w:t>.2监理人员</w:t>
      </w:r>
      <w:bookmarkEnd w:id="870"/>
      <w:bookmarkEnd w:id="871"/>
    </w:p>
    <w:bookmarkEnd w:id="872"/>
    <w:p w14:paraId="203B1C3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53B78143">
      <w:pPr>
        <w:pStyle w:val="7"/>
        <w:spacing w:before="0" w:beforeAutospacing="0" w:after="0" w:afterAutospacing="0" w:line="360" w:lineRule="auto"/>
        <w:ind w:firstLine="422" w:firstLineChars="200"/>
        <w:rPr>
          <w:color w:val="auto"/>
          <w:sz w:val="21"/>
          <w:szCs w:val="21"/>
          <w:highlight w:val="none"/>
        </w:rPr>
      </w:pPr>
      <w:bookmarkStart w:id="873" w:name="_Toc532377216"/>
      <w:bookmarkStart w:id="874" w:name="_Toc351203530"/>
      <w:r>
        <w:rPr>
          <w:rFonts w:hint="eastAsia"/>
          <w:color w:val="auto"/>
          <w:sz w:val="21"/>
          <w:szCs w:val="21"/>
          <w:highlight w:val="none"/>
        </w:rPr>
        <w:t>4</w:t>
      </w:r>
      <w:bookmarkStart w:id="875" w:name="_Toc296346556"/>
      <w:bookmarkStart w:id="876" w:name="_Toc296503055"/>
      <w:bookmarkStart w:id="877" w:name="_Toc337558756"/>
      <w:r>
        <w:rPr>
          <w:rFonts w:hint="eastAsia"/>
          <w:color w:val="auto"/>
          <w:sz w:val="21"/>
          <w:szCs w:val="21"/>
          <w:highlight w:val="none"/>
        </w:rPr>
        <w:t>.3</w:t>
      </w:r>
      <w:bookmarkEnd w:id="875"/>
      <w:bookmarkEnd w:id="876"/>
      <w:r>
        <w:rPr>
          <w:rFonts w:hint="eastAsia"/>
          <w:color w:val="auto"/>
          <w:sz w:val="21"/>
          <w:szCs w:val="21"/>
          <w:highlight w:val="none"/>
        </w:rPr>
        <w:t>监理人的指</w:t>
      </w:r>
      <w:bookmarkEnd w:id="877"/>
      <w:r>
        <w:rPr>
          <w:rFonts w:hint="eastAsia"/>
          <w:color w:val="auto"/>
          <w:sz w:val="21"/>
          <w:szCs w:val="21"/>
          <w:highlight w:val="none"/>
        </w:rPr>
        <w:t>示</w:t>
      </w:r>
      <w:bookmarkEnd w:id="873"/>
      <w:bookmarkEnd w:id="874"/>
    </w:p>
    <w:p w14:paraId="29E64A6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应按照发包人的授权发出监理指示。监理人的指示应采用书面形式，并经其授权的监理人员签名。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7BDD4C9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32851A5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承包人对监理人发出的指示有疑问的，应向监理人提出书面异议，监理人应在48小时内对该指示予以确认、更改或撤销，监理人逾期未回复的，承包人有权拒绝执行上述指示。</w:t>
      </w:r>
    </w:p>
    <w:p w14:paraId="012B5FA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497D07F0">
      <w:pPr>
        <w:pStyle w:val="7"/>
        <w:spacing w:before="0" w:beforeAutospacing="0" w:after="0" w:afterAutospacing="0" w:line="360" w:lineRule="auto"/>
        <w:ind w:firstLine="422" w:firstLineChars="200"/>
        <w:rPr>
          <w:color w:val="auto"/>
          <w:sz w:val="21"/>
          <w:szCs w:val="21"/>
          <w:highlight w:val="none"/>
        </w:rPr>
      </w:pPr>
      <w:bookmarkStart w:id="878" w:name="_Toc532377217"/>
      <w:bookmarkStart w:id="879" w:name="_Toc351203531"/>
      <w:r>
        <w:rPr>
          <w:rFonts w:hint="eastAsia"/>
          <w:color w:val="auto"/>
          <w:sz w:val="21"/>
          <w:szCs w:val="21"/>
          <w:highlight w:val="none"/>
        </w:rPr>
        <w:t>4</w:t>
      </w:r>
      <w:bookmarkStart w:id="880" w:name="_Toc296346558"/>
      <w:bookmarkStart w:id="881" w:name="_Toc296503057"/>
      <w:bookmarkStart w:id="882" w:name="_Toc337558757"/>
      <w:r>
        <w:rPr>
          <w:rFonts w:hint="eastAsia"/>
          <w:color w:val="auto"/>
          <w:sz w:val="21"/>
          <w:szCs w:val="21"/>
          <w:highlight w:val="none"/>
        </w:rPr>
        <w:t>.4 商定或确定</w:t>
      </w:r>
      <w:bookmarkEnd w:id="878"/>
      <w:bookmarkEnd w:id="879"/>
    </w:p>
    <w:bookmarkEnd w:id="880"/>
    <w:bookmarkEnd w:id="881"/>
    <w:bookmarkEnd w:id="882"/>
    <w:p w14:paraId="455E31C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合同当事人进行商定或确定时，总监理工程师应当会同合同当事人尽量通过协商达成一致，不能达成一致的，由总监理工程师按照合同约定审慎做出公正的确定。</w:t>
      </w:r>
    </w:p>
    <w:p w14:paraId="64F719F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0C44BD12">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883" w:name="_Toc532375591"/>
      <w:bookmarkStart w:id="884" w:name="_Toc351203532"/>
      <w:bookmarkStart w:id="885" w:name="_Toc532377218"/>
      <w:r>
        <w:rPr>
          <w:rFonts w:hint="eastAsia"/>
          <w:color w:val="auto"/>
          <w:kern w:val="2"/>
          <w:sz w:val="21"/>
          <w:szCs w:val="21"/>
          <w:highlight w:val="none"/>
        </w:rPr>
        <w:t>5</w:t>
      </w:r>
      <w:bookmarkStart w:id="886" w:name="_Toc337558758"/>
      <w:r>
        <w:rPr>
          <w:rFonts w:hint="eastAsia"/>
          <w:color w:val="auto"/>
          <w:kern w:val="2"/>
          <w:sz w:val="21"/>
          <w:szCs w:val="21"/>
          <w:highlight w:val="none"/>
        </w:rPr>
        <w:t>. 工程质量</w:t>
      </w:r>
      <w:bookmarkEnd w:id="883"/>
      <w:bookmarkEnd w:id="884"/>
      <w:bookmarkEnd w:id="885"/>
    </w:p>
    <w:bookmarkEnd w:id="886"/>
    <w:p w14:paraId="265D030E">
      <w:pPr>
        <w:pStyle w:val="7"/>
        <w:spacing w:before="0" w:beforeAutospacing="0" w:after="0" w:afterAutospacing="0" w:line="360" w:lineRule="auto"/>
        <w:ind w:firstLine="422" w:firstLineChars="200"/>
        <w:rPr>
          <w:color w:val="auto"/>
          <w:sz w:val="21"/>
          <w:szCs w:val="21"/>
          <w:highlight w:val="none"/>
        </w:rPr>
      </w:pPr>
      <w:bookmarkStart w:id="887" w:name="_Toc532377219"/>
      <w:bookmarkStart w:id="888" w:name="_Toc351203533"/>
      <w:r>
        <w:rPr>
          <w:rFonts w:hint="eastAsia"/>
          <w:color w:val="auto"/>
          <w:sz w:val="21"/>
          <w:szCs w:val="21"/>
          <w:highlight w:val="none"/>
        </w:rPr>
        <w:t>5</w:t>
      </w:r>
      <w:bookmarkStart w:id="889" w:name="_Toc337558759"/>
      <w:r>
        <w:rPr>
          <w:rFonts w:hint="eastAsia"/>
          <w:color w:val="auto"/>
          <w:sz w:val="21"/>
          <w:szCs w:val="21"/>
          <w:highlight w:val="none"/>
        </w:rPr>
        <w:t>.1质量要求</w:t>
      </w:r>
      <w:bookmarkEnd w:id="887"/>
      <w:bookmarkEnd w:id="888"/>
    </w:p>
    <w:bookmarkEnd w:id="889"/>
    <w:p w14:paraId="2433B8D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5.1.1 工程质量标准必须符合现行国家有关工程施工质量验收规范和标准的要求。有关工程质量的特殊标准或要求由合同当事人在专用合同条款中约定。</w:t>
      </w:r>
    </w:p>
    <w:p w14:paraId="7719BA2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5.1.2 因发包人原因造成工程质量未达到合同约定标准的，由发包人承担由此增加的费用和（或）延误的工期，并支付承包人合理的利润。</w:t>
      </w:r>
    </w:p>
    <w:p w14:paraId="2505730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5.1.3 因承包人原因造成工程质量未达到合同约定标准的，发包人有权要求承包人返工直至工程质量达到合同约定的标准为止，并由承包人承担由此增加的费用和（或）延误的工期。</w:t>
      </w:r>
    </w:p>
    <w:p w14:paraId="5B6D50EF">
      <w:pPr>
        <w:pStyle w:val="7"/>
        <w:spacing w:before="0" w:beforeAutospacing="0" w:after="0" w:afterAutospacing="0" w:line="360" w:lineRule="auto"/>
        <w:ind w:firstLine="422" w:firstLineChars="200"/>
        <w:rPr>
          <w:color w:val="auto"/>
          <w:sz w:val="21"/>
          <w:szCs w:val="21"/>
          <w:highlight w:val="none"/>
        </w:rPr>
      </w:pPr>
      <w:bookmarkStart w:id="890" w:name="_Toc532377220"/>
      <w:bookmarkStart w:id="891" w:name="_Toc351203534"/>
      <w:r>
        <w:rPr>
          <w:rFonts w:hint="eastAsia"/>
          <w:color w:val="auto"/>
          <w:sz w:val="21"/>
          <w:szCs w:val="21"/>
          <w:highlight w:val="none"/>
        </w:rPr>
        <w:t>5</w:t>
      </w:r>
      <w:bookmarkStart w:id="892" w:name="_Toc337558760"/>
      <w:r>
        <w:rPr>
          <w:rFonts w:hint="eastAsia"/>
          <w:color w:val="auto"/>
          <w:sz w:val="21"/>
          <w:szCs w:val="21"/>
          <w:highlight w:val="none"/>
        </w:rPr>
        <w:t>.2质量保证措施</w:t>
      </w:r>
      <w:bookmarkEnd w:id="890"/>
      <w:bookmarkEnd w:id="891"/>
    </w:p>
    <w:bookmarkEnd w:id="892"/>
    <w:p w14:paraId="6D301B1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5.2.1 发包人的质量管理</w:t>
      </w:r>
    </w:p>
    <w:p w14:paraId="252647C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发包人应按照法律规定及合同约定完成与工程质量有关的各项工作。</w:t>
      </w:r>
    </w:p>
    <w:p w14:paraId="50E0801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5.2.2 承包人的质量管理</w:t>
      </w:r>
    </w:p>
    <w:p w14:paraId="1B65191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6971CD3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承包人应对施工人员进行质量教育和技术培训，定期考核施工人员的劳动技能，严格执行施工规范和操作规程。</w:t>
      </w:r>
    </w:p>
    <w:p w14:paraId="5F4E96C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39CE38B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5.2.3 监理人的质量检查和检验</w:t>
      </w:r>
    </w:p>
    <w:p w14:paraId="56FFFFC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2FB45D0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7618C06">
      <w:pPr>
        <w:pStyle w:val="7"/>
        <w:spacing w:before="0" w:beforeAutospacing="0" w:after="0" w:afterAutospacing="0" w:line="360" w:lineRule="auto"/>
        <w:ind w:firstLine="422" w:firstLineChars="200"/>
        <w:rPr>
          <w:color w:val="auto"/>
          <w:sz w:val="21"/>
          <w:szCs w:val="21"/>
          <w:highlight w:val="none"/>
        </w:rPr>
      </w:pPr>
      <w:bookmarkStart w:id="893" w:name="_Toc351203535"/>
      <w:bookmarkStart w:id="894" w:name="_Toc532377221"/>
      <w:r>
        <w:rPr>
          <w:rFonts w:hint="eastAsia"/>
          <w:color w:val="auto"/>
          <w:sz w:val="21"/>
          <w:szCs w:val="21"/>
          <w:highlight w:val="none"/>
        </w:rPr>
        <w:t>5</w:t>
      </w:r>
      <w:bookmarkStart w:id="895" w:name="_Toc337558761"/>
      <w:r>
        <w:rPr>
          <w:rFonts w:hint="eastAsia"/>
          <w:color w:val="auto"/>
          <w:sz w:val="21"/>
          <w:szCs w:val="21"/>
          <w:highlight w:val="none"/>
        </w:rPr>
        <w:t>.3 隐蔽工程检查</w:t>
      </w:r>
      <w:bookmarkEnd w:id="893"/>
      <w:bookmarkEnd w:id="894"/>
    </w:p>
    <w:bookmarkEnd w:id="895"/>
    <w:p w14:paraId="49880CE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5.3.1承包人自检</w:t>
      </w:r>
    </w:p>
    <w:p w14:paraId="098B161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承包人应当对工程隐蔽部位进行自检，并经自检确认是否具备覆盖条件。</w:t>
      </w:r>
    </w:p>
    <w:p w14:paraId="45D7CB1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5.3.2检查程序</w:t>
      </w:r>
    </w:p>
    <w:p w14:paraId="769D31F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54F7E2D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应按时到场并对隐蔽工程及其施工工艺、材料和工程设备进行检查。经监理人检查确认质量符合隐蔽要求，并在验收记录上签名后，承包人才能进行覆盖。经监理人检查质量不合格的，承包人应在监理人指示的时间内完成修复，并由监理人重新检查，由此增加的费用和（或）延误的工期由承包人承担。</w:t>
      </w:r>
    </w:p>
    <w:p w14:paraId="541F8A5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名确认。监理人事后对检查记录有疑问的，可按第5.3.3项〔重新检查〕的约定重新检查。</w:t>
      </w:r>
    </w:p>
    <w:p w14:paraId="503022D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5.3.3 重新检查</w:t>
      </w:r>
    </w:p>
    <w:p w14:paraId="5812468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00786F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5.3.4 承包人私自覆盖</w:t>
      </w:r>
    </w:p>
    <w:p w14:paraId="4096153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7E479B51">
      <w:pPr>
        <w:pStyle w:val="7"/>
        <w:spacing w:before="0" w:beforeAutospacing="0" w:after="0" w:afterAutospacing="0" w:line="360" w:lineRule="auto"/>
        <w:ind w:firstLine="422" w:firstLineChars="200"/>
        <w:rPr>
          <w:color w:val="auto"/>
          <w:sz w:val="21"/>
          <w:szCs w:val="21"/>
          <w:highlight w:val="none"/>
        </w:rPr>
      </w:pPr>
      <w:bookmarkStart w:id="896" w:name="_Toc532377222"/>
      <w:r>
        <w:rPr>
          <w:rFonts w:hint="eastAsia"/>
          <w:color w:val="auto"/>
          <w:sz w:val="21"/>
          <w:szCs w:val="21"/>
          <w:highlight w:val="none"/>
        </w:rPr>
        <w:t>5.4不合格工程的处理</w:t>
      </w:r>
      <w:bookmarkEnd w:id="896"/>
    </w:p>
    <w:p w14:paraId="0D3262D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7118E06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5.4.2 因发包人原因造成工程不合格的，由此增加的费用和（或）延误的工期由发包人承担，并支付承包人合理的利润。</w:t>
      </w:r>
    </w:p>
    <w:p w14:paraId="7C433BCE">
      <w:pPr>
        <w:pStyle w:val="7"/>
        <w:spacing w:before="0" w:beforeAutospacing="0" w:after="0" w:afterAutospacing="0" w:line="360" w:lineRule="auto"/>
        <w:ind w:firstLine="422" w:firstLineChars="200"/>
        <w:rPr>
          <w:color w:val="auto"/>
          <w:sz w:val="21"/>
          <w:szCs w:val="21"/>
          <w:highlight w:val="none"/>
        </w:rPr>
      </w:pPr>
      <w:bookmarkStart w:id="897" w:name="_Toc351203537"/>
      <w:bookmarkStart w:id="898" w:name="_Toc532377223"/>
      <w:r>
        <w:rPr>
          <w:rFonts w:hint="eastAsia"/>
          <w:color w:val="auto"/>
          <w:sz w:val="21"/>
          <w:szCs w:val="21"/>
          <w:highlight w:val="none"/>
        </w:rPr>
        <w:t>5.5 质量争议检测</w:t>
      </w:r>
      <w:bookmarkEnd w:id="897"/>
      <w:bookmarkEnd w:id="898"/>
    </w:p>
    <w:p w14:paraId="50D5BDE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合同当事人对工程质量有争议的，由双方协商确定的工程质量检测机构鉴定，由此产生的费用及因此造成的损失，由责任方承担。</w:t>
      </w:r>
    </w:p>
    <w:p w14:paraId="494E8A5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合同当事人均有责任的，由双方根据其责任分别承担。合同当事人无法达成一致的，按照第4.4款〔商定或确定〕执行。</w:t>
      </w:r>
    </w:p>
    <w:p w14:paraId="1958D82F">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899" w:name="_Toc351203538"/>
      <w:bookmarkStart w:id="900" w:name="_Toc532375592"/>
      <w:bookmarkStart w:id="901" w:name="_Toc532377224"/>
      <w:r>
        <w:rPr>
          <w:rFonts w:hint="eastAsia"/>
          <w:color w:val="auto"/>
          <w:kern w:val="2"/>
          <w:sz w:val="21"/>
          <w:szCs w:val="21"/>
          <w:highlight w:val="none"/>
        </w:rPr>
        <w:t>6</w:t>
      </w:r>
      <w:bookmarkStart w:id="902" w:name="_Toc337558763"/>
      <w:r>
        <w:rPr>
          <w:rFonts w:hint="eastAsia"/>
          <w:color w:val="auto"/>
          <w:kern w:val="2"/>
          <w:sz w:val="21"/>
          <w:szCs w:val="21"/>
          <w:highlight w:val="none"/>
        </w:rPr>
        <w:t>. 安全文明施工与环境保护</w:t>
      </w:r>
      <w:bookmarkEnd w:id="899"/>
      <w:bookmarkEnd w:id="900"/>
      <w:bookmarkEnd w:id="901"/>
    </w:p>
    <w:bookmarkEnd w:id="902"/>
    <w:p w14:paraId="41BEFD4A">
      <w:pPr>
        <w:pStyle w:val="7"/>
        <w:spacing w:before="0" w:beforeAutospacing="0" w:after="0" w:afterAutospacing="0" w:line="360" w:lineRule="auto"/>
        <w:ind w:firstLine="422" w:firstLineChars="200"/>
        <w:rPr>
          <w:color w:val="auto"/>
          <w:sz w:val="21"/>
          <w:szCs w:val="21"/>
          <w:highlight w:val="none"/>
        </w:rPr>
      </w:pPr>
      <w:bookmarkStart w:id="903" w:name="_Toc532377225"/>
      <w:bookmarkStart w:id="904" w:name="_Toc351203539"/>
      <w:r>
        <w:rPr>
          <w:rFonts w:hint="eastAsia"/>
          <w:color w:val="auto"/>
          <w:sz w:val="21"/>
          <w:szCs w:val="21"/>
          <w:highlight w:val="none"/>
        </w:rPr>
        <w:t>6</w:t>
      </w:r>
      <w:bookmarkStart w:id="905" w:name="_Toc337558764"/>
      <w:r>
        <w:rPr>
          <w:rFonts w:hint="eastAsia"/>
          <w:color w:val="auto"/>
          <w:sz w:val="21"/>
          <w:szCs w:val="21"/>
          <w:highlight w:val="none"/>
        </w:rPr>
        <w:t>.1安全文明施工</w:t>
      </w:r>
      <w:bookmarkEnd w:id="903"/>
      <w:bookmarkEnd w:id="904"/>
    </w:p>
    <w:bookmarkEnd w:id="905"/>
    <w:p w14:paraId="162F38D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6.1.1安全生产要求</w:t>
      </w:r>
    </w:p>
    <w:p w14:paraId="6052211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7DA2889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在施工过程中，如遇到突发的地质变动、事先未知的地下施工障碍等影响施工安全的紧急情况，承包人应及时报告监理人和发包人，发包人应当及时下令停工并报政府有关行政管理部门采取应急措施。</w:t>
      </w:r>
    </w:p>
    <w:p w14:paraId="6D69FB4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因安全生产需要暂停施工的，按照第7.8款〔暂停施工〕的约定执行。</w:t>
      </w:r>
    </w:p>
    <w:p w14:paraId="7C2AF9B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6.1.2 安全生产保证措施</w:t>
      </w:r>
    </w:p>
    <w:p w14:paraId="4E23585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4CCEDD1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6.1.3特别安全生产事项</w:t>
      </w:r>
    </w:p>
    <w:p w14:paraId="5AC1F3B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E7433B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1574781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5FA0DE8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需单独编制危险性较大分部分项专项工程施工方案的，及要求进行专家论证的超过一定规模的危险性较大的分部分项工程，承包人应及时编制和组织论证。</w:t>
      </w:r>
    </w:p>
    <w:p w14:paraId="0FD160E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6.1.4 治安保卫</w:t>
      </w:r>
    </w:p>
    <w:p w14:paraId="01DFE08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除专用合同条款另有约定外，发包人应与当地公安部门协商，在现场建立治安管理机构或联防组织，统一管理施工场地的治安保卫事项，履行合同工程的治安保卫职责。</w:t>
      </w:r>
    </w:p>
    <w:p w14:paraId="7CAA577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发包人和承包人除应协助现场治安管理机构或联防组织维护施工场地的社会治安外，还应做好包括生活区在内的各自管辖区的治安保卫工作。</w:t>
      </w:r>
    </w:p>
    <w:p w14:paraId="3899A5B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2BD908B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6.1.5 文明施工</w:t>
      </w:r>
    </w:p>
    <w:p w14:paraId="3C204C2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1B354FD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22FD7FD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6.1.6 安全文明施工费</w:t>
      </w:r>
    </w:p>
    <w:p w14:paraId="4E57BFE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安全文明施工费由发包人承担，发包人不得以任何形式扣减该部分费用。因基准日期后合同所适用的法律或政府有关规定发生变化，增加的安全文明施工费由发包人承担。</w:t>
      </w:r>
    </w:p>
    <w:p w14:paraId="24262D3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0A0881E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576B418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47D3F50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6.1.7 紧急情况处理</w:t>
      </w:r>
    </w:p>
    <w:p w14:paraId="0D6F018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F2F8A8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6.1.8 事故处理</w:t>
      </w:r>
    </w:p>
    <w:p w14:paraId="7C5F754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38769C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6.1.9 安全生产责任</w:t>
      </w:r>
    </w:p>
    <w:p w14:paraId="0CFF170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6.1.9.1 发包人的安全责任</w:t>
      </w:r>
    </w:p>
    <w:p w14:paraId="4F73787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发包人应负责赔偿以下各种情况造成的损失：</w:t>
      </w:r>
    </w:p>
    <w:p w14:paraId="1809824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（1）工程或工程的任何部分对土地的占用所造成的第三者财产损失；</w:t>
      </w:r>
    </w:p>
    <w:p w14:paraId="40868F9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（2）由于发包人原因在施工场地及其毗邻地带造成的第三者人身伤亡和财产损失；</w:t>
      </w:r>
    </w:p>
    <w:p w14:paraId="7019E91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（3）由于发包人原因对承包人、监理人造成的人员人身伤亡和财产损失；</w:t>
      </w:r>
    </w:p>
    <w:p w14:paraId="55D931F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（4）由于发包人原因造成的发包人自身人员的人身伤害以及财产损失。</w:t>
      </w:r>
    </w:p>
    <w:p w14:paraId="555546E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6.1.9.2 承包人的安全责任</w:t>
      </w:r>
    </w:p>
    <w:p w14:paraId="674BDF8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由于承包人原因在施工场地内及其毗邻地带造成的发包人、监理人以及第三者人员伤亡和财产损失，由承包人负责赔偿。</w:t>
      </w:r>
    </w:p>
    <w:p w14:paraId="6CB69495">
      <w:pPr>
        <w:pStyle w:val="7"/>
        <w:spacing w:before="0" w:beforeAutospacing="0" w:after="0" w:afterAutospacing="0" w:line="360" w:lineRule="auto"/>
        <w:ind w:firstLine="422" w:firstLineChars="200"/>
        <w:rPr>
          <w:color w:val="auto"/>
          <w:sz w:val="21"/>
          <w:szCs w:val="21"/>
          <w:highlight w:val="none"/>
        </w:rPr>
      </w:pPr>
      <w:bookmarkStart w:id="906" w:name="_Toc351203540"/>
      <w:bookmarkStart w:id="907" w:name="_Toc532377226"/>
      <w:r>
        <w:rPr>
          <w:rFonts w:hint="eastAsia"/>
          <w:color w:val="auto"/>
          <w:sz w:val="21"/>
          <w:szCs w:val="21"/>
          <w:highlight w:val="none"/>
        </w:rPr>
        <w:t>6</w:t>
      </w:r>
      <w:bookmarkStart w:id="908" w:name="_Toc337558765"/>
      <w:r>
        <w:rPr>
          <w:rFonts w:hint="eastAsia"/>
          <w:color w:val="auto"/>
          <w:sz w:val="21"/>
          <w:szCs w:val="21"/>
          <w:highlight w:val="none"/>
        </w:rPr>
        <w:t>.2 职业健康</w:t>
      </w:r>
      <w:bookmarkEnd w:id="906"/>
      <w:bookmarkEnd w:id="907"/>
    </w:p>
    <w:bookmarkEnd w:id="908"/>
    <w:p w14:paraId="6EA7983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6.2.1 劳动保护</w:t>
      </w:r>
    </w:p>
    <w:p w14:paraId="295F14B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6F6193B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2062A01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4F515F0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6.2.2 生活条件</w:t>
      </w:r>
    </w:p>
    <w:p w14:paraId="672C9F4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4FCB0651">
      <w:pPr>
        <w:pStyle w:val="7"/>
        <w:spacing w:before="0" w:beforeAutospacing="0" w:after="0" w:afterAutospacing="0" w:line="360" w:lineRule="auto"/>
        <w:ind w:firstLine="422" w:firstLineChars="200"/>
        <w:rPr>
          <w:color w:val="auto"/>
          <w:sz w:val="21"/>
          <w:szCs w:val="21"/>
          <w:highlight w:val="none"/>
        </w:rPr>
      </w:pPr>
      <w:bookmarkStart w:id="909" w:name="_Toc351203541"/>
      <w:bookmarkStart w:id="910" w:name="_Toc532377227"/>
      <w:r>
        <w:rPr>
          <w:rFonts w:hint="eastAsia"/>
          <w:color w:val="auto"/>
          <w:sz w:val="21"/>
          <w:szCs w:val="21"/>
          <w:highlight w:val="none"/>
        </w:rPr>
        <w:t>6</w:t>
      </w:r>
      <w:bookmarkStart w:id="911" w:name="_Toc337558766"/>
      <w:r>
        <w:rPr>
          <w:rFonts w:hint="eastAsia"/>
          <w:color w:val="auto"/>
          <w:sz w:val="21"/>
          <w:szCs w:val="21"/>
          <w:highlight w:val="none"/>
        </w:rPr>
        <w:t>.3 环境保护</w:t>
      </w:r>
      <w:bookmarkEnd w:id="909"/>
      <w:bookmarkEnd w:id="910"/>
    </w:p>
    <w:bookmarkEnd w:id="911"/>
    <w:p w14:paraId="31834BB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7309934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承包人应当承担因其原因引起的环境污染侵权损害赔偿责任，因上述环境污染引起纠纷而导致暂停施工的，由此增加的费用和（或）延误的工期由承包人承担。</w:t>
      </w:r>
    </w:p>
    <w:p w14:paraId="1D225E5F">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912" w:name="_Toc532377228"/>
      <w:bookmarkStart w:id="913" w:name="_Toc532375593"/>
      <w:bookmarkStart w:id="914" w:name="_Toc351203542"/>
      <w:r>
        <w:rPr>
          <w:rFonts w:hint="eastAsia"/>
          <w:color w:val="auto"/>
          <w:kern w:val="2"/>
          <w:sz w:val="21"/>
          <w:szCs w:val="21"/>
          <w:highlight w:val="none"/>
        </w:rPr>
        <w:t>7</w:t>
      </w:r>
      <w:bookmarkStart w:id="915" w:name="_Toc337558767"/>
      <w:r>
        <w:rPr>
          <w:rFonts w:hint="eastAsia"/>
          <w:color w:val="auto"/>
          <w:kern w:val="2"/>
          <w:sz w:val="21"/>
          <w:szCs w:val="21"/>
          <w:highlight w:val="none"/>
        </w:rPr>
        <w:t>. 工期和进度</w:t>
      </w:r>
      <w:bookmarkEnd w:id="912"/>
      <w:bookmarkEnd w:id="913"/>
      <w:bookmarkEnd w:id="914"/>
    </w:p>
    <w:bookmarkEnd w:id="915"/>
    <w:p w14:paraId="00932076">
      <w:pPr>
        <w:pStyle w:val="7"/>
        <w:spacing w:before="0" w:beforeAutospacing="0" w:after="0" w:afterAutospacing="0" w:line="360" w:lineRule="auto"/>
        <w:ind w:firstLine="422" w:firstLineChars="200"/>
        <w:rPr>
          <w:color w:val="auto"/>
          <w:sz w:val="21"/>
          <w:szCs w:val="21"/>
          <w:highlight w:val="none"/>
        </w:rPr>
      </w:pPr>
      <w:bookmarkStart w:id="916" w:name="_Toc351203543"/>
      <w:bookmarkStart w:id="917" w:name="_Toc532377229"/>
      <w:r>
        <w:rPr>
          <w:rFonts w:hint="eastAsia"/>
          <w:color w:val="auto"/>
          <w:sz w:val="21"/>
          <w:szCs w:val="21"/>
          <w:highlight w:val="none"/>
        </w:rPr>
        <w:t>7</w:t>
      </w:r>
      <w:bookmarkStart w:id="918" w:name="_Toc337558768"/>
      <w:bookmarkStart w:id="919" w:name="_Toc296346567"/>
      <w:bookmarkStart w:id="920" w:name="_Toc296503066"/>
      <w:r>
        <w:rPr>
          <w:rFonts w:hint="eastAsia"/>
          <w:color w:val="auto"/>
          <w:sz w:val="21"/>
          <w:szCs w:val="21"/>
          <w:highlight w:val="none"/>
        </w:rPr>
        <w:t>.1施工组织设计</w:t>
      </w:r>
      <w:bookmarkEnd w:id="916"/>
      <w:bookmarkEnd w:id="917"/>
    </w:p>
    <w:bookmarkEnd w:id="918"/>
    <w:p w14:paraId="24E39C8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7.1.1 施工组织设计的内容</w:t>
      </w:r>
    </w:p>
    <w:p w14:paraId="0E27544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施工组织设计应包含以下内容：</w:t>
      </w:r>
    </w:p>
    <w:p w14:paraId="1CD43D1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（1）施工方案； </w:t>
      </w:r>
    </w:p>
    <w:p w14:paraId="6612B37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（2）施工现场平面布置图；</w:t>
      </w:r>
    </w:p>
    <w:p w14:paraId="2ACD589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（3）施工进度计划和保证措施； </w:t>
      </w:r>
    </w:p>
    <w:p w14:paraId="2255D2B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（4）劳动力及材料供应计划；</w:t>
      </w:r>
    </w:p>
    <w:p w14:paraId="741C259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（5）施工机械设备的选用；</w:t>
      </w:r>
    </w:p>
    <w:p w14:paraId="7FBA7A8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（6）质量保证体系及措施；</w:t>
      </w:r>
    </w:p>
    <w:p w14:paraId="314DB39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（7）安全生产、文明施工措施；</w:t>
      </w:r>
    </w:p>
    <w:p w14:paraId="5F3AADC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（8）环境保护、成本控制措施；</w:t>
      </w:r>
    </w:p>
    <w:p w14:paraId="2CDDAE9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（9）合同当事人约定的其他内容。</w:t>
      </w:r>
    </w:p>
    <w:p w14:paraId="759825D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7.1.2 施工组织设计的提交和修改</w:t>
      </w:r>
    </w:p>
    <w:p w14:paraId="5E9542E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3DF4F9F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施工进度计划的编制和修改按照第7.2款〔施工进度计划〕执行。</w:t>
      </w:r>
    </w:p>
    <w:p w14:paraId="5E848730">
      <w:pPr>
        <w:pStyle w:val="7"/>
        <w:spacing w:before="0" w:beforeAutospacing="0" w:after="0" w:afterAutospacing="0" w:line="360" w:lineRule="auto"/>
        <w:ind w:firstLine="422" w:firstLineChars="200"/>
        <w:rPr>
          <w:color w:val="auto"/>
          <w:sz w:val="21"/>
          <w:szCs w:val="21"/>
          <w:highlight w:val="none"/>
        </w:rPr>
      </w:pPr>
      <w:bookmarkStart w:id="921" w:name="_Toc532377230"/>
      <w:bookmarkStart w:id="922" w:name="_Toc351203544"/>
      <w:r>
        <w:rPr>
          <w:rFonts w:hint="eastAsia"/>
          <w:color w:val="auto"/>
          <w:sz w:val="21"/>
          <w:szCs w:val="21"/>
          <w:highlight w:val="none"/>
        </w:rPr>
        <w:t>7</w:t>
      </w:r>
      <w:bookmarkStart w:id="923" w:name="_Toc337558769"/>
      <w:r>
        <w:rPr>
          <w:rFonts w:hint="eastAsia"/>
          <w:color w:val="auto"/>
          <w:sz w:val="21"/>
          <w:szCs w:val="21"/>
          <w:highlight w:val="none"/>
        </w:rPr>
        <w:t>.2 施工进度计划</w:t>
      </w:r>
      <w:bookmarkEnd w:id="921"/>
      <w:bookmarkEnd w:id="922"/>
    </w:p>
    <w:bookmarkEnd w:id="923"/>
    <w:p w14:paraId="01D42F3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7.2.1 施工进度计划的编制</w:t>
      </w:r>
    </w:p>
    <w:p w14:paraId="4635CE5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5CA9DC8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7.2.2 施工进度计划的修订</w:t>
      </w:r>
    </w:p>
    <w:p w14:paraId="2336F4A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6CDD3DC7">
      <w:pPr>
        <w:pStyle w:val="7"/>
        <w:spacing w:before="0" w:beforeAutospacing="0" w:after="0" w:afterAutospacing="0" w:line="360" w:lineRule="auto"/>
        <w:ind w:firstLine="422" w:firstLineChars="200"/>
        <w:rPr>
          <w:color w:val="auto"/>
          <w:sz w:val="21"/>
          <w:szCs w:val="21"/>
          <w:highlight w:val="none"/>
        </w:rPr>
      </w:pPr>
      <w:bookmarkStart w:id="924" w:name="_Toc351203545"/>
      <w:bookmarkStart w:id="925" w:name="_Toc532377231"/>
      <w:r>
        <w:rPr>
          <w:rFonts w:hint="eastAsia"/>
          <w:color w:val="auto"/>
          <w:sz w:val="21"/>
          <w:szCs w:val="21"/>
          <w:highlight w:val="none"/>
        </w:rPr>
        <w:t>7</w:t>
      </w:r>
      <w:bookmarkStart w:id="926" w:name="_Toc337558770"/>
      <w:r>
        <w:rPr>
          <w:rFonts w:hint="eastAsia"/>
          <w:color w:val="auto"/>
          <w:sz w:val="21"/>
          <w:szCs w:val="21"/>
          <w:highlight w:val="none"/>
        </w:rPr>
        <w:t>.3 开工</w:t>
      </w:r>
      <w:bookmarkEnd w:id="924"/>
      <w:bookmarkEnd w:id="925"/>
    </w:p>
    <w:p w14:paraId="5FAA2BD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7.3.1 开工准备</w:t>
      </w:r>
    </w:p>
    <w:p w14:paraId="1E22AC0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1C4B7B0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除专用合同条款另有约定外，合同当事人应按约定完成开工准备工作。</w:t>
      </w:r>
    </w:p>
    <w:p w14:paraId="20BD98C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7.3.2 开工通知</w:t>
      </w:r>
    </w:p>
    <w:bookmarkEnd w:id="926"/>
    <w:p w14:paraId="23C86FA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7062ECF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754C2E31">
      <w:pPr>
        <w:pStyle w:val="7"/>
        <w:spacing w:before="0" w:beforeAutospacing="0" w:after="0" w:afterAutospacing="0" w:line="360" w:lineRule="auto"/>
        <w:ind w:firstLine="422" w:firstLineChars="200"/>
        <w:rPr>
          <w:color w:val="auto"/>
          <w:sz w:val="21"/>
          <w:szCs w:val="21"/>
          <w:highlight w:val="none"/>
        </w:rPr>
      </w:pPr>
      <w:bookmarkStart w:id="927" w:name="_Toc532377232"/>
      <w:bookmarkStart w:id="928" w:name="_Toc351203546"/>
      <w:r>
        <w:rPr>
          <w:rFonts w:hint="eastAsia"/>
          <w:color w:val="auto"/>
          <w:sz w:val="21"/>
          <w:szCs w:val="21"/>
          <w:highlight w:val="none"/>
        </w:rPr>
        <w:t>7.4测量放线</w:t>
      </w:r>
      <w:bookmarkEnd w:id="927"/>
      <w:bookmarkEnd w:id="928"/>
    </w:p>
    <w:p w14:paraId="4DFCF18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12348EE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367AC25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2468D65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施工过程中对施工现场内水准点等测量标志物的保护工作由承包人负责。</w:t>
      </w:r>
      <w:bookmarkStart w:id="929" w:name="_Toc351203547"/>
    </w:p>
    <w:p w14:paraId="11909B20">
      <w:pPr>
        <w:pStyle w:val="7"/>
        <w:spacing w:before="0" w:beforeAutospacing="0" w:after="0" w:afterAutospacing="0" w:line="360" w:lineRule="auto"/>
        <w:ind w:firstLine="422" w:firstLineChars="200"/>
        <w:rPr>
          <w:color w:val="auto"/>
          <w:sz w:val="21"/>
          <w:szCs w:val="21"/>
          <w:highlight w:val="none"/>
        </w:rPr>
      </w:pPr>
      <w:bookmarkStart w:id="930" w:name="_Toc532377233"/>
      <w:r>
        <w:rPr>
          <w:rFonts w:hint="eastAsia"/>
          <w:color w:val="auto"/>
          <w:sz w:val="21"/>
          <w:szCs w:val="21"/>
          <w:highlight w:val="none"/>
        </w:rPr>
        <w:t>7</w:t>
      </w:r>
      <w:bookmarkEnd w:id="919"/>
      <w:bookmarkEnd w:id="920"/>
      <w:bookmarkStart w:id="931" w:name="_Toc296346574"/>
      <w:bookmarkStart w:id="932" w:name="_Toc337558772"/>
      <w:bookmarkStart w:id="933" w:name="_Toc296503073"/>
      <w:r>
        <w:rPr>
          <w:rFonts w:hint="eastAsia"/>
          <w:color w:val="auto"/>
          <w:sz w:val="21"/>
          <w:szCs w:val="21"/>
          <w:highlight w:val="none"/>
        </w:rPr>
        <w:t>.5 工期延误</w:t>
      </w:r>
      <w:bookmarkEnd w:id="929"/>
      <w:bookmarkEnd w:id="930"/>
    </w:p>
    <w:bookmarkEnd w:id="931"/>
    <w:bookmarkEnd w:id="932"/>
    <w:bookmarkEnd w:id="933"/>
    <w:p w14:paraId="53C1F9D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7.5.1 因发包人原因导致工期延误</w:t>
      </w:r>
    </w:p>
    <w:p w14:paraId="27EE15F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在合同履行过程中，因下列情况导致工期延误和（或）费用增加的，由发包人承担由此延误的工期和（或）增加的费用，且发包人应支付承包人合理的利润： </w:t>
      </w:r>
    </w:p>
    <w:p w14:paraId="4CF65C3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（1）发包人未能按合同约定提供图纸或所提供图纸不符合合同约定的；</w:t>
      </w:r>
    </w:p>
    <w:p w14:paraId="26A6326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（2）发包人未能按合同约定提供施工现场、施工条件、基础资料、许可、批准等开工条件的；</w:t>
      </w:r>
    </w:p>
    <w:p w14:paraId="724F617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（3）发包人提供的测量基准点、基准线和水准点及其书面资料存在错误或疏漏的；</w:t>
      </w:r>
    </w:p>
    <w:p w14:paraId="5DDCDD2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（4）发包人未能在计划开工日期之日起7天内同意下达开工通知的；</w:t>
      </w:r>
    </w:p>
    <w:p w14:paraId="1314D30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（5）发包人未能按合同约定日期支付工程预付款、进度款或竣工结算款的；</w:t>
      </w:r>
    </w:p>
    <w:p w14:paraId="2D4874C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（6）监理人未按合同约定发出指示、批准等文件的；</w:t>
      </w:r>
    </w:p>
    <w:p w14:paraId="6196CF7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（7）专用合同条款中约定的其他情形。</w:t>
      </w:r>
    </w:p>
    <w:p w14:paraId="12B6CD6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2E7D769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7.5.2 因承包人原因导致工期延误</w:t>
      </w:r>
    </w:p>
    <w:p w14:paraId="015BD19B">
      <w:pPr>
        <w:autoSpaceDE w:val="0"/>
        <w:autoSpaceDN w:val="0"/>
        <w:spacing w:line="360" w:lineRule="auto"/>
        <w:ind w:firstLine="420" w:firstLineChars="200"/>
        <w:jc w:val="left"/>
        <w:rPr>
          <w:rFonts w:ascii="宋体" w:hAnsi="宋体"/>
          <w:color w:val="auto"/>
          <w:kern w:val="0"/>
          <w:szCs w:val="21"/>
          <w:highlight w:val="none"/>
        </w:rPr>
      </w:pPr>
      <w:bookmarkStart w:id="934" w:name="_Toc296346577"/>
      <w:bookmarkStart w:id="935" w:name="_Toc296503076"/>
      <w:r>
        <w:rPr>
          <w:rFonts w:hint="eastAsia" w:ascii="宋体" w:hAnsi="宋体"/>
          <w:color w:val="auto"/>
          <w:kern w:val="0"/>
          <w:szCs w:val="21"/>
          <w:highlight w:val="none"/>
        </w:rPr>
        <w:t>因</w:t>
      </w:r>
      <w:bookmarkEnd w:id="934"/>
      <w:bookmarkEnd w:id="935"/>
      <w:r>
        <w:rPr>
          <w:rFonts w:hint="eastAsia" w:ascii="宋体" w:hAnsi="宋体"/>
          <w:color w:val="auto"/>
          <w:kern w:val="0"/>
          <w:szCs w:val="21"/>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12D27D7A">
      <w:pPr>
        <w:pStyle w:val="7"/>
        <w:spacing w:before="0" w:beforeAutospacing="0" w:after="0" w:afterAutospacing="0" w:line="360" w:lineRule="auto"/>
        <w:ind w:firstLine="422" w:firstLineChars="200"/>
        <w:rPr>
          <w:color w:val="auto"/>
          <w:sz w:val="21"/>
          <w:szCs w:val="21"/>
          <w:highlight w:val="none"/>
        </w:rPr>
      </w:pPr>
      <w:bookmarkStart w:id="936" w:name="_Toc351203548"/>
      <w:bookmarkStart w:id="937" w:name="_Toc532377234"/>
      <w:r>
        <w:rPr>
          <w:rFonts w:hint="eastAsia"/>
          <w:color w:val="auto"/>
          <w:sz w:val="21"/>
          <w:szCs w:val="21"/>
          <w:highlight w:val="none"/>
        </w:rPr>
        <w:t>7</w:t>
      </w:r>
      <w:bookmarkStart w:id="938" w:name="_Toc337558773"/>
      <w:bookmarkStart w:id="939" w:name="_Toc296346575"/>
      <w:bookmarkStart w:id="940" w:name="_Toc296503074"/>
      <w:bookmarkStart w:id="941" w:name="_Toc296503077"/>
      <w:bookmarkStart w:id="942" w:name="_Toc296346578"/>
      <w:r>
        <w:rPr>
          <w:rFonts w:hint="eastAsia"/>
          <w:color w:val="auto"/>
          <w:sz w:val="21"/>
          <w:szCs w:val="21"/>
          <w:highlight w:val="none"/>
        </w:rPr>
        <w:t>.6 不利物质条件</w:t>
      </w:r>
      <w:bookmarkEnd w:id="936"/>
      <w:bookmarkEnd w:id="937"/>
    </w:p>
    <w:bookmarkEnd w:id="938"/>
    <w:bookmarkEnd w:id="939"/>
    <w:bookmarkEnd w:id="940"/>
    <w:p w14:paraId="142A6CA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43A1C7A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7A15E1E8">
      <w:pPr>
        <w:pStyle w:val="7"/>
        <w:spacing w:before="0" w:beforeAutospacing="0" w:after="0" w:afterAutospacing="0" w:line="360" w:lineRule="auto"/>
        <w:ind w:firstLine="422" w:firstLineChars="200"/>
        <w:rPr>
          <w:color w:val="auto"/>
          <w:sz w:val="21"/>
          <w:szCs w:val="21"/>
          <w:highlight w:val="none"/>
        </w:rPr>
      </w:pPr>
      <w:bookmarkStart w:id="943" w:name="_Toc351203549"/>
      <w:bookmarkStart w:id="944" w:name="_Toc532377235"/>
      <w:r>
        <w:rPr>
          <w:rFonts w:hint="eastAsia"/>
          <w:color w:val="auto"/>
          <w:sz w:val="21"/>
          <w:szCs w:val="21"/>
          <w:highlight w:val="none"/>
        </w:rPr>
        <w:t>7</w:t>
      </w:r>
      <w:bookmarkStart w:id="945" w:name="_Toc337558774"/>
      <w:bookmarkStart w:id="946" w:name="_Toc296346576"/>
      <w:bookmarkStart w:id="947" w:name="_Toc296503075"/>
      <w:r>
        <w:rPr>
          <w:rFonts w:hint="eastAsia"/>
          <w:color w:val="auto"/>
          <w:sz w:val="21"/>
          <w:szCs w:val="21"/>
          <w:highlight w:val="none"/>
        </w:rPr>
        <w:t>.7 异常恶劣的气候条件</w:t>
      </w:r>
      <w:bookmarkEnd w:id="943"/>
      <w:bookmarkEnd w:id="944"/>
    </w:p>
    <w:bookmarkEnd w:id="945"/>
    <w:bookmarkEnd w:id="946"/>
    <w:bookmarkEnd w:id="947"/>
    <w:p w14:paraId="6633CE9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02DB5A4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948" w:name="_Toc351203550"/>
    </w:p>
    <w:p w14:paraId="7617A0BB">
      <w:pPr>
        <w:pStyle w:val="7"/>
        <w:spacing w:before="0" w:beforeAutospacing="0" w:after="0" w:afterAutospacing="0" w:line="360" w:lineRule="auto"/>
        <w:ind w:firstLine="422" w:firstLineChars="200"/>
        <w:rPr>
          <w:color w:val="auto"/>
          <w:sz w:val="21"/>
          <w:szCs w:val="21"/>
          <w:highlight w:val="none"/>
        </w:rPr>
      </w:pPr>
      <w:bookmarkStart w:id="949" w:name="_Toc532377236"/>
      <w:r>
        <w:rPr>
          <w:rFonts w:hint="eastAsia"/>
          <w:color w:val="auto"/>
          <w:sz w:val="21"/>
          <w:szCs w:val="21"/>
          <w:highlight w:val="none"/>
        </w:rPr>
        <w:t>7</w:t>
      </w:r>
      <w:bookmarkStart w:id="950" w:name="_Toc337558775"/>
      <w:r>
        <w:rPr>
          <w:rFonts w:hint="eastAsia"/>
          <w:color w:val="auto"/>
          <w:sz w:val="21"/>
          <w:szCs w:val="21"/>
          <w:highlight w:val="none"/>
        </w:rPr>
        <w:t>.8 暂停施工</w:t>
      </w:r>
      <w:bookmarkEnd w:id="948"/>
      <w:bookmarkEnd w:id="949"/>
    </w:p>
    <w:bookmarkEnd w:id="941"/>
    <w:bookmarkEnd w:id="942"/>
    <w:bookmarkEnd w:id="950"/>
    <w:p w14:paraId="2D86B98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7.8.1发包人原因引起的暂停施工</w:t>
      </w:r>
    </w:p>
    <w:p w14:paraId="484F1B7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因发包人原因引起暂停施工的，监理人经发包人同意后，应及时下达暂停施工指示。情况紧急且监理人未及时下达暂停施工指示的，按照第7.8.4项〔紧急情况下的暂停施工〕执行。</w:t>
      </w:r>
    </w:p>
    <w:p w14:paraId="5DBF6C4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因发包人原因引起的暂停施工，发包人应承担由此增加的费用和（或）延误的工期，并支付承包人合理的利润。</w:t>
      </w:r>
    </w:p>
    <w:p w14:paraId="3E93064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7.8.2 承包人原因引起的暂停施工</w:t>
      </w:r>
    </w:p>
    <w:p w14:paraId="3791F53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482E049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7.8.3 指示暂停施工</w:t>
      </w:r>
    </w:p>
    <w:p w14:paraId="4E9F2C1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监理人认为有必要时，并经发包人批准后，可向承包人作出暂停施工的指示，承包人应按监理人指示暂停施工。</w:t>
      </w:r>
    </w:p>
    <w:p w14:paraId="15B6EB0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7.8.4 紧急情况下的暂停施工</w:t>
      </w:r>
    </w:p>
    <w:p w14:paraId="71F8578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6584CBE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7.8.5 暂停施工后的复工</w:t>
      </w:r>
    </w:p>
    <w:p w14:paraId="724A007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5F7AFD9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承包人无故拖延和拒绝复工的，承包人承担由此增加的费用和（或）延误的工期；因发包人原因无法按时复工的，按照第7.5.1项〔因发包人原因导致工期延误〕约定办理。</w:t>
      </w:r>
    </w:p>
    <w:p w14:paraId="48C4CAA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7.8.6 暂停施工持续56天以上</w:t>
      </w:r>
    </w:p>
    <w:p w14:paraId="2753B4D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0668521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7C95FA7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7.8.7 暂停施工期间的工程照管</w:t>
      </w:r>
    </w:p>
    <w:p w14:paraId="4CD30DB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暂停施工期间，承包人应负责妥善照管工程并提供安全保障，由此增加的费用由责任方承担。</w:t>
      </w:r>
    </w:p>
    <w:p w14:paraId="3317270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7.8.8 暂停施工的措施</w:t>
      </w:r>
    </w:p>
    <w:p w14:paraId="00CA46B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暂停施工期间，发包人和承包人均应采取必要的措施确保工程质量及安全，防止因暂停施工扩大损失。</w:t>
      </w:r>
    </w:p>
    <w:p w14:paraId="44FD68FA">
      <w:pPr>
        <w:pStyle w:val="7"/>
        <w:spacing w:before="0" w:beforeAutospacing="0" w:after="0" w:afterAutospacing="0" w:line="360" w:lineRule="auto"/>
        <w:ind w:firstLine="422" w:firstLineChars="200"/>
        <w:rPr>
          <w:color w:val="auto"/>
          <w:sz w:val="21"/>
          <w:szCs w:val="21"/>
          <w:highlight w:val="none"/>
        </w:rPr>
      </w:pPr>
      <w:bookmarkStart w:id="951" w:name="_Toc351203551"/>
      <w:bookmarkStart w:id="952" w:name="_Toc532377237"/>
      <w:r>
        <w:rPr>
          <w:rFonts w:hint="eastAsia"/>
          <w:color w:val="auto"/>
          <w:sz w:val="21"/>
          <w:szCs w:val="21"/>
          <w:highlight w:val="none"/>
        </w:rPr>
        <w:t>7.9提前竣工</w:t>
      </w:r>
      <w:bookmarkEnd w:id="951"/>
      <w:bookmarkEnd w:id="952"/>
    </w:p>
    <w:p w14:paraId="70CA62D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5718DC0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7.9.2 发包人要求承包人提前竣工，或承包人提出提前竣工的建议能够给发包人带来效益的，合同当事人可以在专用合同条款中约定提前竣工的奖励。</w:t>
      </w:r>
    </w:p>
    <w:p w14:paraId="20BAE544">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953" w:name="_Toc532375594"/>
      <w:bookmarkStart w:id="954" w:name="_Toc351203552"/>
      <w:bookmarkStart w:id="955" w:name="_Toc532377238"/>
      <w:r>
        <w:rPr>
          <w:rFonts w:hint="eastAsia"/>
          <w:color w:val="auto"/>
          <w:kern w:val="2"/>
          <w:sz w:val="21"/>
          <w:szCs w:val="21"/>
          <w:highlight w:val="none"/>
        </w:rPr>
        <w:t>8</w:t>
      </w:r>
      <w:bookmarkStart w:id="956" w:name="_Toc337558776"/>
      <w:bookmarkStart w:id="957" w:name="_Toc296346559"/>
      <w:bookmarkStart w:id="958" w:name="_Toc296503058"/>
      <w:r>
        <w:rPr>
          <w:rFonts w:hint="eastAsia"/>
          <w:color w:val="auto"/>
          <w:kern w:val="2"/>
          <w:sz w:val="21"/>
          <w:szCs w:val="21"/>
          <w:highlight w:val="none"/>
        </w:rPr>
        <w:t>. 材料与设备</w:t>
      </w:r>
      <w:bookmarkEnd w:id="953"/>
      <w:bookmarkEnd w:id="954"/>
      <w:bookmarkEnd w:id="955"/>
    </w:p>
    <w:bookmarkEnd w:id="956"/>
    <w:bookmarkEnd w:id="957"/>
    <w:bookmarkEnd w:id="958"/>
    <w:p w14:paraId="0AB8E040">
      <w:pPr>
        <w:pStyle w:val="7"/>
        <w:spacing w:before="0" w:beforeAutospacing="0" w:after="0" w:afterAutospacing="0" w:line="360" w:lineRule="auto"/>
        <w:ind w:firstLine="422" w:firstLineChars="200"/>
        <w:rPr>
          <w:color w:val="auto"/>
          <w:sz w:val="21"/>
          <w:szCs w:val="21"/>
          <w:highlight w:val="none"/>
        </w:rPr>
      </w:pPr>
      <w:bookmarkStart w:id="959" w:name="_Toc351203553"/>
      <w:bookmarkStart w:id="960" w:name="_Toc532377239"/>
      <w:r>
        <w:rPr>
          <w:rFonts w:hint="eastAsia"/>
          <w:color w:val="auto"/>
          <w:sz w:val="21"/>
          <w:szCs w:val="21"/>
          <w:highlight w:val="none"/>
        </w:rPr>
        <w:t>8</w:t>
      </w:r>
      <w:bookmarkStart w:id="961" w:name="_Toc296346560"/>
      <w:bookmarkStart w:id="962" w:name="_Toc337558777"/>
      <w:bookmarkStart w:id="963" w:name="_Toc296503059"/>
      <w:bookmarkStart w:id="964" w:name="_Toc468936960"/>
      <w:r>
        <w:rPr>
          <w:rFonts w:hint="eastAsia"/>
          <w:color w:val="auto"/>
          <w:sz w:val="21"/>
          <w:szCs w:val="21"/>
          <w:highlight w:val="none"/>
        </w:rPr>
        <w:t>.1发包人供应材料与工程设备</w:t>
      </w:r>
      <w:bookmarkEnd w:id="959"/>
      <w:bookmarkEnd w:id="960"/>
    </w:p>
    <w:bookmarkEnd w:id="961"/>
    <w:bookmarkEnd w:id="962"/>
    <w:bookmarkEnd w:id="963"/>
    <w:p w14:paraId="312FB4E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发包人自行供应材料、工程设备的，应在签订合同时在专用合同条款的附件《发包人供应材料设备一览表》中明确材料、工程设备的品种、规格、型号、数量、单价、质量等级和送达地点。</w:t>
      </w:r>
    </w:p>
    <w:p w14:paraId="5AC2AEB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1707E375">
      <w:pPr>
        <w:pStyle w:val="7"/>
        <w:spacing w:before="0" w:beforeAutospacing="0" w:after="0" w:afterAutospacing="0" w:line="360" w:lineRule="auto"/>
        <w:ind w:firstLine="422" w:firstLineChars="200"/>
        <w:rPr>
          <w:color w:val="auto"/>
          <w:sz w:val="21"/>
          <w:szCs w:val="21"/>
          <w:highlight w:val="none"/>
        </w:rPr>
      </w:pPr>
      <w:bookmarkStart w:id="965" w:name="_Toc532377240"/>
      <w:r>
        <w:rPr>
          <w:rFonts w:hint="eastAsia"/>
          <w:color w:val="auto"/>
          <w:sz w:val="21"/>
          <w:szCs w:val="21"/>
          <w:highlight w:val="none"/>
        </w:rPr>
        <w:t>8.2承包人采购材料与工程设备</w:t>
      </w:r>
      <w:bookmarkEnd w:id="965"/>
    </w:p>
    <w:p w14:paraId="2E90377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49FD5B03">
      <w:pPr>
        <w:pStyle w:val="7"/>
        <w:spacing w:before="0" w:beforeAutospacing="0" w:after="0" w:afterAutospacing="0" w:line="360" w:lineRule="auto"/>
        <w:ind w:firstLine="422" w:firstLineChars="200"/>
        <w:rPr>
          <w:color w:val="auto"/>
          <w:sz w:val="21"/>
          <w:szCs w:val="21"/>
          <w:highlight w:val="none"/>
        </w:rPr>
      </w:pPr>
      <w:bookmarkStart w:id="966" w:name="_Toc351203555"/>
      <w:bookmarkStart w:id="967" w:name="_Toc532377241"/>
      <w:r>
        <w:rPr>
          <w:rFonts w:hint="eastAsia"/>
          <w:color w:val="auto"/>
          <w:sz w:val="21"/>
          <w:szCs w:val="21"/>
          <w:highlight w:val="none"/>
        </w:rPr>
        <w:t>8</w:t>
      </w:r>
      <w:bookmarkStart w:id="968" w:name="_Toc337558779"/>
      <w:bookmarkStart w:id="969" w:name="_Toc296503061"/>
      <w:bookmarkStart w:id="970" w:name="_Toc296346562"/>
      <w:r>
        <w:rPr>
          <w:rFonts w:hint="eastAsia"/>
          <w:color w:val="auto"/>
          <w:sz w:val="21"/>
          <w:szCs w:val="21"/>
          <w:highlight w:val="none"/>
        </w:rPr>
        <w:t>.3材料与工程设备的接收与拒收</w:t>
      </w:r>
      <w:bookmarkEnd w:id="966"/>
      <w:bookmarkEnd w:id="967"/>
    </w:p>
    <w:bookmarkEnd w:id="968"/>
    <w:bookmarkEnd w:id="969"/>
    <w:bookmarkEnd w:id="970"/>
    <w:p w14:paraId="5BD40CA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3C8B069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发包人提供的材料和工程设备的规格、数量或质量不符合合同约定的，或因发包人原因导致交货日期延误或交货地点变更等情况的，按照第16.1款〔发包人违约〕约定办理。</w:t>
      </w:r>
    </w:p>
    <w:p w14:paraId="12A6793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8.3.2 承包人采购的材料和工程设备，应保证产品质量合格，承包人应在材料和工程设备到货前24小时通知监理人检验。承</w:t>
      </w:r>
      <w:bookmarkStart w:id="971" w:name="_Toc250655469"/>
      <w:r>
        <w:rPr>
          <w:rFonts w:hint="eastAsia" w:ascii="宋体" w:hAnsi="宋体"/>
          <w:color w:val="auto"/>
          <w:kern w:val="0"/>
          <w:szCs w:val="21"/>
          <w:highlight w:val="none"/>
        </w:rPr>
        <w:t>包人进行永久设备、材料的制造和生产的，应符合相关质量标准，并向监理人提交材料的样本以及有关资料，并应在使用该材料或工程设备之前获得监理人同意。</w:t>
      </w:r>
    </w:p>
    <w:bookmarkEnd w:id="971"/>
    <w:p w14:paraId="4B043ED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2B65F31">
      <w:pPr>
        <w:pStyle w:val="7"/>
        <w:spacing w:before="0" w:beforeAutospacing="0" w:after="0" w:afterAutospacing="0" w:line="360" w:lineRule="auto"/>
        <w:ind w:firstLine="422" w:firstLineChars="200"/>
        <w:rPr>
          <w:color w:val="auto"/>
          <w:sz w:val="21"/>
          <w:szCs w:val="21"/>
          <w:highlight w:val="none"/>
        </w:rPr>
      </w:pPr>
      <w:bookmarkStart w:id="972" w:name="_Toc532377242"/>
      <w:bookmarkStart w:id="973" w:name="_Toc351203556"/>
      <w:r>
        <w:rPr>
          <w:rFonts w:hint="eastAsia"/>
          <w:color w:val="auto"/>
          <w:sz w:val="21"/>
          <w:szCs w:val="21"/>
          <w:highlight w:val="none"/>
        </w:rPr>
        <w:t>8</w:t>
      </w:r>
      <w:bookmarkStart w:id="974" w:name="_Toc296346563"/>
      <w:bookmarkStart w:id="975" w:name="_Toc296503062"/>
      <w:bookmarkStart w:id="976" w:name="_Toc337558780"/>
      <w:r>
        <w:rPr>
          <w:rFonts w:hint="eastAsia"/>
          <w:color w:val="auto"/>
          <w:sz w:val="21"/>
          <w:szCs w:val="21"/>
          <w:highlight w:val="none"/>
        </w:rPr>
        <w:t>.4材料与工程设备的保管与使用</w:t>
      </w:r>
      <w:bookmarkEnd w:id="972"/>
      <w:bookmarkEnd w:id="973"/>
    </w:p>
    <w:bookmarkEnd w:id="974"/>
    <w:bookmarkEnd w:id="975"/>
    <w:bookmarkEnd w:id="976"/>
    <w:p w14:paraId="01EDA41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8.4.1 发包人供应材料与工程设备的保管与使用</w:t>
      </w:r>
    </w:p>
    <w:p w14:paraId="39A6D68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29F00A8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发包人供应的材料和工程设备使用前，由承包人负责检验，检验费用由发包人承担，不合格的不得使用。</w:t>
      </w:r>
    </w:p>
    <w:p w14:paraId="750EDC5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8.4.2 承包人采购材料与工程设备的保管与使用</w:t>
      </w:r>
    </w:p>
    <w:p w14:paraId="7CBE043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3F906A4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发包人或监理人发现承包人使用不符合设计或有关标准要求的材料和工程设备时，有权要求承包人进行修复、拆除或重新采购，由此增加的费用和（或）延误的工期，由承包人承担。</w:t>
      </w:r>
    </w:p>
    <w:p w14:paraId="07750811">
      <w:pPr>
        <w:pStyle w:val="7"/>
        <w:spacing w:before="0" w:beforeAutospacing="0" w:after="0" w:afterAutospacing="0" w:line="360" w:lineRule="auto"/>
        <w:ind w:firstLine="422" w:firstLineChars="200"/>
        <w:rPr>
          <w:color w:val="auto"/>
          <w:sz w:val="21"/>
          <w:szCs w:val="21"/>
          <w:highlight w:val="none"/>
        </w:rPr>
      </w:pPr>
      <w:bookmarkStart w:id="977" w:name="_Toc351203557"/>
      <w:bookmarkStart w:id="978" w:name="_Toc532377243"/>
      <w:r>
        <w:rPr>
          <w:rFonts w:hint="eastAsia"/>
          <w:color w:val="auto"/>
          <w:sz w:val="21"/>
          <w:szCs w:val="21"/>
          <w:highlight w:val="none"/>
        </w:rPr>
        <w:t>8.5禁止使用不合格的材料和工程设备</w:t>
      </w:r>
      <w:bookmarkEnd w:id="977"/>
      <w:bookmarkEnd w:id="978"/>
    </w:p>
    <w:p w14:paraId="49C9899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8.5.1 监理人有权拒绝承包人提供的不合格材料或工程设备，并要求承包人立即进行更换。监理人应在更换后再次进行检查和检验，由此增加的费用和（或）延误的工期由承包人承担。</w:t>
      </w:r>
    </w:p>
    <w:p w14:paraId="2FA618F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8.5.2 监理人发现承包人使用了不合格的材料和工程设备，承包人应按照监理人的指示立即改正，并禁止在工程中继续使用不合格的材料和工程设备。</w:t>
      </w:r>
    </w:p>
    <w:p w14:paraId="196B723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8.5.3 发包人提供的材料或工程设备不符合合同要求的，承包人有权拒绝，并可要求发包人更换，由此增加的费用和（或）延误的工期由发包人承担，并支付承包人合理的利润。</w:t>
      </w:r>
    </w:p>
    <w:p w14:paraId="18E387D1">
      <w:pPr>
        <w:pStyle w:val="7"/>
        <w:spacing w:before="0" w:beforeAutospacing="0" w:after="0" w:afterAutospacing="0" w:line="360" w:lineRule="auto"/>
        <w:ind w:firstLine="422" w:firstLineChars="200"/>
        <w:rPr>
          <w:color w:val="auto"/>
          <w:sz w:val="21"/>
          <w:szCs w:val="21"/>
          <w:highlight w:val="none"/>
        </w:rPr>
      </w:pPr>
      <w:bookmarkStart w:id="979" w:name="_Toc532377244"/>
      <w:bookmarkStart w:id="980" w:name="_Toc351203558"/>
      <w:r>
        <w:rPr>
          <w:rFonts w:hint="eastAsia"/>
          <w:color w:val="auto"/>
          <w:sz w:val="21"/>
          <w:szCs w:val="21"/>
          <w:highlight w:val="none"/>
        </w:rPr>
        <w:t>8.6 样品</w:t>
      </w:r>
      <w:bookmarkEnd w:id="979"/>
      <w:bookmarkEnd w:id="980"/>
    </w:p>
    <w:p w14:paraId="618DD02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8.6.1</w:t>
      </w:r>
      <w:r>
        <w:rPr>
          <w:rFonts w:hint="eastAsia" w:ascii="宋体" w:hAnsi="宋体"/>
          <w:color w:val="auto"/>
          <w:kern w:val="0"/>
          <w:szCs w:val="21"/>
          <w:highlight w:val="none"/>
        </w:rPr>
        <w:tab/>
      </w:r>
      <w:r>
        <w:rPr>
          <w:rFonts w:hint="eastAsia" w:ascii="宋体" w:hAnsi="宋体"/>
          <w:color w:val="auto"/>
          <w:kern w:val="0"/>
          <w:szCs w:val="21"/>
          <w:highlight w:val="none"/>
        </w:rPr>
        <w:t>样品的报送与封存</w:t>
      </w:r>
    </w:p>
    <w:p w14:paraId="0BD81CC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需要承包人报送样品的材料或工程设备，样品的种类、名称、规格、数量等要求均应在专用合同条款中约定。样品的报送程序如下：</w:t>
      </w:r>
    </w:p>
    <w:p w14:paraId="190E404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558325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2A9FAA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（3）经发包人和监理人审批确认的样品应按约定的方法封样，封存的样品作为检验工程相关部分的标准之一。承包人在施工过程中不得使用与样品不符的材料或工程设备。</w:t>
      </w:r>
    </w:p>
    <w:p w14:paraId="51268DB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31CDCBF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8.6.2 样品的保管</w:t>
      </w:r>
    </w:p>
    <w:p w14:paraId="599356F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经批准的样品应由监理人负责封存于现场，承包人应在现场为保存样品提供适当和固定的场所并保持适当和良好的存储环境条件。</w:t>
      </w:r>
    </w:p>
    <w:p w14:paraId="2FB52893">
      <w:pPr>
        <w:pStyle w:val="7"/>
        <w:spacing w:before="0" w:beforeAutospacing="0" w:after="0" w:afterAutospacing="0" w:line="360" w:lineRule="auto"/>
        <w:ind w:firstLine="422" w:firstLineChars="200"/>
        <w:rPr>
          <w:color w:val="auto"/>
          <w:sz w:val="21"/>
          <w:szCs w:val="21"/>
          <w:highlight w:val="none"/>
        </w:rPr>
      </w:pPr>
      <w:bookmarkStart w:id="981" w:name="_Toc532377245"/>
      <w:bookmarkStart w:id="982" w:name="_Toc351203559"/>
      <w:r>
        <w:rPr>
          <w:rFonts w:hint="eastAsia"/>
          <w:color w:val="auto"/>
          <w:sz w:val="21"/>
          <w:szCs w:val="21"/>
          <w:highlight w:val="none"/>
        </w:rPr>
        <w:t>8.7材料与工程设备的替代</w:t>
      </w:r>
      <w:bookmarkEnd w:id="981"/>
      <w:bookmarkEnd w:id="982"/>
    </w:p>
    <w:p w14:paraId="52E5540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8.7.1 出现下列情况需要使用替代材料和工程设备的，承包人应按照第8.7.2项约定的程序执行：</w:t>
      </w:r>
    </w:p>
    <w:p w14:paraId="7C119ED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（1）基准日期后生效的法律规定禁止使用的；</w:t>
      </w:r>
    </w:p>
    <w:p w14:paraId="7BEEAB6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（2）发包人要求使用替代品的；</w:t>
      </w:r>
    </w:p>
    <w:p w14:paraId="4F7DFB9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（3）因其他原因必须使用替代品的。</w:t>
      </w:r>
    </w:p>
    <w:p w14:paraId="4DA7282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8.7.2 承包人应在使用替代材料和工程设备28天前书面通知监理人，并附下列文件：</w:t>
      </w:r>
    </w:p>
    <w:p w14:paraId="4117AD5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（1）被替代的材料和工程设备的名称、数量、规格、型号、品牌、性能、价格及其他相关资料；</w:t>
      </w:r>
    </w:p>
    <w:p w14:paraId="7F90DCD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（2）替代品的名称、数量、规格、型号、品牌、性能、价格及其他相关资料；</w:t>
      </w:r>
    </w:p>
    <w:p w14:paraId="0CF4636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（3）替代品与被替代产品之间的差异以及使用替代品可能对工程产生的影响；</w:t>
      </w:r>
    </w:p>
    <w:p w14:paraId="1354BCC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（4）替代品与被替代产品的价格差异；</w:t>
      </w:r>
    </w:p>
    <w:p w14:paraId="4067B3A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（5）使用替代品的理由和原因说明；</w:t>
      </w:r>
    </w:p>
    <w:p w14:paraId="2D8B8AF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（6）监理人要求的其他文件。</w:t>
      </w:r>
    </w:p>
    <w:p w14:paraId="2263AEA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监理人应在收到通知后14天内向承包人发出经发包人签认的书面指示；监理人逾期发出书面指示的，视为发包人和监理人同意使用替代品。</w:t>
      </w:r>
    </w:p>
    <w:p w14:paraId="725E40E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4738B756">
      <w:pPr>
        <w:pStyle w:val="7"/>
        <w:spacing w:before="0" w:beforeAutospacing="0" w:after="0" w:afterAutospacing="0" w:line="360" w:lineRule="auto"/>
        <w:ind w:firstLine="422" w:firstLineChars="200"/>
        <w:rPr>
          <w:color w:val="auto"/>
          <w:sz w:val="21"/>
          <w:szCs w:val="21"/>
          <w:highlight w:val="none"/>
        </w:rPr>
      </w:pPr>
      <w:bookmarkStart w:id="983" w:name="_Toc351203560"/>
      <w:bookmarkStart w:id="984" w:name="_Toc532377246"/>
      <w:r>
        <w:rPr>
          <w:rFonts w:hint="eastAsia"/>
          <w:color w:val="auto"/>
          <w:sz w:val="21"/>
          <w:szCs w:val="21"/>
          <w:highlight w:val="none"/>
        </w:rPr>
        <w:t>8.8施工设备和临时设施</w:t>
      </w:r>
      <w:bookmarkEnd w:id="983"/>
      <w:bookmarkEnd w:id="984"/>
    </w:p>
    <w:p w14:paraId="16EB61A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8.8.1 承包人提供的施工设备和临时设施</w:t>
      </w:r>
    </w:p>
    <w:p w14:paraId="05C5D71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7D492DF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除专用合同条款另有约定外，承包人应自行承担修建临时设施的费用，需要临时占地的，应由发包人办理申请手续并承担相应费用。</w:t>
      </w:r>
    </w:p>
    <w:p w14:paraId="51781A4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8.8.2发包人提供的施工设备和临时设施</w:t>
      </w:r>
    </w:p>
    <w:p w14:paraId="63EE40D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发包人提供的施工设备或临时设施在专用合同条款中约定。</w:t>
      </w:r>
    </w:p>
    <w:p w14:paraId="1A69E0F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8.8.3要求承包人增加或更换施工设备</w:t>
      </w:r>
    </w:p>
    <w:p w14:paraId="5F789CF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61C5B9C3">
      <w:pPr>
        <w:pStyle w:val="7"/>
        <w:spacing w:before="0" w:beforeAutospacing="0" w:after="0" w:afterAutospacing="0" w:line="360" w:lineRule="auto"/>
        <w:ind w:firstLine="422" w:firstLineChars="200"/>
        <w:rPr>
          <w:color w:val="auto"/>
          <w:sz w:val="21"/>
          <w:szCs w:val="21"/>
          <w:highlight w:val="none"/>
        </w:rPr>
      </w:pPr>
      <w:bookmarkStart w:id="985" w:name="_Toc351203561"/>
      <w:bookmarkStart w:id="986" w:name="_Toc532377247"/>
      <w:r>
        <w:rPr>
          <w:rFonts w:hint="eastAsia"/>
          <w:color w:val="auto"/>
          <w:sz w:val="21"/>
          <w:szCs w:val="21"/>
          <w:highlight w:val="none"/>
        </w:rPr>
        <w:t>8</w:t>
      </w:r>
      <w:bookmarkStart w:id="987" w:name="_Toc337558781"/>
      <w:bookmarkStart w:id="988" w:name="_Toc296346564"/>
      <w:bookmarkStart w:id="989" w:name="_Toc296503063"/>
      <w:r>
        <w:rPr>
          <w:rFonts w:hint="eastAsia"/>
          <w:color w:val="auto"/>
          <w:sz w:val="21"/>
          <w:szCs w:val="21"/>
          <w:highlight w:val="none"/>
        </w:rPr>
        <w:t>.9材料与设备专用</w:t>
      </w:r>
      <w:bookmarkEnd w:id="985"/>
      <w:r>
        <w:rPr>
          <w:rFonts w:hint="eastAsia"/>
          <w:color w:val="auto"/>
          <w:sz w:val="21"/>
          <w:szCs w:val="21"/>
          <w:highlight w:val="none"/>
        </w:rPr>
        <w:t>要求</w:t>
      </w:r>
      <w:bookmarkEnd w:id="986"/>
    </w:p>
    <w:bookmarkEnd w:id="987"/>
    <w:bookmarkEnd w:id="988"/>
    <w:bookmarkEnd w:id="989"/>
    <w:p w14:paraId="0F59F41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964"/>
      <w:r>
        <w:rPr>
          <w:rFonts w:hint="eastAsia" w:ascii="宋体" w:hAnsi="宋体"/>
          <w:color w:val="auto"/>
          <w:kern w:val="0"/>
          <w:szCs w:val="21"/>
          <w:highlight w:val="none"/>
        </w:rPr>
        <w:t>经发包人批准，承包人可以根据施工进度计划撤走闲置的施工设备和其他物品。</w:t>
      </w:r>
    </w:p>
    <w:p w14:paraId="77C932C5">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990" w:name="_Toc351203562"/>
      <w:bookmarkStart w:id="991" w:name="_Toc532375595"/>
      <w:bookmarkStart w:id="992" w:name="_Toc532377248"/>
      <w:r>
        <w:rPr>
          <w:rFonts w:hint="eastAsia"/>
          <w:color w:val="auto"/>
          <w:kern w:val="2"/>
          <w:sz w:val="21"/>
          <w:szCs w:val="21"/>
          <w:highlight w:val="none"/>
        </w:rPr>
        <w:t>9</w:t>
      </w:r>
      <w:bookmarkStart w:id="993" w:name="_Toc337558782"/>
      <w:bookmarkStart w:id="994" w:name="_Toc296346584"/>
      <w:bookmarkStart w:id="995" w:name="_Toc296503083"/>
      <w:r>
        <w:rPr>
          <w:rFonts w:hint="eastAsia"/>
          <w:color w:val="auto"/>
          <w:kern w:val="2"/>
          <w:sz w:val="21"/>
          <w:szCs w:val="21"/>
          <w:highlight w:val="none"/>
        </w:rPr>
        <w:t>. 试验与检验</w:t>
      </w:r>
      <w:bookmarkEnd w:id="990"/>
      <w:bookmarkEnd w:id="991"/>
      <w:bookmarkEnd w:id="992"/>
    </w:p>
    <w:bookmarkEnd w:id="993"/>
    <w:p w14:paraId="34D034B2">
      <w:pPr>
        <w:pStyle w:val="7"/>
        <w:spacing w:before="0" w:beforeAutospacing="0" w:after="0" w:afterAutospacing="0" w:line="360" w:lineRule="auto"/>
        <w:ind w:firstLine="422" w:firstLineChars="200"/>
        <w:rPr>
          <w:color w:val="auto"/>
          <w:sz w:val="21"/>
          <w:szCs w:val="21"/>
          <w:highlight w:val="none"/>
        </w:rPr>
      </w:pPr>
      <w:bookmarkStart w:id="996" w:name="_Toc351203563"/>
      <w:bookmarkStart w:id="997" w:name="_Toc532377249"/>
      <w:r>
        <w:rPr>
          <w:rFonts w:hint="eastAsia"/>
          <w:color w:val="auto"/>
          <w:sz w:val="21"/>
          <w:szCs w:val="21"/>
          <w:highlight w:val="none"/>
        </w:rPr>
        <w:t>9</w:t>
      </w:r>
      <w:bookmarkStart w:id="998" w:name="_Toc337558783"/>
      <w:r>
        <w:rPr>
          <w:rFonts w:hint="eastAsia"/>
          <w:color w:val="auto"/>
          <w:sz w:val="21"/>
          <w:szCs w:val="21"/>
          <w:highlight w:val="none"/>
        </w:rPr>
        <w:t>.1试验设备与试验人员</w:t>
      </w:r>
      <w:bookmarkEnd w:id="996"/>
      <w:bookmarkEnd w:id="997"/>
    </w:p>
    <w:bookmarkEnd w:id="998"/>
    <w:p w14:paraId="55A7FF3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2268CAC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9.1.2 承包人应按专用合同条款的约定提供试验设备、取样装置、试验场所和试验条件，并向监理人提交相应进场计划表。</w:t>
      </w:r>
    </w:p>
    <w:p w14:paraId="1DFA81D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承包人配置的试验设备要符合相应试验规程的要求并经过具有资质的检测单位检测，且在正式使用该试验设备前，需要经过监理人与承包人共同校定。</w:t>
      </w:r>
    </w:p>
    <w:p w14:paraId="5EDA639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9.1.3 承包人应向监理人提交试验人员的名单及其岗位、资格等证明资料，试验人员必须能够熟练进行相应的检测试验，承包人对试验人员的试验程序和试验结果的正确性负责。</w:t>
      </w:r>
    </w:p>
    <w:p w14:paraId="7B5A39D5">
      <w:pPr>
        <w:pStyle w:val="7"/>
        <w:spacing w:before="0" w:beforeAutospacing="0" w:after="0" w:afterAutospacing="0" w:line="360" w:lineRule="auto"/>
        <w:ind w:firstLine="422" w:firstLineChars="200"/>
        <w:rPr>
          <w:color w:val="auto"/>
          <w:sz w:val="21"/>
          <w:szCs w:val="21"/>
          <w:highlight w:val="none"/>
        </w:rPr>
      </w:pPr>
      <w:bookmarkStart w:id="999" w:name="_Toc351203564"/>
      <w:bookmarkStart w:id="1000" w:name="_Toc532377250"/>
      <w:r>
        <w:rPr>
          <w:rFonts w:hint="eastAsia"/>
          <w:color w:val="auto"/>
          <w:sz w:val="21"/>
          <w:szCs w:val="21"/>
          <w:highlight w:val="none"/>
        </w:rPr>
        <w:t>9</w:t>
      </w:r>
      <w:bookmarkStart w:id="1001" w:name="_Toc337558784"/>
      <w:r>
        <w:rPr>
          <w:rFonts w:hint="eastAsia"/>
          <w:color w:val="auto"/>
          <w:sz w:val="21"/>
          <w:szCs w:val="21"/>
          <w:highlight w:val="none"/>
        </w:rPr>
        <w:t>.2取样</w:t>
      </w:r>
      <w:bookmarkEnd w:id="999"/>
      <w:bookmarkEnd w:id="1000"/>
    </w:p>
    <w:bookmarkEnd w:id="1001"/>
    <w:p w14:paraId="5539950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试验属于自检性质的，承包人可以单独取样。试验属于监理人抽检性质的，可由监理人取样，也可由承包人的试验人员在监理人的监督下取样。</w:t>
      </w:r>
    </w:p>
    <w:p w14:paraId="5BA8DBB2">
      <w:pPr>
        <w:pStyle w:val="7"/>
        <w:spacing w:before="0" w:beforeAutospacing="0" w:after="0" w:afterAutospacing="0" w:line="360" w:lineRule="auto"/>
        <w:ind w:firstLine="422" w:firstLineChars="200"/>
        <w:rPr>
          <w:color w:val="auto"/>
          <w:sz w:val="21"/>
          <w:szCs w:val="21"/>
          <w:highlight w:val="none"/>
        </w:rPr>
      </w:pPr>
      <w:bookmarkStart w:id="1002" w:name="_Toc532377251"/>
      <w:bookmarkStart w:id="1003" w:name="_Toc351203565"/>
      <w:r>
        <w:rPr>
          <w:rFonts w:hint="eastAsia"/>
          <w:color w:val="auto"/>
          <w:sz w:val="21"/>
          <w:szCs w:val="21"/>
          <w:highlight w:val="none"/>
        </w:rPr>
        <w:t>9</w:t>
      </w:r>
      <w:bookmarkStart w:id="1004" w:name="_Toc337558785"/>
      <w:r>
        <w:rPr>
          <w:rFonts w:hint="eastAsia"/>
          <w:color w:val="auto"/>
          <w:sz w:val="21"/>
          <w:szCs w:val="21"/>
          <w:highlight w:val="none"/>
        </w:rPr>
        <w:t>.3材料、工程设备和工程的试验和检验</w:t>
      </w:r>
      <w:bookmarkEnd w:id="1002"/>
      <w:bookmarkEnd w:id="1003"/>
    </w:p>
    <w:bookmarkEnd w:id="1004"/>
    <w:p w14:paraId="3741B76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44738E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5A20ED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4C67E6C8">
      <w:pPr>
        <w:pStyle w:val="7"/>
        <w:spacing w:before="0" w:beforeAutospacing="0" w:after="0" w:afterAutospacing="0" w:line="360" w:lineRule="auto"/>
        <w:ind w:firstLine="422" w:firstLineChars="200"/>
        <w:rPr>
          <w:color w:val="auto"/>
          <w:sz w:val="21"/>
          <w:szCs w:val="21"/>
          <w:highlight w:val="none"/>
        </w:rPr>
      </w:pPr>
      <w:bookmarkStart w:id="1005" w:name="_Toc532377252"/>
      <w:bookmarkStart w:id="1006" w:name="_Toc351203566"/>
      <w:r>
        <w:rPr>
          <w:rFonts w:hint="eastAsia"/>
          <w:color w:val="auto"/>
          <w:sz w:val="21"/>
          <w:szCs w:val="21"/>
          <w:highlight w:val="none"/>
        </w:rPr>
        <w:t>9</w:t>
      </w:r>
      <w:bookmarkStart w:id="1007" w:name="_Toc337558786"/>
      <w:r>
        <w:rPr>
          <w:rFonts w:hint="eastAsia"/>
          <w:color w:val="auto"/>
          <w:sz w:val="21"/>
          <w:szCs w:val="21"/>
          <w:highlight w:val="none"/>
        </w:rPr>
        <w:t>.4现场工艺试验</w:t>
      </w:r>
      <w:bookmarkEnd w:id="1005"/>
      <w:bookmarkEnd w:id="1006"/>
    </w:p>
    <w:bookmarkEnd w:id="1007"/>
    <w:p w14:paraId="68030B8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承包人应按合同约定或监理人指示进行现场工艺试验。对大型的现场工艺试验，监理人认为必要时，承包人应根据监理人提出的工艺试验要求，编制工艺试验措施计划，报送监理人审查。</w:t>
      </w:r>
    </w:p>
    <w:p w14:paraId="7F631CD7">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008" w:name="_Toc351203567"/>
      <w:bookmarkStart w:id="1009" w:name="_Toc532375596"/>
      <w:bookmarkStart w:id="1010" w:name="_Toc532377253"/>
      <w:r>
        <w:rPr>
          <w:rFonts w:hint="eastAsia"/>
          <w:color w:val="auto"/>
          <w:kern w:val="2"/>
          <w:sz w:val="21"/>
          <w:szCs w:val="21"/>
          <w:highlight w:val="none"/>
        </w:rPr>
        <w:t>1</w:t>
      </w:r>
      <w:bookmarkStart w:id="1011" w:name="_Toc337558787"/>
      <w:r>
        <w:rPr>
          <w:rFonts w:hint="eastAsia"/>
          <w:color w:val="auto"/>
          <w:kern w:val="2"/>
          <w:sz w:val="21"/>
          <w:szCs w:val="21"/>
          <w:highlight w:val="none"/>
        </w:rPr>
        <w:t>0. 变更</w:t>
      </w:r>
      <w:bookmarkEnd w:id="994"/>
      <w:bookmarkEnd w:id="995"/>
      <w:bookmarkEnd w:id="1008"/>
      <w:bookmarkEnd w:id="1009"/>
      <w:bookmarkEnd w:id="1010"/>
    </w:p>
    <w:bookmarkEnd w:id="1011"/>
    <w:p w14:paraId="36A61579">
      <w:pPr>
        <w:pStyle w:val="7"/>
        <w:spacing w:before="0" w:beforeAutospacing="0" w:after="0" w:afterAutospacing="0" w:line="360" w:lineRule="auto"/>
        <w:ind w:firstLine="422" w:firstLineChars="200"/>
        <w:rPr>
          <w:color w:val="auto"/>
          <w:sz w:val="21"/>
          <w:szCs w:val="21"/>
          <w:highlight w:val="none"/>
        </w:rPr>
      </w:pPr>
      <w:bookmarkStart w:id="1012" w:name="_Toc532377254"/>
      <w:bookmarkStart w:id="1013" w:name="_Toc351203568"/>
      <w:r>
        <w:rPr>
          <w:rFonts w:hint="eastAsia"/>
          <w:color w:val="auto"/>
          <w:sz w:val="21"/>
          <w:szCs w:val="21"/>
          <w:highlight w:val="none"/>
        </w:rPr>
        <w:t>1</w:t>
      </w:r>
      <w:bookmarkStart w:id="1014" w:name="_Toc296503084"/>
      <w:bookmarkStart w:id="1015" w:name="_Toc337558788"/>
      <w:bookmarkStart w:id="1016" w:name="_Toc296346585"/>
      <w:r>
        <w:rPr>
          <w:rFonts w:hint="eastAsia"/>
          <w:color w:val="auto"/>
          <w:sz w:val="21"/>
          <w:szCs w:val="21"/>
          <w:highlight w:val="none"/>
        </w:rPr>
        <w:t>0.1变更的范围</w:t>
      </w:r>
      <w:bookmarkEnd w:id="1012"/>
      <w:bookmarkEnd w:id="1013"/>
    </w:p>
    <w:bookmarkEnd w:id="1014"/>
    <w:bookmarkEnd w:id="1015"/>
    <w:bookmarkEnd w:id="1016"/>
    <w:p w14:paraId="4C3D8E3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除专用合同条款另有约定外，合同履行过程中发生以下情形的，应按照本条约定进行变更：</w:t>
      </w:r>
    </w:p>
    <w:p w14:paraId="7436009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（1）增加或减少合同中任何工作，或追加额外的工作；</w:t>
      </w:r>
    </w:p>
    <w:p w14:paraId="432D3FC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（2）取消合同中任何工作，但转由他人实施的工作除外；</w:t>
      </w:r>
    </w:p>
    <w:p w14:paraId="19142D1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（3）改变合同中任何工作的质量标准或其他特性；</w:t>
      </w:r>
    </w:p>
    <w:p w14:paraId="66A033E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（4）改变工程的基线、标高、位置和尺寸；</w:t>
      </w:r>
    </w:p>
    <w:p w14:paraId="4C5B2BD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（5）改变工程的时间安排或实施顺序。</w:t>
      </w:r>
    </w:p>
    <w:p w14:paraId="4BD7777A">
      <w:pPr>
        <w:pStyle w:val="7"/>
        <w:spacing w:before="0" w:beforeAutospacing="0" w:after="0" w:afterAutospacing="0" w:line="360" w:lineRule="auto"/>
        <w:ind w:firstLine="422" w:firstLineChars="200"/>
        <w:rPr>
          <w:color w:val="auto"/>
          <w:sz w:val="21"/>
          <w:szCs w:val="21"/>
          <w:highlight w:val="none"/>
        </w:rPr>
      </w:pPr>
      <w:bookmarkStart w:id="1017" w:name="_Toc532377255"/>
      <w:r>
        <w:rPr>
          <w:rFonts w:hint="eastAsia"/>
          <w:color w:val="auto"/>
          <w:sz w:val="21"/>
          <w:szCs w:val="21"/>
          <w:highlight w:val="none"/>
        </w:rPr>
        <w:t>10.2变更权</w:t>
      </w:r>
      <w:bookmarkEnd w:id="1017"/>
    </w:p>
    <w:p w14:paraId="20E8F99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43BEF71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涉及设计变更的，应由设计人提供变更后的图纸和说明。如变更超过原设计标准或批准的建设规模时，发包人应及时办理规划、设计变更等审批手续。</w:t>
      </w:r>
    </w:p>
    <w:p w14:paraId="59CC803A">
      <w:pPr>
        <w:pStyle w:val="7"/>
        <w:spacing w:before="0" w:beforeAutospacing="0" w:after="0" w:afterAutospacing="0" w:line="360" w:lineRule="auto"/>
        <w:ind w:firstLine="422" w:firstLineChars="200"/>
        <w:rPr>
          <w:color w:val="auto"/>
          <w:sz w:val="21"/>
          <w:szCs w:val="21"/>
          <w:highlight w:val="none"/>
        </w:rPr>
      </w:pPr>
      <w:bookmarkStart w:id="1018" w:name="_Toc532377256"/>
      <w:r>
        <w:rPr>
          <w:rFonts w:hint="eastAsia"/>
          <w:color w:val="auto"/>
          <w:sz w:val="21"/>
          <w:szCs w:val="21"/>
          <w:highlight w:val="none"/>
        </w:rPr>
        <w:t>10.3变更程序</w:t>
      </w:r>
      <w:bookmarkEnd w:id="1018"/>
    </w:p>
    <w:p w14:paraId="5097C3D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10.3.1 发包人提出变更</w:t>
      </w:r>
    </w:p>
    <w:p w14:paraId="1C78281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发包人提出变更的，应通过监理人向承包人发出变更指示，变更指示应说明计划变更的工程范围和变更的内容。</w:t>
      </w:r>
    </w:p>
    <w:p w14:paraId="278D53D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10.3.2 监理人提出变更建议</w:t>
      </w:r>
    </w:p>
    <w:p w14:paraId="707C3E1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4012121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10.3.3 变更执行</w:t>
      </w:r>
    </w:p>
    <w:p w14:paraId="23221AF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3ED78495">
      <w:pPr>
        <w:pStyle w:val="7"/>
        <w:spacing w:before="0" w:beforeAutospacing="0" w:after="0" w:afterAutospacing="0" w:line="360" w:lineRule="auto"/>
        <w:ind w:firstLine="422" w:firstLineChars="200"/>
        <w:rPr>
          <w:color w:val="auto"/>
          <w:sz w:val="21"/>
          <w:szCs w:val="21"/>
          <w:highlight w:val="none"/>
        </w:rPr>
      </w:pPr>
      <w:bookmarkStart w:id="1019" w:name="_Toc351203571"/>
      <w:bookmarkStart w:id="1020" w:name="_Toc532377257"/>
      <w:r>
        <w:rPr>
          <w:rFonts w:hint="eastAsia"/>
          <w:color w:val="auto"/>
          <w:sz w:val="21"/>
          <w:szCs w:val="21"/>
          <w:highlight w:val="none"/>
        </w:rPr>
        <w:t>1</w:t>
      </w:r>
      <w:bookmarkStart w:id="1021" w:name="_Toc337558791"/>
      <w:bookmarkStart w:id="1022" w:name="_Toc296346588"/>
      <w:bookmarkStart w:id="1023" w:name="_Toc296503087"/>
      <w:r>
        <w:rPr>
          <w:rFonts w:hint="eastAsia"/>
          <w:color w:val="auto"/>
          <w:sz w:val="21"/>
          <w:szCs w:val="21"/>
          <w:highlight w:val="none"/>
        </w:rPr>
        <w:t>0.4变更估价</w:t>
      </w:r>
      <w:bookmarkEnd w:id="1019"/>
      <w:bookmarkEnd w:id="1020"/>
    </w:p>
    <w:bookmarkEnd w:id="1021"/>
    <w:bookmarkEnd w:id="1022"/>
    <w:bookmarkEnd w:id="1023"/>
    <w:p w14:paraId="209C609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10.4.1 变更估价原则</w:t>
      </w:r>
    </w:p>
    <w:p w14:paraId="0187673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除专用合同条款另有约定外，变更估价按照本款约定处理：</w:t>
      </w:r>
    </w:p>
    <w:p w14:paraId="2D78E72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（1）已标价工程量清单或预算书有相同项目的，按照相同项目单价认定；</w:t>
      </w:r>
    </w:p>
    <w:p w14:paraId="0A36699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（2）已标价工程量清单或预算书中无相同项目，但有类似项目的，参照类似项目的单价认定；</w:t>
      </w:r>
    </w:p>
    <w:p w14:paraId="2ACB767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0F84BC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10.4.2 变更估价程序</w:t>
      </w:r>
    </w:p>
    <w:p w14:paraId="0046A3E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05E6F1C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因变更引起的价格调整应计入最近一期的进度款中支付。</w:t>
      </w:r>
    </w:p>
    <w:p w14:paraId="33D83860">
      <w:pPr>
        <w:pStyle w:val="7"/>
        <w:spacing w:before="0" w:beforeAutospacing="0" w:after="0" w:afterAutospacing="0" w:line="360" w:lineRule="auto"/>
        <w:ind w:firstLine="422" w:firstLineChars="200"/>
        <w:rPr>
          <w:color w:val="auto"/>
          <w:sz w:val="21"/>
          <w:szCs w:val="21"/>
          <w:highlight w:val="none"/>
        </w:rPr>
      </w:pPr>
      <w:bookmarkStart w:id="1024" w:name="_Toc351203572"/>
      <w:bookmarkStart w:id="1025" w:name="_Toc532377258"/>
      <w:r>
        <w:rPr>
          <w:rFonts w:hint="eastAsia"/>
          <w:color w:val="auto"/>
          <w:sz w:val="21"/>
          <w:szCs w:val="21"/>
          <w:highlight w:val="none"/>
        </w:rPr>
        <w:t>1</w:t>
      </w:r>
      <w:bookmarkStart w:id="1026" w:name="_Toc337558792"/>
      <w:bookmarkStart w:id="1027" w:name="_Toc296503094"/>
      <w:bookmarkStart w:id="1028" w:name="_Toc296346595"/>
      <w:r>
        <w:rPr>
          <w:rFonts w:hint="eastAsia"/>
          <w:color w:val="auto"/>
          <w:sz w:val="21"/>
          <w:szCs w:val="21"/>
          <w:highlight w:val="none"/>
        </w:rPr>
        <w:t>0.5承包人的合理化建议</w:t>
      </w:r>
      <w:bookmarkEnd w:id="1024"/>
      <w:bookmarkEnd w:id="1025"/>
    </w:p>
    <w:bookmarkEnd w:id="1026"/>
    <w:bookmarkEnd w:id="1027"/>
    <w:bookmarkEnd w:id="1028"/>
    <w:p w14:paraId="0953054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承包人提出合理化建议的，应向监理人提交合理化建议说明，说明建议的内容和理由，以及实施该建议对合同价格和工期的影响。</w:t>
      </w:r>
    </w:p>
    <w:p w14:paraId="078E32C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69ACB7B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合理化建议降低了合同价格或者提高了工程经济效益的，发包人可对承包人给予奖励，奖励的方法和金额在专用合同条款中约定。</w:t>
      </w:r>
    </w:p>
    <w:p w14:paraId="05EA290A">
      <w:pPr>
        <w:pStyle w:val="7"/>
        <w:spacing w:before="0" w:beforeAutospacing="0" w:after="0" w:afterAutospacing="0" w:line="360" w:lineRule="auto"/>
        <w:ind w:firstLine="422" w:firstLineChars="200"/>
        <w:rPr>
          <w:color w:val="auto"/>
          <w:sz w:val="21"/>
          <w:szCs w:val="21"/>
          <w:highlight w:val="none"/>
        </w:rPr>
      </w:pPr>
      <w:bookmarkStart w:id="1029" w:name="_Toc351203573"/>
      <w:bookmarkStart w:id="1030" w:name="_Toc532377259"/>
      <w:r>
        <w:rPr>
          <w:rFonts w:hint="eastAsia"/>
          <w:color w:val="auto"/>
          <w:sz w:val="21"/>
          <w:szCs w:val="21"/>
          <w:highlight w:val="none"/>
        </w:rPr>
        <w:t>1</w:t>
      </w:r>
      <w:bookmarkStart w:id="1031" w:name="_Toc337558793"/>
      <w:r>
        <w:rPr>
          <w:rFonts w:hint="eastAsia"/>
          <w:color w:val="auto"/>
          <w:sz w:val="21"/>
          <w:szCs w:val="21"/>
          <w:highlight w:val="none"/>
        </w:rPr>
        <w:t>0.6变更引起的工期调整</w:t>
      </w:r>
      <w:bookmarkEnd w:id="1029"/>
      <w:bookmarkEnd w:id="1030"/>
      <w:bookmarkEnd w:id="1031"/>
    </w:p>
    <w:p w14:paraId="6410E18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因变更引起工期变化的，合同当事人均可要求调整合同工期，由合同当事人按照第4.4款〔商定或确定〕并参考工程所在地的工期定额标准确定增减工期天数。</w:t>
      </w:r>
    </w:p>
    <w:p w14:paraId="35E01102">
      <w:pPr>
        <w:pStyle w:val="7"/>
        <w:spacing w:before="0" w:beforeAutospacing="0" w:after="0" w:afterAutospacing="0" w:line="360" w:lineRule="auto"/>
        <w:ind w:firstLine="422" w:firstLineChars="200"/>
        <w:rPr>
          <w:color w:val="auto"/>
          <w:sz w:val="21"/>
          <w:szCs w:val="21"/>
          <w:highlight w:val="none"/>
        </w:rPr>
      </w:pPr>
      <w:bookmarkStart w:id="1032" w:name="_Toc532377260"/>
      <w:bookmarkStart w:id="1033" w:name="_Toc351203574"/>
      <w:r>
        <w:rPr>
          <w:rFonts w:hint="eastAsia"/>
          <w:color w:val="auto"/>
          <w:sz w:val="21"/>
          <w:szCs w:val="21"/>
          <w:highlight w:val="none"/>
        </w:rPr>
        <w:t>10.7暂估价</w:t>
      </w:r>
      <w:bookmarkEnd w:id="1032"/>
      <w:bookmarkEnd w:id="1033"/>
    </w:p>
    <w:p w14:paraId="7C3B0C0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暂估价专业分包工程、服务、材料和工程设备的明细由合同当事人在专用合同条款中约定。</w:t>
      </w:r>
    </w:p>
    <w:p w14:paraId="5F9682E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10.7.1 依法必须招标的暂估价项目</w:t>
      </w:r>
    </w:p>
    <w:p w14:paraId="55C3780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对于依法必须招标的暂估价项目，采取以下第1种方式确定。合同当事人也可以在专用合同条款中选择其他招标方式。</w:t>
      </w:r>
    </w:p>
    <w:p w14:paraId="235241C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第1种方式：对于依法必须招标的暂估价项目，由承包人招标，对该暂估价项目的确认和批准按照以下约定执行：</w:t>
      </w:r>
    </w:p>
    <w:p w14:paraId="623D07E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7BFE2BD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（2）承包人应当根据施工进度计划，提前14天将</w:t>
      </w:r>
      <w:r>
        <w:rPr>
          <w:rFonts w:hint="eastAsia" w:ascii="宋体" w:hAnsi="宋体"/>
          <w:color w:val="auto"/>
          <w:kern w:val="0"/>
          <w:szCs w:val="21"/>
          <w:highlight w:val="none"/>
          <w:lang w:eastAsia="zh-CN"/>
        </w:rPr>
        <w:t>竞争性比选文件</w:t>
      </w:r>
      <w:r>
        <w:rPr>
          <w:rFonts w:hint="eastAsia" w:ascii="宋体" w:hAnsi="宋体"/>
          <w:color w:val="auto"/>
          <w:kern w:val="0"/>
          <w:szCs w:val="21"/>
          <w:highlight w:val="none"/>
        </w:rPr>
        <w:t>通过监理人报送发包人审批，发包人应当在收到承包人报送的相关文件后7天内完成审批或提出修改意见；发包人有权确定最高限价并按照法律规定参加评标；</w:t>
      </w:r>
    </w:p>
    <w:p w14:paraId="01D3D05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6B555FE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4194097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10.7.2不属于依法必须招标的暂估价项目</w:t>
      </w:r>
    </w:p>
    <w:p w14:paraId="57ED133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除专用合同条款另有约定外，对于不属于依法必须招标的暂估价项目，采取以下第1种方式确定： </w:t>
      </w:r>
    </w:p>
    <w:p w14:paraId="2016209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第1种方式：对于不属于依法必须招标的暂估价项目，按本项约定确认和批准：</w:t>
      </w:r>
    </w:p>
    <w:p w14:paraId="050F0FD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78E937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（2）发包人认为承包人确定的供应商、分包人无法满足工程质量或合同要求的，发包人可以要求承包人重新确定暂估价项目的供应商、分包人;</w:t>
      </w:r>
    </w:p>
    <w:p w14:paraId="0DA85A9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（3）承包人应当在签订暂估价合同后7天内，将暂估价合同副本报送发包人留存。</w:t>
      </w:r>
    </w:p>
    <w:p w14:paraId="75BFC6B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第2种方式：承包人按照第10.7.1项〔依法必须招标的暂估价项目〕约定的第1种方式确定暂估价项目。</w:t>
      </w:r>
    </w:p>
    <w:p w14:paraId="5913F88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第3种方式：承包人直接实施的暂估价项目</w:t>
      </w:r>
    </w:p>
    <w:p w14:paraId="3E9EF22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承包人具备实施暂估价项目的资格和条件的，经发包人和承包人协商一致后，可由承包人自行实施暂估价项目，合同当事人可以在专用合同条款约定具体事项。</w:t>
      </w:r>
    </w:p>
    <w:p w14:paraId="5D30964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4D2BF2BC">
      <w:pPr>
        <w:pStyle w:val="7"/>
        <w:spacing w:before="0" w:beforeAutospacing="0" w:after="0" w:afterAutospacing="0" w:line="360" w:lineRule="auto"/>
        <w:ind w:firstLine="422" w:firstLineChars="200"/>
        <w:rPr>
          <w:color w:val="auto"/>
          <w:sz w:val="21"/>
          <w:szCs w:val="21"/>
          <w:highlight w:val="none"/>
        </w:rPr>
      </w:pPr>
      <w:bookmarkStart w:id="1034" w:name="_Toc532377261"/>
      <w:bookmarkStart w:id="1035" w:name="_Toc351203575"/>
      <w:r>
        <w:rPr>
          <w:rFonts w:hint="eastAsia"/>
          <w:color w:val="auto"/>
          <w:sz w:val="21"/>
          <w:szCs w:val="21"/>
          <w:highlight w:val="none"/>
        </w:rPr>
        <w:t>1</w:t>
      </w:r>
      <w:bookmarkStart w:id="1036" w:name="_Toc337558794"/>
      <w:bookmarkStart w:id="1037" w:name="_Toc296503090"/>
      <w:bookmarkStart w:id="1038" w:name="_Toc296346591"/>
      <w:bookmarkStart w:id="1039" w:name="_Toc322522561"/>
      <w:r>
        <w:rPr>
          <w:rFonts w:hint="eastAsia"/>
          <w:color w:val="auto"/>
          <w:sz w:val="21"/>
          <w:szCs w:val="21"/>
          <w:highlight w:val="none"/>
        </w:rPr>
        <w:t>0.8暂列金额</w:t>
      </w:r>
      <w:bookmarkEnd w:id="1034"/>
      <w:bookmarkEnd w:id="1035"/>
    </w:p>
    <w:bookmarkEnd w:id="1036"/>
    <w:p w14:paraId="008B8F8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暂列金额应按照发包人的要求使用，发包人的要求应通过监理人发出。合同当事人可以在专用合同条款中协商确定有关事项。</w:t>
      </w:r>
    </w:p>
    <w:bookmarkEnd w:id="1037"/>
    <w:bookmarkEnd w:id="1038"/>
    <w:bookmarkEnd w:id="1039"/>
    <w:p w14:paraId="1973540D">
      <w:pPr>
        <w:pStyle w:val="7"/>
        <w:spacing w:before="0" w:beforeAutospacing="0" w:after="0" w:afterAutospacing="0" w:line="360" w:lineRule="auto"/>
        <w:ind w:firstLine="422" w:firstLineChars="200"/>
        <w:rPr>
          <w:color w:val="auto"/>
          <w:sz w:val="21"/>
          <w:szCs w:val="21"/>
          <w:highlight w:val="none"/>
        </w:rPr>
      </w:pPr>
      <w:bookmarkStart w:id="1040" w:name="_Toc532377262"/>
      <w:bookmarkStart w:id="1041" w:name="_Toc351203576"/>
      <w:r>
        <w:rPr>
          <w:rFonts w:hint="eastAsia"/>
          <w:color w:val="auto"/>
          <w:sz w:val="21"/>
          <w:szCs w:val="21"/>
          <w:highlight w:val="none"/>
        </w:rPr>
        <w:t>1</w:t>
      </w:r>
      <w:bookmarkStart w:id="1042" w:name="_Toc296503091"/>
      <w:bookmarkStart w:id="1043" w:name="_Toc296346592"/>
      <w:bookmarkStart w:id="1044" w:name="_Toc337558796"/>
      <w:r>
        <w:rPr>
          <w:rFonts w:hint="eastAsia"/>
          <w:color w:val="auto"/>
          <w:sz w:val="21"/>
          <w:szCs w:val="21"/>
          <w:highlight w:val="none"/>
        </w:rPr>
        <w:t>0.9计日工</w:t>
      </w:r>
      <w:bookmarkEnd w:id="1040"/>
      <w:bookmarkEnd w:id="1041"/>
      <w:bookmarkEnd w:id="1042"/>
      <w:bookmarkEnd w:id="1043"/>
      <w:bookmarkEnd w:id="1044"/>
    </w:p>
    <w:p w14:paraId="2C42904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3FCD51D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采用计日工计价的任何一项工作，承包人应在该项工作实施过程中，每天提交以下报表和有关凭证报送监理人审查：</w:t>
      </w:r>
    </w:p>
    <w:p w14:paraId="4961865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（1）工作名称、内容和数量；</w:t>
      </w:r>
    </w:p>
    <w:p w14:paraId="60375DF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（2）投入该工作的所有人员的姓名、专业、工种、级别和耗用工时；</w:t>
      </w:r>
    </w:p>
    <w:p w14:paraId="04F6B3C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（3）投入该工作的材料类别和数量；</w:t>
      </w:r>
    </w:p>
    <w:p w14:paraId="21E61E7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（4）投入该工作的施工设备型号、台数和耗用台时；</w:t>
      </w:r>
    </w:p>
    <w:p w14:paraId="57EAEF3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（5）其他有关资料和凭证。</w:t>
      </w:r>
    </w:p>
    <w:p w14:paraId="1237E8B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 计日工由承包人汇总后，列入最近一期进度付款申请单，由监理人审查并经发包人批准后列入进度付款。</w:t>
      </w:r>
    </w:p>
    <w:p w14:paraId="5F406DA5">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045" w:name="_Toc351203577"/>
      <w:bookmarkStart w:id="1046" w:name="_Toc532375597"/>
      <w:bookmarkStart w:id="1047" w:name="_Toc532377263"/>
      <w:r>
        <w:rPr>
          <w:rFonts w:hint="eastAsia"/>
          <w:color w:val="auto"/>
          <w:kern w:val="2"/>
          <w:sz w:val="21"/>
          <w:szCs w:val="21"/>
          <w:highlight w:val="none"/>
        </w:rPr>
        <w:t>11. 价格调整</w:t>
      </w:r>
      <w:bookmarkEnd w:id="1045"/>
      <w:bookmarkEnd w:id="1046"/>
      <w:bookmarkEnd w:id="1047"/>
    </w:p>
    <w:p w14:paraId="10041AD6">
      <w:pPr>
        <w:pStyle w:val="7"/>
        <w:spacing w:before="0" w:beforeAutospacing="0" w:after="0" w:afterAutospacing="0" w:line="360" w:lineRule="auto"/>
        <w:ind w:firstLine="422" w:firstLineChars="200"/>
        <w:rPr>
          <w:color w:val="auto"/>
          <w:sz w:val="21"/>
          <w:szCs w:val="21"/>
          <w:highlight w:val="none"/>
        </w:rPr>
      </w:pPr>
      <w:bookmarkStart w:id="1048" w:name="_Toc532377264"/>
      <w:bookmarkStart w:id="1049" w:name="_Toc351203578"/>
      <w:bookmarkStart w:id="1050" w:name="_Toc296503092"/>
      <w:bookmarkStart w:id="1051" w:name="_Toc296346593"/>
      <w:bookmarkStart w:id="1052" w:name="_Toc337558797"/>
      <w:r>
        <w:rPr>
          <w:rFonts w:hint="eastAsia"/>
          <w:color w:val="auto"/>
          <w:sz w:val="21"/>
          <w:szCs w:val="21"/>
          <w:highlight w:val="none"/>
        </w:rPr>
        <w:t>11.1市场价格波动引起的调整</w:t>
      </w:r>
      <w:bookmarkEnd w:id="1048"/>
      <w:bookmarkEnd w:id="1049"/>
    </w:p>
    <w:bookmarkEnd w:id="1050"/>
    <w:bookmarkEnd w:id="1051"/>
    <w:bookmarkEnd w:id="1052"/>
    <w:p w14:paraId="70BCB3D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除专用合同条款另有约定外，市场价格波动超过合同当事人约定的范围，合同价格应当调整。合同当事人可以在专用合同条款中约定选择以下一种方式对合同价格进行调整：</w:t>
      </w:r>
    </w:p>
    <w:p w14:paraId="5342689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第1种方式：采用价格指数进行价格调整。</w:t>
      </w:r>
    </w:p>
    <w:p w14:paraId="71DC3E17">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（1）价格调整公式</w:t>
      </w:r>
    </w:p>
    <w:p w14:paraId="2D7A520D">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因人工、材料和设备等价格波动影响合同价格时，根据专用合同条款中约定的数据，按以下公式计算差额并调整合同价格：</w:t>
      </w:r>
    </w:p>
    <w:p w14:paraId="2ABC4878">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object>
          <v:shape id="_x0000_i1025" o:spt="75" type="#_x0000_t75" style="height:43pt;width:360pt;" o:ole="t" filled="f" o:preferrelative="t" stroked="f" coordsize="21600,21600">
            <v:path/>
            <v:fill on="f" focussize="0,0"/>
            <v:stroke on="f" joinstyle="miter"/>
            <v:imagedata r:id="rId11" o:title=""/>
            <o:lock v:ext="edit" aspectratio="t"/>
            <w10:wrap type="none"/>
            <w10:anchorlock/>
          </v:shape>
          <o:OLEObject Type="Embed" ProgID="Equation.3" ShapeID="_x0000_i1025" DrawAspect="Content" ObjectID="_1468075725" r:id="rId10">
            <o:LockedField>false</o:LockedField>
          </o:OLEObject>
        </w:object>
      </w:r>
    </w:p>
    <w:p w14:paraId="0E7D4F39">
      <w:pPr>
        <w:tabs>
          <w:tab w:val="left" w:pos="0"/>
          <w:tab w:val="left" w:pos="360"/>
          <w:tab w:val="left" w:pos="540"/>
        </w:tabs>
        <w:spacing w:line="360" w:lineRule="auto"/>
        <w:ind w:firstLine="200"/>
        <w:jc w:val="left"/>
        <w:rPr>
          <w:rFonts w:ascii="宋体" w:hAnsi="宋体"/>
          <w:color w:val="auto"/>
          <w:kern w:val="0"/>
          <w:szCs w:val="21"/>
          <w:highlight w:val="none"/>
        </w:rPr>
      </w:pPr>
      <w:r>
        <w:rPr>
          <w:rFonts w:hint="eastAsia" w:ascii="宋体" w:hAnsi="宋体"/>
          <w:color w:val="auto"/>
          <w:kern w:val="0"/>
          <w:szCs w:val="21"/>
          <w:highlight w:val="none"/>
        </w:rPr>
        <w:t>公式中：ΔP——需调整的价格差额；</w:t>
      </w:r>
    </w:p>
    <w:p w14:paraId="2F22AAE2">
      <w:pPr>
        <w:tabs>
          <w:tab w:val="left" w:pos="0"/>
          <w:tab w:val="left" w:pos="360"/>
          <w:tab w:val="left" w:pos="540"/>
        </w:tabs>
        <w:spacing w:line="360" w:lineRule="auto"/>
        <w:ind w:firstLine="1260" w:firstLineChars="600"/>
        <w:jc w:val="left"/>
        <w:rPr>
          <w:rFonts w:ascii="宋体" w:hAnsi="宋体"/>
          <w:color w:val="auto"/>
          <w:kern w:val="0"/>
          <w:szCs w:val="21"/>
          <w:highlight w:val="none"/>
        </w:rPr>
      </w:pPr>
      <w:r>
        <w:rPr>
          <w:rFonts w:hint="eastAsia" w:ascii="宋体" w:hAnsi="宋体"/>
          <w:color w:val="auto"/>
          <w:kern w:val="0"/>
          <w:szCs w:val="21"/>
          <w:highlight w:val="none"/>
        </w:rPr>
        <w:object>
          <v:shape id="_x0000_i1026" o:spt="75" type="#_x0000_t75" style="height:18.5pt;width:18.5pt;" o:ole="t" filled="f" o:preferrelative="t" stroked="f" coordsize="21600,21600">
            <v:path/>
            <v:fill on="f" focussize="0,0"/>
            <v:stroke on="f" joinstyle="miter"/>
            <v:imagedata r:id="rId13" o:title=""/>
            <o:lock v:ext="edit" aspectratio="t"/>
            <w10:wrap type="none"/>
            <w10:anchorlock/>
          </v:shape>
          <o:OLEObject Type="Embed" ProgID="Equation.3" ShapeID="_x0000_i1026" DrawAspect="Content" ObjectID="_1468075726" r:id="rId12">
            <o:LockedField>false</o:LockedField>
          </o:OLEObject>
        </w:object>
      </w:r>
      <w:r>
        <w:rPr>
          <w:rFonts w:hint="eastAsia" w:ascii="宋体" w:hAnsi="宋体"/>
          <w:color w:val="auto"/>
          <w:kern w:val="0"/>
          <w:szCs w:val="21"/>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5911D5B7">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A——定值权重（即不调部分的权重）；</w:t>
      </w:r>
    </w:p>
    <w:p w14:paraId="12CAA74F">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object>
          <v:shape id="_x0000_i1027" o:spt="75" type="#_x0000_t75" style="height:22pt;width:100.5pt;" o:ole="t" filled="f" o:preferrelative="t" stroked="f" coordsize="21600,21600">
            <v:path/>
            <v:fill on="f" focussize="0,0"/>
            <v:stroke on="f" joinstyle="miter"/>
            <v:imagedata r:id="rId15" o:title=""/>
            <o:lock v:ext="edit" aspectratio="t"/>
            <w10:wrap type="none"/>
            <w10:anchorlock/>
          </v:shape>
          <o:OLEObject Type="Embed" ProgID="Equation.3" ShapeID="_x0000_i1027" DrawAspect="Content" ObjectID="_1468075727" r:id="rId14">
            <o:LockedField>false</o:LockedField>
          </o:OLEObject>
        </w:object>
      </w:r>
      <w:r>
        <w:rPr>
          <w:rFonts w:hint="eastAsia" w:ascii="宋体" w:hAnsi="宋体"/>
          <w:color w:val="auto"/>
          <w:kern w:val="0"/>
          <w:szCs w:val="21"/>
          <w:highlight w:val="none"/>
        </w:rPr>
        <w:t>——各可调因子的变值权重（即可调部分的权重），为各可调因子在签约合同价中所占的比例；</w:t>
      </w:r>
    </w:p>
    <w:p w14:paraId="2927C94C">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object>
          <v:shape id="_x0000_i1028" o:spt="75" type="#_x0000_t75" style="height:22pt;width:101.5pt;" o:ole="t" filled="f" o:preferrelative="t" stroked="f" coordsize="21600,21600">
            <v:path/>
            <v:fill on="f" focussize="0,0"/>
            <v:stroke on="f" joinstyle="miter"/>
            <v:imagedata r:id="rId17" o:title=""/>
            <o:lock v:ext="edit" aspectratio="t"/>
            <w10:wrap type="none"/>
            <w10:anchorlock/>
          </v:shape>
          <o:OLEObject Type="Embed" ProgID="Equation.3" ShapeID="_x0000_i1028" DrawAspect="Content" ObjectID="_1468075728" r:id="rId16">
            <o:LockedField>false</o:LockedField>
          </o:OLEObject>
        </w:object>
      </w:r>
      <w:r>
        <w:rPr>
          <w:rFonts w:hint="eastAsia" w:ascii="宋体" w:hAnsi="宋体"/>
          <w:color w:val="auto"/>
          <w:kern w:val="0"/>
          <w:szCs w:val="21"/>
          <w:highlight w:val="none"/>
        </w:rPr>
        <w:t>——各可调因子的现行价格指数，指约定的付款证书相关周期最后一天的前42天的各可调因子的价格指数；</w:t>
      </w:r>
    </w:p>
    <w:p w14:paraId="06484D34">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object>
          <v:shape id="_x0000_i1029" o:spt="75" type="#_x0000_t75" style="height:22pt;width:109pt;" o:ole="t" filled="f" o:preferrelative="t" stroked="f" coordsize="21600,21600">
            <v:path/>
            <v:fill on="f" focussize="0,0"/>
            <v:stroke on="f" joinstyle="miter"/>
            <v:imagedata r:id="rId19" o:title=""/>
            <o:lock v:ext="edit" aspectratio="t"/>
            <w10:wrap type="none"/>
            <w10:anchorlock/>
          </v:shape>
          <o:OLEObject Type="Embed" ProgID="Equation.3" ShapeID="_x0000_i1029" DrawAspect="Content" ObjectID="_1468075729" r:id="rId18">
            <o:LockedField>false</o:LockedField>
          </o:OLEObject>
        </w:object>
      </w:r>
      <w:r>
        <w:rPr>
          <w:rFonts w:hint="eastAsia" w:ascii="宋体" w:hAnsi="宋体"/>
          <w:color w:val="auto"/>
          <w:kern w:val="0"/>
          <w:szCs w:val="21"/>
          <w:highlight w:val="none"/>
        </w:rPr>
        <w:t>——各可调因子的基本价格指数，指基准日期的各可调因子的价格指数。</w:t>
      </w:r>
    </w:p>
    <w:p w14:paraId="68B3D62B">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7C78499A">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（2）暂时确定调整差额</w:t>
      </w:r>
    </w:p>
    <w:p w14:paraId="610FBED3">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在计算调整差额时无现行价格指数的，合同当事人同意暂用前次价格指数计算。实际价格指数有调整的，合同当事人进行相应调整。</w:t>
      </w:r>
    </w:p>
    <w:p w14:paraId="5ECEA63F">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（3）权重的调整</w:t>
      </w:r>
    </w:p>
    <w:p w14:paraId="7DD761B1">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因变更导致合同约定的权重不合理时，按照第4.4款〔商定或确定〕执行。</w:t>
      </w:r>
    </w:p>
    <w:p w14:paraId="4897831C">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（4）因承包人原因工期延误后的价格调整</w:t>
      </w:r>
    </w:p>
    <w:p w14:paraId="6202951F">
      <w:pPr>
        <w:tabs>
          <w:tab w:val="left" w:pos="0"/>
          <w:tab w:val="left" w:pos="360"/>
          <w:tab w:val="left" w:pos="540"/>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5A5056C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第2种方式：采用造价信息进行价格调整。</w:t>
      </w:r>
    </w:p>
    <w:p w14:paraId="68A85C8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01460A2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4EC96E7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（2）材料、工程设备价格变化的价款调整按照发包人提供的基准价格，按以下风险范围规定执行：</w:t>
      </w:r>
    </w:p>
    <w:p w14:paraId="164D604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784C336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602DF0B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③承包人在已标价工程量清单或预算书中载明材料单价等于基准价格的：除专用合同条款另有约定外，合同履行期间材料单价涨跌幅以基准价格为基础超过±5%时，其超过部分据实调整。</w:t>
      </w:r>
    </w:p>
    <w:p w14:paraId="1E4676F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21178583">
      <w:pPr>
        <w:spacing w:line="360" w:lineRule="auto"/>
        <w:ind w:firstLine="420" w:firstLineChars="200"/>
        <w:jc w:val="left"/>
        <w:rPr>
          <w:rFonts w:ascii="宋体" w:hAnsi="宋体"/>
          <w:color w:val="auto"/>
          <w:kern w:val="0"/>
          <w:szCs w:val="21"/>
          <w:highlight w:val="none"/>
        </w:rPr>
      </w:pPr>
      <w:bookmarkStart w:id="1053" w:name="OLE_LINK3"/>
      <w:r>
        <w:rPr>
          <w:rFonts w:hint="eastAsia" w:ascii="宋体" w:hAnsi="宋体"/>
          <w:color w:val="auto"/>
          <w:kern w:val="0"/>
          <w:szCs w:val="21"/>
          <w:highlight w:val="none"/>
        </w:rPr>
        <w:t>前述基准价格是指由发包人在</w:t>
      </w:r>
      <w:r>
        <w:rPr>
          <w:rFonts w:hint="eastAsia" w:ascii="宋体" w:hAnsi="宋体"/>
          <w:color w:val="auto"/>
          <w:kern w:val="0"/>
          <w:szCs w:val="21"/>
          <w:highlight w:val="none"/>
          <w:lang w:eastAsia="zh-CN"/>
        </w:rPr>
        <w:t>竞争性比选文件</w:t>
      </w:r>
      <w:r>
        <w:rPr>
          <w:rFonts w:hint="eastAsia" w:ascii="宋体" w:hAnsi="宋体"/>
          <w:color w:val="auto"/>
          <w:kern w:val="0"/>
          <w:szCs w:val="21"/>
          <w:highlight w:val="none"/>
        </w:rPr>
        <w:t>或专用合同条款中给定的材料、工程设备的价格，该价格原则上应当按照省级或行业建设主管部门或其授权的工程造价管理机构发布的信息价编制。</w:t>
      </w:r>
    </w:p>
    <w:p w14:paraId="3C41F5D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（3）施工机械台班单价或施工机械使用费发生变化超过省级或行业建设主管部门或其授权的工程造价管理机构规定的范围时，按规定调整合同价格。</w:t>
      </w:r>
    </w:p>
    <w:p w14:paraId="03280CB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第3种方式：专用合同条款约定的其他方式。</w:t>
      </w:r>
    </w:p>
    <w:p w14:paraId="7C4F7A15">
      <w:pPr>
        <w:pStyle w:val="7"/>
        <w:spacing w:before="0" w:beforeAutospacing="0" w:after="0" w:afterAutospacing="0" w:line="360" w:lineRule="auto"/>
        <w:ind w:firstLine="422" w:firstLineChars="200"/>
        <w:rPr>
          <w:color w:val="auto"/>
          <w:sz w:val="21"/>
          <w:szCs w:val="21"/>
          <w:highlight w:val="none"/>
        </w:rPr>
      </w:pPr>
      <w:bookmarkStart w:id="1054" w:name="_Toc532377265"/>
      <w:bookmarkStart w:id="1055" w:name="_Toc351203579"/>
      <w:bookmarkStart w:id="1056" w:name="_Toc337558798"/>
      <w:bookmarkStart w:id="1057" w:name="_Toc296503093"/>
      <w:bookmarkStart w:id="1058" w:name="_Toc296346594"/>
      <w:r>
        <w:rPr>
          <w:rFonts w:hint="eastAsia"/>
          <w:color w:val="auto"/>
          <w:sz w:val="21"/>
          <w:szCs w:val="21"/>
          <w:highlight w:val="none"/>
        </w:rPr>
        <w:t>11.2法律变化引起的调整</w:t>
      </w:r>
      <w:bookmarkEnd w:id="1054"/>
      <w:bookmarkEnd w:id="1055"/>
    </w:p>
    <w:bookmarkEnd w:id="1056"/>
    <w:bookmarkEnd w:id="1057"/>
    <w:bookmarkEnd w:id="1058"/>
    <w:p w14:paraId="0D72952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2701E61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因法律变化引起的合同价格和工期调整，合同当事人无法达成一致的，由总监理工程师按第4.4款〔商定或确定〕的约定处理。</w:t>
      </w:r>
    </w:p>
    <w:p w14:paraId="31BAFD6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因承包人原因造成工期延误，在工期延误期间出现法律变化的，由此增加的费用和（或）延误的工期由承包人承担。</w:t>
      </w:r>
    </w:p>
    <w:p w14:paraId="779218E6">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059" w:name="_Toc532375598"/>
      <w:bookmarkStart w:id="1060" w:name="_Toc532377266"/>
      <w:bookmarkStart w:id="1061" w:name="_Toc351203580"/>
      <w:bookmarkStart w:id="1062" w:name="_Toc337558799"/>
      <w:bookmarkStart w:id="1063" w:name="_Toc296346597"/>
      <w:bookmarkStart w:id="1064" w:name="_Toc296503096"/>
      <w:r>
        <w:rPr>
          <w:rFonts w:hint="eastAsia"/>
          <w:color w:val="auto"/>
          <w:kern w:val="2"/>
          <w:sz w:val="21"/>
          <w:szCs w:val="21"/>
          <w:highlight w:val="none"/>
        </w:rPr>
        <w:t>12. 合同价格、计量与支付</w:t>
      </w:r>
      <w:bookmarkEnd w:id="1059"/>
      <w:bookmarkEnd w:id="1060"/>
      <w:bookmarkEnd w:id="1061"/>
    </w:p>
    <w:bookmarkEnd w:id="1062"/>
    <w:p w14:paraId="67CB97DE">
      <w:pPr>
        <w:pStyle w:val="7"/>
        <w:spacing w:before="0" w:beforeAutospacing="0" w:after="0" w:afterAutospacing="0" w:line="360" w:lineRule="auto"/>
        <w:ind w:firstLine="422" w:firstLineChars="200"/>
        <w:rPr>
          <w:color w:val="auto"/>
          <w:sz w:val="21"/>
          <w:szCs w:val="21"/>
          <w:highlight w:val="none"/>
        </w:rPr>
      </w:pPr>
      <w:bookmarkStart w:id="1065" w:name="_Toc532377267"/>
      <w:bookmarkStart w:id="1066" w:name="_Toc351203581"/>
      <w:bookmarkStart w:id="1067" w:name="_Toc337558800"/>
      <w:r>
        <w:rPr>
          <w:rFonts w:hint="eastAsia"/>
          <w:color w:val="auto"/>
          <w:sz w:val="21"/>
          <w:szCs w:val="21"/>
          <w:highlight w:val="none"/>
        </w:rPr>
        <w:t>12.1 合同价</w:t>
      </w:r>
      <w:bookmarkEnd w:id="1063"/>
      <w:bookmarkEnd w:id="1064"/>
      <w:r>
        <w:rPr>
          <w:rFonts w:hint="eastAsia"/>
          <w:color w:val="auto"/>
          <w:sz w:val="21"/>
          <w:szCs w:val="21"/>
          <w:highlight w:val="none"/>
        </w:rPr>
        <w:t>格形式</w:t>
      </w:r>
      <w:bookmarkEnd w:id="1065"/>
      <w:bookmarkEnd w:id="1066"/>
    </w:p>
    <w:bookmarkEnd w:id="1067"/>
    <w:p w14:paraId="6D9772D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发包人和承包人应在合同协议书中选择下列一种合同价格形式： </w:t>
      </w:r>
    </w:p>
    <w:p w14:paraId="1AB2A36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1.单价合同</w:t>
      </w:r>
    </w:p>
    <w:p w14:paraId="42CDF65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1988FB76">
      <w:pPr>
        <w:pStyle w:val="7"/>
        <w:spacing w:before="0" w:beforeAutospacing="0" w:after="0" w:afterAutospacing="0" w:line="360" w:lineRule="auto"/>
        <w:ind w:firstLine="420" w:firstLineChars="200"/>
        <w:rPr>
          <w:b w:val="0"/>
          <w:color w:val="auto"/>
          <w:sz w:val="21"/>
          <w:szCs w:val="21"/>
          <w:highlight w:val="none"/>
        </w:rPr>
      </w:pPr>
      <w:bookmarkStart w:id="1068" w:name="_Toc532377268"/>
      <w:r>
        <w:rPr>
          <w:rFonts w:hint="eastAsia"/>
          <w:b w:val="0"/>
          <w:color w:val="auto"/>
          <w:sz w:val="21"/>
          <w:szCs w:val="21"/>
          <w:highlight w:val="none"/>
        </w:rPr>
        <w:t>2.总价合同</w:t>
      </w:r>
      <w:bookmarkEnd w:id="1068"/>
    </w:p>
    <w:p w14:paraId="2293F14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03C33545">
      <w:pPr>
        <w:pStyle w:val="7"/>
        <w:spacing w:before="0" w:beforeAutospacing="0" w:after="0" w:afterAutospacing="0" w:line="360" w:lineRule="auto"/>
        <w:ind w:firstLine="420" w:firstLineChars="200"/>
        <w:rPr>
          <w:b w:val="0"/>
          <w:color w:val="auto"/>
          <w:sz w:val="21"/>
          <w:szCs w:val="21"/>
          <w:highlight w:val="none"/>
        </w:rPr>
      </w:pPr>
      <w:bookmarkStart w:id="1069" w:name="_Toc532377269"/>
      <w:r>
        <w:rPr>
          <w:rFonts w:hint="eastAsia"/>
          <w:b w:val="0"/>
          <w:color w:val="auto"/>
          <w:sz w:val="21"/>
          <w:szCs w:val="21"/>
          <w:highlight w:val="none"/>
        </w:rPr>
        <w:t>3.其它价格形式</w:t>
      </w:r>
      <w:bookmarkEnd w:id="1069"/>
    </w:p>
    <w:p w14:paraId="150C6E8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合同当事人可在专用合同条款中约定其他合同价格形式。</w:t>
      </w:r>
    </w:p>
    <w:p w14:paraId="27CF916D">
      <w:pPr>
        <w:pStyle w:val="7"/>
        <w:spacing w:before="0" w:beforeAutospacing="0" w:after="0" w:afterAutospacing="0" w:line="360" w:lineRule="auto"/>
        <w:ind w:firstLine="422" w:firstLineChars="200"/>
        <w:rPr>
          <w:color w:val="auto"/>
          <w:sz w:val="21"/>
          <w:szCs w:val="21"/>
          <w:highlight w:val="none"/>
        </w:rPr>
      </w:pPr>
      <w:bookmarkStart w:id="1070" w:name="_Toc296346598"/>
      <w:bookmarkStart w:id="1071" w:name="_Toc296503097"/>
      <w:bookmarkStart w:id="1072" w:name="_Toc532377270"/>
      <w:bookmarkStart w:id="1073" w:name="_Toc351203582"/>
      <w:bookmarkStart w:id="1074" w:name="_Toc337558801"/>
      <w:r>
        <w:rPr>
          <w:rFonts w:hint="eastAsia"/>
          <w:color w:val="auto"/>
          <w:sz w:val="21"/>
          <w:szCs w:val="21"/>
          <w:highlight w:val="none"/>
        </w:rPr>
        <w:t>12.2预</w:t>
      </w:r>
      <w:bookmarkEnd w:id="1070"/>
      <w:bookmarkEnd w:id="1071"/>
      <w:bookmarkStart w:id="1075" w:name="_Toc296503100"/>
      <w:bookmarkStart w:id="1076" w:name="_Toc296346601"/>
      <w:r>
        <w:rPr>
          <w:rFonts w:hint="eastAsia"/>
          <w:color w:val="auto"/>
          <w:sz w:val="21"/>
          <w:szCs w:val="21"/>
          <w:highlight w:val="none"/>
        </w:rPr>
        <w:t>付款</w:t>
      </w:r>
      <w:bookmarkEnd w:id="1072"/>
      <w:bookmarkEnd w:id="1073"/>
    </w:p>
    <w:bookmarkEnd w:id="1074"/>
    <w:bookmarkEnd w:id="1075"/>
    <w:bookmarkEnd w:id="1076"/>
    <w:p w14:paraId="2F6D833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12.2.1预付款的支付</w:t>
      </w:r>
    </w:p>
    <w:p w14:paraId="3B24BCE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预付款的支付按照专用合同条款约定执行，但至迟应在开工通知载明的开工日期7天前支付。预付款应当用于材料、工程设备、施工设备的采购及修建临时工程、组织施工队伍进场等。</w:t>
      </w:r>
    </w:p>
    <w:p w14:paraId="2B92883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除专用合同条款另有约定外，预付款在进度付款中同比例扣回。</w:t>
      </w:r>
      <w:bookmarkEnd w:id="1053"/>
      <w:r>
        <w:rPr>
          <w:rFonts w:hint="eastAsia" w:ascii="宋体" w:hAnsi="宋体"/>
          <w:color w:val="auto"/>
          <w:kern w:val="0"/>
          <w:szCs w:val="21"/>
          <w:highlight w:val="none"/>
        </w:rPr>
        <w:t>在颁发工程接收证书前，提前解除合同的，尚未扣完的预付款应与合同价款一并结算。</w:t>
      </w:r>
    </w:p>
    <w:p w14:paraId="02BC24A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发包人逾期支付预付款超过7天的，承包人有权向发包人发出要求预付的催告通知，发包人收到通知后7天内仍未支付的，承包人有权暂停施工，并按第16.1.1项〔发包人违约的情形〕执行。</w:t>
      </w:r>
    </w:p>
    <w:p w14:paraId="7ED8C5E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12.2.2 预付款担保</w:t>
      </w:r>
    </w:p>
    <w:p w14:paraId="7285471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325D208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发包人在工程款中逐期扣回预付款后，预付款担保额度应相应减少，但剩余的预付款担保金额不得低于未被扣回的预付款金额。</w:t>
      </w:r>
    </w:p>
    <w:p w14:paraId="79447B6E">
      <w:pPr>
        <w:pStyle w:val="7"/>
        <w:spacing w:before="0" w:beforeAutospacing="0" w:after="0" w:afterAutospacing="0" w:line="360" w:lineRule="auto"/>
        <w:ind w:firstLine="422" w:firstLineChars="200"/>
        <w:rPr>
          <w:color w:val="auto"/>
          <w:sz w:val="21"/>
          <w:szCs w:val="21"/>
          <w:highlight w:val="none"/>
        </w:rPr>
      </w:pPr>
      <w:bookmarkStart w:id="1077" w:name="_Toc532377271"/>
      <w:bookmarkStart w:id="1078" w:name="_Toc351203583"/>
      <w:bookmarkStart w:id="1079" w:name="_Toc337558802"/>
      <w:r>
        <w:rPr>
          <w:rFonts w:hint="eastAsia"/>
          <w:color w:val="auto"/>
          <w:sz w:val="21"/>
          <w:szCs w:val="21"/>
          <w:highlight w:val="none"/>
        </w:rPr>
        <w:t>12.3计量</w:t>
      </w:r>
      <w:bookmarkEnd w:id="1077"/>
      <w:bookmarkEnd w:id="1078"/>
    </w:p>
    <w:bookmarkEnd w:id="1079"/>
    <w:p w14:paraId="5CF79D5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12.3.1 计量原则</w:t>
      </w:r>
    </w:p>
    <w:p w14:paraId="064566A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工程量计量按照合同约定的工程量计算规则、图纸及变更指示等进行计量。工程量计算规则应以相关的国家标准、行业标准等为依据，由合同当事人在专用合同条款中约定。</w:t>
      </w:r>
    </w:p>
    <w:p w14:paraId="4AA605E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12.3.2 计量周期</w:t>
      </w:r>
    </w:p>
    <w:p w14:paraId="0DBF9E6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除专用合同条款另有约定外，工程量的计量按月进行。</w:t>
      </w:r>
    </w:p>
    <w:p w14:paraId="15B8A73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12.3.3 单价合同的计量</w:t>
      </w:r>
    </w:p>
    <w:p w14:paraId="6CF61C1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除专用合同条款另有约定外，单价合同的计量按照本项约定执行：</w:t>
      </w:r>
    </w:p>
    <w:p w14:paraId="53E4F95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（1）承包人应于每月25日向监理人报送上月20日至当月19日已完成的工程量报告，并附具进度付款申请单、已完成工程量报表和有关资料。</w:t>
      </w:r>
    </w:p>
    <w:p w14:paraId="7360DCB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D45859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（3）监理人未在收到承包人提交的工程量报表后的7天内完成审核的，承包人报送的工程量报告中的工程量视为承包人实际完成的工程量，据此计算工程价款。</w:t>
      </w:r>
    </w:p>
    <w:p w14:paraId="2A358EA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12.3.4 总价合同的计量</w:t>
      </w:r>
    </w:p>
    <w:p w14:paraId="2C3F0AB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除专用合同条款另有约定外，按月计量支付的总价合同，按照本项约定执行：</w:t>
      </w:r>
    </w:p>
    <w:p w14:paraId="6A9FF5A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（1）承包人应于每月25日向监理人报送上月20日至当月19日已完成的工程量报告，并附具进度付款申请单、已完成工程量报表和有关资料。</w:t>
      </w:r>
    </w:p>
    <w:p w14:paraId="22B3BCB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41F0E03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（3）监理人未在收到承包人提交的工程量报表后的7天内完成复核的，承包人提交的工程量报告中的工程量视为承包人实际完成的工程量。</w:t>
      </w:r>
    </w:p>
    <w:p w14:paraId="1C4F9DF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12.3.5 总价合同采用支付分解表计量支付的，可以按照第12.3.4项〔总价合同的计量〕约定进行计量，但合同价款按照支付分解表进行支付。</w:t>
      </w:r>
    </w:p>
    <w:p w14:paraId="355298A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12.3.6 其他价格形式合同的计量</w:t>
      </w:r>
    </w:p>
    <w:p w14:paraId="6855943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合同当事人可在专用合同条款中约定其他价格形式合同的计量方式和程序。</w:t>
      </w:r>
    </w:p>
    <w:p w14:paraId="44C66670">
      <w:pPr>
        <w:pStyle w:val="7"/>
        <w:spacing w:before="0" w:beforeAutospacing="0" w:after="0" w:afterAutospacing="0" w:line="360" w:lineRule="auto"/>
        <w:ind w:firstLine="422" w:firstLineChars="200"/>
        <w:rPr>
          <w:color w:val="auto"/>
          <w:sz w:val="21"/>
          <w:szCs w:val="21"/>
          <w:highlight w:val="none"/>
        </w:rPr>
      </w:pPr>
      <w:bookmarkStart w:id="1080" w:name="_Toc296503101"/>
      <w:bookmarkStart w:id="1081" w:name="_Toc296346602"/>
      <w:bookmarkStart w:id="1082" w:name="_Toc351203584"/>
      <w:bookmarkStart w:id="1083" w:name="_Toc532377272"/>
      <w:bookmarkStart w:id="1084" w:name="_Toc337558803"/>
      <w:r>
        <w:rPr>
          <w:rFonts w:hint="eastAsia"/>
          <w:color w:val="auto"/>
          <w:sz w:val="21"/>
          <w:szCs w:val="21"/>
          <w:highlight w:val="none"/>
        </w:rPr>
        <w:t>12.4工程进度款支</w:t>
      </w:r>
      <w:bookmarkEnd w:id="1080"/>
      <w:bookmarkEnd w:id="1081"/>
      <w:r>
        <w:rPr>
          <w:rFonts w:hint="eastAsia"/>
          <w:color w:val="auto"/>
          <w:sz w:val="21"/>
          <w:szCs w:val="21"/>
          <w:highlight w:val="none"/>
        </w:rPr>
        <w:t>付</w:t>
      </w:r>
      <w:bookmarkEnd w:id="1082"/>
      <w:bookmarkEnd w:id="1083"/>
    </w:p>
    <w:bookmarkEnd w:id="1084"/>
    <w:p w14:paraId="7E094B1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12.4.1 付款周期</w:t>
      </w:r>
    </w:p>
    <w:p w14:paraId="08CC494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除专用合同条款另有约定外，付款周期应按照第12.3.2项〔计量周期〕的约定与计量周期保持一致。</w:t>
      </w:r>
    </w:p>
    <w:p w14:paraId="2BA0D8B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12.4.2 进度付款申请单的编制</w:t>
      </w:r>
    </w:p>
    <w:p w14:paraId="0DDFE07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除专用合同条款另有约定外，进度付款申请单应包括下列内容：</w:t>
      </w:r>
    </w:p>
    <w:p w14:paraId="75ECE2C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（1）截至本次付款周期已完成工作对应的金额；</w:t>
      </w:r>
    </w:p>
    <w:p w14:paraId="4C7240F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（2）根据第10条〔变更〕应增加和扣减的变更金额；</w:t>
      </w:r>
    </w:p>
    <w:p w14:paraId="34D4C4F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（3）根据第12.2款〔预付款〕约定应支付的预付款和扣减的返还预付款；</w:t>
      </w:r>
    </w:p>
    <w:p w14:paraId="54E7B45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（4）根据第15.3款〔质量保证金〕约定应扣减的质量保证金；</w:t>
      </w:r>
    </w:p>
    <w:p w14:paraId="2DCB0B3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（5）根据第19条〔索赔〕应增加和扣减的索赔金额；</w:t>
      </w:r>
    </w:p>
    <w:p w14:paraId="0446C1E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（6）对已签发的进度款支付证书中出现错误的修正，应在本次进度付款中支付或扣除的金额；</w:t>
      </w:r>
    </w:p>
    <w:p w14:paraId="25C9817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（7）根据合同约定应增加和扣减的其他金额。</w:t>
      </w:r>
    </w:p>
    <w:p w14:paraId="0D63DE5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12.4.3 进度付款申请单的提交</w:t>
      </w:r>
    </w:p>
    <w:p w14:paraId="5DE4EB3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（1）单价合同进度付款申请单的提交</w:t>
      </w:r>
    </w:p>
    <w:p w14:paraId="625CD44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172DC05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（2）总价合同进度付款申请单的提交</w:t>
      </w:r>
    </w:p>
    <w:p w14:paraId="55A8F5A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总价合同按月计量支付的，承包人按照第12.3.4项〔总价合同的计量〕约定的时间按月向监理人提交进度付款申请单，并附上已完成工程量报表和有关资料。</w:t>
      </w:r>
    </w:p>
    <w:p w14:paraId="13AA5F5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总价合同按支付分解表支付的，承包人应按照第12.4.6项〔支付分解表〕及第12.4.2项〔进度付款申请单的编制〕的约定向监理人提交进度付款申请单。</w:t>
      </w:r>
    </w:p>
    <w:p w14:paraId="389C159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（3）其他价格形式合同的进度付款申请单的提交</w:t>
      </w:r>
    </w:p>
    <w:p w14:paraId="77A9F9E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合同当事人可在专用合同条款中约定其他价格形式合同的进度付款申请单的编制和提交程序。</w:t>
      </w:r>
    </w:p>
    <w:p w14:paraId="3D7A68F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12.4.4 进度款审核和支付</w:t>
      </w:r>
    </w:p>
    <w:p w14:paraId="12B781F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761161B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5B64756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492D855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（3）发包人签发进度款支付证书或临时进度款支付证书，不表明发包人已同意、批准或接受了承包人完成的相应部分的工作。</w:t>
      </w:r>
    </w:p>
    <w:p w14:paraId="379E7FF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12.4.5 进度付款的修正</w:t>
      </w:r>
    </w:p>
    <w:p w14:paraId="63A52B8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在对已签发的进度款支付证书进行阶段汇总和复核中发现错误、遗漏或重复的，发包人和承包人均有权提出修正申请。经发包人和承包人同意的修正，应在下期进度付款中支付或扣除。</w:t>
      </w:r>
    </w:p>
    <w:p w14:paraId="69B95F5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12.4.6 支付分解表</w:t>
      </w:r>
    </w:p>
    <w:p w14:paraId="00E7A36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1.支付分解表的编制要求</w:t>
      </w:r>
    </w:p>
    <w:p w14:paraId="214CAA7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（1）支付分解表中所列的每期付款金额，应为第12.4.2项〔进度付款申请单的编制〕第（1）目的估算金额；</w:t>
      </w:r>
    </w:p>
    <w:p w14:paraId="3778689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（2）实际进度与施工进度计划不一致的，合同当事人可按照第4.4款〔商定或确定〕修改支付分解表；</w:t>
      </w:r>
    </w:p>
    <w:p w14:paraId="1C4EFD2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（3）不采用支付分解表的，承包人应向发包人和监理人提交按季度编制的支付估算分解表，用于支付参考。</w:t>
      </w:r>
    </w:p>
    <w:p w14:paraId="7BD15EC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2.总价合同支付分解表的编制与审批</w:t>
      </w:r>
    </w:p>
    <w:p w14:paraId="50D86C6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173AAFC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（2）监理人应在收到支付分解表后7天内完成审核并报送发包人。发包人应在收到经监理人审核的支付分解表后7天内完成审批，经发包人批准的支付分解表为有约束力的支付分解表。</w:t>
      </w:r>
    </w:p>
    <w:p w14:paraId="6907636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（3）发包人逾期未完成支付分解表审批的，也未及时要求承包人进行修正和提供补充资料的，则承包人提交的支付分解表视为已经获得发包人批准。</w:t>
      </w:r>
    </w:p>
    <w:p w14:paraId="2AE604E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3.单价合同的总价项目支付分解表的编制与审批</w:t>
      </w:r>
    </w:p>
    <w:p w14:paraId="60FF38F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2A92C724">
      <w:pPr>
        <w:pStyle w:val="7"/>
        <w:spacing w:before="0" w:beforeAutospacing="0" w:after="0" w:afterAutospacing="0" w:line="360" w:lineRule="auto"/>
        <w:ind w:firstLine="422" w:firstLineChars="200"/>
        <w:rPr>
          <w:color w:val="auto"/>
          <w:sz w:val="21"/>
          <w:szCs w:val="21"/>
          <w:highlight w:val="none"/>
        </w:rPr>
      </w:pPr>
      <w:bookmarkStart w:id="1085" w:name="_Toc532377273"/>
      <w:r>
        <w:rPr>
          <w:rFonts w:hint="eastAsia"/>
          <w:color w:val="auto"/>
          <w:sz w:val="21"/>
          <w:szCs w:val="21"/>
          <w:highlight w:val="none"/>
        </w:rPr>
        <w:t>12.5支付账户</w:t>
      </w:r>
      <w:bookmarkEnd w:id="1085"/>
    </w:p>
    <w:p w14:paraId="513E9CA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发包人应将合同价款支付至合同协议书中约定的承包人账户。</w:t>
      </w:r>
    </w:p>
    <w:p w14:paraId="5B913321">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086" w:name="_Toc351203586"/>
      <w:bookmarkStart w:id="1087" w:name="_Toc532375599"/>
      <w:bookmarkStart w:id="1088" w:name="_Toc532377274"/>
      <w:bookmarkStart w:id="1089" w:name="_Toc322522574"/>
      <w:bookmarkStart w:id="1090" w:name="_Toc296346607"/>
      <w:bookmarkStart w:id="1091" w:name="_Toc296503106"/>
      <w:bookmarkStart w:id="1092" w:name="_Toc337558804"/>
      <w:r>
        <w:rPr>
          <w:rFonts w:hint="eastAsia"/>
          <w:color w:val="auto"/>
          <w:kern w:val="2"/>
          <w:sz w:val="21"/>
          <w:szCs w:val="21"/>
          <w:highlight w:val="none"/>
        </w:rPr>
        <w:t>13. 验收和工程试车</w:t>
      </w:r>
      <w:bookmarkEnd w:id="1086"/>
      <w:bookmarkEnd w:id="1087"/>
      <w:bookmarkEnd w:id="1088"/>
    </w:p>
    <w:bookmarkEnd w:id="1089"/>
    <w:bookmarkEnd w:id="1090"/>
    <w:bookmarkEnd w:id="1091"/>
    <w:bookmarkEnd w:id="1092"/>
    <w:p w14:paraId="15C7AF81">
      <w:pPr>
        <w:pStyle w:val="7"/>
        <w:spacing w:before="0" w:beforeAutospacing="0" w:after="0" w:afterAutospacing="0" w:line="360" w:lineRule="auto"/>
        <w:ind w:firstLine="422" w:firstLineChars="200"/>
        <w:rPr>
          <w:color w:val="auto"/>
          <w:sz w:val="21"/>
          <w:szCs w:val="21"/>
          <w:highlight w:val="none"/>
        </w:rPr>
      </w:pPr>
      <w:bookmarkStart w:id="1093" w:name="_Toc532377275"/>
      <w:bookmarkStart w:id="1094" w:name="_Toc351203587"/>
      <w:bookmarkStart w:id="1095" w:name="_Toc337558805"/>
      <w:bookmarkStart w:id="1096" w:name="_Toc296346611"/>
      <w:bookmarkStart w:id="1097" w:name="_Toc296503110"/>
      <w:r>
        <w:rPr>
          <w:rFonts w:hint="eastAsia"/>
          <w:color w:val="auto"/>
          <w:sz w:val="21"/>
          <w:szCs w:val="21"/>
          <w:highlight w:val="none"/>
        </w:rPr>
        <w:t>13.1分部分项工程验收</w:t>
      </w:r>
      <w:bookmarkEnd w:id="1093"/>
      <w:bookmarkEnd w:id="1094"/>
    </w:p>
    <w:bookmarkEnd w:id="1095"/>
    <w:p w14:paraId="471F2EE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13.1.1 分部分项工程质量应符合国家有关工程施工验收规范、标准及合同约定，承包人应按照施工组织设计的要求完成分部分项工程施工。</w:t>
      </w:r>
    </w:p>
    <w:p w14:paraId="0A2DF14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0A1F4EF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分部分项工程的验收资料应当作为竣工资料的组成部分。</w:t>
      </w:r>
    </w:p>
    <w:p w14:paraId="75B7E41C">
      <w:pPr>
        <w:pStyle w:val="7"/>
        <w:spacing w:before="0" w:beforeAutospacing="0" w:after="0" w:afterAutospacing="0" w:line="360" w:lineRule="auto"/>
        <w:ind w:firstLine="422" w:firstLineChars="200"/>
        <w:rPr>
          <w:color w:val="auto"/>
          <w:sz w:val="21"/>
          <w:szCs w:val="21"/>
          <w:highlight w:val="none"/>
        </w:rPr>
      </w:pPr>
      <w:bookmarkStart w:id="1098" w:name="_Toc532377276"/>
      <w:bookmarkStart w:id="1099" w:name="_Toc351203588"/>
      <w:bookmarkStart w:id="1100" w:name="_Toc337558806"/>
      <w:r>
        <w:rPr>
          <w:rFonts w:hint="eastAsia"/>
          <w:color w:val="auto"/>
          <w:sz w:val="21"/>
          <w:szCs w:val="21"/>
          <w:highlight w:val="none"/>
        </w:rPr>
        <w:t>13.2竣工验收</w:t>
      </w:r>
      <w:bookmarkEnd w:id="1098"/>
      <w:bookmarkEnd w:id="1099"/>
    </w:p>
    <w:bookmarkEnd w:id="1096"/>
    <w:bookmarkEnd w:id="1097"/>
    <w:bookmarkEnd w:id="1100"/>
    <w:p w14:paraId="2B93FB9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13.2.1竣工验收条件</w:t>
      </w:r>
    </w:p>
    <w:p w14:paraId="4A0DE60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工程具备以下条件的，承包人可以申请竣工验收：</w:t>
      </w:r>
    </w:p>
    <w:p w14:paraId="0C9CAAE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（1）除发包人同意的甩项工作和缺陷修补工作外，合同范围内的全部工程以及有关工作，包括合同要求的试验、试运行以及检验均已完成，并符合合同要求；</w:t>
      </w:r>
    </w:p>
    <w:p w14:paraId="782FFB3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（2）已按合同约定编制了甩项工作和缺陷修补工作清单以及相应的施工计划；</w:t>
      </w:r>
    </w:p>
    <w:p w14:paraId="6BB6B91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（3）已按合同约定的内容和份数备齐竣工资料。</w:t>
      </w:r>
    </w:p>
    <w:p w14:paraId="065F366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13.2.2竣工验收程序</w:t>
      </w:r>
    </w:p>
    <w:p w14:paraId="777E96F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除专用合同条款另有约定外，承包人申请竣工验收的，应当按照以下程序进行：</w:t>
      </w:r>
    </w:p>
    <w:p w14:paraId="68D539D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27CADA9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06A4719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（3）竣工验收合格的，发包人应在验收合格后14天内向承包人签发工程接收证书。发包人无正当理由逾期不颁发工程接收证书的，自验收合格后第15天起视为已颁发工程接收证书。</w:t>
      </w:r>
    </w:p>
    <w:p w14:paraId="3040C99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7BF5FB9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4DE071E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41B0F12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13.2.3竣工日期</w:t>
      </w:r>
    </w:p>
    <w:p w14:paraId="461DA61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1101" w:name="#go14"/>
      <w:bookmarkEnd w:id="1101"/>
      <w:r>
        <w:rPr>
          <w:rFonts w:hint="eastAsia" w:ascii="宋体" w:hAnsi="宋体"/>
          <w:color w:val="auto"/>
          <w:kern w:val="0"/>
          <w:szCs w:val="21"/>
          <w:highlight w:val="none"/>
        </w:rPr>
        <w:t>收申请报告的日期为实际竣工日期；工程未经竣工验收，发包人擅自使用的，以转移占有工程之日为实际竣工日期。</w:t>
      </w:r>
    </w:p>
    <w:p w14:paraId="3D044F9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13.2.4 拒绝接收全部或部分工程</w:t>
      </w:r>
    </w:p>
    <w:p w14:paraId="66253D3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78247D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13.2.5 移交、接收全部与部分工程</w:t>
      </w:r>
    </w:p>
    <w:p w14:paraId="02065A6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除专用合同条款另有约定外，合同当事人应当在颁发工程接收证书后7天内完成工程的移交。</w:t>
      </w:r>
    </w:p>
    <w:p w14:paraId="79E51B3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69C3B43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5C5BB828">
      <w:pPr>
        <w:pStyle w:val="7"/>
        <w:spacing w:before="0" w:beforeAutospacing="0" w:after="0" w:afterAutospacing="0" w:line="360" w:lineRule="auto"/>
        <w:ind w:firstLine="422" w:firstLineChars="200"/>
        <w:rPr>
          <w:color w:val="auto"/>
          <w:sz w:val="21"/>
          <w:szCs w:val="21"/>
          <w:highlight w:val="none"/>
        </w:rPr>
      </w:pPr>
      <w:bookmarkStart w:id="1102" w:name="_Toc532377277"/>
      <w:bookmarkStart w:id="1103" w:name="_Toc351203589"/>
      <w:bookmarkStart w:id="1104" w:name="_Toc337558807"/>
      <w:bookmarkStart w:id="1105" w:name="_Toc296503111"/>
      <w:bookmarkStart w:id="1106" w:name="_Toc296346612"/>
      <w:r>
        <w:rPr>
          <w:rFonts w:hint="eastAsia"/>
          <w:color w:val="auto"/>
          <w:sz w:val="21"/>
          <w:szCs w:val="21"/>
          <w:highlight w:val="none"/>
        </w:rPr>
        <w:t>13.3工程试车</w:t>
      </w:r>
      <w:bookmarkEnd w:id="1102"/>
      <w:bookmarkEnd w:id="1103"/>
    </w:p>
    <w:bookmarkEnd w:id="1104"/>
    <w:bookmarkEnd w:id="1105"/>
    <w:bookmarkEnd w:id="1106"/>
    <w:p w14:paraId="5179F3C9">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13.3.1试车程序</w:t>
      </w:r>
    </w:p>
    <w:p w14:paraId="351A2C2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工程需要试车的，除专用合同条款另有约定外，试车内容应与承包人承包范围相一致，试车费用由承包人承担。工程试车应按如下程序进行：</w:t>
      </w:r>
    </w:p>
    <w:p w14:paraId="63DA9BF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名。监理人在试车合格后不在试车记录上签名，自试车结束满24小时后视为监理人已经认可试车记录，承包人可继续施工或办理竣工验收手续。</w:t>
      </w:r>
    </w:p>
    <w:p w14:paraId="5DA3DB9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3FD9BE0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名。承包人无正当理由不参加试车的，视为认可试车记录。</w:t>
      </w:r>
    </w:p>
    <w:p w14:paraId="7C7DB0C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13.3.2 试车中的责任</w:t>
      </w:r>
    </w:p>
    <w:p w14:paraId="1D8FA08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4BEEA66E">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01BB33D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13.3.3 投料试车</w:t>
      </w:r>
    </w:p>
    <w:p w14:paraId="652F4E3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如需进行投料试车的，发包人应在工程竣工验收后组织投料试车。发包人要求在工程竣工验收前进行或需要承包人配合时，应征得承包人同意，并在专用合同条款中约定有关事项。</w:t>
      </w:r>
    </w:p>
    <w:p w14:paraId="3A8DBE4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3E593039">
      <w:pPr>
        <w:pStyle w:val="7"/>
        <w:spacing w:before="0" w:beforeAutospacing="0" w:after="0" w:afterAutospacing="0" w:line="360" w:lineRule="auto"/>
        <w:ind w:firstLine="422" w:firstLineChars="200"/>
        <w:rPr>
          <w:color w:val="auto"/>
          <w:sz w:val="21"/>
          <w:szCs w:val="21"/>
          <w:highlight w:val="none"/>
        </w:rPr>
      </w:pPr>
      <w:bookmarkStart w:id="1107" w:name="_Toc532377278"/>
      <w:r>
        <w:rPr>
          <w:rFonts w:hint="eastAsia"/>
          <w:color w:val="auto"/>
          <w:sz w:val="21"/>
          <w:szCs w:val="21"/>
          <w:highlight w:val="none"/>
        </w:rPr>
        <w:t>13.4提前交付单位工程的验收</w:t>
      </w:r>
      <w:bookmarkEnd w:id="1107"/>
    </w:p>
    <w:p w14:paraId="0117B99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13.4.1 发包人需要在工程竣工前使用单位工程的，或承包人提出提前交付已经竣工的单位工程且经发包人同意的，可进行单位工程验收，验收的程序按照第13.2款〔竣工验收〕的约定进行。</w:t>
      </w:r>
    </w:p>
    <w:p w14:paraId="6DD7D5C4">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167167A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13.4.2 发包人要求在工程竣工前交付单位工程，由此导致承包人费用增加和（或）工期延误的，由发包人承担由此增加的费用和（或）延误的工期，并支付承包人合理的利润。</w:t>
      </w:r>
    </w:p>
    <w:p w14:paraId="02D22559">
      <w:pPr>
        <w:pStyle w:val="7"/>
        <w:spacing w:before="0" w:beforeAutospacing="0" w:after="0" w:afterAutospacing="0" w:line="360" w:lineRule="auto"/>
        <w:ind w:firstLine="422" w:firstLineChars="200"/>
        <w:rPr>
          <w:color w:val="auto"/>
          <w:sz w:val="21"/>
          <w:szCs w:val="21"/>
          <w:highlight w:val="none"/>
        </w:rPr>
      </w:pPr>
      <w:bookmarkStart w:id="1108" w:name="_Toc532377279"/>
      <w:bookmarkStart w:id="1109" w:name="_Toc351203591"/>
      <w:r>
        <w:rPr>
          <w:rFonts w:hint="eastAsia"/>
          <w:color w:val="auto"/>
          <w:sz w:val="21"/>
          <w:szCs w:val="21"/>
          <w:highlight w:val="none"/>
        </w:rPr>
        <w:t>13.5 施工期运行</w:t>
      </w:r>
      <w:bookmarkEnd w:id="1108"/>
      <w:bookmarkEnd w:id="1109"/>
    </w:p>
    <w:p w14:paraId="78C34DD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5FD1E40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13.5.2 在施工期运行中发现工程或工程设备损坏或存在缺陷的，由承包人按第15.2款〔缺陷责任期〕约定进行修复。</w:t>
      </w:r>
    </w:p>
    <w:p w14:paraId="172C185F">
      <w:pPr>
        <w:pStyle w:val="7"/>
        <w:spacing w:before="0" w:beforeAutospacing="0" w:after="0" w:afterAutospacing="0" w:line="360" w:lineRule="auto"/>
        <w:ind w:firstLine="422" w:firstLineChars="200"/>
        <w:rPr>
          <w:color w:val="auto"/>
          <w:sz w:val="21"/>
          <w:szCs w:val="21"/>
          <w:highlight w:val="none"/>
        </w:rPr>
      </w:pPr>
      <w:bookmarkStart w:id="1110" w:name="_Toc296503112"/>
      <w:bookmarkStart w:id="1111" w:name="_Toc296346613"/>
      <w:bookmarkStart w:id="1112" w:name="_Toc532377280"/>
      <w:bookmarkStart w:id="1113" w:name="_Toc351203592"/>
      <w:bookmarkStart w:id="1114" w:name="_Toc337558809"/>
      <w:r>
        <w:rPr>
          <w:rFonts w:hint="eastAsia"/>
          <w:color w:val="auto"/>
          <w:sz w:val="21"/>
          <w:szCs w:val="21"/>
          <w:highlight w:val="none"/>
        </w:rPr>
        <w:t>13.6 竣工退</w:t>
      </w:r>
      <w:bookmarkEnd w:id="1110"/>
      <w:bookmarkEnd w:id="1111"/>
      <w:r>
        <w:rPr>
          <w:rFonts w:hint="eastAsia"/>
          <w:color w:val="auto"/>
          <w:sz w:val="21"/>
          <w:szCs w:val="21"/>
          <w:highlight w:val="none"/>
        </w:rPr>
        <w:t>场</w:t>
      </w:r>
      <w:bookmarkEnd w:id="1112"/>
      <w:bookmarkEnd w:id="1113"/>
    </w:p>
    <w:bookmarkEnd w:id="1114"/>
    <w:p w14:paraId="5087FAC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13.6.1 竣工退场</w:t>
      </w:r>
    </w:p>
    <w:p w14:paraId="287240C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颁发工程接收证书后，承包人应按以下要求对施工现场进行清理：</w:t>
      </w:r>
    </w:p>
    <w:p w14:paraId="19497118">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（1）施工现场内残留的垃圾已全部清除出场；</w:t>
      </w:r>
    </w:p>
    <w:p w14:paraId="37625CF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（2）临时工程已拆除，场地已进行清理、平整或复原；</w:t>
      </w:r>
    </w:p>
    <w:p w14:paraId="63DCE38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（3）按合同约定应撤离的人员、承包人施工设备和剩余的材料，包括废弃的施工设备和材料，已按计划撤离施工现场；</w:t>
      </w:r>
    </w:p>
    <w:p w14:paraId="664BE0E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（4）施工现场周边及其附近道路、河道的施工堆积物，已全部清理；</w:t>
      </w:r>
    </w:p>
    <w:p w14:paraId="7E8C596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（5）施工现场其他场地清理工作已全部完成。</w:t>
      </w:r>
    </w:p>
    <w:p w14:paraId="64065AF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29D7E4CF">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13.6.2 地表还原</w:t>
      </w:r>
    </w:p>
    <w:p w14:paraId="45B9A5DA">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6EF70B85">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115" w:name="_Toc351203593"/>
      <w:bookmarkStart w:id="1116" w:name="_Toc532375600"/>
      <w:bookmarkStart w:id="1117" w:name="_Toc532377281"/>
      <w:bookmarkStart w:id="1118" w:name="_Toc337558810"/>
      <w:bookmarkStart w:id="1119" w:name="_Toc296503113"/>
      <w:bookmarkStart w:id="1120" w:name="_Toc296346614"/>
      <w:r>
        <w:rPr>
          <w:rFonts w:hint="eastAsia"/>
          <w:color w:val="auto"/>
          <w:kern w:val="2"/>
          <w:sz w:val="21"/>
          <w:szCs w:val="21"/>
          <w:highlight w:val="none"/>
        </w:rPr>
        <w:t>14. 竣工结算</w:t>
      </w:r>
      <w:bookmarkEnd w:id="1115"/>
      <w:bookmarkEnd w:id="1116"/>
      <w:bookmarkEnd w:id="1117"/>
    </w:p>
    <w:bookmarkEnd w:id="1118"/>
    <w:p w14:paraId="656AA719">
      <w:pPr>
        <w:pStyle w:val="7"/>
        <w:spacing w:before="0" w:beforeAutospacing="0" w:after="0" w:afterAutospacing="0" w:line="360" w:lineRule="auto"/>
        <w:ind w:firstLine="422" w:firstLineChars="200"/>
        <w:rPr>
          <w:color w:val="auto"/>
          <w:sz w:val="21"/>
          <w:szCs w:val="21"/>
          <w:highlight w:val="none"/>
        </w:rPr>
      </w:pPr>
      <w:bookmarkStart w:id="1121" w:name="_Toc351203594"/>
      <w:bookmarkStart w:id="1122" w:name="_Toc532377282"/>
      <w:bookmarkStart w:id="1123" w:name="_Toc337558811"/>
      <w:r>
        <w:rPr>
          <w:rFonts w:hint="eastAsia"/>
          <w:color w:val="auto"/>
          <w:sz w:val="21"/>
          <w:szCs w:val="21"/>
          <w:highlight w:val="none"/>
        </w:rPr>
        <w:t>14.1 竣工结算申请</w:t>
      </w:r>
      <w:bookmarkEnd w:id="1121"/>
      <w:bookmarkEnd w:id="1122"/>
    </w:p>
    <w:bookmarkEnd w:id="1123"/>
    <w:p w14:paraId="2BDC3CB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18A9179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除专用合同条款另有约定外，竣工结算申请单应包括以下内容：</w:t>
      </w:r>
    </w:p>
    <w:p w14:paraId="10DCE5D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（1）竣工结算合同价格；</w:t>
      </w:r>
    </w:p>
    <w:p w14:paraId="3CA60DE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（2）发包人已支付承包人的款项；</w:t>
      </w:r>
    </w:p>
    <w:p w14:paraId="406C357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（3）应扣留的质量保证金。已缴纳履约保证金的或提供其他工程质量担保方式的除外； </w:t>
      </w:r>
    </w:p>
    <w:p w14:paraId="1CD3493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（4）发包人应支付承包人的合同价款。</w:t>
      </w:r>
    </w:p>
    <w:p w14:paraId="7D9F37A0">
      <w:pPr>
        <w:pStyle w:val="7"/>
        <w:spacing w:before="0" w:beforeAutospacing="0" w:after="0" w:afterAutospacing="0" w:line="360" w:lineRule="auto"/>
        <w:ind w:firstLine="422" w:firstLineChars="200"/>
        <w:rPr>
          <w:color w:val="auto"/>
          <w:sz w:val="21"/>
          <w:szCs w:val="21"/>
          <w:highlight w:val="none"/>
        </w:rPr>
      </w:pPr>
      <w:bookmarkStart w:id="1124" w:name="_Toc532377283"/>
      <w:bookmarkStart w:id="1125" w:name="_Toc351203595"/>
      <w:bookmarkStart w:id="1126" w:name="_Toc337558812"/>
      <w:r>
        <w:rPr>
          <w:rFonts w:hint="eastAsia"/>
          <w:color w:val="auto"/>
          <w:sz w:val="21"/>
          <w:szCs w:val="21"/>
          <w:highlight w:val="none"/>
        </w:rPr>
        <w:t>14.2 竣工结算审核</w:t>
      </w:r>
      <w:bookmarkEnd w:id="1124"/>
      <w:bookmarkEnd w:id="1125"/>
    </w:p>
    <w:bookmarkEnd w:id="1126"/>
    <w:p w14:paraId="73B5117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3EE21FB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11F9A0F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0EBDF18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4363C461">
      <w:pPr>
        <w:pStyle w:val="7"/>
        <w:spacing w:before="0" w:beforeAutospacing="0" w:after="0" w:afterAutospacing="0" w:line="360" w:lineRule="auto"/>
        <w:ind w:firstLine="422" w:firstLineChars="200"/>
        <w:rPr>
          <w:color w:val="auto"/>
          <w:sz w:val="21"/>
          <w:szCs w:val="21"/>
          <w:highlight w:val="none"/>
        </w:rPr>
      </w:pPr>
      <w:bookmarkStart w:id="1127" w:name="_Toc351203596"/>
      <w:bookmarkStart w:id="1128" w:name="_Toc532377284"/>
      <w:bookmarkStart w:id="1129" w:name="_Toc337558813"/>
      <w:r>
        <w:rPr>
          <w:rFonts w:hint="eastAsia"/>
          <w:color w:val="auto"/>
          <w:sz w:val="21"/>
          <w:szCs w:val="21"/>
          <w:highlight w:val="none"/>
        </w:rPr>
        <w:t>14.3 甩项竣工协议</w:t>
      </w:r>
      <w:bookmarkEnd w:id="1127"/>
      <w:bookmarkEnd w:id="1128"/>
    </w:p>
    <w:bookmarkEnd w:id="1129"/>
    <w:p w14:paraId="3D3C958A">
      <w:pPr>
        <w:autoSpaceDE w:val="0"/>
        <w:autoSpaceDN w:val="0"/>
        <w:spacing w:line="360" w:lineRule="auto"/>
        <w:ind w:firstLine="411" w:firstLineChars="196"/>
        <w:jc w:val="left"/>
        <w:rPr>
          <w:rFonts w:ascii="宋体" w:hAnsi="宋体"/>
          <w:color w:val="auto"/>
          <w:kern w:val="0"/>
          <w:szCs w:val="21"/>
          <w:highlight w:val="none"/>
        </w:rPr>
      </w:pPr>
      <w:r>
        <w:rPr>
          <w:rFonts w:hint="eastAsia" w:ascii="宋体" w:hAnsi="宋体"/>
          <w:color w:val="auto"/>
          <w:kern w:val="0"/>
          <w:szCs w:val="21"/>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3698D619">
      <w:pPr>
        <w:pStyle w:val="7"/>
        <w:spacing w:before="0" w:beforeAutospacing="0" w:after="0" w:afterAutospacing="0" w:line="360" w:lineRule="auto"/>
        <w:ind w:firstLine="422" w:firstLineChars="200"/>
        <w:rPr>
          <w:color w:val="auto"/>
          <w:sz w:val="21"/>
          <w:szCs w:val="21"/>
          <w:highlight w:val="none"/>
        </w:rPr>
      </w:pPr>
      <w:bookmarkStart w:id="1130" w:name="_Toc351203597"/>
      <w:bookmarkStart w:id="1131" w:name="_Toc532377285"/>
      <w:bookmarkStart w:id="1132" w:name="_Toc337558814"/>
      <w:r>
        <w:rPr>
          <w:rFonts w:hint="eastAsia"/>
          <w:color w:val="auto"/>
          <w:sz w:val="21"/>
          <w:szCs w:val="21"/>
          <w:highlight w:val="none"/>
        </w:rPr>
        <w:t>14.4 最终结清</w:t>
      </w:r>
      <w:bookmarkEnd w:id="1130"/>
      <w:bookmarkEnd w:id="1131"/>
    </w:p>
    <w:bookmarkEnd w:id="1132"/>
    <w:p w14:paraId="3599C1F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14.4.1 最终结清申请单</w:t>
      </w:r>
    </w:p>
    <w:p w14:paraId="6B3E157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（1）除专用合同条款另有约定外，承包人应在缺陷责任期终止证书颁发后7天内，按专用合同条款约定的份数向发包人提交最终结清申请单，并提供相关证明材料。</w:t>
      </w:r>
    </w:p>
    <w:p w14:paraId="24B7CB6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除专用合同条款另有约定外，最终结清申请单应列明质量保证金、应扣除的质量保证金、缺陷责任期内发生的增减费用。</w:t>
      </w:r>
    </w:p>
    <w:p w14:paraId="2254A83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（2）发包人对最终结清申请单内容有异议的，有权要求承包人进行修正和提供补充资料，承包人应向发包人提交修正后的最终结清申请单。</w:t>
      </w:r>
    </w:p>
    <w:p w14:paraId="5314349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14.4.2 最终结清证书和支付</w:t>
      </w:r>
    </w:p>
    <w:p w14:paraId="73827BF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02709B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44C70C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（3）承包人对发包人颁发的最终结清证书有异议的，按第20条〔争议解决〕的约定办理。</w:t>
      </w:r>
    </w:p>
    <w:p w14:paraId="241DBB1C">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133" w:name="_Toc532377286"/>
      <w:bookmarkStart w:id="1134" w:name="_Toc351203598"/>
      <w:bookmarkStart w:id="1135" w:name="_Toc532375601"/>
      <w:bookmarkStart w:id="1136" w:name="_Toc337558815"/>
      <w:r>
        <w:rPr>
          <w:rFonts w:hint="eastAsia"/>
          <w:color w:val="auto"/>
          <w:kern w:val="2"/>
          <w:sz w:val="21"/>
          <w:szCs w:val="21"/>
          <w:highlight w:val="none"/>
        </w:rPr>
        <w:t>15. 缺陷责任与保修</w:t>
      </w:r>
      <w:bookmarkEnd w:id="1133"/>
      <w:bookmarkEnd w:id="1134"/>
      <w:bookmarkEnd w:id="1135"/>
    </w:p>
    <w:bookmarkEnd w:id="1119"/>
    <w:bookmarkEnd w:id="1120"/>
    <w:bookmarkEnd w:id="1136"/>
    <w:p w14:paraId="597C2D9F">
      <w:pPr>
        <w:pStyle w:val="7"/>
        <w:spacing w:before="0" w:beforeAutospacing="0" w:after="0" w:afterAutospacing="0" w:line="360" w:lineRule="auto"/>
        <w:ind w:firstLine="422" w:firstLineChars="200"/>
        <w:rPr>
          <w:color w:val="auto"/>
          <w:sz w:val="21"/>
          <w:szCs w:val="21"/>
          <w:highlight w:val="none"/>
        </w:rPr>
      </w:pPr>
      <w:bookmarkStart w:id="1137" w:name="_Toc351203599"/>
      <w:bookmarkStart w:id="1138" w:name="_Toc532377287"/>
      <w:bookmarkStart w:id="1139" w:name="_Toc337558816"/>
      <w:bookmarkStart w:id="1140" w:name="_Toc296346615"/>
      <w:bookmarkStart w:id="1141" w:name="_Toc296503114"/>
      <w:r>
        <w:rPr>
          <w:rFonts w:hint="eastAsia"/>
          <w:color w:val="auto"/>
          <w:sz w:val="21"/>
          <w:szCs w:val="21"/>
          <w:highlight w:val="none"/>
        </w:rPr>
        <w:t>15.1 工程保修的原则</w:t>
      </w:r>
      <w:bookmarkEnd w:id="1137"/>
      <w:bookmarkEnd w:id="1138"/>
    </w:p>
    <w:bookmarkEnd w:id="1139"/>
    <w:p w14:paraId="26FB064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在工程移交发包人后，因承包人原因产生的质量缺陷，承包人应承担质量缺陷责任和保修义务。缺陷责任期届满，承包人仍应按合同约定的工程各部位保修年限承担保修义务。</w:t>
      </w:r>
    </w:p>
    <w:p w14:paraId="20ACA9EB">
      <w:pPr>
        <w:pStyle w:val="7"/>
        <w:spacing w:before="0" w:beforeAutospacing="0" w:after="0" w:afterAutospacing="0" w:line="360" w:lineRule="auto"/>
        <w:ind w:firstLine="422" w:firstLineChars="200"/>
        <w:rPr>
          <w:color w:val="auto"/>
          <w:sz w:val="21"/>
          <w:szCs w:val="21"/>
          <w:highlight w:val="none"/>
        </w:rPr>
      </w:pPr>
      <w:bookmarkStart w:id="1142" w:name="_Toc532377288"/>
      <w:bookmarkStart w:id="1143" w:name="_Toc351203600"/>
      <w:bookmarkStart w:id="1144" w:name="_Toc337558817"/>
      <w:r>
        <w:rPr>
          <w:rFonts w:hint="eastAsia"/>
          <w:color w:val="auto"/>
          <w:sz w:val="21"/>
          <w:szCs w:val="21"/>
          <w:highlight w:val="none"/>
        </w:rPr>
        <w:t>15.2 缺陷责任期</w:t>
      </w:r>
      <w:bookmarkEnd w:id="1140"/>
      <w:bookmarkEnd w:id="1141"/>
      <w:bookmarkEnd w:id="1142"/>
      <w:bookmarkEnd w:id="1143"/>
    </w:p>
    <w:bookmarkEnd w:id="1144"/>
    <w:p w14:paraId="2474088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15.2.1 缺陷责任期从工程通过竣工验收之日起计算，合同当事人应在专用合同条款约定缺陷责任期的具体期限，但该期限最长不超过24个月。</w:t>
      </w:r>
    </w:p>
    <w:p w14:paraId="3DD49C6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3907D94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应在原缺陷责任期届满前发出延长通知。但缺陷责任期（含延长部分）最长不能超过24个月。</w:t>
      </w:r>
    </w:p>
    <w:p w14:paraId="105CD79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由他人原因造成的缺陷，发包人负责组织维修，承包人不承担费用，且发包人不得从保证金中扣除费用。</w:t>
      </w:r>
    </w:p>
    <w:p w14:paraId="4992E19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15.2.3 任何一项缺陷或损坏修复后，经检查证明其影响了工程或工程设备的使用性能，承包人应重新进行合同约定的试验和试运行，试验和试运行的全部费用应由责任方承担。</w:t>
      </w:r>
    </w:p>
    <w:p w14:paraId="491408A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6367BC69">
      <w:pPr>
        <w:pStyle w:val="7"/>
        <w:spacing w:before="0" w:beforeAutospacing="0" w:after="0" w:afterAutospacing="0" w:line="360" w:lineRule="auto"/>
        <w:ind w:firstLine="422" w:firstLineChars="200"/>
        <w:rPr>
          <w:color w:val="auto"/>
          <w:sz w:val="21"/>
          <w:szCs w:val="21"/>
          <w:highlight w:val="none"/>
        </w:rPr>
      </w:pPr>
      <w:bookmarkStart w:id="1145" w:name="_Toc351203601"/>
      <w:bookmarkStart w:id="1146" w:name="_Toc532377289"/>
      <w:bookmarkStart w:id="1147" w:name="_Toc337558818"/>
      <w:bookmarkStart w:id="1148" w:name="_Toc296503115"/>
      <w:bookmarkStart w:id="1149" w:name="_Toc296346616"/>
      <w:r>
        <w:rPr>
          <w:rFonts w:hint="eastAsia"/>
          <w:color w:val="auto"/>
          <w:sz w:val="21"/>
          <w:szCs w:val="21"/>
          <w:highlight w:val="none"/>
        </w:rPr>
        <w:t>15.3 质量保证金</w:t>
      </w:r>
      <w:bookmarkEnd w:id="1145"/>
      <w:bookmarkEnd w:id="1146"/>
    </w:p>
    <w:bookmarkEnd w:id="1147"/>
    <w:p w14:paraId="7928957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经合同当事人协商一致扣留质量保证金的，应在专用合同条款中予以明确。</w:t>
      </w:r>
    </w:p>
    <w:p w14:paraId="73ACA76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在工程项目竣工前，承包人已经提供履约担保的，发包人不得同时预留工程质量保证金。</w:t>
      </w:r>
    </w:p>
    <w:p w14:paraId="41AE6AE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15.3.1 承包人提供质量保证金的方式</w:t>
      </w:r>
    </w:p>
    <w:p w14:paraId="7E5D0DA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承包人提供质量保证金有以下三种方式：</w:t>
      </w:r>
    </w:p>
    <w:p w14:paraId="7CD7B3E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（1）质量保证金保函；</w:t>
      </w:r>
    </w:p>
    <w:p w14:paraId="32B094B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（2）相应比例的工程款；</w:t>
      </w:r>
    </w:p>
    <w:p w14:paraId="1618DE6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（3）双方约定的其他方式。</w:t>
      </w:r>
    </w:p>
    <w:p w14:paraId="2565CBC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除专用合同条款另有约定外，质量保证金原则上采用上述第（1）种方式。</w:t>
      </w:r>
    </w:p>
    <w:p w14:paraId="43A4A8F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15.3.2 质量保证金的扣留</w:t>
      </w:r>
    </w:p>
    <w:p w14:paraId="49D88A4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质量保证金的扣留有以下三种方式：</w:t>
      </w:r>
    </w:p>
    <w:p w14:paraId="6663F63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（1）在支付工程进度款时逐次扣留，在此情形下，质量保证金的计算基数不包括预付款的支付、扣回以及价格调整的金额；</w:t>
      </w:r>
    </w:p>
    <w:p w14:paraId="634C6AF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（2）工</w:t>
      </w:r>
      <w:bookmarkStart w:id="1150" w:name="#go6"/>
      <w:bookmarkEnd w:id="1150"/>
      <w:r>
        <w:rPr>
          <w:rFonts w:hint="eastAsia" w:ascii="宋体" w:hAnsi="宋体"/>
          <w:color w:val="auto"/>
          <w:kern w:val="0"/>
          <w:szCs w:val="21"/>
          <w:highlight w:val="none"/>
        </w:rPr>
        <w:t>程竣工结算时一次性扣留质量保证金；</w:t>
      </w:r>
    </w:p>
    <w:p w14:paraId="0599068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（3）双方约定的其他扣留方式。</w:t>
      </w:r>
    </w:p>
    <w:p w14:paraId="7FC6B26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除专用合同条款另有约定外，质量保证金的扣留原则上采用上述第（1）种方式。</w:t>
      </w:r>
    </w:p>
    <w:p w14:paraId="2CBAD2A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w:t>
      </w:r>
      <w:bookmarkStart w:id="1151" w:name="#go4"/>
      <w:bookmarkEnd w:id="1151"/>
      <w:r>
        <w:rPr>
          <w:rFonts w:hint="eastAsia" w:ascii="宋体" w:hAnsi="宋体"/>
          <w:color w:val="auto"/>
          <w:kern w:val="0"/>
          <w:szCs w:val="21"/>
          <w:highlight w:val="none"/>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7499116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发包人在退还质量保证金的同时按照中国人民银行发布的同期同类贷款基准利率支付利息。</w:t>
      </w:r>
    </w:p>
    <w:p w14:paraId="0924FB7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15.3.3 质量保证金的退还</w:t>
      </w:r>
    </w:p>
    <w:p w14:paraId="5423645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缺陷责任期内，承包人认真履行合同约定的责任，到期后，承包人可向发包人申请返还保证金。</w:t>
      </w:r>
    </w:p>
    <w:p w14:paraId="7D80FCC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0E58011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发包人和承包人对保证金预留、返还以及工程维修质量、费用有争议的，按合同第20条约定的争议和纠纷解决程序处理。</w:t>
      </w:r>
    </w:p>
    <w:p w14:paraId="34D6E70C">
      <w:pPr>
        <w:pStyle w:val="7"/>
        <w:spacing w:before="0" w:beforeAutospacing="0" w:after="0" w:afterAutospacing="0" w:line="360" w:lineRule="auto"/>
        <w:ind w:firstLine="422" w:firstLineChars="200"/>
        <w:rPr>
          <w:color w:val="auto"/>
          <w:sz w:val="21"/>
          <w:szCs w:val="21"/>
          <w:highlight w:val="none"/>
        </w:rPr>
      </w:pPr>
      <w:bookmarkStart w:id="1152" w:name="_Toc351203602"/>
      <w:bookmarkStart w:id="1153" w:name="_Toc532377290"/>
      <w:bookmarkStart w:id="1154" w:name="_Toc337558819"/>
      <w:r>
        <w:rPr>
          <w:rFonts w:hint="eastAsia"/>
          <w:color w:val="auto"/>
          <w:sz w:val="21"/>
          <w:szCs w:val="21"/>
          <w:highlight w:val="none"/>
        </w:rPr>
        <w:t>15.4 保修</w:t>
      </w:r>
      <w:bookmarkEnd w:id="1152"/>
      <w:bookmarkEnd w:id="1153"/>
    </w:p>
    <w:bookmarkEnd w:id="1148"/>
    <w:bookmarkEnd w:id="1149"/>
    <w:bookmarkEnd w:id="1154"/>
    <w:p w14:paraId="340BD9E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15.4.1保修责任</w:t>
      </w:r>
    </w:p>
    <w:p w14:paraId="24A027E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6A82691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发包人未经竣工验收擅自使用工程的，保修期自转移占有之日起算。</w:t>
      </w:r>
    </w:p>
    <w:p w14:paraId="5603094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15.4.2 修复费用</w:t>
      </w:r>
    </w:p>
    <w:p w14:paraId="68A9FB0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保修期内，修复的费用按照以下约定处理：</w:t>
      </w:r>
    </w:p>
    <w:p w14:paraId="358BE57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（1）保修期内，因承包人原因造成工程的缺陷、损坏，承包人应负责修复，并承担修复的费用以及因工程的缺陷、损坏造成的人身伤害和财产损失；</w:t>
      </w:r>
    </w:p>
    <w:p w14:paraId="6FFC215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（2）保修期内，因发包人使用不当造成工程的缺陷、损坏，可以委托承包人修复，但发包人应承担修复的费用，并支付承包人合理利润；</w:t>
      </w:r>
    </w:p>
    <w:p w14:paraId="090973E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（3）因其他原因造成工程的缺陷、损坏，可以委托承包人修复，发包人应承担修复的费用，并支付承包人合理的利润，因工程的缺陷、损坏造成的人身伤害和财产损失由责任方承担。</w:t>
      </w:r>
    </w:p>
    <w:p w14:paraId="1D333A5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15.4.3 修复通知</w:t>
      </w:r>
    </w:p>
    <w:p w14:paraId="3A086CC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09747BC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15.4.4 未能修复</w:t>
      </w:r>
    </w:p>
    <w:p w14:paraId="4FD9CA9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4991CC2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15.4.5 承包人出入权</w:t>
      </w:r>
    </w:p>
    <w:p w14:paraId="1473B95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57BC76CA">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155" w:name="_Toc351203603"/>
      <w:bookmarkStart w:id="1156" w:name="_Toc532377291"/>
      <w:bookmarkStart w:id="1157" w:name="_Toc532375602"/>
      <w:bookmarkStart w:id="1158" w:name="_Toc337558820"/>
      <w:r>
        <w:rPr>
          <w:rFonts w:hint="eastAsia"/>
          <w:color w:val="auto"/>
          <w:kern w:val="2"/>
          <w:sz w:val="21"/>
          <w:szCs w:val="21"/>
          <w:highlight w:val="none"/>
        </w:rPr>
        <w:t>16. 违约</w:t>
      </w:r>
      <w:bookmarkEnd w:id="1155"/>
      <w:bookmarkEnd w:id="1156"/>
      <w:bookmarkEnd w:id="1157"/>
    </w:p>
    <w:bookmarkEnd w:id="1158"/>
    <w:p w14:paraId="75D63EC3">
      <w:pPr>
        <w:pStyle w:val="7"/>
        <w:spacing w:before="0" w:beforeAutospacing="0" w:after="0" w:afterAutospacing="0" w:line="360" w:lineRule="auto"/>
        <w:ind w:firstLine="422" w:firstLineChars="200"/>
        <w:rPr>
          <w:color w:val="auto"/>
          <w:sz w:val="21"/>
          <w:szCs w:val="21"/>
          <w:highlight w:val="none"/>
        </w:rPr>
      </w:pPr>
      <w:bookmarkStart w:id="1159" w:name="_Toc296346630"/>
      <w:bookmarkStart w:id="1160" w:name="_Toc296503129"/>
      <w:bookmarkStart w:id="1161" w:name="_Toc532377292"/>
      <w:bookmarkStart w:id="1162" w:name="_Toc351203604"/>
      <w:bookmarkStart w:id="1163" w:name="_Toc337558821"/>
      <w:r>
        <w:rPr>
          <w:rFonts w:hint="eastAsia"/>
          <w:color w:val="auto"/>
          <w:sz w:val="21"/>
          <w:szCs w:val="21"/>
          <w:highlight w:val="none"/>
        </w:rPr>
        <w:t>16.1 发</w:t>
      </w:r>
      <w:bookmarkEnd w:id="1159"/>
      <w:bookmarkEnd w:id="1160"/>
      <w:r>
        <w:rPr>
          <w:rFonts w:hint="eastAsia"/>
          <w:color w:val="auto"/>
          <w:sz w:val="21"/>
          <w:szCs w:val="21"/>
          <w:highlight w:val="none"/>
        </w:rPr>
        <w:t>包人违约</w:t>
      </w:r>
      <w:bookmarkEnd w:id="1161"/>
      <w:bookmarkEnd w:id="1162"/>
    </w:p>
    <w:bookmarkEnd w:id="1163"/>
    <w:p w14:paraId="4EABF67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16.1.1 发包人违约的情形</w:t>
      </w:r>
    </w:p>
    <w:p w14:paraId="1CCFAC8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在合同履行过程中发生的下列情形，属于发包人违约：</w:t>
      </w:r>
    </w:p>
    <w:p w14:paraId="1416785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（1）因发包人原因未能在计划开工日期前7天内下达开工通知的；</w:t>
      </w:r>
    </w:p>
    <w:p w14:paraId="6FE639C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（2）因发包人原因未能按合同约定支付合同价款的；</w:t>
      </w:r>
    </w:p>
    <w:p w14:paraId="72B1A13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（3）发包人违反第10.1款〔变更的范围〕第（2）项约定，自行实施被取消的工作或转由他人实施的；</w:t>
      </w:r>
    </w:p>
    <w:p w14:paraId="7A19007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（4）发包人提供的材料、工程设备的规格、数量或质量不符合合同约定，或因发包人原因导致交货日期延误或交货地点变更等情况的；</w:t>
      </w:r>
    </w:p>
    <w:p w14:paraId="37F2AC8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（5）因发包人违反合同约定造成暂停施工的；</w:t>
      </w:r>
    </w:p>
    <w:p w14:paraId="55FFC69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（6）发包人无正当理由没有在约定期限内发出复工指示，导致承包人无法复工的；</w:t>
      </w:r>
    </w:p>
    <w:p w14:paraId="6CE6DCF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（7）发包人明确表示或者以其行为表明不履行合同主要义务的；</w:t>
      </w:r>
    </w:p>
    <w:p w14:paraId="436F8A8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（8）发包人未能按照合同约定履行其他义务的。</w:t>
      </w:r>
    </w:p>
    <w:p w14:paraId="7F86386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491E09B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16.1.2 发包人违约的责任</w:t>
      </w:r>
    </w:p>
    <w:p w14:paraId="3C9A81C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发包人应承担因其违约给承包人增加的费用和（或）延误的工期，并支付承包人合理的利润。此外，合同当事人可在专用合同条款中另行约定发包人违约责任的承担方式和计算方法。</w:t>
      </w:r>
    </w:p>
    <w:p w14:paraId="54642D9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16.1.3 因发包人违约解除合同</w:t>
      </w:r>
    </w:p>
    <w:p w14:paraId="4BABE74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2762810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16.1.4 因发包人违约解除合同后的付款</w:t>
      </w:r>
    </w:p>
    <w:p w14:paraId="545B115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承包人按照本款约定解除合同的，发包人应在解除合同后28天内支付下列款项，并解除履约担保：</w:t>
      </w:r>
    </w:p>
    <w:p w14:paraId="1848B58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（1）合同解除前所完成工作的价款；</w:t>
      </w:r>
    </w:p>
    <w:p w14:paraId="7FF7858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（2）承包人为工程施工订购并已付款的材料、工程设备和其他物品的价款；</w:t>
      </w:r>
    </w:p>
    <w:p w14:paraId="4E0D43A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（3）承包人撤离施工现场以及遣散承包人人员的款项；</w:t>
      </w:r>
    </w:p>
    <w:p w14:paraId="10F540A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（4）按照合同约定在合同解除前应支付的违约金；</w:t>
      </w:r>
    </w:p>
    <w:p w14:paraId="399512B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（5）按照合同约定应当支付给承包人的其他款项；</w:t>
      </w:r>
    </w:p>
    <w:p w14:paraId="73DBB91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（6）按照合同约定应退还的质量保证金；</w:t>
      </w:r>
    </w:p>
    <w:p w14:paraId="1B2C2AE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（7）因解除合同给承包人造成的损失。</w:t>
      </w:r>
    </w:p>
    <w:p w14:paraId="003BB06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合同当事人未能就解除合同后的结清达成一致的，按照第20条〔争议解决〕的约定处理。</w:t>
      </w:r>
    </w:p>
    <w:p w14:paraId="312C16D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承包人应妥善做好已完工程和与工程有关的已购材料、工程设备的保护和移交工作，并将施工设备和人员撤出施工现场，发包人应为承包人撤出提供必要条件。</w:t>
      </w:r>
    </w:p>
    <w:p w14:paraId="557BCC78">
      <w:pPr>
        <w:pStyle w:val="7"/>
        <w:spacing w:before="0" w:beforeAutospacing="0" w:after="0" w:afterAutospacing="0" w:line="360" w:lineRule="auto"/>
        <w:ind w:firstLine="422" w:firstLineChars="200"/>
        <w:rPr>
          <w:color w:val="auto"/>
          <w:sz w:val="21"/>
          <w:szCs w:val="21"/>
          <w:highlight w:val="none"/>
        </w:rPr>
      </w:pPr>
      <w:bookmarkStart w:id="1164" w:name="_Toc532377293"/>
      <w:bookmarkStart w:id="1165" w:name="_Toc351203605"/>
      <w:bookmarkStart w:id="1166" w:name="_Toc296346632"/>
      <w:bookmarkStart w:id="1167" w:name="_Toc296503131"/>
      <w:bookmarkStart w:id="1168" w:name="_Toc337558822"/>
      <w:r>
        <w:rPr>
          <w:rFonts w:hint="eastAsia"/>
          <w:color w:val="auto"/>
          <w:sz w:val="21"/>
          <w:szCs w:val="21"/>
          <w:highlight w:val="none"/>
        </w:rPr>
        <w:t>16.2 承包人违约</w:t>
      </w:r>
      <w:bookmarkEnd w:id="1164"/>
      <w:bookmarkEnd w:id="1165"/>
    </w:p>
    <w:bookmarkEnd w:id="1166"/>
    <w:bookmarkEnd w:id="1167"/>
    <w:bookmarkEnd w:id="1168"/>
    <w:p w14:paraId="006884F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16.2.1 承包人违约的情形</w:t>
      </w:r>
    </w:p>
    <w:p w14:paraId="2BF47BB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在合同履行过程中发生的下列情形，属于承包人违约：</w:t>
      </w:r>
    </w:p>
    <w:p w14:paraId="078EBC3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（1）承包人违反合同约定进行转包或违法分包的；</w:t>
      </w:r>
    </w:p>
    <w:p w14:paraId="3D6C42D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（2）承包人违反合同约定采购和使用不合格的材料和工程设备的；</w:t>
      </w:r>
    </w:p>
    <w:p w14:paraId="6BCF77D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（3）因承包人原因导致工程质量不符合合同要求的； </w:t>
      </w:r>
    </w:p>
    <w:p w14:paraId="5B62768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（4）承包人违反第8.9款〔材料与设备专用要求〕的约定，未经批准，私自将已按照合同约定进入施工现场的材料或设备撤离施工现场的；</w:t>
      </w:r>
    </w:p>
    <w:p w14:paraId="1BBEE10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（5）承包人未能按施工进度计划及时完成合同约定的工作，造成工期延误的；</w:t>
      </w:r>
    </w:p>
    <w:p w14:paraId="3F80D01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（6）承包人在缺陷责任期及保修期内，未能在合理期限对工程缺陷进行修复，或拒绝按发包人要求进行修复的；</w:t>
      </w:r>
    </w:p>
    <w:p w14:paraId="1D54CF7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（7）承包人明确表示或者以其行为表明不履行合同主要义务的；</w:t>
      </w:r>
    </w:p>
    <w:p w14:paraId="49B2C6C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（8）承包人未能按照合同约定履行其他义务的。</w:t>
      </w:r>
    </w:p>
    <w:p w14:paraId="2316A68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承包人发生除本项第（7）目约定以外的其他违约情况时，监理人可向承包人发出整改通知，要求其在指定的期限内改正。</w:t>
      </w:r>
    </w:p>
    <w:p w14:paraId="37243BE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16.2.2 承包人违约的责任</w:t>
      </w:r>
    </w:p>
    <w:p w14:paraId="33640C9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承包人应承担因其违约行为而增加的费用和（或）延误的工期。此外，合同当事人可在专用合同条款中另行约定承包人违约责任的承担方式和计算方法。</w:t>
      </w:r>
    </w:p>
    <w:p w14:paraId="769770D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16.2.3 因承包人违约解除合同</w:t>
      </w:r>
    </w:p>
    <w:p w14:paraId="4E4B7B1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39C1B5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16.2.4因承包人违约解除合同后的处理</w:t>
      </w:r>
    </w:p>
    <w:p w14:paraId="1C88F39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因承包人原因导致合同解除的，则合同当事人应在合同解除后28天内完成估价、付款和清算，并按以下约定执行：</w:t>
      </w:r>
    </w:p>
    <w:p w14:paraId="4CFF119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（1）合同解除后，按第4.4款〔商定或确定〕商定或确定承包人实际完成工作对应的合同价款，以及承包人已提供的材料、工程设备、施工设备和临时工程等的价值；</w:t>
      </w:r>
    </w:p>
    <w:p w14:paraId="7D5B567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（2）合同解除后，承包人应支付的违约金；</w:t>
      </w:r>
    </w:p>
    <w:p w14:paraId="1326AD9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（3）合同解除后，因解除合同给发包人造成的损失；</w:t>
      </w:r>
    </w:p>
    <w:p w14:paraId="697AEE2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（4）合同解除后，承包人应按照发包人要求和监理人的指示完成现场的清理和撤离；</w:t>
      </w:r>
    </w:p>
    <w:p w14:paraId="2D2C836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（5）发包人和承包人应在合同解除后进行清算，出具最终结清付款证书，结清全部款项。</w:t>
      </w:r>
    </w:p>
    <w:p w14:paraId="532185A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0D0E969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16.2.5采购合同权益转让</w:t>
      </w:r>
    </w:p>
    <w:p w14:paraId="7DB7106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33AAD0D2">
      <w:pPr>
        <w:pStyle w:val="7"/>
        <w:spacing w:before="0" w:beforeAutospacing="0" w:after="0" w:afterAutospacing="0" w:line="360" w:lineRule="auto"/>
        <w:ind w:firstLine="422" w:firstLineChars="200"/>
        <w:rPr>
          <w:color w:val="auto"/>
          <w:sz w:val="21"/>
          <w:szCs w:val="21"/>
          <w:highlight w:val="none"/>
        </w:rPr>
      </w:pPr>
      <w:bookmarkStart w:id="1169" w:name="_Toc532377294"/>
      <w:bookmarkStart w:id="1170" w:name="_Toc351203606"/>
      <w:r>
        <w:rPr>
          <w:rFonts w:hint="eastAsia"/>
          <w:color w:val="auto"/>
          <w:sz w:val="21"/>
          <w:szCs w:val="21"/>
          <w:highlight w:val="none"/>
        </w:rPr>
        <w:t>16.3 第三人造成的违约</w:t>
      </w:r>
      <w:bookmarkEnd w:id="1169"/>
      <w:bookmarkEnd w:id="1170"/>
    </w:p>
    <w:p w14:paraId="701CC947">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在履行合同过程中，一方当事人因第三人的原因造成违约的，应当向对方当事人承担违约责任。一方当事人和第三人之间的纠纷，依照法律规定或者按照约定解决。</w:t>
      </w:r>
    </w:p>
    <w:p w14:paraId="0B8387C2">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171" w:name="_Toc296503116"/>
      <w:bookmarkStart w:id="1172" w:name="_Toc532377295"/>
      <w:bookmarkStart w:id="1173" w:name="_Toc337558823"/>
      <w:bookmarkStart w:id="1174" w:name="_Toc351203607"/>
      <w:bookmarkStart w:id="1175" w:name="_Toc296346617"/>
      <w:bookmarkStart w:id="1176" w:name="_Toc532375603"/>
      <w:r>
        <w:rPr>
          <w:rFonts w:hint="eastAsia"/>
          <w:color w:val="auto"/>
          <w:kern w:val="2"/>
          <w:sz w:val="21"/>
          <w:szCs w:val="21"/>
          <w:highlight w:val="none"/>
        </w:rPr>
        <w:t>17. 不可抗力</w:t>
      </w:r>
      <w:bookmarkEnd w:id="1171"/>
      <w:bookmarkEnd w:id="1172"/>
      <w:bookmarkEnd w:id="1173"/>
      <w:bookmarkEnd w:id="1174"/>
      <w:bookmarkEnd w:id="1175"/>
      <w:bookmarkEnd w:id="1176"/>
    </w:p>
    <w:p w14:paraId="1551EF4F">
      <w:pPr>
        <w:pStyle w:val="7"/>
        <w:spacing w:before="0" w:beforeAutospacing="0" w:after="0" w:afterAutospacing="0" w:line="360" w:lineRule="auto"/>
        <w:ind w:firstLine="422" w:firstLineChars="200"/>
        <w:rPr>
          <w:color w:val="auto"/>
          <w:sz w:val="21"/>
          <w:szCs w:val="21"/>
          <w:highlight w:val="none"/>
        </w:rPr>
      </w:pPr>
      <w:bookmarkStart w:id="1177" w:name="_Toc532377296"/>
      <w:bookmarkStart w:id="1178" w:name="_Toc351203608"/>
      <w:bookmarkStart w:id="1179" w:name="_Toc296503117"/>
      <w:bookmarkStart w:id="1180" w:name="_Toc296346618"/>
      <w:bookmarkStart w:id="1181" w:name="_Toc337558824"/>
      <w:r>
        <w:rPr>
          <w:rFonts w:hint="eastAsia"/>
          <w:color w:val="auto"/>
          <w:sz w:val="21"/>
          <w:szCs w:val="21"/>
          <w:highlight w:val="none"/>
        </w:rPr>
        <w:t>17.1 不可抗力的确认</w:t>
      </w:r>
      <w:bookmarkEnd w:id="1177"/>
      <w:bookmarkEnd w:id="1178"/>
    </w:p>
    <w:bookmarkEnd w:id="1179"/>
    <w:bookmarkEnd w:id="1180"/>
    <w:bookmarkEnd w:id="1181"/>
    <w:p w14:paraId="409C33C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2A97EA9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0AA43E16">
      <w:pPr>
        <w:pStyle w:val="7"/>
        <w:spacing w:before="0" w:beforeAutospacing="0" w:after="0" w:afterAutospacing="0" w:line="360" w:lineRule="auto"/>
        <w:ind w:firstLine="422" w:firstLineChars="200"/>
        <w:rPr>
          <w:color w:val="auto"/>
          <w:sz w:val="21"/>
          <w:szCs w:val="21"/>
          <w:highlight w:val="none"/>
        </w:rPr>
      </w:pPr>
      <w:bookmarkStart w:id="1182" w:name="_Toc351203609"/>
      <w:bookmarkStart w:id="1183" w:name="_Toc532377297"/>
      <w:bookmarkStart w:id="1184" w:name="_Toc296346619"/>
      <w:bookmarkStart w:id="1185" w:name="_Toc337558825"/>
      <w:bookmarkStart w:id="1186" w:name="_Toc296503118"/>
      <w:r>
        <w:rPr>
          <w:rFonts w:hint="eastAsia"/>
          <w:color w:val="auto"/>
          <w:sz w:val="21"/>
          <w:szCs w:val="21"/>
          <w:highlight w:val="none"/>
        </w:rPr>
        <w:t>17.2 不可抗力的通知</w:t>
      </w:r>
      <w:bookmarkEnd w:id="1182"/>
      <w:bookmarkEnd w:id="1183"/>
    </w:p>
    <w:bookmarkEnd w:id="1184"/>
    <w:bookmarkEnd w:id="1185"/>
    <w:bookmarkEnd w:id="1186"/>
    <w:p w14:paraId="0EAA8C3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合同一方当事人遇到不可抗力事件，使其履行合同义务受到阻碍时，应立即通知合同另一方当事人和监理人，书面说明不可抗力和受阻碍的详细情况，并提供必要的证明。</w:t>
      </w:r>
    </w:p>
    <w:p w14:paraId="7F15584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3C4F4366">
      <w:pPr>
        <w:pStyle w:val="7"/>
        <w:spacing w:before="0" w:beforeAutospacing="0" w:after="0" w:afterAutospacing="0" w:line="360" w:lineRule="auto"/>
        <w:ind w:firstLine="422" w:firstLineChars="200"/>
        <w:rPr>
          <w:color w:val="auto"/>
          <w:sz w:val="21"/>
          <w:szCs w:val="21"/>
          <w:highlight w:val="none"/>
        </w:rPr>
      </w:pPr>
      <w:bookmarkStart w:id="1187" w:name="_Toc532377298"/>
      <w:r>
        <w:rPr>
          <w:rFonts w:hint="eastAsia"/>
          <w:color w:val="auto"/>
          <w:sz w:val="21"/>
          <w:szCs w:val="21"/>
          <w:highlight w:val="none"/>
        </w:rPr>
        <w:t>17.3 不可抗力后果的承担</w:t>
      </w:r>
      <w:bookmarkEnd w:id="1187"/>
    </w:p>
    <w:p w14:paraId="7519076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17.3.1 不可抗力引起的后果及造成的损失由合同当事人按照法律规定及合同约定各自承担。不可抗力发生前已完成的工程应当按照合同约定进行计量支付。</w:t>
      </w:r>
    </w:p>
    <w:p w14:paraId="770889E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17.3.2 不可抗力导致的人员伤亡、财产损失、费用增加和（或）工期延误等后果，由合同当事人按以下原则承担：</w:t>
      </w:r>
    </w:p>
    <w:p w14:paraId="45D37DE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（1）永久工程、已运至施工现场的材料和工程设备的损坏，以及因工程损坏造成的第三人人员伤亡和财产损失由发包人承担；</w:t>
      </w:r>
    </w:p>
    <w:p w14:paraId="02757B7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（2）承包人施工设备的损坏由承包人承担；</w:t>
      </w:r>
    </w:p>
    <w:p w14:paraId="1E0D7E0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（3）发包人和承包人承担各自人员伤亡和财产的损失；</w:t>
      </w:r>
    </w:p>
    <w:p w14:paraId="1B58706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5621463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（5）因不可抗力引起或将引起工期延误，发包人要求赶工的，由此增加的赶工费用由发包人承担；</w:t>
      </w:r>
    </w:p>
    <w:p w14:paraId="2A61610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（6）承包人在停工期间按照发包人要求照管、清理和修复工程的费用由发包人承担。</w:t>
      </w:r>
    </w:p>
    <w:p w14:paraId="0518E87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不可抗力发生后，合同当事人均应采取措施尽量避免和减少损失的扩大，任何一方当事人没有采取有效措施导致损失扩大的，应对扩大的损失承担责任。</w:t>
      </w:r>
    </w:p>
    <w:p w14:paraId="6AA4623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因合同一方迟延履行合同义务，在迟延履行期间遭遇不可抗力的，不免除其违约责任。</w:t>
      </w:r>
    </w:p>
    <w:p w14:paraId="33F9850F">
      <w:pPr>
        <w:pStyle w:val="7"/>
        <w:spacing w:before="0" w:beforeAutospacing="0" w:after="0" w:afterAutospacing="0" w:line="360" w:lineRule="auto"/>
        <w:ind w:firstLine="422" w:firstLineChars="200"/>
        <w:rPr>
          <w:color w:val="auto"/>
          <w:sz w:val="21"/>
          <w:szCs w:val="21"/>
          <w:highlight w:val="none"/>
        </w:rPr>
      </w:pPr>
      <w:bookmarkStart w:id="1188" w:name="_Toc532377299"/>
      <w:bookmarkStart w:id="1189" w:name="_Toc351203611"/>
      <w:bookmarkStart w:id="1190" w:name="_Toc337558827"/>
      <w:r>
        <w:rPr>
          <w:rFonts w:hint="eastAsia"/>
          <w:color w:val="auto"/>
          <w:sz w:val="21"/>
          <w:szCs w:val="21"/>
          <w:highlight w:val="none"/>
        </w:rPr>
        <w:t>17.4 因不可抗力解除合同</w:t>
      </w:r>
      <w:bookmarkEnd w:id="1188"/>
      <w:bookmarkEnd w:id="1189"/>
    </w:p>
    <w:bookmarkEnd w:id="1190"/>
    <w:p w14:paraId="26B42ED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20AA0CE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（1）合同解除前承包人已完成工作的价款；</w:t>
      </w:r>
    </w:p>
    <w:p w14:paraId="1BA2F78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（2）承包人为工程订购的并已交付给承包人，或承包人有责任接受交付的材料、工程设备和其他物品的价款；</w:t>
      </w:r>
    </w:p>
    <w:p w14:paraId="4705C1F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（3）发包人要求承包人退货或解除订货合同而产生的费用，或因不能退货或解除合同而产生的损失；</w:t>
      </w:r>
    </w:p>
    <w:p w14:paraId="514B3DA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（4）承包人撤离施工现场以及遣散承包人人员的费用；</w:t>
      </w:r>
    </w:p>
    <w:p w14:paraId="185B1BE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（5）按照合同约定在合同解除前应支付给承包人的其他款项；</w:t>
      </w:r>
    </w:p>
    <w:p w14:paraId="29E48A1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（6）扣减承包人按照合同约定应向发包人支付的款项；</w:t>
      </w:r>
    </w:p>
    <w:p w14:paraId="45F04D9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（7）双方商定或确定的其他款项。</w:t>
      </w:r>
    </w:p>
    <w:p w14:paraId="28F2F6A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除专用合同条款另有约定外，合同解除后，发包人应在商定或确定上述款项后28天内完成上述款项的支付。</w:t>
      </w:r>
    </w:p>
    <w:p w14:paraId="2618660C">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191" w:name="_Toc532375604"/>
      <w:bookmarkStart w:id="1192" w:name="_Toc351203612"/>
      <w:bookmarkStart w:id="1193" w:name="_Toc532377300"/>
      <w:bookmarkStart w:id="1194" w:name="_Toc296503120"/>
      <w:bookmarkStart w:id="1195" w:name="_Toc296346621"/>
      <w:bookmarkStart w:id="1196" w:name="_Toc337558828"/>
      <w:r>
        <w:rPr>
          <w:rFonts w:hint="eastAsia"/>
          <w:color w:val="auto"/>
          <w:kern w:val="2"/>
          <w:sz w:val="21"/>
          <w:szCs w:val="21"/>
          <w:highlight w:val="none"/>
        </w:rPr>
        <w:t>18. 保险</w:t>
      </w:r>
      <w:bookmarkEnd w:id="1191"/>
      <w:bookmarkEnd w:id="1192"/>
      <w:bookmarkEnd w:id="1193"/>
    </w:p>
    <w:bookmarkEnd w:id="1194"/>
    <w:bookmarkEnd w:id="1195"/>
    <w:bookmarkEnd w:id="1196"/>
    <w:p w14:paraId="0ED2EDCA">
      <w:pPr>
        <w:pStyle w:val="7"/>
        <w:spacing w:before="0" w:beforeAutospacing="0" w:after="0" w:afterAutospacing="0" w:line="360" w:lineRule="auto"/>
        <w:ind w:firstLine="422" w:firstLineChars="200"/>
        <w:rPr>
          <w:color w:val="auto"/>
          <w:sz w:val="21"/>
          <w:szCs w:val="21"/>
          <w:highlight w:val="none"/>
        </w:rPr>
      </w:pPr>
      <w:bookmarkStart w:id="1197" w:name="_Toc351203613"/>
      <w:bookmarkStart w:id="1198" w:name="_Toc532377301"/>
      <w:bookmarkStart w:id="1199" w:name="_Toc337558829"/>
      <w:bookmarkStart w:id="1200" w:name="_Toc296503121"/>
      <w:bookmarkStart w:id="1201" w:name="_Toc296346622"/>
      <w:r>
        <w:rPr>
          <w:rFonts w:hint="eastAsia"/>
          <w:color w:val="auto"/>
          <w:sz w:val="21"/>
          <w:szCs w:val="21"/>
          <w:highlight w:val="none"/>
        </w:rPr>
        <w:t>18.1 工程保险</w:t>
      </w:r>
      <w:bookmarkEnd w:id="1197"/>
      <w:bookmarkEnd w:id="1198"/>
    </w:p>
    <w:bookmarkEnd w:id="1199"/>
    <w:bookmarkEnd w:id="1200"/>
    <w:bookmarkEnd w:id="1201"/>
    <w:p w14:paraId="1CF8DDD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除专用合同条款另有约定外，发包人应投保建筑工程一切险或安装工程一切险；发包人委托承包人投保的，因投保产生的保险费和其他相关费用由发包人承担。</w:t>
      </w:r>
    </w:p>
    <w:p w14:paraId="230D2EE3">
      <w:pPr>
        <w:pStyle w:val="7"/>
        <w:spacing w:before="0" w:beforeAutospacing="0" w:after="0" w:afterAutospacing="0" w:line="360" w:lineRule="auto"/>
        <w:ind w:firstLine="422" w:firstLineChars="200"/>
        <w:rPr>
          <w:color w:val="auto"/>
          <w:sz w:val="21"/>
          <w:szCs w:val="21"/>
          <w:highlight w:val="none"/>
        </w:rPr>
      </w:pPr>
      <w:bookmarkStart w:id="1202" w:name="_Toc351203614"/>
      <w:bookmarkStart w:id="1203" w:name="_Toc532377302"/>
      <w:bookmarkStart w:id="1204" w:name="_Toc296503122"/>
      <w:bookmarkStart w:id="1205" w:name="_Toc296346623"/>
      <w:bookmarkStart w:id="1206" w:name="_Toc337558830"/>
      <w:r>
        <w:rPr>
          <w:rFonts w:hint="eastAsia"/>
          <w:color w:val="auto"/>
          <w:sz w:val="21"/>
          <w:szCs w:val="21"/>
          <w:highlight w:val="none"/>
        </w:rPr>
        <w:t>18.2 工伤保险</w:t>
      </w:r>
      <w:bookmarkEnd w:id="1202"/>
      <w:bookmarkEnd w:id="1203"/>
    </w:p>
    <w:bookmarkEnd w:id="1204"/>
    <w:bookmarkEnd w:id="1205"/>
    <w:bookmarkEnd w:id="1206"/>
    <w:p w14:paraId="133083DF">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18.2.1 发包人应依照法律规定参加工伤保险，并为在施工现场的全部员工办理工伤保险，缴纳工伤保险费，并要求监理人及由发包人为履行合同聘请的第三方依法参加工伤保险。</w:t>
      </w:r>
    </w:p>
    <w:p w14:paraId="7E7A45C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18.2.2 承包人应依照法律规定参加工伤保险，并为其履行合同的全部员工办理工伤保险，缴纳工伤保险费，并要求分包人及由承包人为履行合同聘请的第三方依法参加工伤保险。</w:t>
      </w:r>
    </w:p>
    <w:p w14:paraId="56CE021D">
      <w:pPr>
        <w:pStyle w:val="7"/>
        <w:spacing w:before="0" w:beforeAutospacing="0" w:after="0" w:afterAutospacing="0" w:line="360" w:lineRule="auto"/>
        <w:ind w:firstLine="422" w:firstLineChars="200"/>
        <w:rPr>
          <w:color w:val="auto"/>
          <w:sz w:val="21"/>
          <w:szCs w:val="21"/>
          <w:highlight w:val="none"/>
        </w:rPr>
      </w:pPr>
      <w:bookmarkStart w:id="1207" w:name="_Toc532377303"/>
      <w:bookmarkStart w:id="1208" w:name="_Toc351203615"/>
      <w:bookmarkStart w:id="1209" w:name="_Toc296346626"/>
      <w:bookmarkStart w:id="1210" w:name="_Toc296503125"/>
      <w:bookmarkStart w:id="1211" w:name="_Toc337558831"/>
      <w:r>
        <w:rPr>
          <w:rFonts w:hint="eastAsia"/>
          <w:color w:val="auto"/>
          <w:sz w:val="21"/>
          <w:szCs w:val="21"/>
          <w:highlight w:val="none"/>
        </w:rPr>
        <w:t>18.3其他保险</w:t>
      </w:r>
      <w:bookmarkEnd w:id="1207"/>
      <w:bookmarkEnd w:id="1208"/>
    </w:p>
    <w:bookmarkEnd w:id="1209"/>
    <w:bookmarkEnd w:id="1210"/>
    <w:bookmarkEnd w:id="1211"/>
    <w:p w14:paraId="21171F9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发包人和承包人可以为其施工现场的全部人员办理意外伤害保险并支付保险费，包括其员工及为履行合同聘请的第三方的人员，具体事项由合同当事人在专用合同条款约定。</w:t>
      </w:r>
    </w:p>
    <w:p w14:paraId="51AB802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除专用合同条款另有约定外，承包人应为其施工设备等办理财产保险。</w:t>
      </w:r>
    </w:p>
    <w:p w14:paraId="1CCA7E6D">
      <w:pPr>
        <w:pStyle w:val="7"/>
        <w:spacing w:before="0" w:beforeAutospacing="0" w:after="0" w:afterAutospacing="0" w:line="360" w:lineRule="auto"/>
        <w:ind w:firstLine="422" w:firstLineChars="200"/>
        <w:rPr>
          <w:color w:val="auto"/>
          <w:sz w:val="21"/>
          <w:szCs w:val="21"/>
          <w:highlight w:val="none"/>
        </w:rPr>
      </w:pPr>
      <w:bookmarkStart w:id="1212" w:name="_Toc351203616"/>
      <w:bookmarkStart w:id="1213" w:name="_Toc532377304"/>
      <w:r>
        <w:rPr>
          <w:rFonts w:hint="eastAsia"/>
          <w:color w:val="auto"/>
          <w:sz w:val="21"/>
          <w:szCs w:val="21"/>
          <w:highlight w:val="none"/>
        </w:rPr>
        <w:t>18.4持续保险</w:t>
      </w:r>
      <w:bookmarkEnd w:id="1212"/>
      <w:bookmarkEnd w:id="1213"/>
    </w:p>
    <w:p w14:paraId="72FEA89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合同当事人应与保险人保持联系，使保险人能够随时了解工程实施中的变动，并确保按保险合同条款要求持续保险。</w:t>
      </w:r>
    </w:p>
    <w:p w14:paraId="382F57CE">
      <w:pPr>
        <w:pStyle w:val="7"/>
        <w:spacing w:before="0" w:beforeAutospacing="0" w:after="0" w:afterAutospacing="0" w:line="360" w:lineRule="auto"/>
        <w:ind w:firstLine="422" w:firstLineChars="200"/>
        <w:rPr>
          <w:color w:val="auto"/>
          <w:sz w:val="21"/>
          <w:szCs w:val="21"/>
          <w:highlight w:val="none"/>
        </w:rPr>
      </w:pPr>
      <w:bookmarkStart w:id="1214" w:name="_Toc532377305"/>
      <w:bookmarkStart w:id="1215" w:name="_Toc351203617"/>
      <w:bookmarkStart w:id="1216" w:name="_Toc296503126"/>
      <w:bookmarkStart w:id="1217" w:name="_Toc337558832"/>
      <w:bookmarkStart w:id="1218" w:name="_Toc296346627"/>
      <w:r>
        <w:rPr>
          <w:rFonts w:hint="eastAsia"/>
          <w:color w:val="auto"/>
          <w:sz w:val="21"/>
          <w:szCs w:val="21"/>
          <w:highlight w:val="none"/>
        </w:rPr>
        <w:t>18.5 保险凭证</w:t>
      </w:r>
      <w:bookmarkEnd w:id="1214"/>
      <w:bookmarkEnd w:id="1215"/>
    </w:p>
    <w:bookmarkEnd w:id="1216"/>
    <w:bookmarkEnd w:id="1217"/>
    <w:bookmarkEnd w:id="1218"/>
    <w:p w14:paraId="1816CCC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合同当事人应及时向另一方当事人提交其已投保的各项保险的凭证和保险单复印件。</w:t>
      </w:r>
    </w:p>
    <w:p w14:paraId="2211B8B5">
      <w:pPr>
        <w:pStyle w:val="7"/>
        <w:spacing w:before="0" w:beforeAutospacing="0" w:after="0" w:afterAutospacing="0" w:line="360" w:lineRule="auto"/>
        <w:ind w:firstLine="422" w:firstLineChars="200"/>
        <w:rPr>
          <w:color w:val="auto"/>
          <w:sz w:val="21"/>
          <w:szCs w:val="21"/>
          <w:highlight w:val="none"/>
        </w:rPr>
      </w:pPr>
      <w:bookmarkStart w:id="1219" w:name="_Toc351203618"/>
      <w:bookmarkStart w:id="1220" w:name="_Toc532377306"/>
      <w:bookmarkStart w:id="1221" w:name="_Toc296503127"/>
      <w:bookmarkStart w:id="1222" w:name="_Toc296346628"/>
      <w:bookmarkStart w:id="1223" w:name="_Toc337558833"/>
      <w:r>
        <w:rPr>
          <w:rFonts w:hint="eastAsia"/>
          <w:color w:val="auto"/>
          <w:sz w:val="21"/>
          <w:szCs w:val="21"/>
          <w:highlight w:val="none"/>
        </w:rPr>
        <w:t>18.6 未按约定投保的补救</w:t>
      </w:r>
      <w:bookmarkEnd w:id="1219"/>
      <w:bookmarkEnd w:id="1220"/>
    </w:p>
    <w:bookmarkEnd w:id="1221"/>
    <w:bookmarkEnd w:id="1222"/>
    <w:bookmarkEnd w:id="1223"/>
    <w:p w14:paraId="1AF8868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18.6.1发包人未按合同约定办理保险，或未能使保险持续有效的，则承包人可代为办理，所需费用由发包人承担。发包人未按合同约定办理保险，导致未能得到足额赔偿的，由发包人负责补足。</w:t>
      </w:r>
    </w:p>
    <w:p w14:paraId="048FCFA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18.6.2承包人未按合同约定办理保险，或未能使保险持续有效的，则发包人可代为办理，所需费用由承包人承担。承包人未按合同约定办理保险，导致未能得到足额赔偿的，由承包人负责补足。</w:t>
      </w:r>
    </w:p>
    <w:p w14:paraId="543C13D6">
      <w:pPr>
        <w:pStyle w:val="7"/>
        <w:spacing w:before="0" w:beforeAutospacing="0" w:after="0" w:afterAutospacing="0" w:line="360" w:lineRule="auto"/>
        <w:ind w:firstLine="422" w:firstLineChars="200"/>
        <w:rPr>
          <w:color w:val="auto"/>
          <w:sz w:val="21"/>
          <w:szCs w:val="21"/>
          <w:highlight w:val="none"/>
        </w:rPr>
      </w:pPr>
      <w:bookmarkStart w:id="1224" w:name="_Toc532377307"/>
      <w:bookmarkStart w:id="1225" w:name="_Toc351203619"/>
      <w:bookmarkStart w:id="1226" w:name="_Toc337558834"/>
      <w:r>
        <w:rPr>
          <w:rFonts w:hint="eastAsia"/>
          <w:color w:val="auto"/>
          <w:sz w:val="21"/>
          <w:szCs w:val="21"/>
          <w:highlight w:val="none"/>
        </w:rPr>
        <w:t>18.7 通知义务</w:t>
      </w:r>
      <w:bookmarkEnd w:id="1224"/>
      <w:bookmarkEnd w:id="1225"/>
    </w:p>
    <w:bookmarkEnd w:id="1226"/>
    <w:p w14:paraId="722C031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458F9D0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保险事故发生时，投保人应按照保险合同规定的条件和期限及时向保险人报告。发包人和承包人应当在知道保险事故发生后及时通知对方。</w:t>
      </w:r>
    </w:p>
    <w:p w14:paraId="2D1BF291">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227" w:name="_Toc532377308"/>
      <w:bookmarkStart w:id="1228" w:name="_Toc532375605"/>
      <w:r>
        <w:rPr>
          <w:rFonts w:hint="eastAsia"/>
          <w:color w:val="auto"/>
          <w:kern w:val="2"/>
          <w:sz w:val="21"/>
          <w:szCs w:val="21"/>
          <w:highlight w:val="none"/>
        </w:rPr>
        <w:t>19. 索赔</w:t>
      </w:r>
      <w:bookmarkEnd w:id="1227"/>
      <w:bookmarkEnd w:id="1228"/>
    </w:p>
    <w:p w14:paraId="0B2F40BC">
      <w:pPr>
        <w:pStyle w:val="7"/>
        <w:spacing w:before="0" w:beforeAutospacing="0" w:after="0" w:afterAutospacing="0" w:line="360" w:lineRule="auto"/>
        <w:ind w:firstLine="422" w:firstLineChars="200"/>
        <w:rPr>
          <w:color w:val="auto"/>
          <w:sz w:val="21"/>
          <w:szCs w:val="21"/>
          <w:highlight w:val="none"/>
        </w:rPr>
      </w:pPr>
      <w:bookmarkStart w:id="1229" w:name="_Toc532377309"/>
      <w:r>
        <w:rPr>
          <w:rFonts w:hint="eastAsia"/>
          <w:color w:val="auto"/>
          <w:sz w:val="21"/>
          <w:szCs w:val="21"/>
          <w:highlight w:val="none"/>
        </w:rPr>
        <w:t>19.1承包人的索赔</w:t>
      </w:r>
      <w:bookmarkEnd w:id="1229"/>
    </w:p>
    <w:p w14:paraId="1081738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根据合同约定，承包人认为有权得到追加付款和（或）延长工期的，应按以下程序向发包人提出索赔：</w:t>
      </w:r>
    </w:p>
    <w:p w14:paraId="31929A76">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3E2FAA3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（2）承包人应在发出索赔意向通知书后28天内，向监理人正式递交索赔报告；索赔报告应详细说明索赔理由以及要求追加的付款金额和（或）延长的工期，并附必要的记录和证明材料；</w:t>
      </w:r>
    </w:p>
    <w:p w14:paraId="6C5D1BAC">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（3）索赔事件具有持续影响的，承包人应按合理时间间隔继续递交延续索赔通知，说明持续影响的实际情况和记录，列出累计的追加付款金额和（或）工期延长天数；</w:t>
      </w:r>
    </w:p>
    <w:p w14:paraId="7DA15C4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（4）在索赔事件影响结束后28天内，承包人应向监理人递交最终索赔报告，说明最终要求索赔的追加付款金额和（或）延长的工期，并附必要的记录和证明材料。</w:t>
      </w:r>
    </w:p>
    <w:p w14:paraId="3D3268DF">
      <w:pPr>
        <w:pStyle w:val="7"/>
        <w:spacing w:before="0" w:beforeAutospacing="0" w:after="0" w:afterAutospacing="0" w:line="360" w:lineRule="auto"/>
        <w:ind w:firstLine="422" w:firstLineChars="200"/>
        <w:rPr>
          <w:color w:val="auto"/>
          <w:sz w:val="21"/>
          <w:szCs w:val="21"/>
          <w:highlight w:val="none"/>
        </w:rPr>
      </w:pPr>
      <w:bookmarkStart w:id="1230" w:name="_Toc532377310"/>
      <w:bookmarkStart w:id="1231" w:name="_Toc351203622"/>
      <w:bookmarkStart w:id="1232" w:name="_Toc337558837"/>
      <w:bookmarkStart w:id="1233" w:name="_Toc296346643"/>
      <w:bookmarkStart w:id="1234" w:name="_Toc296503142"/>
      <w:r>
        <w:rPr>
          <w:rFonts w:hint="eastAsia"/>
          <w:color w:val="auto"/>
          <w:sz w:val="21"/>
          <w:szCs w:val="21"/>
          <w:highlight w:val="none"/>
        </w:rPr>
        <w:t>19.2 对承包人索赔的处理</w:t>
      </w:r>
      <w:bookmarkEnd w:id="1230"/>
      <w:bookmarkEnd w:id="1231"/>
    </w:p>
    <w:bookmarkEnd w:id="1232"/>
    <w:bookmarkEnd w:id="1233"/>
    <w:bookmarkEnd w:id="1234"/>
    <w:p w14:paraId="762FF1F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对承包人索赔的处理如下：</w:t>
      </w:r>
    </w:p>
    <w:p w14:paraId="23F1DEB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（1）监理人应在收到索赔报告后14天内完成审查并报送发包人。监理人对索赔报告存在异议的，有权要求承包人提交全部原始记录副本；</w:t>
      </w:r>
    </w:p>
    <w:p w14:paraId="68CB58F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（2）发包人应在监理人收到索赔报告或有关索赔的进一步证明材料后的28天内，由监理人向承包人出具经发包人签认的索赔处理结果。发包人逾期答复的，则视为认可承包人的索赔要求；</w:t>
      </w:r>
    </w:p>
    <w:p w14:paraId="3942508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（3）承包人接受索赔处理结果的，索赔款项在当期进度款中进行支付；承包人不接受索赔处理结果的，按照第20条〔争议解决〕约定处理。</w:t>
      </w:r>
    </w:p>
    <w:p w14:paraId="32381442">
      <w:pPr>
        <w:pStyle w:val="7"/>
        <w:spacing w:before="0" w:beforeAutospacing="0" w:after="0" w:afterAutospacing="0" w:line="360" w:lineRule="auto"/>
        <w:ind w:firstLine="422" w:firstLineChars="200"/>
        <w:rPr>
          <w:color w:val="auto"/>
          <w:sz w:val="21"/>
          <w:szCs w:val="21"/>
          <w:highlight w:val="none"/>
        </w:rPr>
      </w:pPr>
      <w:bookmarkStart w:id="1235" w:name="_Toc532377311"/>
      <w:bookmarkStart w:id="1236" w:name="_Toc351203623"/>
      <w:bookmarkStart w:id="1237" w:name="_Toc337558838"/>
      <w:bookmarkStart w:id="1238" w:name="_Toc296503143"/>
      <w:bookmarkStart w:id="1239" w:name="_Toc296346644"/>
      <w:r>
        <w:rPr>
          <w:rFonts w:hint="eastAsia"/>
          <w:color w:val="auto"/>
          <w:sz w:val="21"/>
          <w:szCs w:val="21"/>
          <w:highlight w:val="none"/>
        </w:rPr>
        <w:t>19.3发包人的索赔</w:t>
      </w:r>
      <w:bookmarkEnd w:id="1235"/>
      <w:bookmarkEnd w:id="1236"/>
    </w:p>
    <w:bookmarkEnd w:id="1237"/>
    <w:bookmarkEnd w:id="1238"/>
    <w:bookmarkEnd w:id="1239"/>
    <w:p w14:paraId="236C46C9">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根据合同约定，发包人认为有权得到赔付金额和（或）延长缺陷责任期的，监理人应向承包人发出通知并附有详细的证明。</w:t>
      </w:r>
    </w:p>
    <w:p w14:paraId="1DF44D9A">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12830BED">
      <w:pPr>
        <w:pStyle w:val="7"/>
        <w:spacing w:before="0" w:beforeAutospacing="0" w:after="0" w:afterAutospacing="0" w:line="360" w:lineRule="auto"/>
        <w:ind w:firstLine="422" w:firstLineChars="200"/>
        <w:rPr>
          <w:color w:val="auto"/>
          <w:sz w:val="21"/>
          <w:szCs w:val="21"/>
          <w:highlight w:val="none"/>
        </w:rPr>
      </w:pPr>
      <w:bookmarkStart w:id="1240" w:name="_Toc532377312"/>
      <w:bookmarkStart w:id="1241" w:name="_Toc351203624"/>
      <w:bookmarkStart w:id="1242" w:name="_Toc296503144"/>
      <w:bookmarkStart w:id="1243" w:name="_Toc296346645"/>
      <w:bookmarkStart w:id="1244" w:name="_Toc337558839"/>
      <w:r>
        <w:rPr>
          <w:rFonts w:hint="eastAsia"/>
          <w:color w:val="auto"/>
          <w:sz w:val="21"/>
          <w:szCs w:val="21"/>
          <w:highlight w:val="none"/>
        </w:rPr>
        <w:t>19.4 对发包人索赔的处理</w:t>
      </w:r>
      <w:bookmarkEnd w:id="1240"/>
      <w:bookmarkEnd w:id="1241"/>
    </w:p>
    <w:bookmarkEnd w:id="1242"/>
    <w:bookmarkEnd w:id="1243"/>
    <w:bookmarkEnd w:id="1244"/>
    <w:p w14:paraId="6F4B769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对发包人索赔的处理如下：</w:t>
      </w:r>
    </w:p>
    <w:p w14:paraId="6E54AE0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（1）承包人收到发包人提交的索赔报告后，应及时审查索赔报告的内容、查验发包人证明材料；</w:t>
      </w:r>
    </w:p>
    <w:p w14:paraId="53E858C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（2）承包人应在收到索赔报告或有关索赔的进一步证明材料后28天内，将索赔处理结果答复发包人。如果承包人未在上述期限内作出答复的，则视为对发包人索赔要求的认可；</w:t>
      </w:r>
    </w:p>
    <w:p w14:paraId="1CFB5CF2">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（3）承包人接受索赔处理结果的，发包人可从应支付给承包人的合同价款中扣除赔付的金额或延长缺陷责任期；发包人不接受索赔处理结果的，按第20条〔争议解决〕约定处理。</w:t>
      </w:r>
    </w:p>
    <w:p w14:paraId="49E12822">
      <w:pPr>
        <w:pStyle w:val="7"/>
        <w:spacing w:before="0" w:beforeAutospacing="0" w:after="0" w:afterAutospacing="0" w:line="360" w:lineRule="auto"/>
        <w:ind w:firstLine="420" w:firstLineChars="200"/>
        <w:rPr>
          <w:b w:val="0"/>
          <w:color w:val="auto"/>
          <w:sz w:val="21"/>
          <w:szCs w:val="21"/>
          <w:highlight w:val="none"/>
        </w:rPr>
      </w:pPr>
      <w:bookmarkStart w:id="1245" w:name="_Toc351203625"/>
      <w:bookmarkStart w:id="1246" w:name="_Toc532377313"/>
      <w:r>
        <w:rPr>
          <w:rFonts w:hint="eastAsia"/>
          <w:b w:val="0"/>
          <w:color w:val="auto"/>
          <w:sz w:val="21"/>
          <w:szCs w:val="21"/>
          <w:highlight w:val="none"/>
        </w:rPr>
        <w:t>19.5 提出索赔的期限</w:t>
      </w:r>
      <w:bookmarkEnd w:id="1245"/>
      <w:bookmarkEnd w:id="1246"/>
    </w:p>
    <w:p w14:paraId="3E7CDAE3">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（1）承包人按第14.2款〔竣工结算审核〕约定接收竣工付款证书后，应被视为已无权再提出在工程接收证书颁发前所发生的任何索赔。</w:t>
      </w:r>
    </w:p>
    <w:p w14:paraId="5C9EBF7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（2）承包人按第14.4款〔最终结清〕提交的最终结清申请单中，只限于提出工程接收证书颁发后发生的索赔。提出索赔的期限自接受最终结清证书时终止。</w:t>
      </w:r>
    </w:p>
    <w:p w14:paraId="38AC6277">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247" w:name="_Toc351203626"/>
      <w:bookmarkStart w:id="1248" w:name="_Toc532377314"/>
      <w:bookmarkStart w:id="1249" w:name="_Toc532375606"/>
      <w:r>
        <w:rPr>
          <w:rFonts w:hint="eastAsia"/>
          <w:color w:val="auto"/>
          <w:kern w:val="2"/>
          <w:sz w:val="21"/>
          <w:szCs w:val="21"/>
          <w:highlight w:val="none"/>
        </w:rPr>
        <w:t>20</w:t>
      </w:r>
      <w:bookmarkStart w:id="1250" w:name="_Toc296503146"/>
      <w:bookmarkStart w:id="1251" w:name="_Toc337558840"/>
      <w:bookmarkStart w:id="1252" w:name="_Toc296346647"/>
      <w:r>
        <w:rPr>
          <w:rFonts w:hint="eastAsia"/>
          <w:color w:val="auto"/>
          <w:kern w:val="2"/>
          <w:sz w:val="21"/>
          <w:szCs w:val="21"/>
          <w:highlight w:val="none"/>
        </w:rPr>
        <w:t>. 争议解决</w:t>
      </w:r>
      <w:bookmarkEnd w:id="1247"/>
      <w:bookmarkEnd w:id="1248"/>
      <w:bookmarkEnd w:id="1249"/>
    </w:p>
    <w:bookmarkEnd w:id="1250"/>
    <w:bookmarkEnd w:id="1251"/>
    <w:bookmarkEnd w:id="1252"/>
    <w:p w14:paraId="778E44DD">
      <w:pPr>
        <w:pStyle w:val="7"/>
        <w:spacing w:before="0" w:beforeAutospacing="0" w:after="0" w:afterAutospacing="0" w:line="360" w:lineRule="auto"/>
        <w:ind w:firstLine="422" w:firstLineChars="200"/>
        <w:rPr>
          <w:color w:val="auto"/>
          <w:sz w:val="21"/>
          <w:szCs w:val="21"/>
          <w:highlight w:val="none"/>
        </w:rPr>
      </w:pPr>
      <w:bookmarkStart w:id="1253" w:name="_Toc351203627"/>
      <w:bookmarkStart w:id="1254" w:name="_Toc532377315"/>
      <w:bookmarkStart w:id="1255" w:name="_Toc296346648"/>
      <w:bookmarkStart w:id="1256" w:name="_Toc337558841"/>
      <w:bookmarkStart w:id="1257" w:name="_Toc296503147"/>
      <w:r>
        <w:rPr>
          <w:rFonts w:hint="eastAsia"/>
          <w:color w:val="auto"/>
          <w:sz w:val="21"/>
          <w:szCs w:val="21"/>
          <w:highlight w:val="none"/>
        </w:rPr>
        <w:t>20.1和解</w:t>
      </w:r>
      <w:bookmarkEnd w:id="1253"/>
      <w:bookmarkEnd w:id="1254"/>
    </w:p>
    <w:bookmarkEnd w:id="1255"/>
    <w:bookmarkEnd w:id="1256"/>
    <w:bookmarkEnd w:id="1257"/>
    <w:p w14:paraId="3632D8D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合同当事人可以就争议自行和解，自行和解达成协议的经双方签名并盖章后作为合同补充文件，双方均应遵照执行。</w:t>
      </w:r>
    </w:p>
    <w:p w14:paraId="7E4CEF00">
      <w:pPr>
        <w:pStyle w:val="7"/>
        <w:spacing w:before="0" w:beforeAutospacing="0" w:after="0" w:afterAutospacing="0" w:line="360" w:lineRule="auto"/>
        <w:ind w:firstLine="422" w:firstLineChars="200"/>
        <w:rPr>
          <w:color w:val="auto"/>
          <w:sz w:val="21"/>
          <w:szCs w:val="21"/>
          <w:highlight w:val="none"/>
        </w:rPr>
      </w:pPr>
      <w:bookmarkStart w:id="1258" w:name="_Toc351203628"/>
      <w:bookmarkStart w:id="1259" w:name="_Toc532377316"/>
      <w:r>
        <w:rPr>
          <w:rFonts w:hint="eastAsia"/>
          <w:color w:val="auto"/>
          <w:sz w:val="21"/>
          <w:szCs w:val="21"/>
          <w:highlight w:val="none"/>
        </w:rPr>
        <w:t>20</w:t>
      </w:r>
      <w:bookmarkStart w:id="1260" w:name="_Toc337558842"/>
      <w:bookmarkStart w:id="1261" w:name="_Toc296503148"/>
      <w:bookmarkStart w:id="1262" w:name="_Toc296346649"/>
      <w:r>
        <w:rPr>
          <w:rFonts w:hint="eastAsia"/>
          <w:color w:val="auto"/>
          <w:sz w:val="21"/>
          <w:szCs w:val="21"/>
          <w:highlight w:val="none"/>
        </w:rPr>
        <w:t>.2调解</w:t>
      </w:r>
      <w:bookmarkEnd w:id="1258"/>
      <w:bookmarkEnd w:id="1259"/>
    </w:p>
    <w:bookmarkEnd w:id="1260"/>
    <w:bookmarkEnd w:id="1261"/>
    <w:bookmarkEnd w:id="1262"/>
    <w:p w14:paraId="6DA8F5D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合同当事人可以就争议请求建设行政主管部门、行业协会或其他第三方进行调解，调解达成协议的，经双方签名并盖章后作为合同补充文件，双方均应遵照执行。</w:t>
      </w:r>
    </w:p>
    <w:p w14:paraId="1702BB3F">
      <w:pPr>
        <w:pStyle w:val="7"/>
        <w:spacing w:before="0" w:beforeAutospacing="0" w:after="0" w:afterAutospacing="0" w:line="360" w:lineRule="auto"/>
        <w:ind w:firstLine="422" w:firstLineChars="200"/>
        <w:rPr>
          <w:color w:val="auto"/>
          <w:sz w:val="21"/>
          <w:szCs w:val="21"/>
          <w:highlight w:val="none"/>
        </w:rPr>
      </w:pPr>
      <w:bookmarkStart w:id="1263" w:name="_Toc532377317"/>
      <w:bookmarkStart w:id="1264" w:name="_Toc351203629"/>
      <w:bookmarkStart w:id="1265" w:name="_Toc296503149"/>
      <w:bookmarkStart w:id="1266" w:name="_Toc337558843"/>
      <w:bookmarkStart w:id="1267" w:name="_Toc296346650"/>
      <w:r>
        <w:rPr>
          <w:rFonts w:hint="eastAsia"/>
          <w:color w:val="auto"/>
          <w:sz w:val="21"/>
          <w:szCs w:val="21"/>
          <w:highlight w:val="none"/>
        </w:rPr>
        <w:t>20.3争议评审</w:t>
      </w:r>
      <w:bookmarkEnd w:id="1263"/>
      <w:bookmarkEnd w:id="1264"/>
    </w:p>
    <w:bookmarkEnd w:id="1265"/>
    <w:bookmarkEnd w:id="1266"/>
    <w:bookmarkEnd w:id="1267"/>
    <w:p w14:paraId="346DE03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合同当事人在专用合同条款中约定采取争议评审方式解决争议以及评审规则，并按下列约定执行： </w:t>
      </w:r>
    </w:p>
    <w:p w14:paraId="2286C03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20.3.1 争议评审小组的确定</w:t>
      </w:r>
    </w:p>
    <w:p w14:paraId="6245FCB8">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合同当事人可以共同选择一名或三名争议评审员，组成争议评审小组。除专用合同条款另有约定外，合同当事人应当自合同签订后28天内，或者争议发生后14天内，选定争议评审员。</w:t>
      </w:r>
    </w:p>
    <w:p w14:paraId="2E9404FE">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070213A4">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除专用合同条款另有约定外，评审员报酬由发包人和承包人各承担一半。</w:t>
      </w:r>
    </w:p>
    <w:p w14:paraId="0491FAAB">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20.3.2 争议评审小组的决定</w:t>
      </w:r>
    </w:p>
    <w:p w14:paraId="23F35E1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5B45AE95">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20.3.3 争议评审小组决定的效力</w:t>
      </w:r>
    </w:p>
    <w:p w14:paraId="4A68A7B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争议评审小组作出的书面决定经合同当事人签名确认后，对双方具有约束力，双方应遵照执行。</w:t>
      </w:r>
    </w:p>
    <w:p w14:paraId="1228E10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任何一方当事人不接受争议评审小组决定或不履行争议评审小组决定的，双方可选择采用其他争议解决方式。</w:t>
      </w:r>
    </w:p>
    <w:p w14:paraId="7DFB1CD2">
      <w:pPr>
        <w:pStyle w:val="7"/>
        <w:spacing w:before="0" w:beforeAutospacing="0" w:after="0" w:afterAutospacing="0" w:line="360" w:lineRule="auto"/>
        <w:ind w:firstLine="422" w:firstLineChars="200"/>
        <w:rPr>
          <w:color w:val="auto"/>
          <w:sz w:val="21"/>
          <w:szCs w:val="21"/>
          <w:highlight w:val="none"/>
        </w:rPr>
      </w:pPr>
      <w:bookmarkStart w:id="1268" w:name="_Toc351203630"/>
      <w:bookmarkStart w:id="1269" w:name="_Toc532377318"/>
      <w:bookmarkStart w:id="1270" w:name="_Toc337558844"/>
      <w:bookmarkStart w:id="1271" w:name="_Toc296503150"/>
      <w:bookmarkStart w:id="1272" w:name="_Toc296346651"/>
      <w:r>
        <w:rPr>
          <w:rFonts w:hint="eastAsia"/>
          <w:color w:val="auto"/>
          <w:sz w:val="21"/>
          <w:szCs w:val="21"/>
          <w:highlight w:val="none"/>
        </w:rPr>
        <w:t>20.4仲裁或诉讼</w:t>
      </w:r>
      <w:bookmarkEnd w:id="1268"/>
      <w:bookmarkEnd w:id="1269"/>
    </w:p>
    <w:bookmarkEnd w:id="1270"/>
    <w:bookmarkEnd w:id="1271"/>
    <w:bookmarkEnd w:id="1272"/>
    <w:p w14:paraId="472A3B31">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因合同及合同有关事项产生的争议，合同当事人可以在专用合同条款中约定以下一种方式解决争议：</w:t>
      </w:r>
    </w:p>
    <w:p w14:paraId="2CDDA580">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（1）向约定的仲裁委员会申请仲裁；</w:t>
      </w:r>
    </w:p>
    <w:p w14:paraId="109FFB5D">
      <w:pPr>
        <w:autoSpaceDE w:val="0"/>
        <w:autoSpaceDN w:val="0"/>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（2）向有管辖权的人民法院起诉。</w:t>
      </w:r>
    </w:p>
    <w:p w14:paraId="7B6654A6">
      <w:pPr>
        <w:pStyle w:val="7"/>
        <w:spacing w:before="0" w:beforeAutospacing="0" w:after="0" w:afterAutospacing="0" w:line="360" w:lineRule="auto"/>
        <w:ind w:firstLine="420" w:firstLineChars="200"/>
        <w:rPr>
          <w:b w:val="0"/>
          <w:color w:val="auto"/>
          <w:sz w:val="21"/>
          <w:szCs w:val="21"/>
          <w:highlight w:val="none"/>
        </w:rPr>
      </w:pPr>
      <w:bookmarkStart w:id="1273" w:name="_Toc532377319"/>
      <w:bookmarkStart w:id="1274" w:name="_Toc351203631"/>
      <w:bookmarkStart w:id="1275" w:name="_Toc296346653"/>
      <w:bookmarkStart w:id="1276" w:name="_Toc296503152"/>
      <w:bookmarkStart w:id="1277" w:name="_Toc337558845"/>
      <w:r>
        <w:rPr>
          <w:rFonts w:hint="eastAsia"/>
          <w:b w:val="0"/>
          <w:color w:val="auto"/>
          <w:sz w:val="21"/>
          <w:szCs w:val="21"/>
          <w:highlight w:val="none"/>
        </w:rPr>
        <w:t>20.5争议解决条款效力</w:t>
      </w:r>
      <w:bookmarkEnd w:id="1273"/>
      <w:bookmarkEnd w:id="1274"/>
    </w:p>
    <w:bookmarkEnd w:id="1275"/>
    <w:bookmarkEnd w:id="1276"/>
    <w:bookmarkEnd w:id="1277"/>
    <w:p w14:paraId="56E75CA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合同有关争议解决的条款独立存在，合同的变更、解除、终止、无效或者被撤销均不影响其效力。</w:t>
      </w:r>
    </w:p>
    <w:p w14:paraId="72618098">
      <w:pPr>
        <w:keepNext/>
        <w:keepLines/>
        <w:snapToGrid w:val="0"/>
        <w:spacing w:before="260" w:after="260" w:line="360" w:lineRule="auto"/>
        <w:outlineLvl w:val="2"/>
        <w:rPr>
          <w:rFonts w:ascii="宋体" w:hAnsi="宋体"/>
          <w:b/>
          <w:bCs/>
          <w:color w:val="auto"/>
          <w:szCs w:val="21"/>
          <w:highlight w:val="none"/>
          <w:lang w:val="zh-CN"/>
        </w:rPr>
      </w:pPr>
      <w:r>
        <w:rPr>
          <w:rFonts w:hint="eastAsia" w:ascii="宋体" w:hAnsi="宋体"/>
          <w:b/>
          <w:bCs/>
          <w:color w:val="auto"/>
          <w:szCs w:val="21"/>
          <w:highlight w:val="none"/>
          <w:lang w:val="zh-CN"/>
        </w:rPr>
        <w:br w:type="page"/>
      </w:r>
    </w:p>
    <w:p w14:paraId="452A06FA">
      <w:pPr>
        <w:pStyle w:val="5"/>
        <w:jc w:val="center"/>
        <w:rPr>
          <w:rFonts w:ascii="宋体" w:hAnsi="宋体"/>
          <w:color w:val="auto"/>
          <w:sz w:val="44"/>
          <w:szCs w:val="44"/>
          <w:highlight w:val="none"/>
        </w:rPr>
      </w:pPr>
      <w:bookmarkStart w:id="1278" w:name="_Toc532375607"/>
      <w:bookmarkStart w:id="1279" w:name="_Toc404"/>
      <w:bookmarkStart w:id="1280" w:name="_Toc532377320"/>
      <w:bookmarkStart w:id="1281" w:name="_Toc18168"/>
      <w:bookmarkStart w:id="1282" w:name="_Toc529388290"/>
      <w:bookmarkStart w:id="1283" w:name="_Toc57820639"/>
      <w:r>
        <w:rPr>
          <w:rFonts w:hint="eastAsia" w:ascii="宋体" w:hAnsi="宋体"/>
          <w:color w:val="auto"/>
          <w:sz w:val="44"/>
          <w:szCs w:val="44"/>
          <w:highlight w:val="none"/>
        </w:rPr>
        <w:t>第三部分 专用合同条款</w:t>
      </w:r>
      <w:bookmarkEnd w:id="1278"/>
      <w:bookmarkEnd w:id="1279"/>
      <w:bookmarkEnd w:id="1280"/>
      <w:bookmarkEnd w:id="1281"/>
      <w:bookmarkEnd w:id="1282"/>
      <w:bookmarkEnd w:id="1283"/>
    </w:p>
    <w:p w14:paraId="488AA8FF">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284" w:name="_Toc532377321"/>
      <w:bookmarkStart w:id="1285" w:name="_Toc351203633"/>
      <w:bookmarkStart w:id="1286" w:name="_Toc532375608"/>
      <w:bookmarkStart w:id="1287" w:name="_Hlk528927191"/>
      <w:r>
        <w:rPr>
          <w:rFonts w:hint="eastAsia"/>
          <w:color w:val="auto"/>
          <w:kern w:val="2"/>
          <w:sz w:val="21"/>
          <w:szCs w:val="21"/>
          <w:highlight w:val="none"/>
        </w:rPr>
        <w:t>1</w:t>
      </w:r>
      <w:bookmarkStart w:id="1288" w:name="_Toc296347155"/>
      <w:bookmarkStart w:id="1289" w:name="_Toc297120456"/>
      <w:bookmarkStart w:id="1290" w:name="_Toc296891196"/>
      <w:bookmarkStart w:id="1291" w:name="_Toc292559361"/>
      <w:bookmarkStart w:id="1292" w:name="_Toc297048342"/>
      <w:bookmarkStart w:id="1293" w:name="_Toc296503156"/>
      <w:bookmarkStart w:id="1294" w:name="_Toc296890984"/>
      <w:bookmarkStart w:id="1295" w:name="_Toc296944495"/>
      <w:bookmarkStart w:id="1296" w:name="_Toc296346657"/>
      <w:bookmarkStart w:id="1297" w:name="_Toc292559866"/>
      <w:r>
        <w:rPr>
          <w:rFonts w:hint="eastAsia"/>
          <w:color w:val="auto"/>
          <w:kern w:val="2"/>
          <w:sz w:val="21"/>
          <w:szCs w:val="21"/>
          <w:highlight w:val="none"/>
        </w:rPr>
        <w:t>. 一般约定</w:t>
      </w:r>
      <w:bookmarkEnd w:id="1284"/>
      <w:bookmarkEnd w:id="1285"/>
      <w:bookmarkEnd w:id="1286"/>
    </w:p>
    <w:bookmarkEnd w:id="1288"/>
    <w:bookmarkEnd w:id="1289"/>
    <w:bookmarkEnd w:id="1290"/>
    <w:bookmarkEnd w:id="1291"/>
    <w:bookmarkEnd w:id="1292"/>
    <w:bookmarkEnd w:id="1293"/>
    <w:bookmarkEnd w:id="1294"/>
    <w:bookmarkEnd w:id="1295"/>
    <w:bookmarkEnd w:id="1296"/>
    <w:bookmarkEnd w:id="1297"/>
    <w:p w14:paraId="2FA15039">
      <w:pPr>
        <w:pStyle w:val="7"/>
        <w:spacing w:before="0" w:beforeAutospacing="0" w:after="0" w:afterAutospacing="0" w:line="360" w:lineRule="auto"/>
        <w:ind w:firstLine="422" w:firstLineChars="200"/>
        <w:rPr>
          <w:color w:val="auto"/>
          <w:sz w:val="21"/>
          <w:szCs w:val="21"/>
          <w:highlight w:val="none"/>
        </w:rPr>
      </w:pPr>
      <w:bookmarkStart w:id="1298" w:name="_Toc532377322"/>
      <w:r>
        <w:rPr>
          <w:rFonts w:hint="eastAsia"/>
          <w:color w:val="auto"/>
          <w:sz w:val="21"/>
          <w:szCs w:val="21"/>
          <w:highlight w:val="none"/>
        </w:rPr>
        <w:t>1.1词语定义与解释</w:t>
      </w:r>
      <w:bookmarkEnd w:id="1298"/>
    </w:p>
    <w:p w14:paraId="04E85E5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 合同</w:t>
      </w:r>
    </w:p>
    <w:p w14:paraId="316A09D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1.1.1.6技术标准和要求：</w:t>
      </w:r>
      <w:r>
        <w:rPr>
          <w:rFonts w:hint="eastAsia" w:ascii="宋体" w:hAnsi="宋体"/>
          <w:color w:val="auto"/>
          <w:kern w:val="0"/>
          <w:szCs w:val="21"/>
          <w:highlight w:val="none"/>
          <w:u w:val="single"/>
        </w:rPr>
        <w:t>本目中的技术标准和要求是指技术规范，即合同所约定的技术标准和要求，是合同文件的组成部分。与通用合同条款中“技术标准和要求”一词具有相同含义，包括合同双方当事人约定对其所作的修改或补充</w:t>
      </w:r>
      <w:r>
        <w:rPr>
          <w:rFonts w:hint="eastAsia" w:ascii="宋体" w:hAnsi="宋体"/>
          <w:color w:val="auto"/>
          <w:kern w:val="0"/>
          <w:szCs w:val="21"/>
          <w:highlight w:val="none"/>
        </w:rPr>
        <w:t>。</w:t>
      </w:r>
    </w:p>
    <w:p w14:paraId="2F1B932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1.1.1.8 已标价工程量清单：</w:t>
      </w:r>
      <w:r>
        <w:rPr>
          <w:rFonts w:hint="eastAsia" w:ascii="宋体" w:hAnsi="宋体"/>
          <w:color w:val="auto"/>
          <w:kern w:val="0"/>
          <w:szCs w:val="21"/>
          <w:highlight w:val="none"/>
          <w:u w:val="single"/>
        </w:rPr>
        <w:t>指构成合同的由承包人按照发包人规定的格式和要求填写并标明价格、经算术性错误修订及其他错误修订（如有）且承包人已确认的工程量清单</w:t>
      </w:r>
      <w:r>
        <w:rPr>
          <w:rFonts w:hint="eastAsia" w:ascii="宋体" w:hAnsi="宋体"/>
          <w:color w:val="auto"/>
          <w:kern w:val="0"/>
          <w:szCs w:val="21"/>
          <w:highlight w:val="none"/>
        </w:rPr>
        <w:t>。</w:t>
      </w:r>
    </w:p>
    <w:p w14:paraId="077D4ECC">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1.1.1.10 其他合同文件包括：</w:t>
      </w:r>
      <w:r>
        <w:rPr>
          <w:rFonts w:hint="eastAsia" w:ascii="宋体" w:hAnsi="宋体"/>
          <w:color w:val="auto"/>
          <w:szCs w:val="21"/>
          <w:highlight w:val="none"/>
          <w:u w:val="single"/>
        </w:rPr>
        <w:t>按照合同协议书</w:t>
      </w:r>
      <w:r>
        <w:rPr>
          <w:rFonts w:hint="eastAsia" w:ascii="宋体" w:hAnsi="宋体"/>
          <w:bCs/>
          <w:color w:val="auto"/>
          <w:szCs w:val="21"/>
          <w:highlight w:val="none"/>
          <w:u w:val="single"/>
        </w:rPr>
        <w:t>〔</w:t>
      </w:r>
      <w:r>
        <w:rPr>
          <w:rFonts w:hint="eastAsia" w:ascii="宋体" w:hAnsi="宋体"/>
          <w:color w:val="auto"/>
          <w:szCs w:val="21"/>
          <w:highlight w:val="none"/>
          <w:u w:val="single"/>
        </w:rPr>
        <w:t>第六条</w:t>
      </w:r>
      <w:r>
        <w:rPr>
          <w:rFonts w:hint="eastAsia" w:ascii="宋体" w:hAnsi="宋体"/>
          <w:bCs/>
          <w:color w:val="auto"/>
          <w:szCs w:val="21"/>
          <w:highlight w:val="none"/>
          <w:u w:val="single"/>
        </w:rPr>
        <w:t>〕</w:t>
      </w:r>
      <w:r>
        <w:rPr>
          <w:rFonts w:hint="eastAsia" w:ascii="宋体" w:hAnsi="宋体"/>
          <w:color w:val="auto"/>
          <w:szCs w:val="21"/>
          <w:highlight w:val="none"/>
          <w:u w:val="single"/>
        </w:rPr>
        <w:t>约定执行</w:t>
      </w:r>
      <w:r>
        <w:rPr>
          <w:rFonts w:hint="eastAsia" w:ascii="宋体" w:hAnsi="宋体"/>
          <w:color w:val="auto"/>
          <w:szCs w:val="21"/>
          <w:highlight w:val="none"/>
        </w:rPr>
        <w:t>。</w:t>
      </w:r>
    </w:p>
    <w:p w14:paraId="5D76BFB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本项补充1.1.1.11～1.1.1.16目：</w:t>
      </w:r>
    </w:p>
    <w:p w14:paraId="6016EDFD">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 xml:space="preserve">1.1.1.11 </w:t>
      </w:r>
      <w:r>
        <w:rPr>
          <w:rFonts w:hint="eastAsia" w:ascii="宋体" w:hAnsi="宋体"/>
          <w:color w:val="auto"/>
          <w:kern w:val="0"/>
          <w:szCs w:val="21"/>
          <w:highlight w:val="none"/>
          <w:lang w:eastAsia="zh-CN"/>
        </w:rPr>
        <w:t>竞争性比选文件</w:t>
      </w:r>
      <w:r>
        <w:rPr>
          <w:rFonts w:hint="eastAsia" w:ascii="宋体" w:hAnsi="宋体"/>
          <w:color w:val="auto"/>
          <w:kern w:val="0"/>
          <w:szCs w:val="21"/>
          <w:highlight w:val="none"/>
        </w:rPr>
        <w:t>：</w:t>
      </w:r>
      <w:r>
        <w:rPr>
          <w:rFonts w:hint="eastAsia" w:ascii="宋体" w:hAnsi="宋体"/>
          <w:color w:val="auto"/>
          <w:kern w:val="0"/>
          <w:szCs w:val="21"/>
          <w:highlight w:val="none"/>
          <w:u w:val="single"/>
        </w:rPr>
        <w:t>指本工程的</w:t>
      </w:r>
      <w:r>
        <w:rPr>
          <w:rFonts w:hint="eastAsia" w:ascii="宋体" w:hAnsi="宋体"/>
          <w:color w:val="auto"/>
          <w:kern w:val="0"/>
          <w:szCs w:val="21"/>
          <w:highlight w:val="none"/>
          <w:u w:val="single"/>
          <w:lang w:eastAsia="zh-CN"/>
        </w:rPr>
        <w:t>竞争性比选文件</w:t>
      </w:r>
      <w:r>
        <w:rPr>
          <w:rFonts w:hint="eastAsia" w:ascii="宋体" w:hAnsi="宋体"/>
          <w:color w:val="auto"/>
          <w:kern w:val="0"/>
          <w:szCs w:val="21"/>
          <w:highlight w:val="none"/>
          <w:u w:val="single"/>
        </w:rPr>
        <w:t>、图纸、其他技术资料及</w:t>
      </w:r>
      <w:r>
        <w:rPr>
          <w:rFonts w:hint="eastAsia" w:ascii="宋体" w:hAnsi="宋体"/>
          <w:color w:val="auto"/>
          <w:kern w:val="0"/>
          <w:szCs w:val="21"/>
          <w:highlight w:val="none"/>
          <w:u w:val="single"/>
          <w:lang w:eastAsia="zh-CN"/>
        </w:rPr>
        <w:t>比选人</w:t>
      </w:r>
      <w:r>
        <w:rPr>
          <w:rFonts w:hint="eastAsia" w:ascii="宋体" w:hAnsi="宋体"/>
          <w:color w:val="auto"/>
          <w:kern w:val="0"/>
          <w:szCs w:val="21"/>
          <w:highlight w:val="none"/>
          <w:u w:val="single"/>
        </w:rPr>
        <w:t>发出的对</w:t>
      </w:r>
      <w:r>
        <w:rPr>
          <w:rFonts w:hint="eastAsia" w:ascii="宋体" w:hAnsi="宋体"/>
          <w:color w:val="auto"/>
          <w:kern w:val="0"/>
          <w:szCs w:val="21"/>
          <w:highlight w:val="none"/>
          <w:u w:val="single"/>
          <w:lang w:eastAsia="zh-CN"/>
        </w:rPr>
        <w:t>竞争性比选文件</w:t>
      </w:r>
      <w:r>
        <w:rPr>
          <w:rFonts w:hint="eastAsia" w:ascii="宋体" w:hAnsi="宋体"/>
          <w:color w:val="auto"/>
          <w:kern w:val="0"/>
          <w:szCs w:val="21"/>
          <w:highlight w:val="none"/>
          <w:u w:val="single"/>
        </w:rPr>
        <w:t>所作的澄清、修改等资料</w:t>
      </w:r>
      <w:r>
        <w:rPr>
          <w:rFonts w:hint="eastAsia" w:ascii="宋体" w:hAnsi="宋体"/>
          <w:color w:val="auto"/>
          <w:kern w:val="0"/>
          <w:szCs w:val="21"/>
          <w:highlight w:val="none"/>
        </w:rPr>
        <w:t>。</w:t>
      </w:r>
    </w:p>
    <w:p w14:paraId="0EFB6867">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1.1.1.12 工作：</w:t>
      </w:r>
      <w:r>
        <w:rPr>
          <w:rFonts w:hint="eastAsia" w:ascii="宋体" w:hAnsi="宋体"/>
          <w:color w:val="auto"/>
          <w:kern w:val="0"/>
          <w:szCs w:val="21"/>
          <w:highlight w:val="none"/>
          <w:u w:val="single"/>
        </w:rPr>
        <w:t>指根据合同条款规定，或根据合同合理推及的，为本工程（包括永久工程和临时工程）施工与维护所需要的管理、劳务、材料、施工设备和其他物品的提供</w:t>
      </w:r>
      <w:r>
        <w:rPr>
          <w:rFonts w:hint="eastAsia" w:ascii="宋体" w:hAnsi="宋体"/>
          <w:color w:val="auto"/>
          <w:kern w:val="0"/>
          <w:szCs w:val="21"/>
          <w:highlight w:val="none"/>
        </w:rPr>
        <w:t>。</w:t>
      </w:r>
    </w:p>
    <w:p w14:paraId="5C314FE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1.1.1.13 重大设计变更：按照规定需要重新报建设行政主管部门批准的设计变更。</w:t>
      </w:r>
    </w:p>
    <w:p w14:paraId="76CAF3F5">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1.1.1.</w:t>
      </w:r>
      <w:r>
        <w:rPr>
          <w:rFonts w:hint="eastAsia" w:ascii="宋体" w:hAnsi="宋体"/>
          <w:color w:val="auto"/>
          <w:szCs w:val="21"/>
          <w:highlight w:val="none"/>
        </w:rPr>
        <w:t>14 公章：专指法定单位名称章</w:t>
      </w:r>
      <w:r>
        <w:rPr>
          <w:rFonts w:ascii="宋体" w:hAnsi="宋体"/>
          <w:color w:val="auto"/>
          <w:szCs w:val="21"/>
          <w:highlight w:val="none"/>
        </w:rPr>
        <w:t>。</w:t>
      </w:r>
    </w:p>
    <w:bookmarkEnd w:id="1287"/>
    <w:p w14:paraId="385C953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1.1.1.15 到岗：指承包人按照到岗履职承诺安排满足办理施工许可手续相关要求的项目主要管理人员实际到施工现场就职履约的行为。</w:t>
      </w:r>
    </w:p>
    <w:p w14:paraId="61575E0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1.1.1.16 项目法人：指具有民事权利能力和民事行为能力，依法独立享有民事权利和承担民事义务，以建设项目为目的，从事项目管理的机构、单位或组织。</w:t>
      </w:r>
    </w:p>
    <w:p w14:paraId="561C3D3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 合同当事人及其他相关方</w:t>
      </w:r>
    </w:p>
    <w:p w14:paraId="3BFCF19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1.1.2.4 监理人：</w:t>
      </w:r>
    </w:p>
    <w:p w14:paraId="742060D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名    称：</w:t>
      </w:r>
      <w:r>
        <w:rPr>
          <w:rFonts w:ascii="宋体" w:hAnsi="宋体"/>
          <w:color w:val="auto"/>
          <w:szCs w:val="21"/>
          <w:highlight w:val="none"/>
          <w:u w:val="single"/>
        </w:rPr>
        <w:t xml:space="preserve">    </w:t>
      </w:r>
      <w:r>
        <w:rPr>
          <w:rFonts w:hint="eastAsia" w:ascii="宋体" w:hAnsi="宋体"/>
          <w:color w:val="auto"/>
          <w:szCs w:val="21"/>
          <w:highlight w:val="none"/>
        </w:rPr>
        <w:t>；</w:t>
      </w:r>
    </w:p>
    <w:p w14:paraId="7ECE56E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资质类别和等级：</w:t>
      </w:r>
      <w:r>
        <w:rPr>
          <w:rFonts w:ascii="宋体" w:hAnsi="宋体"/>
          <w:color w:val="auto"/>
          <w:szCs w:val="21"/>
          <w:highlight w:val="none"/>
          <w:u w:val="single"/>
        </w:rPr>
        <w:t></w:t>
      </w:r>
      <w:r>
        <w:rPr>
          <w:rFonts w:hint="eastAsia" w:ascii="宋体" w:hAnsi="宋体"/>
          <w:color w:val="auto"/>
          <w:szCs w:val="21"/>
          <w:highlight w:val="none"/>
        </w:rPr>
        <w:t>；</w:t>
      </w:r>
    </w:p>
    <w:p w14:paraId="409D070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联系方式：</w:t>
      </w:r>
      <w:r>
        <w:rPr>
          <w:rFonts w:ascii="宋体" w:hAnsi="宋体"/>
          <w:color w:val="auto"/>
          <w:szCs w:val="21"/>
          <w:highlight w:val="none"/>
          <w:u w:val="single"/>
        </w:rPr>
        <w:t xml:space="preserve">    </w:t>
      </w:r>
      <w:r>
        <w:rPr>
          <w:rFonts w:hint="eastAsia" w:ascii="宋体" w:hAnsi="宋体"/>
          <w:color w:val="auto"/>
          <w:szCs w:val="21"/>
          <w:highlight w:val="none"/>
        </w:rPr>
        <w:t>。</w:t>
      </w:r>
    </w:p>
    <w:p w14:paraId="34FCBF0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1.1.2.5 设计人：</w:t>
      </w:r>
    </w:p>
    <w:p w14:paraId="2457A24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名    称：</w:t>
      </w:r>
      <w:r>
        <w:rPr>
          <w:rFonts w:ascii="宋体" w:hAnsi="宋体"/>
          <w:color w:val="auto"/>
          <w:szCs w:val="21"/>
          <w:highlight w:val="none"/>
          <w:u w:val="single"/>
        </w:rPr>
        <w:t xml:space="preserve">    </w:t>
      </w:r>
      <w:r>
        <w:rPr>
          <w:rFonts w:hint="eastAsia" w:ascii="宋体" w:hAnsi="宋体"/>
          <w:color w:val="auto"/>
          <w:szCs w:val="21"/>
          <w:highlight w:val="none"/>
        </w:rPr>
        <w:t>；</w:t>
      </w:r>
    </w:p>
    <w:p w14:paraId="45650E3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资质类别和等级：</w:t>
      </w:r>
      <w:r>
        <w:rPr>
          <w:rFonts w:ascii="宋体" w:hAnsi="宋体"/>
          <w:color w:val="auto"/>
          <w:szCs w:val="21"/>
          <w:highlight w:val="none"/>
          <w:u w:val="single"/>
        </w:rPr>
        <w:t></w:t>
      </w:r>
      <w:r>
        <w:rPr>
          <w:rFonts w:hint="eastAsia" w:ascii="宋体" w:hAnsi="宋体"/>
          <w:color w:val="auto"/>
          <w:szCs w:val="21"/>
          <w:highlight w:val="none"/>
        </w:rPr>
        <w:t>；</w:t>
      </w:r>
    </w:p>
    <w:p w14:paraId="469D455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联系方式：</w:t>
      </w:r>
      <w:r>
        <w:rPr>
          <w:rFonts w:ascii="宋体" w:hAnsi="宋体"/>
          <w:color w:val="auto"/>
          <w:szCs w:val="21"/>
          <w:highlight w:val="none"/>
          <w:u w:val="single"/>
        </w:rPr>
        <w:t xml:space="preserve">    </w:t>
      </w:r>
      <w:r>
        <w:rPr>
          <w:rFonts w:hint="eastAsia" w:ascii="宋体" w:hAnsi="宋体"/>
          <w:color w:val="auto"/>
          <w:szCs w:val="21"/>
          <w:highlight w:val="none"/>
        </w:rPr>
        <w:t>。</w:t>
      </w:r>
    </w:p>
    <w:p w14:paraId="3FC9D52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 工程和设备</w:t>
      </w:r>
    </w:p>
    <w:p w14:paraId="6715AA79">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1.1.3.7 作为施工现场组成部分的其他场所包括：</w:t>
      </w:r>
      <w:r>
        <w:rPr>
          <w:rFonts w:hint="eastAsia" w:ascii="宋体" w:hAnsi="宋体"/>
          <w:color w:val="auto"/>
          <w:kern w:val="0"/>
          <w:szCs w:val="21"/>
          <w:highlight w:val="none"/>
          <w:u w:val="single"/>
        </w:rPr>
        <w:t>永久占地、临时占地以及为修建临时工程而租用、占用的土地</w:t>
      </w:r>
      <w:r>
        <w:rPr>
          <w:rFonts w:hint="eastAsia" w:ascii="宋体" w:hAnsi="宋体"/>
          <w:color w:val="auto"/>
          <w:szCs w:val="21"/>
          <w:highlight w:val="none"/>
        </w:rPr>
        <w:t>。</w:t>
      </w:r>
    </w:p>
    <w:p w14:paraId="7C2CBF5C">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1.1.3.9 永久占地包括：</w:t>
      </w:r>
      <w:r>
        <w:rPr>
          <w:rFonts w:hint="eastAsia" w:ascii="宋体" w:hAnsi="宋体"/>
          <w:color w:val="auto"/>
          <w:kern w:val="0"/>
          <w:szCs w:val="21"/>
          <w:highlight w:val="none"/>
          <w:u w:val="single"/>
        </w:rPr>
        <w:t>为实施合同工程而需要的一切永久占用的土地，即合同工程</w:t>
      </w:r>
      <w:r>
        <w:rPr>
          <w:rFonts w:hint="eastAsia" w:ascii="宋体" w:hAnsi="宋体"/>
          <w:color w:val="auto"/>
          <w:szCs w:val="21"/>
          <w:highlight w:val="none"/>
          <w:u w:val="single"/>
        </w:rPr>
        <w:t>用地红线范围内的土地</w:t>
      </w:r>
      <w:r>
        <w:rPr>
          <w:rFonts w:hint="eastAsia" w:ascii="宋体" w:hAnsi="宋体"/>
          <w:color w:val="auto"/>
          <w:szCs w:val="21"/>
          <w:highlight w:val="none"/>
        </w:rPr>
        <w:t>。</w:t>
      </w:r>
    </w:p>
    <w:p w14:paraId="1483FEF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1.1.3.10 临时占地包括：</w:t>
      </w:r>
      <w:r>
        <w:rPr>
          <w:rFonts w:hint="eastAsia" w:ascii="宋体" w:hAnsi="宋体"/>
          <w:color w:val="auto"/>
          <w:szCs w:val="21"/>
          <w:highlight w:val="none"/>
          <w:u w:val="single"/>
        </w:rPr>
        <w:t>为实施合同工程而需要</w:t>
      </w:r>
      <w:r>
        <w:rPr>
          <w:rFonts w:hint="eastAsia" w:ascii="宋体" w:hAnsi="宋体"/>
          <w:color w:val="auto"/>
          <w:kern w:val="0"/>
          <w:szCs w:val="21"/>
          <w:highlight w:val="none"/>
          <w:u w:val="single"/>
        </w:rPr>
        <w:t>的一切</w:t>
      </w:r>
      <w:r>
        <w:rPr>
          <w:rFonts w:hint="eastAsia" w:ascii="宋体" w:hAnsi="宋体"/>
          <w:color w:val="auto"/>
          <w:szCs w:val="21"/>
          <w:highlight w:val="none"/>
          <w:u w:val="single"/>
        </w:rPr>
        <w:t>临时占用的土地，包括施工所用的临时便道等的临时出入道，以及生产（办公）、生活等临时设施用地。临时占地由乙方自行考虑并承担相关费用</w:t>
      </w:r>
      <w:r>
        <w:rPr>
          <w:rFonts w:hint="eastAsia" w:ascii="宋体" w:hAnsi="宋体"/>
          <w:color w:val="auto"/>
          <w:szCs w:val="21"/>
          <w:highlight w:val="none"/>
        </w:rPr>
        <w:t>。</w:t>
      </w:r>
    </w:p>
    <w:p w14:paraId="6C54ADF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1.1.6 其他</w:t>
      </w:r>
    </w:p>
    <w:p w14:paraId="53F384AE">
      <w:pPr>
        <w:spacing w:line="360" w:lineRule="auto"/>
        <w:ind w:firstLine="420" w:firstLineChars="200"/>
        <w:jc w:val="left"/>
        <w:rPr>
          <w:rFonts w:ascii="宋体" w:hAnsi="宋体"/>
          <w:color w:val="auto"/>
          <w:szCs w:val="21"/>
          <w:highlight w:val="none"/>
        </w:rPr>
      </w:pPr>
      <w:bookmarkStart w:id="1299" w:name="_Hlk528927262"/>
      <w:r>
        <w:rPr>
          <w:rFonts w:hint="eastAsia" w:ascii="宋体" w:hAnsi="宋体"/>
          <w:color w:val="auto"/>
          <w:szCs w:val="21"/>
          <w:highlight w:val="none"/>
        </w:rPr>
        <w:t>本项补充1.1.6.2～1.1.6.3目：</w:t>
      </w:r>
    </w:p>
    <w:p w14:paraId="562BDF4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1.1.6.2 转包、违法分包及挂靠：指符合《住房和城乡建设部关于印发建筑工程施工发包与承包违法行为认定查处管理办法的通知》（建市规〔2019〕1号）规定认定条件的</w:t>
      </w:r>
      <w:r>
        <w:rPr>
          <w:rFonts w:hint="eastAsia" w:ascii="宋体" w:hAnsi="宋体"/>
          <w:color w:val="auto"/>
          <w:kern w:val="0"/>
          <w:szCs w:val="21"/>
          <w:highlight w:val="none"/>
        </w:rPr>
        <w:t>违法行为</w:t>
      </w:r>
      <w:r>
        <w:rPr>
          <w:rFonts w:hint="eastAsia" w:ascii="宋体" w:hAnsi="宋体"/>
          <w:color w:val="auto"/>
          <w:szCs w:val="21"/>
          <w:highlight w:val="none"/>
        </w:rPr>
        <w:t>。</w:t>
      </w:r>
    </w:p>
    <w:bookmarkEnd w:id="1299"/>
    <w:p w14:paraId="30D3EE2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1.1.6.3 危险性较大的分部分项工程（以下简称“危大工程”）：指住房和城乡建设部令第37号《危险性较大的分部分项工程安全管理规定》规定的房屋建筑和市政基础设施工程在施工过程中，容易导致人员群死群伤或者造成重大经济损失的分部分项工程。危大工程及超过一定规模的危大工程范围以国务院住房城乡建设主管部门制定及重庆市住房和城乡建设委员会补充的范围为准。</w:t>
      </w:r>
    </w:p>
    <w:p w14:paraId="25EE4058">
      <w:pPr>
        <w:pStyle w:val="7"/>
        <w:spacing w:before="0" w:beforeAutospacing="0" w:after="0" w:afterAutospacing="0" w:line="360" w:lineRule="auto"/>
        <w:ind w:firstLine="422" w:firstLineChars="200"/>
        <w:rPr>
          <w:color w:val="auto"/>
          <w:sz w:val="21"/>
          <w:szCs w:val="21"/>
          <w:highlight w:val="none"/>
        </w:rPr>
      </w:pPr>
      <w:bookmarkStart w:id="1300" w:name="_Toc532377323"/>
      <w:r>
        <w:rPr>
          <w:rFonts w:hint="eastAsia"/>
          <w:color w:val="auto"/>
          <w:sz w:val="21"/>
          <w:szCs w:val="21"/>
          <w:highlight w:val="none"/>
        </w:rPr>
        <w:t>1.4 标准和规范</w:t>
      </w:r>
      <w:bookmarkEnd w:id="1300"/>
    </w:p>
    <w:p w14:paraId="4AD20D0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 适用于工程的标准规范包括：</w:t>
      </w:r>
    </w:p>
    <w:p w14:paraId="3E856E8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（1）施工图所涉及的技术标准、规范、规程、图集等；</w:t>
      </w:r>
    </w:p>
    <w:p w14:paraId="349ED5B1">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（2）国家、行业或重庆市与本工程有关的标准，以及相应的规范、规程等，当这些标准、规范、规程不一致时，以标准、规范、规程要求最高的为准。</w:t>
      </w:r>
    </w:p>
    <w:p w14:paraId="2B7CA42A">
      <w:pPr>
        <w:spacing w:line="360" w:lineRule="auto"/>
        <w:ind w:firstLine="420" w:firstLineChars="200"/>
        <w:jc w:val="left"/>
        <w:rPr>
          <w:rFonts w:ascii="宋体" w:hAnsi="宋体"/>
          <w:color w:val="auto"/>
          <w:szCs w:val="21"/>
          <w:highlight w:val="none"/>
          <w:u w:val="single"/>
        </w:rPr>
      </w:pPr>
      <w:r>
        <w:rPr>
          <w:rFonts w:ascii="宋体" w:hAnsi="宋体"/>
          <w:color w:val="auto"/>
          <w:szCs w:val="21"/>
          <w:highlight w:val="none"/>
        </w:rPr>
        <w:t>（</w:t>
      </w: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05DBAF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1.4.2 发包人提供国外标准、规范的名称：</w:t>
      </w:r>
      <w:r>
        <w:rPr>
          <w:rFonts w:hint="eastAsia" w:ascii="宋体" w:hAnsi="宋体"/>
          <w:color w:val="auto"/>
          <w:kern w:val="0"/>
          <w:szCs w:val="21"/>
          <w:highlight w:val="none"/>
          <w:u w:val="single"/>
        </w:rPr>
        <w:t xml:space="preserve"> / </w:t>
      </w:r>
      <w:r>
        <w:rPr>
          <w:rFonts w:hint="eastAsia" w:ascii="宋体" w:hAnsi="宋体"/>
          <w:color w:val="auto"/>
          <w:kern w:val="0"/>
          <w:szCs w:val="21"/>
          <w:highlight w:val="none"/>
        </w:rPr>
        <w:t>；</w:t>
      </w:r>
    </w:p>
    <w:p w14:paraId="6A462EEB">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发包人提供国外标准、规范的份数：</w:t>
      </w:r>
      <w:r>
        <w:rPr>
          <w:rFonts w:hint="eastAsia" w:ascii="宋体" w:hAnsi="宋体"/>
          <w:color w:val="auto"/>
          <w:kern w:val="0"/>
          <w:szCs w:val="21"/>
          <w:highlight w:val="none"/>
          <w:u w:val="single"/>
        </w:rPr>
        <w:t xml:space="preserve"> / </w:t>
      </w:r>
      <w:r>
        <w:rPr>
          <w:rFonts w:hint="eastAsia" w:ascii="宋体" w:hAnsi="宋体"/>
          <w:color w:val="auto"/>
          <w:kern w:val="0"/>
          <w:szCs w:val="21"/>
          <w:highlight w:val="none"/>
        </w:rPr>
        <w:t>；</w:t>
      </w:r>
    </w:p>
    <w:p w14:paraId="41DEC00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发包人提供国外标准、规范的名称：</w:t>
      </w:r>
      <w:r>
        <w:rPr>
          <w:rFonts w:hint="eastAsia" w:ascii="宋体" w:hAnsi="宋体"/>
          <w:color w:val="auto"/>
          <w:kern w:val="0"/>
          <w:szCs w:val="21"/>
          <w:highlight w:val="none"/>
          <w:u w:val="single"/>
        </w:rPr>
        <w:t xml:space="preserve"> / </w:t>
      </w:r>
      <w:r>
        <w:rPr>
          <w:rFonts w:hint="eastAsia" w:ascii="宋体" w:hAnsi="宋体"/>
          <w:color w:val="auto"/>
          <w:kern w:val="0"/>
          <w:szCs w:val="21"/>
          <w:highlight w:val="none"/>
        </w:rPr>
        <w:t>。</w:t>
      </w:r>
    </w:p>
    <w:p w14:paraId="20D0335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1.4.3 发包人对工程的技术标准和功能要求的特殊要求：</w:t>
      </w:r>
      <w:r>
        <w:rPr>
          <w:rFonts w:hint="eastAsia" w:ascii="宋体" w:hAnsi="宋体"/>
          <w:color w:val="auto"/>
          <w:kern w:val="0"/>
          <w:szCs w:val="21"/>
          <w:highlight w:val="none"/>
          <w:u w:val="single"/>
        </w:rPr>
        <w:t xml:space="preserve">/ </w:t>
      </w:r>
      <w:r>
        <w:rPr>
          <w:rFonts w:hint="eastAsia" w:ascii="宋体" w:hAnsi="宋体"/>
          <w:color w:val="auto"/>
          <w:szCs w:val="21"/>
          <w:highlight w:val="none"/>
        </w:rPr>
        <w:t>。</w:t>
      </w:r>
    </w:p>
    <w:p w14:paraId="1581816D">
      <w:pPr>
        <w:pStyle w:val="7"/>
        <w:spacing w:before="0" w:beforeAutospacing="0" w:after="0" w:afterAutospacing="0" w:line="360" w:lineRule="auto"/>
        <w:ind w:firstLine="422" w:firstLineChars="200"/>
        <w:rPr>
          <w:color w:val="auto"/>
          <w:sz w:val="21"/>
          <w:szCs w:val="21"/>
          <w:highlight w:val="none"/>
        </w:rPr>
      </w:pPr>
      <w:bookmarkStart w:id="1301" w:name="_Toc532377324"/>
      <w:r>
        <w:rPr>
          <w:rFonts w:hint="eastAsia"/>
          <w:color w:val="auto"/>
          <w:sz w:val="21"/>
          <w:szCs w:val="21"/>
          <w:highlight w:val="none"/>
        </w:rPr>
        <w:t>1.5 合同文件的优先顺序</w:t>
      </w:r>
      <w:bookmarkEnd w:id="1301"/>
    </w:p>
    <w:p w14:paraId="29CD9EF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合同文件组成及优先顺序为：</w:t>
      </w:r>
      <w:r>
        <w:rPr>
          <w:rFonts w:hint="eastAsia" w:ascii="宋体" w:hAnsi="宋体"/>
          <w:color w:val="auto"/>
          <w:szCs w:val="21"/>
          <w:highlight w:val="none"/>
          <w:u w:val="single"/>
        </w:rPr>
        <w:t>按照合同协议书</w:t>
      </w:r>
      <w:r>
        <w:rPr>
          <w:rFonts w:hint="eastAsia" w:ascii="宋体" w:hAnsi="宋体"/>
          <w:bCs/>
          <w:color w:val="auto"/>
          <w:szCs w:val="21"/>
          <w:highlight w:val="none"/>
          <w:u w:val="single"/>
        </w:rPr>
        <w:t>〔</w:t>
      </w:r>
      <w:r>
        <w:rPr>
          <w:rFonts w:hint="eastAsia" w:ascii="宋体" w:hAnsi="宋体"/>
          <w:color w:val="auto"/>
          <w:szCs w:val="21"/>
          <w:highlight w:val="none"/>
          <w:u w:val="single"/>
        </w:rPr>
        <w:t>第六条</w:t>
      </w:r>
      <w:r>
        <w:rPr>
          <w:rFonts w:hint="eastAsia" w:ascii="宋体" w:hAnsi="宋体"/>
          <w:bCs/>
          <w:color w:val="auto"/>
          <w:szCs w:val="21"/>
          <w:highlight w:val="none"/>
          <w:u w:val="single"/>
        </w:rPr>
        <w:t>〕</w:t>
      </w:r>
      <w:r>
        <w:rPr>
          <w:rFonts w:hint="eastAsia" w:ascii="宋体" w:hAnsi="宋体"/>
          <w:color w:val="auto"/>
          <w:szCs w:val="21"/>
          <w:highlight w:val="none"/>
          <w:u w:val="single"/>
        </w:rPr>
        <w:t>约定执行</w:t>
      </w:r>
      <w:r>
        <w:rPr>
          <w:rFonts w:hint="eastAsia" w:ascii="宋体" w:hAnsi="宋体"/>
          <w:color w:val="auto"/>
          <w:szCs w:val="21"/>
          <w:highlight w:val="none"/>
        </w:rPr>
        <w:t>。</w:t>
      </w:r>
    </w:p>
    <w:p w14:paraId="6563BCAD">
      <w:pPr>
        <w:pStyle w:val="7"/>
        <w:spacing w:before="0" w:beforeAutospacing="0" w:after="0" w:afterAutospacing="0" w:line="360" w:lineRule="auto"/>
        <w:ind w:firstLine="422" w:firstLineChars="200"/>
        <w:rPr>
          <w:color w:val="auto"/>
          <w:sz w:val="21"/>
          <w:szCs w:val="21"/>
          <w:highlight w:val="none"/>
        </w:rPr>
      </w:pPr>
      <w:bookmarkStart w:id="1302" w:name="_Toc532377325"/>
      <w:r>
        <w:rPr>
          <w:rFonts w:hint="eastAsia"/>
          <w:color w:val="auto"/>
          <w:sz w:val="21"/>
          <w:szCs w:val="21"/>
          <w:highlight w:val="none"/>
        </w:rPr>
        <w:t>1.6 图纸和承包人文件</w:t>
      </w:r>
      <w:bookmarkEnd w:id="1302"/>
    </w:p>
    <w:p w14:paraId="401CE0F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图纸的提供和交底</w:t>
      </w:r>
    </w:p>
    <w:p w14:paraId="6ADC9FC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发包人向承包人提供图纸的期限：</w:t>
      </w:r>
      <w:r>
        <w:rPr>
          <w:rFonts w:hint="eastAsia" w:ascii="宋体" w:hAnsi="宋体"/>
          <w:color w:val="auto"/>
          <w:szCs w:val="21"/>
          <w:highlight w:val="none"/>
          <w:u w:val="single"/>
        </w:rPr>
        <w:t>通用合同条款第7.3.2款</w:t>
      </w:r>
      <w:r>
        <w:rPr>
          <w:rFonts w:hint="eastAsia" w:ascii="宋体" w:hAnsi="宋体"/>
          <w:bCs/>
          <w:color w:val="auto"/>
          <w:szCs w:val="21"/>
          <w:highlight w:val="none"/>
          <w:u w:val="single"/>
        </w:rPr>
        <w:t>〔</w:t>
      </w:r>
      <w:r>
        <w:rPr>
          <w:rFonts w:hint="eastAsia" w:ascii="宋体" w:hAnsi="宋体"/>
          <w:color w:val="auto"/>
          <w:szCs w:val="21"/>
          <w:highlight w:val="none"/>
          <w:u w:val="single"/>
        </w:rPr>
        <w:t>开工通知</w:t>
      </w:r>
      <w:r>
        <w:rPr>
          <w:rFonts w:hint="eastAsia" w:ascii="宋体" w:hAnsi="宋体"/>
          <w:bCs/>
          <w:color w:val="auto"/>
          <w:szCs w:val="21"/>
          <w:highlight w:val="none"/>
          <w:u w:val="single"/>
        </w:rPr>
        <w:t>〕</w:t>
      </w:r>
      <w:r>
        <w:rPr>
          <w:rFonts w:hint="eastAsia" w:ascii="宋体" w:hAnsi="宋体"/>
          <w:color w:val="auto"/>
          <w:szCs w:val="21"/>
          <w:highlight w:val="none"/>
          <w:u w:val="single"/>
        </w:rPr>
        <w:t>载明的开工日期前14天</w:t>
      </w:r>
      <w:r>
        <w:rPr>
          <w:rFonts w:hint="eastAsia" w:ascii="宋体" w:hAnsi="宋体"/>
          <w:color w:val="auto"/>
          <w:szCs w:val="21"/>
          <w:highlight w:val="none"/>
        </w:rPr>
        <w:t>；</w:t>
      </w:r>
    </w:p>
    <w:p w14:paraId="2E12466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发包人向承包人提供图纸的数量：</w:t>
      </w:r>
      <w:r>
        <w:rPr>
          <w:rFonts w:hint="eastAsia" w:ascii="宋体" w:hAnsi="宋体"/>
          <w:color w:val="auto"/>
          <w:szCs w:val="21"/>
          <w:highlight w:val="none"/>
          <w:u w:val="single"/>
        </w:rPr>
        <w:t xml:space="preserve">  套</w:t>
      </w:r>
      <w:r>
        <w:rPr>
          <w:rFonts w:hint="eastAsia" w:ascii="宋体" w:hAnsi="宋体"/>
          <w:color w:val="auto"/>
          <w:szCs w:val="21"/>
          <w:highlight w:val="none"/>
        </w:rPr>
        <w:t xml:space="preserve">； </w:t>
      </w:r>
    </w:p>
    <w:p w14:paraId="53B8CB5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发包人向承包人提供图纸的内容：</w:t>
      </w:r>
      <w:r>
        <w:rPr>
          <w:rFonts w:hint="eastAsia" w:ascii="宋体" w:hAnsi="宋体"/>
          <w:color w:val="auto"/>
          <w:szCs w:val="21"/>
          <w:highlight w:val="none"/>
          <w:u w:val="single"/>
        </w:rPr>
        <w:t>工程承包范围内工程的施工图设计文件</w:t>
      </w:r>
      <w:r>
        <w:rPr>
          <w:rFonts w:hint="eastAsia" w:ascii="宋体" w:hAnsi="宋体"/>
          <w:color w:val="auto"/>
          <w:szCs w:val="21"/>
          <w:highlight w:val="none"/>
        </w:rPr>
        <w:t>；</w:t>
      </w:r>
    </w:p>
    <w:p w14:paraId="78480352">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发包人组织承包人、监理人和设计人进行图纸会审和设计交底的时间：</w:t>
      </w:r>
      <w:r>
        <w:rPr>
          <w:rFonts w:hint="eastAsia" w:ascii="宋体" w:hAnsi="宋体"/>
          <w:color w:val="auto"/>
          <w:szCs w:val="21"/>
          <w:highlight w:val="none"/>
          <w:u w:val="single"/>
        </w:rPr>
        <w:t>提供施工图后7天内</w:t>
      </w:r>
      <w:r>
        <w:rPr>
          <w:rFonts w:hint="eastAsia" w:ascii="宋体" w:hAnsi="宋体"/>
          <w:color w:val="auto"/>
          <w:szCs w:val="21"/>
          <w:highlight w:val="none"/>
        </w:rPr>
        <w:t>。</w:t>
      </w:r>
    </w:p>
    <w:p w14:paraId="048CB8AA">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承包人可以书面方式通过监理人向发包人申请进行紧急的设计交底，发包人认为确有必要且条件许可时，应尽快组织实施承包人申请的设计交底。</w:t>
      </w:r>
    </w:p>
    <w:p w14:paraId="0FE524B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图纸的错误</w:t>
      </w:r>
    </w:p>
    <w:p w14:paraId="35F67C3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在收到发包人提供的图纸后，承包人应对收到的图纸进行仔细核查，并在开始施工前，将发现的图纸存在的差错、遗漏或缺陷及时通知监理人。监理人接到该通知后，应附相关意见并立即报送发包人，发包人应在收到监理人报送的通知后作出决定。</w:t>
      </w:r>
    </w:p>
    <w:p w14:paraId="50FEA68C">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承包人不得利用图纸的差错、遗漏或缺陷，从中获得不正当的利益。</w:t>
      </w:r>
    </w:p>
    <w:p w14:paraId="44DBAD8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1.6.4 承包人文件</w:t>
      </w:r>
    </w:p>
    <w:p w14:paraId="69802B5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需要由承包人提供的书面文件，包括：</w:t>
      </w:r>
      <w:r>
        <w:rPr>
          <w:rFonts w:hint="eastAsia" w:ascii="宋体" w:hAnsi="宋体"/>
          <w:color w:val="auto"/>
          <w:szCs w:val="21"/>
          <w:highlight w:val="none"/>
          <w:u w:val="single"/>
        </w:rPr>
        <w:t>施工组织设计、专项施工方案、</w:t>
      </w:r>
      <w:r>
        <w:rPr>
          <w:rFonts w:ascii="宋体" w:hAnsi="宋体"/>
          <w:color w:val="auto"/>
          <w:szCs w:val="21"/>
          <w:highlight w:val="none"/>
          <w:u w:val="single"/>
        </w:rPr>
        <w:t>危险性较大分部分项工程施工方案</w:t>
      </w:r>
      <w:r>
        <w:rPr>
          <w:rFonts w:hint="eastAsia" w:ascii="宋体" w:hAnsi="宋体"/>
          <w:color w:val="auto"/>
          <w:szCs w:val="21"/>
          <w:highlight w:val="none"/>
          <w:u w:val="single"/>
        </w:rPr>
        <w:t>（如有）、安全应急方案、进度计划、报表及计划、竣工资料及施工过程中因工程变更需要报送的施工方案、施工过程中涉及工程价款变更的相关资料、完整的竣工结算资料等</w:t>
      </w:r>
      <w:r>
        <w:rPr>
          <w:rFonts w:hint="eastAsia" w:ascii="宋体" w:hAnsi="宋体"/>
          <w:color w:val="auto"/>
          <w:szCs w:val="21"/>
          <w:highlight w:val="none"/>
        </w:rPr>
        <w:t>。</w:t>
      </w:r>
    </w:p>
    <w:p w14:paraId="3D85050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承包人提供文件的期限、数量：</w:t>
      </w:r>
    </w:p>
    <w:p w14:paraId="24245AD4">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（1）</w:t>
      </w:r>
      <w:r>
        <w:rPr>
          <w:rFonts w:hint="eastAsia" w:ascii="宋体" w:hAnsi="宋体"/>
          <w:color w:val="auto"/>
          <w:szCs w:val="21"/>
          <w:highlight w:val="none"/>
          <w:u w:val="single"/>
        </w:rPr>
        <w:t>图纸会审及设计交底后7天内，向监理人、发包人提交经优化完善的施工组织设计和工程总体进度计划及当年年度施工进度计划。进度计划安排必须符合发包人对本工程总体进度计划的安排。专项施工方案应在专项施工7日前通过审查（含专家论证）。施工组织设计和专项施工方案经监理人审批同意后执行。承包人应接受监理人、发包人对其提交的施工组织设计和专项施工方案中不合理的工期安排及技术措施、方案的修改意见，并修改完善后重新报批，直至获得批准</w:t>
      </w:r>
      <w:r>
        <w:rPr>
          <w:rFonts w:hint="eastAsia" w:ascii="宋体" w:hAnsi="宋体"/>
          <w:color w:val="auto"/>
          <w:szCs w:val="21"/>
          <w:highlight w:val="none"/>
        </w:rPr>
        <w:t>。</w:t>
      </w:r>
    </w:p>
    <w:p w14:paraId="03F8C7F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single"/>
        </w:rPr>
        <w:t>每月  日前报送月工程进度完成报表</w:t>
      </w:r>
      <w:r>
        <w:rPr>
          <w:rFonts w:hint="eastAsia" w:ascii="宋体" w:hAnsi="宋体"/>
          <w:color w:val="auto"/>
          <w:szCs w:val="21"/>
          <w:highlight w:val="none"/>
        </w:rPr>
        <w:t>。</w:t>
      </w:r>
    </w:p>
    <w:p w14:paraId="033AF3CE">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（3）合同另有约定的，按照其约定。</w:t>
      </w:r>
    </w:p>
    <w:p w14:paraId="416E3A08">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承包人提供的文件的形式：□采用电子招标的，</w:t>
      </w:r>
      <w:r>
        <w:rPr>
          <w:rFonts w:hint="eastAsia" w:ascii="宋体" w:hAnsi="宋体"/>
          <w:color w:val="auto"/>
          <w:szCs w:val="21"/>
          <w:highlight w:val="none"/>
          <w:lang w:eastAsia="zh-CN"/>
        </w:rPr>
        <w:t>比选申请文件</w:t>
      </w:r>
      <w:r>
        <w:rPr>
          <w:rFonts w:hint="eastAsia" w:ascii="宋体" w:hAnsi="宋体"/>
          <w:color w:val="auto"/>
          <w:szCs w:val="21"/>
          <w:highlight w:val="none"/>
        </w:rPr>
        <w:t>以电子文档为准，其他文件以书面文件为准；□采用纸质招标的，当书面文件与电子文档不一致的，以书面文件为准。监理人审批承包人文件的期限：</w:t>
      </w:r>
      <w:r>
        <w:rPr>
          <w:rFonts w:hint="eastAsia" w:ascii="宋体" w:hAnsi="宋体"/>
          <w:color w:val="auto"/>
          <w:szCs w:val="21"/>
          <w:highlight w:val="none"/>
          <w:u w:val="single"/>
        </w:rPr>
        <w:t>收到施工组织设计和工程总体进度计划及当年年度施工进度计划后7天内；合同另有约定的，从其约定</w:t>
      </w:r>
      <w:r>
        <w:rPr>
          <w:rFonts w:hint="eastAsia" w:ascii="宋体" w:hAnsi="宋体"/>
          <w:color w:val="auto"/>
          <w:szCs w:val="21"/>
          <w:highlight w:val="none"/>
        </w:rPr>
        <w:t>。</w:t>
      </w:r>
    </w:p>
    <w:p w14:paraId="0376D3D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承包人提供的文件的费用：</w:t>
      </w:r>
      <w:r>
        <w:rPr>
          <w:rFonts w:hint="eastAsia" w:ascii="宋体" w:hAnsi="宋体"/>
          <w:color w:val="auto"/>
          <w:szCs w:val="21"/>
          <w:highlight w:val="none"/>
          <w:u w:val="single"/>
        </w:rPr>
        <w:t>由承包人承担</w:t>
      </w:r>
      <w:r>
        <w:rPr>
          <w:rFonts w:hint="eastAsia" w:ascii="宋体" w:hAnsi="宋体"/>
          <w:color w:val="auto"/>
          <w:szCs w:val="21"/>
          <w:highlight w:val="none"/>
        </w:rPr>
        <w:t>。</w:t>
      </w:r>
    </w:p>
    <w:p w14:paraId="10850764">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发包人审批承包人文件的期限：</w:t>
      </w:r>
      <w:r>
        <w:rPr>
          <w:rFonts w:hint="eastAsia" w:ascii="宋体" w:hAnsi="宋体"/>
          <w:color w:val="auto"/>
          <w:szCs w:val="21"/>
          <w:highlight w:val="none"/>
          <w:u w:val="single"/>
        </w:rPr>
        <w:t>收到后14天内；合同另有约定的，从其约定</w:t>
      </w:r>
      <w:r>
        <w:rPr>
          <w:rFonts w:hint="eastAsia" w:ascii="宋体" w:hAnsi="宋体"/>
          <w:color w:val="auto"/>
          <w:szCs w:val="21"/>
          <w:highlight w:val="none"/>
        </w:rPr>
        <w:t>。</w:t>
      </w:r>
    </w:p>
    <w:p w14:paraId="24D6585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监理人、发包人的修改意见和审批，不免除或减轻承包人对该工作、工程、材料、工程设备等应承担的责任和义务</w:t>
      </w:r>
      <w:r>
        <w:rPr>
          <w:rFonts w:hint="eastAsia" w:ascii="宋体" w:hAnsi="宋体"/>
          <w:color w:val="auto"/>
          <w:szCs w:val="21"/>
          <w:highlight w:val="none"/>
        </w:rPr>
        <w:t>。</w:t>
      </w:r>
    </w:p>
    <w:p w14:paraId="71796665">
      <w:pPr>
        <w:pStyle w:val="7"/>
        <w:spacing w:before="0" w:beforeAutospacing="0" w:after="0" w:afterAutospacing="0" w:line="360" w:lineRule="auto"/>
        <w:ind w:firstLine="422" w:firstLineChars="200"/>
        <w:rPr>
          <w:color w:val="auto"/>
          <w:sz w:val="21"/>
          <w:szCs w:val="21"/>
          <w:highlight w:val="none"/>
        </w:rPr>
      </w:pPr>
      <w:bookmarkStart w:id="1303" w:name="_Toc532377326"/>
      <w:r>
        <w:rPr>
          <w:rFonts w:hint="eastAsia"/>
          <w:color w:val="auto"/>
          <w:sz w:val="21"/>
          <w:szCs w:val="21"/>
          <w:highlight w:val="none"/>
        </w:rPr>
        <w:t>1.7 联络</w:t>
      </w:r>
      <w:bookmarkEnd w:id="1303"/>
    </w:p>
    <w:p w14:paraId="35F9389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1.7.1 发包人和承包人应当在</w:t>
      </w:r>
      <w:r>
        <w:rPr>
          <w:rFonts w:hint="eastAsia" w:ascii="宋体" w:hAnsi="宋体"/>
          <w:color w:val="auto"/>
          <w:szCs w:val="21"/>
          <w:highlight w:val="none"/>
          <w:u w:val="single"/>
        </w:rPr>
        <w:t xml:space="preserve"> 1 </w:t>
      </w:r>
      <w:r>
        <w:rPr>
          <w:rFonts w:hint="eastAsia" w:ascii="宋体" w:hAnsi="宋体"/>
          <w:color w:val="auto"/>
          <w:kern w:val="0"/>
          <w:szCs w:val="21"/>
          <w:highlight w:val="none"/>
        </w:rPr>
        <w:t>天内将与合同有关的通知、批准、证明、证书、指示、指令、要求、请求、同意、意见、确定和决定等书面函件送达对方当事人，并办理书面签收手续。</w:t>
      </w:r>
    </w:p>
    <w:p w14:paraId="67F807AC">
      <w:pPr>
        <w:tabs>
          <w:tab w:val="left" w:pos="7513"/>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1.7.2 发包人接收文件地点：</w:t>
      </w:r>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24B2E0B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发包人指定的接收人：</w:t>
      </w:r>
      <w:bookmarkStart w:id="1304" w:name="_Hlk528493983"/>
      <w:bookmarkEnd w:id="1304"/>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34E81C0E">
      <w:pPr>
        <w:tabs>
          <w:tab w:val="left" w:pos="7513"/>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承包人接收文件地点：</w:t>
      </w:r>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6F6C124C">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承包人指定的接收人：</w:t>
      </w:r>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195CE430">
      <w:pPr>
        <w:tabs>
          <w:tab w:val="left" w:pos="7371"/>
        </w:tabs>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监理人接收文件地点：</w:t>
      </w:r>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75934402">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监理人指定的接收人：</w:t>
      </w:r>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4C8988B5">
      <w:pPr>
        <w:pStyle w:val="7"/>
        <w:spacing w:before="0" w:beforeAutospacing="0" w:after="0" w:afterAutospacing="0" w:line="360" w:lineRule="auto"/>
        <w:ind w:firstLine="422" w:firstLineChars="200"/>
        <w:rPr>
          <w:color w:val="auto"/>
          <w:sz w:val="21"/>
          <w:szCs w:val="21"/>
          <w:highlight w:val="none"/>
        </w:rPr>
      </w:pPr>
      <w:bookmarkStart w:id="1305" w:name="_Toc532377327"/>
      <w:r>
        <w:rPr>
          <w:rFonts w:hint="eastAsia"/>
          <w:color w:val="auto"/>
          <w:sz w:val="21"/>
          <w:szCs w:val="21"/>
          <w:highlight w:val="none"/>
        </w:rPr>
        <w:t>1.8 严禁贿赂</w:t>
      </w:r>
      <w:bookmarkEnd w:id="1305"/>
    </w:p>
    <w:p w14:paraId="332A3573">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本款补充以下内容：</w:t>
      </w:r>
    </w:p>
    <w:p w14:paraId="4476A70F">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rPr>
        <w:t>在合同执行过程中，合同当事人应严格履行附件8《廉洁从业协议》。</w:t>
      </w:r>
    </w:p>
    <w:p w14:paraId="100658BA">
      <w:pPr>
        <w:pStyle w:val="7"/>
        <w:spacing w:before="0" w:beforeAutospacing="0" w:after="0" w:afterAutospacing="0" w:line="360" w:lineRule="auto"/>
        <w:ind w:firstLine="422" w:firstLineChars="200"/>
        <w:rPr>
          <w:color w:val="auto"/>
          <w:sz w:val="21"/>
          <w:szCs w:val="21"/>
          <w:highlight w:val="none"/>
        </w:rPr>
      </w:pPr>
      <w:bookmarkStart w:id="1306" w:name="_Toc532377328"/>
      <w:r>
        <w:rPr>
          <w:rFonts w:hint="eastAsia"/>
          <w:color w:val="auto"/>
          <w:sz w:val="21"/>
          <w:szCs w:val="21"/>
          <w:highlight w:val="none"/>
        </w:rPr>
        <w:t>1.10 交通运输</w:t>
      </w:r>
      <w:bookmarkEnd w:id="1306"/>
    </w:p>
    <w:p w14:paraId="486287C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w:t>
      </w:r>
      <w:bookmarkStart w:id="1307" w:name="_Toc300934943"/>
      <w:bookmarkStart w:id="1308" w:name="_Toc303539100"/>
      <w:bookmarkStart w:id="1309" w:name="_Toc318581155"/>
      <w:bookmarkStart w:id="1310" w:name="_Toc304295521"/>
      <w:bookmarkStart w:id="1311" w:name="_Toc312677986"/>
      <w:r>
        <w:rPr>
          <w:rFonts w:hint="eastAsia" w:ascii="宋体" w:hAnsi="宋体"/>
          <w:color w:val="auto"/>
          <w:szCs w:val="21"/>
          <w:highlight w:val="none"/>
        </w:rPr>
        <w:t>.10.1 出入现场的权利</w:t>
      </w:r>
    </w:p>
    <w:p w14:paraId="45407B13">
      <w:pPr>
        <w:spacing w:line="360" w:lineRule="auto"/>
        <w:ind w:firstLine="420" w:firstLineChars="200"/>
        <w:jc w:val="left"/>
        <w:rPr>
          <w:rFonts w:ascii="宋体" w:hAnsi="宋体"/>
          <w:color w:val="auto"/>
          <w:kern w:val="0"/>
          <w:szCs w:val="21"/>
          <w:highlight w:val="none"/>
        </w:rPr>
      </w:pPr>
      <w:r>
        <w:rPr>
          <w:rFonts w:hint="eastAsia" w:ascii="宋体" w:hAnsi="宋体"/>
          <w:color w:val="auto"/>
          <w:szCs w:val="21"/>
          <w:highlight w:val="none"/>
        </w:rPr>
        <w:t>关于出入现场的权利的约定：</w:t>
      </w:r>
      <w:r>
        <w:rPr>
          <w:rFonts w:hint="eastAsia" w:ascii="宋体" w:hAnsi="宋体"/>
          <w:color w:val="auto"/>
          <w:szCs w:val="21"/>
          <w:highlight w:val="none"/>
          <w:u w:val="single"/>
        </w:rPr>
        <w:t xml:space="preserve">        </w:t>
      </w:r>
      <w:r>
        <w:rPr>
          <w:rFonts w:hint="eastAsia" w:ascii="宋体" w:hAnsi="宋体"/>
          <w:color w:val="auto"/>
          <w:szCs w:val="21"/>
          <w:highlight w:val="none"/>
        </w:rPr>
        <w:t>。</w:t>
      </w:r>
    </w:p>
    <w:bookmarkEnd w:id="1307"/>
    <w:bookmarkEnd w:id="1308"/>
    <w:bookmarkEnd w:id="1309"/>
    <w:bookmarkEnd w:id="1310"/>
    <w:bookmarkEnd w:id="1311"/>
    <w:p w14:paraId="325A706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1.10.2 场外交通</w:t>
      </w:r>
    </w:p>
    <w:p w14:paraId="2C9C81A0">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承包人应遵守有关交通法规，执行有关道路限速、限行、禁止超载的规定，并配合交通管理部门的监督和检查。场外交通以施工场地移交时的现状为准。</w:t>
      </w:r>
    </w:p>
    <w:p w14:paraId="555085B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w:t>
      </w:r>
      <w:bookmarkStart w:id="1312" w:name="_Toc304295522"/>
      <w:bookmarkStart w:id="1313" w:name="_Toc300934944"/>
      <w:bookmarkStart w:id="1314" w:name="_Toc303539101"/>
      <w:bookmarkStart w:id="1315" w:name="_Toc318581156"/>
      <w:bookmarkStart w:id="1316" w:name="_Toc312677987"/>
      <w:r>
        <w:rPr>
          <w:rFonts w:hint="eastAsia" w:ascii="宋体" w:hAnsi="宋体"/>
          <w:color w:val="auto"/>
          <w:szCs w:val="21"/>
          <w:highlight w:val="none"/>
        </w:rPr>
        <w:t>.10.3 场内交通</w:t>
      </w:r>
    </w:p>
    <w:p w14:paraId="3C3160DB">
      <w:pPr>
        <w:spacing w:line="360" w:lineRule="auto"/>
        <w:ind w:firstLine="420" w:firstLineChars="200"/>
        <w:jc w:val="left"/>
        <w:rPr>
          <w:rFonts w:ascii="宋体" w:hAnsi="宋体"/>
          <w:color w:val="auto"/>
          <w:szCs w:val="21"/>
          <w:highlight w:val="none"/>
          <w:u w:val="single"/>
        </w:rPr>
      </w:pPr>
      <w:r>
        <w:rPr>
          <w:rFonts w:hint="eastAsia" w:ascii="宋体" w:hAnsi="宋体"/>
          <w:color w:val="auto"/>
          <w:kern w:val="0"/>
          <w:szCs w:val="21"/>
          <w:highlight w:val="none"/>
        </w:rPr>
        <w:t>关于场外交通和场内交通的边界的约定：</w:t>
      </w:r>
      <w:r>
        <w:rPr>
          <w:rFonts w:hint="eastAsia" w:ascii="宋体" w:hAnsi="宋体"/>
          <w:color w:val="auto"/>
          <w:szCs w:val="21"/>
          <w:highlight w:val="none"/>
          <w:u w:val="single"/>
        </w:rPr>
        <w:t>以合同工程用地红线为界，用地红线外为场外交通，用地红线范围内为场内交通（场外道路穿越场内的除外）</w:t>
      </w:r>
      <w:r>
        <w:rPr>
          <w:rFonts w:hint="eastAsia" w:ascii="宋体" w:hAnsi="宋体"/>
          <w:color w:val="auto"/>
          <w:szCs w:val="21"/>
          <w:highlight w:val="none"/>
        </w:rPr>
        <w:t>。</w:t>
      </w:r>
    </w:p>
    <w:p w14:paraId="4523CB34">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关于发包人向承包人免费提供满足工程施工需要的场内道路和交通设施的约定：</w:t>
      </w:r>
      <w:r>
        <w:rPr>
          <w:rFonts w:hint="eastAsia" w:ascii="宋体" w:hAnsi="宋体"/>
          <w:color w:val="auto"/>
          <w:kern w:val="0"/>
          <w:szCs w:val="21"/>
          <w:highlight w:val="none"/>
          <w:u w:val="single"/>
        </w:rPr>
        <w:t>以施工场地移交时的现状为准</w:t>
      </w:r>
      <w:r>
        <w:rPr>
          <w:rFonts w:hint="eastAsia" w:ascii="宋体" w:hAnsi="宋体"/>
          <w:color w:val="auto"/>
          <w:szCs w:val="21"/>
          <w:highlight w:val="none"/>
        </w:rPr>
        <w:t>。</w:t>
      </w:r>
    </w:p>
    <w:bookmarkEnd w:id="1312"/>
    <w:bookmarkEnd w:id="1313"/>
    <w:bookmarkEnd w:id="1314"/>
    <w:bookmarkEnd w:id="1315"/>
    <w:bookmarkEnd w:id="1316"/>
    <w:p w14:paraId="1B002727">
      <w:pPr>
        <w:spacing w:line="360" w:lineRule="auto"/>
        <w:ind w:firstLine="420" w:firstLineChars="200"/>
        <w:jc w:val="left"/>
        <w:rPr>
          <w:rFonts w:ascii="宋体" w:hAnsi="宋体"/>
          <w:color w:val="auto"/>
          <w:szCs w:val="21"/>
          <w:highlight w:val="none"/>
        </w:rPr>
      </w:pPr>
      <w:bookmarkStart w:id="1317" w:name="_Toc318581157"/>
      <w:r>
        <w:rPr>
          <w:rFonts w:hint="eastAsia" w:ascii="宋体" w:hAnsi="宋体"/>
          <w:color w:val="auto"/>
          <w:szCs w:val="21"/>
          <w:highlight w:val="none"/>
        </w:rPr>
        <w:t>1.10.4 超大件和超重件的运输</w:t>
      </w:r>
    </w:p>
    <w:p w14:paraId="6421967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运输超大件或超重件所需的道路和桥梁临时加固改造费用和其他有关费用由</w:t>
      </w:r>
      <w:r>
        <w:rPr>
          <w:rFonts w:hint="eastAsia" w:ascii="宋体" w:hAnsi="宋体"/>
          <w:color w:val="auto"/>
          <w:szCs w:val="21"/>
          <w:highlight w:val="none"/>
          <w:u w:val="single"/>
        </w:rPr>
        <w:t>发包人</w:t>
      </w:r>
      <w:r>
        <w:rPr>
          <w:rFonts w:hint="eastAsia" w:ascii="宋体" w:hAnsi="宋体"/>
          <w:color w:val="auto"/>
          <w:szCs w:val="21"/>
          <w:highlight w:val="none"/>
        </w:rPr>
        <w:t>承担。</w:t>
      </w:r>
    </w:p>
    <w:bookmarkEnd w:id="1317"/>
    <w:p w14:paraId="0FDDC683">
      <w:pPr>
        <w:pStyle w:val="7"/>
        <w:spacing w:before="0" w:beforeAutospacing="0" w:after="0" w:afterAutospacing="0" w:line="360" w:lineRule="auto"/>
        <w:ind w:firstLine="422" w:firstLineChars="200"/>
        <w:rPr>
          <w:color w:val="auto"/>
          <w:sz w:val="21"/>
          <w:szCs w:val="21"/>
          <w:highlight w:val="none"/>
        </w:rPr>
      </w:pPr>
      <w:bookmarkStart w:id="1318" w:name="_Toc532377329"/>
      <w:r>
        <w:rPr>
          <w:rFonts w:hint="eastAsia"/>
          <w:color w:val="auto"/>
          <w:sz w:val="21"/>
          <w:szCs w:val="21"/>
          <w:highlight w:val="none"/>
        </w:rPr>
        <w:t>1.11 知识产权</w:t>
      </w:r>
      <w:bookmarkEnd w:id="1318"/>
    </w:p>
    <w:p w14:paraId="5F9EE75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color w:val="auto"/>
          <w:szCs w:val="21"/>
          <w:highlight w:val="none"/>
          <w:u w:val="single"/>
        </w:rPr>
        <w:t>属于发包人</w:t>
      </w:r>
      <w:r>
        <w:rPr>
          <w:rFonts w:hint="eastAsia" w:ascii="宋体" w:hAnsi="宋体"/>
          <w:color w:val="auto"/>
          <w:szCs w:val="21"/>
          <w:highlight w:val="none"/>
        </w:rPr>
        <w:t>。</w:t>
      </w:r>
    </w:p>
    <w:p w14:paraId="42D543F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关于发包人提供的上述文件的使用限制的要求：</w:t>
      </w:r>
      <w:r>
        <w:rPr>
          <w:rFonts w:hint="eastAsia" w:ascii="宋体" w:hAnsi="宋体"/>
          <w:color w:val="auto"/>
          <w:szCs w:val="21"/>
          <w:highlight w:val="none"/>
          <w:u w:val="single"/>
        </w:rPr>
        <w:t>按通用合同条款执行</w:t>
      </w:r>
      <w:r>
        <w:rPr>
          <w:rFonts w:hint="eastAsia" w:ascii="宋体" w:hAnsi="宋体"/>
          <w:color w:val="auto"/>
          <w:szCs w:val="21"/>
          <w:highlight w:val="none"/>
        </w:rPr>
        <w:t>。</w:t>
      </w:r>
    </w:p>
    <w:p w14:paraId="2FE52DA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1.11.4 承包人在施工过程中所采用的专利、专有技术、技术秘密的使用费的承担方式：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E94A14D">
      <w:pPr>
        <w:pStyle w:val="7"/>
        <w:spacing w:before="0" w:beforeAutospacing="0" w:after="0" w:afterAutospacing="0" w:line="360" w:lineRule="auto"/>
        <w:ind w:firstLine="422" w:firstLineChars="200"/>
        <w:rPr>
          <w:color w:val="auto"/>
          <w:sz w:val="21"/>
          <w:szCs w:val="21"/>
          <w:highlight w:val="none"/>
        </w:rPr>
      </w:pPr>
      <w:bookmarkStart w:id="1319" w:name="_Toc532377330"/>
      <w:r>
        <w:rPr>
          <w:rFonts w:hint="eastAsia"/>
          <w:color w:val="auto"/>
          <w:sz w:val="21"/>
          <w:szCs w:val="21"/>
          <w:highlight w:val="none"/>
        </w:rPr>
        <w:t>1.13工程量清单错误的修正</w:t>
      </w:r>
      <w:bookmarkEnd w:id="1319"/>
    </w:p>
    <w:p w14:paraId="1CEACBE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出现工程量清单错误时，责任和权利划分：</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C62184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出现工程量清单错误时，是否调整合同价格：</w:t>
      </w:r>
      <w:r>
        <w:rPr>
          <w:rFonts w:hint="eastAsia" w:ascii="宋体" w:hAnsi="宋体"/>
          <w:color w:val="auto"/>
          <w:szCs w:val="21"/>
          <w:highlight w:val="none"/>
          <w:u w:val="single"/>
        </w:rPr>
        <w:t xml:space="preserve">        </w:t>
      </w:r>
      <w:r>
        <w:rPr>
          <w:rFonts w:hint="eastAsia" w:ascii="宋体" w:hAnsi="宋体"/>
          <w:color w:val="auto"/>
          <w:kern w:val="0"/>
          <w:szCs w:val="21"/>
          <w:highlight w:val="none"/>
        </w:rPr>
        <w:t>。</w:t>
      </w:r>
    </w:p>
    <w:p w14:paraId="3BB9EBD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允许调整合同价格的工程量偏差范围：</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4BAB153">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320" w:name="_Toc532375609"/>
      <w:bookmarkStart w:id="1321" w:name="_Toc351203634"/>
      <w:bookmarkStart w:id="1322" w:name="_Toc532377331"/>
      <w:r>
        <w:rPr>
          <w:rFonts w:hint="eastAsia"/>
          <w:color w:val="auto"/>
          <w:kern w:val="2"/>
          <w:sz w:val="21"/>
          <w:szCs w:val="21"/>
          <w:highlight w:val="none"/>
        </w:rPr>
        <w:t>2</w:t>
      </w:r>
      <w:bookmarkStart w:id="1323" w:name="_Toc296503157"/>
      <w:bookmarkStart w:id="1324" w:name="_Toc297120457"/>
      <w:bookmarkStart w:id="1325" w:name="_Toc296346658"/>
      <w:bookmarkStart w:id="1326" w:name="_Toc292559867"/>
      <w:bookmarkStart w:id="1327" w:name="_Toc296347156"/>
      <w:bookmarkStart w:id="1328" w:name="_Toc296890985"/>
      <w:bookmarkStart w:id="1329" w:name="_Toc296944496"/>
      <w:bookmarkStart w:id="1330" w:name="_Toc292559362"/>
      <w:bookmarkStart w:id="1331" w:name="_Toc297048343"/>
      <w:bookmarkStart w:id="1332" w:name="_Toc296891197"/>
      <w:r>
        <w:rPr>
          <w:rFonts w:hint="eastAsia"/>
          <w:color w:val="auto"/>
          <w:kern w:val="2"/>
          <w:sz w:val="21"/>
          <w:szCs w:val="21"/>
          <w:highlight w:val="none"/>
        </w:rPr>
        <w:t>. 发包人</w:t>
      </w:r>
      <w:bookmarkEnd w:id="1320"/>
      <w:bookmarkEnd w:id="1321"/>
      <w:bookmarkEnd w:id="1322"/>
    </w:p>
    <w:bookmarkEnd w:id="1323"/>
    <w:bookmarkEnd w:id="1324"/>
    <w:bookmarkEnd w:id="1325"/>
    <w:bookmarkEnd w:id="1326"/>
    <w:bookmarkEnd w:id="1327"/>
    <w:bookmarkEnd w:id="1328"/>
    <w:bookmarkEnd w:id="1329"/>
    <w:bookmarkEnd w:id="1330"/>
    <w:bookmarkEnd w:id="1331"/>
    <w:bookmarkEnd w:id="1332"/>
    <w:p w14:paraId="374A5B0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 发包人代表</w:t>
      </w:r>
    </w:p>
    <w:p w14:paraId="496C38E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发包人代表：</w:t>
      </w:r>
    </w:p>
    <w:p w14:paraId="3C3D691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姓    名：</w:t>
      </w:r>
      <w:r>
        <w:rPr>
          <w:rFonts w:ascii="宋体" w:hAnsi="宋体"/>
          <w:color w:val="auto"/>
          <w:szCs w:val="21"/>
          <w:highlight w:val="none"/>
          <w:u w:val="single"/>
        </w:rPr>
        <w:t xml:space="preserve">              </w:t>
      </w:r>
      <w:r>
        <w:rPr>
          <w:rFonts w:hint="eastAsia" w:ascii="宋体" w:hAnsi="宋体"/>
          <w:color w:val="auto"/>
          <w:szCs w:val="21"/>
          <w:highlight w:val="none"/>
        </w:rPr>
        <w:t>；</w:t>
      </w:r>
    </w:p>
    <w:p w14:paraId="44B482C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身份证号：</w:t>
      </w:r>
      <w:r>
        <w:rPr>
          <w:rFonts w:ascii="宋体" w:hAnsi="宋体"/>
          <w:color w:val="auto"/>
          <w:szCs w:val="21"/>
          <w:highlight w:val="none"/>
          <w:u w:val="single"/>
        </w:rPr>
        <w:t xml:space="preserve">              </w:t>
      </w:r>
      <w:r>
        <w:rPr>
          <w:rFonts w:hint="eastAsia" w:ascii="宋体" w:hAnsi="宋体"/>
          <w:color w:val="auto"/>
          <w:szCs w:val="21"/>
          <w:highlight w:val="none"/>
        </w:rPr>
        <w:t>；</w:t>
      </w:r>
    </w:p>
    <w:p w14:paraId="5113A2D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职    务：</w:t>
      </w:r>
      <w:r>
        <w:rPr>
          <w:rFonts w:ascii="宋体" w:hAnsi="宋体"/>
          <w:color w:val="auto"/>
          <w:szCs w:val="21"/>
          <w:highlight w:val="none"/>
          <w:u w:val="single"/>
        </w:rPr>
        <w:t xml:space="preserve">              </w:t>
      </w:r>
      <w:r>
        <w:rPr>
          <w:rFonts w:hint="eastAsia" w:ascii="宋体" w:hAnsi="宋体"/>
          <w:color w:val="auto"/>
          <w:szCs w:val="21"/>
          <w:highlight w:val="none"/>
        </w:rPr>
        <w:t>；</w:t>
      </w:r>
    </w:p>
    <w:p w14:paraId="1857A79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联系方式：</w:t>
      </w:r>
      <w:r>
        <w:rPr>
          <w:rFonts w:ascii="宋体" w:hAnsi="宋体"/>
          <w:color w:val="auto"/>
          <w:szCs w:val="21"/>
          <w:highlight w:val="none"/>
          <w:u w:val="single"/>
        </w:rPr>
        <w:t xml:space="preserve">              </w:t>
      </w:r>
      <w:r>
        <w:rPr>
          <w:rFonts w:hint="eastAsia" w:ascii="宋体" w:hAnsi="宋体"/>
          <w:color w:val="auto"/>
          <w:szCs w:val="21"/>
          <w:highlight w:val="none"/>
        </w:rPr>
        <w:t>；</w:t>
      </w:r>
    </w:p>
    <w:p w14:paraId="4BD0814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邮    编：</w:t>
      </w:r>
      <w:r>
        <w:rPr>
          <w:rFonts w:ascii="宋体" w:hAnsi="宋体"/>
          <w:color w:val="auto"/>
          <w:szCs w:val="21"/>
          <w:highlight w:val="none"/>
          <w:u w:val="single"/>
        </w:rPr>
        <w:t xml:space="preserve">              </w:t>
      </w:r>
      <w:r>
        <w:rPr>
          <w:rFonts w:hint="eastAsia" w:ascii="宋体" w:hAnsi="宋体"/>
          <w:color w:val="auto"/>
          <w:szCs w:val="21"/>
          <w:highlight w:val="none"/>
        </w:rPr>
        <w:t>；</w:t>
      </w:r>
    </w:p>
    <w:p w14:paraId="444943F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发包人对发包人代表的授权范围如下：</w:t>
      </w:r>
      <w:r>
        <w:rPr>
          <w:rFonts w:hint="eastAsia" w:ascii="宋体" w:hAnsi="宋体"/>
          <w:color w:val="auto"/>
          <w:szCs w:val="21"/>
          <w:highlight w:val="none"/>
          <w:u w:val="single"/>
        </w:rPr>
        <w:t>代表发包人对项目建设进行协调、管控、审查，确保安全、质量、环保、进度、成本可控，及时处理项目相关问题，向承包人、监理人等下达各类指令。由发包人授权的，以授权书载明的授权范围为准</w:t>
      </w:r>
      <w:r>
        <w:rPr>
          <w:rFonts w:hint="eastAsia" w:ascii="宋体" w:hAnsi="宋体"/>
          <w:color w:val="auto"/>
          <w:szCs w:val="21"/>
          <w:highlight w:val="none"/>
        </w:rPr>
        <w:t>。</w:t>
      </w:r>
    </w:p>
    <w:p w14:paraId="5C26CF39">
      <w:pPr>
        <w:pStyle w:val="7"/>
        <w:spacing w:before="0" w:beforeAutospacing="0" w:after="0" w:afterAutospacing="0" w:line="360" w:lineRule="auto"/>
        <w:ind w:firstLine="422" w:firstLineChars="200"/>
        <w:rPr>
          <w:color w:val="auto"/>
          <w:sz w:val="21"/>
          <w:szCs w:val="21"/>
          <w:highlight w:val="none"/>
        </w:rPr>
      </w:pPr>
      <w:bookmarkStart w:id="1333" w:name="_Toc532377332"/>
      <w:r>
        <w:rPr>
          <w:rFonts w:hint="eastAsia"/>
          <w:color w:val="auto"/>
          <w:sz w:val="21"/>
          <w:szCs w:val="21"/>
          <w:highlight w:val="none"/>
        </w:rPr>
        <w:t>2.4 施工现场、施工条件和基础资料的提供</w:t>
      </w:r>
      <w:bookmarkEnd w:id="1333"/>
    </w:p>
    <w:p w14:paraId="138FC18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2.4.1 提供施工现场</w:t>
      </w:r>
    </w:p>
    <w:p w14:paraId="4E2CD9A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2.4.1.1 提供场地：</w:t>
      </w:r>
    </w:p>
    <w:p w14:paraId="1E43BBF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施工场地的提供采用以下第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w:t>
      </w:r>
    </w:p>
    <w:p w14:paraId="52C64EC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（1）一次提供全部施工场地：发包人于</w:t>
      </w:r>
      <w:r>
        <w:rPr>
          <w:rFonts w:hint="eastAsia" w:ascii="宋体" w:hAnsi="宋体"/>
          <w:color w:val="auto"/>
          <w:szCs w:val="21"/>
          <w:highlight w:val="none"/>
          <w:u w:val="single"/>
        </w:rPr>
        <w:t>开工</w:t>
      </w:r>
      <w:r>
        <w:rPr>
          <w:rFonts w:hint="eastAsia" w:ascii="宋体" w:hAnsi="宋体"/>
          <w:color w:val="auto"/>
          <w:szCs w:val="21"/>
          <w:highlight w:val="none"/>
        </w:rPr>
        <w:t>前向承包人提供合同工程用地红线范围内的施工场地。</w:t>
      </w:r>
    </w:p>
    <w:p w14:paraId="48CC66A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（2）分次提供全部施工场地：</w:t>
      </w:r>
      <w:r>
        <w:rPr>
          <w:rFonts w:hint="eastAsia" w:ascii="宋体" w:hAnsi="宋体"/>
          <w:color w:val="auto"/>
          <w:szCs w:val="21"/>
          <w:highlight w:val="none"/>
          <w:u w:val="single"/>
        </w:rPr>
        <w:t>发包人按约定的时间分次向承包人提供合同工程用地红线范围内的施工场地</w:t>
      </w:r>
      <w:r>
        <w:rPr>
          <w:rFonts w:hint="eastAsia" w:ascii="宋体" w:hAnsi="宋体"/>
          <w:color w:val="auto"/>
          <w:szCs w:val="21"/>
          <w:highlight w:val="none"/>
        </w:rPr>
        <w:t>。</w:t>
      </w:r>
    </w:p>
    <w:p w14:paraId="7FCB7AE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承包人编制的施工组织计划已充分考虑了施工场地提供的因素</w:t>
      </w:r>
      <w:r>
        <w:rPr>
          <w:rFonts w:hint="eastAsia" w:ascii="宋体" w:hAnsi="宋体"/>
          <w:color w:val="auto"/>
          <w:szCs w:val="21"/>
          <w:highlight w:val="none"/>
        </w:rPr>
        <w:t>。</w:t>
      </w:r>
    </w:p>
    <w:p w14:paraId="7132275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施工场地未能按约定提供的，承包人应结合施工场地实际交地情况，优化施工组织计划。施工场地未能按约定提供，影响项目关键线路的，承包人可提交索赔申请，并经监理人、发包人审批后可按约定顺延项目工期，否则工期不予顺延</w:t>
      </w:r>
      <w:r>
        <w:rPr>
          <w:rFonts w:hint="eastAsia" w:ascii="宋体" w:hAnsi="宋体"/>
          <w:color w:val="auto"/>
          <w:szCs w:val="21"/>
          <w:highlight w:val="none"/>
        </w:rPr>
        <w:t>。</w:t>
      </w:r>
    </w:p>
    <w:p w14:paraId="4776D0F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2.4.2 提供施工条件</w:t>
      </w:r>
    </w:p>
    <w:p w14:paraId="31D3FDC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关于发包人应负责提供施工所需要的条件：</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E5A5AF5">
      <w:pPr>
        <w:pStyle w:val="7"/>
        <w:spacing w:before="0" w:beforeAutospacing="0" w:after="0" w:afterAutospacing="0" w:line="360" w:lineRule="auto"/>
        <w:ind w:firstLine="422" w:firstLineChars="200"/>
        <w:rPr>
          <w:color w:val="auto"/>
          <w:sz w:val="21"/>
          <w:szCs w:val="21"/>
          <w:highlight w:val="none"/>
        </w:rPr>
      </w:pPr>
      <w:bookmarkStart w:id="1334" w:name="_Toc532377333"/>
      <w:r>
        <w:rPr>
          <w:rFonts w:hint="eastAsia"/>
          <w:color w:val="auto"/>
          <w:sz w:val="21"/>
          <w:szCs w:val="21"/>
          <w:highlight w:val="none"/>
        </w:rPr>
        <w:t>2.5 资金来源证明及支付担保</w:t>
      </w:r>
      <w:bookmarkEnd w:id="1334"/>
    </w:p>
    <w:p w14:paraId="4BB0D2F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发包人提供资金来源证明的期限要求：</w:t>
      </w:r>
      <w:r>
        <w:rPr>
          <w:rFonts w:hint="eastAsia" w:ascii="宋体" w:hAnsi="宋体"/>
          <w:color w:val="auto"/>
          <w:szCs w:val="21"/>
          <w:highlight w:val="none"/>
          <w:u w:val="single"/>
        </w:rPr>
        <w:t>不采用</w:t>
      </w:r>
      <w:r>
        <w:rPr>
          <w:rFonts w:hint="eastAsia" w:ascii="宋体" w:hAnsi="宋体"/>
          <w:color w:val="auto"/>
          <w:szCs w:val="21"/>
          <w:highlight w:val="none"/>
        </w:rPr>
        <w:t>。</w:t>
      </w:r>
    </w:p>
    <w:p w14:paraId="00F02BE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发包人是否提供支付担保：</w:t>
      </w:r>
      <w:r>
        <w:rPr>
          <w:rFonts w:hint="eastAsia" w:ascii="宋体" w:hAnsi="宋体"/>
          <w:color w:val="auto"/>
          <w:szCs w:val="21"/>
          <w:highlight w:val="none"/>
          <w:u w:val="single"/>
        </w:rPr>
        <w:t>提供</w:t>
      </w:r>
      <w:r>
        <w:rPr>
          <w:rFonts w:hint="eastAsia" w:ascii="宋体" w:hAnsi="宋体"/>
          <w:color w:val="auto"/>
          <w:szCs w:val="21"/>
          <w:highlight w:val="none"/>
        </w:rPr>
        <w:t>。</w:t>
      </w:r>
    </w:p>
    <w:p w14:paraId="3233901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支付担保的形式：</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45051B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支付担保的金额：</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EE8532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支付担保的时间：</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DA77FF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支付担保的期限：</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613F9D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支付担保的退还时间：</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CFFB320">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335" w:name="_Toc532375610"/>
      <w:bookmarkStart w:id="1336" w:name="_Toc532377334"/>
      <w:bookmarkStart w:id="1337" w:name="_Toc351203635"/>
      <w:r>
        <w:rPr>
          <w:rFonts w:hint="eastAsia"/>
          <w:color w:val="auto"/>
          <w:kern w:val="2"/>
          <w:sz w:val="21"/>
          <w:szCs w:val="21"/>
          <w:highlight w:val="none"/>
        </w:rPr>
        <w:t>3</w:t>
      </w:r>
      <w:bookmarkStart w:id="1338" w:name="_Toc296503158"/>
      <w:bookmarkStart w:id="1339" w:name="_Toc297048344"/>
      <w:bookmarkStart w:id="1340" w:name="_Toc296346659"/>
      <w:bookmarkStart w:id="1341" w:name="_Toc297120458"/>
      <w:bookmarkStart w:id="1342" w:name="_Toc296347157"/>
      <w:bookmarkStart w:id="1343" w:name="_Toc292559868"/>
      <w:bookmarkStart w:id="1344" w:name="_Toc296891198"/>
      <w:bookmarkStart w:id="1345" w:name="_Toc296890986"/>
      <w:bookmarkStart w:id="1346" w:name="_Toc292559363"/>
      <w:bookmarkStart w:id="1347" w:name="_Toc296944497"/>
      <w:r>
        <w:rPr>
          <w:rFonts w:hint="eastAsia"/>
          <w:color w:val="auto"/>
          <w:kern w:val="2"/>
          <w:sz w:val="21"/>
          <w:szCs w:val="21"/>
          <w:highlight w:val="none"/>
        </w:rPr>
        <w:t>. 承包人</w:t>
      </w:r>
      <w:bookmarkEnd w:id="1335"/>
      <w:bookmarkEnd w:id="1336"/>
      <w:bookmarkEnd w:id="1337"/>
    </w:p>
    <w:bookmarkEnd w:id="1338"/>
    <w:bookmarkEnd w:id="1339"/>
    <w:bookmarkEnd w:id="1340"/>
    <w:bookmarkEnd w:id="1341"/>
    <w:bookmarkEnd w:id="1342"/>
    <w:bookmarkEnd w:id="1343"/>
    <w:bookmarkEnd w:id="1344"/>
    <w:bookmarkEnd w:id="1345"/>
    <w:bookmarkEnd w:id="1346"/>
    <w:bookmarkEnd w:id="1347"/>
    <w:p w14:paraId="5CEA45AE">
      <w:pPr>
        <w:pStyle w:val="7"/>
        <w:spacing w:before="0" w:beforeAutospacing="0" w:after="0" w:afterAutospacing="0" w:line="360" w:lineRule="auto"/>
        <w:ind w:firstLine="422" w:firstLineChars="200"/>
        <w:rPr>
          <w:color w:val="auto"/>
          <w:sz w:val="21"/>
          <w:szCs w:val="21"/>
          <w:highlight w:val="none"/>
        </w:rPr>
      </w:pPr>
      <w:bookmarkStart w:id="1348" w:name="_Toc532377335"/>
      <w:r>
        <w:rPr>
          <w:rFonts w:hint="eastAsia"/>
          <w:color w:val="auto"/>
          <w:sz w:val="21"/>
          <w:szCs w:val="21"/>
          <w:highlight w:val="none"/>
        </w:rPr>
        <w:t>3.1 承包人的一般义务</w:t>
      </w:r>
      <w:bookmarkEnd w:id="1348"/>
    </w:p>
    <w:p w14:paraId="6306164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本款细化为3.1.1～3.1.10项：</w:t>
      </w:r>
    </w:p>
    <w:p w14:paraId="528FA40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3.1.1办理法律规定和合同约定应由承包人办理的许可和批准，并将办理结果书面报送发包人留存；协助发包人办理施工所需的工程质量监督、安全监督、施工许可证等相关证件及手续。</w:t>
      </w:r>
    </w:p>
    <w:p w14:paraId="31FF538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3.1.2按法律规定和合同约定完成工程，包括满足合同所必需的或合同隐含的以及由承包人义务而产生的任何工程，还应包括合同根据相关法律法规、技术规范等对工程的稳定性、完整性或安全、可靠、有效运行所必需的所有工程，并在保修期内承担保修义务。</w:t>
      </w:r>
    </w:p>
    <w:p w14:paraId="0E9EDBA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3.1.3按法律规定和合同约定采取施工安全和环境保护措施，办理工伤保险，确保工程及人员、材料、设备和设施的安全。施工期间，承包人应避免因施工危及红线范围外的邻近道路、建筑安全；应注意做好对周边建（构）筑物、绿化、设施设备的保护，做好围挡、监测以及安全防护，采取有效的防尘及降低噪声的措施，减小施工噪音及污水等对周边环境的影响包括对居民生活、工作、生产和经营等的影响；对不实施拆迁的建、构筑物应采取保护措施，并保证既有道路的正常通行。</w:t>
      </w:r>
    </w:p>
    <w:p w14:paraId="3904708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3.1.4按合同约定的工作内容和施工进度要求，编制施工组织设计和施工措施计划，并对所有施工作业和施工方法的完备性和安全可靠性负责。施工组织设计中的措施保障水平应满足工程按合同进度实施的需要，且不得低于投标时施工组织设计的措施保障水平。</w:t>
      </w:r>
    </w:p>
    <w:p w14:paraId="1654339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304B2A8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3.1.6按照第6.3款〔环境保护〕约定负责施工场地及其周边环境与生态的保护工作。</w:t>
      </w:r>
    </w:p>
    <w:p w14:paraId="50AB137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3.1.7按照第6.1款〔安全文明施工〕约定采取施工安全措施，确保工程及其人员、材料、设备和设施的安全，防止因工程施工造成的人身伤害和财产损失。</w:t>
      </w:r>
    </w:p>
    <w:p w14:paraId="1270B908">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3.1.8将发包人按合同约定支付的各项价款专用于合同工程，且应及时支付其雇用人员工资，并及时向分包人支付合同价款。</w:t>
      </w:r>
    </w:p>
    <w:p w14:paraId="6CFEB017">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3.1.9承包人提交的竣工资料的内容：</w:t>
      </w:r>
      <w:r>
        <w:rPr>
          <w:rFonts w:hint="eastAsia" w:ascii="宋体" w:hAnsi="宋体"/>
          <w:color w:val="auto"/>
          <w:szCs w:val="21"/>
          <w:highlight w:val="none"/>
          <w:u w:val="single"/>
        </w:rPr>
        <w:t>工程施工技术资料、工程质量保证资料、工程检验评定资料、竣工图及其他应交资料，应符合《建设工程文件归档整理规范》（GB/T50328-2014）和重庆市有关文件规定</w:t>
      </w:r>
      <w:r>
        <w:rPr>
          <w:rFonts w:hint="eastAsia" w:ascii="宋体" w:hAnsi="宋体"/>
          <w:color w:val="auto"/>
          <w:szCs w:val="21"/>
          <w:highlight w:val="none"/>
        </w:rPr>
        <w:t>。</w:t>
      </w:r>
    </w:p>
    <w:p w14:paraId="44F121E3">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承包人需要提交的竣工资料套数：完整竣工资料一式</w:t>
      </w:r>
      <w:r>
        <w:rPr>
          <w:rFonts w:hint="eastAsia" w:ascii="宋体" w:hAnsi="宋体"/>
          <w:color w:val="auto"/>
          <w:szCs w:val="21"/>
          <w:highlight w:val="none"/>
          <w:u w:val="single"/>
        </w:rPr>
        <w:t xml:space="preserve">    </w:t>
      </w:r>
      <w:r>
        <w:rPr>
          <w:rFonts w:hint="eastAsia" w:ascii="宋体" w:hAnsi="宋体"/>
          <w:color w:val="auto"/>
          <w:szCs w:val="21"/>
          <w:highlight w:val="none"/>
        </w:rPr>
        <w:t>套（含电子文档）。</w:t>
      </w:r>
    </w:p>
    <w:p w14:paraId="6668C09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承包人提交的竣工资料的费用承担：</w:t>
      </w:r>
      <w:r>
        <w:rPr>
          <w:rFonts w:hint="eastAsia" w:ascii="宋体" w:hAnsi="宋体"/>
          <w:color w:val="auto"/>
          <w:szCs w:val="21"/>
          <w:highlight w:val="none"/>
          <w:u w:val="single"/>
        </w:rPr>
        <w:t>由承包人承担</w:t>
      </w:r>
      <w:r>
        <w:rPr>
          <w:rFonts w:hint="eastAsia" w:ascii="宋体" w:hAnsi="宋体"/>
          <w:color w:val="auto"/>
          <w:szCs w:val="21"/>
          <w:highlight w:val="none"/>
        </w:rPr>
        <w:t>。</w:t>
      </w:r>
    </w:p>
    <w:p w14:paraId="143C333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承包人提交的竣工资料移交时间：</w:t>
      </w:r>
      <w:r>
        <w:rPr>
          <w:rFonts w:hint="eastAsia" w:ascii="宋体" w:hAnsi="宋体"/>
          <w:color w:val="auto"/>
          <w:szCs w:val="21"/>
          <w:highlight w:val="none"/>
          <w:u w:val="single"/>
        </w:rPr>
        <w:t>工程竣工验收合格后  个月内移交给发包人</w:t>
      </w:r>
      <w:r>
        <w:rPr>
          <w:rFonts w:hint="eastAsia" w:ascii="宋体" w:hAnsi="宋体"/>
          <w:color w:val="auto"/>
          <w:szCs w:val="21"/>
          <w:highlight w:val="none"/>
        </w:rPr>
        <w:t>。</w:t>
      </w:r>
    </w:p>
    <w:p w14:paraId="5F36DA2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承包人提交的竣工资料形式要求：</w:t>
      </w:r>
      <w:r>
        <w:rPr>
          <w:rFonts w:hint="eastAsia" w:ascii="宋体" w:hAnsi="宋体"/>
          <w:color w:val="auto"/>
          <w:szCs w:val="21"/>
          <w:highlight w:val="none"/>
          <w:u w:val="single"/>
        </w:rPr>
        <w:t>完整的书面文件及电子文档</w:t>
      </w:r>
      <w:r>
        <w:rPr>
          <w:rFonts w:hint="eastAsia" w:ascii="宋体" w:hAnsi="宋体"/>
          <w:color w:val="auto"/>
          <w:szCs w:val="21"/>
          <w:highlight w:val="none"/>
        </w:rPr>
        <w:t>。</w:t>
      </w:r>
    </w:p>
    <w:p w14:paraId="68EA476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3.1.10承包人应履行的其他义务：</w:t>
      </w:r>
    </w:p>
    <w:p w14:paraId="1EB90FC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3.1.10.1在开始施工之前，承包人应核查、复测本工程的各种基准标志。承包人应及时将上述基准标志中存在的错误、不完整或其他缺陷通知发包人，以便发包人核实后重新确认。</w:t>
      </w:r>
    </w:p>
    <w:p w14:paraId="349259A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3.1.10.2承包人应负责合同工程范围内测量控制网的测量设定和管理工作，为控制施工造成测量控制网误差累加，每月承包人复测一次测量控制网，并将修正数据及时通知发包人。经监理人批准，其他相关承包人可免费使用施工控制网。</w:t>
      </w:r>
    </w:p>
    <w:p w14:paraId="13794B6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3.1.10.3承包人应在开始施工之前对本工程进行排查，补充完善遗漏的危大工程重点部位及环节。危大工程施工前，承包人应对危大工程编制专项施工方案，对于超过一定规模的危大工程，承包人还应组织召开专家论证会对专项施工方案进行论证，通过后方可实施。</w:t>
      </w:r>
    </w:p>
    <w:p w14:paraId="6672F34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3.1.10.4承包人应服从发包人要求的管理模式、工作方式和工作要求，同时接受监理人、跟审单位的管理和全程监督，配合项目结、决算的办理。</w:t>
      </w:r>
    </w:p>
    <w:p w14:paraId="28D3711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3.1.10.5</w:t>
      </w:r>
      <w:r>
        <w:rPr>
          <w:rFonts w:hint="eastAsia" w:ascii="宋体" w:hAnsi="宋体"/>
          <w:color w:val="auto"/>
          <w:szCs w:val="21"/>
          <w:highlight w:val="none"/>
          <w:u w:val="single"/>
        </w:rPr>
        <w:t>承包人应为本工程开立专用账户，接受发包人的监管</w:t>
      </w:r>
      <w:r>
        <w:rPr>
          <w:rFonts w:hint="eastAsia" w:ascii="宋体" w:hAnsi="宋体"/>
          <w:color w:val="auto"/>
          <w:szCs w:val="21"/>
          <w:highlight w:val="none"/>
        </w:rPr>
        <w:t>。</w:t>
      </w:r>
    </w:p>
    <w:p w14:paraId="5BF8DC0F">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3.1.10.6</w:t>
      </w:r>
      <w:r>
        <w:rPr>
          <w:rFonts w:hint="eastAsia" w:ascii="宋体" w:hAnsi="宋体"/>
          <w:color w:val="auto"/>
          <w:szCs w:val="21"/>
          <w:highlight w:val="none"/>
          <w:u w:val="single"/>
        </w:rPr>
        <w:t xml:space="preserve">        。</w:t>
      </w:r>
    </w:p>
    <w:p w14:paraId="6CBE3228">
      <w:pPr>
        <w:pStyle w:val="7"/>
        <w:spacing w:before="0" w:beforeAutospacing="0" w:after="0" w:afterAutospacing="0" w:line="360" w:lineRule="auto"/>
        <w:ind w:firstLine="422" w:firstLineChars="200"/>
        <w:rPr>
          <w:color w:val="auto"/>
          <w:sz w:val="21"/>
          <w:szCs w:val="21"/>
          <w:highlight w:val="none"/>
        </w:rPr>
      </w:pPr>
      <w:bookmarkStart w:id="1349" w:name="_Toc532377336"/>
      <w:r>
        <w:rPr>
          <w:rFonts w:hint="eastAsia"/>
          <w:color w:val="auto"/>
          <w:sz w:val="21"/>
          <w:szCs w:val="21"/>
          <w:highlight w:val="none"/>
        </w:rPr>
        <w:t>3.2 项目经理</w:t>
      </w:r>
      <w:bookmarkEnd w:id="1349"/>
    </w:p>
    <w:p w14:paraId="3365C1E2">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 xml:space="preserve">3.2.1 </w:t>
      </w:r>
      <w:r>
        <w:rPr>
          <w:rFonts w:hint="eastAsia" w:ascii="宋体" w:hAnsi="宋体"/>
          <w:color w:val="auto"/>
          <w:szCs w:val="21"/>
          <w:highlight w:val="none"/>
        </w:rPr>
        <w:t>项目经理：</w:t>
      </w:r>
    </w:p>
    <w:p w14:paraId="025B2D6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姓    名：</w:t>
      </w:r>
      <w:r>
        <w:rPr>
          <w:rFonts w:ascii="宋体" w:hAnsi="宋体"/>
          <w:color w:val="auto"/>
          <w:szCs w:val="21"/>
          <w:highlight w:val="none"/>
          <w:u w:val="single"/>
        </w:rPr>
        <w:t xml:space="preserve">                          </w:t>
      </w:r>
      <w:r>
        <w:rPr>
          <w:rFonts w:hint="eastAsia" w:ascii="宋体" w:hAnsi="宋体"/>
          <w:color w:val="auto"/>
          <w:szCs w:val="21"/>
          <w:highlight w:val="none"/>
        </w:rPr>
        <w:t>；</w:t>
      </w:r>
    </w:p>
    <w:p w14:paraId="66410EE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身份证号：</w:t>
      </w:r>
      <w:r>
        <w:rPr>
          <w:rFonts w:ascii="宋体" w:hAnsi="宋体"/>
          <w:color w:val="auto"/>
          <w:szCs w:val="21"/>
          <w:highlight w:val="none"/>
          <w:u w:val="single"/>
        </w:rPr>
        <w:t>                    </w:t>
      </w:r>
      <w:r>
        <w:rPr>
          <w:rFonts w:hint="eastAsia" w:ascii="宋体" w:hAnsi="宋体"/>
          <w:color w:val="auto"/>
          <w:szCs w:val="21"/>
          <w:highlight w:val="none"/>
        </w:rPr>
        <w:t>；</w:t>
      </w:r>
    </w:p>
    <w:p w14:paraId="008DC4B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建造师执业资格等级：</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390938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建造师注册证书号：</w:t>
      </w:r>
      <w:r>
        <w:rPr>
          <w:rFonts w:ascii="宋体" w:hAnsi="宋体"/>
          <w:color w:val="auto"/>
          <w:szCs w:val="21"/>
          <w:highlight w:val="none"/>
          <w:u w:val="single"/>
        </w:rPr>
        <w:t>       </w:t>
      </w:r>
      <w:r>
        <w:rPr>
          <w:rFonts w:hint="eastAsia" w:ascii="宋体" w:hAnsi="宋体"/>
          <w:color w:val="auto"/>
          <w:szCs w:val="21"/>
          <w:highlight w:val="none"/>
        </w:rPr>
        <w:t>；</w:t>
      </w:r>
    </w:p>
    <w:p w14:paraId="758EDA9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建造师执业印章号：</w:t>
      </w:r>
      <w:r>
        <w:rPr>
          <w:rFonts w:ascii="宋体" w:hAnsi="宋体"/>
          <w:color w:val="auto"/>
          <w:szCs w:val="21"/>
          <w:highlight w:val="none"/>
          <w:u w:val="single"/>
        </w:rPr>
        <w:t>                     </w:t>
      </w:r>
      <w:r>
        <w:rPr>
          <w:rFonts w:hint="eastAsia" w:ascii="宋体" w:hAnsi="宋体"/>
          <w:color w:val="auto"/>
          <w:szCs w:val="21"/>
          <w:highlight w:val="none"/>
        </w:rPr>
        <w:t>；</w:t>
      </w:r>
    </w:p>
    <w:p w14:paraId="300FFBC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安全生产考核合格证书号：</w:t>
      </w:r>
      <w:r>
        <w:rPr>
          <w:rFonts w:ascii="宋体" w:hAnsi="宋体"/>
          <w:color w:val="auto"/>
          <w:szCs w:val="21"/>
          <w:highlight w:val="none"/>
          <w:u w:val="single"/>
        </w:rPr>
        <w:t>           </w:t>
      </w:r>
      <w:r>
        <w:rPr>
          <w:rFonts w:hint="eastAsia" w:ascii="宋体" w:hAnsi="宋体"/>
          <w:color w:val="auto"/>
          <w:szCs w:val="21"/>
          <w:highlight w:val="none"/>
        </w:rPr>
        <w:t>；</w:t>
      </w:r>
    </w:p>
    <w:p w14:paraId="64F9538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联系方式：</w:t>
      </w:r>
      <w:r>
        <w:rPr>
          <w:rFonts w:ascii="宋体" w:hAnsi="宋体"/>
          <w:color w:val="auto"/>
          <w:szCs w:val="21"/>
          <w:highlight w:val="none"/>
          <w:u w:val="single"/>
        </w:rPr>
        <w:t>         </w:t>
      </w:r>
      <w:r>
        <w:rPr>
          <w:rFonts w:hint="eastAsia" w:ascii="宋体" w:hAnsi="宋体"/>
          <w:color w:val="auto"/>
          <w:szCs w:val="21"/>
          <w:highlight w:val="none"/>
        </w:rPr>
        <w:t>。</w:t>
      </w:r>
    </w:p>
    <w:p w14:paraId="2C4A00F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承包人对项目经理的授权范围如下：</w:t>
      </w:r>
      <w:r>
        <w:rPr>
          <w:rFonts w:hint="eastAsia" w:ascii="宋体" w:hAnsi="宋体"/>
          <w:color w:val="auto"/>
          <w:szCs w:val="21"/>
          <w:highlight w:val="none"/>
          <w:u w:val="single"/>
        </w:rPr>
        <w:t>严格按设计图纸、现行国家施工规范及验收规范组织施工，保证工程质量、进度、安全；及时向监理人、发包人报告现场情况（以承包人书面授权范围为准）</w:t>
      </w:r>
      <w:r>
        <w:rPr>
          <w:rFonts w:hint="eastAsia" w:ascii="宋体" w:hAnsi="宋体"/>
          <w:color w:val="auto"/>
          <w:szCs w:val="21"/>
          <w:highlight w:val="none"/>
        </w:rPr>
        <w:t>。</w:t>
      </w:r>
    </w:p>
    <w:p w14:paraId="0703C3C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关于项目经理每月在施工现场的时间要求：</w:t>
      </w:r>
      <w:r>
        <w:rPr>
          <w:rFonts w:hint="eastAsia" w:ascii="宋体" w:hAnsi="宋体"/>
          <w:color w:val="auto"/>
          <w:szCs w:val="21"/>
          <w:highlight w:val="none"/>
          <w:u w:val="single"/>
        </w:rPr>
        <w:t>不少于22天，由监理人负责项目经理的考勤</w:t>
      </w:r>
      <w:r>
        <w:rPr>
          <w:rFonts w:hint="eastAsia" w:ascii="宋体" w:hAnsi="宋体"/>
          <w:color w:val="auto"/>
          <w:szCs w:val="21"/>
          <w:highlight w:val="none"/>
        </w:rPr>
        <w:t>。</w:t>
      </w:r>
    </w:p>
    <w:p w14:paraId="59DEC52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承包人应在合同签订后7天内提交与项目经理签订的劳动合同及为项目经理缴纳社会保险的证明，承包人未在限期内提交的，项目经理无权履行职责，发包人有权要求更换项目经理</w:t>
      </w:r>
      <w:r>
        <w:rPr>
          <w:rFonts w:hint="eastAsia" w:ascii="宋体" w:hAnsi="宋体"/>
          <w:color w:val="auto"/>
          <w:szCs w:val="21"/>
          <w:highlight w:val="none"/>
        </w:rPr>
        <w:t>。</w:t>
      </w:r>
    </w:p>
    <w:p w14:paraId="37EFA57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3.2.2 技术负责人</w:t>
      </w:r>
    </w:p>
    <w:p w14:paraId="07009C1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姓    名：</w:t>
      </w:r>
      <w:r>
        <w:rPr>
          <w:rFonts w:ascii="宋体" w:hAnsi="宋体"/>
          <w:color w:val="auto"/>
          <w:szCs w:val="21"/>
          <w:highlight w:val="none"/>
          <w:u w:val="single"/>
        </w:rPr>
        <w:t xml:space="preserve">                         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C11643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身份证号：</w:t>
      </w:r>
      <w:r>
        <w:rPr>
          <w:rFonts w:ascii="宋体" w:hAnsi="宋体"/>
          <w:color w:val="auto"/>
          <w:szCs w:val="21"/>
          <w:highlight w:val="none"/>
          <w:u w:val="single"/>
        </w:rPr>
        <w:t xml:space="preserve">                         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ED3E16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联系方式：</w:t>
      </w:r>
      <w:r>
        <w:rPr>
          <w:rFonts w:ascii="宋体" w:hAnsi="宋体"/>
          <w:color w:val="auto"/>
          <w:szCs w:val="21"/>
          <w:highlight w:val="none"/>
          <w:u w:val="single"/>
        </w:rPr>
        <w:t xml:space="preserve">                         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A43662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专     业：</w:t>
      </w:r>
      <w:r>
        <w:rPr>
          <w:rFonts w:ascii="宋体" w:hAnsi="宋体"/>
          <w:color w:val="auto"/>
          <w:szCs w:val="21"/>
          <w:highlight w:val="none"/>
          <w:u w:val="single"/>
        </w:rPr>
        <w:t xml:space="preserve">                         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49F906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证书名称及号码：</w:t>
      </w:r>
      <w:r>
        <w:rPr>
          <w:rFonts w:ascii="宋体" w:hAnsi="宋体"/>
          <w:color w:val="auto"/>
          <w:szCs w:val="21"/>
          <w:highlight w:val="none"/>
          <w:u w:val="single"/>
        </w:rPr>
        <w:t xml:space="preserve">                         </w:t>
      </w:r>
      <w:r>
        <w:rPr>
          <w:rFonts w:hint="eastAsia" w:ascii="宋体" w:hAnsi="宋体"/>
          <w:color w:val="auto"/>
          <w:szCs w:val="21"/>
          <w:highlight w:val="none"/>
        </w:rPr>
        <w:t>；</w:t>
      </w:r>
    </w:p>
    <w:p w14:paraId="7D726110">
      <w:pPr>
        <w:pStyle w:val="2"/>
        <w:spacing w:after="0" w:line="360" w:lineRule="auto"/>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联系方式：</w:t>
      </w:r>
      <w:r>
        <w:rPr>
          <w:rFonts w:ascii="宋体" w:hAnsi="宋体"/>
          <w:color w:val="auto"/>
          <w:szCs w:val="21"/>
          <w:highlight w:val="none"/>
          <w:u w:val="single"/>
        </w:rPr>
        <w:t xml:space="preserve">         </w:t>
      </w:r>
      <w:r>
        <w:rPr>
          <w:rFonts w:hint="eastAsia" w:ascii="宋体" w:hAnsi="宋体"/>
          <w:color w:val="auto"/>
          <w:szCs w:val="21"/>
          <w:highlight w:val="none"/>
        </w:rPr>
        <w:t>。</w:t>
      </w:r>
    </w:p>
    <w:p w14:paraId="469E0C49">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关于技</w:t>
      </w:r>
      <w:r>
        <w:rPr>
          <w:rFonts w:hint="eastAsia" w:ascii="宋体" w:hAnsi="宋体"/>
          <w:color w:val="auto"/>
          <w:szCs w:val="21"/>
          <w:highlight w:val="none"/>
        </w:rPr>
        <w:t>术负责人每月在施工现场的时间要求：</w:t>
      </w:r>
      <w:r>
        <w:rPr>
          <w:rFonts w:hint="eastAsia" w:ascii="宋体" w:hAnsi="宋体"/>
          <w:color w:val="auto"/>
          <w:szCs w:val="21"/>
          <w:highlight w:val="none"/>
          <w:u w:val="single"/>
        </w:rPr>
        <w:t>不少于22天，由监理人负责技术负责人的考勤</w:t>
      </w:r>
      <w:r>
        <w:rPr>
          <w:rFonts w:hint="eastAsia" w:ascii="宋体" w:hAnsi="宋体"/>
          <w:color w:val="auto"/>
          <w:szCs w:val="21"/>
          <w:highlight w:val="none"/>
        </w:rPr>
        <w:t>。</w:t>
      </w:r>
    </w:p>
    <w:p w14:paraId="7E8B55B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承包人应在合同签订后7天内提交与技术负责人签订的劳动合同及为技术负责人缴纳社会保险的证明，承包人未在限期内提交的，技术负责人无权履行职责，发包人有权要求更换技术负责人</w:t>
      </w:r>
      <w:r>
        <w:rPr>
          <w:rFonts w:hint="eastAsia" w:ascii="宋体" w:hAnsi="宋体"/>
          <w:color w:val="auto"/>
          <w:szCs w:val="21"/>
          <w:highlight w:val="none"/>
        </w:rPr>
        <w:t>。</w:t>
      </w:r>
      <w:bookmarkStart w:id="1350" w:name="_Hlk528927599"/>
    </w:p>
    <w:bookmarkEnd w:id="1350"/>
    <w:p w14:paraId="2CF98E10">
      <w:pPr>
        <w:spacing w:line="360" w:lineRule="auto"/>
        <w:ind w:firstLine="420" w:firstLineChars="200"/>
        <w:jc w:val="left"/>
        <w:rPr>
          <w:rFonts w:ascii="宋体" w:hAnsi="宋体"/>
          <w:color w:val="auto"/>
          <w:szCs w:val="21"/>
          <w:highlight w:val="none"/>
        </w:rPr>
      </w:pPr>
      <w:bookmarkStart w:id="1351" w:name="_Hlk528927718"/>
      <w:r>
        <w:rPr>
          <w:rFonts w:hint="eastAsia" w:ascii="宋体" w:hAnsi="宋体"/>
          <w:color w:val="auto"/>
          <w:szCs w:val="21"/>
          <w:highlight w:val="none"/>
        </w:rPr>
        <w:t>3.2.3 发包人有权书面通知承包人更换其认为不称职/不履职的项目经理和（或）技术负责人，通知中应当载明要求更换的理由。承包人应在接到更换通知后7天内向发包人提出书面的改进报告。发包人收到改进报告后仍要求更换的，承包人应在接到第二次更换通知的14天内进行更换，并将新任命的项目经理和（或）技术负责人的注册执业资格、职称证书、管理经验等资料书面报送发包人审核批准。继任项目经理和（或）技术负责人继续履行合同约定的职责。</w:t>
      </w:r>
      <w:bookmarkEnd w:id="1351"/>
    </w:p>
    <w:p w14:paraId="60E8BBF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若项目经理和技术负责人出现下列情形需更换的，承包人按通用条款第3.2.3项的规定向发包人发出通知，经发包人领导班子集体决策同意后予以批准，并将变更信息推送给行业主管部门：</w:t>
      </w:r>
    </w:p>
    <w:p w14:paraId="40BDC0C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1、死亡；</w:t>
      </w:r>
    </w:p>
    <w:p w14:paraId="4CE2C3C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2、非承包人原因导致工期延长，而致使项目经理和技术负责人达到法定退休年龄且确需退休；</w:t>
      </w:r>
    </w:p>
    <w:p w14:paraId="0D51101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3、按《职工非因工伤残或因病丧失劳动能力程度鉴定标准（试行）》规定鉴定为完全丧失劳动能力和大部分丧失劳动能力；</w:t>
      </w:r>
    </w:p>
    <w:p w14:paraId="7537C1E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4、非承包人原因导致中标3个月不能开工；</w:t>
      </w:r>
    </w:p>
    <w:p w14:paraId="14C289E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5、被公安或者司法机关限制人身自由；</w:t>
      </w:r>
    </w:p>
    <w:p w14:paraId="69A5593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6、被取消职称或者执业资格，不满足项目管理要求；</w:t>
      </w:r>
    </w:p>
    <w:p w14:paraId="0FDAF89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7、非承包人原因导致确需变更的其它情形。</w:t>
      </w:r>
    </w:p>
    <w:p w14:paraId="3E5BCA3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本款补充3.2.6项</w:t>
      </w:r>
    </w:p>
    <w:p w14:paraId="4BEED07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3.2.6 国有资金投资项目其他主要人员变更参照《重庆市政府投资项目合同变更管理暂行办法》的规定。</w:t>
      </w:r>
    </w:p>
    <w:p w14:paraId="0A4BA7EC">
      <w:pPr>
        <w:pStyle w:val="7"/>
        <w:spacing w:before="0" w:beforeAutospacing="0" w:after="0" w:afterAutospacing="0" w:line="360" w:lineRule="auto"/>
        <w:ind w:firstLine="422" w:firstLineChars="200"/>
        <w:rPr>
          <w:color w:val="auto"/>
          <w:sz w:val="21"/>
          <w:szCs w:val="21"/>
          <w:highlight w:val="none"/>
        </w:rPr>
      </w:pPr>
      <w:bookmarkStart w:id="1352" w:name="_Toc532377337"/>
      <w:r>
        <w:rPr>
          <w:rFonts w:hint="eastAsia"/>
          <w:color w:val="auto"/>
          <w:sz w:val="21"/>
          <w:szCs w:val="21"/>
          <w:highlight w:val="none"/>
        </w:rPr>
        <w:t>3.3 承包人人员</w:t>
      </w:r>
      <w:bookmarkEnd w:id="1352"/>
    </w:p>
    <w:p w14:paraId="6412EEF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3.3.1 承包人应按建设行政主管部门现行规定配备现场施工从业人员，具体要求如下：</w:t>
      </w:r>
      <w:r>
        <w:rPr>
          <w:rFonts w:hint="eastAsia" w:ascii="宋体" w:hAnsi="宋体"/>
          <w:color w:val="auto"/>
          <w:szCs w:val="21"/>
          <w:highlight w:val="none"/>
          <w:u w:val="single"/>
        </w:rPr>
        <w:t xml:space="preserve">        </w:t>
      </w:r>
    </w:p>
    <w:p w14:paraId="6A17A88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3.3.2承包人派驻到施工现场的主要施工管理人员在施工过程中如有变动，承包人应及时向监理人提交施工现场人员变动情况的报告。承包人更换主要施工管理人员时，应提前7天书面通知监理人，并征得发包人书面同意。通知中应当载明继任人员的职称、执业资格、项目管理经验等资料。更换后的施工管理人员应当是承包人的正式员工，且在职称、执业资格、项目管理经验等方面不低于原施工管理人员。</w:t>
      </w:r>
    </w:p>
    <w:p w14:paraId="206BF93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3.3.3 发包人有权书面通知承包人更换其认为不称职的主要施工管理人员，通知中应当载明要求更换的理由。承包人应在接到更换通知后7天内向发包人提出书面的改进报告。发包人收到改进报告后仍要求更换的，承包人应在接到第二次更换通知的7天内进行更换，并将新委派的主要施工管理人员的注册执业资格、职称证书、管理经验等资料书面报送发包人审核批准。</w:t>
      </w:r>
    </w:p>
    <w:p w14:paraId="4D098E2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3.3.4 承包人主要施工管理人员离开施工现场，指定的临时人员需满足：</w:t>
      </w:r>
      <w:r>
        <w:rPr>
          <w:rFonts w:hint="eastAsia" w:ascii="宋体" w:hAnsi="宋体"/>
          <w:color w:val="auto"/>
          <w:szCs w:val="21"/>
          <w:highlight w:val="none"/>
          <w:u w:val="single"/>
        </w:rPr>
        <w:t>《重庆市房屋建筑与市政基础设施工程现场施工从业人员配备标准》（DBJ50-157-2013）的相应要求</w:t>
      </w:r>
      <w:r>
        <w:rPr>
          <w:rFonts w:hint="eastAsia" w:ascii="宋体" w:hAnsi="宋体"/>
          <w:color w:val="auto"/>
          <w:szCs w:val="21"/>
          <w:highlight w:val="none"/>
        </w:rPr>
        <w:t>。</w:t>
      </w:r>
    </w:p>
    <w:p w14:paraId="6529FDA8">
      <w:pPr>
        <w:pStyle w:val="7"/>
        <w:spacing w:before="0" w:beforeAutospacing="0" w:after="0" w:afterAutospacing="0" w:line="360" w:lineRule="auto"/>
        <w:ind w:firstLine="422" w:firstLineChars="200"/>
        <w:rPr>
          <w:color w:val="auto"/>
          <w:sz w:val="21"/>
          <w:szCs w:val="21"/>
          <w:highlight w:val="none"/>
        </w:rPr>
      </w:pPr>
      <w:bookmarkStart w:id="1353" w:name="_Toc532377338"/>
      <w:r>
        <w:rPr>
          <w:rFonts w:hint="eastAsia"/>
          <w:color w:val="auto"/>
          <w:sz w:val="21"/>
          <w:szCs w:val="21"/>
          <w:highlight w:val="none"/>
        </w:rPr>
        <w:t>3</w:t>
      </w:r>
      <w:bookmarkStart w:id="1354" w:name="_Toc296346660"/>
      <w:bookmarkStart w:id="1355" w:name="_Toc300934945"/>
      <w:bookmarkStart w:id="1356" w:name="_Toc296347158"/>
      <w:bookmarkStart w:id="1357" w:name="_Toc296944498"/>
      <w:bookmarkStart w:id="1358" w:name="_Toc296891199"/>
      <w:bookmarkStart w:id="1359" w:name="_Toc297123492"/>
      <w:bookmarkStart w:id="1360" w:name="_Toc297120459"/>
      <w:bookmarkStart w:id="1361" w:name="_Toc312677988"/>
      <w:bookmarkStart w:id="1362" w:name="_Toc292559364"/>
      <w:bookmarkStart w:id="1363" w:name="_Toc304295523"/>
      <w:bookmarkStart w:id="1364" w:name="_Toc303539102"/>
      <w:bookmarkStart w:id="1365" w:name="_Toc297048345"/>
      <w:bookmarkStart w:id="1366" w:name="_Toc292559869"/>
      <w:bookmarkStart w:id="1367" w:name="_Toc296503159"/>
      <w:bookmarkStart w:id="1368" w:name="_Toc297216151"/>
      <w:bookmarkStart w:id="1369" w:name="_Toc296890987"/>
      <w:r>
        <w:rPr>
          <w:rFonts w:hint="eastAsia"/>
          <w:color w:val="auto"/>
          <w:sz w:val="21"/>
          <w:szCs w:val="21"/>
          <w:highlight w:val="none"/>
        </w:rPr>
        <w:t>.5 分包</w:t>
      </w:r>
      <w:bookmarkEnd w:id="1353"/>
    </w:p>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14:paraId="22C5799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w:t>
      </w:r>
      <w:bookmarkStart w:id="1370" w:name="_Toc296890988"/>
      <w:bookmarkStart w:id="1371" w:name="_Toc296891200"/>
      <w:bookmarkStart w:id="1372" w:name="_Toc297216152"/>
      <w:bookmarkStart w:id="1373" w:name="_Toc304295524"/>
      <w:bookmarkStart w:id="1374" w:name="_Toc300934946"/>
      <w:bookmarkStart w:id="1375" w:name="_Toc318581158"/>
      <w:bookmarkStart w:id="1376" w:name="_Toc312677989"/>
      <w:bookmarkStart w:id="1377" w:name="_Toc297048346"/>
      <w:bookmarkStart w:id="1378" w:name="_Toc296503160"/>
      <w:bookmarkStart w:id="1379" w:name="_Toc303539103"/>
      <w:bookmarkStart w:id="1380" w:name="_Toc297120460"/>
      <w:bookmarkStart w:id="1381" w:name="_Toc296944499"/>
      <w:bookmarkStart w:id="1382" w:name="_Toc296346661"/>
      <w:bookmarkStart w:id="1383" w:name="_Toc297123493"/>
      <w:bookmarkStart w:id="1384" w:name="_Toc292559365"/>
      <w:bookmarkStart w:id="1385" w:name="_Toc292559870"/>
      <w:bookmarkStart w:id="1386" w:name="_Toc296347159"/>
      <w:r>
        <w:rPr>
          <w:rFonts w:hint="eastAsia" w:ascii="宋体" w:hAnsi="宋体"/>
          <w:color w:val="auto"/>
          <w:szCs w:val="21"/>
          <w:highlight w:val="none"/>
        </w:rPr>
        <w:t>.5.1 分包的一般约定</w:t>
      </w:r>
    </w:p>
    <w:p w14:paraId="757C7AA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禁止分包的工程包括：主体结构、关键性工作等国家法律、法规禁止分包的工程。</w:t>
      </w:r>
    </w:p>
    <w:p w14:paraId="4CB25B3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主体结构、关键性工作的范围：国家法律、法规、规范、标准等所约束的范围。如房建工程主体结构指混凝土工程、砌体工程、钢结构工程（具体有基础、梁、板、柱、砼墙、楼梯工程等）</w:t>
      </w:r>
      <w:bookmarkStart w:id="1387" w:name="_Toc304295525"/>
      <w:bookmarkStart w:id="1388" w:name="_Toc303539104"/>
      <w:bookmarkStart w:id="1389" w:name="_Toc297120461"/>
      <w:bookmarkStart w:id="1390" w:name="_Toc296347160"/>
      <w:bookmarkStart w:id="1391" w:name="_Toc296346662"/>
      <w:bookmarkStart w:id="1392" w:name="_Toc297048347"/>
      <w:bookmarkStart w:id="1393" w:name="_Toc296503161"/>
      <w:bookmarkStart w:id="1394" w:name="_Toc300934947"/>
      <w:bookmarkStart w:id="1395" w:name="_Toc297123494"/>
      <w:bookmarkStart w:id="1396" w:name="_Toc296944500"/>
      <w:bookmarkStart w:id="1397" w:name="_Toc296891201"/>
      <w:bookmarkStart w:id="1398" w:name="_Toc296890989"/>
      <w:bookmarkStart w:id="1399" w:name="_Toc297216153"/>
      <w:r>
        <w:rPr>
          <w:rFonts w:hint="eastAsia" w:ascii="宋体" w:hAnsi="宋体"/>
          <w:color w:val="auto"/>
          <w:szCs w:val="21"/>
          <w:highlight w:val="none"/>
        </w:rPr>
        <w:t>；关键性工作指梁、板、柱等部位。</w:t>
      </w:r>
    </w:p>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14:paraId="6EEF09A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在合同履行过程中实行项目经理、技术负责人、安全负责人实名制管理，发包人有权核查承包人管理人员的资格证件、工程价款往来银行账户、施工单位的材料构配件、设备的发票等资料，配合相关行政主管部门加大对转包、违法分包行为的查处。</w:t>
      </w:r>
    </w:p>
    <w:p w14:paraId="7D10291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w:t>
      </w:r>
      <w:bookmarkStart w:id="1400" w:name="_Toc312677990"/>
      <w:bookmarkStart w:id="1401" w:name="_Toc318581159"/>
      <w:r>
        <w:rPr>
          <w:rFonts w:hint="eastAsia" w:ascii="宋体" w:hAnsi="宋体"/>
          <w:color w:val="auto"/>
          <w:szCs w:val="21"/>
          <w:highlight w:val="none"/>
        </w:rPr>
        <w:t>.5.2分包的确定</w:t>
      </w:r>
    </w:p>
    <w:p w14:paraId="7419A982">
      <w:pPr>
        <w:spacing w:line="360" w:lineRule="auto"/>
        <w:ind w:firstLine="420" w:firstLineChars="200"/>
        <w:jc w:val="left"/>
        <w:rPr>
          <w:rFonts w:ascii="宋体" w:hAnsi="宋体"/>
          <w:i/>
          <w:iCs/>
          <w:color w:val="auto"/>
          <w:szCs w:val="21"/>
          <w:highlight w:val="none"/>
        </w:rPr>
      </w:pPr>
      <w:r>
        <w:rPr>
          <w:rFonts w:hint="eastAsia" w:ascii="宋体" w:hAnsi="宋体"/>
          <w:color w:val="auto"/>
          <w:szCs w:val="21"/>
          <w:highlight w:val="none"/>
        </w:rPr>
        <w:t>允许分包的专业工程包括：</w:t>
      </w:r>
      <w:r>
        <w:rPr>
          <w:rFonts w:hint="eastAsia" w:ascii="宋体" w:hAnsi="宋体"/>
          <w:color w:val="auto"/>
          <w:szCs w:val="21"/>
          <w:highlight w:val="none"/>
          <w:u w:val="single"/>
        </w:rPr>
        <w:t xml:space="preserve">        。</w:t>
      </w:r>
      <w:r>
        <w:rPr>
          <w:rFonts w:hint="eastAsia" w:ascii="宋体" w:hAnsi="宋体"/>
          <w:i/>
          <w:iCs/>
          <w:color w:val="auto"/>
          <w:szCs w:val="21"/>
          <w:highlight w:val="none"/>
        </w:rPr>
        <w:t>[提示：符合《中华人民共和国建筑法》和《中华人民共和国招标投标法》的相关规定。]</w:t>
      </w:r>
    </w:p>
    <w:p w14:paraId="77F44E8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3.5.4 分包合同价款</w:t>
      </w:r>
    </w:p>
    <w:p w14:paraId="6DFCB2E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关于分包合同价款支付的约定：</w:t>
      </w:r>
      <w:bookmarkEnd w:id="1400"/>
      <w:bookmarkEnd w:id="1401"/>
      <w:r>
        <w:rPr>
          <w:rFonts w:hint="eastAsia" w:ascii="宋体" w:hAnsi="宋体"/>
          <w:color w:val="auto"/>
          <w:szCs w:val="21"/>
          <w:highlight w:val="none"/>
          <w:u w:val="single"/>
        </w:rPr>
        <w:t>分包合同价款由承包人与分包人结算，未经承包人同意，发包人不得向分包人支付分包工程价款；生效法律文书要求发包人向分包人支付分包合同价款的，发包人有权从应付承包人工程款中扣除该部分款项</w:t>
      </w:r>
      <w:r>
        <w:rPr>
          <w:rFonts w:hint="eastAsia" w:ascii="宋体" w:hAnsi="宋体"/>
          <w:color w:val="auto"/>
          <w:szCs w:val="21"/>
          <w:highlight w:val="none"/>
        </w:rPr>
        <w:t>。</w:t>
      </w:r>
    </w:p>
    <w:p w14:paraId="375BE87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本款补充3.5.6项：</w:t>
      </w:r>
    </w:p>
    <w:p w14:paraId="26C3923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3.5.6严禁违法分包</w:t>
      </w:r>
    </w:p>
    <w:p w14:paraId="35403B1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经查实，承包人的履约担保不予退还，发包人有权终止合同；同时发包人有权向相关行政监管部门举报，根据《住房和城乡建设部关于印发建筑工程施工发包与承包违法行为认定查处管理办法的通知》（建市规〔2019〕1号）相关规定条执行。</w:t>
      </w:r>
    </w:p>
    <w:p w14:paraId="538A7F4D">
      <w:pPr>
        <w:pStyle w:val="7"/>
        <w:spacing w:before="0" w:beforeAutospacing="0" w:after="0" w:afterAutospacing="0" w:line="360" w:lineRule="auto"/>
        <w:ind w:firstLine="422" w:firstLineChars="200"/>
        <w:rPr>
          <w:color w:val="auto"/>
          <w:sz w:val="21"/>
          <w:szCs w:val="21"/>
          <w:highlight w:val="none"/>
        </w:rPr>
      </w:pPr>
      <w:bookmarkStart w:id="1402" w:name="_Toc532377339"/>
      <w:r>
        <w:rPr>
          <w:rFonts w:hint="eastAsia"/>
          <w:color w:val="auto"/>
          <w:sz w:val="21"/>
          <w:szCs w:val="21"/>
          <w:highlight w:val="none"/>
        </w:rPr>
        <w:t>3.7 履约担保</w:t>
      </w:r>
      <w:bookmarkEnd w:id="1402"/>
    </w:p>
    <w:p w14:paraId="2FD37C8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3.7.1承包人是否提供履约担保：</w:t>
      </w:r>
      <w:r>
        <w:rPr>
          <w:rFonts w:hint="eastAsia" w:ascii="宋体" w:hAnsi="宋体"/>
          <w:color w:val="auto"/>
          <w:szCs w:val="21"/>
          <w:highlight w:val="none"/>
          <w:u w:val="single"/>
        </w:rPr>
        <w:t>提供</w:t>
      </w:r>
      <w:r>
        <w:rPr>
          <w:rFonts w:hint="eastAsia" w:ascii="宋体" w:hAnsi="宋体"/>
          <w:color w:val="auto"/>
          <w:szCs w:val="21"/>
          <w:highlight w:val="none"/>
        </w:rPr>
        <w:t>。</w:t>
      </w:r>
    </w:p>
    <w:p w14:paraId="2EB609F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3.7.2承包人提供履约担保的形式、金额及期限：</w:t>
      </w:r>
    </w:p>
    <w:p w14:paraId="58BF6D39">
      <w:pPr>
        <w:spacing w:line="360" w:lineRule="auto"/>
        <w:ind w:firstLine="420" w:firstLineChars="200"/>
        <w:jc w:val="left"/>
        <w:rPr>
          <w:rFonts w:hint="eastAsia" w:ascii="宋体" w:hAnsi="宋体"/>
          <w:color w:val="auto"/>
          <w:kern w:val="0"/>
          <w:szCs w:val="21"/>
          <w:highlight w:val="none"/>
          <w:lang w:eastAsia="zh-CN"/>
        </w:rPr>
      </w:pPr>
      <w:r>
        <w:rPr>
          <w:rFonts w:hint="eastAsia" w:ascii="宋体" w:hAnsi="宋体"/>
          <w:color w:val="auto"/>
          <w:szCs w:val="21"/>
          <w:highlight w:val="none"/>
        </w:rPr>
        <w:t>（1）履约担保的形式：现金或</w:t>
      </w:r>
      <w:r>
        <w:rPr>
          <w:rFonts w:hint="eastAsia" w:ascii="宋体" w:hAnsi="宋体"/>
          <w:color w:val="auto"/>
          <w:szCs w:val="21"/>
          <w:highlight w:val="none"/>
          <w:lang w:val="en-US" w:eastAsia="zh-CN"/>
        </w:rPr>
        <w:t>履约</w:t>
      </w:r>
      <w:r>
        <w:rPr>
          <w:rFonts w:hint="eastAsia" w:ascii="宋体" w:hAnsi="宋体"/>
          <w:color w:val="auto"/>
          <w:szCs w:val="21"/>
          <w:highlight w:val="none"/>
        </w:rPr>
        <w:t>保函或现金+</w:t>
      </w:r>
      <w:r>
        <w:rPr>
          <w:rFonts w:hint="eastAsia" w:ascii="宋体" w:hAnsi="宋体"/>
          <w:color w:val="auto"/>
          <w:szCs w:val="21"/>
          <w:highlight w:val="none"/>
          <w:lang w:val="en-US" w:eastAsia="zh-CN"/>
        </w:rPr>
        <w:t>履约</w:t>
      </w:r>
      <w:r>
        <w:rPr>
          <w:rFonts w:hint="eastAsia" w:ascii="宋体" w:hAnsi="宋体"/>
          <w:color w:val="auto"/>
          <w:szCs w:val="21"/>
          <w:highlight w:val="none"/>
        </w:rPr>
        <w:t>保函的组合</w:t>
      </w:r>
      <w:r>
        <w:rPr>
          <w:rFonts w:hint="eastAsia" w:ascii="宋体" w:hAnsi="宋体"/>
          <w:color w:val="auto"/>
          <w:szCs w:val="21"/>
          <w:highlight w:val="none"/>
          <w:lang w:eastAsia="zh-CN"/>
        </w:rPr>
        <w:t>，</w:t>
      </w:r>
      <w:r>
        <w:rPr>
          <w:rFonts w:hint="eastAsia" w:ascii="宋体" w:hAnsi="宋体"/>
          <w:color w:val="auto"/>
          <w:kern w:val="0"/>
          <w:szCs w:val="21"/>
          <w:highlight w:val="none"/>
          <w:lang w:eastAsia="zh-CN"/>
        </w:rPr>
        <w:t>履约</w:t>
      </w:r>
      <w:r>
        <w:rPr>
          <w:rFonts w:hint="eastAsia" w:ascii="宋体" w:hAnsi="宋体"/>
          <w:color w:val="auto"/>
          <w:kern w:val="0"/>
          <w:szCs w:val="21"/>
          <w:highlight w:val="none"/>
        </w:rPr>
        <w:t>保函包括银行保函、保证保险和担保保函</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其示范文本详见合同附件</w:t>
      </w:r>
      <w:r>
        <w:rPr>
          <w:rFonts w:hint="eastAsia" w:ascii="宋体" w:hAnsi="宋体"/>
          <w:color w:val="auto"/>
          <w:szCs w:val="21"/>
          <w:highlight w:val="none"/>
          <w:lang w:eastAsia="zh-CN"/>
        </w:rPr>
        <w:t>。</w:t>
      </w:r>
      <w:r>
        <w:rPr>
          <w:rFonts w:hint="eastAsia" w:ascii="宋体" w:hAnsi="宋体"/>
          <w:color w:val="auto"/>
          <w:kern w:val="0"/>
          <w:szCs w:val="21"/>
          <w:highlight w:val="none"/>
          <w:lang w:val="en-US" w:eastAsia="zh-CN"/>
        </w:rPr>
        <w:t>承包人提交的履约保函应</w:t>
      </w:r>
      <w:r>
        <w:rPr>
          <w:rFonts w:hint="eastAsia" w:ascii="宋体" w:hAnsi="宋体"/>
          <w:color w:val="auto"/>
          <w:kern w:val="0"/>
          <w:szCs w:val="21"/>
          <w:highlight w:val="none"/>
        </w:rPr>
        <w:t>严格执行</w:t>
      </w:r>
      <w:r>
        <w:rPr>
          <w:rFonts w:hint="eastAsia" w:ascii="宋体" w:hAnsi="宋体"/>
          <w:color w:val="auto"/>
          <w:kern w:val="0"/>
          <w:szCs w:val="21"/>
          <w:highlight w:val="none"/>
          <w:lang w:val="en-US" w:eastAsia="zh-CN"/>
        </w:rPr>
        <w:t>其</w:t>
      </w:r>
      <w:r>
        <w:rPr>
          <w:rFonts w:hint="eastAsia" w:ascii="宋体" w:hAnsi="宋体"/>
          <w:color w:val="auto"/>
          <w:kern w:val="0"/>
          <w:szCs w:val="21"/>
          <w:highlight w:val="none"/>
        </w:rPr>
        <w:t>示范文本，不得对示范文本中的实质性内容进行修改</w:t>
      </w:r>
      <w:r>
        <w:rPr>
          <w:rFonts w:hint="eastAsia" w:ascii="宋体" w:hAnsi="宋体"/>
          <w:color w:val="auto"/>
          <w:kern w:val="0"/>
          <w:szCs w:val="21"/>
          <w:highlight w:val="none"/>
          <w:lang w:eastAsia="zh-CN"/>
        </w:rPr>
        <w:t>。</w:t>
      </w:r>
      <w:r>
        <w:rPr>
          <w:rFonts w:hint="eastAsia" w:ascii="宋体" w:hAnsi="宋体"/>
          <w:color w:val="auto"/>
          <w:szCs w:val="21"/>
          <w:highlight w:val="none"/>
          <w:lang w:val="en-US" w:eastAsia="zh-CN"/>
        </w:rPr>
        <w:t>承包人若采用现金提交履约担保的，</w:t>
      </w:r>
      <w:r>
        <w:rPr>
          <w:rFonts w:hint="eastAsia" w:ascii="宋体" w:hAnsi="宋体"/>
          <w:color w:val="auto"/>
          <w:szCs w:val="21"/>
          <w:highlight w:val="none"/>
        </w:rPr>
        <w:t>允许使用符合</w:t>
      </w:r>
      <w:r>
        <w:rPr>
          <w:rFonts w:hint="eastAsia" w:ascii="宋体" w:hAnsi="宋体"/>
          <w:color w:val="auto"/>
          <w:szCs w:val="21"/>
          <w:highlight w:val="none"/>
          <w:lang w:eastAsia="zh-CN"/>
        </w:rPr>
        <w:t>《关于在全市工程建设领域全面推行工程保函工作的通知》（</w:t>
      </w:r>
      <w:r>
        <w:rPr>
          <w:rFonts w:hint="eastAsia" w:ascii="宋体" w:hAnsi="宋体"/>
          <w:color w:val="auto"/>
          <w:szCs w:val="21"/>
          <w:highlight w:val="none"/>
          <w:lang w:val="en-US" w:eastAsia="zh-CN"/>
        </w:rPr>
        <w:t>渝公管发〔2022〕25号）、</w:t>
      </w:r>
      <w:r>
        <w:rPr>
          <w:rFonts w:hint="eastAsia" w:ascii="宋体" w:hAnsi="宋体"/>
          <w:color w:val="auto"/>
          <w:szCs w:val="21"/>
          <w:highlight w:val="none"/>
          <w:lang w:eastAsia="zh-CN"/>
        </w:rPr>
        <w:t>《关于进一步规范工程建设领域工程保函示范文本的通知》（</w:t>
      </w:r>
      <w:r>
        <w:rPr>
          <w:rFonts w:hint="eastAsia" w:ascii="宋体" w:hAnsi="宋体"/>
          <w:color w:val="auto"/>
          <w:szCs w:val="21"/>
          <w:highlight w:val="none"/>
          <w:lang w:val="en-US" w:eastAsia="zh-CN"/>
        </w:rPr>
        <w:t>渝公管发〔2022〕26号）</w:t>
      </w:r>
      <w:r>
        <w:rPr>
          <w:rFonts w:hint="eastAsia" w:ascii="宋体" w:hAnsi="宋体"/>
          <w:color w:val="auto"/>
          <w:szCs w:val="21"/>
          <w:highlight w:val="none"/>
        </w:rPr>
        <w:t>要求的</w:t>
      </w:r>
      <w:r>
        <w:rPr>
          <w:rFonts w:hint="eastAsia" w:ascii="宋体" w:hAnsi="宋体"/>
          <w:color w:val="auto"/>
          <w:szCs w:val="21"/>
          <w:highlight w:val="none"/>
          <w:lang w:eastAsia="zh-CN"/>
        </w:rPr>
        <w:t>履约</w:t>
      </w:r>
      <w:r>
        <w:rPr>
          <w:rFonts w:hint="eastAsia" w:ascii="宋体" w:hAnsi="宋体"/>
          <w:color w:val="auto"/>
          <w:szCs w:val="21"/>
          <w:highlight w:val="none"/>
        </w:rPr>
        <w:t>保函置换</w:t>
      </w:r>
      <w:r>
        <w:rPr>
          <w:rFonts w:hint="eastAsia" w:ascii="宋体" w:hAnsi="宋体"/>
          <w:color w:val="auto"/>
          <w:szCs w:val="21"/>
          <w:highlight w:val="none"/>
          <w:lang w:val="en-US" w:eastAsia="zh-CN"/>
        </w:rPr>
        <w:t>。</w:t>
      </w:r>
    </w:p>
    <w:p w14:paraId="380D196D">
      <w:pPr>
        <w:spacing w:line="360" w:lineRule="auto"/>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具体要求：履约保函</w:t>
      </w:r>
      <w:r>
        <w:rPr>
          <w:rFonts w:hint="eastAsia" w:ascii="宋体" w:hAnsi="宋体"/>
          <w:color w:val="auto"/>
          <w:kern w:val="0"/>
          <w:szCs w:val="21"/>
          <w:highlight w:val="none"/>
        </w:rPr>
        <w:t>的开立人应当是具有相应资格的银行、保险机构、融资担保公司，其信用资质、履约能力、担保能力、赔付流程、安全保密等应符合</w:t>
      </w:r>
      <w:r>
        <w:rPr>
          <w:rFonts w:hint="eastAsia" w:ascii="宋体" w:hAnsi="宋体"/>
          <w:color w:val="auto"/>
          <w:kern w:val="0"/>
          <w:szCs w:val="21"/>
          <w:highlight w:val="none"/>
          <w:lang w:eastAsia="zh-CN"/>
        </w:rPr>
        <w:t>履约</w:t>
      </w:r>
      <w:r>
        <w:rPr>
          <w:rFonts w:hint="eastAsia" w:ascii="宋体" w:hAnsi="宋体"/>
          <w:color w:val="auto"/>
          <w:kern w:val="0"/>
          <w:szCs w:val="21"/>
          <w:highlight w:val="none"/>
        </w:rPr>
        <w:t>保函业务条件</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履约保函</w:t>
      </w:r>
      <w:r>
        <w:rPr>
          <w:rFonts w:hint="eastAsia" w:ascii="宋体" w:hAnsi="宋体"/>
          <w:color w:val="auto"/>
          <w:kern w:val="0"/>
          <w:szCs w:val="21"/>
          <w:highlight w:val="none"/>
          <w:lang w:eastAsia="zh-CN"/>
        </w:rPr>
        <w:t>应合法合规，符合招投标行政监督部门、行业主管部门和金融监管部门的相关规定，满足竞争性比选文件约定要求。</w:t>
      </w:r>
      <w:r>
        <w:rPr>
          <w:rFonts w:hint="eastAsia" w:ascii="宋体" w:hAnsi="宋体"/>
          <w:color w:val="auto"/>
          <w:kern w:val="0"/>
          <w:szCs w:val="21"/>
          <w:highlight w:val="none"/>
          <w:lang w:val="en-US" w:eastAsia="zh-CN"/>
        </w:rPr>
        <w:t>承包人</w:t>
      </w:r>
      <w:r>
        <w:rPr>
          <w:rFonts w:hint="eastAsia" w:ascii="宋体" w:hAnsi="宋体"/>
          <w:color w:val="auto"/>
          <w:kern w:val="0"/>
          <w:szCs w:val="21"/>
          <w:highlight w:val="none"/>
        </w:rPr>
        <w:t>应选择在渝依法设立总部或者设有分支机构的金融机构开具</w:t>
      </w:r>
      <w:r>
        <w:rPr>
          <w:rFonts w:hint="eastAsia" w:ascii="宋体" w:hAnsi="宋体"/>
          <w:color w:val="auto"/>
          <w:kern w:val="0"/>
          <w:szCs w:val="21"/>
          <w:highlight w:val="none"/>
          <w:lang w:val="en-US" w:eastAsia="zh-CN"/>
        </w:rPr>
        <w:t>履约保函（包括纸质保函或电子保函）</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履约保函为纸质保函的，纸质保函应注明在</w:t>
      </w:r>
      <w:r>
        <w:rPr>
          <w:rFonts w:hint="eastAsia" w:ascii="宋体" w:hAnsi="宋体"/>
          <w:color w:val="auto"/>
          <w:kern w:val="0"/>
          <w:szCs w:val="21"/>
          <w:highlight w:val="none"/>
        </w:rPr>
        <w:t>重庆市辖区范围内的核验地址和核验方式</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并确保该纸质保函能在开立人在渝的总部或者分支机构进行核验</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承包人对所提交的履约保函的真实性、合法性、有效性负责。</w:t>
      </w:r>
    </w:p>
    <w:p w14:paraId="296F9D7F">
      <w:pPr>
        <w:tabs>
          <w:tab w:val="left" w:pos="1134"/>
        </w:tabs>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）履约担保的金额：</w:t>
      </w:r>
      <w:r>
        <w:rPr>
          <w:rFonts w:hint="eastAsia" w:ascii="仿宋_GB2312" w:hAnsi="宋体" w:eastAsia="仿宋_GB2312" w:cs="宋体"/>
          <w:color w:val="auto"/>
          <w:kern w:val="0"/>
          <w:szCs w:val="21"/>
          <w:highlight w:val="none"/>
          <w:u w:val="single"/>
        </w:rPr>
        <w:t xml:space="preserve">            </w:t>
      </w:r>
      <w:r>
        <w:rPr>
          <w:rFonts w:hint="eastAsia" w:ascii="宋体" w:hAnsi="宋体"/>
          <w:color w:val="auto"/>
          <w:szCs w:val="21"/>
          <w:highlight w:val="none"/>
        </w:rPr>
        <w:t>；</w:t>
      </w:r>
    </w:p>
    <w:p w14:paraId="2E81BCA1">
      <w:pPr>
        <w:tabs>
          <w:tab w:val="left" w:pos="1134"/>
        </w:tabs>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）履约担保的提交时间：</w:t>
      </w:r>
      <w:r>
        <w:rPr>
          <w:rFonts w:hint="eastAsia" w:ascii="宋体" w:hAnsi="宋体"/>
          <w:color w:val="auto"/>
          <w:szCs w:val="21"/>
          <w:highlight w:val="none"/>
          <w:u w:val="single"/>
        </w:rPr>
        <w:t>在合同签订前，承包人按担保金额向发包人提交履约担保</w:t>
      </w:r>
      <w:r>
        <w:rPr>
          <w:rFonts w:hint="eastAsia" w:ascii="宋体" w:hAnsi="宋体"/>
          <w:color w:val="auto"/>
          <w:szCs w:val="21"/>
          <w:highlight w:val="none"/>
        </w:rPr>
        <w:t>。</w:t>
      </w:r>
    </w:p>
    <w:p w14:paraId="5D64AE18">
      <w:pPr>
        <w:tabs>
          <w:tab w:val="left" w:pos="1134"/>
        </w:tabs>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）履约担保的期限：</w:t>
      </w:r>
      <w:r>
        <w:rPr>
          <w:rFonts w:hint="eastAsia" w:ascii="宋体" w:hAnsi="宋体"/>
          <w:color w:val="auto"/>
          <w:szCs w:val="21"/>
          <w:highlight w:val="none"/>
          <w:u w:val="single"/>
        </w:rPr>
        <w:t>自我方法定代表人（或其委托代理人）签名并加盖</w:t>
      </w:r>
      <w:r>
        <w:rPr>
          <w:rFonts w:hint="eastAsia" w:ascii="宋体" w:hAnsi="宋体"/>
          <w:color w:val="auto"/>
          <w:szCs w:val="21"/>
          <w:highlight w:val="none"/>
          <w:u w:val="single"/>
          <w:lang w:val="en-US" w:eastAsia="zh-CN"/>
        </w:rPr>
        <w:t>单位</w:t>
      </w:r>
      <w:r>
        <w:rPr>
          <w:rFonts w:hint="eastAsia" w:ascii="宋体" w:hAnsi="宋体"/>
          <w:color w:val="auto"/>
          <w:szCs w:val="21"/>
          <w:highlight w:val="none"/>
          <w:u w:val="single"/>
        </w:rPr>
        <w:t>公章之日起至你方签发或应签发工程接收证书之日止</w:t>
      </w:r>
      <w:r>
        <w:rPr>
          <w:rFonts w:hint="eastAsia" w:ascii="宋体" w:hAnsi="宋体"/>
          <w:color w:val="auto"/>
          <w:szCs w:val="21"/>
          <w:highlight w:val="none"/>
        </w:rPr>
        <w:t>。</w:t>
      </w:r>
    </w:p>
    <w:p w14:paraId="61BF94E6">
      <w:pPr>
        <w:tabs>
          <w:tab w:val="left" w:pos="1134"/>
        </w:tabs>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）履约担保的退还时间：</w:t>
      </w:r>
      <w:r>
        <w:rPr>
          <w:rFonts w:hint="eastAsia" w:ascii="宋体" w:hAnsi="宋体"/>
          <w:color w:val="auto"/>
          <w:szCs w:val="21"/>
          <w:highlight w:val="none"/>
          <w:u w:val="single"/>
        </w:rPr>
        <w:t>采用现金担保的，工程竣工验收合格后14天内退还；采用</w:t>
      </w:r>
      <w:r>
        <w:rPr>
          <w:rFonts w:hint="eastAsia" w:ascii="宋体" w:hAnsi="宋体"/>
          <w:color w:val="auto"/>
          <w:szCs w:val="21"/>
          <w:highlight w:val="none"/>
          <w:u w:val="single"/>
          <w:lang w:val="en-US" w:eastAsia="zh-CN"/>
        </w:rPr>
        <w:t>履约</w:t>
      </w:r>
      <w:r>
        <w:rPr>
          <w:rFonts w:hint="eastAsia" w:ascii="宋体" w:hAnsi="宋体"/>
          <w:color w:val="auto"/>
          <w:szCs w:val="21"/>
          <w:highlight w:val="none"/>
          <w:u w:val="single"/>
        </w:rPr>
        <w:t>保函的，工程竣工验收合格后14天内退还，或按工程实际情况约定分阶段退还，阶段划分按以下标准执行：</w:t>
      </w:r>
    </w:p>
    <w:p w14:paraId="2840528D">
      <w:pPr>
        <w:tabs>
          <w:tab w:val="left" w:pos="1134"/>
        </w:tabs>
        <w:spacing w:line="360" w:lineRule="auto"/>
        <w:ind w:firstLine="0" w:firstLineChars="0"/>
        <w:jc w:val="left"/>
        <w:rPr>
          <w:rFonts w:hint="default" w:ascii="宋体" w:hAnsi="宋体" w:eastAsia="宋体"/>
          <w:color w:val="auto"/>
          <w:szCs w:val="21"/>
          <w:highlight w:val="none"/>
          <w:lang w:val="en-US" w:eastAsia="zh-CN"/>
        </w:rPr>
      </w:pP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C8317F5">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403" w:name="_Toc532375611"/>
      <w:bookmarkStart w:id="1404" w:name="_Toc351203636"/>
      <w:bookmarkStart w:id="1405" w:name="_Toc532377340"/>
      <w:r>
        <w:rPr>
          <w:rFonts w:hint="eastAsia"/>
          <w:color w:val="auto"/>
          <w:kern w:val="2"/>
          <w:sz w:val="21"/>
          <w:szCs w:val="21"/>
          <w:highlight w:val="none"/>
        </w:rPr>
        <w:t>4</w:t>
      </w:r>
      <w:bookmarkStart w:id="1406" w:name="_Toc297048348"/>
      <w:bookmarkStart w:id="1407" w:name="_Toc296890990"/>
      <w:bookmarkStart w:id="1408" w:name="_Toc292559871"/>
      <w:bookmarkStart w:id="1409" w:name="_Toc296346663"/>
      <w:bookmarkStart w:id="1410" w:name="_Toc296347161"/>
      <w:bookmarkStart w:id="1411" w:name="_Toc296944501"/>
      <w:bookmarkStart w:id="1412" w:name="_Toc296891202"/>
      <w:bookmarkStart w:id="1413" w:name="_Toc297120462"/>
      <w:bookmarkStart w:id="1414" w:name="_Toc267251413"/>
      <w:bookmarkStart w:id="1415" w:name="_Toc292559366"/>
      <w:bookmarkStart w:id="1416" w:name="_Toc296503162"/>
      <w:r>
        <w:rPr>
          <w:rFonts w:hint="eastAsia"/>
          <w:color w:val="auto"/>
          <w:kern w:val="2"/>
          <w:sz w:val="21"/>
          <w:szCs w:val="21"/>
          <w:highlight w:val="none"/>
        </w:rPr>
        <w:t>. 监</w:t>
      </w:r>
      <w:bookmarkEnd w:id="1406"/>
      <w:bookmarkEnd w:id="1407"/>
      <w:bookmarkEnd w:id="1408"/>
      <w:bookmarkEnd w:id="1409"/>
      <w:bookmarkEnd w:id="1410"/>
      <w:bookmarkEnd w:id="1411"/>
      <w:bookmarkEnd w:id="1412"/>
      <w:bookmarkEnd w:id="1413"/>
      <w:bookmarkEnd w:id="1414"/>
      <w:bookmarkEnd w:id="1415"/>
      <w:bookmarkEnd w:id="1416"/>
      <w:r>
        <w:rPr>
          <w:rFonts w:hint="eastAsia"/>
          <w:color w:val="auto"/>
          <w:kern w:val="2"/>
          <w:sz w:val="21"/>
          <w:szCs w:val="21"/>
          <w:highlight w:val="none"/>
        </w:rPr>
        <w:t>理人</w:t>
      </w:r>
      <w:bookmarkEnd w:id="1403"/>
      <w:bookmarkEnd w:id="1404"/>
      <w:bookmarkEnd w:id="1405"/>
    </w:p>
    <w:p w14:paraId="2C98B786">
      <w:pPr>
        <w:pStyle w:val="7"/>
        <w:spacing w:before="0" w:beforeAutospacing="0" w:after="0" w:afterAutospacing="0" w:line="360" w:lineRule="auto"/>
        <w:ind w:firstLine="422" w:firstLineChars="200"/>
        <w:rPr>
          <w:color w:val="auto"/>
          <w:sz w:val="21"/>
          <w:szCs w:val="21"/>
          <w:highlight w:val="none"/>
        </w:rPr>
      </w:pPr>
      <w:bookmarkStart w:id="1417" w:name="_Toc532377341"/>
      <w:r>
        <w:rPr>
          <w:rFonts w:hint="eastAsia"/>
          <w:color w:val="auto"/>
          <w:sz w:val="21"/>
          <w:szCs w:val="21"/>
          <w:highlight w:val="none"/>
        </w:rPr>
        <w:t>4.1 监理人的一般规定</w:t>
      </w:r>
      <w:bookmarkEnd w:id="1417"/>
    </w:p>
    <w:p w14:paraId="6597757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关于监理人的监理内容：</w:t>
      </w:r>
      <w:r>
        <w:rPr>
          <w:rFonts w:hint="eastAsia" w:ascii="宋体" w:hAnsi="宋体"/>
          <w:color w:val="auto"/>
          <w:szCs w:val="21"/>
          <w:highlight w:val="none"/>
          <w:u w:val="single"/>
        </w:rPr>
        <w:t>见发包人与监理人就本工程签订的监理合同</w:t>
      </w:r>
      <w:r>
        <w:rPr>
          <w:rFonts w:hint="eastAsia" w:ascii="宋体" w:hAnsi="宋体"/>
          <w:color w:val="auto"/>
          <w:szCs w:val="21"/>
          <w:highlight w:val="none"/>
        </w:rPr>
        <w:t>。</w:t>
      </w:r>
    </w:p>
    <w:p w14:paraId="0A6B001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关于监理人的监理权限：</w:t>
      </w:r>
      <w:r>
        <w:rPr>
          <w:rFonts w:hint="eastAsia" w:ascii="宋体" w:hAnsi="宋体"/>
          <w:color w:val="auto"/>
          <w:szCs w:val="21"/>
          <w:highlight w:val="none"/>
          <w:u w:val="single"/>
        </w:rPr>
        <w:t>见发包人与监理人就本工程签订的监理合同；任何涉及费用确定和（或）工期调整，或者设计变更，或者变更估价，或者涉及经济责任的事项，监理工程师在发出指令或通知前，须征得发包人书面同意</w:t>
      </w:r>
      <w:r>
        <w:rPr>
          <w:rFonts w:hint="eastAsia" w:ascii="宋体" w:hAnsi="宋体"/>
          <w:color w:val="auto"/>
          <w:szCs w:val="21"/>
          <w:highlight w:val="none"/>
        </w:rPr>
        <w:t>。</w:t>
      </w:r>
    </w:p>
    <w:p w14:paraId="1E5FE06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关于监理人在施工现场的办公场所、生活场所的提供和费用承担的约定：</w:t>
      </w:r>
      <w:r>
        <w:rPr>
          <w:rFonts w:hint="eastAsia" w:ascii="宋体" w:hAnsi="宋体"/>
          <w:color w:val="auto"/>
          <w:szCs w:val="21"/>
          <w:highlight w:val="none"/>
          <w:u w:val="single"/>
        </w:rPr>
        <w:t xml:space="preserve">                          </w:t>
      </w:r>
      <w:r>
        <w:rPr>
          <w:rFonts w:hint="eastAsia" w:ascii="宋体" w:hAnsi="宋体"/>
          <w:color w:val="auto"/>
          <w:szCs w:val="21"/>
          <w:highlight w:val="none"/>
        </w:rPr>
        <w:t>。</w:t>
      </w:r>
    </w:p>
    <w:p w14:paraId="6FA70E36">
      <w:pPr>
        <w:pStyle w:val="7"/>
        <w:spacing w:before="0" w:beforeAutospacing="0" w:after="0" w:afterAutospacing="0" w:line="360" w:lineRule="auto"/>
        <w:ind w:firstLine="422" w:firstLineChars="200"/>
        <w:rPr>
          <w:color w:val="auto"/>
          <w:sz w:val="21"/>
          <w:szCs w:val="21"/>
          <w:highlight w:val="none"/>
        </w:rPr>
      </w:pPr>
      <w:bookmarkStart w:id="1418" w:name="_Toc532377342"/>
      <w:r>
        <w:rPr>
          <w:rFonts w:hint="eastAsia"/>
          <w:color w:val="auto"/>
          <w:sz w:val="21"/>
          <w:szCs w:val="21"/>
          <w:highlight w:val="none"/>
        </w:rPr>
        <w:t>4.2 监理人员</w:t>
      </w:r>
      <w:bookmarkEnd w:id="1418"/>
    </w:p>
    <w:p w14:paraId="1ACF483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总监理工程师：</w:t>
      </w:r>
    </w:p>
    <w:p w14:paraId="4598BD8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姓    名：</w:t>
      </w:r>
      <w:r>
        <w:rPr>
          <w:rFonts w:ascii="宋体" w:hAnsi="宋体"/>
          <w:color w:val="auto"/>
          <w:szCs w:val="21"/>
          <w:highlight w:val="none"/>
          <w:u w:val="single"/>
        </w:rPr>
        <w:t xml:space="preserve">                          </w:t>
      </w:r>
      <w:r>
        <w:rPr>
          <w:rFonts w:hint="eastAsia" w:ascii="宋体" w:hAnsi="宋体"/>
          <w:color w:val="auto"/>
          <w:szCs w:val="21"/>
          <w:highlight w:val="none"/>
        </w:rPr>
        <w:t>；</w:t>
      </w:r>
    </w:p>
    <w:p w14:paraId="4E61B4F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职    务：</w:t>
      </w:r>
      <w:r>
        <w:rPr>
          <w:rFonts w:ascii="宋体" w:hAnsi="宋体"/>
          <w:color w:val="auto"/>
          <w:szCs w:val="21"/>
          <w:highlight w:val="none"/>
          <w:u w:val="single"/>
        </w:rPr>
        <w:t xml:space="preserve">                          </w:t>
      </w:r>
      <w:r>
        <w:rPr>
          <w:rFonts w:hint="eastAsia" w:ascii="宋体" w:hAnsi="宋体"/>
          <w:color w:val="auto"/>
          <w:szCs w:val="21"/>
          <w:highlight w:val="none"/>
        </w:rPr>
        <w:t>；</w:t>
      </w:r>
    </w:p>
    <w:p w14:paraId="79DFD38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监理工程师执业资格证书号：</w:t>
      </w:r>
      <w:r>
        <w:rPr>
          <w:rFonts w:ascii="宋体" w:hAnsi="宋体"/>
          <w:color w:val="auto"/>
          <w:szCs w:val="21"/>
          <w:highlight w:val="none"/>
          <w:u w:val="single"/>
        </w:rPr>
        <w:t xml:space="preserve">              </w:t>
      </w:r>
      <w:r>
        <w:rPr>
          <w:rFonts w:hint="eastAsia" w:ascii="宋体" w:hAnsi="宋体"/>
          <w:color w:val="auto"/>
          <w:szCs w:val="21"/>
          <w:highlight w:val="none"/>
        </w:rPr>
        <w:t>；</w:t>
      </w:r>
    </w:p>
    <w:p w14:paraId="457E1B9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联系方式：</w:t>
      </w:r>
      <w:r>
        <w:rPr>
          <w:rFonts w:ascii="宋体" w:hAnsi="宋体"/>
          <w:color w:val="auto"/>
          <w:szCs w:val="21"/>
          <w:highlight w:val="none"/>
          <w:u w:val="single"/>
        </w:rPr>
        <w:t xml:space="preserve">                          </w:t>
      </w:r>
      <w:r>
        <w:rPr>
          <w:rFonts w:hint="eastAsia" w:ascii="宋体" w:hAnsi="宋体"/>
          <w:color w:val="auto"/>
          <w:szCs w:val="21"/>
          <w:highlight w:val="none"/>
        </w:rPr>
        <w:t>；</w:t>
      </w:r>
    </w:p>
    <w:p w14:paraId="6F54964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关于监理人的其他约定：</w:t>
      </w:r>
      <w:r>
        <w:rPr>
          <w:rFonts w:hint="eastAsia" w:ascii="宋体" w:hAnsi="宋体"/>
          <w:color w:val="auto"/>
          <w:szCs w:val="21"/>
          <w:highlight w:val="none"/>
          <w:u w:val="single"/>
        </w:rPr>
        <w:t>见发包人与监理人就本工程签订的监理合同</w:t>
      </w:r>
      <w:r>
        <w:rPr>
          <w:rFonts w:hint="eastAsia" w:ascii="宋体" w:hAnsi="宋体"/>
          <w:color w:val="auto"/>
          <w:szCs w:val="21"/>
          <w:highlight w:val="none"/>
        </w:rPr>
        <w:t>。</w:t>
      </w:r>
    </w:p>
    <w:p w14:paraId="34A91C8B">
      <w:pPr>
        <w:pStyle w:val="7"/>
        <w:spacing w:before="0" w:beforeAutospacing="0" w:after="0" w:afterAutospacing="0" w:line="360" w:lineRule="auto"/>
        <w:ind w:firstLine="420" w:firstLineChars="200"/>
        <w:rPr>
          <w:b w:val="0"/>
          <w:color w:val="auto"/>
          <w:sz w:val="21"/>
          <w:szCs w:val="21"/>
          <w:highlight w:val="none"/>
        </w:rPr>
      </w:pPr>
      <w:bookmarkStart w:id="1419" w:name="_Toc532377343"/>
      <w:r>
        <w:rPr>
          <w:rFonts w:hint="eastAsia"/>
          <w:b w:val="0"/>
          <w:color w:val="auto"/>
          <w:sz w:val="21"/>
          <w:szCs w:val="21"/>
          <w:highlight w:val="none"/>
        </w:rPr>
        <w:t>4.4 商定或确定</w:t>
      </w:r>
      <w:bookmarkEnd w:id="1419"/>
    </w:p>
    <w:p w14:paraId="6E2DEC9F">
      <w:pPr>
        <w:spacing w:line="360" w:lineRule="auto"/>
        <w:ind w:firstLine="420" w:firstLineChars="200"/>
        <w:jc w:val="left"/>
        <w:rPr>
          <w:rFonts w:ascii="宋体" w:hAnsi="宋体"/>
          <w:color w:val="auto"/>
          <w:szCs w:val="21"/>
          <w:highlight w:val="none"/>
        </w:rPr>
      </w:pPr>
      <w:bookmarkStart w:id="1420" w:name="_Toc267251418"/>
      <w:r>
        <w:rPr>
          <w:rFonts w:hint="eastAsia" w:ascii="宋体" w:hAnsi="宋体"/>
          <w:color w:val="auto"/>
          <w:szCs w:val="21"/>
          <w:highlight w:val="none"/>
        </w:rPr>
        <w:t>在发包人和承包人不能通过协商达成一致意见时，发包人授权监理人对以下事项进行确定：</w:t>
      </w:r>
    </w:p>
    <w:p w14:paraId="24027AE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 xml:space="preserve">                          </w:t>
      </w:r>
      <w:r>
        <w:rPr>
          <w:rFonts w:hint="eastAsia" w:ascii="宋体" w:hAnsi="宋体"/>
          <w:color w:val="auto"/>
          <w:szCs w:val="21"/>
          <w:highlight w:val="none"/>
        </w:rPr>
        <w:t>。</w:t>
      </w:r>
    </w:p>
    <w:p w14:paraId="28EAEB4A">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421" w:name="_Toc532377344"/>
      <w:bookmarkStart w:id="1422" w:name="_Toc351203637"/>
      <w:bookmarkStart w:id="1423" w:name="_Toc532375612"/>
      <w:r>
        <w:rPr>
          <w:rFonts w:hint="eastAsia"/>
          <w:color w:val="auto"/>
          <w:kern w:val="2"/>
          <w:sz w:val="21"/>
          <w:szCs w:val="21"/>
          <w:highlight w:val="none"/>
        </w:rPr>
        <w:t>5</w:t>
      </w:r>
      <w:bookmarkEnd w:id="1420"/>
      <w:bookmarkStart w:id="1424" w:name="_Toc296503163"/>
      <w:bookmarkStart w:id="1425" w:name="_Toc296890991"/>
      <w:bookmarkStart w:id="1426" w:name="_Toc296944502"/>
      <w:bookmarkStart w:id="1427" w:name="_Toc292559872"/>
      <w:bookmarkStart w:id="1428" w:name="_Toc296346664"/>
      <w:bookmarkStart w:id="1429" w:name="_Toc297120463"/>
      <w:bookmarkStart w:id="1430" w:name="_Toc296891203"/>
      <w:bookmarkStart w:id="1431" w:name="_Toc292559367"/>
      <w:bookmarkStart w:id="1432" w:name="_Toc296347162"/>
      <w:bookmarkStart w:id="1433" w:name="_Toc297048349"/>
      <w:r>
        <w:rPr>
          <w:rFonts w:hint="eastAsia"/>
          <w:color w:val="auto"/>
          <w:kern w:val="2"/>
          <w:sz w:val="21"/>
          <w:szCs w:val="21"/>
          <w:highlight w:val="none"/>
        </w:rPr>
        <w:t>. 工程质量</w:t>
      </w:r>
      <w:bookmarkEnd w:id="1421"/>
      <w:bookmarkEnd w:id="1422"/>
      <w:bookmarkEnd w:id="1423"/>
    </w:p>
    <w:p w14:paraId="36EA3519">
      <w:pPr>
        <w:pStyle w:val="7"/>
        <w:spacing w:before="0" w:beforeAutospacing="0" w:after="0" w:afterAutospacing="0" w:line="360" w:lineRule="auto"/>
        <w:ind w:firstLine="422" w:firstLineChars="200"/>
        <w:rPr>
          <w:color w:val="auto"/>
          <w:sz w:val="21"/>
          <w:szCs w:val="21"/>
          <w:highlight w:val="none"/>
        </w:rPr>
      </w:pPr>
      <w:bookmarkStart w:id="1434" w:name="_Toc532377345"/>
      <w:r>
        <w:rPr>
          <w:rFonts w:hint="eastAsia"/>
          <w:color w:val="auto"/>
          <w:sz w:val="21"/>
          <w:szCs w:val="21"/>
          <w:highlight w:val="none"/>
        </w:rPr>
        <w:t>5.1 质量要求</w:t>
      </w:r>
      <w:bookmarkEnd w:id="1434"/>
      <w:bookmarkStart w:id="1435" w:name="_Hlk528909888"/>
      <w:bookmarkStart w:id="1436" w:name="_Toc304295527"/>
      <w:bookmarkStart w:id="1437" w:name="_Toc297123496"/>
      <w:bookmarkStart w:id="1438" w:name="_Toc312677997"/>
      <w:bookmarkStart w:id="1439" w:name="_Toc300934949"/>
      <w:bookmarkStart w:id="1440" w:name="_Toc297216155"/>
      <w:bookmarkStart w:id="1441" w:name="_Toc303539106"/>
      <w:bookmarkStart w:id="1442" w:name="_Toc318581164"/>
    </w:p>
    <w:p w14:paraId="3408BAAE">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工程质量符合强制性质量标准，</w:t>
      </w:r>
      <w:r>
        <w:rPr>
          <w:rFonts w:hint="eastAsia" w:ascii="宋体" w:hAnsi="宋体"/>
          <w:color w:val="auto"/>
          <w:szCs w:val="21"/>
          <w:highlight w:val="none"/>
          <w:u w:val="single"/>
        </w:rPr>
        <w:t>符合国家和重庆市现行有关施工质量验收规范要求，并达到合格标准</w:t>
      </w:r>
      <w:r>
        <w:rPr>
          <w:rFonts w:hint="eastAsia" w:ascii="宋体" w:hAnsi="宋体"/>
          <w:color w:val="auto"/>
          <w:szCs w:val="21"/>
          <w:highlight w:val="none"/>
        </w:rPr>
        <w:t>。强制性质量标准有（包括但不限于）：</w:t>
      </w:r>
      <w:r>
        <w:rPr>
          <w:rFonts w:hint="eastAsia" w:ascii="宋体" w:hAnsi="宋体"/>
          <w:color w:val="auto"/>
          <w:szCs w:val="21"/>
          <w:highlight w:val="none"/>
          <w:u w:val="single"/>
        </w:rPr>
        <w:t xml:space="preserve">            </w:t>
      </w:r>
      <w:r>
        <w:rPr>
          <w:rFonts w:hint="eastAsia" w:ascii="宋体" w:hAnsi="宋体"/>
          <w:color w:val="auto"/>
          <w:szCs w:val="21"/>
          <w:highlight w:val="none"/>
        </w:rPr>
        <w:t>。</w:t>
      </w:r>
    </w:p>
    <w:bookmarkEnd w:id="1435"/>
    <w:p w14:paraId="7B142E03">
      <w:pPr>
        <w:pStyle w:val="7"/>
        <w:spacing w:before="0" w:beforeAutospacing="0" w:after="0" w:afterAutospacing="0" w:line="360" w:lineRule="auto"/>
        <w:ind w:firstLine="422" w:firstLineChars="200"/>
        <w:rPr>
          <w:color w:val="auto"/>
          <w:sz w:val="21"/>
          <w:szCs w:val="21"/>
          <w:highlight w:val="none"/>
        </w:rPr>
      </w:pPr>
      <w:bookmarkStart w:id="1443" w:name="_Toc532377346"/>
      <w:r>
        <w:rPr>
          <w:rFonts w:hint="eastAsia"/>
          <w:color w:val="auto"/>
          <w:sz w:val="21"/>
          <w:szCs w:val="21"/>
          <w:highlight w:val="none"/>
        </w:rPr>
        <w:t>5.2 质量保证措施</w:t>
      </w:r>
      <w:bookmarkEnd w:id="1443"/>
    </w:p>
    <w:p w14:paraId="418AC91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本款补充5.2.4项：</w:t>
      </w:r>
    </w:p>
    <w:p w14:paraId="7A1A3DD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5.2.4 在工程建设中，参建各方应严格执行以下规定（包括但不限于）：</w:t>
      </w:r>
    </w:p>
    <w:p w14:paraId="2AD8325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《建筑工程施工质量验收统一标准》（GB50300-2013）</w:t>
      </w:r>
      <w:r>
        <w:rPr>
          <w:rFonts w:hint="eastAsia" w:ascii="宋体" w:hAnsi="宋体"/>
          <w:color w:val="auto"/>
          <w:szCs w:val="21"/>
          <w:highlight w:val="none"/>
        </w:rPr>
        <w:t>；</w:t>
      </w:r>
    </w:p>
    <w:p w14:paraId="474F7F6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single"/>
        </w:rPr>
        <w:t>《住房城乡建设部关于印发工程质量安全提升行动方案的通知》（建质〔2017〕57号）</w:t>
      </w:r>
      <w:r>
        <w:rPr>
          <w:rFonts w:hint="eastAsia" w:ascii="宋体" w:hAnsi="宋体"/>
          <w:color w:val="auto"/>
          <w:szCs w:val="21"/>
          <w:highlight w:val="none"/>
        </w:rPr>
        <w:t>；</w:t>
      </w:r>
    </w:p>
    <w:p w14:paraId="2C9AFF7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u w:val="single"/>
        </w:rPr>
        <w:t>《房屋建筑和市政基础设施工程竣工验收规定》（建质〔2013〕171号）</w:t>
      </w:r>
      <w:r>
        <w:rPr>
          <w:rFonts w:hint="eastAsia" w:ascii="宋体" w:hAnsi="宋体"/>
          <w:color w:val="auto"/>
          <w:szCs w:val="21"/>
          <w:highlight w:val="none"/>
        </w:rPr>
        <w:t>；</w:t>
      </w:r>
    </w:p>
    <w:p w14:paraId="3B8CA94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u w:val="single"/>
        </w:rPr>
        <w:t>《建设部关于贯彻执行建筑工程勘察设计及施工质量验收规范若干问题的通知》（建标〔2002〕212号）</w:t>
      </w:r>
      <w:r>
        <w:rPr>
          <w:rFonts w:hint="eastAsia" w:ascii="宋体" w:hAnsi="宋体"/>
          <w:color w:val="auto"/>
          <w:szCs w:val="21"/>
          <w:highlight w:val="none"/>
        </w:rPr>
        <w:t>；</w:t>
      </w:r>
    </w:p>
    <w:p w14:paraId="3BCF90C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u w:val="single"/>
        </w:rPr>
        <w:t>《重庆市住房和城乡建设委员会关于印发&lt;重庆市房屋建筑和市政基础设施工程质量常见问题防治要点（2019年版）&gt;的通知》（渝建〔2019〕198号）</w:t>
      </w:r>
      <w:r>
        <w:rPr>
          <w:rFonts w:hint="eastAsia" w:ascii="宋体" w:hAnsi="宋体"/>
          <w:color w:val="auto"/>
          <w:szCs w:val="21"/>
          <w:highlight w:val="none"/>
        </w:rPr>
        <w:t>；</w:t>
      </w:r>
    </w:p>
    <w:p w14:paraId="17F90CB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u w:val="single"/>
        </w:rPr>
        <w:t>《关于印发&lt;重庆市房屋建筑和市政基础设施工程预拌商品砂浆应用推进工作方案&gt;的通知》（渝建〔2018〕375号）</w:t>
      </w:r>
      <w:r>
        <w:rPr>
          <w:rFonts w:hint="eastAsia" w:ascii="宋体" w:hAnsi="宋体"/>
          <w:color w:val="auto"/>
          <w:szCs w:val="21"/>
          <w:highlight w:val="none"/>
        </w:rPr>
        <w:t>；</w:t>
      </w:r>
    </w:p>
    <w:p w14:paraId="6711A21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w:t>
      </w:r>
      <w:r>
        <w:rPr>
          <w:rFonts w:hint="eastAsia" w:ascii="宋体" w:hAnsi="宋体"/>
          <w:color w:val="auto"/>
          <w:szCs w:val="21"/>
          <w:highlight w:val="none"/>
          <w:u w:val="single"/>
        </w:rPr>
        <w:t>《重庆市城乡建设委员会关于印发2018年房屋建筑和市政基础设施工程质量要点的通知》（渝建〔2018〕94号）</w:t>
      </w:r>
      <w:r>
        <w:rPr>
          <w:rFonts w:hint="eastAsia" w:ascii="宋体" w:hAnsi="宋体"/>
          <w:color w:val="auto"/>
          <w:szCs w:val="21"/>
          <w:highlight w:val="none"/>
        </w:rPr>
        <w:t>；</w:t>
      </w:r>
    </w:p>
    <w:p w14:paraId="443620F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w:t>
      </w:r>
      <w:r>
        <w:rPr>
          <w:rFonts w:hint="eastAsia" w:ascii="宋体" w:hAnsi="宋体"/>
          <w:color w:val="auto"/>
          <w:szCs w:val="21"/>
          <w:highlight w:val="none"/>
          <w:u w:val="single"/>
        </w:rPr>
        <w:t>《重庆市城乡建设委员会关于进一步推广应用预拌商品砂浆的通知》（渝建〔2016〕318号）</w:t>
      </w:r>
      <w:r>
        <w:rPr>
          <w:rFonts w:hint="eastAsia" w:ascii="宋体" w:hAnsi="宋体"/>
          <w:color w:val="auto"/>
          <w:szCs w:val="21"/>
          <w:highlight w:val="none"/>
        </w:rPr>
        <w:t>；</w:t>
      </w:r>
    </w:p>
    <w:p w14:paraId="0A1F1CA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w:t>
      </w:r>
      <w:r>
        <w:rPr>
          <w:rFonts w:hint="eastAsia" w:ascii="宋体" w:hAnsi="宋体"/>
          <w:color w:val="auto"/>
          <w:szCs w:val="21"/>
          <w:highlight w:val="none"/>
          <w:u w:val="single"/>
        </w:rPr>
        <w:t>《重庆市建设委员会关于发布&lt;建筑工程施工质量验收规范用表（建筑节能分部工程）&gt;和&lt;建设工程技术用表（建筑节能工程）&gt;的通知》（渝建发〔2008〕76号）</w:t>
      </w:r>
      <w:r>
        <w:rPr>
          <w:rFonts w:hint="eastAsia" w:ascii="宋体" w:hAnsi="宋体"/>
          <w:color w:val="auto"/>
          <w:szCs w:val="21"/>
          <w:highlight w:val="none"/>
        </w:rPr>
        <w:t>；</w:t>
      </w:r>
    </w:p>
    <w:p w14:paraId="51F84F3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w:t>
      </w:r>
      <w:r>
        <w:rPr>
          <w:rFonts w:hint="eastAsia" w:ascii="宋体" w:hAnsi="宋体"/>
          <w:color w:val="auto"/>
          <w:szCs w:val="21"/>
          <w:highlight w:val="none"/>
          <w:u w:val="single"/>
        </w:rPr>
        <w:t>国家和本市现行有关建设工程质量验收标准、规范和要求</w:t>
      </w:r>
      <w:r>
        <w:rPr>
          <w:rFonts w:hint="eastAsia" w:ascii="宋体" w:hAnsi="宋体"/>
          <w:color w:val="auto"/>
          <w:szCs w:val="21"/>
          <w:highlight w:val="none"/>
        </w:rPr>
        <w:t>；</w:t>
      </w:r>
    </w:p>
    <w:p w14:paraId="063A2175">
      <w:pPr>
        <w:pStyle w:val="2"/>
        <w:spacing w:after="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373B6B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承包人、监理人和发包人在工程建设中，应严格执行国家及重庆市现行标准，如上述标准及规范要求有出入则以较严格者为准。</w:t>
      </w:r>
    </w:p>
    <w:p w14:paraId="52B11204">
      <w:pPr>
        <w:pStyle w:val="7"/>
        <w:spacing w:before="0" w:beforeAutospacing="0" w:after="0" w:afterAutospacing="0" w:line="360" w:lineRule="auto"/>
        <w:ind w:firstLine="422" w:firstLineChars="200"/>
        <w:rPr>
          <w:color w:val="auto"/>
          <w:sz w:val="21"/>
          <w:szCs w:val="21"/>
          <w:highlight w:val="none"/>
        </w:rPr>
      </w:pPr>
      <w:bookmarkStart w:id="1444" w:name="_Toc351203536"/>
      <w:bookmarkStart w:id="1445" w:name="_Toc532377347"/>
      <w:bookmarkStart w:id="1446" w:name="_Hlk528927873"/>
      <w:r>
        <w:rPr>
          <w:rFonts w:hint="eastAsia"/>
          <w:color w:val="auto"/>
          <w:sz w:val="21"/>
          <w:szCs w:val="21"/>
          <w:highlight w:val="none"/>
        </w:rPr>
        <w:t>5.3隐蔽工程检查</w:t>
      </w:r>
    </w:p>
    <w:p w14:paraId="0AD6E1A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5.3.2检查程序</w:t>
      </w:r>
    </w:p>
    <w:p w14:paraId="0D1341B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工程隐蔽部位经承包人自检确认具备覆盖条件的，承包人应在共同检查前</w:t>
      </w:r>
      <w:r>
        <w:rPr>
          <w:rFonts w:hint="eastAsia" w:ascii="宋体" w:hAnsi="宋体"/>
          <w:color w:val="auto"/>
          <w:szCs w:val="21"/>
          <w:highlight w:val="none"/>
          <w:u w:val="single"/>
        </w:rPr>
        <w:t xml:space="preserve">    </w:t>
      </w:r>
      <w:r>
        <w:rPr>
          <w:rFonts w:hint="eastAsia" w:ascii="宋体" w:hAnsi="宋体"/>
          <w:color w:val="auto"/>
          <w:szCs w:val="21"/>
          <w:highlight w:val="none"/>
        </w:rPr>
        <w:t>小时书面通知监理人检查，通知中应载明隐蔽检查的内容、时间和地点，并应附有自检记录和必要的检查资料。</w:t>
      </w:r>
    </w:p>
    <w:p w14:paraId="788256D9">
      <w:pPr>
        <w:pStyle w:val="7"/>
        <w:spacing w:before="0" w:beforeAutospacing="0" w:after="0" w:afterAutospacing="0" w:line="360" w:lineRule="auto"/>
        <w:ind w:firstLine="422" w:firstLineChars="200"/>
        <w:rPr>
          <w:color w:val="auto"/>
          <w:sz w:val="21"/>
          <w:szCs w:val="21"/>
          <w:highlight w:val="none"/>
        </w:rPr>
      </w:pPr>
      <w:r>
        <w:rPr>
          <w:rFonts w:hint="eastAsia"/>
          <w:color w:val="auto"/>
          <w:sz w:val="21"/>
          <w:szCs w:val="21"/>
          <w:highlight w:val="none"/>
        </w:rPr>
        <w:t>5</w:t>
      </w:r>
      <w:bookmarkStart w:id="1447" w:name="_Toc337558762"/>
      <w:r>
        <w:rPr>
          <w:rFonts w:hint="eastAsia"/>
          <w:color w:val="auto"/>
          <w:sz w:val="21"/>
          <w:szCs w:val="21"/>
          <w:highlight w:val="none"/>
        </w:rPr>
        <w:t>.4 不合格工程的处理</w:t>
      </w:r>
      <w:bookmarkEnd w:id="1444"/>
      <w:bookmarkEnd w:id="1445"/>
    </w:p>
    <w:bookmarkEnd w:id="1447"/>
    <w:p w14:paraId="536F6E3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本款补充5.4.3项：</w:t>
      </w:r>
    </w:p>
    <w:p w14:paraId="6678052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5.4.3 承包人在收到监理人发出的《不合格分项报告》或监理通知单后，必须在监理人规定时间内按要求完成整改，未能在限定时间内完成整改的，须承担相应违约责任。</w:t>
      </w:r>
    </w:p>
    <w:p w14:paraId="7C87317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本条补充5.6款：</w:t>
      </w:r>
    </w:p>
    <w:bookmarkEnd w:id="1446"/>
    <w:p w14:paraId="37817E7E">
      <w:pPr>
        <w:pStyle w:val="7"/>
        <w:spacing w:before="0" w:beforeAutospacing="0" w:after="0" w:afterAutospacing="0" w:line="360" w:lineRule="auto"/>
        <w:ind w:firstLine="422" w:firstLineChars="200"/>
        <w:rPr>
          <w:color w:val="auto"/>
          <w:sz w:val="21"/>
          <w:szCs w:val="21"/>
          <w:highlight w:val="none"/>
        </w:rPr>
      </w:pPr>
      <w:bookmarkStart w:id="1448" w:name="_Toc532377348"/>
      <w:r>
        <w:rPr>
          <w:rFonts w:hint="eastAsia"/>
          <w:color w:val="auto"/>
          <w:sz w:val="21"/>
          <w:szCs w:val="21"/>
          <w:highlight w:val="none"/>
        </w:rPr>
        <w:t>5.6 质量事故的处理</w:t>
      </w:r>
      <w:bookmarkEnd w:id="1448"/>
    </w:p>
    <w:p w14:paraId="59E24DC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5.6.1 合同履行过程中，发生工程质量事故的调查处理按照国家及重庆市现行规定处理。</w:t>
      </w:r>
    </w:p>
    <w:p w14:paraId="323A10A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bookmarkEnd w:id="1424"/>
    <w:bookmarkEnd w:id="1425"/>
    <w:bookmarkEnd w:id="1426"/>
    <w:bookmarkEnd w:id="1427"/>
    <w:bookmarkEnd w:id="1428"/>
    <w:bookmarkEnd w:id="1429"/>
    <w:bookmarkEnd w:id="1430"/>
    <w:bookmarkEnd w:id="1431"/>
    <w:bookmarkEnd w:id="1432"/>
    <w:bookmarkEnd w:id="1433"/>
    <w:bookmarkEnd w:id="1436"/>
    <w:bookmarkEnd w:id="1437"/>
    <w:bookmarkEnd w:id="1438"/>
    <w:bookmarkEnd w:id="1439"/>
    <w:bookmarkEnd w:id="1440"/>
    <w:bookmarkEnd w:id="1441"/>
    <w:bookmarkEnd w:id="1442"/>
    <w:p w14:paraId="451E4FAA">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449" w:name="_Toc351203638"/>
      <w:bookmarkStart w:id="1450" w:name="_Toc532375613"/>
      <w:bookmarkStart w:id="1451" w:name="_Toc532377349"/>
      <w:bookmarkStart w:id="1452" w:name="_Toc292559883"/>
      <w:bookmarkStart w:id="1453" w:name="_Toc296346674"/>
      <w:bookmarkStart w:id="1454" w:name="_Toc297120473"/>
      <w:bookmarkStart w:id="1455" w:name="_Toc351203642"/>
      <w:bookmarkStart w:id="1456" w:name="_Toc267251428"/>
      <w:bookmarkStart w:id="1457" w:name="_Toc292559378"/>
      <w:bookmarkStart w:id="1458" w:name="_Toc296891001"/>
      <w:bookmarkStart w:id="1459" w:name="_Toc267251427"/>
      <w:bookmarkStart w:id="1460" w:name="_Toc296944512"/>
      <w:bookmarkStart w:id="1461" w:name="_Toc296891213"/>
      <w:bookmarkStart w:id="1462" w:name="_Toc296347172"/>
      <w:bookmarkStart w:id="1463" w:name="_Toc297048359"/>
      <w:bookmarkStart w:id="1464" w:name="_Toc296503173"/>
      <w:r>
        <w:rPr>
          <w:rFonts w:hint="eastAsia"/>
          <w:color w:val="auto"/>
          <w:kern w:val="2"/>
          <w:sz w:val="21"/>
          <w:szCs w:val="21"/>
          <w:highlight w:val="none"/>
        </w:rPr>
        <w:t>6. 安全文明施工与环境保护</w:t>
      </w:r>
      <w:bookmarkEnd w:id="1449"/>
      <w:bookmarkEnd w:id="1450"/>
      <w:bookmarkEnd w:id="1451"/>
    </w:p>
    <w:p w14:paraId="56529BB7">
      <w:pPr>
        <w:pStyle w:val="7"/>
        <w:spacing w:before="0" w:beforeAutospacing="0" w:after="0" w:afterAutospacing="0" w:line="360" w:lineRule="auto"/>
        <w:ind w:firstLine="422" w:firstLineChars="200"/>
        <w:rPr>
          <w:color w:val="auto"/>
          <w:sz w:val="21"/>
          <w:szCs w:val="21"/>
          <w:highlight w:val="none"/>
        </w:rPr>
      </w:pPr>
      <w:bookmarkStart w:id="1465" w:name="_Toc532375614"/>
      <w:bookmarkStart w:id="1466" w:name="_Toc532377350"/>
      <w:r>
        <w:rPr>
          <w:rFonts w:hint="eastAsia"/>
          <w:color w:val="auto"/>
          <w:sz w:val="21"/>
          <w:szCs w:val="21"/>
          <w:highlight w:val="none"/>
        </w:rPr>
        <w:t>6.1 安全文明施工</w:t>
      </w:r>
      <w:bookmarkEnd w:id="1465"/>
      <w:bookmarkEnd w:id="1466"/>
    </w:p>
    <w:p w14:paraId="52DD28E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承包人必须认真贯彻执行国家安全生产法律、法规、规章和强制性安全标准，按照重庆市现行的质量、安全文明施工有关规定和发包人安全管理的有关规定，建立完善的质量、安全、文明施工管理制度。</w:t>
      </w:r>
    </w:p>
    <w:p w14:paraId="754F107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的施工要做到节能、环保，如果通过采用新材料、新设备、新工艺、新技术的手段来提高工程质量或节省工期，则必须保证新材料、新设备、新工艺、新技术是成熟的并获得相关部门正式批准的，同时使用前承包人必须组织专家论证，并得到发包人、监理人的批准。</w:t>
      </w:r>
    </w:p>
    <w:p w14:paraId="6C10BC8D">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6.1.1 项目安全生产的达标目标及相应事项的约定：</w:t>
      </w:r>
      <w:r>
        <w:rPr>
          <w:rFonts w:hint="eastAsia" w:ascii="宋体" w:hAnsi="宋体"/>
          <w:color w:val="auto"/>
          <w:szCs w:val="21"/>
          <w:highlight w:val="none"/>
          <w:u w:val="single"/>
        </w:rPr>
        <w:t>达到《建筑施工安全检查标准》（JGJ59-2011）的要求</w:t>
      </w:r>
      <w:r>
        <w:rPr>
          <w:rFonts w:hint="eastAsia" w:ascii="宋体" w:hAnsi="宋体"/>
          <w:color w:val="auto"/>
          <w:szCs w:val="21"/>
          <w:highlight w:val="none"/>
        </w:rPr>
        <w:t>。</w:t>
      </w:r>
    </w:p>
    <w:p w14:paraId="37A32DD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（1）按现行安全文明施工费计取及使用管理的政策文件规定及发包人制订的安全管理制度执行</w:t>
      </w:r>
      <w:r>
        <w:rPr>
          <w:rFonts w:hint="eastAsia" w:ascii="宋体" w:hAnsi="宋体"/>
          <w:color w:val="auto"/>
          <w:szCs w:val="21"/>
          <w:highlight w:val="none"/>
        </w:rPr>
        <w:t>。</w:t>
      </w:r>
    </w:p>
    <w:p w14:paraId="452F32E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（2）承包人的原因造成事故，由此产生的法律责任和事故责任及费用由承包人全部承担</w:t>
      </w:r>
      <w:r>
        <w:rPr>
          <w:rFonts w:hint="eastAsia" w:ascii="宋体" w:hAnsi="宋体"/>
          <w:color w:val="auto"/>
          <w:szCs w:val="21"/>
          <w:highlight w:val="none"/>
        </w:rPr>
        <w:t>。</w:t>
      </w:r>
    </w:p>
    <w:p w14:paraId="5D3250C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（3）承包人向发包人做出安全承诺，并签订《安全生产目标责任书》和《安全承诺书》</w:t>
      </w:r>
      <w:r>
        <w:rPr>
          <w:rFonts w:hint="eastAsia" w:ascii="宋体" w:hAnsi="宋体"/>
          <w:color w:val="auto"/>
          <w:szCs w:val="21"/>
          <w:highlight w:val="none"/>
        </w:rPr>
        <w:t>。</w:t>
      </w:r>
    </w:p>
    <w:p w14:paraId="12F63DB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（4）承包人在施工过程中，必须严格执行安全生产法的相关规定，制定切实可靠的安全技术措施</w:t>
      </w:r>
      <w:r>
        <w:rPr>
          <w:rFonts w:hint="eastAsia" w:ascii="宋体" w:hAnsi="宋体"/>
          <w:color w:val="auto"/>
          <w:szCs w:val="21"/>
          <w:highlight w:val="none"/>
        </w:rPr>
        <w:t>。</w:t>
      </w:r>
    </w:p>
    <w:p w14:paraId="34815BEE">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（5）接受发包人安全监督和管理，在施工中违反安全管理规定和操作规程、违章作业的，承担违约责任</w:t>
      </w:r>
      <w:r>
        <w:rPr>
          <w:rFonts w:hint="eastAsia" w:ascii="宋体" w:hAnsi="宋体"/>
          <w:color w:val="auto"/>
          <w:szCs w:val="21"/>
          <w:highlight w:val="none"/>
        </w:rPr>
        <w:t>。</w:t>
      </w:r>
    </w:p>
    <w:p w14:paraId="0CF5AFC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6.1.4 关于治安保卫的特别约定：</w:t>
      </w:r>
      <w:r>
        <w:rPr>
          <w:rFonts w:hint="eastAsia" w:ascii="宋体" w:hAnsi="宋体"/>
          <w:color w:val="auto"/>
          <w:szCs w:val="21"/>
          <w:highlight w:val="none"/>
          <w:u w:val="single"/>
        </w:rPr>
        <w:t>承包人负责组建施工现场治安管理机构或联防组织；承包人负责编制施工场地治安管理计划和突发治安事件紧急预案</w:t>
      </w:r>
      <w:r>
        <w:rPr>
          <w:rFonts w:hint="eastAsia" w:ascii="宋体" w:hAnsi="宋体"/>
          <w:color w:val="auto"/>
          <w:szCs w:val="21"/>
          <w:highlight w:val="none"/>
        </w:rPr>
        <w:t>。</w:t>
      </w:r>
    </w:p>
    <w:p w14:paraId="0640F872">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关于编制施工场地治安管理计划的约定：</w:t>
      </w:r>
      <w:r>
        <w:rPr>
          <w:rFonts w:hint="eastAsia" w:ascii="宋体" w:hAnsi="宋体"/>
          <w:color w:val="auto"/>
          <w:szCs w:val="21"/>
          <w:highlight w:val="none"/>
          <w:u w:val="single"/>
        </w:rPr>
        <w:t>由承包人负责</w:t>
      </w:r>
      <w:r>
        <w:rPr>
          <w:rFonts w:hint="eastAsia" w:ascii="宋体" w:hAnsi="宋体"/>
          <w:color w:val="auto"/>
          <w:szCs w:val="21"/>
          <w:highlight w:val="none"/>
        </w:rPr>
        <w:t>。</w:t>
      </w:r>
    </w:p>
    <w:p w14:paraId="2FBB617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6.1.5 文明施工</w:t>
      </w:r>
    </w:p>
    <w:p w14:paraId="53723D91">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合同当事人对文明施工的要求：</w:t>
      </w:r>
      <w:r>
        <w:rPr>
          <w:rFonts w:hint="eastAsia" w:ascii="宋体" w:hAnsi="宋体"/>
          <w:color w:val="auto"/>
          <w:szCs w:val="21"/>
          <w:highlight w:val="none"/>
          <w:u w:val="single"/>
        </w:rPr>
        <w:t>承包人应按照《房屋建筑和市政基础设施工程施工扬尘控制工作方案》（渝建发〔2009〕13号）、《重庆市建设委员会关于印发&lt;重庆市房屋建筑和市政基础设施工程现场文明施工标准&gt;的通知》（渝建发〔2008〕169号）等相关规定履行好施工扬尘控制、文明施工等责任</w:t>
      </w:r>
      <w:r>
        <w:rPr>
          <w:rFonts w:hint="eastAsia" w:ascii="宋体" w:hAnsi="宋体"/>
          <w:color w:val="auto"/>
          <w:szCs w:val="21"/>
          <w:highlight w:val="none"/>
        </w:rPr>
        <w:t>。</w:t>
      </w:r>
    </w:p>
    <w:p w14:paraId="00C999ED">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承包人应按规定设置施工现场围挡，承包人采用的围挡主体形式应从重庆市城乡建委发布的标准图集（DJBT-062、DJBT-063）中选用，做好施工围挡，围挡应整齐美观，承包人按相关要求做好日常维护和保洁，围挡高度满足规范要求，相关费用已包含在签约合同价中</w:t>
      </w:r>
      <w:r>
        <w:rPr>
          <w:rFonts w:hint="eastAsia" w:ascii="宋体" w:hAnsi="宋体"/>
          <w:color w:val="auto"/>
          <w:szCs w:val="21"/>
          <w:highlight w:val="none"/>
        </w:rPr>
        <w:t>。</w:t>
      </w:r>
    </w:p>
    <w:p w14:paraId="17FF9B02">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6.1.6 关于安全文明施工费支付比例和支付期限的约定：按照行业主管部门相关规定</w:t>
      </w:r>
      <w:r>
        <w:rPr>
          <w:rFonts w:hint="eastAsia" w:ascii="宋体" w:hAnsi="宋体"/>
          <w:color w:val="auto"/>
          <w:szCs w:val="21"/>
          <w:highlight w:val="none"/>
          <w:u w:val="single"/>
        </w:rPr>
        <w:t xml:space="preserve">                 </w:t>
      </w:r>
      <w:r>
        <w:rPr>
          <w:rFonts w:hint="eastAsia" w:ascii="宋体" w:hAnsi="宋体"/>
          <w:color w:val="auto"/>
          <w:szCs w:val="21"/>
          <w:highlight w:val="none"/>
        </w:rPr>
        <w:t>执行。</w:t>
      </w:r>
    </w:p>
    <w:p w14:paraId="37C8139E">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安全文明施工费的要求与内容、提取支付方法以及违反约定造成损失的赔偿等条款，按照现行规范要求执行，做到专款专用</w:t>
      </w:r>
      <w:r>
        <w:rPr>
          <w:rFonts w:hint="eastAsia" w:ascii="宋体" w:hAnsi="宋体"/>
          <w:color w:val="auto"/>
          <w:szCs w:val="21"/>
          <w:highlight w:val="none"/>
        </w:rPr>
        <w:t>。</w:t>
      </w:r>
    </w:p>
    <w:p w14:paraId="06CA0A16">
      <w:pPr>
        <w:pStyle w:val="7"/>
        <w:spacing w:before="0" w:beforeAutospacing="0" w:after="0" w:afterAutospacing="0" w:line="360" w:lineRule="auto"/>
        <w:ind w:firstLine="422" w:firstLineChars="200"/>
        <w:rPr>
          <w:color w:val="auto"/>
          <w:sz w:val="21"/>
          <w:szCs w:val="21"/>
          <w:highlight w:val="none"/>
        </w:rPr>
      </w:pPr>
      <w:bookmarkStart w:id="1467" w:name="_Toc532375615"/>
      <w:bookmarkStart w:id="1468" w:name="_Toc532377351"/>
      <w:r>
        <w:rPr>
          <w:rFonts w:hint="eastAsia"/>
          <w:color w:val="auto"/>
          <w:sz w:val="21"/>
          <w:szCs w:val="21"/>
          <w:highlight w:val="none"/>
        </w:rPr>
        <w:t>6.3 环境保护</w:t>
      </w:r>
      <w:bookmarkEnd w:id="1467"/>
      <w:bookmarkEnd w:id="1468"/>
    </w:p>
    <w:p w14:paraId="1C9DA736">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本款补充6.3.1～6.3.8项：</w:t>
      </w:r>
    </w:p>
    <w:p w14:paraId="7577ACDD">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6.3.1 承包人应严格按照项目环境影响评价文件批准书结合发包人报送的环境影响报告书的要求进行环境保护的相关工作。如行政主管部门有新标准，则按最新标准执行，执行新标准增加的费用由发包人承担。</w:t>
      </w:r>
    </w:p>
    <w:p w14:paraId="23D6E78C">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6.3.2 承包人应做好对周边环境的调查工作，认真编制施工组织设计，严格按照施工方案组织施工，涉及交通、绿化、市政、环保、生态、公共安全等的施工方案应达到相关标准要求并在施工前得到相关行政主管部门和单位的同意，否则不得施工，因施工原因引起的一切投诉及处罚由承包人自行负责。</w:t>
      </w:r>
    </w:p>
    <w:p w14:paraId="36A67E52">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6.3.3 承包人应加强生态环境保护工作。施工期间，采取边坡防护，挡渣坝、排水沟、沉淀池、表土剥离和绿化恢复等水土保持措施减少水土流失量，绿化恢复宜采用适于当地生长的植物。</w:t>
      </w:r>
    </w:p>
    <w:p w14:paraId="67C22364">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6.3.4 承包人应认真落实水污染防治措施。施工期间，加强机械设备维护，减少跑冒滴漏等现象；做好含油废水处理措施；施工场地生活污水经生化处理后达到《污水综合排放标准》（GB8978-1996）一级标准后排放。</w:t>
      </w:r>
    </w:p>
    <w:p w14:paraId="7CA309C6">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6.3.5 承包人应重视大气污染物污染防治措施。施工期间，严格执行市政府“蓝天行动”方案等有关规定，通过洒水防尘，严格控制施工场地扬尘和运输扬尘污染。</w:t>
      </w:r>
    </w:p>
    <w:p w14:paraId="726E6223">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6.3.6 承包人应落实固体废物污染防治措施。施工期间，项目产生的弃方不可合理</w:t>
      </w:r>
      <w:r>
        <w:rPr>
          <w:rFonts w:ascii="宋体" w:hAnsi="宋体"/>
          <w:color w:val="auto"/>
          <w:szCs w:val="21"/>
          <w:highlight w:val="none"/>
        </w:rPr>
        <w:t>利用的</w:t>
      </w:r>
      <w:r>
        <w:rPr>
          <w:rFonts w:hint="eastAsia" w:ascii="宋体" w:hAnsi="宋体"/>
          <w:color w:val="auto"/>
          <w:szCs w:val="21"/>
          <w:highlight w:val="none"/>
        </w:rPr>
        <w:t>，应运往指定的弃渣场内堆存；建筑垃圾运至指定的建筑垃圾消纳场处置；生活垃圾由当地环卫部门统一处置。</w:t>
      </w:r>
    </w:p>
    <w:p w14:paraId="7835FFE0">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6.3.7 承包人应认真落实噪声污染防治措施。施工期间，优选低噪声设备，合理安排施工时间，严格控制夜间施工，昼、夜施工场界需满足《建筑施工场界环境噪声排放标准》（GB12523-2011）。</w:t>
      </w:r>
    </w:p>
    <w:p w14:paraId="4451C80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6.3.8 承包人自行负责办理有关施工场地交通、环卫和施工噪音管理等手续，并应按要求结合自身实际和重庆市相关规定，考虑不低于以上标准的此类工作。</w:t>
      </w:r>
    </w:p>
    <w:p w14:paraId="1175B2E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6.3.9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240672E">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469" w:name="_Toc351203639"/>
      <w:bookmarkStart w:id="1470" w:name="_Toc532375616"/>
      <w:bookmarkStart w:id="1471" w:name="_Toc532377352"/>
      <w:r>
        <w:rPr>
          <w:rFonts w:hint="eastAsia"/>
          <w:color w:val="auto"/>
          <w:kern w:val="2"/>
          <w:sz w:val="21"/>
          <w:szCs w:val="21"/>
          <w:highlight w:val="none"/>
        </w:rPr>
        <w:t>7. 工期和进度</w:t>
      </w:r>
      <w:bookmarkEnd w:id="1469"/>
      <w:bookmarkEnd w:id="1470"/>
      <w:bookmarkEnd w:id="1471"/>
    </w:p>
    <w:p w14:paraId="31BEA3B0">
      <w:pPr>
        <w:pStyle w:val="7"/>
        <w:spacing w:before="0" w:beforeAutospacing="0" w:after="0" w:afterAutospacing="0" w:line="360" w:lineRule="auto"/>
        <w:ind w:firstLine="422" w:firstLineChars="200"/>
        <w:rPr>
          <w:color w:val="auto"/>
          <w:sz w:val="21"/>
          <w:szCs w:val="21"/>
          <w:highlight w:val="none"/>
        </w:rPr>
      </w:pPr>
      <w:bookmarkStart w:id="1472" w:name="_Toc532377353"/>
      <w:bookmarkStart w:id="1473" w:name="_Toc532375617"/>
      <w:r>
        <w:rPr>
          <w:rFonts w:hint="eastAsia"/>
          <w:color w:val="auto"/>
          <w:sz w:val="21"/>
          <w:szCs w:val="21"/>
          <w:highlight w:val="none"/>
        </w:rPr>
        <w:t>7.1 施工组织设计</w:t>
      </w:r>
      <w:bookmarkEnd w:id="1472"/>
      <w:bookmarkEnd w:id="1473"/>
    </w:p>
    <w:p w14:paraId="31BB06BB">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7.1.1 合同当事人约定的施工组织设计应包括的其他内容：</w:t>
      </w:r>
      <w:r>
        <w:rPr>
          <w:rFonts w:hint="eastAsia" w:ascii="宋体" w:hAnsi="宋体"/>
          <w:color w:val="auto"/>
          <w:szCs w:val="21"/>
          <w:highlight w:val="none"/>
          <w:u w:val="single"/>
        </w:rPr>
        <w:t>应采用文字并结合图表形式说明施工方法；拟投入工程的主要施工设备情况、拟配备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按发包人要求提供</w:t>
      </w:r>
      <w:r>
        <w:rPr>
          <w:rFonts w:hint="eastAsia" w:ascii="宋体" w:hAnsi="宋体"/>
          <w:color w:val="auto"/>
          <w:szCs w:val="21"/>
          <w:highlight w:val="none"/>
        </w:rPr>
        <w:t>。</w:t>
      </w:r>
    </w:p>
    <w:p w14:paraId="4E008FD6">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7.1.2 施工组织设计的提交和修改</w:t>
      </w:r>
    </w:p>
    <w:p w14:paraId="09C5B871">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承包人提交详细施工组织设计的期限的约定：</w:t>
      </w:r>
      <w:r>
        <w:rPr>
          <w:rFonts w:hint="eastAsia" w:ascii="宋体" w:hAnsi="宋体"/>
          <w:color w:val="auto"/>
          <w:szCs w:val="21"/>
          <w:highlight w:val="none"/>
          <w:u w:val="single"/>
        </w:rPr>
        <w:t>合同签订后  天内，但最迟不得晚于开工通知载明的开工日期前7天</w:t>
      </w:r>
      <w:r>
        <w:rPr>
          <w:rFonts w:hint="eastAsia" w:ascii="宋体" w:hAnsi="宋体"/>
          <w:color w:val="auto"/>
          <w:szCs w:val="21"/>
          <w:highlight w:val="none"/>
        </w:rPr>
        <w:t>。</w:t>
      </w:r>
    </w:p>
    <w:p w14:paraId="0EFF345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发包人和监理人在收到详细的施工组织设计后确认或提出修改意见的期限：</w:t>
      </w:r>
      <w:r>
        <w:rPr>
          <w:rFonts w:hint="eastAsia" w:ascii="宋体" w:hAnsi="宋体"/>
          <w:color w:val="auto"/>
          <w:szCs w:val="21"/>
          <w:highlight w:val="none"/>
          <w:u w:val="single"/>
        </w:rPr>
        <w:t>收到施工组织设计后  天内</w:t>
      </w:r>
      <w:r>
        <w:rPr>
          <w:rFonts w:hint="eastAsia" w:ascii="宋体" w:hAnsi="宋体"/>
          <w:color w:val="auto"/>
          <w:szCs w:val="21"/>
          <w:highlight w:val="none"/>
        </w:rPr>
        <w:t>。</w:t>
      </w:r>
    </w:p>
    <w:p w14:paraId="0CEF9242">
      <w:pPr>
        <w:pStyle w:val="7"/>
        <w:spacing w:before="0" w:beforeAutospacing="0" w:after="0" w:afterAutospacing="0" w:line="360" w:lineRule="auto"/>
        <w:ind w:firstLine="422" w:firstLineChars="200"/>
        <w:rPr>
          <w:color w:val="auto"/>
          <w:sz w:val="21"/>
          <w:szCs w:val="21"/>
          <w:highlight w:val="none"/>
        </w:rPr>
      </w:pPr>
      <w:bookmarkStart w:id="1474" w:name="_Toc532377354"/>
      <w:bookmarkStart w:id="1475" w:name="_Toc532375618"/>
      <w:r>
        <w:rPr>
          <w:rFonts w:hint="eastAsia"/>
          <w:color w:val="auto"/>
          <w:sz w:val="21"/>
          <w:szCs w:val="21"/>
          <w:highlight w:val="none"/>
        </w:rPr>
        <w:t>7.2 施工进度计划</w:t>
      </w:r>
      <w:bookmarkEnd w:id="1474"/>
      <w:bookmarkEnd w:id="1475"/>
    </w:p>
    <w:p w14:paraId="610E9BF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7.2.2 施工进度计划的修订</w:t>
      </w:r>
    </w:p>
    <w:p w14:paraId="6732A60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发包人和监理人在收到修订的施工进度计划后确认或提出修改意见的期限：</w:t>
      </w:r>
      <w:r>
        <w:rPr>
          <w:rFonts w:hint="eastAsia" w:ascii="宋体" w:hAnsi="宋体"/>
          <w:color w:val="auto"/>
          <w:szCs w:val="21"/>
          <w:highlight w:val="none"/>
          <w:u w:val="single"/>
        </w:rPr>
        <w:t>收到修订的施工进度计划后  天内</w:t>
      </w:r>
      <w:r>
        <w:rPr>
          <w:rFonts w:hint="eastAsia" w:ascii="宋体" w:hAnsi="宋体"/>
          <w:color w:val="auto"/>
          <w:szCs w:val="21"/>
          <w:highlight w:val="none"/>
        </w:rPr>
        <w:t>。</w:t>
      </w:r>
    </w:p>
    <w:p w14:paraId="1AD2DBC5">
      <w:pPr>
        <w:pStyle w:val="7"/>
        <w:spacing w:before="0" w:beforeAutospacing="0" w:after="0" w:afterAutospacing="0" w:line="360" w:lineRule="auto"/>
        <w:ind w:firstLine="422" w:firstLineChars="200"/>
        <w:rPr>
          <w:color w:val="auto"/>
          <w:sz w:val="21"/>
          <w:szCs w:val="21"/>
          <w:highlight w:val="none"/>
        </w:rPr>
      </w:pPr>
      <w:bookmarkStart w:id="1476" w:name="_Toc532377355"/>
      <w:bookmarkStart w:id="1477" w:name="_Toc532375619"/>
      <w:bookmarkStart w:id="1478" w:name="_Toc300934966"/>
      <w:bookmarkStart w:id="1479" w:name="_Toc304295541"/>
      <w:bookmarkStart w:id="1480" w:name="_Toc312677479"/>
      <w:bookmarkStart w:id="1481" w:name="_Toc303539123"/>
      <w:bookmarkStart w:id="1482" w:name="_Toc297123514"/>
      <w:bookmarkStart w:id="1483" w:name="_Toc297216173"/>
      <w:bookmarkStart w:id="1484" w:name="_Toc312678005"/>
      <w:r>
        <w:rPr>
          <w:rFonts w:hint="eastAsia"/>
          <w:color w:val="auto"/>
          <w:sz w:val="21"/>
          <w:szCs w:val="21"/>
          <w:highlight w:val="none"/>
        </w:rPr>
        <w:t>7.3 开工</w:t>
      </w:r>
      <w:bookmarkEnd w:id="1476"/>
      <w:bookmarkEnd w:id="1477"/>
    </w:p>
    <w:p w14:paraId="5ADE144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7.3.1 开工准备</w:t>
      </w:r>
    </w:p>
    <w:p w14:paraId="7E4CFAB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关于承包人提交工程开工报审表的期限：</w:t>
      </w:r>
      <w:r>
        <w:rPr>
          <w:rFonts w:hint="eastAsia" w:ascii="宋体" w:hAnsi="宋体"/>
          <w:color w:val="auto"/>
          <w:szCs w:val="21"/>
          <w:highlight w:val="none"/>
          <w:u w:val="single"/>
        </w:rPr>
        <w:t>不晚于开工前  天</w:t>
      </w:r>
      <w:r>
        <w:rPr>
          <w:rFonts w:hint="eastAsia" w:ascii="宋体" w:hAnsi="宋体"/>
          <w:color w:val="auto"/>
          <w:szCs w:val="21"/>
          <w:highlight w:val="none"/>
        </w:rPr>
        <w:t>。</w:t>
      </w:r>
    </w:p>
    <w:p w14:paraId="49A655D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关于发包人应完成的其他开工准备工作及期限：</w:t>
      </w:r>
      <w:r>
        <w:rPr>
          <w:rFonts w:hint="eastAsia" w:ascii="宋体" w:hAnsi="宋体"/>
          <w:color w:val="auto"/>
          <w:szCs w:val="21"/>
          <w:highlight w:val="none"/>
          <w:u w:val="single"/>
        </w:rPr>
        <w:t>不晚于开工前  天</w:t>
      </w:r>
      <w:r>
        <w:rPr>
          <w:rFonts w:hint="eastAsia" w:ascii="宋体" w:hAnsi="宋体"/>
          <w:color w:val="auto"/>
          <w:szCs w:val="21"/>
          <w:highlight w:val="none"/>
        </w:rPr>
        <w:t>。</w:t>
      </w:r>
    </w:p>
    <w:p w14:paraId="0D15216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关于承包人应完成的其他开工准备工作及期限：</w:t>
      </w:r>
      <w:r>
        <w:rPr>
          <w:rFonts w:hint="eastAsia" w:ascii="宋体" w:hAnsi="宋体"/>
          <w:color w:val="auto"/>
          <w:szCs w:val="21"/>
          <w:highlight w:val="none"/>
          <w:u w:val="single"/>
        </w:rPr>
        <w:t>不晚于开工前  天</w:t>
      </w:r>
      <w:r>
        <w:rPr>
          <w:rFonts w:hint="eastAsia" w:ascii="宋体" w:hAnsi="宋体"/>
          <w:color w:val="auto"/>
          <w:szCs w:val="21"/>
          <w:highlight w:val="none"/>
        </w:rPr>
        <w:t>。</w:t>
      </w:r>
    </w:p>
    <w:bookmarkEnd w:id="1478"/>
    <w:bookmarkEnd w:id="1479"/>
    <w:bookmarkEnd w:id="1480"/>
    <w:bookmarkEnd w:id="1481"/>
    <w:bookmarkEnd w:id="1482"/>
    <w:bookmarkEnd w:id="1483"/>
    <w:bookmarkEnd w:id="1484"/>
    <w:p w14:paraId="0567473A">
      <w:pPr>
        <w:pStyle w:val="7"/>
        <w:spacing w:before="0" w:beforeAutospacing="0" w:after="0" w:afterAutospacing="0" w:line="360" w:lineRule="auto"/>
        <w:ind w:firstLine="422" w:firstLineChars="200"/>
        <w:rPr>
          <w:color w:val="auto"/>
          <w:sz w:val="21"/>
          <w:szCs w:val="21"/>
          <w:highlight w:val="none"/>
        </w:rPr>
      </w:pPr>
      <w:bookmarkStart w:id="1485" w:name="_Toc532377356"/>
      <w:bookmarkStart w:id="1486" w:name="_Toc532375620"/>
      <w:r>
        <w:rPr>
          <w:rFonts w:hint="eastAsia"/>
          <w:color w:val="auto"/>
          <w:sz w:val="21"/>
          <w:szCs w:val="21"/>
          <w:highlight w:val="none"/>
        </w:rPr>
        <w:t>7.4 测量放线</w:t>
      </w:r>
      <w:bookmarkEnd w:id="1485"/>
      <w:bookmarkEnd w:id="1486"/>
    </w:p>
    <w:p w14:paraId="7F98948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7.4.1 发包人通过监理人向承包人提供测量基准点、基准线和水准点及其书面资料的期限：</w:t>
      </w:r>
      <w:r>
        <w:rPr>
          <w:rFonts w:hint="eastAsia" w:ascii="宋体" w:hAnsi="宋体"/>
          <w:color w:val="auto"/>
          <w:szCs w:val="21"/>
          <w:highlight w:val="none"/>
          <w:u w:val="single"/>
        </w:rPr>
        <w:t>不晚于开工前  天</w:t>
      </w:r>
      <w:r>
        <w:rPr>
          <w:rFonts w:hint="eastAsia" w:ascii="宋体" w:hAnsi="宋体"/>
          <w:color w:val="auto"/>
          <w:szCs w:val="21"/>
          <w:highlight w:val="none"/>
        </w:rPr>
        <w:t>。</w:t>
      </w:r>
    </w:p>
    <w:p w14:paraId="1570604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承包人报监理人审批施工控制网资料的期限：</w:t>
      </w:r>
      <w:r>
        <w:rPr>
          <w:rFonts w:hint="eastAsia" w:ascii="宋体" w:hAnsi="宋体"/>
          <w:color w:val="auto"/>
          <w:szCs w:val="21"/>
          <w:highlight w:val="none"/>
          <w:u w:val="single"/>
        </w:rPr>
        <w:t>发出开工通知后  天。承包人发现发包人提供的测量基准点、基准线和水准点及其书面资料存在错误或疏漏的，应及时通知监理人并报告发包人，承包人应会同监理人、发包人核实，发包人就如何处理和是否继续施工作出决定，并通过监理人通知承包人</w:t>
      </w:r>
      <w:r>
        <w:rPr>
          <w:rFonts w:hint="eastAsia" w:ascii="宋体" w:hAnsi="宋体"/>
          <w:color w:val="auto"/>
          <w:szCs w:val="21"/>
          <w:highlight w:val="none"/>
        </w:rPr>
        <w:t>。</w:t>
      </w:r>
    </w:p>
    <w:p w14:paraId="05B161B4">
      <w:pPr>
        <w:pStyle w:val="7"/>
        <w:spacing w:before="0" w:beforeAutospacing="0" w:after="0" w:afterAutospacing="0" w:line="360" w:lineRule="auto"/>
        <w:ind w:firstLine="422" w:firstLineChars="200"/>
        <w:rPr>
          <w:color w:val="auto"/>
          <w:sz w:val="21"/>
          <w:szCs w:val="21"/>
          <w:highlight w:val="none"/>
        </w:rPr>
      </w:pPr>
      <w:bookmarkStart w:id="1487" w:name="_Toc532375621"/>
      <w:bookmarkStart w:id="1488" w:name="_Toc532377357"/>
      <w:r>
        <w:rPr>
          <w:rFonts w:hint="eastAsia"/>
          <w:color w:val="auto"/>
          <w:sz w:val="21"/>
          <w:szCs w:val="21"/>
          <w:highlight w:val="none"/>
        </w:rPr>
        <w:t>7</w:t>
      </w:r>
      <w:bookmarkStart w:id="1489" w:name="_Toc304295546"/>
      <w:bookmarkStart w:id="1490" w:name="_Toc312678010"/>
      <w:bookmarkStart w:id="1491" w:name="_Toc297216175"/>
      <w:bookmarkStart w:id="1492" w:name="_Toc297123516"/>
      <w:bookmarkStart w:id="1493" w:name="_Toc303539125"/>
      <w:bookmarkStart w:id="1494" w:name="_Toc300934968"/>
      <w:bookmarkStart w:id="1495" w:name="_Toc312677484"/>
      <w:r>
        <w:rPr>
          <w:rFonts w:hint="eastAsia"/>
          <w:color w:val="auto"/>
          <w:sz w:val="21"/>
          <w:szCs w:val="21"/>
          <w:highlight w:val="none"/>
        </w:rPr>
        <w:t>.5 工期延误</w:t>
      </w:r>
      <w:bookmarkEnd w:id="1487"/>
      <w:bookmarkEnd w:id="1488"/>
    </w:p>
    <w:bookmarkEnd w:id="1489"/>
    <w:bookmarkEnd w:id="1490"/>
    <w:bookmarkEnd w:id="1491"/>
    <w:bookmarkEnd w:id="1492"/>
    <w:bookmarkEnd w:id="1493"/>
    <w:bookmarkEnd w:id="1494"/>
    <w:bookmarkEnd w:id="1495"/>
    <w:p w14:paraId="7809D410">
      <w:pPr>
        <w:spacing w:line="360" w:lineRule="auto"/>
        <w:ind w:firstLine="420" w:firstLineChars="200"/>
        <w:jc w:val="left"/>
        <w:rPr>
          <w:rFonts w:ascii="宋体" w:hAnsi="宋体"/>
          <w:color w:val="auto"/>
          <w:szCs w:val="21"/>
          <w:highlight w:val="none"/>
        </w:rPr>
      </w:pPr>
      <w:bookmarkStart w:id="1496" w:name="_Hlk528927940"/>
      <w:r>
        <w:rPr>
          <w:rFonts w:hint="eastAsia" w:ascii="宋体" w:hAnsi="宋体"/>
          <w:color w:val="auto"/>
          <w:szCs w:val="21"/>
          <w:highlight w:val="none"/>
        </w:rPr>
        <w:t>7.5.1 因发包人原因导致工期延误：</w:t>
      </w:r>
    </w:p>
    <w:p w14:paraId="571FBAC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在合同履行过程中，除通用条款约定外，因下列情况导致工期延误和（或）费用增加的，由发包人承担由此延误的工期和（或）增加的费用：</w:t>
      </w:r>
    </w:p>
    <w:p w14:paraId="1C3760E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（1）发包人未能按合同约定提供施工场地，且该未提供开工条件直接影响项目关键线路的；</w:t>
      </w:r>
    </w:p>
    <w:p w14:paraId="5C904E1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（2）发包人提供的测量基准点、基准线和水准点及其书面资料存在错误或疏漏，且该错误或疏漏直接影响项目关键线路的；</w:t>
      </w:r>
    </w:p>
    <w:p w14:paraId="72B8C86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（3）监理人未按合同约定发出指示、批准等文件，且该未按合同约定发出指示、批准直接影响项目关键线路的；</w:t>
      </w:r>
    </w:p>
    <w:p w14:paraId="28060D9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（4）变更未及时审批，直接影响项目关键线路的；</w:t>
      </w:r>
    </w:p>
    <w:p w14:paraId="11CEA5A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（5）实施变更直接影响项目关键线路的；</w:t>
      </w:r>
    </w:p>
    <w:p w14:paraId="0DFE03F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（6）因发包人原因导致工程暂停施工、停建、缓建的；</w:t>
      </w:r>
    </w:p>
    <w:p w14:paraId="28DFEC4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（7）因征地拆迁、当地群众阻工等情形的；</w:t>
      </w:r>
    </w:p>
    <w:p w14:paraId="2E90E526">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（8）</w:t>
      </w:r>
      <w:r>
        <w:rPr>
          <w:rFonts w:hint="eastAsia" w:ascii="宋体" w:hAnsi="宋体"/>
          <w:color w:val="auto"/>
          <w:szCs w:val="21"/>
          <w:highlight w:val="none"/>
          <w:u w:val="single"/>
        </w:rPr>
        <w:t>合同约定的其他情形</w:t>
      </w:r>
      <w:r>
        <w:rPr>
          <w:rFonts w:hint="eastAsia" w:ascii="宋体" w:hAnsi="宋体"/>
          <w:color w:val="auto"/>
          <w:szCs w:val="21"/>
          <w:highlight w:val="none"/>
        </w:rPr>
        <w:t>。</w:t>
      </w:r>
    </w:p>
    <w:p w14:paraId="350D160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因发包人原因未按计划开工日期开工的，发包人应按实际开工日期顺延竣工日期。因发包人原因导致工期延误需要修订施工进度计划的，按照第7.2.2项〔施工进度计划的修订〕执行</w:t>
      </w:r>
      <w:r>
        <w:rPr>
          <w:rFonts w:hint="eastAsia" w:ascii="宋体" w:hAnsi="宋体"/>
          <w:color w:val="auto"/>
          <w:szCs w:val="21"/>
          <w:highlight w:val="none"/>
        </w:rPr>
        <w:t>。</w:t>
      </w:r>
    </w:p>
    <w:p w14:paraId="1D4814C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7.5.2 因承包人原因导致工期延误</w:t>
      </w:r>
    </w:p>
    <w:p w14:paraId="66D206E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因承包人原因造成工期延误，逾期竣工按16.2.2（6）目执行。</w:t>
      </w:r>
    </w:p>
    <w:bookmarkEnd w:id="1496"/>
    <w:p w14:paraId="37B71E93">
      <w:pPr>
        <w:pStyle w:val="7"/>
        <w:spacing w:before="0" w:beforeAutospacing="0" w:after="0" w:afterAutospacing="0" w:line="360" w:lineRule="auto"/>
        <w:ind w:firstLine="422" w:firstLineChars="200"/>
        <w:rPr>
          <w:color w:val="auto"/>
          <w:sz w:val="21"/>
          <w:szCs w:val="21"/>
          <w:highlight w:val="none"/>
        </w:rPr>
      </w:pPr>
      <w:bookmarkStart w:id="1497" w:name="_Toc532375622"/>
      <w:bookmarkStart w:id="1498" w:name="_Toc532377358"/>
      <w:bookmarkStart w:id="1499" w:name="_Hlk528927997"/>
      <w:r>
        <w:rPr>
          <w:rFonts w:hint="eastAsia"/>
          <w:color w:val="auto"/>
          <w:sz w:val="21"/>
          <w:szCs w:val="21"/>
          <w:highlight w:val="none"/>
        </w:rPr>
        <w:t>7</w:t>
      </w:r>
      <w:bookmarkStart w:id="1500" w:name="_Toc297123519"/>
      <w:bookmarkStart w:id="1501" w:name="_Toc297216178"/>
      <w:bookmarkStart w:id="1502" w:name="_Toc303539128"/>
      <w:bookmarkStart w:id="1503" w:name="_Toc300934971"/>
      <w:bookmarkStart w:id="1504" w:name="_Toc312678015"/>
      <w:bookmarkStart w:id="1505" w:name="_Toc304295549"/>
      <w:r>
        <w:rPr>
          <w:rFonts w:hint="eastAsia"/>
          <w:color w:val="auto"/>
          <w:sz w:val="21"/>
          <w:szCs w:val="21"/>
          <w:highlight w:val="none"/>
        </w:rPr>
        <w:t>.6 不</w:t>
      </w:r>
      <w:bookmarkEnd w:id="1500"/>
      <w:bookmarkEnd w:id="1501"/>
      <w:bookmarkEnd w:id="1502"/>
      <w:bookmarkEnd w:id="1503"/>
      <w:bookmarkEnd w:id="1504"/>
      <w:bookmarkEnd w:id="1505"/>
      <w:r>
        <w:rPr>
          <w:rFonts w:hint="eastAsia"/>
          <w:color w:val="auto"/>
          <w:sz w:val="21"/>
          <w:szCs w:val="21"/>
          <w:highlight w:val="none"/>
        </w:rPr>
        <w:t>利物质条件</w:t>
      </w:r>
      <w:bookmarkEnd w:id="1497"/>
      <w:bookmarkEnd w:id="1498"/>
    </w:p>
    <w:bookmarkEnd w:id="1499"/>
    <w:p w14:paraId="496F41BD">
      <w:pPr>
        <w:spacing w:line="360" w:lineRule="auto"/>
        <w:ind w:firstLine="420" w:firstLineChars="200"/>
        <w:jc w:val="left"/>
        <w:rPr>
          <w:rFonts w:ascii="宋体" w:hAnsi="宋体"/>
          <w:bCs/>
          <w:color w:val="auto"/>
          <w:szCs w:val="21"/>
          <w:highlight w:val="none"/>
        </w:rPr>
      </w:pPr>
      <w:bookmarkStart w:id="1506" w:name="_Toc304295550"/>
      <w:bookmarkStart w:id="1507" w:name="_Toc297216179"/>
      <w:bookmarkStart w:id="1508" w:name="_Toc312678016"/>
      <w:bookmarkStart w:id="1509" w:name="_Toc300934972"/>
      <w:bookmarkStart w:id="1510" w:name="_Toc297123520"/>
      <w:bookmarkStart w:id="1511" w:name="_Toc303539129"/>
      <w:bookmarkStart w:id="1512" w:name="_Toc318581172"/>
      <w:r>
        <w:rPr>
          <w:rFonts w:hint="eastAsia" w:ascii="宋体" w:hAnsi="宋体"/>
          <w:color w:val="auto"/>
          <w:szCs w:val="21"/>
          <w:highlight w:val="none"/>
        </w:rPr>
        <w:t>不利物质条件的其他情形和有关约定：</w:t>
      </w:r>
      <w:bookmarkStart w:id="1513" w:name="_Hlk528910274"/>
      <w:r>
        <w:rPr>
          <w:rFonts w:hint="eastAsia" w:ascii="宋体" w:hAnsi="宋体"/>
          <w:color w:val="auto"/>
          <w:szCs w:val="21"/>
          <w:highlight w:val="none"/>
          <w:u w:val="single"/>
        </w:rPr>
        <w:t xml:space="preserve">    </w:t>
      </w:r>
      <w:r>
        <w:rPr>
          <w:rFonts w:hint="eastAsia" w:ascii="宋体" w:hAnsi="宋体"/>
          <w:color w:val="auto"/>
          <w:szCs w:val="21"/>
          <w:highlight w:val="none"/>
        </w:rPr>
        <w:t>。</w:t>
      </w:r>
    </w:p>
    <w:bookmarkEnd w:id="1506"/>
    <w:bookmarkEnd w:id="1507"/>
    <w:bookmarkEnd w:id="1508"/>
    <w:bookmarkEnd w:id="1509"/>
    <w:bookmarkEnd w:id="1510"/>
    <w:bookmarkEnd w:id="1511"/>
    <w:bookmarkEnd w:id="1512"/>
    <w:bookmarkEnd w:id="1513"/>
    <w:p w14:paraId="1FFAA01E">
      <w:pPr>
        <w:pStyle w:val="7"/>
        <w:spacing w:before="0" w:beforeAutospacing="0" w:after="0" w:afterAutospacing="0" w:line="360" w:lineRule="auto"/>
        <w:ind w:firstLine="422" w:firstLineChars="200"/>
        <w:rPr>
          <w:color w:val="auto"/>
          <w:sz w:val="21"/>
          <w:szCs w:val="21"/>
          <w:highlight w:val="none"/>
        </w:rPr>
      </w:pPr>
      <w:bookmarkStart w:id="1514" w:name="_Toc532375623"/>
      <w:bookmarkStart w:id="1515" w:name="_Toc532377359"/>
      <w:r>
        <w:rPr>
          <w:rFonts w:hint="eastAsia"/>
          <w:color w:val="auto"/>
          <w:sz w:val="21"/>
          <w:szCs w:val="21"/>
          <w:highlight w:val="none"/>
        </w:rPr>
        <w:t>7</w:t>
      </w:r>
      <w:bookmarkStart w:id="1516" w:name="_Toc300934973"/>
      <w:bookmarkStart w:id="1517" w:name="_Toc303539130"/>
      <w:bookmarkStart w:id="1518" w:name="_Toc304295551"/>
      <w:bookmarkStart w:id="1519" w:name="_Toc297123521"/>
      <w:bookmarkStart w:id="1520" w:name="_Toc312678017"/>
      <w:bookmarkStart w:id="1521" w:name="_Toc297216180"/>
      <w:r>
        <w:rPr>
          <w:rFonts w:hint="eastAsia"/>
          <w:color w:val="auto"/>
          <w:sz w:val="21"/>
          <w:szCs w:val="21"/>
          <w:highlight w:val="none"/>
        </w:rPr>
        <w:t>.7异常恶劣的气候条件</w:t>
      </w:r>
      <w:bookmarkEnd w:id="1514"/>
      <w:bookmarkEnd w:id="1515"/>
    </w:p>
    <w:bookmarkEnd w:id="1516"/>
    <w:bookmarkEnd w:id="1517"/>
    <w:bookmarkEnd w:id="1518"/>
    <w:bookmarkEnd w:id="1519"/>
    <w:bookmarkEnd w:id="1520"/>
    <w:bookmarkEnd w:id="1521"/>
    <w:p w14:paraId="55388E8D">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发包人和承包人同意以下情形视为异常恶劣的气候条件：</w:t>
      </w:r>
      <w:r>
        <w:rPr>
          <w:rFonts w:hint="eastAsia" w:ascii="宋体" w:hAnsi="宋体"/>
          <w:color w:val="auto"/>
          <w:szCs w:val="21"/>
          <w:highlight w:val="none"/>
          <w:u w:val="single"/>
        </w:rPr>
        <w:t xml:space="preserve">    （异常气候是指项目所在地50年以上一遇的罕见气候现象）</w:t>
      </w:r>
      <w:r>
        <w:rPr>
          <w:rFonts w:hint="eastAsia" w:ascii="宋体" w:hAnsi="宋体"/>
          <w:color w:val="auto"/>
          <w:szCs w:val="21"/>
          <w:highlight w:val="none"/>
        </w:rPr>
        <w:t>。</w:t>
      </w:r>
    </w:p>
    <w:p w14:paraId="0D469E17">
      <w:pPr>
        <w:pStyle w:val="7"/>
        <w:spacing w:before="0" w:beforeAutospacing="0" w:after="0" w:afterAutospacing="0" w:line="360" w:lineRule="auto"/>
        <w:ind w:firstLine="422" w:firstLineChars="200"/>
        <w:rPr>
          <w:color w:val="auto"/>
          <w:sz w:val="21"/>
          <w:szCs w:val="21"/>
          <w:highlight w:val="none"/>
        </w:rPr>
      </w:pPr>
      <w:bookmarkStart w:id="1522" w:name="_Toc532377360"/>
      <w:bookmarkStart w:id="1523" w:name="_Toc532375624"/>
      <w:r>
        <w:rPr>
          <w:rFonts w:hint="eastAsia"/>
          <w:color w:val="auto"/>
          <w:sz w:val="21"/>
          <w:szCs w:val="21"/>
          <w:highlight w:val="none"/>
        </w:rPr>
        <w:t>7.9 提前竣工</w:t>
      </w:r>
      <w:bookmarkEnd w:id="1522"/>
      <w:bookmarkEnd w:id="1523"/>
    </w:p>
    <w:p w14:paraId="1976C80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7.9.1项细化为：</w:t>
      </w:r>
    </w:p>
    <w:p w14:paraId="39024BC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当项目需要提前竣工或项目工期按照第7.5款〔工期延误〕约定顺延后需要提前竣工的，发包人应通过监理人向承包人下达提前竣工指示。承包人同意提前竣工的，应向发包人和监理人提交提前竣工方案，提前竣工方案经监理人和发包人审批后生效。由此增加的费用按照第10.4.1项〔变更估价原则〕约定执行。</w:t>
      </w:r>
    </w:p>
    <w:p w14:paraId="50EC9EC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（2）发包人不得随意要求承包人提前竣工，承包人也不得随意提出提前竣工的建议。如遇特殊情况，确需将工期提前的，发包人和承包人必须采取有效措施，确保工程质量。</w:t>
      </w:r>
    </w:p>
    <w:p w14:paraId="4A536FA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（3）如果承包人提前竣工，发包人支付奖金的计算方法在合同条款中约定，时间自竣工验收证书中写明的实际竣工日期起至预定的竣工日期止，按天计算。但奖金最高限额不超过项目7.9.2项的限额。</w:t>
      </w:r>
    </w:p>
    <w:p w14:paraId="7255785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7.9.2 提前竣工的奖励：</w:t>
      </w:r>
      <w:r>
        <w:rPr>
          <w:rFonts w:hint="eastAsia" w:ascii="宋体" w:hAnsi="宋体"/>
          <w:color w:val="auto"/>
          <w:szCs w:val="21"/>
          <w:highlight w:val="none"/>
          <w:u w:val="single"/>
        </w:rPr>
        <w:t xml:space="preserve">    元/天，不超过签约合同价的  %</w:t>
      </w:r>
      <w:r>
        <w:rPr>
          <w:rFonts w:hint="eastAsia" w:ascii="宋体" w:hAnsi="宋体"/>
          <w:color w:val="auto"/>
          <w:szCs w:val="21"/>
          <w:highlight w:val="none"/>
        </w:rPr>
        <w:t>。</w:t>
      </w:r>
    </w:p>
    <w:p w14:paraId="76EBFE27">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524" w:name="_Toc532375625"/>
      <w:bookmarkStart w:id="1525" w:name="_Toc532377361"/>
      <w:bookmarkStart w:id="1526" w:name="_Toc351203640"/>
      <w:r>
        <w:rPr>
          <w:rFonts w:hint="eastAsia"/>
          <w:color w:val="auto"/>
          <w:kern w:val="2"/>
          <w:sz w:val="21"/>
          <w:szCs w:val="21"/>
          <w:highlight w:val="none"/>
        </w:rPr>
        <w:t>8. 材料与设备</w:t>
      </w:r>
      <w:bookmarkEnd w:id="1524"/>
      <w:bookmarkEnd w:id="1525"/>
      <w:bookmarkEnd w:id="1526"/>
    </w:p>
    <w:p w14:paraId="5C1B2FC2">
      <w:pPr>
        <w:pStyle w:val="7"/>
        <w:spacing w:before="0" w:beforeAutospacing="0" w:after="0" w:afterAutospacing="0" w:line="360" w:lineRule="auto"/>
        <w:ind w:firstLine="422" w:firstLineChars="200"/>
        <w:rPr>
          <w:color w:val="auto"/>
          <w:sz w:val="21"/>
          <w:szCs w:val="21"/>
          <w:highlight w:val="none"/>
        </w:rPr>
      </w:pPr>
      <w:bookmarkStart w:id="1527" w:name="_Toc532375626"/>
      <w:bookmarkStart w:id="1528" w:name="_Toc532377362"/>
      <w:r>
        <w:rPr>
          <w:rFonts w:hint="eastAsia"/>
          <w:color w:val="auto"/>
          <w:sz w:val="21"/>
          <w:szCs w:val="21"/>
          <w:highlight w:val="none"/>
        </w:rPr>
        <w:t>8.1发包人供应材料与工程设备</w:t>
      </w:r>
      <w:bookmarkEnd w:id="1527"/>
      <w:bookmarkEnd w:id="1528"/>
    </w:p>
    <w:p w14:paraId="270B391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材料的名称、规格、数量和价格：</w:t>
      </w:r>
    </w:p>
    <w:p w14:paraId="2765DB06">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u w:val="single"/>
        </w:rPr>
        <w:t>发包人按约定的内容提供材料设备并对提供的材料设备质量负责，承包人按施工规范和检测规范对一切进场材料进行质量检验，承包人有权退回检验不合格的材料；承包人对投入使用的材料质量负责</w:t>
      </w:r>
      <w:r>
        <w:rPr>
          <w:rFonts w:hint="eastAsia" w:ascii="宋体" w:hAnsi="宋体"/>
          <w:color w:val="auto"/>
          <w:szCs w:val="21"/>
          <w:highlight w:val="none"/>
        </w:rPr>
        <w:t>。</w:t>
      </w:r>
    </w:p>
    <w:p w14:paraId="0C6E323F">
      <w:pPr>
        <w:spacing w:line="360" w:lineRule="auto"/>
        <w:ind w:firstLine="420" w:firstLineChars="200"/>
        <w:jc w:val="left"/>
        <w:rPr>
          <w:rFonts w:hint="eastAsia" w:ascii="宋体" w:hAnsi="宋体"/>
          <w:color w:val="auto"/>
          <w:szCs w:val="21"/>
          <w:highlight w:val="none"/>
          <w:u w:val="single"/>
        </w:rPr>
      </w:pPr>
      <w:r>
        <w:rPr>
          <w:rFonts w:hint="eastAsia" w:ascii="宋体" w:hAnsi="宋体"/>
          <w:color w:val="auto"/>
          <w:szCs w:val="21"/>
          <w:highlight w:val="none"/>
          <w:u w:val="single"/>
        </w:rPr>
        <w:t>承包人应将各项材料和工程设备的供货人及品种、规格、数量和供货时间等资料，在材料、设备采购计划进场15日前以书面形式报送监理人、发包人(或代建单位)审批后方可采购。监理工程师和发包人(或代建单位)收到承包人的书面报告后5日内予以确认。承包人应向监理人提交其负责提供的材料和工程设备的质量证明文件，并满足合同约定的质量标准。</w:t>
      </w:r>
    </w:p>
    <w:p w14:paraId="3791A9F8">
      <w:pPr>
        <w:pStyle w:val="7"/>
        <w:spacing w:before="0" w:beforeAutospacing="0" w:after="0" w:afterAutospacing="0" w:line="360" w:lineRule="auto"/>
        <w:ind w:firstLine="422" w:firstLineChars="200"/>
        <w:rPr>
          <w:color w:val="auto"/>
          <w:sz w:val="21"/>
          <w:szCs w:val="21"/>
          <w:highlight w:val="none"/>
        </w:rPr>
      </w:pPr>
      <w:bookmarkStart w:id="1529" w:name="_Toc532377363"/>
      <w:bookmarkStart w:id="1530" w:name="_Toc532375627"/>
      <w:bookmarkStart w:id="1531" w:name="_Toc351203554"/>
      <w:r>
        <w:rPr>
          <w:rFonts w:hint="eastAsia"/>
          <w:color w:val="auto"/>
          <w:sz w:val="21"/>
          <w:szCs w:val="21"/>
          <w:highlight w:val="none"/>
        </w:rPr>
        <w:t>8</w:t>
      </w:r>
      <w:bookmarkStart w:id="1532" w:name="_Toc296346561"/>
      <w:bookmarkStart w:id="1533" w:name="_Toc337558778"/>
      <w:bookmarkStart w:id="1534" w:name="_Toc296503060"/>
      <w:r>
        <w:rPr>
          <w:rFonts w:hint="eastAsia"/>
          <w:color w:val="auto"/>
          <w:sz w:val="21"/>
          <w:szCs w:val="21"/>
          <w:highlight w:val="none"/>
        </w:rPr>
        <w:t>.2 承包人采购材料与工程设备</w:t>
      </w:r>
      <w:bookmarkEnd w:id="1529"/>
      <w:bookmarkEnd w:id="1530"/>
      <w:bookmarkEnd w:id="1531"/>
    </w:p>
    <w:bookmarkEnd w:id="1532"/>
    <w:bookmarkEnd w:id="1533"/>
    <w:bookmarkEnd w:id="1534"/>
    <w:p w14:paraId="59F81CA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8.2.1承包人负责采购、运输和保管的材料、工程设备：</w:t>
      </w:r>
      <w:r>
        <w:rPr>
          <w:rFonts w:hint="eastAsia" w:ascii="宋体" w:hAnsi="宋体"/>
          <w:color w:val="auto"/>
          <w:szCs w:val="21"/>
          <w:highlight w:val="none"/>
          <w:u w:val="single"/>
        </w:rPr>
        <w:t>由承包人自行采购。承包人采购材料设备必须经监理人和发包人批准，结算时由监理人和发包人按</w:t>
      </w:r>
      <w:r>
        <w:rPr>
          <w:rFonts w:hint="eastAsia" w:ascii="宋体" w:hAnsi="宋体"/>
          <w:color w:val="auto"/>
          <w:szCs w:val="21"/>
          <w:highlight w:val="none"/>
          <w:u w:val="single"/>
          <w:lang w:eastAsia="zh-CN"/>
        </w:rPr>
        <w:t>竞争性比选文件</w:t>
      </w:r>
      <w:r>
        <w:rPr>
          <w:rFonts w:hint="eastAsia" w:ascii="宋体" w:hAnsi="宋体"/>
          <w:color w:val="auto"/>
          <w:szCs w:val="21"/>
          <w:highlight w:val="none"/>
          <w:u w:val="single"/>
        </w:rPr>
        <w:t>规定审核的数量和合同约定</w:t>
      </w:r>
      <w:r>
        <w:rPr>
          <w:rFonts w:ascii="宋体" w:hAnsi="宋体"/>
          <w:color w:val="auto"/>
          <w:szCs w:val="21"/>
          <w:highlight w:val="none"/>
          <w:u w:val="single"/>
        </w:rPr>
        <w:t>价格</w:t>
      </w:r>
      <w:r>
        <w:rPr>
          <w:rFonts w:hint="eastAsia" w:ascii="宋体" w:hAnsi="宋体"/>
          <w:color w:val="auto"/>
          <w:szCs w:val="21"/>
          <w:highlight w:val="none"/>
          <w:u w:val="single"/>
        </w:rPr>
        <w:t>计算</w:t>
      </w:r>
      <w:r>
        <w:rPr>
          <w:rFonts w:hint="eastAsia" w:ascii="宋体" w:hAnsi="宋体"/>
          <w:color w:val="auto"/>
          <w:szCs w:val="21"/>
          <w:highlight w:val="none"/>
        </w:rPr>
        <w:t>。</w:t>
      </w:r>
    </w:p>
    <w:p w14:paraId="3D80C4B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8.2.2承包人报送监理人审批的时间：</w:t>
      </w:r>
      <w:r>
        <w:rPr>
          <w:rFonts w:hint="eastAsia" w:ascii="宋体" w:hAnsi="宋体"/>
          <w:color w:val="auto"/>
          <w:szCs w:val="21"/>
          <w:highlight w:val="none"/>
          <w:u w:val="single"/>
        </w:rPr>
        <w:t>按发包人及监理单位的相关规定执行</w:t>
      </w:r>
      <w:r>
        <w:rPr>
          <w:rFonts w:hint="eastAsia" w:ascii="宋体" w:hAnsi="宋体"/>
          <w:color w:val="auto"/>
          <w:szCs w:val="21"/>
          <w:highlight w:val="none"/>
        </w:rPr>
        <w:t>。</w:t>
      </w:r>
    </w:p>
    <w:p w14:paraId="6237CEA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8.2.3承包人选择的生产厂家或供应商满足下列条件：</w:t>
      </w:r>
    </w:p>
    <w:p w14:paraId="4457753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A.承包人选择的混凝土供应商应满足下列条件：</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636B3C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B.承包人选择的钢材供应商应满足下列条件：</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EDBCE8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C.承包人选择的水泥供应商应满足下列条件：</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ECAFAF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D.承包人采购的材料与设计或标准要求不符时，承包人应按发包人和监理人要求的时间运出施工场地，并重新采购符合要求的产品，并承担由此发生的费用，因此延误的工期不予顺延。</w:t>
      </w:r>
    </w:p>
    <w:p w14:paraId="4541025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E.承包人采购的材料在使用前，应按发包人和监理人的要求进行检验或试验，不合格的不得使用。</w:t>
      </w:r>
    </w:p>
    <w:p w14:paraId="0C63F70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F.</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EF7C721">
      <w:pPr>
        <w:pStyle w:val="7"/>
        <w:spacing w:before="0" w:beforeAutospacing="0" w:after="0" w:afterAutospacing="0" w:line="360" w:lineRule="auto"/>
        <w:ind w:firstLine="422" w:firstLineChars="200"/>
        <w:rPr>
          <w:color w:val="auto"/>
          <w:sz w:val="21"/>
          <w:szCs w:val="21"/>
          <w:highlight w:val="none"/>
        </w:rPr>
      </w:pPr>
      <w:bookmarkStart w:id="1535" w:name="_Toc532377364"/>
      <w:bookmarkStart w:id="1536" w:name="_Toc532375628"/>
      <w:r>
        <w:rPr>
          <w:rFonts w:hint="eastAsia"/>
          <w:color w:val="auto"/>
          <w:sz w:val="21"/>
          <w:szCs w:val="21"/>
          <w:highlight w:val="none"/>
        </w:rPr>
        <w:t>8</w:t>
      </w:r>
      <w:bookmarkStart w:id="1537" w:name="_Toc312677493"/>
      <w:bookmarkStart w:id="1538" w:name="_Toc292559372"/>
      <w:bookmarkStart w:id="1539" w:name="_Toc292559877"/>
      <w:bookmarkStart w:id="1540" w:name="_Toc296503167"/>
      <w:bookmarkStart w:id="1541" w:name="_Toc297120467"/>
      <w:bookmarkStart w:id="1542" w:name="_Toc297048353"/>
      <w:bookmarkStart w:id="1543" w:name="_Toc303539136"/>
      <w:bookmarkStart w:id="1544" w:name="_Toc296346668"/>
      <w:bookmarkStart w:id="1545" w:name="_Toc296347166"/>
      <w:bookmarkStart w:id="1546" w:name="_Toc296891207"/>
      <w:bookmarkStart w:id="1547" w:name="_Toc296944506"/>
      <w:bookmarkStart w:id="1548" w:name="_Toc297123527"/>
      <w:bookmarkStart w:id="1549" w:name="_Toc300934979"/>
      <w:bookmarkStart w:id="1550" w:name="_Toc304295556"/>
      <w:bookmarkStart w:id="1551" w:name="_Toc280868654"/>
      <w:bookmarkStart w:id="1552" w:name="_Toc296890995"/>
      <w:bookmarkStart w:id="1553" w:name="_Toc312678019"/>
      <w:bookmarkStart w:id="1554" w:name="_Toc297216186"/>
      <w:bookmarkStart w:id="1555" w:name="_Toc280868655"/>
      <w:bookmarkStart w:id="1556" w:name="_Toc267251424"/>
      <w:bookmarkStart w:id="1557" w:name="_Toc280868656"/>
      <w:r>
        <w:rPr>
          <w:rFonts w:hint="eastAsia"/>
          <w:color w:val="auto"/>
          <w:sz w:val="21"/>
          <w:szCs w:val="21"/>
          <w:highlight w:val="none"/>
        </w:rPr>
        <w:t>.4 材料与工程设备的保管与使用</w:t>
      </w:r>
      <w:bookmarkEnd w:id="1535"/>
      <w:bookmarkEnd w:id="1536"/>
    </w:p>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p w14:paraId="75E1134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w:t>
      </w:r>
      <w:bookmarkStart w:id="1558" w:name="_Toc292559878"/>
      <w:bookmarkStart w:id="1559" w:name="_Toc292559373"/>
      <w:bookmarkStart w:id="1560" w:name="_Toc304295557"/>
      <w:bookmarkStart w:id="1561" w:name="_Toc300934980"/>
      <w:bookmarkStart w:id="1562" w:name="_Toc297048354"/>
      <w:bookmarkStart w:id="1563" w:name="_Toc303539137"/>
      <w:bookmarkStart w:id="1564" w:name="_Toc297120468"/>
      <w:bookmarkStart w:id="1565" w:name="_Toc297123528"/>
      <w:bookmarkStart w:id="1566" w:name="_Toc296503168"/>
      <w:bookmarkStart w:id="1567" w:name="_Toc312678020"/>
      <w:bookmarkStart w:id="1568" w:name="_Toc318581173"/>
      <w:bookmarkStart w:id="1569" w:name="_Toc297216187"/>
      <w:bookmarkStart w:id="1570" w:name="_Toc296944507"/>
      <w:bookmarkStart w:id="1571" w:name="_Toc312677494"/>
      <w:bookmarkStart w:id="1572" w:name="_Toc296890996"/>
      <w:bookmarkStart w:id="1573" w:name="_Toc296347167"/>
      <w:bookmarkStart w:id="1574" w:name="_Toc296891208"/>
      <w:bookmarkStart w:id="1575" w:name="_Toc296346669"/>
      <w:r>
        <w:rPr>
          <w:rFonts w:hint="eastAsia" w:ascii="宋体" w:hAnsi="宋体"/>
          <w:color w:val="auto"/>
          <w:szCs w:val="21"/>
          <w:highlight w:val="none"/>
        </w:rPr>
        <w:t>.4.1 发包人供应的材料设备的保管费用的承担：</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由承包人承担</w:t>
      </w:r>
      <w:r>
        <w:rPr>
          <w:rFonts w:hint="eastAsia" w:ascii="宋体" w:hAnsi="宋体"/>
          <w:color w:val="auto"/>
          <w:szCs w:val="21"/>
          <w:highlight w:val="none"/>
          <w:u w:val="single"/>
        </w:rPr>
        <w:t xml:space="preserve"> </w:t>
      </w:r>
      <w:r>
        <w:rPr>
          <w:rFonts w:hint="eastAsia" w:ascii="宋体" w:hAnsi="宋体"/>
          <w:color w:val="auto"/>
          <w:szCs w:val="21"/>
          <w:highlight w:val="none"/>
        </w:rPr>
        <w:t>。</w:t>
      </w:r>
      <w:bookmarkEnd w:id="1558"/>
      <w:bookmarkEnd w:id="1559"/>
    </w:p>
    <w:p w14:paraId="3DC5351C">
      <w:pPr>
        <w:pStyle w:val="7"/>
        <w:spacing w:before="0" w:beforeAutospacing="0" w:after="0" w:afterAutospacing="0" w:line="360" w:lineRule="auto"/>
        <w:ind w:firstLine="422" w:firstLineChars="200"/>
        <w:rPr>
          <w:color w:val="auto"/>
          <w:sz w:val="21"/>
          <w:szCs w:val="21"/>
          <w:highlight w:val="none"/>
        </w:rPr>
      </w:pPr>
      <w:bookmarkStart w:id="1576" w:name="_Toc532377365"/>
      <w:bookmarkStart w:id="1577" w:name="_Toc532375629"/>
      <w:r>
        <w:rPr>
          <w:rFonts w:hint="eastAsia"/>
          <w:color w:val="auto"/>
          <w:sz w:val="21"/>
          <w:szCs w:val="21"/>
          <w:highlight w:val="none"/>
        </w:rPr>
        <w:t>8.6 样品</w:t>
      </w:r>
      <w:bookmarkEnd w:id="1576"/>
      <w:bookmarkEnd w:id="1577"/>
    </w:p>
    <w:p w14:paraId="3EC5F9EF">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8.6.1 样品的报送与封存</w:t>
      </w:r>
    </w:p>
    <w:p w14:paraId="0B27DF81">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需要承包人报送样品的材料或工程设备，样品的种类、名称、规格、数量要求：</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按设计及清单要求提供</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959C34E">
      <w:pPr>
        <w:pStyle w:val="7"/>
        <w:spacing w:before="0" w:beforeAutospacing="0" w:after="0" w:afterAutospacing="0" w:line="360" w:lineRule="auto"/>
        <w:ind w:firstLine="422" w:firstLineChars="200"/>
        <w:rPr>
          <w:color w:val="auto"/>
          <w:sz w:val="21"/>
          <w:szCs w:val="21"/>
          <w:highlight w:val="none"/>
        </w:rPr>
      </w:pPr>
      <w:bookmarkStart w:id="1578" w:name="_Toc532377366"/>
      <w:bookmarkStart w:id="1579" w:name="_Toc532375630"/>
      <w:r>
        <w:rPr>
          <w:rFonts w:hint="eastAsia"/>
          <w:color w:val="auto"/>
          <w:sz w:val="21"/>
          <w:szCs w:val="21"/>
          <w:highlight w:val="none"/>
        </w:rPr>
        <w:t>8.8 施工设备和临时设施</w:t>
      </w:r>
      <w:bookmarkEnd w:id="1578"/>
      <w:bookmarkEnd w:id="1579"/>
    </w:p>
    <w:p w14:paraId="5E1E410E">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8.8.1 承包人提供的施工设备和临时设施</w:t>
      </w:r>
    </w:p>
    <w:p w14:paraId="1725599D">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关于修建临时设施费用承担的约定：</w:t>
      </w:r>
      <w:r>
        <w:rPr>
          <w:rFonts w:hint="eastAsia" w:ascii="宋体" w:hAnsi="宋体"/>
          <w:color w:val="auto"/>
          <w:szCs w:val="21"/>
          <w:highlight w:val="none"/>
          <w:u w:val="single"/>
        </w:rPr>
        <w:t>由承包人承担</w:t>
      </w:r>
      <w:r>
        <w:rPr>
          <w:rFonts w:hint="eastAsia" w:ascii="宋体" w:hAnsi="宋体"/>
          <w:color w:val="auto"/>
          <w:szCs w:val="21"/>
          <w:highlight w:val="none"/>
        </w:rPr>
        <w:t>。</w:t>
      </w:r>
    </w:p>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p w14:paraId="30E5ABBD">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580" w:name="_Toc532375631"/>
      <w:bookmarkStart w:id="1581" w:name="_Toc532377367"/>
      <w:bookmarkStart w:id="1582" w:name="_Toc351203641"/>
      <w:r>
        <w:rPr>
          <w:rFonts w:hint="eastAsia"/>
          <w:color w:val="auto"/>
          <w:kern w:val="2"/>
          <w:sz w:val="21"/>
          <w:szCs w:val="21"/>
          <w:highlight w:val="none"/>
        </w:rPr>
        <w:t>9</w:t>
      </w:r>
      <w:bookmarkEnd w:id="1555"/>
      <w:bookmarkEnd w:id="1556"/>
      <w:bookmarkEnd w:id="1557"/>
      <w:bookmarkStart w:id="1583" w:name="_Toc303539139"/>
      <w:bookmarkStart w:id="1584" w:name="_Toc297216192"/>
      <w:bookmarkStart w:id="1585" w:name="_Toc312678021"/>
      <w:bookmarkStart w:id="1586" w:name="_Toc312677495"/>
      <w:bookmarkStart w:id="1587" w:name="_Toc304295559"/>
      <w:bookmarkStart w:id="1588" w:name="_Toc300934982"/>
      <w:bookmarkStart w:id="1589" w:name="_Toc297123533"/>
      <w:r>
        <w:rPr>
          <w:rFonts w:hint="eastAsia"/>
          <w:color w:val="auto"/>
          <w:kern w:val="2"/>
          <w:sz w:val="21"/>
          <w:szCs w:val="21"/>
          <w:highlight w:val="none"/>
        </w:rPr>
        <w:t>. 试验与检验</w:t>
      </w:r>
      <w:bookmarkEnd w:id="1580"/>
      <w:bookmarkEnd w:id="1581"/>
      <w:bookmarkEnd w:id="1582"/>
    </w:p>
    <w:bookmarkEnd w:id="1583"/>
    <w:bookmarkEnd w:id="1584"/>
    <w:bookmarkEnd w:id="1585"/>
    <w:bookmarkEnd w:id="1586"/>
    <w:bookmarkEnd w:id="1587"/>
    <w:bookmarkEnd w:id="1588"/>
    <w:bookmarkEnd w:id="1589"/>
    <w:p w14:paraId="2049B014">
      <w:pPr>
        <w:pStyle w:val="7"/>
        <w:spacing w:before="0" w:beforeAutospacing="0" w:after="0" w:afterAutospacing="0" w:line="360" w:lineRule="auto"/>
        <w:ind w:firstLine="422" w:firstLineChars="200"/>
        <w:rPr>
          <w:color w:val="auto"/>
          <w:sz w:val="21"/>
          <w:szCs w:val="21"/>
          <w:highlight w:val="none"/>
        </w:rPr>
      </w:pPr>
      <w:bookmarkStart w:id="1590" w:name="_Toc532375632"/>
      <w:bookmarkStart w:id="1591" w:name="_Toc532377368"/>
      <w:r>
        <w:rPr>
          <w:rFonts w:hint="eastAsia"/>
          <w:color w:val="auto"/>
          <w:sz w:val="21"/>
          <w:szCs w:val="21"/>
          <w:highlight w:val="none"/>
        </w:rPr>
        <w:t>9</w:t>
      </w:r>
      <w:bookmarkStart w:id="1592" w:name="_Toc297123534"/>
      <w:bookmarkStart w:id="1593" w:name="_Toc312677496"/>
      <w:bookmarkStart w:id="1594" w:name="_Toc303539140"/>
      <w:bookmarkStart w:id="1595" w:name="_Toc304295560"/>
      <w:bookmarkStart w:id="1596" w:name="_Toc297216193"/>
      <w:bookmarkStart w:id="1597" w:name="_Toc300934983"/>
      <w:bookmarkStart w:id="1598" w:name="_Toc312678022"/>
      <w:r>
        <w:rPr>
          <w:rFonts w:hint="eastAsia"/>
          <w:color w:val="auto"/>
          <w:sz w:val="21"/>
          <w:szCs w:val="21"/>
          <w:highlight w:val="none"/>
        </w:rPr>
        <w:t>.1 试验设备与试验人员</w:t>
      </w:r>
      <w:bookmarkEnd w:id="1590"/>
      <w:bookmarkEnd w:id="1591"/>
    </w:p>
    <w:bookmarkEnd w:id="1592"/>
    <w:bookmarkEnd w:id="1593"/>
    <w:bookmarkEnd w:id="1594"/>
    <w:bookmarkEnd w:id="1595"/>
    <w:bookmarkEnd w:id="1596"/>
    <w:bookmarkEnd w:id="1597"/>
    <w:bookmarkEnd w:id="1598"/>
    <w:p w14:paraId="4516F4A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w:t>
      </w:r>
      <w:bookmarkStart w:id="1599" w:name="_Toc297216194"/>
      <w:bookmarkStart w:id="1600" w:name="_Toc303539141"/>
      <w:bookmarkStart w:id="1601" w:name="_Toc304295561"/>
      <w:bookmarkStart w:id="1602" w:name="_Toc297123535"/>
      <w:bookmarkStart w:id="1603" w:name="_Toc312678023"/>
      <w:bookmarkStart w:id="1604" w:name="_Toc300934984"/>
      <w:bookmarkStart w:id="1605" w:name="_Toc312677497"/>
      <w:bookmarkStart w:id="1606" w:name="_Toc318581174"/>
      <w:r>
        <w:rPr>
          <w:rFonts w:hint="eastAsia" w:ascii="宋体" w:hAnsi="宋体"/>
          <w:color w:val="auto"/>
          <w:szCs w:val="21"/>
          <w:highlight w:val="none"/>
        </w:rPr>
        <w:t>.1.2 试验设备</w:t>
      </w:r>
    </w:p>
    <w:p w14:paraId="5ED4463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施工现场需要配置的试验场所：</w:t>
      </w:r>
      <w:bookmarkEnd w:id="1599"/>
      <w:bookmarkEnd w:id="1600"/>
      <w:bookmarkEnd w:id="1601"/>
      <w:bookmarkEnd w:id="1602"/>
      <w:bookmarkEnd w:id="1603"/>
      <w:bookmarkEnd w:id="1604"/>
      <w:bookmarkEnd w:id="1605"/>
      <w:bookmarkStart w:id="1607" w:name="_Toc300934985"/>
      <w:bookmarkStart w:id="1608" w:name="_Toc297216195"/>
      <w:bookmarkStart w:id="1609" w:name="_Toc297123536"/>
      <w:bookmarkStart w:id="1610" w:name="_Toc304295562"/>
      <w:bookmarkStart w:id="1611" w:name="_Toc312678024"/>
      <w:bookmarkStart w:id="1612" w:name="_Toc303539142"/>
      <w:bookmarkStart w:id="1613" w:name="_Toc312677498"/>
      <w:r>
        <w:rPr>
          <w:rFonts w:hint="eastAsia" w:ascii="宋体" w:hAnsi="宋体"/>
          <w:color w:val="auto"/>
          <w:szCs w:val="21"/>
          <w:highlight w:val="none"/>
          <w:u w:val="single"/>
        </w:rPr>
        <w:t>满足工程施工的需要</w:t>
      </w:r>
      <w:r>
        <w:rPr>
          <w:rFonts w:hint="eastAsia" w:ascii="宋体" w:hAnsi="宋体"/>
          <w:color w:val="auto"/>
          <w:szCs w:val="21"/>
          <w:highlight w:val="none"/>
        </w:rPr>
        <w:t>。</w:t>
      </w:r>
    </w:p>
    <w:p w14:paraId="3529F6A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施工现场需要配备的试验设备：</w:t>
      </w:r>
      <w:r>
        <w:rPr>
          <w:rFonts w:hint="eastAsia" w:ascii="宋体" w:hAnsi="宋体"/>
          <w:color w:val="auto"/>
          <w:szCs w:val="21"/>
          <w:highlight w:val="none"/>
          <w:u w:val="single"/>
        </w:rPr>
        <w:t>满足工程施工的需要</w:t>
      </w:r>
      <w:r>
        <w:rPr>
          <w:rFonts w:hint="eastAsia" w:ascii="宋体" w:hAnsi="宋体"/>
          <w:color w:val="auto"/>
          <w:szCs w:val="21"/>
          <w:highlight w:val="none"/>
        </w:rPr>
        <w:t>。</w:t>
      </w:r>
    </w:p>
    <w:p w14:paraId="3A797F8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施工现场需要具备的其他试验条件：</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E468B29">
      <w:pPr>
        <w:pStyle w:val="7"/>
        <w:spacing w:before="0" w:beforeAutospacing="0" w:after="0" w:afterAutospacing="0" w:line="360" w:lineRule="auto"/>
        <w:ind w:firstLine="422" w:firstLineChars="200"/>
        <w:rPr>
          <w:color w:val="auto"/>
          <w:sz w:val="21"/>
          <w:szCs w:val="21"/>
          <w:highlight w:val="none"/>
        </w:rPr>
      </w:pPr>
      <w:bookmarkStart w:id="1614" w:name="_Toc532377369"/>
      <w:bookmarkStart w:id="1615" w:name="_Toc532375633"/>
      <w:r>
        <w:rPr>
          <w:rFonts w:hint="eastAsia"/>
          <w:color w:val="auto"/>
          <w:sz w:val="21"/>
          <w:szCs w:val="21"/>
          <w:highlight w:val="none"/>
        </w:rPr>
        <w:t>9.4 现场工艺试验</w:t>
      </w:r>
      <w:bookmarkEnd w:id="1614"/>
      <w:bookmarkEnd w:id="1615"/>
    </w:p>
    <w:p w14:paraId="5DF2C6F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本款补充9.4.1～9.4.5项：</w:t>
      </w:r>
    </w:p>
    <w:bookmarkEnd w:id="1606"/>
    <w:bookmarkEnd w:id="1607"/>
    <w:bookmarkEnd w:id="1608"/>
    <w:bookmarkEnd w:id="1609"/>
    <w:bookmarkEnd w:id="1610"/>
    <w:bookmarkEnd w:id="1611"/>
    <w:bookmarkEnd w:id="1612"/>
    <w:bookmarkEnd w:id="1613"/>
    <w:p w14:paraId="16D4941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9.4.1一般检验试验：</w:t>
      </w:r>
    </w:p>
    <w:p w14:paraId="216B3E46">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根据《建设工程质量检测管理办法》（建设部令第141号）、关于实施《建设工程质量检测管理办法》有关问题的通知（建质〔2009〕25号）、《重庆市建设工程质量检测管理规定》（渝建发〔2009〕123号）、《关于加强我市建设工程质量检测委托管理的通知》（渝建〔2015〕420号）和有关施工规范、验收标准及施工图的规定或要求，对工程材料、构件、建筑安装物、半成品、成品进行的一般质量鉴定、检测和试验，由发包人委托的第三方检测试验机构实施，所发生的鉴定、检测和试验费用由发包人承担，不包含在合同价格中。</w:t>
      </w:r>
    </w:p>
    <w:p w14:paraId="154D193A">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实施前，由发包人、承包人和第三方检测试验机构签订三方合同，第三方检测试验机构分别向承包人和发包人出具相应的检测试验报告。根据渝建〔2015〕420号文和有关施工规范、验收标准及施工图的规定或要求，所做的上述检测试验所需的试件取样、制作、送检，试件制作需要提供的材料以及检测、试验的配合工作由承包人负责完成并承担由此产生的所有相关费用。</w:t>
      </w:r>
    </w:p>
    <w:p w14:paraId="3AC5350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9.4.2特殊检验试验：</w:t>
      </w:r>
    </w:p>
    <w:p w14:paraId="32876C1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（1）除“施工措施的检测、试验”外，包括但不限于路基弯沉值试验、路面承载力试验、桥梁荷载试验、锚固试验、桩基检测、锚杆抗拔检验、锚索预应力检测、外墙面砖抗粘接试验、室内有害物质检测、门窗 （幕墙）三性检测、石材放射性检测、石膏板阻燃检测、挡土墙抗渗试验、保温层隔热检测等（根据项目实际情况增减）设计施工规范及其他法律法规规范规定的特殊检验试验项目，根据渝建〔2015〕420号文的规定，均由发包人委托相应的第三方检测试验机构进行检测，所发生的特殊检验试验费由发包人承担，不包含在合同价格中。</w:t>
      </w:r>
    </w:p>
    <w:p w14:paraId="0103772D">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发包人委托的第三方检测试验机构检测试验的试件所需的材料、取样、送检及相关配合工作由承包人负责完成并承担由此产生的所有相关费用。</w:t>
      </w:r>
    </w:p>
    <w:p w14:paraId="4AF2F00F">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（2）施工措施的检测、试验：因施工措施需要而做的相关检测、试验由承包人负责实施，其费用由承包人承担。</w:t>
      </w:r>
    </w:p>
    <w:p w14:paraId="6860ABC9">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9.4.3专项检测：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39DAC6E">
      <w:pPr>
        <w:tabs>
          <w:tab w:val="left" w:pos="711"/>
          <w:tab w:val="left" w:pos="2580"/>
        </w:tabs>
        <w:spacing w:line="360" w:lineRule="auto"/>
        <w:ind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9.4.4若因承包人取样、制样、送检及相关配合不及时而导致工程的工期和费用增加，影响的工期不予延长，增加费用由承包人承担。</w:t>
      </w:r>
    </w:p>
    <w:p w14:paraId="5B804F4A">
      <w:pPr>
        <w:tabs>
          <w:tab w:val="left" w:pos="711"/>
          <w:tab w:val="left" w:pos="2580"/>
        </w:tabs>
        <w:spacing w:line="360" w:lineRule="auto"/>
        <w:ind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rPr>
        <w:t>9.4.5检测试验不合格的项目，其缺陷处理和复测费用由承包人承担，工期不予延长。</w:t>
      </w:r>
    </w:p>
    <w:bookmarkEnd w:id="1452"/>
    <w:bookmarkEnd w:id="1453"/>
    <w:bookmarkEnd w:id="1454"/>
    <w:bookmarkEnd w:id="1455"/>
    <w:bookmarkEnd w:id="1456"/>
    <w:bookmarkEnd w:id="1457"/>
    <w:bookmarkEnd w:id="1458"/>
    <w:bookmarkEnd w:id="1459"/>
    <w:bookmarkEnd w:id="1460"/>
    <w:bookmarkEnd w:id="1461"/>
    <w:bookmarkEnd w:id="1462"/>
    <w:bookmarkEnd w:id="1463"/>
    <w:bookmarkEnd w:id="1464"/>
    <w:p w14:paraId="75CE6638">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616" w:name="_Toc532377370"/>
      <w:bookmarkStart w:id="1617" w:name="_Toc532375634"/>
      <w:bookmarkStart w:id="1618" w:name="_Toc267251485"/>
      <w:bookmarkStart w:id="1619" w:name="_Toc267251489"/>
      <w:bookmarkStart w:id="1620" w:name="_Toc267251490"/>
      <w:bookmarkStart w:id="1621" w:name="_Toc267251484"/>
      <w:bookmarkStart w:id="1622" w:name="_Toc267251482"/>
      <w:bookmarkStart w:id="1623" w:name="_Toc267251488"/>
      <w:bookmarkStart w:id="1624" w:name="_Hlk524298112"/>
      <w:bookmarkStart w:id="1625" w:name="_Toc267251486"/>
      <w:bookmarkStart w:id="1626" w:name="_Toc267251504"/>
      <w:bookmarkStart w:id="1627" w:name="_Toc267251515"/>
      <w:bookmarkStart w:id="1628" w:name="_Toc267251499"/>
      <w:bookmarkStart w:id="1629" w:name="_Toc267251495"/>
      <w:bookmarkStart w:id="1630" w:name="_Toc267251508"/>
      <w:bookmarkStart w:id="1631" w:name="_Toc267251507"/>
      <w:bookmarkStart w:id="1632" w:name="_Toc267251509"/>
      <w:bookmarkStart w:id="1633" w:name="_Toc267251506"/>
      <w:bookmarkStart w:id="1634" w:name="_Toc267251498"/>
      <w:bookmarkStart w:id="1635" w:name="_Toc267251493"/>
      <w:bookmarkStart w:id="1636" w:name="_Toc267251501"/>
      <w:bookmarkStart w:id="1637" w:name="_Toc267251503"/>
      <w:bookmarkStart w:id="1638" w:name="_Toc267251492"/>
      <w:bookmarkStart w:id="1639" w:name="_Toc267251502"/>
      <w:bookmarkStart w:id="1640" w:name="_Toc267251497"/>
      <w:bookmarkStart w:id="1641" w:name="_Toc267251511"/>
      <w:bookmarkStart w:id="1642" w:name="_Toc267251494"/>
      <w:bookmarkStart w:id="1643" w:name="_Toc267251496"/>
      <w:bookmarkStart w:id="1644" w:name="_Toc267251491"/>
      <w:bookmarkStart w:id="1645" w:name="_Toc267251510"/>
      <w:bookmarkStart w:id="1646" w:name="_Toc267251513"/>
      <w:bookmarkStart w:id="1647" w:name="_Toc267251514"/>
      <w:r>
        <w:rPr>
          <w:rFonts w:hint="eastAsia"/>
          <w:color w:val="auto"/>
          <w:kern w:val="2"/>
          <w:sz w:val="21"/>
          <w:szCs w:val="21"/>
          <w:highlight w:val="none"/>
        </w:rPr>
        <w:t>1</w:t>
      </w:r>
      <w:bookmarkStart w:id="1648" w:name="_Toc297120493"/>
      <w:bookmarkStart w:id="1649" w:name="_Toc297048379"/>
      <w:bookmarkStart w:id="1650" w:name="_Toc297216199"/>
      <w:bookmarkStart w:id="1651" w:name="_Toc300934989"/>
      <w:bookmarkStart w:id="1652" w:name="_Toc296346694"/>
      <w:bookmarkStart w:id="1653" w:name="_Toc303539146"/>
      <w:bookmarkStart w:id="1654" w:name="_Toc296944532"/>
      <w:bookmarkStart w:id="1655" w:name="_Toc292559398"/>
      <w:bookmarkStart w:id="1656" w:name="_Toc292559903"/>
      <w:bookmarkStart w:id="1657" w:name="_Toc296891233"/>
      <w:bookmarkStart w:id="1658" w:name="_Toc297123540"/>
      <w:bookmarkStart w:id="1659" w:name="_Toc296891021"/>
      <w:bookmarkStart w:id="1660" w:name="_Toc296503193"/>
      <w:bookmarkStart w:id="1661" w:name="_Toc296347192"/>
      <w:bookmarkStart w:id="1662" w:name="_Toc304295566"/>
      <w:bookmarkStart w:id="1663" w:name="_Toc312677499"/>
      <w:bookmarkStart w:id="1664" w:name="_Toc312678025"/>
      <w:bookmarkStart w:id="1665" w:name="_Toc267251441"/>
      <w:bookmarkStart w:id="1666" w:name="_Toc267251433"/>
      <w:bookmarkStart w:id="1667" w:name="_Toc267251435"/>
      <w:bookmarkStart w:id="1668" w:name="_Toc267251437"/>
      <w:bookmarkStart w:id="1669" w:name="_Toc267251440"/>
      <w:bookmarkStart w:id="1670" w:name="_Toc267251439"/>
      <w:r>
        <w:rPr>
          <w:rFonts w:hint="eastAsia"/>
          <w:color w:val="auto"/>
          <w:kern w:val="2"/>
          <w:sz w:val="21"/>
          <w:szCs w:val="21"/>
          <w:highlight w:val="none"/>
        </w:rPr>
        <w:t>0. 变更</w:t>
      </w:r>
      <w:bookmarkEnd w:id="1616"/>
      <w:bookmarkEnd w:id="161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p>
    <w:bookmarkEnd w:id="1663"/>
    <w:bookmarkEnd w:id="1664"/>
    <w:p w14:paraId="5A050E7F">
      <w:pPr>
        <w:pStyle w:val="7"/>
        <w:spacing w:before="0" w:beforeAutospacing="0" w:after="0" w:afterAutospacing="0" w:line="360" w:lineRule="auto"/>
        <w:ind w:firstLine="422" w:firstLineChars="200"/>
        <w:rPr>
          <w:color w:val="auto"/>
          <w:sz w:val="21"/>
          <w:szCs w:val="21"/>
          <w:highlight w:val="none"/>
        </w:rPr>
      </w:pPr>
      <w:bookmarkStart w:id="1671" w:name="_Toc532377371"/>
      <w:bookmarkStart w:id="1672" w:name="_Toc532375635"/>
      <w:r>
        <w:rPr>
          <w:rFonts w:hint="eastAsia"/>
          <w:color w:val="auto"/>
          <w:sz w:val="21"/>
          <w:szCs w:val="21"/>
          <w:highlight w:val="none"/>
        </w:rPr>
        <w:t>1</w:t>
      </w:r>
      <w:bookmarkStart w:id="1673" w:name="_Toc296346695"/>
      <w:bookmarkStart w:id="1674" w:name="_Toc292559904"/>
      <w:bookmarkStart w:id="1675" w:name="_Toc296503194"/>
      <w:bookmarkStart w:id="1676" w:name="_Toc297120494"/>
      <w:bookmarkStart w:id="1677" w:name="_Toc300934990"/>
      <w:bookmarkStart w:id="1678" w:name="_Toc296891022"/>
      <w:bookmarkStart w:id="1679" w:name="_Toc292559399"/>
      <w:bookmarkStart w:id="1680" w:name="_Toc296347193"/>
      <w:bookmarkStart w:id="1681" w:name="_Toc296944533"/>
      <w:bookmarkStart w:id="1682" w:name="_Toc297048380"/>
      <w:bookmarkStart w:id="1683" w:name="_Toc297216200"/>
      <w:bookmarkStart w:id="1684" w:name="_Toc312678026"/>
      <w:bookmarkStart w:id="1685" w:name="_Toc296891234"/>
      <w:bookmarkStart w:id="1686" w:name="_Toc303539147"/>
      <w:bookmarkStart w:id="1687" w:name="_Toc304295567"/>
      <w:bookmarkStart w:id="1688" w:name="_Toc312677500"/>
      <w:bookmarkStart w:id="1689" w:name="_Toc297123541"/>
      <w:r>
        <w:rPr>
          <w:rFonts w:hint="eastAsia"/>
          <w:color w:val="auto"/>
          <w:sz w:val="21"/>
          <w:szCs w:val="21"/>
          <w:highlight w:val="none"/>
        </w:rPr>
        <w:t>0.1变更的范围</w:t>
      </w:r>
      <w:bookmarkEnd w:id="1671"/>
      <w:bookmarkEnd w:id="1672"/>
    </w:p>
    <w:p w14:paraId="24305B1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关于变更范围的约定：</w:t>
      </w:r>
    </w:p>
    <w:p w14:paraId="75FD375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（1）增加或减少合同中任何工作，或追加额外的工作；</w:t>
      </w:r>
    </w:p>
    <w:p w14:paraId="7794D76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（2）取消合同中任何工作；</w:t>
      </w:r>
    </w:p>
    <w:p w14:paraId="15E3E2E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（3）改变合同中任何工作的质量标准或其他特性；</w:t>
      </w:r>
    </w:p>
    <w:p w14:paraId="28B8515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（4）改变工程的基线、标高、位置和尺寸；</w:t>
      </w:r>
    </w:p>
    <w:p w14:paraId="27DC372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（5）适用于工程的标准和（或）规范变化导致需要对工程进行改变，且该改变导致工期和（或）费用变化的；</w:t>
      </w:r>
    </w:p>
    <w:p w14:paraId="6F0E785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（6）勘察设计变更；</w:t>
      </w:r>
    </w:p>
    <w:p w14:paraId="55C4ED9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（7）实施内容变更，包括因设计变更和非设计变更引起的实施地点、投资规模、结构型式、采购数量、服务内容等进行的调整，以及因此导致的合同价格、工期变更；</w:t>
      </w:r>
    </w:p>
    <w:p w14:paraId="6CD1594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（8）项目管理人员变更；</w:t>
      </w:r>
    </w:p>
    <w:p w14:paraId="47C053F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（9）因人工、原材料等价格变化导致的合同总价变更；</w:t>
      </w:r>
    </w:p>
    <w:p w14:paraId="23F4FF6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（10）非实施内容变化导致的工期变更；</w:t>
      </w:r>
    </w:p>
    <w:p w14:paraId="58F2150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BF9628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合同变更应当符合国家法律法规、强制标准和技术规范的要求，且合同变更后更加有利于工程的建设、运营、安全、节约资金、保护生态环境或者实现功能要求。发包人对项目合同变更承担主体责任。项目合同变更后，发包人应当与承包人签订补充协议。项目合同变更应当按照《重庆市政府投资项目合同变更管理暂行办法》要求进行信息公开。项目合同变更未获得通过的，发包人和承包人均不得擅自变更原合同约定事项，且不得就同一理由同一事项再提出变更。</w:t>
      </w:r>
    </w:p>
    <w:p w14:paraId="39394E6E">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承包人对其提供的材料、工程设备、施工、无负荷试车、热负荷试车及图纸参数存在的缺陷，自费修正、调整和完善，不属于变更。</w:t>
      </w:r>
    </w:p>
    <w:p w14:paraId="0F919653">
      <w:pPr>
        <w:pStyle w:val="7"/>
        <w:spacing w:before="0" w:beforeAutospacing="0" w:after="0" w:afterAutospacing="0" w:line="360" w:lineRule="auto"/>
        <w:ind w:firstLine="422" w:firstLineChars="200"/>
        <w:rPr>
          <w:color w:val="auto"/>
          <w:sz w:val="21"/>
          <w:szCs w:val="21"/>
          <w:highlight w:val="none"/>
        </w:rPr>
      </w:pPr>
      <w:bookmarkStart w:id="1690" w:name="_Toc532375636"/>
      <w:bookmarkStart w:id="1691" w:name="_Toc532377372"/>
      <w:bookmarkStart w:id="1692" w:name="_Toc351203569"/>
      <w:r>
        <w:rPr>
          <w:rFonts w:hint="eastAsia"/>
          <w:color w:val="auto"/>
          <w:sz w:val="21"/>
          <w:szCs w:val="21"/>
          <w:highlight w:val="none"/>
        </w:rPr>
        <w:t>1</w:t>
      </w:r>
      <w:bookmarkStart w:id="1693" w:name="_Toc296346586"/>
      <w:bookmarkStart w:id="1694" w:name="_Toc337558789"/>
      <w:bookmarkStart w:id="1695" w:name="_Toc296503085"/>
      <w:r>
        <w:rPr>
          <w:rFonts w:hint="eastAsia"/>
          <w:color w:val="auto"/>
          <w:sz w:val="21"/>
          <w:szCs w:val="21"/>
          <w:highlight w:val="none"/>
        </w:rPr>
        <w:t>0.2变更权</w:t>
      </w:r>
      <w:bookmarkEnd w:id="1690"/>
      <w:bookmarkEnd w:id="1691"/>
      <w:bookmarkEnd w:id="1692"/>
    </w:p>
    <w:bookmarkEnd w:id="1693"/>
    <w:bookmarkEnd w:id="1694"/>
    <w:bookmarkEnd w:id="1695"/>
    <w:p w14:paraId="5E19D26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10.2.1发包人和监理人提出变更</w:t>
      </w:r>
    </w:p>
    <w:p w14:paraId="0B70E1E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和监理人均可以提出变更。变更指示均通过监理人以书面形式发出，监理人发出变更指示前应征得发包人同意。承包人收到经发包人签认的变更指示后，方可实施变更。未取得经发包人签认的变更指示，承包人不得实施任何变更。</w:t>
      </w:r>
    </w:p>
    <w:p w14:paraId="43A87736">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涉及设计变更的，应由设计人提供变更后的图纸和说明，交由发包人同意后由监理人以书面形式发出。如变更超过原设计标准或批准的建设规模时，由发包人及时办理规划、设计变更等审批手续。</w:t>
      </w:r>
    </w:p>
    <w:p w14:paraId="57AF093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若出现重大设计变更，变更后的内容超出承包人资质或能力范围的，发包人将另行依法招标选择承包单位，无需征得承包人同意。</w:t>
      </w:r>
    </w:p>
    <w:p w14:paraId="7A7C3DA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10.2.2 承包人提出变更建议</w:t>
      </w:r>
    </w:p>
    <w:p w14:paraId="39AE490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可以向发包人提交书面变更建议，应当以承包人单位名义书面向发包人提出申请，详细说明变更的内容、理由，以及该变更对项目的工期、投资、质量、安全、运营管理、生态环境等的影响，客观反映项目合同变更的必要性和可行性，包括：</w:t>
      </w:r>
      <w:r>
        <w:rPr>
          <w:rFonts w:hint="eastAsia" w:ascii="宋体" w:hAnsi="宋体"/>
          <w:color w:val="auto"/>
          <w:szCs w:val="21"/>
          <w:highlight w:val="none"/>
          <w:u w:val="single"/>
        </w:rPr>
        <w:t>缩短工期，降低发包人的工程、施工、维护、营运的费用，提高竣工工程的效率或价值，给发包人带来的长远利益和其他利益。发包人接到此类建议后，可以选择：不采纳/采纳/补充进一步资料的书面通知</w:t>
      </w:r>
      <w:r>
        <w:rPr>
          <w:rFonts w:hint="eastAsia" w:ascii="宋体" w:hAnsi="宋体"/>
          <w:color w:val="auto"/>
          <w:szCs w:val="21"/>
          <w:highlight w:val="none"/>
        </w:rPr>
        <w:t>。</w:t>
      </w:r>
    </w:p>
    <w:p w14:paraId="06E1114C">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如果发包人对承包人已实施的施工项目在发出重大设计变更之前要求承包人提出一份建议，那么，承包人应尽快提出：</w:t>
      </w:r>
    </w:p>
    <w:p w14:paraId="0A619244">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（1）对所提方案和（或）待做工作及其实施计划的说明</w:t>
      </w:r>
      <w:r>
        <w:rPr>
          <w:rFonts w:hint="eastAsia" w:ascii="宋体" w:hAnsi="宋体"/>
          <w:color w:val="auto"/>
          <w:szCs w:val="21"/>
          <w:highlight w:val="none"/>
        </w:rPr>
        <w:t>；</w:t>
      </w:r>
    </w:p>
    <w:p w14:paraId="112520EF">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（2）承包人按照对工程进度计划进行必要修改的建议</w:t>
      </w:r>
      <w:r>
        <w:rPr>
          <w:rFonts w:hint="eastAsia" w:ascii="宋体" w:hAnsi="宋体"/>
          <w:color w:val="auto"/>
          <w:szCs w:val="21"/>
          <w:highlight w:val="none"/>
        </w:rPr>
        <w:t>；</w:t>
      </w:r>
    </w:p>
    <w:p w14:paraId="78F75D2D">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（3）承包人发生较大返工损失增加费用的建议</w:t>
      </w:r>
      <w:r>
        <w:rPr>
          <w:rFonts w:hint="eastAsia" w:ascii="宋体" w:hAnsi="宋体"/>
          <w:color w:val="auto"/>
          <w:szCs w:val="21"/>
          <w:highlight w:val="none"/>
        </w:rPr>
        <w:t>。</w:t>
      </w:r>
    </w:p>
    <w:p w14:paraId="1D95444F">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发包人在收到上述建议书后，应尽快给予批准、否决或提出意见</w:t>
      </w:r>
      <w:r>
        <w:rPr>
          <w:rFonts w:hint="eastAsia" w:ascii="宋体" w:hAnsi="宋体"/>
          <w:color w:val="auto"/>
          <w:szCs w:val="21"/>
          <w:highlight w:val="none"/>
        </w:rPr>
        <w:t>。</w:t>
      </w:r>
    </w:p>
    <w:p w14:paraId="641973A6">
      <w:pPr>
        <w:pStyle w:val="7"/>
        <w:spacing w:before="0" w:beforeAutospacing="0" w:after="0" w:afterAutospacing="0" w:line="360" w:lineRule="auto"/>
        <w:ind w:firstLine="422" w:firstLineChars="200"/>
        <w:rPr>
          <w:color w:val="auto"/>
          <w:sz w:val="21"/>
          <w:szCs w:val="21"/>
          <w:highlight w:val="none"/>
        </w:rPr>
      </w:pPr>
      <w:bookmarkStart w:id="1696" w:name="_Toc532375637"/>
      <w:bookmarkStart w:id="1697" w:name="_Toc532377373"/>
      <w:bookmarkStart w:id="1698" w:name="_Toc351203570"/>
      <w:bookmarkStart w:id="1699" w:name="_Hlk528928195"/>
      <w:r>
        <w:rPr>
          <w:rFonts w:hint="eastAsia"/>
          <w:color w:val="auto"/>
          <w:sz w:val="21"/>
          <w:szCs w:val="21"/>
          <w:highlight w:val="none"/>
        </w:rPr>
        <w:t>1</w:t>
      </w:r>
      <w:bookmarkStart w:id="1700" w:name="_Toc296503086"/>
      <w:bookmarkStart w:id="1701" w:name="_Toc296346587"/>
      <w:bookmarkStart w:id="1702" w:name="_Toc337558790"/>
      <w:r>
        <w:rPr>
          <w:rFonts w:hint="eastAsia"/>
          <w:color w:val="auto"/>
          <w:sz w:val="21"/>
          <w:szCs w:val="21"/>
          <w:highlight w:val="none"/>
        </w:rPr>
        <w:t>0.3变更程序</w:t>
      </w:r>
      <w:bookmarkEnd w:id="1696"/>
      <w:bookmarkEnd w:id="1697"/>
    </w:p>
    <w:bookmarkEnd w:id="1700"/>
    <w:bookmarkEnd w:id="1701"/>
    <w:bookmarkEnd w:id="1702"/>
    <w:p w14:paraId="0B034ADA">
      <w:pPr>
        <w:autoSpaceDE w:val="0"/>
        <w:autoSpaceDN w:val="0"/>
        <w:spacing w:line="360" w:lineRule="auto"/>
        <w:ind w:firstLine="420" w:firstLineChars="200"/>
        <w:jc w:val="left"/>
        <w:rPr>
          <w:rFonts w:ascii="宋体" w:hAnsi="宋体"/>
          <w:color w:val="auto"/>
          <w:szCs w:val="21"/>
          <w:highlight w:val="none"/>
        </w:rPr>
      </w:pPr>
      <w:bookmarkStart w:id="1703" w:name="_Hlk524353972"/>
      <w:r>
        <w:rPr>
          <w:rFonts w:hint="eastAsia" w:ascii="宋体" w:hAnsi="宋体"/>
          <w:color w:val="auto"/>
          <w:szCs w:val="21"/>
          <w:highlight w:val="none"/>
        </w:rPr>
        <w:t>10.3.3 变更执行</w:t>
      </w:r>
    </w:p>
    <w:p w14:paraId="0598C9A6">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一般设计变更：承包人收到监理人下达的变更指示后，应按照监理人下达的变更指示执行，并书面说明实施该变更指示对合同价格和工期的影响，按照第10.4.1项〔变更估价原则〕约定执行。</w:t>
      </w:r>
    </w:p>
    <w:p w14:paraId="2E07E809">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重大设计变更：需经设计人、监理人和发包人三方签名认可并报相关行业部门审查同意后实施。</w:t>
      </w:r>
    </w:p>
    <w:p w14:paraId="6671CF56">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10.3.3 项增加以下内容：</w:t>
      </w:r>
    </w:p>
    <w:p w14:paraId="4724A733">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合同变更提出后，应当首先由发包人组织相关单位、专家进行论证。经论证确需变更的，发包人按照《重庆市政府投资项目合同变更管理暂行办法》规定的程序自行决策或者报批；经论证不需要变更的，继续按合同执行。</w:t>
      </w:r>
    </w:p>
    <w:p w14:paraId="7858C277">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项目的勘察设计、实施内容等作较大变更的，应当按照规定的程序报原审批部门审批；变更导致总投资超概的，应当报原投资概算核定部门核定。</w:t>
      </w:r>
    </w:p>
    <w:p w14:paraId="316FBC10">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项目管理人员变更的，应当经发包人领导班子集体决策同意，并将变更信息推送给行业主管部门。变更后的项目管理人员应当符合</w:t>
      </w:r>
      <w:r>
        <w:rPr>
          <w:rFonts w:hint="eastAsia" w:ascii="宋体" w:hAnsi="宋体"/>
          <w:color w:val="auto"/>
          <w:szCs w:val="21"/>
          <w:highlight w:val="none"/>
          <w:u w:val="single"/>
          <w:lang w:eastAsia="zh-CN"/>
        </w:rPr>
        <w:t>竞争性比选文件</w:t>
      </w:r>
      <w:r>
        <w:rPr>
          <w:rFonts w:hint="eastAsia" w:ascii="宋体" w:hAnsi="宋体"/>
          <w:color w:val="auto"/>
          <w:szCs w:val="21"/>
          <w:highlight w:val="none"/>
          <w:u w:val="single"/>
        </w:rPr>
        <w:t>和行业主管部门的相关规定。</w:t>
      </w:r>
    </w:p>
    <w:p w14:paraId="74A8605E">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因人工、原材料市场价格发生大幅度变化导致的合同总价变更，由发包人与承包人按照合同进行变更，并将变更信息推送给行业主管部门。</w:t>
      </w:r>
    </w:p>
    <w:p w14:paraId="77BB21C6">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项目实施内容无变更，因不可抗力导致的工期变更，由发包人领导班子集体决策同意，并将变更信息推送给行业主管部门；因项目实施内容变更导致的工期变更，与项目实施内容变更一并办理。</w:t>
      </w:r>
    </w:p>
    <w:p w14:paraId="58840BB5">
      <w:pPr>
        <w:autoSpaceDE w:val="0"/>
        <w:autoSpaceDN w:val="0"/>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项目合同变更后，增加的实施内容达到依法必须招标的规模标准的，增加的部分应当依法通过招标选择承包单位。</w:t>
      </w:r>
    </w:p>
    <w:bookmarkEnd w:id="1698"/>
    <w:bookmarkEnd w:id="1699"/>
    <w:bookmarkEnd w:id="1703"/>
    <w:p w14:paraId="4A72CE0A">
      <w:pPr>
        <w:pStyle w:val="7"/>
        <w:spacing w:before="0" w:beforeAutospacing="0" w:after="0" w:afterAutospacing="0" w:line="360" w:lineRule="auto"/>
        <w:ind w:firstLine="422" w:firstLineChars="200"/>
        <w:rPr>
          <w:color w:val="auto"/>
          <w:sz w:val="21"/>
          <w:szCs w:val="21"/>
          <w:highlight w:val="none"/>
        </w:rPr>
      </w:pPr>
      <w:bookmarkStart w:id="1704" w:name="_Toc532377374"/>
      <w:bookmarkStart w:id="1705" w:name="_Toc532375638"/>
      <w:r>
        <w:rPr>
          <w:rFonts w:hint="eastAsia"/>
          <w:color w:val="auto"/>
          <w:sz w:val="21"/>
          <w:szCs w:val="21"/>
          <w:highlight w:val="none"/>
        </w:rPr>
        <w:t>10.4 变更估价</w:t>
      </w:r>
      <w:bookmarkEnd w:id="1704"/>
      <w:bookmarkEnd w:id="1705"/>
    </w:p>
    <w:p w14:paraId="6BD0A7BE">
      <w:pPr>
        <w:spacing w:line="360" w:lineRule="auto"/>
        <w:ind w:firstLine="420" w:firstLineChars="200"/>
        <w:jc w:val="left"/>
        <w:rPr>
          <w:rFonts w:ascii="宋体" w:hAnsi="宋体"/>
          <w:color w:val="auto"/>
          <w:szCs w:val="21"/>
          <w:highlight w:val="none"/>
        </w:rPr>
      </w:pPr>
      <w:bookmarkStart w:id="1706" w:name="_Hlk524296629"/>
      <w:r>
        <w:rPr>
          <w:rFonts w:hint="eastAsia" w:ascii="宋体" w:hAnsi="宋体"/>
          <w:color w:val="auto"/>
          <w:szCs w:val="21"/>
          <w:highlight w:val="none"/>
        </w:rPr>
        <w:t>10.4.1 变更估价原则</w:t>
      </w:r>
    </w:p>
    <w:p w14:paraId="32A599BC">
      <w:pPr>
        <w:pStyle w:val="2"/>
        <w:spacing w:after="0"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当发生工程变更时，工程量按</w:t>
      </w:r>
      <w:r>
        <w:rPr>
          <w:rFonts w:hint="eastAsia" w:ascii="宋体" w:hAnsi="宋体"/>
          <w:color w:val="auto"/>
          <w:szCs w:val="21"/>
          <w:highlight w:val="none"/>
          <w:u w:val="single"/>
        </w:rPr>
        <w:t xml:space="preserve">        </w:t>
      </w:r>
      <w:r>
        <w:rPr>
          <w:rFonts w:hint="eastAsia" w:ascii="宋体" w:hAnsi="宋体"/>
          <w:color w:val="auto"/>
          <w:szCs w:val="21"/>
          <w:highlight w:val="none"/>
        </w:rPr>
        <w:t>规定的计算规则及已标价工程量清单规定的工程量计算规则计量，按以下办法计价：</w:t>
      </w:r>
      <w:bookmarkStart w:id="1707" w:name="_Hlk524770102"/>
    </w:p>
    <w:bookmarkEnd w:id="1707"/>
    <w:p w14:paraId="524A31C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10.4.1.1已标价工程量清单中有相同项目的，按照相同项目单价计算；</w:t>
      </w:r>
    </w:p>
    <w:p w14:paraId="134B474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10.4.1.2已标价工程量清单中有类似项目的，参考类似项目单价计算；</w:t>
      </w:r>
    </w:p>
    <w:p w14:paraId="68A1464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10.4.1.3已标价工程量清单中无相同项目亦无类似项目的，按照以下原则执行：</w:t>
      </w:r>
    </w:p>
    <w:p w14:paraId="5AA26C2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按《重庆市房屋建筑与装饰工程计价定额》（CQJZZSDE-2018）、《重庆市仿古建筑工程计价定额》（CQFGDE-2018）、《重庆市通用安装工程计价定额》（CQAZDE-2018） 、《重庆市市政工程计价定额》（CQSZDE-2018）、《重庆市园林绿化工程计价定额》（CQYLLHDE-2018）、《重庆市构筑物工程计价定额》（CQGZWDE-2018）、《重庆市城市轨道交通工程计价定额》（CQGDDE-2018）、《重庆市爆破工程计价定额》（CQBPDE-2018）、《重庆市房屋修缮工程计价定额》（CQXSDE-2018）、《重庆市绿色建筑工程计价定额》（CQLSJZDE-2018）、《重庆市建设工程施工机械台班定额》（CQJXDE-2018）、《重庆市建设工程施工仪器仪表台班定额》（CQYQYBDE-2018）、《重庆市建设工程混凝土及砂浆配合比表》（CQPHBB-2018）、《重庆市建设工程费用定额》（CQFYDE-2018）及相关配套文件进行组价并按承包人报价浮动率下浮（认质核价的设备和材料不参与浮动），经监理人、跟审单位、发包人审定后执行</w:t>
      </w:r>
      <w:r>
        <w:rPr>
          <w:rFonts w:hint="eastAsia" w:ascii="宋体" w:hAnsi="宋体"/>
          <w:color w:val="auto"/>
          <w:szCs w:val="21"/>
          <w:highlight w:val="none"/>
        </w:rPr>
        <w:t>。</w:t>
      </w:r>
    </w:p>
    <w:p w14:paraId="49EB848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承包人报价浮动率按下列公式计算：承包人报价浮动率=（1-中标价/最高限价）×100%。</w:t>
      </w:r>
    </w:p>
    <w:p w14:paraId="618F670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（1）人工单价：按开标当期《重庆工程造价信息》发布的项目所在地的人工单价执行。</w:t>
      </w:r>
    </w:p>
    <w:p w14:paraId="51F1B418">
      <w:pPr>
        <w:spacing w:line="360" w:lineRule="auto"/>
        <w:ind w:firstLine="420" w:firstLineChars="200"/>
        <w:jc w:val="left"/>
        <w:rPr>
          <w:rFonts w:ascii="宋体" w:hAnsi="宋体"/>
          <w:color w:val="auto"/>
          <w:szCs w:val="21"/>
          <w:highlight w:val="none"/>
        </w:rPr>
      </w:pPr>
      <w:bookmarkStart w:id="1708" w:name="_Hlk529023896"/>
      <w:r>
        <w:rPr>
          <w:rFonts w:hint="eastAsia" w:ascii="宋体" w:hAnsi="宋体"/>
          <w:color w:val="auto"/>
          <w:szCs w:val="21"/>
          <w:highlight w:val="none"/>
        </w:rPr>
        <w:t>（2）材料单价：</w:t>
      </w:r>
    </w:p>
    <w:p w14:paraId="286BE54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①按</w:t>
      </w:r>
      <w:bookmarkStart w:id="1709" w:name="_Hlk529023354"/>
      <w:r>
        <w:rPr>
          <w:rFonts w:hint="eastAsia" w:ascii="宋体" w:hAnsi="宋体"/>
          <w:color w:val="auto"/>
          <w:szCs w:val="21"/>
          <w:highlight w:val="none"/>
        </w:rPr>
        <w:t>开标当期《重庆工程造价信息》发布的项目所在地的信息价</w:t>
      </w:r>
      <w:bookmarkEnd w:id="1709"/>
      <w:r>
        <w:rPr>
          <w:rFonts w:hint="eastAsia" w:ascii="宋体" w:hAnsi="宋体"/>
          <w:color w:val="auto"/>
          <w:szCs w:val="21"/>
          <w:highlight w:val="none"/>
        </w:rPr>
        <w:t>执行；</w:t>
      </w:r>
    </w:p>
    <w:p w14:paraId="65B90F0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②开标当期《重庆工程造价信息》中没有的，承包人投标报价中有的，按承包人投标报价中相同材料单价的最低值执行；</w:t>
      </w:r>
    </w:p>
    <w:p w14:paraId="6CC1125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③开标当期《重庆工程造价信息》和承包人投标报价没有的，由承包人申报、监理人会同跟审单位、发包人根据市场行情认质核价确定。</w:t>
      </w:r>
    </w:p>
    <w:bookmarkEnd w:id="1708"/>
    <w:p w14:paraId="0A13AF6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企业管理费和利润：按承包人投标报价中相同工程分类的费用标准执行（投标报价中费用标准高于《重庆市建设工程费用定额》（CQFYDE-2018）费用标准的，按《重庆市建设工程费用定额》（CQFYDE-2018）费用标准执行）。</w:t>
      </w:r>
    </w:p>
    <w:p w14:paraId="590E1EB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（4）规费：按《重庆市建设工程费用定额》（CQFYDE-2018）费用标准进行计算。</w:t>
      </w:r>
    </w:p>
    <w:p w14:paraId="73C39CC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（5）税金：包含增值税、城市维护建设税、教育费附加、地方教育附加以及环境保护税。其中增值税按《重庆市建设工程费用定额》（CQFYDE-2018）规定及配套文件执行。</w:t>
      </w:r>
    </w:p>
    <w:p w14:paraId="61AB6713">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10.4.1.4已标价工程量清单中无相同项目亦无类似项目，也无定额可套用的，由承包人会同监理人、跟审单位、发包人按相关原则、编制方法编制补充定额（人工、材料、机械基价执行2018年计价定额的基价，2018年计价定额没有的基价，按市场价计），按照第10.4.1.3目约定执行；或参照重庆市场相同工作的市场价格上报监理人，最终价格按承包人、监理人、跟审单位、发包人共同询价确认的价格执行。</w:t>
      </w:r>
    </w:p>
    <w:p w14:paraId="33CCA41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本款补充10.4.3项：</w:t>
      </w:r>
    </w:p>
    <w:p w14:paraId="3693D29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10.4.3工程变更引起施工方案改变并使措施项目发生变化时，承包人提出调整措施项目费的，应事前将拟实施的方案提交监理人审核报发包人确认，并应详细说明与原方案措施项目相比的变化情况。拟实施的方案经发承包双方确认后执行，并应按照下列规定调整措施项目费：</w:t>
      </w:r>
    </w:p>
    <w:p w14:paraId="71252AE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安全文明施工费应按照实际发生变化的措施项目依据现行安全文明施工费计取及管理政策规定及《重庆市建设工程费用定额》（CQFYDE-2018）规定执行</w:t>
      </w:r>
      <w:r>
        <w:rPr>
          <w:rFonts w:hint="eastAsia" w:ascii="宋体" w:hAnsi="宋体"/>
          <w:color w:val="auto"/>
          <w:szCs w:val="21"/>
          <w:highlight w:val="none"/>
        </w:rPr>
        <w:t>；</w:t>
      </w:r>
    </w:p>
    <w:p w14:paraId="7A26047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single"/>
        </w:rPr>
        <w:t>按照单价计算的措施项目费，应按照实际发生变化的措施项目，按照第10.4.1项〔变更估价原则〕约定执行</w:t>
      </w:r>
      <w:r>
        <w:rPr>
          <w:rFonts w:hint="eastAsia" w:ascii="宋体" w:hAnsi="宋体"/>
          <w:color w:val="auto"/>
          <w:szCs w:val="21"/>
          <w:highlight w:val="none"/>
        </w:rPr>
        <w:t>；</w:t>
      </w:r>
    </w:p>
    <w:p w14:paraId="528FAEC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u w:val="single"/>
        </w:rPr>
        <w:t>按总价（或系数）计算的措施项目费，应按照实际发生变化的措施项目费按承包人报价浮动率下浮后的金额计算</w:t>
      </w:r>
      <w:r>
        <w:rPr>
          <w:rFonts w:hint="eastAsia" w:ascii="宋体" w:hAnsi="宋体"/>
          <w:color w:val="auto"/>
          <w:szCs w:val="21"/>
          <w:highlight w:val="none"/>
        </w:rPr>
        <w:t>；</w:t>
      </w:r>
    </w:p>
    <w:p w14:paraId="663DB5F4">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（4）</w:t>
      </w:r>
      <w:r>
        <w:rPr>
          <w:rFonts w:hint="eastAsia" w:ascii="宋体" w:hAnsi="宋体"/>
          <w:color w:val="auto"/>
          <w:szCs w:val="21"/>
          <w:highlight w:val="none"/>
          <w:u w:val="single"/>
        </w:rPr>
        <w:t>如果承包人未事前将拟实施的方案提交给发包人确认，则应视为工程变更不引起措施项目费的调整或承包人放弃调整措施项目费的权利</w:t>
      </w:r>
      <w:r>
        <w:rPr>
          <w:rFonts w:hint="eastAsia" w:ascii="宋体" w:hAnsi="宋体"/>
          <w:color w:val="auto"/>
          <w:szCs w:val="21"/>
          <w:highlight w:val="none"/>
        </w:rPr>
        <w:t>。</w:t>
      </w:r>
    </w:p>
    <w:bookmarkEnd w:id="1706"/>
    <w:p w14:paraId="67F564E7">
      <w:pPr>
        <w:pStyle w:val="7"/>
        <w:spacing w:before="0" w:beforeAutospacing="0" w:after="0" w:afterAutospacing="0" w:line="360" w:lineRule="auto"/>
        <w:ind w:firstLine="422" w:firstLineChars="200"/>
        <w:rPr>
          <w:color w:val="auto"/>
          <w:sz w:val="21"/>
          <w:szCs w:val="21"/>
          <w:highlight w:val="none"/>
        </w:rPr>
      </w:pPr>
      <w:bookmarkStart w:id="1710" w:name="_Toc532377375"/>
      <w:bookmarkStart w:id="1711" w:name="_Toc532375639"/>
      <w:r>
        <w:rPr>
          <w:rFonts w:hint="eastAsia"/>
          <w:color w:val="auto"/>
          <w:sz w:val="21"/>
          <w:szCs w:val="21"/>
          <w:highlight w:val="none"/>
        </w:rPr>
        <w:t>1</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Start w:id="1712" w:name="_Toc292559907"/>
      <w:bookmarkStart w:id="1713" w:name="_Toc303539150"/>
      <w:bookmarkStart w:id="1714" w:name="_Toc296891237"/>
      <w:bookmarkStart w:id="1715" w:name="_Toc296891025"/>
      <w:bookmarkStart w:id="1716" w:name="_Toc297048383"/>
      <w:bookmarkStart w:id="1717" w:name="_Toc292559402"/>
      <w:bookmarkStart w:id="1718" w:name="_Toc296346698"/>
      <w:bookmarkStart w:id="1719" w:name="_Toc296347196"/>
      <w:bookmarkStart w:id="1720" w:name="_Toc297123544"/>
      <w:bookmarkStart w:id="1721" w:name="_Toc296944536"/>
      <w:bookmarkStart w:id="1722" w:name="_Toc300934993"/>
      <w:bookmarkStart w:id="1723" w:name="_Toc296503197"/>
      <w:bookmarkStart w:id="1724" w:name="_Toc297120497"/>
      <w:bookmarkStart w:id="1725" w:name="_Toc297216203"/>
      <w:bookmarkStart w:id="1726" w:name="_Toc304295570"/>
      <w:bookmarkStart w:id="1727" w:name="_Toc312678029"/>
      <w:bookmarkStart w:id="1728" w:name="_Toc312677503"/>
      <w:r>
        <w:rPr>
          <w:rFonts w:hint="eastAsia"/>
          <w:color w:val="auto"/>
          <w:sz w:val="21"/>
          <w:szCs w:val="21"/>
          <w:highlight w:val="none"/>
        </w:rPr>
        <w:t>0.5承</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Start w:id="1729" w:name="_Toc296944542"/>
      <w:bookmarkStart w:id="1730" w:name="_Toc297120503"/>
      <w:bookmarkStart w:id="1731" w:name="_Toc300934994"/>
      <w:bookmarkStart w:id="1732" w:name="_Toc297123545"/>
      <w:bookmarkStart w:id="1733" w:name="_Toc292559408"/>
      <w:bookmarkStart w:id="1734" w:name="_Toc296346704"/>
      <w:bookmarkStart w:id="1735" w:name="_Toc297048389"/>
      <w:bookmarkStart w:id="1736" w:name="_Toc296891031"/>
      <w:bookmarkStart w:id="1737" w:name="_Toc296503203"/>
      <w:bookmarkStart w:id="1738" w:name="_Toc303539151"/>
      <w:bookmarkStart w:id="1739" w:name="_Toc292559913"/>
      <w:bookmarkStart w:id="1740" w:name="_Toc297216204"/>
      <w:bookmarkStart w:id="1741" w:name="_Toc296891243"/>
      <w:bookmarkStart w:id="1742" w:name="_Toc296347202"/>
      <w:r>
        <w:rPr>
          <w:rFonts w:hint="eastAsia"/>
          <w:color w:val="auto"/>
          <w:sz w:val="21"/>
          <w:szCs w:val="21"/>
          <w:highlight w:val="none"/>
        </w:rPr>
        <w:t>包人的合理化建议</w:t>
      </w:r>
      <w:bookmarkEnd w:id="1710"/>
      <w:bookmarkEnd w:id="1711"/>
    </w:p>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p w14:paraId="4AFC9AC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承包人提出合理化建议的，应向监理人提交合理化建议说明，说明建议的内容和理由，以及实施该建议对合同价格和（或）工期和（或）工程经济效益的影响。</w:t>
      </w:r>
    </w:p>
    <w:p w14:paraId="6FF4C84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监理人审查承包人合理化建议的期限：</w:t>
      </w:r>
      <w:r>
        <w:rPr>
          <w:rFonts w:hint="eastAsia" w:ascii="宋体" w:hAnsi="宋体"/>
          <w:color w:val="auto"/>
          <w:szCs w:val="21"/>
          <w:highlight w:val="none"/>
          <w:u w:val="single"/>
        </w:rPr>
        <w:t>不超过14天</w:t>
      </w:r>
      <w:r>
        <w:rPr>
          <w:rFonts w:hint="eastAsia" w:ascii="宋体" w:hAnsi="宋体"/>
          <w:color w:val="auto"/>
          <w:szCs w:val="21"/>
          <w:highlight w:val="none"/>
        </w:rPr>
        <w:t>。</w:t>
      </w:r>
    </w:p>
    <w:p w14:paraId="4024D71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发包人审批承包人合理化建议的期限：</w:t>
      </w:r>
      <w:r>
        <w:rPr>
          <w:rFonts w:hint="eastAsia" w:ascii="宋体" w:hAnsi="宋体"/>
          <w:color w:val="auto"/>
          <w:szCs w:val="21"/>
          <w:highlight w:val="none"/>
          <w:u w:val="single"/>
        </w:rPr>
        <w:t>不超过14天</w:t>
      </w:r>
      <w:r>
        <w:rPr>
          <w:rFonts w:hint="eastAsia" w:ascii="宋体" w:hAnsi="宋体"/>
          <w:color w:val="auto"/>
          <w:szCs w:val="21"/>
          <w:highlight w:val="none"/>
        </w:rPr>
        <w:t>。</w:t>
      </w:r>
    </w:p>
    <w:p w14:paraId="72B1EA83">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承</w:t>
      </w:r>
      <w:bookmarkStart w:id="1743" w:name="_Toc296891032"/>
      <w:bookmarkStart w:id="1744" w:name="_Toc292559914"/>
      <w:bookmarkStart w:id="1745" w:name="_Toc292559409"/>
      <w:bookmarkStart w:id="1746" w:name="_Toc297048390"/>
      <w:bookmarkStart w:id="1747" w:name="_Toc303539152"/>
      <w:bookmarkStart w:id="1748" w:name="_Toc297216205"/>
      <w:bookmarkStart w:id="1749" w:name="_Toc296503204"/>
      <w:bookmarkStart w:id="1750" w:name="_Toc296346705"/>
      <w:bookmarkStart w:id="1751" w:name="_Toc296944543"/>
      <w:bookmarkStart w:id="1752" w:name="_Toc297123546"/>
      <w:bookmarkStart w:id="1753" w:name="_Toc297120504"/>
      <w:bookmarkStart w:id="1754" w:name="_Toc318581175"/>
      <w:bookmarkStart w:id="1755" w:name="_Toc304295571"/>
      <w:bookmarkStart w:id="1756" w:name="_Toc296347203"/>
      <w:bookmarkStart w:id="1757" w:name="_Toc312678030"/>
      <w:bookmarkStart w:id="1758" w:name="_Toc300934995"/>
      <w:bookmarkStart w:id="1759" w:name="_Toc312677504"/>
      <w:bookmarkStart w:id="1760" w:name="_Toc296891244"/>
      <w:r>
        <w:rPr>
          <w:rFonts w:hint="eastAsia" w:ascii="宋体" w:hAnsi="宋体"/>
          <w:color w:val="auto"/>
          <w:szCs w:val="21"/>
          <w:highlight w:val="none"/>
        </w:rPr>
        <w:t>包人提出的合理化建议降低了合同价格或缩短了工期或者提高了工程经济效益的奖励的方法和金额为：</w:t>
      </w:r>
      <w:r>
        <w:rPr>
          <w:rFonts w:hint="eastAsia" w:ascii="宋体" w:hAnsi="宋体"/>
          <w:color w:val="auto"/>
          <w:szCs w:val="21"/>
          <w:highlight w:val="none"/>
          <w:u w:val="single"/>
        </w:rPr>
        <w:t>合理化建议带来经济效益的5～10 %</w:t>
      </w:r>
      <w:r>
        <w:rPr>
          <w:rFonts w:hint="eastAsia" w:ascii="宋体" w:hAnsi="宋体"/>
          <w:color w:val="auto"/>
          <w:szCs w:val="21"/>
          <w:highlight w:val="none"/>
        </w:rPr>
        <w:t>。</w:t>
      </w:r>
    </w:p>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p w14:paraId="03597153">
      <w:pPr>
        <w:pStyle w:val="7"/>
        <w:spacing w:before="0" w:beforeAutospacing="0" w:after="0" w:afterAutospacing="0" w:line="360" w:lineRule="auto"/>
        <w:ind w:firstLine="422" w:firstLineChars="200"/>
        <w:rPr>
          <w:color w:val="auto"/>
          <w:sz w:val="21"/>
          <w:szCs w:val="21"/>
          <w:highlight w:val="none"/>
        </w:rPr>
      </w:pPr>
      <w:bookmarkStart w:id="1761" w:name="_Toc532377376"/>
      <w:bookmarkStart w:id="1762" w:name="_Toc532375640"/>
      <w:r>
        <w:rPr>
          <w:rFonts w:hint="eastAsia"/>
          <w:color w:val="auto"/>
          <w:sz w:val="21"/>
          <w:szCs w:val="21"/>
          <w:highlight w:val="none"/>
        </w:rPr>
        <w:t>1</w:t>
      </w:r>
      <w:bookmarkStart w:id="1763" w:name="_Toc296503199"/>
      <w:bookmarkStart w:id="1764" w:name="_Toc297123548"/>
      <w:bookmarkStart w:id="1765" w:name="_Toc304295574"/>
      <w:bookmarkStart w:id="1766" w:name="_Toc303539154"/>
      <w:bookmarkStart w:id="1767" w:name="_Toc300934997"/>
      <w:bookmarkStart w:id="1768" w:name="_Toc296944538"/>
      <w:bookmarkStart w:id="1769" w:name="_Toc297048385"/>
      <w:bookmarkStart w:id="1770" w:name="_Toc297216207"/>
      <w:bookmarkStart w:id="1771" w:name="_Toc292559404"/>
      <w:bookmarkStart w:id="1772" w:name="_Toc296346700"/>
      <w:bookmarkStart w:id="1773" w:name="_Toc296891239"/>
      <w:bookmarkStart w:id="1774" w:name="_Toc292559909"/>
      <w:bookmarkStart w:id="1775" w:name="_Toc312678033"/>
      <w:bookmarkStart w:id="1776" w:name="_Toc297120499"/>
      <w:bookmarkStart w:id="1777" w:name="_Toc296347198"/>
      <w:bookmarkStart w:id="1778" w:name="_Toc312677507"/>
      <w:bookmarkStart w:id="1779" w:name="_Toc296891027"/>
      <w:r>
        <w:rPr>
          <w:rFonts w:hint="eastAsia"/>
          <w:color w:val="auto"/>
          <w:sz w:val="21"/>
          <w:szCs w:val="21"/>
          <w:highlight w:val="none"/>
        </w:rPr>
        <w:t>0.7 暂估价</w:t>
      </w:r>
      <w:bookmarkEnd w:id="1761"/>
      <w:bookmarkEnd w:id="1762"/>
    </w:p>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p w14:paraId="12E419F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专业工程暂估价：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万元</w:t>
      </w:r>
      <w:r>
        <w:rPr>
          <w:rFonts w:hint="eastAsia" w:ascii="宋体" w:hAnsi="宋体"/>
          <w:color w:val="auto"/>
          <w:szCs w:val="21"/>
          <w:highlight w:val="none"/>
        </w:rPr>
        <w:t>。</w:t>
      </w:r>
    </w:p>
    <w:p w14:paraId="4ABA1B1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单项合同估算价在国家相关法律法规规定必须招标规模以下的，符合可以不招标相关规定的，由承包人采取交钥匙工程模式实施，发包人配合。承包人（需在允许资质范围内）或承包人委托的有资质的专业分包单位实施。费用估价按照第10.4.1项〔变更估价原则〕执行，承包人申报，经监理人、跟审单位、发包人共同审定。审定后根据承包人签订的相关合同（需经监理人、跟审单位、发包人共同确认）约定，由承包人申报，随进度款按与相关单位签订的合同约定一并支付。</w:t>
      </w:r>
    </w:p>
    <w:p w14:paraId="49888E1A">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单项合同暂估价在国家相关法律法规规定必须招标规模以上的，需依法必须招标的，由承包人、发包人共同招标确定。</w:t>
      </w:r>
    </w:p>
    <w:p w14:paraId="5BD1FA54">
      <w:pPr>
        <w:pStyle w:val="7"/>
        <w:spacing w:before="0" w:beforeAutospacing="0" w:after="0" w:afterAutospacing="0" w:line="360" w:lineRule="auto"/>
        <w:ind w:firstLine="422" w:firstLineChars="200"/>
        <w:rPr>
          <w:color w:val="auto"/>
          <w:sz w:val="21"/>
          <w:szCs w:val="21"/>
          <w:highlight w:val="none"/>
        </w:rPr>
      </w:pPr>
      <w:bookmarkStart w:id="1780" w:name="_Toc532377377"/>
      <w:bookmarkStart w:id="1781" w:name="_Toc532375641"/>
      <w:r>
        <w:rPr>
          <w:rFonts w:hint="eastAsia"/>
          <w:color w:val="auto"/>
          <w:sz w:val="21"/>
          <w:szCs w:val="21"/>
          <w:highlight w:val="none"/>
        </w:rPr>
        <w:t>10.8 暂列金额</w:t>
      </w:r>
      <w:bookmarkEnd w:id="1780"/>
      <w:bookmarkEnd w:id="1781"/>
    </w:p>
    <w:p w14:paraId="106CE210">
      <w:pPr>
        <w:autoSpaceDE w:val="0"/>
        <w:autoSpaceDN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合同当事人关于暂列金额使用的约定：</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据实结算</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E713B5E">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782" w:name="_Toc532377378"/>
      <w:bookmarkStart w:id="1783" w:name="_Toc351203643"/>
      <w:bookmarkStart w:id="1784" w:name="_Toc532375642"/>
      <w:r>
        <w:rPr>
          <w:rFonts w:hint="eastAsia"/>
          <w:color w:val="auto"/>
          <w:kern w:val="2"/>
          <w:sz w:val="21"/>
          <w:szCs w:val="21"/>
          <w:highlight w:val="none"/>
        </w:rPr>
        <w:t>11. 价格调整</w:t>
      </w:r>
      <w:bookmarkEnd w:id="1782"/>
      <w:bookmarkEnd w:id="1783"/>
      <w:bookmarkEnd w:id="1784"/>
    </w:p>
    <w:p w14:paraId="210C4F95">
      <w:pPr>
        <w:pStyle w:val="7"/>
        <w:spacing w:before="0" w:beforeAutospacing="0" w:after="0" w:afterAutospacing="0" w:line="360" w:lineRule="auto"/>
        <w:ind w:firstLine="422" w:firstLineChars="200"/>
        <w:rPr>
          <w:color w:val="auto"/>
          <w:sz w:val="21"/>
          <w:szCs w:val="21"/>
          <w:highlight w:val="none"/>
        </w:rPr>
      </w:pPr>
      <w:bookmarkStart w:id="1785" w:name="_Toc532375643"/>
      <w:bookmarkStart w:id="1786" w:name="_Toc532377379"/>
      <w:bookmarkStart w:id="1787" w:name="_Toc297123550"/>
      <w:bookmarkStart w:id="1788" w:name="_Toc303539157"/>
      <w:bookmarkStart w:id="1789" w:name="_Toc297216209"/>
      <w:bookmarkStart w:id="1790" w:name="_Toc296346702"/>
      <w:bookmarkStart w:id="1791" w:name="_Toc292559911"/>
      <w:bookmarkStart w:id="1792" w:name="_Toc312678039"/>
      <w:bookmarkStart w:id="1793" w:name="_Toc296347200"/>
      <w:bookmarkStart w:id="1794" w:name="_Toc292559406"/>
      <w:bookmarkStart w:id="1795" w:name="_Toc300935000"/>
      <w:bookmarkStart w:id="1796" w:name="_Toc297048387"/>
      <w:bookmarkStart w:id="1797" w:name="_Toc304295577"/>
      <w:bookmarkStart w:id="1798" w:name="_Toc296503201"/>
      <w:bookmarkStart w:id="1799" w:name="_Toc296891241"/>
      <w:bookmarkStart w:id="1800" w:name="_Toc297120501"/>
      <w:bookmarkStart w:id="1801" w:name="_Toc296891029"/>
      <w:bookmarkStart w:id="1802" w:name="_Toc296944540"/>
      <w:r>
        <w:rPr>
          <w:rFonts w:hint="eastAsia"/>
          <w:color w:val="auto"/>
          <w:sz w:val="21"/>
          <w:szCs w:val="21"/>
          <w:highlight w:val="none"/>
        </w:rPr>
        <w:t>11.1 市场价格波动引起的调整</w:t>
      </w:r>
      <w:bookmarkEnd w:id="1785"/>
      <w:bookmarkEnd w:id="1786"/>
    </w:p>
    <w:bookmarkEnd w:id="1665"/>
    <w:bookmarkEnd w:id="1666"/>
    <w:bookmarkEnd w:id="1667"/>
    <w:bookmarkEnd w:id="1668"/>
    <w:bookmarkEnd w:id="1669"/>
    <w:bookmarkEnd w:id="1670"/>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p w14:paraId="1A4FA120">
      <w:pPr>
        <w:shd w:val="clear"/>
        <w:spacing w:line="360" w:lineRule="auto"/>
        <w:ind w:firstLine="420" w:firstLineChars="200"/>
        <w:jc w:val="left"/>
        <w:rPr>
          <w:rFonts w:hint="eastAsia" w:ascii="宋体" w:hAnsi="宋体" w:eastAsia="宋体"/>
          <w:color w:val="auto"/>
          <w:szCs w:val="21"/>
          <w:highlight w:val="none"/>
          <w:lang w:val="en-US" w:eastAsia="zh-CN"/>
        </w:rPr>
      </w:pPr>
      <w:bookmarkStart w:id="1803" w:name="_Toc466911545"/>
      <w:bookmarkStart w:id="1804" w:name="_Toc466913513"/>
      <w:bookmarkStart w:id="1805" w:name="_Toc467689641"/>
      <w:bookmarkStart w:id="1806" w:name="_Toc466913963"/>
      <w:bookmarkStart w:id="1807" w:name="_Toc532375644"/>
      <w:bookmarkStart w:id="1808" w:name="_Toc532377380"/>
      <w:bookmarkStart w:id="1809" w:name="_Hlk528928232"/>
      <w:bookmarkStart w:id="1810" w:name="_Toc292559915"/>
      <w:bookmarkStart w:id="1811" w:name="_Toc296347204"/>
      <w:bookmarkStart w:id="1812" w:name="_Toc292559410"/>
      <w:bookmarkStart w:id="1813" w:name="_Toc297048391"/>
      <w:bookmarkStart w:id="1814" w:name="_Toc297120505"/>
      <w:bookmarkStart w:id="1815" w:name="_Toc296891245"/>
      <w:bookmarkStart w:id="1816" w:name="_Toc296346706"/>
      <w:bookmarkStart w:id="1817" w:name="_Toc296891033"/>
      <w:bookmarkStart w:id="1818" w:name="_Toc296503205"/>
      <w:bookmarkStart w:id="1819" w:name="_Toc296944544"/>
      <w:bookmarkStart w:id="1820" w:name="_Toc351203644"/>
      <w:bookmarkStart w:id="1821" w:name="_Toc300935002"/>
      <w:bookmarkStart w:id="1822" w:name="_Toc297123552"/>
      <w:bookmarkStart w:id="1823" w:name="_Toc297216211"/>
      <w:bookmarkStart w:id="1824" w:name="_Toc303539159"/>
      <w:bookmarkStart w:id="1825" w:name="_Toc312678040"/>
      <w:bookmarkStart w:id="1826" w:name="_Toc304295579"/>
      <w:r>
        <w:rPr>
          <w:rFonts w:hint="eastAsia" w:ascii="宋体" w:hAnsi="宋体"/>
          <w:color w:val="auto"/>
          <w:szCs w:val="21"/>
          <w:highlight w:val="none"/>
        </w:rPr>
        <w:t>市场价格波动是否调整合同价格的约定：</w:t>
      </w:r>
      <w:bookmarkEnd w:id="1803"/>
      <w:bookmarkEnd w:id="1804"/>
      <w:bookmarkEnd w:id="1805"/>
      <w:bookmarkEnd w:id="1806"/>
      <w:r>
        <w:rPr>
          <w:rFonts w:hint="eastAsia" w:ascii="宋体" w:hAnsi="宋体"/>
          <w:color w:val="auto"/>
          <w:szCs w:val="21"/>
          <w:highlight w:val="none"/>
          <w:u w:val="single"/>
          <w:lang w:val="en-US" w:eastAsia="zh-CN"/>
        </w:rPr>
        <w:t>不调整。</w:t>
      </w:r>
    </w:p>
    <w:p w14:paraId="083F80A6">
      <w:pPr>
        <w:pStyle w:val="7"/>
        <w:spacing w:before="0" w:beforeAutospacing="0" w:after="0" w:afterAutospacing="0" w:line="360" w:lineRule="auto"/>
        <w:ind w:firstLine="422" w:firstLineChars="200"/>
        <w:rPr>
          <w:color w:val="auto"/>
          <w:sz w:val="21"/>
          <w:szCs w:val="21"/>
          <w:highlight w:val="none"/>
        </w:rPr>
      </w:pPr>
      <w:r>
        <w:rPr>
          <w:rFonts w:hint="eastAsia"/>
          <w:color w:val="auto"/>
          <w:sz w:val="21"/>
          <w:szCs w:val="21"/>
          <w:highlight w:val="none"/>
        </w:rPr>
        <w:t>11.2 法律变化引起的调整</w:t>
      </w:r>
      <w:bookmarkEnd w:id="1807"/>
      <w:bookmarkEnd w:id="1808"/>
    </w:p>
    <w:p w14:paraId="6AFCCA9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项目投标基准日至竣工验收合格之日，国家或相关行政主管部门发布直接影响项目的新法规、新政策、新文件、新标准，属强制执行的，自执行之日执行，由此增减的费用由发包人承担，估价照第10.4.1项〔变更估价原则〕执行；属选择性执行的，发包人与承包人协商解决。</w:t>
      </w:r>
    </w:p>
    <w:p w14:paraId="471DA63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本条补充11.3款</w:t>
      </w:r>
    </w:p>
    <w:bookmarkEnd w:id="1809"/>
    <w:p w14:paraId="1B531D8C">
      <w:pPr>
        <w:pStyle w:val="7"/>
        <w:spacing w:before="0" w:beforeAutospacing="0" w:after="0" w:afterAutospacing="0" w:line="360" w:lineRule="auto"/>
        <w:ind w:firstLine="422" w:firstLineChars="200"/>
        <w:rPr>
          <w:color w:val="auto"/>
          <w:sz w:val="21"/>
          <w:szCs w:val="21"/>
          <w:highlight w:val="none"/>
        </w:rPr>
      </w:pPr>
      <w:bookmarkStart w:id="1827" w:name="_Toc532375645"/>
      <w:bookmarkStart w:id="1828" w:name="_Toc532377381"/>
      <w:r>
        <w:rPr>
          <w:rFonts w:hint="eastAsia"/>
          <w:color w:val="auto"/>
          <w:sz w:val="21"/>
          <w:szCs w:val="21"/>
          <w:highlight w:val="none"/>
        </w:rPr>
        <w:t>11.3 严重不平衡报价引起的调整</w:t>
      </w:r>
      <w:bookmarkEnd w:id="1827"/>
      <w:bookmarkEnd w:id="1828"/>
    </w:p>
    <w:p w14:paraId="1F44A303">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合同履行期间，当按第12.3.1项〔计量原则〕约定确认的完成工程量比已标价工程量清单载明工程量增加超过15%，且发包人发现承包人的已标价工程量清单相关清单子目中有严重不平衡报价的。超过已标价工程量清单载明工程量15%的部分，发包人将对严重不平衡报价的清单子目综合单价进行修正，并按修正综合单价办理竣工结算，修正综合单价按照第10.4.1项〔变更估价原则〕（3）目约定执行</w:t>
      </w:r>
      <w:r>
        <w:rPr>
          <w:rFonts w:hint="eastAsia" w:ascii="宋体" w:hAnsi="宋体"/>
          <w:color w:val="auto"/>
          <w:szCs w:val="21"/>
          <w:highlight w:val="none"/>
        </w:rPr>
        <w:t>。</w:t>
      </w:r>
    </w:p>
    <w:p w14:paraId="044CA88D">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严重不平衡报价是指：清单子目综合单价与发包人按照第10.4.1项〔变更估价原则〕（3）目约定确定的综合单价相比，高于50%（即严重不平衡报价清单子目综合单价 - 按照第10.4.1项〔变更估价原则〕（3）目约定确定的综合单价）/按照第10.4.1项〔变更估价原则〕（3）目约定确定的综合单价×100%</w:t>
      </w:r>
      <w:r>
        <w:rPr>
          <w:rFonts w:hint="eastAsia" w:ascii="宋体" w:hAnsi="宋体"/>
          <w:color w:val="auto"/>
          <w:szCs w:val="21"/>
          <w:highlight w:val="none"/>
        </w:rPr>
        <w:t>。</w:t>
      </w:r>
    </w:p>
    <w:p w14:paraId="170CA154">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829" w:name="_Toc532377382"/>
      <w:bookmarkStart w:id="1830" w:name="_Toc532375646"/>
      <w:r>
        <w:rPr>
          <w:rFonts w:hint="eastAsia"/>
          <w:color w:val="auto"/>
          <w:kern w:val="2"/>
          <w:sz w:val="21"/>
          <w:szCs w:val="21"/>
          <w:highlight w:val="none"/>
        </w:rPr>
        <w:t xml:space="preserve">12. </w:t>
      </w:r>
      <w:bookmarkEnd w:id="1810"/>
      <w:bookmarkEnd w:id="1811"/>
      <w:bookmarkEnd w:id="1812"/>
      <w:bookmarkEnd w:id="1813"/>
      <w:bookmarkEnd w:id="1814"/>
      <w:bookmarkEnd w:id="1815"/>
      <w:bookmarkEnd w:id="1816"/>
      <w:bookmarkEnd w:id="1817"/>
      <w:bookmarkEnd w:id="1818"/>
      <w:bookmarkEnd w:id="1819"/>
      <w:r>
        <w:rPr>
          <w:rFonts w:hint="eastAsia"/>
          <w:color w:val="auto"/>
          <w:kern w:val="2"/>
          <w:sz w:val="21"/>
          <w:szCs w:val="21"/>
          <w:highlight w:val="none"/>
        </w:rPr>
        <w:t>合同价格、计量与支付</w:t>
      </w:r>
      <w:bookmarkEnd w:id="1820"/>
      <w:bookmarkEnd w:id="1829"/>
      <w:bookmarkEnd w:id="1830"/>
    </w:p>
    <w:bookmarkEnd w:id="1821"/>
    <w:bookmarkEnd w:id="1822"/>
    <w:bookmarkEnd w:id="1823"/>
    <w:bookmarkEnd w:id="1824"/>
    <w:bookmarkEnd w:id="1825"/>
    <w:bookmarkEnd w:id="1826"/>
    <w:p w14:paraId="2BE35649">
      <w:pPr>
        <w:pStyle w:val="7"/>
        <w:spacing w:before="0" w:beforeAutospacing="0" w:after="0" w:afterAutospacing="0" w:line="360" w:lineRule="auto"/>
        <w:ind w:firstLine="422" w:firstLineChars="200"/>
        <w:rPr>
          <w:color w:val="auto"/>
          <w:sz w:val="21"/>
          <w:szCs w:val="21"/>
          <w:highlight w:val="none"/>
        </w:rPr>
      </w:pPr>
      <w:bookmarkStart w:id="1831" w:name="_Toc292559411"/>
      <w:bookmarkStart w:id="1832" w:name="_Toc292559916"/>
      <w:bookmarkStart w:id="1833" w:name="_Toc267251461"/>
      <w:bookmarkStart w:id="1834" w:name="_Toc296346707"/>
      <w:bookmarkStart w:id="1835" w:name="_Toc296503206"/>
      <w:bookmarkStart w:id="1836" w:name="_Toc296891034"/>
      <w:bookmarkStart w:id="1837" w:name="_Toc297048392"/>
      <w:bookmarkStart w:id="1838" w:name="_Toc296944545"/>
      <w:bookmarkStart w:id="1839" w:name="_Toc296347205"/>
      <w:bookmarkStart w:id="1840" w:name="_Toc297120506"/>
      <w:bookmarkStart w:id="1841" w:name="_Toc296891246"/>
      <w:bookmarkStart w:id="1842" w:name="_Toc532377383"/>
      <w:bookmarkStart w:id="1843" w:name="_Toc532375647"/>
      <w:bookmarkStart w:id="1844" w:name="_Toc297216212"/>
      <w:bookmarkStart w:id="1845" w:name="_Toc303539160"/>
      <w:bookmarkStart w:id="1846" w:name="_Toc304295580"/>
      <w:bookmarkStart w:id="1847" w:name="_Toc312678041"/>
      <w:bookmarkStart w:id="1848" w:name="_Toc300935003"/>
      <w:bookmarkStart w:id="1849" w:name="_Toc297123553"/>
      <w:r>
        <w:rPr>
          <w:rFonts w:hint="eastAsia"/>
          <w:color w:val="auto"/>
          <w:sz w:val="21"/>
          <w:szCs w:val="21"/>
          <w:highlight w:val="none"/>
        </w:rPr>
        <w:t>12.1 合</w:t>
      </w:r>
      <w:bookmarkEnd w:id="1831"/>
      <w:bookmarkEnd w:id="1832"/>
      <w:bookmarkEnd w:id="1833"/>
      <w:r>
        <w:rPr>
          <w:rFonts w:hint="eastAsia"/>
          <w:color w:val="auto"/>
          <w:sz w:val="21"/>
          <w:szCs w:val="21"/>
          <w:highlight w:val="none"/>
        </w:rPr>
        <w:t>同价</w:t>
      </w:r>
      <w:bookmarkEnd w:id="1834"/>
      <w:bookmarkEnd w:id="1835"/>
      <w:bookmarkEnd w:id="1836"/>
      <w:bookmarkEnd w:id="1837"/>
      <w:bookmarkEnd w:id="1838"/>
      <w:bookmarkEnd w:id="1839"/>
      <w:bookmarkEnd w:id="1840"/>
      <w:bookmarkEnd w:id="1841"/>
      <w:r>
        <w:rPr>
          <w:rFonts w:hint="eastAsia"/>
          <w:color w:val="auto"/>
          <w:sz w:val="21"/>
          <w:szCs w:val="21"/>
          <w:highlight w:val="none"/>
        </w:rPr>
        <w:t>格形式</w:t>
      </w:r>
      <w:bookmarkEnd w:id="1842"/>
      <w:bookmarkEnd w:id="1843"/>
    </w:p>
    <w:bookmarkEnd w:id="1844"/>
    <w:bookmarkEnd w:id="1845"/>
    <w:bookmarkEnd w:id="1846"/>
    <w:bookmarkEnd w:id="1847"/>
    <w:bookmarkEnd w:id="1848"/>
    <w:bookmarkEnd w:id="1849"/>
    <w:p w14:paraId="3A95CFB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1、单价合同。</w:t>
      </w:r>
    </w:p>
    <w:p w14:paraId="174CE889">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综合单价包含的风险范围：</w:t>
      </w:r>
      <w:r>
        <w:rPr>
          <w:rFonts w:hint="eastAsia" w:ascii="宋体" w:hAnsi="宋体"/>
          <w:color w:val="auto"/>
          <w:szCs w:val="21"/>
          <w:highlight w:val="none"/>
          <w:u w:val="single"/>
        </w:rPr>
        <w:t>包括但不限于为实施和完成合同工程所需的人工费、材料费、施工机具使用费、企业管理费、利润、风险费、施工技术措施项目费、施工组织措施项目费及缺陷修复等费用，以及</w:t>
      </w:r>
      <w:bookmarkStart w:id="1850" w:name="_Hlk528508096"/>
      <w:r>
        <w:rPr>
          <w:rFonts w:hint="eastAsia" w:ascii="宋体" w:hAnsi="宋体"/>
          <w:color w:val="auto"/>
          <w:szCs w:val="21"/>
          <w:highlight w:val="none"/>
          <w:u w:val="single"/>
        </w:rPr>
        <w:t>第11.1款〔市场价格波动引起的调整〕约定范围内的市场价格波动风险、政策性文件规定的各项应有费用、</w:t>
      </w:r>
      <w:bookmarkEnd w:id="1850"/>
      <w:r>
        <w:rPr>
          <w:rFonts w:hint="eastAsia" w:ascii="宋体" w:hAnsi="宋体"/>
          <w:color w:val="auto"/>
          <w:szCs w:val="21"/>
          <w:highlight w:val="none"/>
          <w:u w:val="single"/>
          <w:lang w:eastAsia="zh-CN"/>
        </w:rPr>
        <w:t>竞争性比选文件</w:t>
      </w:r>
      <w:r>
        <w:rPr>
          <w:rFonts w:hint="eastAsia" w:ascii="宋体" w:hAnsi="宋体"/>
          <w:color w:val="auto"/>
          <w:szCs w:val="21"/>
          <w:highlight w:val="none"/>
          <w:u w:val="single"/>
        </w:rPr>
        <w:t>和合同明示或暗示的应由承包人承担的所有责任、义务和风险等所需的费用</w:t>
      </w:r>
      <w:r>
        <w:rPr>
          <w:rFonts w:hint="eastAsia" w:ascii="宋体" w:hAnsi="宋体"/>
          <w:color w:val="auto"/>
          <w:szCs w:val="21"/>
          <w:highlight w:val="none"/>
        </w:rPr>
        <w:t>。</w:t>
      </w:r>
    </w:p>
    <w:p w14:paraId="75DF2F8D">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风险费用的计算方法：</w:t>
      </w:r>
      <w:r>
        <w:rPr>
          <w:rFonts w:hint="eastAsia" w:ascii="宋体" w:hAnsi="宋体"/>
          <w:color w:val="auto"/>
          <w:szCs w:val="21"/>
          <w:highlight w:val="none"/>
          <w:u w:val="single"/>
        </w:rPr>
        <w:t>由承包人自行考虑并计入签约合同价格中，包干使用</w:t>
      </w:r>
      <w:r>
        <w:rPr>
          <w:rFonts w:hint="eastAsia" w:ascii="宋体" w:hAnsi="宋体"/>
          <w:color w:val="auto"/>
          <w:szCs w:val="21"/>
          <w:highlight w:val="none"/>
        </w:rPr>
        <w:t>。</w:t>
      </w:r>
    </w:p>
    <w:p w14:paraId="4F15AE2F">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风险范围以外合同价格的调整方法：</w:t>
      </w:r>
      <w:r>
        <w:rPr>
          <w:rFonts w:hint="eastAsia" w:ascii="宋体" w:hAnsi="宋体"/>
          <w:color w:val="auto"/>
          <w:szCs w:val="21"/>
          <w:highlight w:val="none"/>
          <w:u w:val="single"/>
        </w:rPr>
        <w:t>按照合同相关条款约定执行</w:t>
      </w:r>
      <w:r>
        <w:rPr>
          <w:rFonts w:hint="eastAsia" w:ascii="宋体" w:hAnsi="宋体"/>
          <w:color w:val="auto"/>
          <w:szCs w:val="21"/>
          <w:highlight w:val="none"/>
        </w:rPr>
        <w:t>。</w:t>
      </w:r>
    </w:p>
    <w:p w14:paraId="3424EEE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2、总价合同。</w:t>
      </w:r>
    </w:p>
    <w:p w14:paraId="75F53BF5">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总价包含的风险范围：</w:t>
      </w:r>
      <w:r>
        <w:rPr>
          <w:rFonts w:hint="eastAsia" w:ascii="宋体" w:hAnsi="宋体"/>
          <w:color w:val="auto"/>
          <w:szCs w:val="21"/>
          <w:highlight w:val="none"/>
          <w:u w:val="single"/>
        </w:rPr>
        <w:t>包括但不限于为实施和完成合同工程所需的人工费、材料费、施工机具使用费、企业管理费、利润、风险费、施工技术措施项目费、施工组织措施项目费、总承包服务费、规费和税金及缺陷修复等费用，以及第11.1款〔市场价格波动引起的调整〕约定范围内的市场价格波动风险、政策性文件规定的各项应有费用、</w:t>
      </w:r>
      <w:r>
        <w:rPr>
          <w:rFonts w:hint="eastAsia" w:ascii="宋体" w:hAnsi="宋体"/>
          <w:color w:val="auto"/>
          <w:szCs w:val="21"/>
          <w:highlight w:val="none"/>
          <w:u w:val="single"/>
          <w:lang w:eastAsia="zh-CN"/>
        </w:rPr>
        <w:t>竞争性比选文件</w:t>
      </w:r>
      <w:r>
        <w:rPr>
          <w:rFonts w:hint="eastAsia" w:ascii="宋体" w:hAnsi="宋体"/>
          <w:color w:val="auto"/>
          <w:szCs w:val="21"/>
          <w:highlight w:val="none"/>
          <w:u w:val="single"/>
        </w:rPr>
        <w:t>和合同明示或暗示的应由承包人承担的所有责任、义务和风险等所需的费用</w:t>
      </w:r>
      <w:r>
        <w:rPr>
          <w:rFonts w:hint="eastAsia" w:ascii="宋体" w:hAnsi="宋体"/>
          <w:color w:val="auto"/>
          <w:szCs w:val="21"/>
          <w:highlight w:val="none"/>
        </w:rPr>
        <w:t>。</w:t>
      </w:r>
    </w:p>
    <w:p w14:paraId="159615D2">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风险费用的计算方法：</w:t>
      </w:r>
      <w:r>
        <w:rPr>
          <w:rFonts w:hint="eastAsia" w:ascii="宋体" w:hAnsi="宋体"/>
          <w:color w:val="auto"/>
          <w:szCs w:val="21"/>
          <w:highlight w:val="none"/>
          <w:u w:val="single"/>
        </w:rPr>
        <w:t>由承包人自行考虑并计入签约合同价格中，包干使用</w:t>
      </w:r>
      <w:r>
        <w:rPr>
          <w:rFonts w:hint="eastAsia" w:ascii="宋体" w:hAnsi="宋体"/>
          <w:color w:val="auto"/>
          <w:szCs w:val="21"/>
          <w:highlight w:val="none"/>
        </w:rPr>
        <w:t>。</w:t>
      </w:r>
    </w:p>
    <w:p w14:paraId="6F69485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风险范围以外合同价格的调整方法：</w:t>
      </w:r>
      <w:r>
        <w:rPr>
          <w:rFonts w:hint="eastAsia" w:ascii="宋体" w:hAnsi="宋体"/>
          <w:color w:val="auto"/>
          <w:szCs w:val="21"/>
          <w:highlight w:val="none"/>
          <w:u w:val="single"/>
        </w:rPr>
        <w:t>按照合同相关条款约定执行</w:t>
      </w:r>
      <w:r>
        <w:rPr>
          <w:rFonts w:hint="eastAsia" w:ascii="宋体" w:hAnsi="宋体"/>
          <w:color w:val="auto"/>
          <w:szCs w:val="21"/>
          <w:highlight w:val="none"/>
        </w:rPr>
        <w:t>。</w:t>
      </w:r>
    </w:p>
    <w:p w14:paraId="62A706B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3、其他价格方式：</w:t>
      </w:r>
      <w:r>
        <w:rPr>
          <w:rFonts w:hint="eastAsia" w:ascii="宋体" w:hAnsi="宋体"/>
          <w:color w:val="auto"/>
          <w:szCs w:val="21"/>
          <w:highlight w:val="none"/>
          <w:u w:val="single"/>
        </w:rPr>
        <w:t>不采用</w:t>
      </w:r>
      <w:r>
        <w:rPr>
          <w:rFonts w:hint="eastAsia" w:ascii="宋体" w:hAnsi="宋体"/>
          <w:color w:val="auto"/>
          <w:szCs w:val="21"/>
          <w:highlight w:val="none"/>
        </w:rPr>
        <w:t>。</w:t>
      </w:r>
    </w:p>
    <w:p w14:paraId="43AA1DF0">
      <w:pPr>
        <w:pStyle w:val="7"/>
        <w:spacing w:before="0" w:beforeAutospacing="0" w:after="0" w:afterAutospacing="0" w:line="360" w:lineRule="auto"/>
        <w:ind w:firstLine="422" w:firstLineChars="200"/>
        <w:rPr>
          <w:color w:val="auto"/>
          <w:sz w:val="21"/>
          <w:szCs w:val="21"/>
          <w:highlight w:val="none"/>
        </w:rPr>
      </w:pPr>
      <w:bookmarkStart w:id="1851" w:name="_Toc532377384"/>
      <w:bookmarkStart w:id="1852" w:name="_Toc532375648"/>
      <w:bookmarkStart w:id="1853" w:name="_Toc297123554"/>
      <w:bookmarkStart w:id="1854" w:name="_Toc297048393"/>
      <w:bookmarkStart w:id="1855" w:name="_Toc297216213"/>
      <w:bookmarkStart w:id="1856" w:name="_Toc300935004"/>
      <w:bookmarkStart w:id="1857" w:name="_Toc312678042"/>
      <w:bookmarkStart w:id="1858" w:name="_Toc296944546"/>
      <w:bookmarkStart w:id="1859" w:name="_Toc304295581"/>
      <w:bookmarkStart w:id="1860" w:name="_Toc296891247"/>
      <w:bookmarkStart w:id="1861" w:name="_Toc292559917"/>
      <w:bookmarkStart w:id="1862" w:name="_Toc296503207"/>
      <w:bookmarkStart w:id="1863" w:name="_Toc303539161"/>
      <w:bookmarkStart w:id="1864" w:name="_Toc296346708"/>
      <w:bookmarkStart w:id="1865" w:name="_Toc296891035"/>
      <w:bookmarkStart w:id="1866" w:name="_Toc297120507"/>
      <w:bookmarkStart w:id="1867" w:name="_Toc292559412"/>
      <w:bookmarkStart w:id="1868" w:name="_Toc296347206"/>
      <w:r>
        <w:rPr>
          <w:rFonts w:hint="eastAsia"/>
          <w:color w:val="auto"/>
          <w:sz w:val="21"/>
          <w:szCs w:val="21"/>
          <w:highlight w:val="none"/>
        </w:rPr>
        <w:t>12.2 预付款</w:t>
      </w:r>
      <w:bookmarkEnd w:id="1851"/>
      <w:bookmarkEnd w:id="1852"/>
    </w:p>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p w14:paraId="221256E5">
      <w:pPr>
        <w:spacing w:line="360" w:lineRule="auto"/>
        <w:ind w:firstLine="420" w:firstLineChars="200"/>
        <w:jc w:val="left"/>
        <w:rPr>
          <w:rFonts w:ascii="宋体" w:hAnsi="宋体"/>
          <w:color w:val="auto"/>
          <w:szCs w:val="21"/>
          <w:highlight w:val="none"/>
        </w:rPr>
      </w:pPr>
      <w:bookmarkStart w:id="1869" w:name="_Toc532375649"/>
      <w:bookmarkStart w:id="1870" w:name="_Toc532377385"/>
      <w:r>
        <w:rPr>
          <w:rFonts w:hint="eastAsia" w:ascii="宋体" w:hAnsi="宋体"/>
          <w:color w:val="auto"/>
          <w:szCs w:val="21"/>
          <w:highlight w:val="none"/>
        </w:rPr>
        <w:t>12.2.1 预付款的支付</w:t>
      </w:r>
    </w:p>
    <w:p w14:paraId="53FE103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预付款支付比例或金额：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本项目无预付款 </w:t>
      </w:r>
      <w:r>
        <w:rPr>
          <w:rFonts w:hint="eastAsia" w:ascii="宋体" w:hAnsi="宋体"/>
          <w:color w:val="auto"/>
          <w:szCs w:val="21"/>
          <w:highlight w:val="none"/>
        </w:rPr>
        <w:t>。</w:t>
      </w:r>
    </w:p>
    <w:p w14:paraId="143FD33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预付款支付期限：</w:t>
      </w:r>
      <w:r>
        <w:rPr>
          <w:rFonts w:hint="eastAsia" w:ascii="宋体" w:hAnsi="宋体"/>
          <w:color w:val="auto"/>
          <w:szCs w:val="21"/>
          <w:highlight w:val="none"/>
          <w:u w:val="single"/>
          <w:lang w:val="en-US" w:eastAsia="zh-CN"/>
        </w:rPr>
        <w:t>/</w:t>
      </w:r>
      <w:r>
        <w:rPr>
          <w:rFonts w:hint="eastAsia" w:ascii="宋体" w:hAnsi="宋体"/>
          <w:color w:val="auto"/>
          <w:szCs w:val="21"/>
          <w:highlight w:val="none"/>
        </w:rPr>
        <w:t>。</w:t>
      </w:r>
    </w:p>
    <w:p w14:paraId="11803939">
      <w:pPr>
        <w:spacing w:line="360" w:lineRule="auto"/>
        <w:ind w:firstLine="420" w:firstLineChars="200"/>
        <w:jc w:val="left"/>
        <w:rPr>
          <w:rFonts w:hint="eastAsia" w:ascii="宋体" w:hAnsi="宋体" w:eastAsia="宋体"/>
          <w:color w:val="auto"/>
          <w:szCs w:val="21"/>
          <w:highlight w:val="none"/>
          <w:lang w:val="en-US" w:eastAsia="zh-CN"/>
        </w:rPr>
      </w:pPr>
      <w:r>
        <w:rPr>
          <w:rFonts w:hint="eastAsia" w:ascii="宋体" w:hAnsi="宋体"/>
          <w:color w:val="auto"/>
          <w:szCs w:val="21"/>
          <w:highlight w:val="none"/>
        </w:rPr>
        <w:t>预付款扣回的方式：</w:t>
      </w:r>
      <w:r>
        <w:rPr>
          <w:rFonts w:hint="eastAsia" w:ascii="宋体" w:hAnsi="宋体"/>
          <w:color w:val="auto"/>
          <w:szCs w:val="21"/>
          <w:highlight w:val="none"/>
          <w:u w:val="single"/>
          <w:lang w:val="en-US" w:eastAsia="zh-CN"/>
        </w:rPr>
        <w:t>/</w:t>
      </w:r>
    </w:p>
    <w:p w14:paraId="1063856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12.2.2 预付款担保</w:t>
      </w:r>
    </w:p>
    <w:p w14:paraId="5C3640B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承包人提交预付款担保的期限：</w:t>
      </w:r>
      <w:r>
        <w:rPr>
          <w:rFonts w:hint="eastAsia" w:ascii="宋体" w:hAnsi="宋体"/>
          <w:color w:val="auto"/>
          <w:szCs w:val="21"/>
          <w:highlight w:val="none"/>
          <w:u w:val="single"/>
          <w:lang w:val="en-US" w:eastAsia="zh-CN"/>
        </w:rPr>
        <w:t>/</w:t>
      </w:r>
      <w:r>
        <w:rPr>
          <w:rFonts w:hint="eastAsia" w:ascii="宋体" w:hAnsi="宋体"/>
          <w:color w:val="auto"/>
          <w:szCs w:val="21"/>
          <w:highlight w:val="none"/>
        </w:rPr>
        <w:t>。</w:t>
      </w:r>
    </w:p>
    <w:p w14:paraId="3B67156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预付款担保的形式为：</w:t>
      </w:r>
      <w:r>
        <w:rPr>
          <w:rFonts w:hint="eastAsia" w:ascii="宋体" w:hAnsi="宋体"/>
          <w:color w:val="auto"/>
          <w:szCs w:val="21"/>
          <w:highlight w:val="none"/>
          <w:u w:val="single"/>
          <w:lang w:val="en-US" w:eastAsia="zh-CN"/>
        </w:rPr>
        <w:t>/</w:t>
      </w:r>
      <w:r>
        <w:rPr>
          <w:rFonts w:hint="eastAsia" w:ascii="宋体" w:hAnsi="宋体"/>
          <w:color w:val="auto"/>
          <w:szCs w:val="21"/>
          <w:highlight w:val="none"/>
        </w:rPr>
        <w:t>。</w:t>
      </w:r>
    </w:p>
    <w:p w14:paraId="4E92CCA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预付款担保的金额：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84827A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预付款担保的时间：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rPr>
        <w:t>。</w:t>
      </w:r>
    </w:p>
    <w:p w14:paraId="3E9C17E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预付款担保的期限：</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73AC06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预付款担保的退还时间：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113D10E">
      <w:pPr>
        <w:pStyle w:val="7"/>
        <w:spacing w:before="0" w:beforeAutospacing="0" w:after="0" w:afterAutospacing="0" w:line="360" w:lineRule="auto"/>
        <w:ind w:firstLine="422" w:firstLineChars="200"/>
        <w:rPr>
          <w:color w:val="auto"/>
          <w:sz w:val="21"/>
          <w:szCs w:val="21"/>
          <w:highlight w:val="none"/>
        </w:rPr>
      </w:pPr>
      <w:r>
        <w:rPr>
          <w:rFonts w:hint="eastAsia"/>
          <w:color w:val="auto"/>
          <w:sz w:val="21"/>
          <w:szCs w:val="21"/>
          <w:highlight w:val="none"/>
        </w:rPr>
        <w:t>12.3 计量</w:t>
      </w:r>
      <w:bookmarkEnd w:id="1869"/>
      <w:bookmarkEnd w:id="1870"/>
    </w:p>
    <w:p w14:paraId="1FE11FBE">
      <w:pPr>
        <w:spacing w:line="360" w:lineRule="auto"/>
        <w:ind w:firstLine="420" w:firstLineChars="200"/>
        <w:jc w:val="left"/>
        <w:rPr>
          <w:rFonts w:ascii="宋体" w:hAnsi="宋体"/>
          <w:color w:val="auto"/>
          <w:szCs w:val="21"/>
          <w:highlight w:val="none"/>
        </w:rPr>
      </w:pPr>
      <w:bookmarkStart w:id="1871" w:name="_Hlk528928260"/>
      <w:r>
        <w:rPr>
          <w:rFonts w:hint="eastAsia" w:ascii="宋体" w:hAnsi="宋体"/>
          <w:color w:val="auto"/>
          <w:szCs w:val="21"/>
          <w:highlight w:val="none"/>
        </w:rPr>
        <w:t>12.3.1 计量原则</w:t>
      </w:r>
    </w:p>
    <w:p w14:paraId="2D945B2F">
      <w:pPr>
        <w:tabs>
          <w:tab w:val="left" w:pos="1134"/>
        </w:tabs>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工程量按《房屋建筑与装饰工程工程量计算规范》（GB50854-2013）、《仿古建筑工程工程量计算规范》（GB50855-2013）、《通用安装工程工程量计算规范》（GB50856-2013）、《市政工程工程量计算规范》（GB50857-2013）、《园林绿化工程工程量计算规范》（GB50858-2013）、《矿山工程工程量计算规范》（GB50859-2013）、《构筑物工程工程量计算规范》（GB50860-2013）、《城市轨道交通工程工程量计算规范》（GB50861-2013）和《爆破工程工程量计算规范》（GB50862-2013）《重庆市建设工程工程量清单计价规则》（CQJJGZ-2013）、《重庆市建设工程工程量计算规则》（CQJLGZ-2013）等规定的计算规则及已标价工程量清单规定的工程量计算规则计量。</w:t>
      </w:r>
    </w:p>
    <w:bookmarkEnd w:id="1871"/>
    <w:p w14:paraId="34F5B83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12.3.2 计量周期</w:t>
      </w:r>
    </w:p>
    <w:p w14:paraId="1E90405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关于计量周期的约定：</w:t>
      </w:r>
      <w:r>
        <w:rPr>
          <w:rFonts w:hint="eastAsia" w:ascii="宋体" w:hAnsi="宋体"/>
          <w:color w:val="auto"/>
          <w:szCs w:val="21"/>
          <w:highlight w:val="none"/>
          <w:u w:val="single"/>
        </w:rPr>
        <w:t>按月计量根据具体项目实际情况可以按月、按进度、按节点等形式计量，按进度、按节点计量的参考按月计量原则执行）</w:t>
      </w:r>
      <w:r>
        <w:rPr>
          <w:rFonts w:hint="eastAsia" w:ascii="宋体" w:hAnsi="宋体"/>
          <w:color w:val="auto"/>
          <w:szCs w:val="21"/>
          <w:highlight w:val="none"/>
        </w:rPr>
        <w:t>。</w:t>
      </w:r>
    </w:p>
    <w:p w14:paraId="21E5715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12.3.3 单价合同的计量</w:t>
      </w:r>
    </w:p>
    <w:p w14:paraId="3D9B00D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关于单价合同计量的约定：</w:t>
      </w:r>
    </w:p>
    <w:p w14:paraId="03C3078D">
      <w:pPr>
        <w:spacing w:line="360" w:lineRule="auto"/>
        <w:ind w:firstLine="420" w:firstLineChars="200"/>
        <w:jc w:val="left"/>
        <w:rPr>
          <w:rFonts w:ascii="宋体" w:hAnsi="宋体"/>
          <w:color w:val="auto"/>
          <w:szCs w:val="21"/>
          <w:highlight w:val="none"/>
          <w:u w:val="single"/>
        </w:rPr>
      </w:pPr>
      <w:bookmarkStart w:id="1872" w:name="_Hlk528926162"/>
      <w:r>
        <w:rPr>
          <w:rFonts w:hint="eastAsia" w:ascii="宋体" w:hAnsi="宋体"/>
          <w:color w:val="auto"/>
          <w:szCs w:val="21"/>
          <w:highlight w:val="none"/>
          <w:u w:val="single"/>
        </w:rPr>
        <w:t>（1）承包人应于当月  日前向监理人报送上月已完成的工程量，并附进度付款申请单、已完成工程量报表和其他有关资料</w:t>
      </w:r>
      <w:r>
        <w:rPr>
          <w:rFonts w:hint="eastAsia" w:ascii="宋体" w:hAnsi="宋体"/>
          <w:color w:val="auto"/>
          <w:szCs w:val="21"/>
          <w:highlight w:val="none"/>
        </w:rPr>
        <w:t>。</w:t>
      </w:r>
    </w:p>
    <w:bookmarkEnd w:id="1872"/>
    <w:p w14:paraId="1A2C2AE3">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（2）承包人未在已标价的工程量清单中填入单价和（或）总价的子目，视为该子目的费用已包含合同工程的其他子目的单价或总价中，不再另行计量支付</w:t>
      </w:r>
      <w:r>
        <w:rPr>
          <w:rFonts w:hint="eastAsia" w:ascii="宋体" w:hAnsi="宋体"/>
          <w:color w:val="auto"/>
          <w:szCs w:val="21"/>
          <w:highlight w:val="none"/>
        </w:rPr>
        <w:t>。</w:t>
      </w:r>
    </w:p>
    <w:p w14:paraId="0F95E6D7">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3）监理人应在收到承包人提交的工程量报表后7天内完成对承包人提交的工程量报表的审核并报送发包人；发包人收到监理人报送资料后7天内完成审批，以确定当月实际完成的工程量。监理人、跟审单位、发包人任一方对工程量有异议的，均有权要求承包人进行共同复核或抽样复测。承包人应协助监理人、跟审单位进行复核或抽样复测，并按监理人要求提供补充计量资料。承包人未按监理人要求参加复核或抽样复测的，监理人复核或修正的工程量视为承包人实际完成的工程量</w:t>
      </w:r>
      <w:r>
        <w:rPr>
          <w:rFonts w:hint="eastAsia" w:ascii="宋体" w:hAnsi="宋体"/>
          <w:color w:val="auto"/>
          <w:szCs w:val="21"/>
          <w:highlight w:val="none"/>
        </w:rPr>
        <w:t>。</w:t>
      </w:r>
    </w:p>
    <w:p w14:paraId="359E8D50">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（4）工程量的计量仅作为进度付款和工程施工进度控制的依据，不应认为是承包人履行合同义务完成工程的实际和准确的工程量，实际和准确工程量按竣工图和第12.3.1项〔计量原则〕约定确认的工程量为准</w:t>
      </w:r>
      <w:r>
        <w:rPr>
          <w:rFonts w:hint="eastAsia" w:ascii="宋体" w:hAnsi="宋体"/>
          <w:color w:val="auto"/>
          <w:szCs w:val="21"/>
          <w:highlight w:val="none"/>
        </w:rPr>
        <w:t>。</w:t>
      </w:r>
    </w:p>
    <w:p w14:paraId="5165436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12.3.4 总价合同的计量</w:t>
      </w:r>
    </w:p>
    <w:p w14:paraId="1DC9AC2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关于总价合同计量的约定：</w:t>
      </w:r>
      <w:r>
        <w:rPr>
          <w:rFonts w:hint="eastAsia" w:ascii="宋体" w:hAnsi="宋体"/>
          <w:color w:val="auto"/>
          <w:szCs w:val="21"/>
          <w:highlight w:val="none"/>
          <w:u w:val="single"/>
        </w:rPr>
        <w:t>按形象进度比例支付</w:t>
      </w:r>
      <w:r>
        <w:rPr>
          <w:rFonts w:hint="eastAsia" w:ascii="宋体" w:hAnsi="宋体"/>
          <w:color w:val="auto"/>
          <w:szCs w:val="21"/>
          <w:highlight w:val="none"/>
        </w:rPr>
        <w:t>。</w:t>
      </w:r>
    </w:p>
    <w:p w14:paraId="5302203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12.3.5总价合同采用支付分解表计量支付的，是否适用第12.3.4项〔总价合同的计量〕约定进行计量：</w:t>
      </w:r>
      <w:r>
        <w:rPr>
          <w:rFonts w:hint="eastAsia" w:ascii="宋体" w:hAnsi="宋体"/>
          <w:color w:val="auto"/>
          <w:szCs w:val="21"/>
          <w:highlight w:val="none"/>
          <w:u w:val="single"/>
        </w:rPr>
        <w:t>适用</w:t>
      </w:r>
      <w:r>
        <w:rPr>
          <w:rFonts w:hint="eastAsia" w:ascii="宋体" w:hAnsi="宋体"/>
          <w:color w:val="auto"/>
          <w:szCs w:val="21"/>
          <w:highlight w:val="none"/>
        </w:rPr>
        <w:t>。</w:t>
      </w:r>
    </w:p>
    <w:p w14:paraId="25CD303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12.3.6 其他价格形式合同的计量</w:t>
      </w:r>
    </w:p>
    <w:p w14:paraId="1C568A1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其他价格形式的计量方式和程序：</w:t>
      </w:r>
      <w:r>
        <w:rPr>
          <w:rFonts w:hint="eastAsia" w:ascii="宋体" w:hAnsi="宋体"/>
          <w:color w:val="auto"/>
          <w:szCs w:val="21"/>
          <w:highlight w:val="none"/>
          <w:u w:val="single"/>
        </w:rPr>
        <w:t>不采用</w:t>
      </w:r>
      <w:r>
        <w:rPr>
          <w:rFonts w:hint="eastAsia" w:ascii="宋体" w:hAnsi="宋体"/>
          <w:color w:val="auto"/>
          <w:szCs w:val="21"/>
          <w:highlight w:val="none"/>
        </w:rPr>
        <w:t>。</w:t>
      </w:r>
    </w:p>
    <w:p w14:paraId="28F86757">
      <w:pPr>
        <w:pStyle w:val="7"/>
        <w:spacing w:before="0" w:beforeAutospacing="0" w:after="0" w:afterAutospacing="0" w:line="360" w:lineRule="auto"/>
        <w:ind w:firstLine="422" w:firstLineChars="200"/>
        <w:rPr>
          <w:color w:val="auto"/>
          <w:sz w:val="21"/>
          <w:szCs w:val="21"/>
          <w:highlight w:val="none"/>
        </w:rPr>
      </w:pPr>
      <w:bookmarkStart w:id="1873" w:name="_Toc532375650"/>
      <w:bookmarkStart w:id="1874" w:name="_Toc532377386"/>
      <w:bookmarkStart w:id="1875" w:name="_Hlk528928289"/>
      <w:r>
        <w:rPr>
          <w:rFonts w:hint="eastAsia"/>
          <w:color w:val="auto"/>
          <w:sz w:val="21"/>
          <w:szCs w:val="21"/>
          <w:highlight w:val="none"/>
        </w:rPr>
        <w:t>12.4 工程进度款支付</w:t>
      </w:r>
      <w:bookmarkEnd w:id="1873"/>
      <w:bookmarkEnd w:id="1874"/>
    </w:p>
    <w:bookmarkEnd w:id="1875"/>
    <w:p w14:paraId="78C542E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12.4.1 付款周期</w:t>
      </w:r>
    </w:p>
    <w:p w14:paraId="5147D43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关于付款周期的约定：</w:t>
      </w:r>
      <w:r>
        <w:rPr>
          <w:rFonts w:hint="eastAsia" w:ascii="宋体" w:hAnsi="宋体"/>
          <w:color w:val="auto"/>
          <w:szCs w:val="21"/>
          <w:highlight w:val="none"/>
          <w:u w:val="single"/>
        </w:rPr>
        <w:t>按月计量支付进度款（按进度、按节点计量支付进度款的参考按月计量支付进度款原则执行）</w:t>
      </w:r>
      <w:r>
        <w:rPr>
          <w:rFonts w:hint="eastAsia" w:ascii="宋体" w:hAnsi="宋体"/>
          <w:color w:val="auto"/>
          <w:szCs w:val="21"/>
          <w:highlight w:val="none"/>
        </w:rPr>
        <w:t>。</w:t>
      </w:r>
    </w:p>
    <w:p w14:paraId="439D74A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12.4.2 进度付款申请单的编制</w:t>
      </w:r>
    </w:p>
    <w:p w14:paraId="1CE67E0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进度付款申请单应包括下列内容：</w:t>
      </w:r>
    </w:p>
    <w:p w14:paraId="689C764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（1）截至本次付款周期已完成工作对应的金额</w:t>
      </w:r>
      <w:r>
        <w:rPr>
          <w:rFonts w:hint="eastAsia" w:ascii="宋体" w:hAnsi="宋体"/>
          <w:color w:val="auto"/>
          <w:szCs w:val="21"/>
          <w:highlight w:val="none"/>
        </w:rPr>
        <w:t>；</w:t>
      </w:r>
    </w:p>
    <w:p w14:paraId="3BD3CF3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（2）根据第10条〔变更〕应增加和扣减的已审定变更金额</w:t>
      </w:r>
      <w:r>
        <w:rPr>
          <w:rFonts w:hint="eastAsia" w:ascii="宋体" w:hAnsi="宋体"/>
          <w:color w:val="auto"/>
          <w:szCs w:val="21"/>
          <w:highlight w:val="none"/>
        </w:rPr>
        <w:t>；</w:t>
      </w:r>
    </w:p>
    <w:p w14:paraId="5E12E42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（3）根据第12.2款〔预付款〕约定应支付的预付款和扣减的返还预付款</w:t>
      </w:r>
      <w:r>
        <w:rPr>
          <w:rFonts w:hint="eastAsia" w:ascii="宋体" w:hAnsi="宋体"/>
          <w:color w:val="auto"/>
          <w:szCs w:val="21"/>
          <w:highlight w:val="none"/>
        </w:rPr>
        <w:t>；</w:t>
      </w:r>
    </w:p>
    <w:p w14:paraId="41CBFED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（4）根据第15.3款〔质量保证金〕约定应扣减的质量保证金</w:t>
      </w:r>
      <w:r>
        <w:rPr>
          <w:rFonts w:hint="eastAsia" w:ascii="宋体" w:hAnsi="宋体"/>
          <w:color w:val="auto"/>
          <w:szCs w:val="21"/>
          <w:highlight w:val="none"/>
        </w:rPr>
        <w:t>；</w:t>
      </w:r>
    </w:p>
    <w:p w14:paraId="5724ECA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（5）根据第19条〔索赔〕应增加和扣减的已审定索赔金额</w:t>
      </w:r>
      <w:r>
        <w:rPr>
          <w:rFonts w:hint="eastAsia" w:ascii="宋体" w:hAnsi="宋体"/>
          <w:color w:val="auto"/>
          <w:szCs w:val="21"/>
          <w:highlight w:val="none"/>
        </w:rPr>
        <w:t>；</w:t>
      </w:r>
    </w:p>
    <w:p w14:paraId="7D7CA0C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（6）根据第11条〔价格调整〕应增加和扣减的价格调整金额</w:t>
      </w:r>
      <w:r>
        <w:rPr>
          <w:rFonts w:hint="eastAsia" w:ascii="宋体" w:hAnsi="宋体"/>
          <w:color w:val="auto"/>
          <w:szCs w:val="21"/>
          <w:highlight w:val="none"/>
        </w:rPr>
        <w:t>；</w:t>
      </w:r>
    </w:p>
    <w:p w14:paraId="3259B26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（7）对已签发的进度款支付证书中出现错误的修正，应在本次进度付款中支付或扣除的金额</w:t>
      </w:r>
      <w:r>
        <w:rPr>
          <w:rFonts w:hint="eastAsia" w:ascii="宋体" w:hAnsi="宋体"/>
          <w:color w:val="auto"/>
          <w:szCs w:val="21"/>
          <w:highlight w:val="none"/>
        </w:rPr>
        <w:t>；</w:t>
      </w:r>
    </w:p>
    <w:p w14:paraId="6354ABA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（8）根据合同约定承包人应向发包人支付的违约金</w:t>
      </w:r>
      <w:r>
        <w:rPr>
          <w:rFonts w:hint="eastAsia" w:ascii="宋体" w:hAnsi="宋体"/>
          <w:color w:val="auto"/>
          <w:szCs w:val="21"/>
          <w:highlight w:val="none"/>
        </w:rPr>
        <w:t>；</w:t>
      </w:r>
    </w:p>
    <w:p w14:paraId="03039CA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（9）根据合同约定发包人应向承包人支付的违约金和（或）奖励</w:t>
      </w:r>
      <w:r>
        <w:rPr>
          <w:rFonts w:hint="eastAsia" w:ascii="宋体" w:hAnsi="宋体"/>
          <w:color w:val="auto"/>
          <w:szCs w:val="21"/>
          <w:highlight w:val="none"/>
        </w:rPr>
        <w:t>；</w:t>
      </w:r>
    </w:p>
    <w:p w14:paraId="78A9A14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u w:val="single"/>
        </w:rPr>
        <w:t>（10）根据合同约定应增加和扣减的其他金额</w:t>
      </w:r>
      <w:r>
        <w:rPr>
          <w:rFonts w:hint="eastAsia" w:ascii="宋体" w:hAnsi="宋体"/>
          <w:color w:val="auto"/>
          <w:szCs w:val="21"/>
          <w:highlight w:val="none"/>
        </w:rPr>
        <w:t>；</w:t>
      </w:r>
    </w:p>
    <w:p w14:paraId="37FB5556">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（11）当月应支付的人工费（工资款）金额</w:t>
      </w:r>
      <w:r>
        <w:rPr>
          <w:rFonts w:hint="eastAsia" w:ascii="宋体" w:hAnsi="宋体"/>
          <w:color w:val="auto"/>
          <w:szCs w:val="21"/>
          <w:highlight w:val="none"/>
        </w:rPr>
        <w:t>。</w:t>
      </w:r>
    </w:p>
    <w:p w14:paraId="507EC58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12.4.3 进度付款申请单的提交</w:t>
      </w:r>
    </w:p>
    <w:p w14:paraId="3318DB1E">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（1）单价合同进度付款申请单提交的约定：</w:t>
      </w:r>
      <w:r>
        <w:rPr>
          <w:rFonts w:hint="eastAsia" w:ascii="宋体" w:hAnsi="宋体"/>
          <w:color w:val="auto"/>
          <w:szCs w:val="21"/>
          <w:highlight w:val="none"/>
          <w:u w:val="single"/>
        </w:rPr>
        <w:t>按照第12.3.3项〔单价合同的计量〕约定的时间按月向监理人提交，并附上已完成工程量报表、经审核的农民工工资发放的情况说明及有关资料。单价合同中的总价子目按工程形象进度分月计量后汇总列入当期进度付款申请单</w:t>
      </w:r>
      <w:r>
        <w:rPr>
          <w:rFonts w:hint="eastAsia" w:ascii="宋体" w:hAnsi="宋体"/>
          <w:color w:val="auto"/>
          <w:szCs w:val="21"/>
          <w:highlight w:val="none"/>
        </w:rPr>
        <w:t>。</w:t>
      </w:r>
    </w:p>
    <w:p w14:paraId="3BCD7395">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（2）总价合同进度付款申请单提交的约定：</w:t>
      </w:r>
      <w:r>
        <w:rPr>
          <w:rFonts w:hint="eastAsia" w:ascii="宋体" w:hAnsi="宋体"/>
          <w:color w:val="auto"/>
          <w:szCs w:val="21"/>
          <w:highlight w:val="none"/>
          <w:u w:val="single"/>
        </w:rPr>
        <w:t>按照合同约定的形象进度的计量约定的时间向监理人提交，并附上已完成工程量报表、经审核的农民工工资发放的情况说明及有关资料</w:t>
      </w:r>
      <w:r>
        <w:rPr>
          <w:rFonts w:hint="eastAsia" w:ascii="宋体" w:hAnsi="宋体"/>
          <w:color w:val="auto"/>
          <w:szCs w:val="21"/>
          <w:highlight w:val="none"/>
        </w:rPr>
        <w:t>。</w:t>
      </w:r>
    </w:p>
    <w:p w14:paraId="4A0F1929">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（3）其他价格形式合同进度付款申请单提交的约定：</w:t>
      </w:r>
      <w:r>
        <w:rPr>
          <w:rFonts w:hint="eastAsia" w:ascii="宋体" w:hAnsi="宋体"/>
          <w:color w:val="auto"/>
          <w:szCs w:val="21"/>
          <w:highlight w:val="none"/>
          <w:u w:val="single"/>
        </w:rPr>
        <w:t>不采用</w:t>
      </w:r>
      <w:r>
        <w:rPr>
          <w:rFonts w:hint="eastAsia" w:ascii="宋体" w:hAnsi="宋体"/>
          <w:color w:val="auto"/>
          <w:szCs w:val="21"/>
          <w:highlight w:val="none"/>
        </w:rPr>
        <w:t>。</w:t>
      </w:r>
    </w:p>
    <w:p w14:paraId="164FD1E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12.4.4 进度款审核和支付</w:t>
      </w:r>
    </w:p>
    <w:p w14:paraId="1E6778C7">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（1）监理人审查并报送发包人的期限：</w:t>
      </w:r>
      <w:r>
        <w:rPr>
          <w:rFonts w:hint="eastAsia" w:ascii="宋体" w:hAnsi="宋体"/>
          <w:color w:val="auto"/>
          <w:szCs w:val="21"/>
          <w:highlight w:val="none"/>
          <w:u w:val="single"/>
        </w:rPr>
        <w:t>收到完整资料后7天内</w:t>
      </w:r>
      <w:r>
        <w:rPr>
          <w:rFonts w:hint="eastAsia" w:ascii="宋体" w:hAnsi="宋体"/>
          <w:color w:val="auto"/>
          <w:szCs w:val="21"/>
          <w:highlight w:val="none"/>
        </w:rPr>
        <w:t>。</w:t>
      </w:r>
    </w:p>
    <w:p w14:paraId="02EC5C4D">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发包人完成审批并签发进度款支付证书的期限：</w:t>
      </w:r>
      <w:r>
        <w:rPr>
          <w:rFonts w:hint="eastAsia" w:ascii="宋体" w:hAnsi="宋体"/>
          <w:color w:val="auto"/>
          <w:szCs w:val="21"/>
          <w:highlight w:val="none"/>
          <w:u w:val="single"/>
        </w:rPr>
        <w:t>发包人收到监理人报送资料后7天内完成审批并签发进度款支付证书</w:t>
      </w:r>
      <w:r>
        <w:rPr>
          <w:rFonts w:hint="eastAsia" w:ascii="宋体" w:hAnsi="宋体"/>
          <w:color w:val="auto"/>
          <w:szCs w:val="21"/>
          <w:highlight w:val="none"/>
        </w:rPr>
        <w:t>。</w:t>
      </w:r>
    </w:p>
    <w:p w14:paraId="4869AC0B">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监理人、跟审单位和发包人中任一方对承包人的进度付款申请单有异议的，均有权要求承包人修正和提供补充资料，承包人应提交修正后的进度付款申请单。监理人应在收到承包人修正后的进度付款申请单及相关资料后7天内完成审查并报送发包人，发包人收到监理人报送资料后7天内完成审批并向承包人签发无异议部分的临时进度款支付证书。存在争议的部分，按照合同约定的争议解决的约定处理。</w:t>
      </w:r>
    </w:p>
    <w:p w14:paraId="7FE7C9F4">
      <w:pP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发包人签发进度款支付证书或临时进度款支付证书，不表明发包人已同意、批准或接受了承包人完成的相应部分的工作。</w:t>
      </w:r>
    </w:p>
    <w:p w14:paraId="35990BB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（2）进度款支付：</w:t>
      </w:r>
    </w:p>
    <w:p w14:paraId="211414AC">
      <w:pPr>
        <w:shd w:val="clear"/>
        <w:spacing w:line="360" w:lineRule="auto"/>
        <w:ind w:firstLine="420" w:firstLineChars="200"/>
        <w:jc w:val="left"/>
        <w:rPr>
          <w:rFonts w:ascii="宋体" w:hAnsi="宋体"/>
          <w:color w:val="auto"/>
          <w:szCs w:val="21"/>
          <w:highlight w:val="none"/>
          <w:u w:val="single"/>
        </w:rPr>
      </w:pPr>
      <w:bookmarkStart w:id="1876" w:name="_Toc532377387"/>
      <w:bookmarkStart w:id="1877" w:name="_Toc351203585"/>
      <w:r>
        <w:rPr>
          <w:rFonts w:hint="eastAsia" w:ascii="宋体" w:hAnsi="宋体"/>
          <w:color w:val="auto"/>
          <w:szCs w:val="21"/>
          <w:highlight w:val="none"/>
        </w:rPr>
        <w:t>①发包人将上月农民工工资支付凭证作为当月进度款支付的前置条件。</w:t>
      </w:r>
    </w:p>
    <w:p w14:paraId="492AAC80">
      <w:pPr>
        <w:shd w:val="clea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②安全文明施工费：</w:t>
      </w:r>
      <w:r>
        <w:rPr>
          <w:rFonts w:hint="eastAsia" w:ascii="宋体" w:hAnsi="宋体"/>
          <w:color w:val="auto"/>
          <w:szCs w:val="21"/>
          <w:highlight w:val="none"/>
          <w:u w:val="single"/>
        </w:rPr>
        <w:t>合同签订后，发包人在开工前按签约合同价中安全文明施工费的50％支付承包人，用于现场安全文明施工建设，余下安全文明施工费按施工进度支付</w:t>
      </w:r>
      <w:r>
        <w:rPr>
          <w:rFonts w:hint="eastAsia" w:ascii="宋体" w:hAnsi="宋体"/>
          <w:color w:val="auto"/>
          <w:szCs w:val="21"/>
          <w:highlight w:val="none"/>
        </w:rPr>
        <w:t>。</w:t>
      </w:r>
    </w:p>
    <w:p w14:paraId="0F13EC0D">
      <w:pPr>
        <w:shd w:val="clea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③分部分项工程费：</w:t>
      </w:r>
      <w:r>
        <w:rPr>
          <w:rFonts w:hint="eastAsia" w:ascii="宋体" w:hAnsi="宋体"/>
          <w:color w:val="auto"/>
          <w:szCs w:val="21"/>
          <w:highlight w:val="none"/>
          <w:u w:val="single"/>
        </w:rPr>
        <w:t>按承包人当期完成并经监理人、跟审单位和发包人审定的工程量乘以相应综合单价计算当期完成的分部分项工程费及相应的规费和税金。发包人在签发进度款支付证书或临时进度款支付证书的次月10日前按经监理人、跟审单位和发包人审定的当期完成的分部分项工程费及相应的规费和税金（不含人工费价差和材料费价差）的</w:t>
      </w:r>
      <w:r>
        <w:rPr>
          <w:rFonts w:hint="eastAsia" w:ascii="宋体" w:hAnsi="宋体"/>
          <w:color w:val="auto"/>
          <w:szCs w:val="21"/>
          <w:highlight w:val="none"/>
          <w:u w:val="single"/>
          <w:lang w:val="en-US" w:eastAsia="zh-CN"/>
        </w:rPr>
        <w:t>80</w:t>
      </w:r>
      <w:r>
        <w:rPr>
          <w:rFonts w:hint="eastAsia" w:ascii="宋体" w:hAnsi="宋体"/>
          <w:color w:val="auto"/>
          <w:szCs w:val="21"/>
          <w:highlight w:val="none"/>
          <w:u w:val="single"/>
        </w:rPr>
        <w:t>%支付承包人</w:t>
      </w:r>
      <w:r>
        <w:rPr>
          <w:rFonts w:hint="eastAsia" w:ascii="宋体" w:hAnsi="宋体"/>
          <w:color w:val="auto"/>
          <w:szCs w:val="21"/>
          <w:highlight w:val="none"/>
        </w:rPr>
        <w:t>。</w:t>
      </w:r>
    </w:p>
    <w:p w14:paraId="3376888C">
      <w:pPr>
        <w:shd w:val="clea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t>④措施项目费：</w:t>
      </w:r>
      <w:r>
        <w:rPr>
          <w:rFonts w:hint="eastAsia" w:ascii="宋体" w:hAnsi="宋体"/>
          <w:color w:val="auto"/>
          <w:szCs w:val="21"/>
          <w:highlight w:val="none"/>
          <w:u w:val="single"/>
        </w:rPr>
        <w:t>按承包人当期完成并经监理人、跟审单位和发包人审定的分部分项工程量，乘以相应综合单价计算所得合计金额占签约合同价格中分部分项工程费合计金额的比例，并以签约合同价格中措施项目费为基数计算当期完成的措施项目费及相应的规费和税金。发包人在签发进度款支付证书或临时进度款支付证书的次月10日前按经监理人、跟审单位和发包人审定的当期完成的措施项目费及相应的规费和税金（不含人工费价差和材料费价差）的</w:t>
      </w:r>
      <w:r>
        <w:rPr>
          <w:rFonts w:hint="eastAsia" w:ascii="宋体" w:hAnsi="宋体"/>
          <w:color w:val="auto"/>
          <w:szCs w:val="21"/>
          <w:highlight w:val="none"/>
          <w:u w:val="single"/>
          <w:lang w:val="en-US" w:eastAsia="zh-CN"/>
        </w:rPr>
        <w:t>80</w:t>
      </w:r>
      <w:r>
        <w:rPr>
          <w:rFonts w:hint="eastAsia" w:ascii="宋体" w:hAnsi="宋体"/>
          <w:color w:val="auto"/>
          <w:szCs w:val="21"/>
          <w:highlight w:val="none"/>
          <w:u w:val="single"/>
        </w:rPr>
        <w:t>%支付承包人</w:t>
      </w:r>
      <w:r>
        <w:rPr>
          <w:rFonts w:hint="eastAsia" w:ascii="宋体" w:hAnsi="宋体"/>
          <w:color w:val="auto"/>
          <w:szCs w:val="21"/>
          <w:highlight w:val="none"/>
        </w:rPr>
        <w:t>。</w:t>
      </w:r>
    </w:p>
    <w:p w14:paraId="296A872A">
      <w:pPr>
        <w:shd w:val="clea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 5 \* GB3 </w:instrText>
      </w:r>
      <w:r>
        <w:rPr>
          <w:rFonts w:hint="eastAsia" w:ascii="宋体" w:hAnsi="宋体"/>
          <w:color w:val="auto"/>
          <w:szCs w:val="21"/>
          <w:highlight w:val="none"/>
        </w:rPr>
        <w:fldChar w:fldCharType="separate"/>
      </w:r>
      <w:r>
        <w:rPr>
          <w:rFonts w:hint="eastAsia" w:ascii="宋体" w:hAnsi="宋体"/>
          <w:color w:val="auto"/>
          <w:szCs w:val="21"/>
          <w:highlight w:val="none"/>
        </w:rPr>
        <w:t>⑤</w:t>
      </w:r>
      <w:r>
        <w:rPr>
          <w:rFonts w:hint="eastAsia" w:ascii="宋体" w:hAnsi="宋体"/>
          <w:color w:val="auto"/>
          <w:szCs w:val="21"/>
          <w:highlight w:val="none"/>
        </w:rPr>
        <w:fldChar w:fldCharType="end"/>
      </w:r>
      <w:r>
        <w:rPr>
          <w:rFonts w:hint="eastAsia" w:ascii="宋体" w:hAnsi="宋体"/>
          <w:color w:val="auto"/>
          <w:szCs w:val="21"/>
          <w:highlight w:val="none"/>
        </w:rPr>
        <w:t>其他项目费：</w:t>
      </w:r>
      <w:r>
        <w:rPr>
          <w:rFonts w:hint="eastAsia" w:ascii="宋体" w:hAnsi="宋体"/>
          <w:color w:val="auto"/>
          <w:szCs w:val="21"/>
          <w:highlight w:val="none"/>
          <w:u w:val="single"/>
        </w:rPr>
        <w:t>按承包人当期完成并经监理人、跟审单位和发包人审定的工程量乘以相应综合单价计算当期完成的其他项目费及相应的规费和税金。发包人在签发进度款支付证书或临时进度款支付证书的次月10日前按经监理人、跟审单位和发包人审定的当期完成的其他项目费及相应的规费和税金的</w:t>
      </w:r>
      <w:r>
        <w:rPr>
          <w:rFonts w:hint="eastAsia" w:ascii="宋体" w:hAnsi="宋体"/>
          <w:color w:val="auto"/>
          <w:szCs w:val="21"/>
          <w:highlight w:val="none"/>
          <w:u w:val="single"/>
          <w:lang w:val="en-US" w:eastAsia="zh-CN"/>
        </w:rPr>
        <w:t>80</w:t>
      </w:r>
      <w:r>
        <w:rPr>
          <w:rFonts w:hint="eastAsia" w:ascii="宋体" w:hAnsi="宋体"/>
          <w:color w:val="auto"/>
          <w:szCs w:val="21"/>
          <w:highlight w:val="none"/>
          <w:u w:val="single"/>
        </w:rPr>
        <w:t xml:space="preserve"> %支付承包人</w:t>
      </w:r>
      <w:r>
        <w:rPr>
          <w:rFonts w:hint="eastAsia" w:ascii="宋体" w:hAnsi="宋体"/>
          <w:color w:val="auto"/>
          <w:szCs w:val="21"/>
          <w:highlight w:val="none"/>
        </w:rPr>
        <w:t>。</w:t>
      </w:r>
    </w:p>
    <w:p w14:paraId="54D45265">
      <w:pPr>
        <w:shd w:val="clea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⑥人工费（工资款）：发包人在签发人工费（工资款）支付证书的次月10日前，按经监理人和发包人审定的当月完成的合同价款的</w:t>
      </w:r>
      <w:r>
        <w:rPr>
          <w:rFonts w:hint="eastAsia" w:ascii="宋体" w:hAnsi="宋体"/>
          <w:color w:val="auto"/>
          <w:szCs w:val="21"/>
          <w:highlight w:val="none"/>
          <w:u w:val="single"/>
          <w:lang w:val="en-US" w:eastAsia="zh-CN"/>
        </w:rPr>
        <w:t>25</w:t>
      </w:r>
      <w:r>
        <w:rPr>
          <w:rFonts w:hint="eastAsia" w:ascii="宋体" w:hAnsi="宋体"/>
          <w:color w:val="auto"/>
          <w:szCs w:val="21"/>
          <w:highlight w:val="none"/>
          <w:u w:val="single"/>
        </w:rPr>
        <w:t>%（人工费数额大于当月完成的合同价款的25%时，按实际人工费数额拨付；若人工费数额小于当月完成的合同价款的25%时，按不小于当月完成的合同价款的25%拨付），支付至承包人。</w:t>
      </w:r>
    </w:p>
    <w:p w14:paraId="68D42452">
      <w:pPr>
        <w:shd w:val="clea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⑦人工、材料价差按</w:t>
      </w:r>
      <w:r>
        <w:rPr>
          <w:rFonts w:hint="eastAsia" w:ascii="宋体" w:hAnsi="宋体"/>
          <w:color w:val="auto"/>
          <w:szCs w:val="21"/>
          <w:highlight w:val="none"/>
          <w:u w:val="single"/>
          <w:lang w:val="en-US" w:eastAsia="zh-CN"/>
        </w:rPr>
        <w:t>80</w:t>
      </w:r>
      <w:r>
        <w:rPr>
          <w:rFonts w:hint="eastAsia" w:ascii="宋体" w:hAnsi="宋体"/>
          <w:color w:val="auto"/>
          <w:szCs w:val="21"/>
          <w:highlight w:val="none"/>
          <w:u w:val="single"/>
        </w:rPr>
        <w:t>%纳入当期进度支付，价差调整方式按11条约定执行</w:t>
      </w:r>
      <w:r>
        <w:rPr>
          <w:rFonts w:hint="eastAsia" w:ascii="宋体" w:hAnsi="宋体"/>
          <w:color w:val="auto"/>
          <w:szCs w:val="21"/>
          <w:highlight w:val="none"/>
        </w:rPr>
        <w:t>。</w:t>
      </w:r>
    </w:p>
    <w:p w14:paraId="4469E932">
      <w:pPr>
        <w:shd w:val="clear"/>
        <w:spacing w:line="360" w:lineRule="auto"/>
        <w:ind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⑧工程竣工验收合格后28天内，发包人向承包人支付至累计进度审定金额的</w:t>
      </w:r>
      <w:r>
        <w:rPr>
          <w:rFonts w:hint="eastAsia" w:ascii="宋体" w:hAnsi="宋体"/>
          <w:color w:val="auto"/>
          <w:szCs w:val="21"/>
          <w:highlight w:val="none"/>
          <w:u w:val="single"/>
          <w:lang w:val="en-US" w:eastAsia="zh-CN"/>
        </w:rPr>
        <w:t>80</w:t>
      </w:r>
      <w:r>
        <w:rPr>
          <w:rFonts w:hint="eastAsia" w:ascii="宋体" w:hAnsi="宋体"/>
          <w:color w:val="auto"/>
          <w:szCs w:val="21"/>
          <w:highlight w:val="none"/>
          <w:u w:val="single"/>
        </w:rPr>
        <w:t>%；移交完整的工程竣工资料后14天内，发包人向承包人支付至累计进度审定金额的</w:t>
      </w:r>
      <w:r>
        <w:rPr>
          <w:rFonts w:hint="eastAsia" w:ascii="宋体" w:hAnsi="宋体"/>
          <w:color w:val="auto"/>
          <w:szCs w:val="21"/>
          <w:highlight w:val="none"/>
          <w:u w:val="single"/>
          <w:lang w:val="en-US" w:eastAsia="zh-CN"/>
        </w:rPr>
        <w:t>85</w:t>
      </w:r>
      <w:r>
        <w:rPr>
          <w:rFonts w:hint="eastAsia" w:ascii="宋体" w:hAnsi="宋体"/>
          <w:color w:val="auto"/>
          <w:szCs w:val="21"/>
          <w:highlight w:val="none"/>
          <w:u w:val="single"/>
        </w:rPr>
        <w:t xml:space="preserve"> %；完成结算审核后28天内，发包人向承包人支付至结算审定金额的97%；缺陷责任期满后28天内发包人向承包人支付剩余工程款。</w:t>
      </w:r>
    </w:p>
    <w:p w14:paraId="78B627D4">
      <w:pPr>
        <w:pStyle w:val="7"/>
        <w:spacing w:before="0" w:beforeAutospacing="0" w:after="0" w:afterAutospacing="0" w:line="360" w:lineRule="auto"/>
        <w:ind w:firstLine="422" w:firstLineChars="200"/>
        <w:rPr>
          <w:color w:val="auto"/>
          <w:sz w:val="21"/>
          <w:szCs w:val="21"/>
          <w:highlight w:val="none"/>
        </w:rPr>
      </w:pPr>
      <w:r>
        <w:rPr>
          <w:rFonts w:hint="eastAsia"/>
          <w:color w:val="auto"/>
          <w:sz w:val="21"/>
          <w:szCs w:val="21"/>
          <w:highlight w:val="none"/>
        </w:rPr>
        <w:t>12.5支付账户</w:t>
      </w:r>
      <w:bookmarkEnd w:id="1876"/>
      <w:bookmarkEnd w:id="1877"/>
    </w:p>
    <w:p w14:paraId="15A1F81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发包人应将合同价款支付至如下承包人指定的开户银行及银行账户：</w:t>
      </w:r>
    </w:p>
    <w:p w14:paraId="051086D6">
      <w:pPr>
        <w:spacing w:line="360" w:lineRule="auto"/>
        <w:ind w:firstLine="420" w:firstLineChars="200"/>
        <w:jc w:val="left"/>
        <w:rPr>
          <w:rFonts w:ascii="宋体" w:hAnsi="宋体"/>
          <w:color w:val="auto"/>
          <w:kern w:val="0"/>
          <w:szCs w:val="21"/>
          <w:highlight w:val="none"/>
          <w:u w:val="single"/>
        </w:rPr>
      </w:pPr>
      <w:r>
        <w:rPr>
          <w:rFonts w:hint="eastAsia" w:ascii="宋体" w:hAnsi="宋体"/>
          <w:color w:val="auto"/>
          <w:kern w:val="0"/>
          <w:szCs w:val="21"/>
          <w:highlight w:val="none"/>
        </w:rPr>
        <w:t>收款单位名称：</w:t>
      </w:r>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4F921181">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收款账号：</w:t>
      </w:r>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3ADE3385">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收款开户银行：</w:t>
      </w:r>
      <w:r>
        <w:rPr>
          <w:rFonts w:ascii="宋体" w:hAnsi="宋体"/>
          <w:color w:val="auto"/>
          <w:kern w:val="0"/>
          <w:szCs w:val="21"/>
          <w:highlight w:val="none"/>
          <w:u w:val="single"/>
        </w:rPr>
        <w:t xml:space="preserve">                              </w:t>
      </w:r>
      <w:r>
        <w:rPr>
          <w:rFonts w:hint="eastAsia" w:ascii="宋体" w:hAnsi="宋体"/>
          <w:color w:val="auto"/>
          <w:kern w:val="0"/>
          <w:szCs w:val="21"/>
          <w:highlight w:val="none"/>
        </w:rPr>
        <w:t>。</w:t>
      </w:r>
    </w:p>
    <w:p w14:paraId="0C9FB926">
      <w:pPr>
        <w:spacing w:line="36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发包人应</w:t>
      </w:r>
      <w:r>
        <w:rPr>
          <w:rFonts w:hint="eastAsia" w:ascii="宋体" w:hAnsi="宋体"/>
          <w:color w:val="auto"/>
          <w:kern w:val="0"/>
          <w:szCs w:val="21"/>
          <w:highlight w:val="none"/>
          <w:lang w:val="en-US" w:eastAsia="zh-CN"/>
        </w:rPr>
        <w:t>按行业主管部门的相关规定</w:t>
      </w:r>
      <w:r>
        <w:rPr>
          <w:rFonts w:hint="eastAsia" w:ascii="宋体" w:hAnsi="宋体"/>
          <w:color w:val="auto"/>
          <w:kern w:val="0"/>
          <w:szCs w:val="21"/>
          <w:highlight w:val="none"/>
        </w:rPr>
        <w:t>将人工费（工资款）支付至承包人指定的农民工工资专用账户。</w:t>
      </w:r>
    </w:p>
    <w:p w14:paraId="73C33303">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878" w:name="_Toc351203645"/>
      <w:bookmarkStart w:id="1879" w:name="_Toc532377388"/>
      <w:bookmarkStart w:id="1880" w:name="_Toc532375651"/>
      <w:bookmarkStart w:id="1881" w:name="_Toc292559929"/>
      <w:bookmarkStart w:id="1882" w:name="_Toc303539172"/>
      <w:bookmarkStart w:id="1883" w:name="_Toc296503219"/>
      <w:bookmarkStart w:id="1884" w:name="_Toc296891259"/>
      <w:bookmarkStart w:id="1885" w:name="_Toc297216223"/>
      <w:bookmarkStart w:id="1886" w:name="_Toc297120519"/>
      <w:bookmarkStart w:id="1887" w:name="_Toc297048405"/>
      <w:bookmarkStart w:id="1888" w:name="_Toc296347218"/>
      <w:bookmarkStart w:id="1889" w:name="_Toc296346720"/>
      <w:bookmarkStart w:id="1890" w:name="_Toc300935015"/>
      <w:bookmarkStart w:id="1891" w:name="_Toc296944558"/>
      <w:bookmarkStart w:id="1892" w:name="_Toc292559424"/>
      <w:bookmarkStart w:id="1893" w:name="_Toc312678053"/>
      <w:bookmarkStart w:id="1894" w:name="_Toc297123564"/>
      <w:bookmarkStart w:id="1895" w:name="_Toc304295593"/>
      <w:bookmarkStart w:id="1896" w:name="_Toc296891047"/>
      <w:r>
        <w:rPr>
          <w:rFonts w:hint="eastAsia"/>
          <w:color w:val="auto"/>
          <w:kern w:val="2"/>
          <w:sz w:val="21"/>
          <w:szCs w:val="21"/>
          <w:highlight w:val="none"/>
        </w:rPr>
        <w:t>13. 验收和工程试车</w:t>
      </w:r>
      <w:bookmarkEnd w:id="1878"/>
      <w:bookmarkEnd w:id="1879"/>
      <w:bookmarkEnd w:id="1880"/>
    </w:p>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p w14:paraId="72395E0C">
      <w:pPr>
        <w:pStyle w:val="7"/>
        <w:spacing w:before="0" w:beforeAutospacing="0" w:after="0" w:afterAutospacing="0" w:line="360" w:lineRule="auto"/>
        <w:ind w:firstLine="422" w:firstLineChars="200"/>
        <w:rPr>
          <w:color w:val="auto"/>
          <w:sz w:val="21"/>
          <w:szCs w:val="21"/>
          <w:highlight w:val="none"/>
        </w:rPr>
      </w:pPr>
      <w:bookmarkStart w:id="1897" w:name="_Toc532377389"/>
      <w:bookmarkStart w:id="1898" w:name="_Toc532375652"/>
      <w:bookmarkStart w:id="1899" w:name="_Toc280868704"/>
      <w:bookmarkStart w:id="1900" w:name="_Toc280868705"/>
      <w:bookmarkStart w:id="1901" w:name="_Toc280868706"/>
      <w:bookmarkStart w:id="1902" w:name="_Toc280868707"/>
      <w:bookmarkStart w:id="1903" w:name="_Toc280868708"/>
      <w:bookmarkStart w:id="1904" w:name="_Toc267251475"/>
      <w:bookmarkStart w:id="1905" w:name="_Toc267251476"/>
      <w:bookmarkStart w:id="1906" w:name="_Toc267251473"/>
      <w:bookmarkStart w:id="1907" w:name="_Toc280868709"/>
      <w:bookmarkStart w:id="1908" w:name="_Toc267251474"/>
      <w:bookmarkStart w:id="1909" w:name="_Toc267251470"/>
      <w:bookmarkStart w:id="1910" w:name="_Toc267251472"/>
      <w:bookmarkStart w:id="1911" w:name="_Toc267251471"/>
      <w:r>
        <w:rPr>
          <w:rFonts w:hint="eastAsia"/>
          <w:color w:val="auto"/>
          <w:sz w:val="21"/>
          <w:szCs w:val="21"/>
          <w:highlight w:val="none"/>
        </w:rPr>
        <w:t>13.1 分部分项工程验收</w:t>
      </w:r>
      <w:bookmarkEnd w:id="1897"/>
      <w:bookmarkEnd w:id="1898"/>
    </w:p>
    <w:p w14:paraId="50C23CD0">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13.1.2 监理人不能按时进行验收时，应提前</w:t>
      </w:r>
      <w:r>
        <w:rPr>
          <w:rFonts w:hint="eastAsia" w:ascii="宋体" w:hAnsi="宋体"/>
          <w:color w:val="auto"/>
          <w:szCs w:val="21"/>
          <w:highlight w:val="none"/>
          <w:u w:val="single"/>
        </w:rPr>
        <w:t>24</w:t>
      </w:r>
      <w:r>
        <w:rPr>
          <w:rFonts w:hint="eastAsia" w:ascii="宋体" w:hAnsi="宋体"/>
          <w:color w:val="auto"/>
          <w:szCs w:val="21"/>
          <w:highlight w:val="none"/>
        </w:rPr>
        <w:t>小时提交书面延期要求。</w:t>
      </w:r>
    </w:p>
    <w:p w14:paraId="5B44F0DE">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关于延期最长不得超过：</w:t>
      </w:r>
      <w:r>
        <w:rPr>
          <w:rFonts w:hint="eastAsia" w:ascii="宋体" w:hAnsi="宋体"/>
          <w:color w:val="auto"/>
          <w:szCs w:val="21"/>
          <w:highlight w:val="none"/>
          <w:u w:val="single"/>
        </w:rPr>
        <w:t>48</w:t>
      </w:r>
      <w:r>
        <w:rPr>
          <w:rFonts w:hint="eastAsia" w:ascii="宋体" w:hAnsi="宋体"/>
          <w:color w:val="auto"/>
          <w:szCs w:val="21"/>
          <w:highlight w:val="none"/>
        </w:rPr>
        <w:t>小时。</w:t>
      </w:r>
    </w:p>
    <w:p w14:paraId="14EBFE33">
      <w:pPr>
        <w:pStyle w:val="7"/>
        <w:spacing w:before="0" w:beforeAutospacing="0" w:after="0" w:afterAutospacing="0" w:line="360" w:lineRule="auto"/>
        <w:ind w:firstLine="422" w:firstLineChars="200"/>
        <w:rPr>
          <w:color w:val="auto"/>
          <w:sz w:val="21"/>
          <w:szCs w:val="21"/>
          <w:highlight w:val="none"/>
        </w:rPr>
      </w:pPr>
      <w:bookmarkStart w:id="1912" w:name="_Toc532377390"/>
      <w:bookmarkStart w:id="1913" w:name="_Toc532375653"/>
      <w:bookmarkStart w:id="1914" w:name="_Toc297123565"/>
      <w:bookmarkStart w:id="1915" w:name="_Toc296891263"/>
      <w:bookmarkStart w:id="1916" w:name="_Toc292559933"/>
      <w:bookmarkStart w:id="1917" w:name="_Toc292559428"/>
      <w:bookmarkStart w:id="1918" w:name="_Toc297048409"/>
      <w:bookmarkStart w:id="1919" w:name="_Toc296891051"/>
      <w:bookmarkStart w:id="1920" w:name="_Toc297216224"/>
      <w:bookmarkStart w:id="1921" w:name="_Toc312678056"/>
      <w:bookmarkStart w:id="1922" w:name="_Toc296346724"/>
      <w:bookmarkStart w:id="1923" w:name="_Toc296503223"/>
      <w:bookmarkStart w:id="1924" w:name="_Toc303539173"/>
      <w:bookmarkStart w:id="1925" w:name="_Toc300935016"/>
      <w:bookmarkStart w:id="1926" w:name="_Toc304295596"/>
      <w:bookmarkStart w:id="1927" w:name="_Toc296944562"/>
      <w:bookmarkStart w:id="1928" w:name="_Toc296347222"/>
      <w:bookmarkStart w:id="1929" w:name="_Toc297120523"/>
      <w:r>
        <w:rPr>
          <w:rFonts w:hint="eastAsia"/>
          <w:color w:val="auto"/>
          <w:sz w:val="21"/>
          <w:szCs w:val="21"/>
          <w:highlight w:val="none"/>
        </w:rPr>
        <w:t>13.2 竣工验收</w:t>
      </w:r>
      <w:bookmarkEnd w:id="1912"/>
      <w:bookmarkEnd w:id="1913"/>
    </w:p>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p w14:paraId="1A0C0FB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13.2.2竣工验收程序</w:t>
      </w:r>
    </w:p>
    <w:bookmarkEnd w:id="1899"/>
    <w:p w14:paraId="24D68D2A">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关于竣工验收程序的约定：工程完工且符合下列条件时，承包人可向发包人提供竣工报告，并要求验收：</w:t>
      </w:r>
    </w:p>
    <w:p w14:paraId="5A21E3E0">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（1）除发包人同意的甩项工作和缺陷修补工作外，合同范围内的全部工程以及有关工作，包括合同要求的试验、试运行以及检验均已完成，并符合合同要求；</w:t>
      </w:r>
    </w:p>
    <w:p w14:paraId="52076093">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（2）已按合同约定编制了甩项工作和缺陷修补工作清单以及相应的施工计划；</w:t>
      </w:r>
    </w:p>
    <w:p w14:paraId="23B8683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（3）已按合同约定的内容和份数备齐竣工资料。</w:t>
      </w:r>
    </w:p>
    <w:p w14:paraId="1AB238CF">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DC4F37E">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工程竣工及竣工资料：</w:t>
      </w:r>
    </w:p>
    <w:p w14:paraId="4FD33D28">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u w:val="single"/>
        </w:rPr>
        <w:t>（1）发包人应在收到承包人竣工报告后14天内组织设计单位、监理单位、质监等其他部门进行验收，竣工日期以最后一次整改后通过竣工验收的时间为准</w:t>
      </w:r>
      <w:r>
        <w:rPr>
          <w:rFonts w:hint="eastAsia" w:ascii="宋体" w:hAnsi="宋体"/>
          <w:color w:val="auto"/>
          <w:szCs w:val="21"/>
          <w:highlight w:val="none"/>
        </w:rPr>
        <w:t>。</w:t>
      </w:r>
    </w:p>
    <w:p w14:paraId="52FBB3EC">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u w:val="single"/>
        </w:rPr>
        <w:t>（2）当工程具备竣工验收条件时，承包人应及时向发包人提交竣工报告及竣工资料、办理移交手续。否则发包人有权依据监理人出具的鉴定结论书，自行组织有关部门验收，并提出整改意见。承包人必须按要求整改，并承担整改费用；如承包人拒绝按发包人提出的要求整改，发包人有权请第三方整改，由此发生的整改费用从未付工程款中扣除，不足部分发包人有权向承包人追偿。当验收通过后具备交付使用条件时，承包人不得以任何借口拒绝移交工程，否则，发包人有权强行使用，由此发生的一切后果，由承包人负责</w:t>
      </w:r>
      <w:r>
        <w:rPr>
          <w:rFonts w:hint="eastAsia" w:ascii="宋体" w:hAnsi="宋体"/>
          <w:color w:val="auto"/>
          <w:szCs w:val="21"/>
          <w:highlight w:val="none"/>
        </w:rPr>
        <w:t>。</w:t>
      </w:r>
    </w:p>
    <w:p w14:paraId="0B26A957">
      <w:pPr>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rPr>
        <w:t>（3）承包人提供竣工资料的约定：</w:t>
      </w:r>
      <w:r>
        <w:rPr>
          <w:rFonts w:hint="eastAsia" w:ascii="宋体" w:hAnsi="宋体"/>
          <w:color w:val="auto"/>
          <w:szCs w:val="21"/>
          <w:highlight w:val="none"/>
          <w:u w:val="single"/>
        </w:rPr>
        <w:t>承包人提供纸质版竣工图三套，电子版竣工图二套（刻光盘）</w:t>
      </w:r>
      <w:r>
        <w:rPr>
          <w:rFonts w:hint="eastAsia" w:ascii="宋体" w:hAnsi="宋体"/>
          <w:color w:val="auto"/>
          <w:szCs w:val="21"/>
          <w:highlight w:val="none"/>
        </w:rPr>
        <w:t>。</w:t>
      </w:r>
    </w:p>
    <w:bookmarkEnd w:id="1900"/>
    <w:p w14:paraId="24E68EC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13.2.5 移交、接收全部与部分工程</w:t>
      </w:r>
    </w:p>
    <w:bookmarkEnd w:id="1901"/>
    <w:p w14:paraId="4E813CFD">
      <w:pPr>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rPr>
        <w:t>承包人向发包人移交工程的期限：</w:t>
      </w:r>
      <w:r>
        <w:rPr>
          <w:rFonts w:hint="eastAsia" w:ascii="宋体" w:hAnsi="宋体"/>
          <w:color w:val="auto"/>
          <w:szCs w:val="21"/>
          <w:highlight w:val="none"/>
          <w:u w:val="single"/>
        </w:rPr>
        <w:t>颁发工程接收证书后7天内完成工程的移交</w:t>
      </w:r>
      <w:r>
        <w:rPr>
          <w:rFonts w:hint="eastAsia" w:ascii="宋体" w:hAnsi="宋体"/>
          <w:color w:val="auto"/>
          <w:szCs w:val="21"/>
          <w:highlight w:val="none"/>
        </w:rPr>
        <w:t>。</w:t>
      </w:r>
    </w:p>
    <w:p w14:paraId="0F917099">
      <w:pPr>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发包人未按合同约定接收全部或部分工程的，违约金的计算方法为：发包人自应当接收工程之日起承担工程照管、成品保护、保管等与工程有关的各项费用。</w:t>
      </w:r>
    </w:p>
    <w:bookmarkEnd w:id="1902"/>
    <w:p w14:paraId="6E0C6F48">
      <w:pPr>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rPr>
        <w:t>因承包人自身原因未按时移交工程的，违约金的计算方法为：</w:t>
      </w:r>
      <w:r>
        <w:rPr>
          <w:rFonts w:hint="eastAsia" w:ascii="宋体" w:hAnsi="宋体"/>
          <w:color w:val="auto"/>
          <w:szCs w:val="21"/>
          <w:highlight w:val="none"/>
          <w:u w:val="single"/>
        </w:rPr>
        <w:t>承包人应承担工程照管、成品保护、保管等与工程有关的各项费用，并按经审定结算金额的0.5‰/天支付违约金</w:t>
      </w:r>
      <w:r>
        <w:rPr>
          <w:rFonts w:hint="eastAsia" w:ascii="宋体" w:hAnsi="宋体"/>
          <w:color w:val="auto"/>
          <w:szCs w:val="21"/>
          <w:highlight w:val="none"/>
        </w:rPr>
        <w:t>。</w:t>
      </w:r>
    </w:p>
    <w:p w14:paraId="0FC21561">
      <w:pPr>
        <w:pStyle w:val="7"/>
        <w:spacing w:before="0" w:beforeAutospacing="0" w:after="0" w:afterAutospacing="0" w:line="360" w:lineRule="auto"/>
        <w:ind w:firstLine="422" w:firstLineChars="200"/>
        <w:rPr>
          <w:color w:val="auto"/>
          <w:sz w:val="21"/>
          <w:szCs w:val="21"/>
          <w:highlight w:val="none"/>
        </w:rPr>
      </w:pPr>
      <w:bookmarkStart w:id="1930" w:name="_Toc532377391"/>
      <w:bookmarkStart w:id="1931" w:name="_Toc532375654"/>
      <w:r>
        <w:rPr>
          <w:rFonts w:hint="eastAsia"/>
          <w:color w:val="auto"/>
          <w:sz w:val="21"/>
          <w:szCs w:val="21"/>
          <w:highlight w:val="none"/>
        </w:rPr>
        <w:t>13.3 工程试车</w:t>
      </w:r>
      <w:bookmarkEnd w:id="1930"/>
      <w:bookmarkEnd w:id="1931"/>
    </w:p>
    <w:p w14:paraId="428B46B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13.3.1 试车程序</w:t>
      </w:r>
    </w:p>
    <w:p w14:paraId="6D2B8B3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工程试车内容：</w:t>
      </w:r>
      <w:r>
        <w:rPr>
          <w:rFonts w:hint="eastAsia" w:ascii="宋体" w:hAnsi="宋体"/>
          <w:color w:val="auto"/>
          <w:szCs w:val="21"/>
          <w:highlight w:val="none"/>
          <w:u w:val="single"/>
        </w:rPr>
        <w:t>按通用合同条款执行</w:t>
      </w:r>
      <w:r>
        <w:rPr>
          <w:rFonts w:hint="eastAsia" w:ascii="宋体" w:hAnsi="宋体"/>
          <w:color w:val="auto"/>
          <w:szCs w:val="21"/>
          <w:highlight w:val="none"/>
        </w:rPr>
        <w:t>。</w:t>
      </w:r>
    </w:p>
    <w:p w14:paraId="0C149C03">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（1）单机无负荷试车费用由</w:t>
      </w:r>
      <w:r>
        <w:rPr>
          <w:rFonts w:hint="eastAsia" w:ascii="宋体" w:hAnsi="宋体"/>
          <w:color w:val="auto"/>
          <w:szCs w:val="21"/>
          <w:highlight w:val="none"/>
          <w:u w:val="single"/>
        </w:rPr>
        <w:t>承包人</w:t>
      </w:r>
      <w:r>
        <w:rPr>
          <w:rFonts w:hint="eastAsia" w:ascii="宋体" w:hAnsi="宋体"/>
          <w:color w:val="auto"/>
          <w:szCs w:val="21"/>
          <w:highlight w:val="none"/>
        </w:rPr>
        <w:t>承担；</w:t>
      </w:r>
    </w:p>
    <w:p w14:paraId="14594780">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（2）无负荷联动试车费用由</w:t>
      </w:r>
      <w:r>
        <w:rPr>
          <w:rFonts w:hint="eastAsia" w:ascii="宋体" w:hAnsi="宋体"/>
          <w:color w:val="auto"/>
          <w:szCs w:val="21"/>
          <w:highlight w:val="none"/>
          <w:u w:val="single"/>
        </w:rPr>
        <w:t>承包人</w:t>
      </w:r>
      <w:r>
        <w:rPr>
          <w:rFonts w:hint="eastAsia" w:ascii="宋体" w:hAnsi="宋体"/>
          <w:color w:val="auto"/>
          <w:szCs w:val="21"/>
          <w:highlight w:val="none"/>
        </w:rPr>
        <w:t>承担。</w:t>
      </w:r>
    </w:p>
    <w:p w14:paraId="69801AF6">
      <w:pPr>
        <w:pStyle w:val="7"/>
        <w:spacing w:before="0" w:beforeAutospacing="0" w:after="0" w:afterAutospacing="0" w:line="360" w:lineRule="auto"/>
        <w:ind w:firstLine="422" w:firstLineChars="200"/>
        <w:rPr>
          <w:color w:val="auto"/>
          <w:sz w:val="21"/>
          <w:szCs w:val="21"/>
          <w:highlight w:val="none"/>
        </w:rPr>
      </w:pPr>
      <w:bookmarkStart w:id="1932" w:name="_Toc532377392"/>
      <w:bookmarkStart w:id="1933" w:name="_Toc532375655"/>
      <w:r>
        <w:rPr>
          <w:rFonts w:hint="eastAsia"/>
          <w:color w:val="auto"/>
          <w:sz w:val="21"/>
          <w:szCs w:val="21"/>
          <w:highlight w:val="none"/>
        </w:rPr>
        <w:t>13.6 竣工退场</w:t>
      </w:r>
      <w:bookmarkEnd w:id="1932"/>
      <w:bookmarkEnd w:id="1933"/>
    </w:p>
    <w:p w14:paraId="636FB1CF">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13.6.1 竣工退场</w:t>
      </w:r>
    </w:p>
    <w:p w14:paraId="05FD5C91">
      <w:pPr>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rPr>
        <w:t>承包人完成竣工退场的期限：</w:t>
      </w:r>
      <w:r>
        <w:rPr>
          <w:rFonts w:hint="eastAsia" w:ascii="宋体" w:hAnsi="宋体"/>
          <w:color w:val="auto"/>
          <w:szCs w:val="21"/>
          <w:highlight w:val="none"/>
          <w:u w:val="single"/>
        </w:rPr>
        <w:t>工程接收证书颁发后28天内，承包人的施工人员、剩余材料、施工设备和临时工程应完全撤离施工场地并对施工场地进行清理、平整、复原，直至监理人检验合格为止，由此发生的费用已包含在签约合同价内。承包人未在限期内拆除的，发包人可委托其他单位代为拆除，由此发生的费用（发包人可从应付承包人的款项中扣除）由承包人承担，承包人还应按审定结算金额的0.5‰/天的标准向发包人支付违约金。因工程维修需要部分人员必须留在施工现场的，需征得发包人同意</w:t>
      </w:r>
      <w:r>
        <w:rPr>
          <w:rFonts w:hint="eastAsia" w:ascii="宋体" w:hAnsi="宋体"/>
          <w:color w:val="auto"/>
          <w:szCs w:val="21"/>
          <w:highlight w:val="none"/>
        </w:rPr>
        <w:t>。</w:t>
      </w:r>
    </w:p>
    <w:bookmarkEnd w:id="1903"/>
    <w:p w14:paraId="417F149F">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934" w:name="_Toc351203646"/>
      <w:bookmarkStart w:id="1935" w:name="_Toc532377393"/>
      <w:bookmarkStart w:id="1936" w:name="_Toc532375656"/>
      <w:r>
        <w:rPr>
          <w:rFonts w:hint="eastAsia"/>
          <w:color w:val="auto"/>
          <w:kern w:val="2"/>
          <w:sz w:val="21"/>
          <w:szCs w:val="21"/>
          <w:highlight w:val="none"/>
        </w:rPr>
        <w:t>14. 竣工结算</w:t>
      </w:r>
      <w:bookmarkEnd w:id="1934"/>
      <w:bookmarkEnd w:id="1935"/>
      <w:bookmarkEnd w:id="1936"/>
    </w:p>
    <w:p w14:paraId="7889A56D">
      <w:pPr>
        <w:pStyle w:val="7"/>
        <w:spacing w:before="0" w:beforeAutospacing="0" w:after="0" w:afterAutospacing="0" w:line="360" w:lineRule="auto"/>
        <w:ind w:firstLine="422" w:firstLineChars="200"/>
        <w:rPr>
          <w:color w:val="auto"/>
          <w:sz w:val="21"/>
          <w:szCs w:val="21"/>
          <w:highlight w:val="none"/>
        </w:rPr>
      </w:pPr>
      <w:bookmarkStart w:id="1937" w:name="_Toc532377394"/>
      <w:bookmarkStart w:id="1938" w:name="_Toc532375657"/>
      <w:r>
        <w:rPr>
          <w:rFonts w:hint="eastAsia"/>
          <w:color w:val="auto"/>
          <w:sz w:val="21"/>
          <w:szCs w:val="21"/>
          <w:highlight w:val="none"/>
        </w:rPr>
        <w:t>14.1 竣工结算申请</w:t>
      </w:r>
      <w:bookmarkEnd w:id="1937"/>
      <w:bookmarkEnd w:id="1938"/>
    </w:p>
    <w:p w14:paraId="129620F7">
      <w:pPr>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rPr>
        <w:t>承包人提交竣工结算申请单的期限：</w:t>
      </w:r>
      <w:r>
        <w:rPr>
          <w:rFonts w:hint="eastAsia" w:ascii="宋体" w:hAnsi="宋体"/>
          <w:color w:val="auto"/>
          <w:szCs w:val="21"/>
          <w:highlight w:val="none"/>
          <w:u w:val="single"/>
        </w:rPr>
        <w:t>承包人应在工程竣工验收合格且报送</w:t>
      </w:r>
      <w:r>
        <w:rPr>
          <w:rFonts w:ascii="宋体" w:hAnsi="宋体"/>
          <w:color w:val="auto"/>
          <w:szCs w:val="21"/>
          <w:highlight w:val="none"/>
          <w:u w:val="single"/>
        </w:rPr>
        <w:t>完整工程竣工资料</w:t>
      </w:r>
      <w:r>
        <w:rPr>
          <w:rFonts w:hint="eastAsia" w:ascii="宋体" w:hAnsi="宋体"/>
          <w:color w:val="auto"/>
          <w:szCs w:val="21"/>
          <w:highlight w:val="none"/>
          <w:u w:val="single"/>
        </w:rPr>
        <w:t>之日起28天内向监理人、发包人提交竣工结算申请单，并向发包人报送完整的工程竣工资料及经监理人初审确认的完整的竣工结算资料</w:t>
      </w:r>
      <w:bookmarkStart w:id="1939" w:name="_Hlk524297994"/>
      <w:r>
        <w:rPr>
          <w:rFonts w:hint="eastAsia" w:ascii="宋体" w:hAnsi="宋体"/>
          <w:color w:val="auto"/>
          <w:szCs w:val="21"/>
          <w:highlight w:val="none"/>
          <w:u w:val="single"/>
        </w:rPr>
        <w:t>。监理人或发包人对竣工结算申请单有异议的，应在接到竣工结算申请单后14天内要求承包人进行修正和提供补充资料，承包人在接到监理人或发包人提出的审核意见后，应在28天内按监理人或发包人提出的合理要求补充资料、修改竣工结算资料，并再次提交监理人或发包人审核。承包人未在规定时间内报送竣工结算资料给发包人造成经济损失的，承包人应承担赔偿责任。</w:t>
      </w:r>
    </w:p>
    <w:p w14:paraId="15E17C1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竣工结算申请单包括但不限于以下内容：</w:t>
      </w:r>
    </w:p>
    <w:p w14:paraId="0187A4EC">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（1）竣工结算合同价格；</w:t>
      </w:r>
    </w:p>
    <w:p w14:paraId="1F9B4D4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（2）变更增减金额；</w:t>
      </w:r>
    </w:p>
    <w:p w14:paraId="5115DB7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（3）现场签证增减金额；</w:t>
      </w:r>
    </w:p>
    <w:p w14:paraId="601BE04B">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（4）索赔增减金额；</w:t>
      </w:r>
    </w:p>
    <w:p w14:paraId="1284AE1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（5）奖励、罚金及违约金；</w:t>
      </w:r>
    </w:p>
    <w:p w14:paraId="16D6A24E">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（6）发包人已支付承包人的款项；</w:t>
      </w:r>
    </w:p>
    <w:p w14:paraId="7B296F2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（7）应扣留的质量保证金；</w:t>
      </w:r>
    </w:p>
    <w:p w14:paraId="2C3BDAB2">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（8）发包人应支付承包人的合同价款。</w:t>
      </w:r>
      <w:bookmarkEnd w:id="1939"/>
    </w:p>
    <w:p w14:paraId="1B2F194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（9）</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C6A2B04">
      <w:pPr>
        <w:pStyle w:val="7"/>
        <w:spacing w:before="0" w:beforeAutospacing="0" w:after="0" w:afterAutospacing="0" w:line="360" w:lineRule="auto"/>
        <w:ind w:firstLine="422" w:firstLineChars="200"/>
        <w:rPr>
          <w:color w:val="auto"/>
          <w:sz w:val="21"/>
          <w:szCs w:val="21"/>
          <w:highlight w:val="none"/>
        </w:rPr>
      </w:pPr>
      <w:bookmarkStart w:id="1940" w:name="_Toc532375658"/>
      <w:bookmarkStart w:id="1941" w:name="_Toc532377395"/>
      <w:r>
        <w:rPr>
          <w:rFonts w:hint="eastAsia"/>
          <w:color w:val="auto"/>
          <w:sz w:val="21"/>
          <w:szCs w:val="21"/>
          <w:highlight w:val="none"/>
        </w:rPr>
        <w:t>14.2 竣工结算审核</w:t>
      </w:r>
      <w:bookmarkEnd w:id="1940"/>
      <w:bookmarkEnd w:id="1941"/>
    </w:p>
    <w:p w14:paraId="2683ABA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14.2.1 竣工结算办法</w:t>
      </w:r>
    </w:p>
    <w:p w14:paraId="43982871">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14.2.1.1计量原则</w:t>
      </w:r>
    </w:p>
    <w:p w14:paraId="0B9F3A52">
      <w:pPr>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rPr>
        <w:t>按照第12.3.1项〔计量原则〕约定执行。</w:t>
      </w:r>
    </w:p>
    <w:p w14:paraId="5D4ADDC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14.2.1.2计价原则</w:t>
      </w:r>
    </w:p>
    <w:p w14:paraId="785E14AA">
      <w:pPr>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合同竣工结算价=Σ分部分项工程结算价+Σ措施项目结算价+Σ其他项目结算价±Σ价格调整（如有）±Σ变更、索赔与现场签证结算价±Σ奖励、罚金、违约金及其他费用+Σ规费+Σ税金</w:t>
      </w:r>
      <w:r>
        <w:rPr>
          <w:rFonts w:hint="eastAsia" w:ascii="宋体" w:hAnsi="宋体"/>
          <w:color w:val="auto"/>
          <w:szCs w:val="21"/>
          <w:highlight w:val="none"/>
        </w:rPr>
        <w:t>。</w:t>
      </w:r>
    </w:p>
    <w:p w14:paraId="5951D8E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具体结算办法如下：</w:t>
      </w:r>
    </w:p>
    <w:p w14:paraId="1EBA4D7E">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（1）分部分项工程：</w:t>
      </w:r>
    </w:p>
    <w:p w14:paraId="250A628B">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u w:val="single"/>
        </w:rPr>
        <w:t>①已标价工程量清单子目综合单价按合同约定无需调整的，以按照竣工图和第12.3.1项〔计量原则〕约定确定的工程量乘以相应的已标价工程量清单子目综合单价确定该部分分部分项工程结算价</w:t>
      </w:r>
      <w:r>
        <w:rPr>
          <w:rFonts w:hint="eastAsia" w:ascii="宋体" w:hAnsi="宋体"/>
          <w:color w:val="auto"/>
          <w:szCs w:val="21"/>
          <w:highlight w:val="none"/>
        </w:rPr>
        <w:t>；</w:t>
      </w:r>
    </w:p>
    <w:p w14:paraId="4BAC4BE7">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u w:val="single"/>
        </w:rPr>
        <w:t>②已标价工程量清单子目综合单价按第11.3款〔严重不平衡报价引起的调整〕约定需要修正综合单价的，结算工程量超过已标价工程量15%的，超出部分工程量乘以按第11.3款〔严重不平衡报价引起的调整〕约定修正综合单价确定该部分分部分项工程结算价</w:t>
      </w:r>
      <w:r>
        <w:rPr>
          <w:rFonts w:hint="eastAsia" w:ascii="宋体" w:hAnsi="宋体"/>
          <w:color w:val="auto"/>
          <w:szCs w:val="21"/>
          <w:highlight w:val="none"/>
        </w:rPr>
        <w:t>；</w:t>
      </w:r>
    </w:p>
    <w:p w14:paraId="2D2B5148">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u w:val="single"/>
        </w:rPr>
        <w:t>③需要对没有填入综合单价或总额价的子目项目进行扣减的，第12.3.1项〔计量原则〕约定确定的工程量乘以按照10.4.1〔变更估价原则〕（3）目约定的综合单价进行扣减</w:t>
      </w:r>
      <w:r>
        <w:rPr>
          <w:rFonts w:hint="eastAsia" w:ascii="宋体" w:hAnsi="宋体"/>
          <w:color w:val="auto"/>
          <w:szCs w:val="21"/>
          <w:highlight w:val="none"/>
        </w:rPr>
        <w:t>；</w:t>
      </w:r>
    </w:p>
    <w:p w14:paraId="50751522">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u w:val="single"/>
        </w:rPr>
        <w:t>④合同、已标价工程量清单和</w:t>
      </w:r>
      <w:r>
        <w:rPr>
          <w:rFonts w:hint="eastAsia" w:ascii="宋体" w:hAnsi="宋体"/>
          <w:color w:val="auto"/>
          <w:szCs w:val="21"/>
          <w:highlight w:val="none"/>
          <w:u w:val="single"/>
          <w:lang w:eastAsia="zh-CN"/>
        </w:rPr>
        <w:t>竞争性比选文件</w:t>
      </w:r>
      <w:r>
        <w:rPr>
          <w:rFonts w:hint="eastAsia" w:ascii="宋体" w:hAnsi="宋体"/>
          <w:color w:val="auto"/>
          <w:szCs w:val="21"/>
          <w:highlight w:val="none"/>
          <w:u w:val="single"/>
        </w:rPr>
        <w:t>另有约定的，按照其约定执行</w:t>
      </w:r>
      <w:r>
        <w:rPr>
          <w:rFonts w:hint="eastAsia" w:ascii="宋体" w:hAnsi="宋体"/>
          <w:color w:val="auto"/>
          <w:szCs w:val="21"/>
          <w:highlight w:val="none"/>
        </w:rPr>
        <w:t>。</w:t>
      </w:r>
    </w:p>
    <w:p w14:paraId="40094C2C">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（2）措施项目：</w:t>
      </w:r>
    </w:p>
    <w:p w14:paraId="1E668105">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u w:val="single"/>
        </w:rPr>
        <w:t>①已标价工程量清单范围内以项为计量单位的措施项目费（安全文明施工费除外）包干使用；不以项为计量单位的措施项目费按第14.2.1项〔竣工结算办理办法〕分部分项约定执行</w:t>
      </w:r>
      <w:r>
        <w:rPr>
          <w:rFonts w:hint="eastAsia" w:ascii="宋体" w:hAnsi="宋体"/>
          <w:color w:val="auto"/>
          <w:szCs w:val="21"/>
          <w:highlight w:val="none"/>
        </w:rPr>
        <w:t>。</w:t>
      </w:r>
    </w:p>
    <w:p w14:paraId="6362BF74">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u w:val="single"/>
        </w:rPr>
        <w:t>②工程变更引起施工方案改变使措施项目发生变化的，经监理人、发包人确定后可对按第10.4.3项约定执行</w:t>
      </w:r>
      <w:r>
        <w:rPr>
          <w:rFonts w:hint="eastAsia" w:ascii="宋体" w:hAnsi="宋体"/>
          <w:color w:val="auto"/>
          <w:szCs w:val="21"/>
          <w:highlight w:val="none"/>
        </w:rPr>
        <w:t>。</w:t>
      </w:r>
    </w:p>
    <w:p w14:paraId="35AF2AA3">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u w:val="single"/>
        </w:rPr>
        <w:t>③安全文明施工费按照《重庆市建设工程安全文明施工费计取及使用管理规定》（渝建发〔2014〕25号）、《重庆市住房和城乡建设委员会关于调整建设施工现场形象品质提升安全文明施工费计取的通知》（渝建管〔2020〕97号）、《重庆市建设工程费用定额》（CQFYDE-2018）、《重庆市城乡建设委员会关于适用增值税新税率调整建设工程计价依据的通知》（渝建〔2019〕143号）的规定进行结算</w:t>
      </w:r>
      <w:r>
        <w:rPr>
          <w:rFonts w:hint="eastAsia" w:ascii="宋体" w:hAnsi="宋体"/>
          <w:color w:val="auto"/>
          <w:szCs w:val="21"/>
          <w:highlight w:val="none"/>
        </w:rPr>
        <w:t>。</w:t>
      </w:r>
    </w:p>
    <w:p w14:paraId="790A5198">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（3）其他项目：</w:t>
      </w:r>
    </w:p>
    <w:p w14:paraId="5FAD66F2">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①材料（工程设备）暂估价：</w:t>
      </w:r>
      <w:r>
        <w:rPr>
          <w:rFonts w:hint="eastAsia" w:ascii="宋体" w:hAnsi="宋体"/>
          <w:color w:val="auto"/>
          <w:szCs w:val="21"/>
          <w:highlight w:val="none"/>
          <w:u w:val="single"/>
        </w:rPr>
        <w:t>按照第12.3.1项〔计量原则〕约定及对应定额消耗量确定的数量乘以监理人、跟审单位、发包人根据市场行情认质核价确定的价格进行结算</w:t>
      </w:r>
      <w:r>
        <w:rPr>
          <w:rFonts w:hint="eastAsia" w:ascii="宋体" w:hAnsi="宋体"/>
          <w:color w:val="auto"/>
          <w:szCs w:val="21"/>
          <w:highlight w:val="none"/>
        </w:rPr>
        <w:t>。</w:t>
      </w:r>
    </w:p>
    <w:p w14:paraId="13BC455F">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②专业工程暂估价：</w:t>
      </w:r>
    </w:p>
    <w:p w14:paraId="6154BBA7">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u w:val="single"/>
        </w:rPr>
        <w:t>1）对于不属于依法必须招标的暂估价项目：按发包人审定的价格进行结算</w:t>
      </w:r>
      <w:r>
        <w:rPr>
          <w:rFonts w:hint="eastAsia" w:ascii="宋体" w:hAnsi="宋体"/>
          <w:color w:val="auto"/>
          <w:szCs w:val="21"/>
          <w:highlight w:val="none"/>
        </w:rPr>
        <w:t>。</w:t>
      </w:r>
    </w:p>
    <w:p w14:paraId="66EAF623">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u w:val="single"/>
        </w:rPr>
        <w:t>2）对于依法必须招标的暂估价项目：达到招标规模标准的暂估价内容，包括专业工程暂估价和材料设备暂估价均应招标确定，并按暂估价</w:t>
      </w:r>
      <w:r>
        <w:rPr>
          <w:rFonts w:hint="eastAsia" w:ascii="宋体" w:hAnsi="宋体"/>
          <w:color w:val="auto"/>
          <w:szCs w:val="21"/>
          <w:highlight w:val="none"/>
          <w:u w:val="single"/>
          <w:lang w:eastAsia="zh-CN"/>
        </w:rPr>
        <w:t>竞争性比选文件</w:t>
      </w:r>
      <w:r>
        <w:rPr>
          <w:rFonts w:hint="eastAsia" w:ascii="宋体" w:hAnsi="宋体"/>
          <w:color w:val="auto"/>
          <w:szCs w:val="21"/>
          <w:highlight w:val="none"/>
          <w:u w:val="single"/>
        </w:rPr>
        <w:t>约定结算</w:t>
      </w:r>
      <w:r>
        <w:rPr>
          <w:rFonts w:hint="eastAsia" w:ascii="宋体" w:hAnsi="宋体"/>
          <w:color w:val="auto"/>
          <w:szCs w:val="21"/>
          <w:highlight w:val="none"/>
        </w:rPr>
        <w:t>。</w:t>
      </w:r>
    </w:p>
    <w:p w14:paraId="5A4F9ED7">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u w:val="single"/>
        </w:rPr>
        <w:t>3）总承包服务费：总承包服务费包干使用，结算时不作调整</w:t>
      </w:r>
      <w:r>
        <w:rPr>
          <w:rFonts w:hint="eastAsia" w:ascii="宋体" w:hAnsi="宋体"/>
          <w:color w:val="auto"/>
          <w:szCs w:val="21"/>
          <w:highlight w:val="none"/>
        </w:rPr>
        <w:t>。</w:t>
      </w:r>
    </w:p>
    <w:p w14:paraId="41AC268B">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rPr>
      </w:pPr>
      <w:r>
        <w:rPr>
          <w:rFonts w:hint="eastAsia" w:ascii="宋体" w:hAnsi="宋体"/>
          <w:color w:val="auto"/>
          <w:szCs w:val="21"/>
          <w:highlight w:val="none"/>
        </w:rPr>
        <w:t>（4）价格调整：</w:t>
      </w:r>
      <w:r>
        <w:rPr>
          <w:rFonts w:hint="eastAsia" w:ascii="宋体" w:hAnsi="宋体"/>
          <w:color w:val="auto"/>
          <w:szCs w:val="21"/>
          <w:highlight w:val="none"/>
          <w:u w:val="single"/>
        </w:rPr>
        <w:t>按照第11条〔价格调整〕约定约定执行</w:t>
      </w:r>
      <w:r>
        <w:rPr>
          <w:rFonts w:hint="eastAsia" w:ascii="宋体" w:hAnsi="宋体"/>
          <w:color w:val="auto"/>
          <w:szCs w:val="21"/>
          <w:highlight w:val="none"/>
        </w:rPr>
        <w:t>。</w:t>
      </w:r>
    </w:p>
    <w:p w14:paraId="7C76473E">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rPr>
        <w:t>（5）工程变更、索赔与现场签证：</w:t>
      </w:r>
    </w:p>
    <w:p w14:paraId="3F596B06">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rPr>
        <w:t>1）工程变更：按照第10.4.1项〔变更估价原则〕约定确定为总价包干的，按审定包干总价计入结算；其余项目按照有效的竣工结算资料和第12.3.1项〔计量原则〕约定确定的工程量乘以相应的按照第10.4.1项〔变更估价原则〕约定确定综合单价来确定该部分结算价。</w:t>
      </w:r>
    </w:p>
    <w:p w14:paraId="5E8B4EAD">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rPr>
        <w:t>2）索赔：按照第10.4.1项〔变更估价原则〕和第14.2.1项〔竣工结算办法〕约定执行。</w:t>
      </w:r>
    </w:p>
    <w:p w14:paraId="3AF88B81">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rPr>
        <w:t>3）现场签证：按照第10.4.1项〔变更估价原则〕和第14.2.1项〔竣工结算办法〕约定执行。</w:t>
      </w:r>
    </w:p>
    <w:p w14:paraId="611AFD09">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rPr>
        <w:t>（6）奖励、罚金、违约金及其他费用：</w:t>
      </w:r>
      <w:r>
        <w:rPr>
          <w:rFonts w:hint="eastAsia" w:ascii="宋体" w:hAnsi="宋体"/>
          <w:color w:val="auto"/>
          <w:szCs w:val="21"/>
          <w:highlight w:val="none"/>
          <w:u w:val="single"/>
        </w:rPr>
        <w:t>按实进行结算</w:t>
      </w:r>
      <w:r>
        <w:rPr>
          <w:rFonts w:hint="eastAsia" w:ascii="宋体" w:hAnsi="宋体"/>
          <w:color w:val="auto"/>
          <w:szCs w:val="21"/>
          <w:highlight w:val="none"/>
        </w:rPr>
        <w:t>。</w:t>
      </w:r>
    </w:p>
    <w:p w14:paraId="39A903DF">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rPr>
        <w:t>（7）规费：已标价工程量清单中规费费用按《重庆市建设工程费用定额》（CQFYDE-2018）执行。</w:t>
      </w:r>
    </w:p>
    <w:p w14:paraId="4FE7161F">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r>
        <w:rPr>
          <w:rFonts w:hint="eastAsia" w:ascii="宋体" w:hAnsi="宋体"/>
          <w:color w:val="auto"/>
          <w:szCs w:val="21"/>
          <w:highlight w:val="none"/>
        </w:rPr>
        <w:t>（8）税金：包含增值税、城市维护建设税、教育费附加、地方教育附加以及环境保护税。其中增值税按《重庆市建设工程费用定额》（CQFYDE-2018）、《重庆市城乡建设委员会关于适用增值税新税率调整建设工程计价依据的通知》（渝建〔2019〕143号）规定执行，环境保护税按实结算。</w:t>
      </w:r>
    </w:p>
    <w:p w14:paraId="6B7F9A9E">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14.2.1.3竣工结算价</w:t>
      </w:r>
    </w:p>
    <w:p w14:paraId="7C5EF142">
      <w:pPr>
        <w:tabs>
          <w:tab w:val="left" w:pos="711"/>
          <w:tab w:val="left" w:pos="2580"/>
        </w:tabs>
        <w:spacing w:line="360" w:lineRule="auto"/>
        <w:ind w:right="105" w:rightChars="50" w:firstLine="420" w:firstLineChars="200"/>
        <w:jc w:val="left"/>
        <w:textAlignment w:val="baseline"/>
        <w:rPr>
          <w:rFonts w:ascii="宋体" w:hAnsi="宋体"/>
          <w:color w:val="auto"/>
          <w:szCs w:val="21"/>
          <w:highlight w:val="none"/>
          <w:u w:val="single"/>
        </w:rPr>
      </w:pPr>
      <w:bookmarkStart w:id="1942" w:name="_Hlk528660512"/>
      <w:r>
        <w:rPr>
          <w:rFonts w:hint="eastAsia" w:ascii="宋体" w:hAnsi="宋体"/>
          <w:color w:val="auto"/>
          <w:szCs w:val="21"/>
          <w:highlight w:val="none"/>
          <w:u w:val="single"/>
        </w:rPr>
        <w:t>以发包人会同跟审单位、监理人、承包人根据有效资料共同确定竣工结算金额作为合同竣工结算价</w:t>
      </w:r>
      <w:r>
        <w:rPr>
          <w:rFonts w:hint="eastAsia" w:ascii="宋体" w:hAnsi="宋体"/>
          <w:color w:val="auto"/>
          <w:szCs w:val="21"/>
          <w:highlight w:val="none"/>
        </w:rPr>
        <w:t>。</w:t>
      </w:r>
    </w:p>
    <w:bookmarkEnd w:id="1942"/>
    <w:p w14:paraId="49A0C862">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14.2.2 竣工结算审核期限</w:t>
      </w:r>
    </w:p>
    <w:p w14:paraId="02BBF5C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监理人审核竣工付款申请单的期限：</w:t>
      </w:r>
      <w:r>
        <w:rPr>
          <w:rFonts w:hint="eastAsia" w:ascii="宋体" w:hAnsi="宋体"/>
          <w:color w:val="auto"/>
          <w:szCs w:val="21"/>
          <w:highlight w:val="none"/>
          <w:u w:val="single"/>
        </w:rPr>
        <w:t>不超过  日</w:t>
      </w:r>
      <w:r>
        <w:rPr>
          <w:rFonts w:hint="eastAsia" w:ascii="宋体" w:hAnsi="宋体"/>
          <w:color w:val="auto"/>
          <w:szCs w:val="21"/>
          <w:highlight w:val="none"/>
        </w:rPr>
        <w:t>。</w:t>
      </w:r>
    </w:p>
    <w:p w14:paraId="1B7FA200">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发包人审核竣工付款申请单的期限：</w:t>
      </w:r>
      <w:r>
        <w:rPr>
          <w:rFonts w:hint="eastAsia" w:ascii="宋体" w:hAnsi="宋体"/>
          <w:color w:val="auto"/>
          <w:szCs w:val="21"/>
          <w:highlight w:val="none"/>
          <w:u w:val="single"/>
        </w:rPr>
        <w:t>不超过  日</w:t>
      </w:r>
      <w:r>
        <w:rPr>
          <w:rFonts w:hint="eastAsia" w:ascii="宋体" w:hAnsi="宋体"/>
          <w:color w:val="auto"/>
          <w:szCs w:val="21"/>
          <w:highlight w:val="none"/>
        </w:rPr>
        <w:t>。</w:t>
      </w:r>
    </w:p>
    <w:p w14:paraId="50CF968E">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发包人完成竣工付款的期限：</w:t>
      </w:r>
      <w:r>
        <w:rPr>
          <w:rFonts w:hint="eastAsia" w:ascii="宋体" w:hAnsi="宋体"/>
          <w:color w:val="auto"/>
          <w:szCs w:val="21"/>
          <w:highlight w:val="none"/>
          <w:u w:val="single"/>
        </w:rPr>
        <w:t>完成竣工付款申请单审核后  天内</w:t>
      </w:r>
      <w:r>
        <w:rPr>
          <w:rFonts w:hint="eastAsia" w:ascii="宋体" w:hAnsi="宋体"/>
          <w:color w:val="auto"/>
          <w:szCs w:val="21"/>
          <w:highlight w:val="none"/>
        </w:rPr>
        <w:t>。</w:t>
      </w:r>
    </w:p>
    <w:p w14:paraId="7F68E601">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关于竣工付款证书异议部分复核的方式和程序： 按照第20条〔争议解决〕约定处理。</w:t>
      </w:r>
    </w:p>
    <w:p w14:paraId="23F452DD">
      <w:pPr>
        <w:pStyle w:val="7"/>
        <w:spacing w:before="0" w:beforeAutospacing="0" w:after="0" w:afterAutospacing="0" w:line="360" w:lineRule="auto"/>
        <w:ind w:firstLine="422" w:firstLineChars="200"/>
        <w:rPr>
          <w:color w:val="auto"/>
          <w:sz w:val="21"/>
          <w:szCs w:val="21"/>
          <w:highlight w:val="none"/>
        </w:rPr>
      </w:pPr>
      <w:bookmarkStart w:id="1943" w:name="_Toc532377396"/>
      <w:bookmarkStart w:id="1944" w:name="_Toc532375659"/>
      <w:r>
        <w:rPr>
          <w:rFonts w:hint="eastAsia"/>
          <w:color w:val="auto"/>
          <w:sz w:val="21"/>
          <w:szCs w:val="21"/>
          <w:highlight w:val="none"/>
        </w:rPr>
        <w:t>14.4 最终结清</w:t>
      </w:r>
      <w:bookmarkEnd w:id="1943"/>
      <w:bookmarkEnd w:id="1944"/>
    </w:p>
    <w:p w14:paraId="0FF545F2">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14.4.1 最终结清申请单</w:t>
      </w:r>
    </w:p>
    <w:p w14:paraId="043EE172">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承包人提交最终结清申请单的份数：</w:t>
      </w:r>
      <w:r>
        <w:rPr>
          <w:rFonts w:hint="eastAsia" w:ascii="宋体" w:hAnsi="宋体"/>
          <w:color w:val="auto"/>
          <w:szCs w:val="21"/>
          <w:highlight w:val="none"/>
          <w:u w:val="single"/>
        </w:rPr>
        <w:t>3份</w:t>
      </w:r>
      <w:r>
        <w:rPr>
          <w:rFonts w:hint="eastAsia" w:ascii="宋体" w:hAnsi="宋体"/>
          <w:color w:val="auto"/>
          <w:szCs w:val="21"/>
          <w:highlight w:val="none"/>
        </w:rPr>
        <w:t>。</w:t>
      </w:r>
    </w:p>
    <w:p w14:paraId="4E15E0B1">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承包人提交最终结算申请单的期限：</w:t>
      </w:r>
      <w:r>
        <w:rPr>
          <w:rFonts w:hint="eastAsia" w:ascii="宋体" w:hAnsi="宋体"/>
          <w:color w:val="auto"/>
          <w:szCs w:val="21"/>
          <w:highlight w:val="none"/>
          <w:u w:val="single"/>
        </w:rPr>
        <w:t>缺陷责任期终止证书颁发后14天内</w:t>
      </w:r>
      <w:r>
        <w:rPr>
          <w:rFonts w:hint="eastAsia" w:ascii="宋体" w:hAnsi="宋体"/>
          <w:color w:val="auto"/>
          <w:szCs w:val="21"/>
          <w:highlight w:val="none"/>
        </w:rPr>
        <w:t>。</w:t>
      </w:r>
    </w:p>
    <w:p w14:paraId="63EC5B2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14.4.2 最终结清证书和支付</w:t>
      </w:r>
    </w:p>
    <w:p w14:paraId="1289CD4B">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（1）发包人完成最终结清申请单的审批并颁发最终结清证书的期限：</w:t>
      </w:r>
      <w:r>
        <w:rPr>
          <w:rFonts w:hint="eastAsia" w:ascii="宋体" w:hAnsi="宋体"/>
          <w:color w:val="auto"/>
          <w:szCs w:val="21"/>
          <w:highlight w:val="none"/>
          <w:u w:val="single"/>
        </w:rPr>
        <w:t>发包人收到完整资料后14天内完成审批并颁发最终结清证书</w:t>
      </w:r>
      <w:r>
        <w:rPr>
          <w:rFonts w:hint="eastAsia" w:ascii="宋体" w:hAnsi="宋体"/>
          <w:color w:val="auto"/>
          <w:szCs w:val="21"/>
          <w:highlight w:val="none"/>
        </w:rPr>
        <w:t>。</w:t>
      </w:r>
    </w:p>
    <w:p w14:paraId="77DC6BE3">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（2）发包人完成支付的期限：</w:t>
      </w:r>
      <w:r>
        <w:rPr>
          <w:rFonts w:hint="eastAsia" w:ascii="宋体" w:hAnsi="宋体"/>
          <w:color w:val="auto"/>
          <w:szCs w:val="21"/>
          <w:highlight w:val="none"/>
          <w:u w:val="single"/>
        </w:rPr>
        <w:t>颁发最终结清证书的14天内</w:t>
      </w:r>
      <w:r>
        <w:rPr>
          <w:rFonts w:hint="eastAsia" w:ascii="宋体" w:hAnsi="宋体"/>
          <w:color w:val="auto"/>
          <w:szCs w:val="21"/>
          <w:highlight w:val="none"/>
        </w:rPr>
        <w:t>。</w:t>
      </w:r>
    </w:p>
    <w:p w14:paraId="64B539EB">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本条补充14.5款：</w:t>
      </w:r>
    </w:p>
    <w:bookmarkEnd w:id="1904"/>
    <w:bookmarkEnd w:id="1905"/>
    <w:bookmarkEnd w:id="1906"/>
    <w:bookmarkEnd w:id="1907"/>
    <w:bookmarkEnd w:id="1908"/>
    <w:bookmarkEnd w:id="1909"/>
    <w:bookmarkEnd w:id="1910"/>
    <w:bookmarkEnd w:id="1911"/>
    <w:p w14:paraId="1590ACB8">
      <w:pPr>
        <w:pStyle w:val="7"/>
        <w:spacing w:before="0" w:beforeAutospacing="0" w:after="0" w:afterAutospacing="0" w:line="360" w:lineRule="auto"/>
        <w:ind w:firstLine="422" w:firstLineChars="200"/>
        <w:rPr>
          <w:color w:val="auto"/>
          <w:sz w:val="21"/>
          <w:szCs w:val="21"/>
          <w:highlight w:val="none"/>
        </w:rPr>
      </w:pPr>
      <w:bookmarkStart w:id="1945" w:name="_Toc532377397"/>
      <w:bookmarkStart w:id="1946" w:name="_Toc532375660"/>
      <w:r>
        <w:rPr>
          <w:rFonts w:hint="eastAsia"/>
          <w:color w:val="auto"/>
          <w:sz w:val="21"/>
          <w:szCs w:val="21"/>
          <w:highlight w:val="none"/>
        </w:rPr>
        <w:t>14.5 逾期办理或不配合办理竣工结算的处理</w:t>
      </w:r>
      <w:bookmarkEnd w:id="1945"/>
      <w:bookmarkEnd w:id="1946"/>
    </w:p>
    <w:p w14:paraId="160F258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有下列情形之一的，视为承包人放弃与发包人共同办理竣工结算的权利，发包人有权会同跟审单位、监理人根据有效资料共同确定竣工结算金额。</w:t>
      </w:r>
    </w:p>
    <w:p w14:paraId="3B25D9C4">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（1）承包人逾期未报送竣工结算资料，亦未获得发包人批准延期报送，经发包人两</w:t>
      </w:r>
      <w:bookmarkStart w:id="1947" w:name="_Hlk529133622"/>
      <w:r>
        <w:rPr>
          <w:rFonts w:hint="eastAsia" w:ascii="宋体" w:hAnsi="宋体"/>
          <w:color w:val="auto"/>
          <w:szCs w:val="21"/>
          <w:highlight w:val="none"/>
        </w:rPr>
        <w:t>次书面催告仍未在限期内报送的</w:t>
      </w:r>
      <w:bookmarkEnd w:id="1947"/>
      <w:r>
        <w:rPr>
          <w:rFonts w:hint="eastAsia" w:ascii="宋体" w:hAnsi="宋体"/>
          <w:color w:val="auto"/>
          <w:szCs w:val="21"/>
          <w:highlight w:val="none"/>
        </w:rPr>
        <w:t>；</w:t>
      </w:r>
    </w:p>
    <w:p w14:paraId="26CFFEE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承包人在接到监理人或发包人对竣工结算申请单提出的审核意见后，未在限期内按监理人或发包人提出的合理要求补充资料和（或）修改竣工结算资料，亦未获得发包人批准延期报送，经发包人两次书面催告仍未在限期内报送的；</w:t>
      </w:r>
    </w:p>
    <w:p w14:paraId="6AAC2C37">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（3）承包人不配合发包人、跟审单位、监理人、发包人委托的工程造价咨询服务单位办理竣工结算的，经发包人两次书面函告仍未改正的。</w:t>
      </w:r>
    </w:p>
    <w:p w14:paraId="3572A56B">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7055044">
      <w:pPr>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发包人应在竣工结算定案表确定后28天内，以书面函件形式将竣工结算定案表函告承包人，该定案表自送达之日起生效。该书面函件应采用直接送达方式送达，双方应办理书面签收手续，承包人实际签收日期为送达之日；若承包人拒绝签收的，视为已经送达，以该书面函件载明的签发日期为送达之日</w:t>
      </w:r>
      <w:r>
        <w:rPr>
          <w:rFonts w:hint="eastAsia" w:ascii="宋体" w:hAnsi="宋体"/>
          <w:color w:val="auto"/>
          <w:szCs w:val="21"/>
          <w:highlight w:val="none"/>
        </w:rPr>
        <w:t>。</w:t>
      </w:r>
    </w:p>
    <w:bookmarkEnd w:id="1618"/>
    <w:bookmarkEnd w:id="1619"/>
    <w:bookmarkEnd w:id="1620"/>
    <w:bookmarkEnd w:id="1621"/>
    <w:bookmarkEnd w:id="1622"/>
    <w:bookmarkEnd w:id="1623"/>
    <w:bookmarkEnd w:id="1624"/>
    <w:bookmarkEnd w:id="1625"/>
    <w:p w14:paraId="6A544DE0">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948" w:name="_Toc351203647"/>
      <w:bookmarkStart w:id="1949" w:name="_Toc532377398"/>
      <w:bookmarkStart w:id="1950" w:name="_Toc532375661"/>
      <w:bookmarkStart w:id="1951" w:name="_Toc267251483"/>
      <w:bookmarkStart w:id="1952" w:name="_Toc280868717"/>
      <w:bookmarkStart w:id="1953" w:name="_Toc280868718"/>
      <w:r>
        <w:rPr>
          <w:rFonts w:hint="eastAsia"/>
          <w:color w:val="auto"/>
          <w:kern w:val="2"/>
          <w:sz w:val="21"/>
          <w:szCs w:val="21"/>
          <w:highlight w:val="none"/>
        </w:rPr>
        <w:t>15. 缺陷责任期与保修</w:t>
      </w:r>
      <w:bookmarkEnd w:id="1948"/>
      <w:bookmarkEnd w:id="1949"/>
      <w:bookmarkEnd w:id="1950"/>
    </w:p>
    <w:bookmarkEnd w:id="1951"/>
    <w:p w14:paraId="4F2B4003">
      <w:pPr>
        <w:pStyle w:val="7"/>
        <w:spacing w:before="0" w:beforeAutospacing="0" w:after="0" w:afterAutospacing="0" w:line="360" w:lineRule="auto"/>
        <w:ind w:firstLine="422" w:firstLineChars="200"/>
        <w:rPr>
          <w:color w:val="auto"/>
          <w:sz w:val="21"/>
          <w:szCs w:val="21"/>
          <w:highlight w:val="none"/>
        </w:rPr>
      </w:pPr>
      <w:bookmarkStart w:id="1954" w:name="_Toc532375662"/>
      <w:bookmarkStart w:id="1955" w:name="_Toc532377399"/>
      <w:r>
        <w:rPr>
          <w:rFonts w:hint="eastAsia"/>
          <w:color w:val="auto"/>
          <w:sz w:val="21"/>
          <w:szCs w:val="21"/>
          <w:highlight w:val="none"/>
        </w:rPr>
        <w:t>15.3 质量保证金</w:t>
      </w:r>
      <w:bookmarkEnd w:id="1954"/>
      <w:bookmarkEnd w:id="1955"/>
    </w:p>
    <w:p w14:paraId="6199DF28">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15.3.1 承包人提供质量保证金的方式</w:t>
      </w:r>
    </w:p>
    <w:p w14:paraId="2EC9C288">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质量保证金采用以下第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w:t>
      </w:r>
    </w:p>
    <w:p w14:paraId="6F2B6101">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（1）质量保证金保函</w:t>
      </w:r>
    </w:p>
    <w:p w14:paraId="0BEDE844">
      <w:pPr>
        <w:spacing w:line="360" w:lineRule="auto"/>
        <w:ind w:right="105" w:rightChars="50"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u w:val="none"/>
        </w:rPr>
        <w:t>1）</w:t>
      </w:r>
      <w:r>
        <w:rPr>
          <w:rFonts w:hint="eastAsia" w:ascii="宋体" w:hAnsi="宋体"/>
          <w:color w:val="auto"/>
          <w:szCs w:val="21"/>
          <w:highlight w:val="none"/>
          <w:u w:val="none"/>
          <w:lang w:val="en-US" w:eastAsia="zh-CN"/>
        </w:rPr>
        <w:t>缴纳形式：</w:t>
      </w:r>
      <w:r>
        <w:rPr>
          <w:rFonts w:hint="eastAsia" w:ascii="宋体" w:hAnsi="宋体"/>
          <w:color w:val="auto"/>
          <w:kern w:val="0"/>
          <w:szCs w:val="21"/>
          <w:highlight w:val="none"/>
          <w:u w:val="none"/>
          <w:lang w:val="en-US" w:eastAsia="zh-CN"/>
        </w:rPr>
        <w:t>质量保证金</w:t>
      </w:r>
      <w:r>
        <w:rPr>
          <w:rFonts w:hint="eastAsia" w:ascii="宋体" w:hAnsi="宋体"/>
          <w:color w:val="auto"/>
          <w:kern w:val="0"/>
          <w:szCs w:val="21"/>
          <w:highlight w:val="none"/>
          <w:u w:val="none"/>
        </w:rPr>
        <w:t>保函包括银行保函、保证保险和担保保函</w:t>
      </w:r>
      <w:r>
        <w:rPr>
          <w:rFonts w:hint="eastAsia" w:ascii="宋体" w:hAnsi="宋体"/>
          <w:color w:val="auto"/>
          <w:szCs w:val="21"/>
          <w:highlight w:val="none"/>
          <w:u w:val="none"/>
          <w:lang w:eastAsia="zh-CN"/>
        </w:rPr>
        <w:t>，</w:t>
      </w:r>
      <w:r>
        <w:rPr>
          <w:rFonts w:hint="eastAsia" w:ascii="宋体" w:hAnsi="宋体"/>
          <w:color w:val="auto"/>
          <w:szCs w:val="21"/>
          <w:highlight w:val="none"/>
          <w:u w:val="none"/>
          <w:lang w:val="en-US" w:eastAsia="zh-CN"/>
        </w:rPr>
        <w:t>其示范文本详见合同附件</w:t>
      </w:r>
      <w:r>
        <w:rPr>
          <w:rFonts w:hint="eastAsia" w:ascii="宋体" w:hAnsi="宋体"/>
          <w:color w:val="auto"/>
          <w:szCs w:val="21"/>
          <w:highlight w:val="none"/>
          <w:u w:val="none"/>
          <w:lang w:eastAsia="zh-CN"/>
        </w:rPr>
        <w:t>。</w:t>
      </w:r>
      <w:r>
        <w:rPr>
          <w:rFonts w:hint="eastAsia" w:ascii="宋体" w:hAnsi="宋体"/>
          <w:color w:val="auto"/>
          <w:kern w:val="0"/>
          <w:szCs w:val="21"/>
          <w:highlight w:val="none"/>
          <w:u w:val="none"/>
          <w:lang w:val="en-US" w:eastAsia="zh-CN"/>
        </w:rPr>
        <w:t>承包人提交的质量保证金</w:t>
      </w:r>
      <w:r>
        <w:rPr>
          <w:rFonts w:hint="eastAsia" w:ascii="宋体" w:hAnsi="宋体"/>
          <w:color w:val="auto"/>
          <w:kern w:val="0"/>
          <w:szCs w:val="21"/>
          <w:highlight w:val="none"/>
          <w:u w:val="none"/>
        </w:rPr>
        <w:t>保函</w:t>
      </w:r>
      <w:r>
        <w:rPr>
          <w:rFonts w:hint="eastAsia" w:ascii="宋体" w:hAnsi="宋体"/>
          <w:color w:val="auto"/>
          <w:kern w:val="0"/>
          <w:szCs w:val="21"/>
          <w:highlight w:val="none"/>
          <w:u w:val="none"/>
          <w:lang w:val="en-US" w:eastAsia="zh-CN"/>
        </w:rPr>
        <w:t>应</w:t>
      </w:r>
      <w:r>
        <w:rPr>
          <w:rFonts w:hint="eastAsia" w:ascii="宋体" w:hAnsi="宋体"/>
          <w:color w:val="auto"/>
          <w:kern w:val="0"/>
          <w:szCs w:val="21"/>
          <w:highlight w:val="none"/>
          <w:u w:val="none"/>
        </w:rPr>
        <w:t>严格执行</w:t>
      </w:r>
      <w:r>
        <w:rPr>
          <w:rFonts w:hint="eastAsia" w:ascii="宋体" w:hAnsi="宋体"/>
          <w:color w:val="auto"/>
          <w:kern w:val="0"/>
          <w:szCs w:val="21"/>
          <w:highlight w:val="none"/>
          <w:u w:val="none"/>
          <w:lang w:val="en-US" w:eastAsia="zh-CN"/>
        </w:rPr>
        <w:t>其</w:t>
      </w:r>
      <w:r>
        <w:rPr>
          <w:rFonts w:hint="eastAsia" w:ascii="宋体" w:hAnsi="宋体"/>
          <w:color w:val="auto"/>
          <w:kern w:val="0"/>
          <w:szCs w:val="21"/>
          <w:highlight w:val="none"/>
          <w:u w:val="none"/>
        </w:rPr>
        <w:t>示范文本，不得对示范文本中的实质性内容进行修改</w:t>
      </w:r>
      <w:r>
        <w:rPr>
          <w:rFonts w:hint="eastAsia" w:ascii="宋体" w:hAnsi="宋体"/>
          <w:color w:val="auto"/>
          <w:szCs w:val="21"/>
          <w:highlight w:val="none"/>
          <w:u w:val="none"/>
          <w:lang w:eastAsia="zh-CN"/>
        </w:rPr>
        <w:t>。</w:t>
      </w:r>
    </w:p>
    <w:p w14:paraId="795495C0">
      <w:pPr>
        <w:spacing w:line="360" w:lineRule="auto"/>
        <w:ind w:right="105" w:rightChars="50"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2）具体要求：</w:t>
      </w:r>
      <w:r>
        <w:rPr>
          <w:rFonts w:hint="eastAsia" w:ascii="宋体" w:hAnsi="宋体"/>
          <w:color w:val="auto"/>
          <w:kern w:val="0"/>
          <w:szCs w:val="21"/>
          <w:highlight w:val="none"/>
          <w:lang w:val="en-US" w:eastAsia="zh-CN"/>
        </w:rPr>
        <w:t>质量保证金</w:t>
      </w:r>
      <w:r>
        <w:rPr>
          <w:rFonts w:hint="eastAsia" w:ascii="宋体" w:hAnsi="宋体"/>
          <w:color w:val="auto"/>
          <w:kern w:val="0"/>
          <w:szCs w:val="21"/>
          <w:highlight w:val="none"/>
        </w:rPr>
        <w:t>保函的开立人应当是具有相应资格的银行、保险机构、融资担保公司，其信用资质、履约能力、担保能力、赔付流程、安全保密等应符合工程保函业务条件</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质量保证金</w:t>
      </w:r>
      <w:r>
        <w:rPr>
          <w:rFonts w:hint="eastAsia" w:ascii="宋体" w:hAnsi="宋体"/>
          <w:color w:val="auto"/>
          <w:kern w:val="0"/>
          <w:szCs w:val="21"/>
          <w:highlight w:val="none"/>
        </w:rPr>
        <w:t>保函</w:t>
      </w:r>
      <w:r>
        <w:rPr>
          <w:rFonts w:hint="eastAsia" w:ascii="宋体" w:hAnsi="宋体"/>
          <w:color w:val="auto"/>
          <w:kern w:val="0"/>
          <w:szCs w:val="21"/>
          <w:highlight w:val="none"/>
          <w:lang w:eastAsia="zh-CN"/>
        </w:rPr>
        <w:t>应合法合规，符合招投标行政监督部门、行业主管部门和金融监管部门的相关规定，满足竞争性比选文件约定要求。</w:t>
      </w:r>
      <w:r>
        <w:rPr>
          <w:rFonts w:hint="eastAsia" w:ascii="宋体" w:hAnsi="宋体"/>
          <w:color w:val="auto"/>
          <w:kern w:val="0"/>
          <w:szCs w:val="21"/>
          <w:highlight w:val="none"/>
          <w:lang w:val="en-US" w:eastAsia="zh-CN"/>
        </w:rPr>
        <w:t>承包人</w:t>
      </w:r>
      <w:r>
        <w:rPr>
          <w:rFonts w:hint="eastAsia" w:ascii="宋体" w:hAnsi="宋体"/>
          <w:color w:val="auto"/>
          <w:kern w:val="0"/>
          <w:szCs w:val="21"/>
          <w:highlight w:val="none"/>
        </w:rPr>
        <w:t>应选择在渝依法设立总部或者设有分支机构的金融机构开具</w:t>
      </w:r>
      <w:r>
        <w:rPr>
          <w:rFonts w:hint="eastAsia" w:ascii="宋体" w:hAnsi="宋体"/>
          <w:color w:val="auto"/>
          <w:kern w:val="0"/>
          <w:szCs w:val="21"/>
          <w:highlight w:val="none"/>
          <w:lang w:val="en-US" w:eastAsia="zh-CN"/>
        </w:rPr>
        <w:t>质量保证金</w:t>
      </w:r>
      <w:r>
        <w:rPr>
          <w:rFonts w:hint="eastAsia" w:ascii="宋体" w:hAnsi="宋体"/>
          <w:color w:val="auto"/>
          <w:kern w:val="0"/>
          <w:szCs w:val="21"/>
          <w:highlight w:val="none"/>
        </w:rPr>
        <w:t>保函</w:t>
      </w:r>
      <w:r>
        <w:rPr>
          <w:rFonts w:hint="eastAsia" w:ascii="宋体" w:hAnsi="宋体"/>
          <w:color w:val="auto"/>
          <w:kern w:val="0"/>
          <w:szCs w:val="21"/>
          <w:highlight w:val="none"/>
          <w:lang w:val="en-US" w:eastAsia="zh-CN"/>
        </w:rPr>
        <w:t>（包括纸质保函或电子保函）</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质量保证金</w:t>
      </w:r>
      <w:r>
        <w:rPr>
          <w:rFonts w:hint="eastAsia" w:ascii="宋体" w:hAnsi="宋体"/>
          <w:color w:val="auto"/>
          <w:kern w:val="0"/>
          <w:szCs w:val="21"/>
          <w:highlight w:val="none"/>
        </w:rPr>
        <w:t>保函</w:t>
      </w:r>
      <w:r>
        <w:rPr>
          <w:rFonts w:hint="eastAsia" w:ascii="宋体" w:hAnsi="宋体"/>
          <w:color w:val="auto"/>
          <w:kern w:val="0"/>
          <w:szCs w:val="21"/>
          <w:highlight w:val="none"/>
          <w:lang w:val="en-US" w:eastAsia="zh-CN"/>
        </w:rPr>
        <w:t>为纸质保函的，纸质保函应注明在</w:t>
      </w:r>
      <w:r>
        <w:rPr>
          <w:rFonts w:hint="eastAsia" w:ascii="宋体" w:hAnsi="宋体"/>
          <w:color w:val="auto"/>
          <w:kern w:val="0"/>
          <w:szCs w:val="21"/>
          <w:highlight w:val="none"/>
        </w:rPr>
        <w:t>重庆市辖区范围内的核验地址和核验方式</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并确保该纸质保函能在开立人在渝的总部或者分支机构进行核验</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承包人对所提交的质量保证金</w:t>
      </w:r>
      <w:r>
        <w:rPr>
          <w:rFonts w:hint="eastAsia" w:ascii="宋体" w:hAnsi="宋体"/>
          <w:color w:val="auto"/>
          <w:kern w:val="0"/>
          <w:szCs w:val="21"/>
          <w:highlight w:val="none"/>
        </w:rPr>
        <w:t>保函</w:t>
      </w:r>
      <w:r>
        <w:rPr>
          <w:rFonts w:hint="eastAsia" w:ascii="宋体" w:hAnsi="宋体"/>
          <w:color w:val="auto"/>
          <w:kern w:val="0"/>
          <w:szCs w:val="21"/>
          <w:highlight w:val="none"/>
          <w:lang w:val="en-US" w:eastAsia="zh-CN"/>
        </w:rPr>
        <w:t>的真实性、合法性、有效性负责。</w:t>
      </w:r>
    </w:p>
    <w:p w14:paraId="2CCCADC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3）保函金额为：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33D7AA5">
      <w:pPr>
        <w:spacing w:line="360" w:lineRule="auto"/>
        <w:ind w:right="105" w:rightChars="50" w:firstLine="420" w:firstLineChars="200"/>
        <w:jc w:val="left"/>
        <w:rPr>
          <w:rFonts w:ascii="宋体" w:hAnsi="宋体"/>
          <w:color w:val="auto"/>
          <w:szCs w:val="21"/>
          <w:highlight w:val="none"/>
        </w:rPr>
      </w:pPr>
      <w:r>
        <w:rPr>
          <w:rFonts w:hint="default" w:ascii="宋体" w:hAnsi="宋体"/>
          <w:color w:val="auto"/>
          <w:szCs w:val="21"/>
          <w:highlight w:val="none"/>
          <w:lang w:val="en-US"/>
        </w:rPr>
        <w:t>4</w:t>
      </w:r>
      <w:r>
        <w:rPr>
          <w:rFonts w:hint="eastAsia" w:ascii="宋体" w:hAnsi="宋体"/>
          <w:color w:val="auto"/>
          <w:szCs w:val="21"/>
          <w:highlight w:val="none"/>
        </w:rPr>
        <w:t>）提交时间：</w:t>
      </w:r>
      <w:r>
        <w:rPr>
          <w:rFonts w:hint="eastAsia" w:ascii="宋体" w:hAnsi="宋体"/>
          <w:color w:val="auto"/>
          <w:szCs w:val="21"/>
          <w:highlight w:val="none"/>
          <w:u w:val="single"/>
        </w:rPr>
        <w:t>工程竣工验收合格后14天内</w:t>
      </w:r>
      <w:r>
        <w:rPr>
          <w:rFonts w:hint="eastAsia" w:ascii="宋体" w:hAnsi="宋体"/>
          <w:color w:val="auto"/>
          <w:szCs w:val="21"/>
          <w:highlight w:val="none"/>
        </w:rPr>
        <w:t>。</w:t>
      </w:r>
    </w:p>
    <w:p w14:paraId="7AE8F298">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u w:val="single"/>
        </w:rPr>
        <w:t>承包人提交质量保证金保函的，发包人应同时退还（若有）扣留的作为质量保证金的工程价款、履约担保、低价风险担保；保函金额不得超过工程价款结算总额的3%</w:t>
      </w:r>
      <w:r>
        <w:rPr>
          <w:rFonts w:hint="eastAsia" w:ascii="宋体" w:hAnsi="宋体"/>
          <w:color w:val="auto"/>
          <w:szCs w:val="21"/>
          <w:highlight w:val="none"/>
        </w:rPr>
        <w:t>。</w:t>
      </w:r>
    </w:p>
    <w:p w14:paraId="415828BA">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（2）竣工结算价的</w:t>
      </w:r>
      <w:r>
        <w:rPr>
          <w:rFonts w:hint="eastAsia" w:ascii="宋体" w:hAnsi="宋体"/>
          <w:color w:val="auto"/>
          <w:szCs w:val="21"/>
          <w:highlight w:val="none"/>
          <w:u w:val="single"/>
        </w:rPr>
        <w:t xml:space="preserve"> 3% </w:t>
      </w:r>
      <w:r>
        <w:rPr>
          <w:rFonts w:hint="eastAsia" w:ascii="宋体" w:hAnsi="宋体"/>
          <w:color w:val="auto"/>
          <w:szCs w:val="21"/>
          <w:highlight w:val="none"/>
        </w:rPr>
        <w:t>；</w:t>
      </w:r>
    </w:p>
    <w:p w14:paraId="45EC5898">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（3）其他方式：</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7BACD191">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15.3.2 质量保证金的扣留</w:t>
      </w:r>
    </w:p>
    <w:p w14:paraId="3745681E">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质量保证金的扣留采取以下第</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rPr>
        <w:t xml:space="preserve">  </w:t>
      </w:r>
      <w:r>
        <w:rPr>
          <w:rFonts w:hint="eastAsia" w:ascii="宋体" w:hAnsi="宋体"/>
          <w:color w:val="auto"/>
          <w:szCs w:val="21"/>
          <w:highlight w:val="none"/>
        </w:rPr>
        <w:t>种方式：</w:t>
      </w:r>
    </w:p>
    <w:p w14:paraId="3EFAE790">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（1）在支付工程进度款时逐次扣留，在此情形下，质量保证金的计算基数不包括预付款的支付、扣回以及价格调整的金额；</w:t>
      </w:r>
    </w:p>
    <w:p w14:paraId="22E7B24F">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（2）工程竣工结算时一次性扣留质量保证金；</w:t>
      </w:r>
    </w:p>
    <w:p w14:paraId="7E21C19B">
      <w:pPr>
        <w:autoSpaceDE w:val="0"/>
        <w:autoSpaceDN w:val="0"/>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rPr>
        <w:t>（3）</w:t>
      </w:r>
      <w:r>
        <w:rPr>
          <w:rFonts w:hint="eastAsia" w:ascii="宋体" w:hAnsi="宋体"/>
          <w:color w:val="auto"/>
          <w:szCs w:val="21"/>
          <w:highlight w:val="none"/>
          <w:u w:val="single"/>
        </w:rPr>
        <w:t xml:space="preserve">其他扣留方式：        </w:t>
      </w:r>
      <w:r>
        <w:rPr>
          <w:rFonts w:hint="eastAsia" w:ascii="宋体" w:hAnsi="宋体"/>
          <w:color w:val="auto"/>
          <w:szCs w:val="21"/>
          <w:highlight w:val="none"/>
        </w:rPr>
        <w:t>。</w:t>
      </w:r>
    </w:p>
    <w:p w14:paraId="1F11BAD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15.3.3质量保证金的退还</w:t>
      </w:r>
    </w:p>
    <w:p w14:paraId="3D748524">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（1）在发包人颁发缺陷责任期终止证书之日起14天内退还。</w:t>
      </w:r>
    </w:p>
    <w:p w14:paraId="51ADB64F">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（2）缺陷责任期内，承包人认真履行合同约定的责任，到期后，承包人可向发包人申请返还质量保证金。</w:t>
      </w:r>
    </w:p>
    <w:p w14:paraId="2DC263D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（3）质量保证金是否支付利息采取以下</w:t>
      </w:r>
      <w:r>
        <w:rPr>
          <w:rFonts w:hint="eastAsia" w:ascii="宋体" w:hAnsi="宋体"/>
          <w:color w:val="auto"/>
          <w:szCs w:val="21"/>
          <w:highlight w:val="none"/>
          <w:u w:val="single"/>
        </w:rPr>
        <w:t>第②种</w:t>
      </w:r>
      <w:r>
        <w:rPr>
          <w:rFonts w:hint="eastAsia" w:ascii="宋体" w:hAnsi="宋体"/>
          <w:color w:val="auto"/>
          <w:szCs w:val="21"/>
          <w:highlight w:val="none"/>
        </w:rPr>
        <w:t>方式：</w:t>
      </w:r>
    </w:p>
    <w:p w14:paraId="27A5969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u w:val="single"/>
        </w:rPr>
        <w:t>①按照中国人民银行  年  月公布的5年期贷款市场报价利率支付利息</w:t>
      </w:r>
      <w:r>
        <w:rPr>
          <w:rFonts w:hint="eastAsia" w:ascii="宋体" w:hAnsi="宋体"/>
          <w:color w:val="auto"/>
          <w:szCs w:val="21"/>
          <w:highlight w:val="none"/>
        </w:rPr>
        <w:t>。</w:t>
      </w:r>
    </w:p>
    <w:p w14:paraId="2D6C7453">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u w:val="single"/>
        </w:rPr>
        <w:t>②不采用</w:t>
      </w:r>
      <w:r>
        <w:rPr>
          <w:rFonts w:hint="eastAsia" w:ascii="宋体" w:hAnsi="宋体"/>
          <w:color w:val="auto"/>
          <w:szCs w:val="21"/>
          <w:highlight w:val="none"/>
        </w:rPr>
        <w:t>。</w:t>
      </w:r>
    </w:p>
    <w:p w14:paraId="2A177BB9">
      <w:pPr>
        <w:pStyle w:val="7"/>
        <w:spacing w:before="0" w:beforeAutospacing="0" w:after="0" w:afterAutospacing="0" w:line="360" w:lineRule="auto"/>
        <w:ind w:firstLine="422" w:firstLineChars="200"/>
        <w:rPr>
          <w:color w:val="auto"/>
          <w:sz w:val="21"/>
          <w:szCs w:val="21"/>
          <w:highlight w:val="none"/>
        </w:rPr>
      </w:pPr>
      <w:bookmarkStart w:id="1956" w:name="_Toc532375663"/>
      <w:bookmarkStart w:id="1957" w:name="_Toc532377400"/>
      <w:r>
        <w:rPr>
          <w:rFonts w:hint="eastAsia"/>
          <w:color w:val="auto"/>
          <w:sz w:val="21"/>
          <w:szCs w:val="21"/>
          <w:highlight w:val="none"/>
        </w:rPr>
        <w:t>15.4 保修</w:t>
      </w:r>
      <w:bookmarkEnd w:id="1956"/>
      <w:bookmarkEnd w:id="1957"/>
    </w:p>
    <w:p w14:paraId="0D7FA1E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15.4.1 保修责任</w:t>
      </w:r>
    </w:p>
    <w:p w14:paraId="1036A628">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工程保修期为：</w:t>
      </w:r>
      <w:bookmarkStart w:id="1958" w:name="_Hlk524381274"/>
      <w:r>
        <w:rPr>
          <w:rFonts w:hint="eastAsia" w:ascii="宋体" w:hAnsi="宋体"/>
          <w:color w:val="auto"/>
          <w:szCs w:val="21"/>
          <w:highlight w:val="none"/>
        </w:rPr>
        <w:t>按照附件1《工程质量保修书》的规定执行。</w:t>
      </w:r>
      <w:bookmarkEnd w:id="1958"/>
    </w:p>
    <w:p w14:paraId="6AA07443">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15.4.3 修复通知</w:t>
      </w:r>
    </w:p>
    <w:p w14:paraId="19AFF6E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承包人收到保修通知并到达工程现场的合理时间：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24</w:t>
      </w:r>
      <w:r>
        <w:rPr>
          <w:rFonts w:hint="eastAsia" w:ascii="宋体" w:hAnsi="宋体"/>
          <w:color w:val="auto"/>
          <w:szCs w:val="21"/>
          <w:highlight w:val="none"/>
          <w:u w:val="single"/>
        </w:rPr>
        <w:t>小时内，最长不能超过</w:t>
      </w:r>
      <w:r>
        <w:rPr>
          <w:rFonts w:hint="eastAsia" w:ascii="宋体" w:hAnsi="宋体"/>
          <w:color w:val="auto"/>
          <w:szCs w:val="21"/>
          <w:highlight w:val="none"/>
          <w:u w:val="single"/>
          <w:lang w:val="en-US" w:eastAsia="zh-CN"/>
        </w:rPr>
        <w:t>48</w:t>
      </w:r>
      <w:r>
        <w:rPr>
          <w:rFonts w:hint="eastAsia" w:ascii="宋体" w:hAnsi="宋体"/>
          <w:color w:val="auto"/>
          <w:szCs w:val="21"/>
          <w:highlight w:val="none"/>
          <w:u w:val="single"/>
        </w:rPr>
        <w:t>小时</w:t>
      </w:r>
      <w:r>
        <w:rPr>
          <w:rFonts w:hint="eastAsia" w:ascii="宋体" w:hAnsi="宋体"/>
          <w:color w:val="auto"/>
          <w:szCs w:val="21"/>
          <w:highlight w:val="none"/>
        </w:rPr>
        <w:t>。</w:t>
      </w:r>
    </w:p>
    <w:p w14:paraId="208B839A">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959" w:name="_Toc351203648"/>
      <w:bookmarkStart w:id="1960" w:name="_Toc532375664"/>
      <w:bookmarkStart w:id="1961" w:name="_Toc532377401"/>
      <w:r>
        <w:rPr>
          <w:rFonts w:hint="eastAsia"/>
          <w:color w:val="auto"/>
          <w:kern w:val="2"/>
          <w:sz w:val="21"/>
          <w:szCs w:val="21"/>
          <w:highlight w:val="none"/>
        </w:rPr>
        <w:t>16. 违约</w:t>
      </w:r>
      <w:bookmarkEnd w:id="1959"/>
      <w:bookmarkEnd w:id="1960"/>
      <w:bookmarkEnd w:id="1961"/>
    </w:p>
    <w:p w14:paraId="61169D56">
      <w:pPr>
        <w:pStyle w:val="7"/>
        <w:spacing w:before="0" w:beforeAutospacing="0" w:after="0" w:afterAutospacing="0" w:line="360" w:lineRule="auto"/>
        <w:ind w:firstLine="422" w:firstLineChars="200"/>
        <w:rPr>
          <w:color w:val="auto"/>
          <w:sz w:val="21"/>
          <w:szCs w:val="21"/>
          <w:highlight w:val="none"/>
        </w:rPr>
      </w:pPr>
      <w:bookmarkStart w:id="1962" w:name="_Toc532377402"/>
      <w:r>
        <w:rPr>
          <w:rFonts w:hint="eastAsia"/>
          <w:color w:val="auto"/>
          <w:sz w:val="21"/>
          <w:szCs w:val="21"/>
          <w:highlight w:val="none"/>
        </w:rPr>
        <w:t>16.1 发包人违约</w:t>
      </w:r>
      <w:bookmarkEnd w:id="1962"/>
    </w:p>
    <w:p w14:paraId="738E619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16.1.1 发包人违约的情形</w:t>
      </w:r>
    </w:p>
    <w:p w14:paraId="5A5D1D95">
      <w:pPr>
        <w:spacing w:line="360" w:lineRule="auto"/>
        <w:ind w:firstLine="420" w:firstLineChars="200"/>
        <w:rPr>
          <w:rFonts w:ascii="宋体" w:hAnsi="宋体"/>
          <w:color w:val="auto"/>
          <w:szCs w:val="21"/>
          <w:highlight w:val="none"/>
        </w:rPr>
      </w:pPr>
      <w:r>
        <w:rPr>
          <w:rFonts w:hint="eastAsia" w:ascii="宋体" w:hAnsi="宋体" w:cs="Microsoft Sans Serif"/>
          <w:color w:val="auto"/>
          <w:kern w:val="0"/>
          <w:szCs w:val="21"/>
          <w:highlight w:val="none"/>
        </w:rPr>
        <w:t>除通用合同条款约定外，发包人违约的其他情形：</w:t>
      </w:r>
    </w:p>
    <w:p w14:paraId="28AB3AA5">
      <w:pPr>
        <w:spacing w:line="360" w:lineRule="auto"/>
        <w:ind w:firstLine="420" w:firstLineChars="200"/>
        <w:rPr>
          <w:rFonts w:ascii="宋体" w:hAnsi="宋体"/>
          <w:color w:val="auto"/>
          <w:szCs w:val="21"/>
          <w:highlight w:val="none"/>
        </w:rPr>
      </w:pPr>
      <w:r>
        <w:rPr>
          <w:rFonts w:hint="eastAsia" w:ascii="宋体" w:hAnsi="宋体" w:cs="Microsoft Sans Serif"/>
          <w:color w:val="auto"/>
          <w:kern w:val="0"/>
          <w:szCs w:val="21"/>
          <w:highlight w:val="none"/>
        </w:rPr>
        <w:t>（1）根据专用合同条款7.5.1项因发包人原因导致工期延误的；</w:t>
      </w:r>
    </w:p>
    <w:p w14:paraId="19A23DE5">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（2）因发包人原因未能及时办理完毕合同约定的许可、批准或备案的；</w:t>
      </w:r>
    </w:p>
    <w:p w14:paraId="2EA5F9A4">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（3）因监理人未能按合同约定发出指示、指示延误或发出了错误指示而导致承包人费用增加和（或）工期延误的；</w:t>
      </w:r>
    </w:p>
    <w:p w14:paraId="6DD2B3BD">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（4）根据5.3.3发包人或监理人要求重新检查的，经检查证明工程质量符合合同要求的，并由此产生增加的费用和（或）延误的工期的；</w:t>
      </w:r>
    </w:p>
    <w:p w14:paraId="33B27DA6">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（5）因发包人原因造成工程质量未达到合同约定标准的；</w:t>
      </w:r>
    </w:p>
    <w:p w14:paraId="09B9A915">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（6）由于发包人原因对承包人造成的人员人身伤亡和财产损失的；</w:t>
      </w:r>
    </w:p>
    <w:p w14:paraId="44D35F0E">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（7）因发包人原因导致工程无法按期办理竣工验收或竣工结算的；</w:t>
      </w:r>
    </w:p>
    <w:p w14:paraId="59142220">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（8）发包人无正当理由未按约定退还履约担保、低价风险担保、预付款担保或质量保证金的；</w:t>
      </w:r>
    </w:p>
    <w:p w14:paraId="571C9FC8">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（9）发包人不当提取履约担保、低价风险担保或质量保证金的；</w:t>
      </w:r>
    </w:p>
    <w:p w14:paraId="053AD265">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（10）发包人未按合同约定接收全部或部分工作的；</w:t>
      </w:r>
    </w:p>
    <w:p w14:paraId="5A92AFA1">
      <w:pPr>
        <w:pStyle w:val="26"/>
        <w:spacing w:line="360" w:lineRule="auto"/>
        <w:jc w:val="left"/>
        <w:rPr>
          <w:rFonts w:ascii="宋体" w:hAnsi="宋体" w:cs="Microsoft Sans Serif"/>
          <w:color w:val="auto"/>
          <w:kern w:val="0"/>
          <w:sz w:val="21"/>
          <w:szCs w:val="21"/>
          <w:highlight w:val="none"/>
          <w:u w:val="single"/>
        </w:rPr>
      </w:pPr>
      <w:r>
        <w:rPr>
          <w:rFonts w:hint="eastAsia" w:ascii="宋体" w:hAnsi="宋体" w:cs="Microsoft Sans Serif"/>
          <w:color w:val="auto"/>
          <w:kern w:val="0"/>
          <w:sz w:val="21"/>
          <w:szCs w:val="21"/>
          <w:highlight w:val="none"/>
        </w:rPr>
        <w:t>（11）发包人未按合同约定办理保险的；</w:t>
      </w:r>
    </w:p>
    <w:p w14:paraId="32130880">
      <w:pPr>
        <w:snapToGrid w:val="0"/>
        <w:spacing w:line="360" w:lineRule="auto"/>
        <w:ind w:firstLine="420" w:firstLineChars="200"/>
        <w:jc w:val="left"/>
        <w:rPr>
          <w:rFonts w:ascii="宋体" w:hAnsi="宋体" w:cs="Microsoft Sans Serif"/>
          <w:color w:val="auto"/>
          <w:kern w:val="0"/>
          <w:szCs w:val="21"/>
          <w:highlight w:val="none"/>
          <w:u w:val="single"/>
        </w:rPr>
      </w:pPr>
      <w:r>
        <w:rPr>
          <w:rFonts w:hint="eastAsia" w:ascii="宋体" w:hAnsi="宋体" w:cs="Microsoft Sans Serif"/>
          <w:color w:val="auto"/>
          <w:kern w:val="0"/>
          <w:szCs w:val="21"/>
          <w:highlight w:val="none"/>
          <w:u w:val="single"/>
        </w:rPr>
        <w:t xml:space="preserve">（12）其他：        </w:t>
      </w:r>
      <w:r>
        <w:rPr>
          <w:rFonts w:hint="eastAsia" w:ascii="宋体" w:hAnsi="宋体" w:cs="Microsoft Sans Serif"/>
          <w:color w:val="auto"/>
          <w:kern w:val="0"/>
          <w:szCs w:val="21"/>
          <w:highlight w:val="none"/>
        </w:rPr>
        <w:t>。</w:t>
      </w:r>
    </w:p>
    <w:p w14:paraId="0AFC2E80">
      <w:pPr>
        <w:pStyle w:val="26"/>
        <w:spacing w:line="360" w:lineRule="auto"/>
        <w:rPr>
          <w:rFonts w:ascii="宋体" w:hAnsi="宋体"/>
          <w:color w:val="auto"/>
          <w:sz w:val="21"/>
          <w:szCs w:val="21"/>
          <w:highlight w:val="none"/>
        </w:rPr>
      </w:pPr>
      <w:r>
        <w:rPr>
          <w:rFonts w:hint="eastAsia" w:ascii="宋体" w:hAnsi="宋体"/>
          <w:color w:val="auto"/>
          <w:sz w:val="21"/>
          <w:szCs w:val="21"/>
          <w:highlight w:val="none"/>
        </w:rPr>
        <w:t>16.1.2发包人违约的责任</w:t>
      </w:r>
    </w:p>
    <w:p w14:paraId="0823701B">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（1）因发包人原因未能及时办理完毕前述许可、批准或备案的违约责任：由发包人承担由此增加的费用和（或）顺延工期，并支付合理利润，具体索赔程序按照第19条〔索赔〕约定执行。</w:t>
      </w:r>
    </w:p>
    <w:p w14:paraId="366A70C6">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2）因监理人未能按合同约定发出指示、指示延误或发出了错误指示而导致承包人费用增加和（或）工期延误的，由发包人承担由此增加的费用和（或）顺延工期，并支付合理利润，具体索赔程序按照第19条〔索赔〕约定执行。</w:t>
      </w:r>
    </w:p>
    <w:p w14:paraId="0F3E0708">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（3）因发包人原因导致工期延误的违约责任：由发包人承担由此增加的费用和（或）顺延工期，并支付合理利润，具体索赔程序按照第19条〔索赔〕约定执行。</w:t>
      </w:r>
    </w:p>
    <w:p w14:paraId="1DF9BCE3">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（4）因发包人原因未能在计划开工日期前7天内下达开工通知的违约责任：由发包人承担由此增加的费用和（或）顺延工期，并支付合理利润，具体索赔程序按照第19条〔索赔〕约定执行。</w:t>
      </w:r>
    </w:p>
    <w:p w14:paraId="0B46448F">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（5）根据5.3.3项发包人或监理人要求重新检查的，经检查证明工程质量符合合同要求的，由发包人承担由此增加的费用和（或）顺延工期，并支付合理利润，具体索赔程序按照第19条〔索赔〕约定执行。</w:t>
      </w:r>
    </w:p>
    <w:p w14:paraId="30306A8A">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（6）因发包人原因未按合同约定支付合同价款的违约责任：发包人应向承包人支付违约金，自应当支付之日起28天后开始计算违约金，计算公式：</w:t>
      </w:r>
      <w:r>
        <w:rPr>
          <w:rFonts w:hint="eastAsia" w:ascii="宋体" w:hAnsi="宋体" w:cs="Microsoft Sans Serif"/>
          <w:color w:val="auto"/>
          <w:kern w:val="0"/>
          <w:szCs w:val="21"/>
          <w:highlight w:val="none"/>
          <w:u w:val="single"/>
        </w:rPr>
        <w:t>违约金=应付未付金额×中国人民银行  年  月公布的5年期贷款市场报价利率/360天×逾期天数</w:t>
      </w:r>
      <w:r>
        <w:rPr>
          <w:rFonts w:hint="eastAsia" w:ascii="宋体" w:hAnsi="宋体"/>
          <w:color w:val="auto"/>
          <w:szCs w:val="21"/>
          <w:highlight w:val="none"/>
          <w:u w:val="single"/>
        </w:rPr>
        <w:t>（自第29天起计算）</w:t>
      </w:r>
      <w:r>
        <w:rPr>
          <w:rFonts w:hint="eastAsia" w:ascii="宋体" w:hAnsi="宋体" w:cs="Microsoft Sans Serif"/>
          <w:color w:val="auto"/>
          <w:kern w:val="0"/>
          <w:szCs w:val="21"/>
          <w:highlight w:val="none"/>
          <w:u w:val="single"/>
        </w:rPr>
        <w:t>；逾期天数超过56天的，超过部分天数按上述利率的两倍计算并支付违约金</w:t>
      </w:r>
      <w:r>
        <w:rPr>
          <w:rFonts w:hint="eastAsia" w:ascii="宋体" w:hAnsi="宋体" w:cs="Microsoft Sans Serif"/>
          <w:color w:val="auto"/>
          <w:kern w:val="0"/>
          <w:szCs w:val="21"/>
          <w:highlight w:val="none"/>
        </w:rPr>
        <w:t>。</w:t>
      </w:r>
    </w:p>
    <w:p w14:paraId="6920788F">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（7）发包人违反合同约定，自行实施或转由他人实施被取消的合同工作内容的违约责任：由发包人承担由此给承包人造成的实际损失并支付合理利润。</w:t>
      </w:r>
    </w:p>
    <w:p w14:paraId="1E4C4BA2">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8）发包人提供的基准资料错误并导致承包人测量放线工作返工或造成工程损失的，以及发包人提供的材料、工程设备的规格、数量或质量不符合合同约定，或因发包人原因导致交货日期延误或交货地点变更等情况的违约责任：由发包人承担由此增加的费用和（或）顺延工期，并支付合理利润，具体索赔程序按照第19条〔索赔〕约定执行。</w:t>
      </w:r>
    </w:p>
    <w:p w14:paraId="56DB35ED">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（9）因发包人原因造成工程质量未达到合同约定标准的，由发包人承担由此增加的费用和（或）延误的工期，并支付合理利润。</w:t>
      </w:r>
    </w:p>
    <w:p w14:paraId="14B0F698">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（10）因发包人违反合同约定造成暂停施工的违约责任：由发包人承担由此增加的费用和（或）顺延工期，并支付合理利润，具体索赔程序按照第19条〔索赔〕约定执行。</w:t>
      </w:r>
    </w:p>
    <w:p w14:paraId="6DE15542">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（11）发包人无正当理由没有在约定期限内发出复工指示，导致承包人无法复工的违约责任：由发包人承担由此增加的费用和（或）顺延工期，并支付合理利润，具体索赔程序按照第19条〔索赔〕约定执行。</w:t>
      </w:r>
    </w:p>
    <w:p w14:paraId="39B75150">
      <w:pPr>
        <w:spacing w:line="360" w:lineRule="auto"/>
        <w:ind w:firstLine="420" w:firstLineChars="200"/>
        <w:jc w:val="left"/>
        <w:rPr>
          <w:rFonts w:ascii="宋体" w:hAnsi="宋体" w:cs="Microsoft Sans Serif"/>
          <w:color w:val="auto"/>
          <w:kern w:val="0"/>
          <w:szCs w:val="21"/>
          <w:highlight w:val="none"/>
          <w:u w:val="single"/>
        </w:rPr>
      </w:pPr>
      <w:r>
        <w:rPr>
          <w:rFonts w:hint="eastAsia" w:ascii="宋体" w:hAnsi="宋体" w:cs="Microsoft Sans Serif"/>
          <w:color w:val="auto"/>
          <w:kern w:val="0"/>
          <w:szCs w:val="21"/>
          <w:highlight w:val="none"/>
        </w:rPr>
        <w:t>（12）因发包人原因导致工程无法按期办理竣工验收或竣工结算的违约责任：由发包人承担由此增加的费用和（或）顺延工期，并支付合理利润，具体索赔程序按照第19条〔索赔〕约定执行。</w:t>
      </w:r>
    </w:p>
    <w:p w14:paraId="583866D2">
      <w:pPr>
        <w:spacing w:line="360" w:lineRule="auto"/>
        <w:ind w:firstLine="420" w:firstLineChars="200"/>
        <w:jc w:val="left"/>
        <w:rPr>
          <w:rFonts w:ascii="宋体" w:hAnsi="宋体" w:cs="Microsoft Sans Serif"/>
          <w:color w:val="auto"/>
          <w:kern w:val="0"/>
          <w:szCs w:val="21"/>
          <w:highlight w:val="none"/>
          <w:u w:val="single"/>
        </w:rPr>
      </w:pPr>
      <w:r>
        <w:rPr>
          <w:rFonts w:hint="eastAsia" w:ascii="宋体" w:hAnsi="宋体"/>
          <w:color w:val="auto"/>
          <w:szCs w:val="21"/>
          <w:highlight w:val="none"/>
        </w:rPr>
        <w:t>（13）</w:t>
      </w:r>
      <w:r>
        <w:rPr>
          <w:rFonts w:hint="eastAsia" w:ascii="宋体" w:hAnsi="宋体" w:cs="Microsoft Sans Serif"/>
          <w:color w:val="auto"/>
          <w:kern w:val="0"/>
          <w:szCs w:val="21"/>
          <w:highlight w:val="none"/>
        </w:rPr>
        <w:t>发包人无正当理由未按约定退还履约担保、低价风险担保、预付款担保或质量保证金的违约责任：发包人应向承包人支付违约金，自应当退还之日起28天后开始计算违约金，</w:t>
      </w:r>
      <w:r>
        <w:rPr>
          <w:rFonts w:hint="eastAsia" w:ascii="宋体" w:hAnsi="宋体" w:cs="Microsoft Sans Serif"/>
          <w:color w:val="auto"/>
          <w:kern w:val="0"/>
          <w:szCs w:val="21"/>
          <w:highlight w:val="none"/>
          <w:u w:val="single"/>
        </w:rPr>
        <w:t>计算公式：违约金=应退未退担保金额×中国人民银行  年  月公布的5年期贷款市场报价利率/360天×逾期天数</w:t>
      </w:r>
      <w:r>
        <w:rPr>
          <w:rFonts w:hint="eastAsia" w:ascii="宋体" w:hAnsi="宋体"/>
          <w:color w:val="auto"/>
          <w:szCs w:val="21"/>
          <w:highlight w:val="none"/>
          <w:u w:val="single"/>
        </w:rPr>
        <w:t>（自第29天起计算）</w:t>
      </w:r>
      <w:r>
        <w:rPr>
          <w:rFonts w:hint="eastAsia" w:ascii="宋体" w:hAnsi="宋体" w:cs="Microsoft Sans Serif"/>
          <w:color w:val="auto"/>
          <w:kern w:val="0"/>
          <w:szCs w:val="21"/>
          <w:highlight w:val="none"/>
        </w:rPr>
        <w:t>。</w:t>
      </w:r>
    </w:p>
    <w:p w14:paraId="7307D8E6">
      <w:pPr>
        <w:pStyle w:val="2"/>
        <w:spacing w:after="0" w:line="360" w:lineRule="auto"/>
        <w:ind w:firstLine="420" w:firstLineChars="200"/>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（14）</w:t>
      </w:r>
      <w:r>
        <w:rPr>
          <w:rFonts w:hint="eastAsia" w:ascii="宋体" w:hAnsi="宋体"/>
          <w:color w:val="auto"/>
          <w:szCs w:val="21"/>
          <w:highlight w:val="none"/>
        </w:rPr>
        <w:t>发包人不当提取履约担保、低价风险担保、预付款担保或质量保证金的，应及时予以退还，若不当提取超过28天的，应承担违约责任：发包人应向承包人支付违约金，</w:t>
      </w:r>
      <w:r>
        <w:rPr>
          <w:rFonts w:hint="eastAsia" w:ascii="宋体" w:hAnsi="宋体"/>
          <w:color w:val="auto"/>
          <w:szCs w:val="21"/>
          <w:highlight w:val="none"/>
          <w:u w:val="single"/>
        </w:rPr>
        <w:t>计算公式：违约金=不当提取的担保金额×中国人民银行  年  月公布的5年期贷款市场报价利率/360天×逾期天数（自第29天起计算）</w:t>
      </w:r>
      <w:r>
        <w:rPr>
          <w:rFonts w:hint="eastAsia" w:ascii="宋体" w:hAnsi="宋体"/>
          <w:color w:val="auto"/>
          <w:szCs w:val="21"/>
          <w:highlight w:val="none"/>
        </w:rPr>
        <w:t>。</w:t>
      </w:r>
    </w:p>
    <w:p w14:paraId="56F59CF0">
      <w:pPr>
        <w:pStyle w:val="2"/>
        <w:spacing w:after="0" w:line="360" w:lineRule="auto"/>
        <w:ind w:firstLine="420" w:firstLineChars="200"/>
        <w:rPr>
          <w:rFonts w:ascii="宋体" w:hAnsi="宋体"/>
          <w:color w:val="auto"/>
          <w:szCs w:val="21"/>
          <w:highlight w:val="none"/>
        </w:rPr>
      </w:pPr>
      <w:r>
        <w:rPr>
          <w:rFonts w:hint="eastAsia" w:ascii="宋体" w:hAnsi="宋体" w:cs="Microsoft Sans Serif"/>
          <w:color w:val="auto"/>
          <w:kern w:val="0"/>
          <w:szCs w:val="21"/>
          <w:highlight w:val="none"/>
        </w:rPr>
        <w:t>（15）发包人未按合同约定接收全部或部分工作的违约责任：由发包人承担自应当接收工程之日起的工程照管、成品保护、保管等与工程有关的各项费用。</w:t>
      </w:r>
    </w:p>
    <w:p w14:paraId="0CEDCB7E">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（16）由于发包人原因对承包人造成的人员人身伤亡和财产损失的，由发包人负责赔偿，并承担由此增加的费用和（或）延误的工期，并支付合理利润。</w:t>
      </w:r>
    </w:p>
    <w:p w14:paraId="2100AB6D">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（17）发包人未按合同约定办理保险的违约责任：除按18.6.1项约定执行外，每延迟1天，按</w:t>
      </w:r>
      <w:r>
        <w:rPr>
          <w:rFonts w:hint="eastAsia" w:ascii="宋体" w:hAnsi="宋体" w:cs="Microsoft Sans Serif"/>
          <w:color w:val="auto"/>
          <w:kern w:val="0"/>
          <w:szCs w:val="21"/>
          <w:highlight w:val="none"/>
          <w:u w:val="single"/>
        </w:rPr>
        <w:t>500元/天</w:t>
      </w:r>
      <w:r>
        <w:rPr>
          <w:rFonts w:hint="eastAsia" w:ascii="宋体" w:hAnsi="宋体" w:cs="Microsoft Sans Serif"/>
          <w:color w:val="auto"/>
          <w:kern w:val="0"/>
          <w:szCs w:val="21"/>
          <w:highlight w:val="none"/>
        </w:rPr>
        <w:t>支付违约金。</w:t>
      </w:r>
    </w:p>
    <w:p w14:paraId="5FBF7CBE">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（18）其他：</w:t>
      </w:r>
      <w:r>
        <w:rPr>
          <w:rFonts w:hint="eastAsia" w:ascii="宋体" w:hAnsi="宋体" w:cs="Microsoft Sans Serif"/>
          <w:color w:val="auto"/>
          <w:kern w:val="0"/>
          <w:szCs w:val="21"/>
          <w:highlight w:val="none"/>
          <w:u w:val="single"/>
        </w:rPr>
        <w:t xml:space="preserve">        </w:t>
      </w:r>
      <w:r>
        <w:rPr>
          <w:rFonts w:hint="eastAsia" w:ascii="宋体" w:hAnsi="宋体" w:cs="Microsoft Sans Serif"/>
          <w:color w:val="auto"/>
          <w:kern w:val="0"/>
          <w:szCs w:val="21"/>
          <w:highlight w:val="none"/>
        </w:rPr>
        <w:t>。</w:t>
      </w:r>
    </w:p>
    <w:p w14:paraId="37FF0716">
      <w:pPr>
        <w:autoSpaceDE w:val="0"/>
        <w:autoSpaceDN w:val="0"/>
        <w:adjustRightIn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发包人发生除通用条款第16.1.1项第（7）目以外的违约情况时，承包人可向发包人发出通知，要求发包人采取有效措施纠正违约行为。发包人收到承包人通知后的28天内仍不履行合同义务，承包人有权暂停施工，并通知监理人。</w:t>
      </w:r>
    </w:p>
    <w:p w14:paraId="059C7AF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16.1.3 因发包人违约解除合同</w:t>
      </w:r>
    </w:p>
    <w:p w14:paraId="2D86AEF1">
      <w:pPr>
        <w:autoSpaceDE w:val="0"/>
        <w:autoSpaceDN w:val="0"/>
        <w:adjustRightIn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因发包人违约并致使合同目的不能实现的，承包人有权解除合同：</w:t>
      </w:r>
    </w:p>
    <w:p w14:paraId="27B8D75F">
      <w:pPr>
        <w:autoSpaceDE w:val="0"/>
        <w:autoSpaceDN w:val="0"/>
        <w:adjustRightIn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（1）因发包人原因延迟支付合同价款超过180天的；</w:t>
      </w:r>
    </w:p>
    <w:p w14:paraId="145EB014">
      <w:pPr>
        <w:autoSpaceDE w:val="0"/>
        <w:autoSpaceDN w:val="0"/>
        <w:adjustRightIn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（2）因发包人原因导致工期延误超过90天的；</w:t>
      </w:r>
    </w:p>
    <w:p w14:paraId="13E6DB6C">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（3）因发包人第16.1.2（5）违约情形导致暂停施工满56天，且发包人仍未纠正其违约行为的；</w:t>
      </w:r>
    </w:p>
    <w:p w14:paraId="2A6F1BDA">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（4）其他未履行合同项下的义务构成对合同的实质性违约，并且在收到承包人要求说明其违约并予以补救的通知后56天内仍未补救该实质性违约的；</w:t>
      </w:r>
    </w:p>
    <w:p w14:paraId="7D2C252C">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（5）</w:t>
      </w:r>
      <w:r>
        <w:rPr>
          <w:rFonts w:hint="eastAsia" w:ascii="宋体" w:hAnsi="宋体" w:cs="Microsoft Sans Serif"/>
          <w:color w:val="auto"/>
          <w:kern w:val="0"/>
          <w:szCs w:val="21"/>
          <w:highlight w:val="none"/>
          <w:u w:val="single"/>
        </w:rPr>
        <w:t>合同约定的承包人有权解除合同的其他情形</w:t>
      </w:r>
      <w:r>
        <w:rPr>
          <w:rFonts w:hint="eastAsia" w:ascii="宋体" w:hAnsi="宋体" w:cs="Microsoft Sans Serif"/>
          <w:color w:val="auto"/>
          <w:kern w:val="0"/>
          <w:szCs w:val="21"/>
          <w:highlight w:val="none"/>
        </w:rPr>
        <w:t>。</w:t>
      </w:r>
    </w:p>
    <w:p w14:paraId="73B2538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16.1.4 因发包人违约解除合同后的付款</w:t>
      </w:r>
    </w:p>
    <w:p w14:paraId="6ECCC8A8">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承包人按照本款约定解除合同的，发包人应在解除合同后28天内支付下列款项，并解除履约担保、低价风险担保、预付款担保：</w:t>
      </w:r>
    </w:p>
    <w:p w14:paraId="343555BB">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（1）合同解除前所完成工作的价款；</w:t>
      </w:r>
    </w:p>
    <w:p w14:paraId="71B0F800">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（2）承包人为工程施工订购并已付款的材料、工程设备和其他物品的价款；</w:t>
      </w:r>
    </w:p>
    <w:p w14:paraId="56C575CB">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（3）承包人撤离施工现场以及遣散承包人人员的款项；</w:t>
      </w:r>
    </w:p>
    <w:p w14:paraId="3BBC3BE9">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（4）按照合同约定在合同解除前应支付的违约金；</w:t>
      </w:r>
    </w:p>
    <w:p w14:paraId="09C8C3A2">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（5）按照合同约定应当支付给承包人的其他款项；</w:t>
      </w:r>
    </w:p>
    <w:p w14:paraId="54980E44">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（6）按照合同约定应退还的质量保证金；</w:t>
      </w:r>
    </w:p>
    <w:p w14:paraId="73BA6BD1">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（7）因解除合同给承包人造成的损失；</w:t>
      </w:r>
    </w:p>
    <w:p w14:paraId="4A2C9A91">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（8）</w:t>
      </w:r>
      <w:r>
        <w:rPr>
          <w:rFonts w:hint="eastAsia" w:ascii="宋体" w:hAnsi="宋体" w:cs="Microsoft Sans Serif"/>
          <w:color w:val="auto"/>
          <w:kern w:val="0"/>
          <w:szCs w:val="21"/>
          <w:highlight w:val="none"/>
          <w:u w:val="single"/>
        </w:rPr>
        <w:t xml:space="preserve">        。</w:t>
      </w:r>
    </w:p>
    <w:p w14:paraId="7DDFAE38">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合同当事人未能就解除合同后的结清达成一致的，按照第20条〔争议解决〕的约定处理。</w:t>
      </w:r>
    </w:p>
    <w:p w14:paraId="2F67DD2B">
      <w:pPr>
        <w:snapToGrid w:val="0"/>
        <w:spacing w:line="360" w:lineRule="auto"/>
        <w:ind w:firstLine="420" w:firstLineChars="200"/>
        <w:jc w:val="left"/>
        <w:rPr>
          <w:rFonts w:ascii="宋体" w:hAnsi="宋体" w:cs="Microsoft Sans Serif"/>
          <w:color w:val="auto"/>
          <w:kern w:val="0"/>
          <w:szCs w:val="21"/>
          <w:highlight w:val="none"/>
          <w:u w:val="single"/>
        </w:rPr>
      </w:pPr>
      <w:r>
        <w:rPr>
          <w:rFonts w:hint="eastAsia" w:ascii="宋体" w:hAnsi="宋体" w:cs="Microsoft Sans Serif"/>
          <w:color w:val="auto"/>
          <w:kern w:val="0"/>
          <w:szCs w:val="21"/>
          <w:highlight w:val="none"/>
        </w:rPr>
        <w:t>承包人应妥善做好已完工程和与工程有关的已购材料、工程设备的保护和移交工作，并将施工设备和人员撤出施工现场，发包人应为承包人撤出提供必要条件。</w:t>
      </w:r>
    </w:p>
    <w:p w14:paraId="2345E5CC">
      <w:pPr>
        <w:pStyle w:val="7"/>
        <w:spacing w:before="0" w:beforeAutospacing="0" w:after="0" w:afterAutospacing="0" w:line="360" w:lineRule="auto"/>
        <w:ind w:firstLine="422" w:firstLineChars="200"/>
        <w:rPr>
          <w:color w:val="auto"/>
          <w:sz w:val="21"/>
          <w:szCs w:val="21"/>
          <w:highlight w:val="none"/>
        </w:rPr>
      </w:pPr>
      <w:bookmarkStart w:id="1963" w:name="_Toc532377403"/>
      <w:r>
        <w:rPr>
          <w:rFonts w:hint="eastAsia"/>
          <w:color w:val="auto"/>
          <w:sz w:val="21"/>
          <w:szCs w:val="21"/>
          <w:highlight w:val="none"/>
        </w:rPr>
        <w:t>16.2 承包人违约</w:t>
      </w:r>
      <w:bookmarkEnd w:id="1963"/>
    </w:p>
    <w:p w14:paraId="610B7F86">
      <w:pPr>
        <w:snapToGrid w:val="0"/>
        <w:spacing w:line="360" w:lineRule="auto"/>
        <w:ind w:firstLine="420" w:firstLineChars="200"/>
        <w:jc w:val="left"/>
        <w:rPr>
          <w:rFonts w:ascii="宋体" w:hAnsi="宋体" w:cs="Microsoft Sans Serif"/>
          <w:color w:val="auto"/>
          <w:kern w:val="0"/>
          <w:szCs w:val="21"/>
          <w:highlight w:val="none"/>
        </w:rPr>
      </w:pPr>
      <w:bookmarkStart w:id="1964" w:name="_Hlk524380579"/>
      <w:r>
        <w:rPr>
          <w:rFonts w:hint="eastAsia" w:ascii="宋体" w:hAnsi="宋体" w:cs="Microsoft Sans Serif"/>
          <w:color w:val="auto"/>
          <w:kern w:val="0"/>
          <w:szCs w:val="21"/>
          <w:highlight w:val="none"/>
        </w:rPr>
        <w:t>16.2.1 承包人违约的情形</w:t>
      </w:r>
    </w:p>
    <w:p w14:paraId="34E06AF5">
      <w:pPr>
        <w:snapToGrid w:val="0"/>
        <w:spacing w:line="360" w:lineRule="auto"/>
        <w:ind w:firstLine="420" w:firstLineChars="200"/>
        <w:jc w:val="left"/>
        <w:rPr>
          <w:rFonts w:ascii="宋体" w:hAnsi="宋体" w:cs="Microsoft Sans Serif"/>
          <w:color w:val="auto"/>
          <w:kern w:val="0"/>
          <w:szCs w:val="21"/>
          <w:highlight w:val="none"/>
          <w:u w:val="single"/>
        </w:rPr>
      </w:pPr>
      <w:r>
        <w:rPr>
          <w:rFonts w:hint="eastAsia" w:ascii="宋体" w:hAnsi="宋体" w:cs="Microsoft Sans Serif"/>
          <w:color w:val="auto"/>
          <w:kern w:val="0"/>
          <w:szCs w:val="21"/>
          <w:highlight w:val="none"/>
        </w:rPr>
        <w:t>除通用合同条款约定外，承包人违约的其他情形：</w:t>
      </w:r>
    </w:p>
    <w:p w14:paraId="71160050">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（1）承包人未按合同约定提交履约担保或质量保证金的；</w:t>
      </w:r>
    </w:p>
    <w:p w14:paraId="3A0FA382">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（2）承包人未能按期开工的；</w:t>
      </w:r>
    </w:p>
    <w:p w14:paraId="67773E68">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（3）承包人未按</w:t>
      </w:r>
      <w:r>
        <w:rPr>
          <w:rFonts w:hint="eastAsia" w:ascii="宋体" w:hAnsi="宋体" w:cs="Microsoft Sans Serif"/>
          <w:color w:val="auto"/>
          <w:kern w:val="0"/>
          <w:szCs w:val="21"/>
          <w:highlight w:val="none"/>
          <w:lang w:eastAsia="zh-CN"/>
        </w:rPr>
        <w:t>比选申请文件</w:t>
      </w:r>
      <w:r>
        <w:rPr>
          <w:rFonts w:hint="eastAsia" w:ascii="宋体" w:hAnsi="宋体" w:cs="Microsoft Sans Serif"/>
          <w:color w:val="auto"/>
          <w:kern w:val="0"/>
          <w:szCs w:val="21"/>
          <w:highlight w:val="none"/>
        </w:rPr>
        <w:t>或监理人的要求及时配备称职的主要管理人员，或承包人未按经审定的施工组织设计配备或更换关键施工设备的；</w:t>
      </w:r>
    </w:p>
    <w:p w14:paraId="27753C0A">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（4）承包人有安全问题或有违反安全管理规章制度情况的；</w:t>
      </w:r>
    </w:p>
    <w:p w14:paraId="428B894B">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（5）承包人在缺陷责任期及保修期内，未能在合理期限对工程缺陷进行修复，或拒绝按发包人要求进行修复的；</w:t>
      </w:r>
    </w:p>
    <w:p w14:paraId="5702D71E">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（6）承包人拖欠其工人或所雇人员工资或报酬，导致其工人或所雇人员向有关部门投诉、控告、检举或以聚集等方式讨要工资或报酬的；</w:t>
      </w:r>
    </w:p>
    <w:p w14:paraId="4D75A325">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（7）承包人不配合发包人、监理人及发包人委托的工程造价咨询服务单位结算审核或承包人其他原因导致未按期完成工程竣工结算的；</w:t>
      </w:r>
    </w:p>
    <w:p w14:paraId="2FF6B6A8">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（8）承包人违反合同约定进行转包或违法分包的；</w:t>
      </w:r>
    </w:p>
    <w:p w14:paraId="640918C1">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（9）承包人未按合同约定移交全部或部分工作的；</w:t>
      </w:r>
    </w:p>
    <w:p w14:paraId="07552FF6">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（10）承包人未按合同约定购买保险的；</w:t>
      </w:r>
    </w:p>
    <w:p w14:paraId="51E98665">
      <w:pPr>
        <w:snapToGrid w:val="0"/>
        <w:spacing w:line="360" w:lineRule="auto"/>
        <w:ind w:firstLine="420" w:firstLineChars="200"/>
        <w:jc w:val="left"/>
        <w:rPr>
          <w:rFonts w:ascii="宋体" w:hAnsi="宋体"/>
          <w:color w:val="auto"/>
          <w:szCs w:val="21"/>
          <w:highlight w:val="none"/>
        </w:rPr>
      </w:pPr>
      <w:r>
        <w:rPr>
          <w:rFonts w:hint="eastAsia" w:ascii="宋体" w:hAnsi="宋体" w:cs="Microsoft Sans Serif"/>
          <w:color w:val="auto"/>
          <w:kern w:val="0"/>
          <w:szCs w:val="21"/>
          <w:highlight w:val="none"/>
        </w:rPr>
        <w:t>（11）项目经理若有以下情形，属于承包人违约：</w:t>
      </w:r>
    </w:p>
    <w:p w14:paraId="070B30D3">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1）项目经理不按承诺到岗的；</w:t>
      </w:r>
    </w:p>
    <w:p w14:paraId="117FCE54">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2）每月在施工现场的天数少于约定天数的；</w:t>
      </w:r>
    </w:p>
    <w:p w14:paraId="0DD1A196">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3）承包人未提交项目经理劳动合同和社会保险证明的；</w:t>
      </w:r>
    </w:p>
    <w:p w14:paraId="796C79CC">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4）未经批准，擅自离开施工现场（超过约定时间）的；</w:t>
      </w:r>
    </w:p>
    <w:p w14:paraId="613420C3">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5）未经批准，擅自变更项目经理的；</w:t>
      </w:r>
    </w:p>
    <w:p w14:paraId="04DDF231">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6）按照渝建发〔2015〕35号文的要求，施工期间，项目经理因在一个记分周期内累计记分达到12分，被建设行政主管部门依法责令停止执业的；</w:t>
      </w:r>
    </w:p>
    <w:p w14:paraId="76997473">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7）发包人有正当理由认为项目经理不称职/不履职，且承包人在约定时间内不予更换的；</w:t>
      </w:r>
    </w:p>
    <w:p w14:paraId="6BD4B3FD">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8）其他双方约定的情形：</w:t>
      </w:r>
      <w:r>
        <w:rPr>
          <w:rFonts w:hint="eastAsia" w:ascii="宋体" w:hAnsi="宋体" w:cs="Microsoft Sans Serif"/>
          <w:color w:val="auto"/>
          <w:kern w:val="0"/>
          <w:szCs w:val="21"/>
          <w:highlight w:val="none"/>
          <w:u w:val="single"/>
        </w:rPr>
        <w:t xml:space="preserve">        </w:t>
      </w:r>
      <w:r>
        <w:rPr>
          <w:rFonts w:hint="eastAsia" w:ascii="宋体" w:hAnsi="宋体" w:cs="Microsoft Sans Serif"/>
          <w:color w:val="auto"/>
          <w:kern w:val="0"/>
          <w:szCs w:val="21"/>
          <w:highlight w:val="none"/>
        </w:rPr>
        <w:t>。</w:t>
      </w:r>
    </w:p>
    <w:p w14:paraId="0C58ADEC">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（12）技术负责人若有以下情形，属于承包人违约：</w:t>
      </w:r>
    </w:p>
    <w:p w14:paraId="5021C806">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1）每月在施工现场的天数少于约定天数的；</w:t>
      </w:r>
    </w:p>
    <w:p w14:paraId="5463E9C5">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2）承包人未提交技术负责人劳动合同和社会保险证明的；</w:t>
      </w:r>
    </w:p>
    <w:p w14:paraId="4B713244">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3）未经批准，擅自离开施工现场（超过约定时间）的；</w:t>
      </w:r>
    </w:p>
    <w:p w14:paraId="0FC07210">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4）未经批准，擅自变更技术负责人的；</w:t>
      </w:r>
    </w:p>
    <w:p w14:paraId="4A3A1B9A">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5）发包人有正当理由认为技术负责人不称职/不履职，且承包人在约定时间内不予更换的；</w:t>
      </w:r>
    </w:p>
    <w:p w14:paraId="75D2E760">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6）其他双方约定的情形：</w:t>
      </w:r>
      <w:r>
        <w:rPr>
          <w:rFonts w:hint="eastAsia" w:ascii="宋体" w:hAnsi="宋体" w:cs="Microsoft Sans Serif"/>
          <w:color w:val="auto"/>
          <w:kern w:val="0"/>
          <w:szCs w:val="21"/>
          <w:highlight w:val="none"/>
          <w:u w:val="single"/>
        </w:rPr>
        <w:t xml:space="preserve">        </w:t>
      </w:r>
      <w:r>
        <w:rPr>
          <w:rFonts w:hint="eastAsia" w:ascii="宋体" w:hAnsi="宋体" w:cs="Microsoft Sans Serif"/>
          <w:color w:val="auto"/>
          <w:kern w:val="0"/>
          <w:szCs w:val="21"/>
          <w:highlight w:val="none"/>
        </w:rPr>
        <w:t>。</w:t>
      </w:r>
    </w:p>
    <w:p w14:paraId="56088EEA">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（13）主要施工管理人员若有以下情形，属于承包人违约：</w:t>
      </w:r>
    </w:p>
    <w:p w14:paraId="1C4B01B6">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1）承包人未提交主要管理人员劳动合同和社会保险证明的；</w:t>
      </w:r>
    </w:p>
    <w:p w14:paraId="215B0ECC">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2）未经批准，擅自离开施工现场（超过约定时间）的；</w:t>
      </w:r>
    </w:p>
    <w:p w14:paraId="495DB488">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3）未经批准，擅自变更主要施工管理人员的；</w:t>
      </w:r>
    </w:p>
    <w:p w14:paraId="46FB39EE">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4）发包人有正当理由认为主要施工管理人员不称职/不履职，且承包人在约定时间内不予更换的；</w:t>
      </w:r>
    </w:p>
    <w:p w14:paraId="22B8A128">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5）其他双方约定的情形：</w:t>
      </w:r>
      <w:r>
        <w:rPr>
          <w:rFonts w:hint="eastAsia" w:ascii="宋体" w:hAnsi="宋体" w:cs="Microsoft Sans Serif"/>
          <w:color w:val="auto"/>
          <w:kern w:val="0"/>
          <w:szCs w:val="21"/>
          <w:highlight w:val="none"/>
          <w:u w:val="single"/>
        </w:rPr>
        <w:t xml:space="preserve">        </w:t>
      </w:r>
      <w:r>
        <w:rPr>
          <w:rFonts w:hint="eastAsia" w:ascii="宋体" w:hAnsi="宋体" w:cs="Microsoft Sans Serif"/>
          <w:color w:val="auto"/>
          <w:kern w:val="0"/>
          <w:szCs w:val="21"/>
          <w:highlight w:val="none"/>
        </w:rPr>
        <w:t>。</w:t>
      </w:r>
    </w:p>
    <w:p w14:paraId="69F37B90">
      <w:pPr>
        <w:snapToGrid w:val="0"/>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（14）</w:t>
      </w:r>
      <w:r>
        <w:rPr>
          <w:rFonts w:hint="eastAsia" w:ascii="宋体" w:hAnsi="宋体" w:cs="Microsoft Sans Serif"/>
          <w:color w:val="auto"/>
          <w:kern w:val="0"/>
          <w:szCs w:val="21"/>
          <w:highlight w:val="none"/>
          <w:u w:val="single"/>
        </w:rPr>
        <w:t xml:space="preserve">        。</w:t>
      </w:r>
    </w:p>
    <w:bookmarkEnd w:id="1964"/>
    <w:p w14:paraId="0320912D">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16.2.2 承包人违约的责任</w:t>
      </w:r>
    </w:p>
    <w:p w14:paraId="551F99EA">
      <w:pPr>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承包人违约责任的承担方式和计算方法：</w:t>
      </w:r>
    </w:p>
    <w:p w14:paraId="07ADC566">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（1）承包人未按合同约定提交履约担保、质量保证金的违约责任：承包人应支付违约金，违约金的计算方法：每延误1天，承包人按</w:t>
      </w:r>
      <w:r>
        <w:rPr>
          <w:rFonts w:hint="eastAsia" w:ascii="宋体" w:hAnsi="宋体" w:eastAsia="宋体" w:cs="宋体"/>
          <w:color w:val="auto"/>
          <w:kern w:val="0"/>
          <w:sz w:val="21"/>
          <w:szCs w:val="21"/>
          <w:highlight w:val="none"/>
          <w:u w:val="single"/>
          <w:lang w:val="en-US" w:eastAsia="zh-CN"/>
        </w:rPr>
        <w:t xml:space="preserve"> 5000 </w:t>
      </w:r>
      <w:r>
        <w:rPr>
          <w:rFonts w:hint="eastAsia" w:ascii="宋体" w:hAnsi="宋体" w:eastAsia="宋体" w:cs="宋体"/>
          <w:color w:val="auto"/>
          <w:kern w:val="0"/>
          <w:sz w:val="21"/>
          <w:szCs w:val="21"/>
          <w:highlight w:val="none"/>
          <w:u w:val="none"/>
          <w:lang w:val="en-US" w:eastAsia="zh-CN"/>
        </w:rPr>
        <w:t>元/天计算违约金，累计违约金上限：</w:t>
      </w:r>
      <w:r>
        <w:rPr>
          <w:rFonts w:hint="eastAsia" w:ascii="宋体" w:hAnsi="宋体" w:eastAsia="宋体" w:cs="宋体"/>
          <w:color w:val="auto"/>
          <w:kern w:val="0"/>
          <w:sz w:val="21"/>
          <w:szCs w:val="21"/>
          <w:highlight w:val="none"/>
          <w:u w:val="single"/>
          <w:lang w:val="en-US" w:eastAsia="zh-CN"/>
        </w:rPr>
        <w:t>不超过签约合同价的3%</w:t>
      </w:r>
      <w:r>
        <w:rPr>
          <w:rFonts w:hint="eastAsia" w:ascii="宋体" w:hAnsi="宋体" w:eastAsia="宋体" w:cs="宋体"/>
          <w:color w:val="auto"/>
          <w:kern w:val="0"/>
          <w:sz w:val="21"/>
          <w:szCs w:val="21"/>
          <w:highlight w:val="none"/>
          <w:u w:val="none"/>
          <w:lang w:val="zh-CN" w:eastAsia="zh-CN"/>
        </w:rPr>
        <w:t>。</w:t>
      </w:r>
    </w:p>
    <w:p w14:paraId="70D5B2BB">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（2）承包人违反合同约定进行转包或违法分包的违约责任：按照违反合同约定进行转包和（或）违法分包相应转包和（或）分包合同的合同金额的</w:t>
      </w:r>
      <w:r>
        <w:rPr>
          <w:rFonts w:hint="eastAsia" w:ascii="宋体" w:hAnsi="宋体" w:eastAsia="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none"/>
          <w:lang w:val="en-US" w:eastAsia="zh-CN"/>
        </w:rPr>
        <w:t>支付违约金，违法转/分包商应在7天内撤离出场。</w:t>
      </w:r>
    </w:p>
    <w:p w14:paraId="2A8D7DAE">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（3）承包人违反合同约定采购和使用不合格的材料和工程设备的违约责任：按照违反合同约定采购和使用不合格的材料和（或）工程设备相应合同金额的</w:t>
      </w:r>
      <w:r>
        <w:rPr>
          <w:rFonts w:hint="eastAsia" w:ascii="宋体" w:hAnsi="宋体" w:eastAsia="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none"/>
          <w:lang w:val="en-US" w:eastAsia="zh-CN"/>
        </w:rPr>
        <w:t>支付违约金。</w:t>
      </w:r>
    </w:p>
    <w:p w14:paraId="0018D789">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（4）因承包人原因导致工程质量不符合规定或合同要求的违约责任：承包人退还已支付工程质量不符合合同要求工程的工程款，并按照工程质量不符合合同要求工程相应合同金额的</w:t>
      </w:r>
      <w:r>
        <w:rPr>
          <w:rFonts w:hint="eastAsia" w:ascii="宋体" w:hAnsi="宋体" w:eastAsia="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none"/>
          <w:lang w:val="en-US" w:eastAsia="zh-CN"/>
        </w:rPr>
        <w:t>支付违约金。</w:t>
      </w:r>
    </w:p>
    <w:p w14:paraId="46A9EBC5">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（5）承包人违反材料与设备的约定，未经批准，擅自将已按照合同约定进入施工现场的材料或设备撤离施工现场的违约责任：按照承包人擅自撤离施工现场材料和（或）设备相应合同金额的</w:t>
      </w:r>
      <w:r>
        <w:rPr>
          <w:rFonts w:hint="eastAsia" w:ascii="宋体" w:hAnsi="宋体" w:eastAsia="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none"/>
          <w:lang w:val="en-US" w:eastAsia="zh-CN"/>
        </w:rPr>
        <w:t>支付违约金。</w:t>
      </w:r>
    </w:p>
    <w:p w14:paraId="1B913D65">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（6）因承包人原因造成工期延误的违约承担方式和计算方法：由承包人承担由此增加的费用，由此导致工期延误的，工期不予顺延；逾期竣工违约金的计算方法：每延误1天，承包人按</w:t>
      </w:r>
      <w:r>
        <w:rPr>
          <w:rFonts w:hint="eastAsia" w:ascii="宋体" w:hAnsi="宋体" w:eastAsia="宋体" w:cs="宋体"/>
          <w:color w:val="auto"/>
          <w:kern w:val="0"/>
          <w:sz w:val="21"/>
          <w:szCs w:val="21"/>
          <w:highlight w:val="none"/>
          <w:u w:val="single"/>
          <w:lang w:val="en-US" w:eastAsia="zh-CN"/>
        </w:rPr>
        <w:t xml:space="preserve"> 5000 </w:t>
      </w:r>
      <w:r>
        <w:rPr>
          <w:rFonts w:hint="eastAsia" w:ascii="宋体" w:hAnsi="宋体" w:eastAsia="宋体" w:cs="宋体"/>
          <w:color w:val="auto"/>
          <w:kern w:val="0"/>
          <w:sz w:val="21"/>
          <w:szCs w:val="21"/>
          <w:highlight w:val="none"/>
          <w:u w:val="none"/>
          <w:lang w:val="en-US" w:eastAsia="zh-CN"/>
        </w:rPr>
        <w:t>元/天计算逾期竣工违约金，累计违约金上限：</w:t>
      </w:r>
      <w:r>
        <w:rPr>
          <w:rFonts w:hint="eastAsia" w:ascii="宋体" w:hAnsi="宋体" w:eastAsia="宋体" w:cs="宋体"/>
          <w:color w:val="auto"/>
          <w:kern w:val="0"/>
          <w:sz w:val="21"/>
          <w:szCs w:val="21"/>
          <w:highlight w:val="none"/>
          <w:u w:val="single"/>
          <w:lang w:val="en-US" w:eastAsia="zh-CN"/>
        </w:rPr>
        <w:t>不超过签约合同价的3%</w:t>
      </w:r>
      <w:r>
        <w:rPr>
          <w:rFonts w:hint="eastAsia" w:ascii="宋体" w:hAnsi="宋体" w:eastAsia="宋体" w:cs="宋体"/>
          <w:color w:val="auto"/>
          <w:kern w:val="0"/>
          <w:sz w:val="21"/>
          <w:szCs w:val="21"/>
          <w:highlight w:val="none"/>
          <w:u w:val="none"/>
          <w:lang w:val="zh-CN" w:eastAsia="zh-CN"/>
        </w:rPr>
        <w:t>；</w:t>
      </w:r>
      <w:r>
        <w:rPr>
          <w:rFonts w:hint="eastAsia" w:ascii="宋体" w:hAnsi="宋体" w:eastAsia="宋体" w:cs="宋体"/>
          <w:color w:val="auto"/>
          <w:kern w:val="0"/>
          <w:sz w:val="21"/>
          <w:szCs w:val="21"/>
          <w:highlight w:val="none"/>
          <w:u w:val="none"/>
          <w:lang w:val="en-US" w:eastAsia="zh-CN"/>
        </w:rPr>
        <w:t>承包人支付逾期竣工违约金后，不免除承包人继续完成工程及修补缺陷的义务。</w:t>
      </w:r>
    </w:p>
    <w:p w14:paraId="11141DC7">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（7）承包人在缺陷责任期及保修期内，未能在合理期限对工程缺陷进行修复，或拒绝按发包人要求进行修复的违约责任：按照发包人修复缺陷费用的</w:t>
      </w:r>
      <w:r>
        <w:rPr>
          <w:rFonts w:hint="eastAsia" w:ascii="宋体" w:hAnsi="宋体" w:eastAsia="宋体" w:cs="宋体"/>
          <w:color w:val="auto"/>
          <w:kern w:val="0"/>
          <w:sz w:val="21"/>
          <w:szCs w:val="21"/>
          <w:highlight w:val="none"/>
          <w:u w:val="single"/>
          <w:lang w:val="en-US" w:eastAsia="zh-CN"/>
        </w:rPr>
        <w:t>2%</w:t>
      </w:r>
      <w:r>
        <w:rPr>
          <w:rFonts w:hint="eastAsia" w:ascii="宋体" w:hAnsi="宋体" w:eastAsia="宋体" w:cs="宋体"/>
          <w:color w:val="auto"/>
          <w:kern w:val="0"/>
          <w:sz w:val="21"/>
          <w:szCs w:val="21"/>
          <w:highlight w:val="none"/>
          <w:u w:val="none"/>
          <w:lang w:val="en-US" w:eastAsia="zh-CN"/>
        </w:rPr>
        <w:t>支付违约金。</w:t>
      </w:r>
    </w:p>
    <w:p w14:paraId="77D67B67">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（8）承包人明确表示或者以其行为表明不履行合同主要义务的违约责任：按签约合同价的</w:t>
      </w:r>
      <w:r>
        <w:rPr>
          <w:rFonts w:hint="eastAsia" w:ascii="宋体" w:hAnsi="宋体" w:eastAsia="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u w:val="none"/>
          <w:lang w:val="en-US" w:eastAsia="zh-CN"/>
        </w:rPr>
        <w:t>支付违约金。</w:t>
      </w:r>
    </w:p>
    <w:p w14:paraId="506D31A2">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（9）承包人未能按照合同约定履行其他义务的违约责任：按</w:t>
      </w:r>
      <w:r>
        <w:rPr>
          <w:rFonts w:hint="eastAsia" w:ascii="宋体" w:hAnsi="宋体" w:eastAsia="宋体" w:cs="宋体"/>
          <w:color w:val="auto"/>
          <w:kern w:val="0"/>
          <w:sz w:val="21"/>
          <w:szCs w:val="21"/>
          <w:highlight w:val="none"/>
          <w:u w:val="single"/>
          <w:lang w:val="en-US" w:eastAsia="zh-CN"/>
        </w:rPr>
        <w:t>500</w:t>
      </w:r>
      <w:r>
        <w:rPr>
          <w:rFonts w:hint="eastAsia" w:ascii="宋体" w:hAnsi="宋体" w:eastAsia="宋体" w:cs="宋体"/>
          <w:color w:val="auto"/>
          <w:kern w:val="0"/>
          <w:sz w:val="21"/>
          <w:szCs w:val="21"/>
          <w:highlight w:val="none"/>
          <w:u w:val="none"/>
          <w:lang w:val="en-US" w:eastAsia="zh-CN"/>
        </w:rPr>
        <w:t>元/次支付违约金。</w:t>
      </w:r>
    </w:p>
    <w:p w14:paraId="1125FAFF">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（10）承包人未能按期开工的违约责任：按合同价</w:t>
      </w:r>
      <w:r>
        <w:rPr>
          <w:rFonts w:hint="eastAsia" w:ascii="宋体" w:hAnsi="宋体" w:eastAsia="宋体" w:cs="宋体"/>
          <w:color w:val="auto"/>
          <w:kern w:val="0"/>
          <w:sz w:val="21"/>
          <w:szCs w:val="21"/>
          <w:highlight w:val="none"/>
          <w:u w:val="single"/>
          <w:lang w:val="en-US" w:eastAsia="zh-CN"/>
        </w:rPr>
        <w:t>0.2‰</w:t>
      </w:r>
      <w:r>
        <w:rPr>
          <w:rFonts w:hint="eastAsia" w:ascii="宋体" w:hAnsi="宋体" w:eastAsia="宋体" w:cs="宋体"/>
          <w:color w:val="auto"/>
          <w:kern w:val="0"/>
          <w:sz w:val="21"/>
          <w:szCs w:val="21"/>
          <w:highlight w:val="none"/>
          <w:u w:val="none"/>
          <w:lang w:val="en-US" w:eastAsia="zh-CN"/>
        </w:rPr>
        <w:t>/天支付违约金，本项违约金累计限额为签约合同价的</w:t>
      </w:r>
      <w:r>
        <w:rPr>
          <w:rFonts w:hint="eastAsia" w:ascii="宋体" w:hAnsi="宋体" w:eastAsia="宋体" w:cs="宋体"/>
          <w:color w:val="auto"/>
          <w:kern w:val="0"/>
          <w:sz w:val="21"/>
          <w:szCs w:val="21"/>
          <w:highlight w:val="none"/>
          <w:u w:val="single"/>
          <w:lang w:val="en-US" w:eastAsia="zh-CN"/>
        </w:rPr>
        <w:t xml:space="preserve"> 1 %</w:t>
      </w:r>
      <w:r>
        <w:rPr>
          <w:rFonts w:hint="eastAsia" w:ascii="宋体" w:hAnsi="宋体" w:eastAsia="宋体" w:cs="宋体"/>
          <w:color w:val="auto"/>
          <w:kern w:val="0"/>
          <w:sz w:val="21"/>
          <w:szCs w:val="21"/>
          <w:highlight w:val="none"/>
          <w:u w:val="none"/>
          <w:lang w:val="en-US" w:eastAsia="zh-CN"/>
        </w:rPr>
        <w:t>。</w:t>
      </w:r>
    </w:p>
    <w:p w14:paraId="2DA9B7BB">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（11）承包人未按经审定的施工组织设计配备或更换关键施工设备的违约责任：按</w:t>
      </w:r>
      <w:r>
        <w:rPr>
          <w:rFonts w:hint="eastAsia" w:ascii="宋体" w:hAnsi="宋体" w:eastAsia="宋体" w:cs="宋体"/>
          <w:color w:val="auto"/>
          <w:kern w:val="0"/>
          <w:sz w:val="21"/>
          <w:szCs w:val="21"/>
          <w:highlight w:val="none"/>
          <w:u w:val="single"/>
          <w:lang w:val="en-US" w:eastAsia="zh-CN"/>
        </w:rPr>
        <w:t>5000元</w:t>
      </w:r>
      <w:r>
        <w:rPr>
          <w:rFonts w:hint="eastAsia" w:ascii="宋体" w:hAnsi="宋体" w:eastAsia="宋体" w:cs="宋体"/>
          <w:color w:val="auto"/>
          <w:kern w:val="0"/>
          <w:sz w:val="21"/>
          <w:szCs w:val="21"/>
          <w:highlight w:val="none"/>
          <w:u w:val="none"/>
          <w:lang w:val="en-US" w:eastAsia="zh-CN"/>
        </w:rPr>
        <w:t>/台·次支付违约金。</w:t>
      </w:r>
    </w:p>
    <w:p w14:paraId="4B77CB12">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（12）承包人有安全问题或有违反安全管理规章制度情况的违约责任：根据具体情节，按签约合同价的</w:t>
      </w:r>
      <w:r>
        <w:rPr>
          <w:rFonts w:hint="eastAsia" w:ascii="宋体" w:hAnsi="宋体" w:eastAsia="宋体" w:cs="宋体"/>
          <w:color w:val="auto"/>
          <w:kern w:val="0"/>
          <w:sz w:val="21"/>
          <w:szCs w:val="21"/>
          <w:highlight w:val="none"/>
          <w:u w:val="single"/>
          <w:lang w:val="en-US" w:eastAsia="zh-CN"/>
        </w:rPr>
        <w:t>0.5‰～4‰/</w:t>
      </w:r>
      <w:r>
        <w:rPr>
          <w:rFonts w:hint="eastAsia" w:ascii="宋体" w:hAnsi="宋体" w:eastAsia="宋体" w:cs="宋体"/>
          <w:color w:val="auto"/>
          <w:kern w:val="0"/>
          <w:sz w:val="21"/>
          <w:szCs w:val="21"/>
          <w:highlight w:val="none"/>
          <w:u w:val="none"/>
          <w:lang w:val="en-US" w:eastAsia="zh-CN"/>
        </w:rPr>
        <w:t>次支付违约金（累计不超过签约合同价的1%，详见附件9安全管理协议）。</w:t>
      </w:r>
    </w:p>
    <w:p w14:paraId="432AA32E">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（13）承包人拖欠其工人或所雇人员工资或报酬，导致其工人或所雇人员向有关部门投诉、控告、检举或以聚集等方式讨要工资或报酬的违约责任：根据具体情节，按违约金额</w:t>
      </w:r>
      <w:r>
        <w:rPr>
          <w:rFonts w:hint="eastAsia" w:ascii="宋体" w:hAnsi="宋体" w:eastAsia="宋体" w:cs="宋体"/>
          <w:color w:val="auto"/>
          <w:kern w:val="0"/>
          <w:sz w:val="21"/>
          <w:szCs w:val="21"/>
          <w:highlight w:val="none"/>
          <w:u w:val="single"/>
          <w:lang w:val="en-US" w:eastAsia="zh-CN"/>
        </w:rPr>
        <w:t>200000</w:t>
      </w:r>
      <w:r>
        <w:rPr>
          <w:rFonts w:hint="eastAsia" w:ascii="宋体" w:hAnsi="宋体" w:eastAsia="宋体" w:cs="宋体"/>
          <w:color w:val="auto"/>
          <w:kern w:val="0"/>
          <w:sz w:val="21"/>
          <w:szCs w:val="21"/>
          <w:highlight w:val="none"/>
          <w:u w:val="none"/>
          <w:lang w:val="en-US" w:eastAsia="zh-CN"/>
        </w:rPr>
        <w:t>元/次支付违约金。</w:t>
      </w:r>
    </w:p>
    <w:p w14:paraId="6E5E7EF6">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（14）承包人不配合发包人、监理人及发包人委托的工程造价咨询服务单位结算审核的违约责任：根据具体情节，按</w:t>
      </w:r>
      <w:r>
        <w:rPr>
          <w:rFonts w:hint="eastAsia" w:ascii="宋体" w:hAnsi="宋体" w:eastAsia="宋体" w:cs="宋体"/>
          <w:color w:val="auto"/>
          <w:kern w:val="0"/>
          <w:sz w:val="21"/>
          <w:szCs w:val="21"/>
          <w:highlight w:val="none"/>
          <w:u w:val="single"/>
          <w:lang w:val="en-US" w:eastAsia="zh-CN"/>
        </w:rPr>
        <w:t>10000元</w:t>
      </w:r>
      <w:r>
        <w:rPr>
          <w:rFonts w:hint="eastAsia" w:ascii="宋体" w:hAnsi="宋体" w:eastAsia="宋体" w:cs="宋体"/>
          <w:color w:val="auto"/>
          <w:kern w:val="0"/>
          <w:sz w:val="21"/>
          <w:szCs w:val="21"/>
          <w:highlight w:val="none"/>
          <w:u w:val="none"/>
          <w:lang w:val="en-US" w:eastAsia="zh-CN"/>
        </w:rPr>
        <w:t>/次支付违约金。</w:t>
      </w:r>
    </w:p>
    <w:p w14:paraId="6CF7323C">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（15）承包人未按合同约定移交全部和部分工程的违约责任：由承包人承担工程照管、成品保护、保管等与工程有关的各种费用，并按结算金额或违约部分结算金额的</w:t>
      </w:r>
      <w:r>
        <w:rPr>
          <w:rFonts w:hint="eastAsia" w:ascii="宋体" w:hAnsi="宋体" w:eastAsia="宋体" w:cs="宋体"/>
          <w:color w:val="auto"/>
          <w:kern w:val="0"/>
          <w:sz w:val="21"/>
          <w:szCs w:val="21"/>
          <w:highlight w:val="none"/>
          <w:u w:val="single"/>
          <w:lang w:val="en-US" w:eastAsia="zh-CN"/>
        </w:rPr>
        <w:t>1‰</w:t>
      </w:r>
      <w:r>
        <w:rPr>
          <w:rFonts w:hint="eastAsia" w:ascii="宋体" w:hAnsi="宋体" w:eastAsia="宋体" w:cs="宋体"/>
          <w:color w:val="auto"/>
          <w:kern w:val="0"/>
          <w:sz w:val="21"/>
          <w:szCs w:val="21"/>
          <w:highlight w:val="none"/>
          <w:u w:val="none"/>
          <w:lang w:val="en-US" w:eastAsia="zh-CN"/>
        </w:rPr>
        <w:t>支付违约金。</w:t>
      </w:r>
    </w:p>
    <w:p w14:paraId="19D6A896">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（16）承包人未按合同约定购买保险的违约责任：除按18.6.2项约定执行外，每延迟1天，按500元/天支付违约金。</w:t>
      </w:r>
    </w:p>
    <w:p w14:paraId="73F2DE2D">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（17）发生第16.2.1项（11）目、16.2.1项（12）目、16.2.1项（13）目违约情形的违约责任：除承担由此增加的费用和工期延误的责任，承包人应向发包人支付违约金：</w:t>
      </w:r>
    </w:p>
    <w:p w14:paraId="42082C93">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1）项目经理违约承担方式和计算方法：对于第16.2.1项（11）目的情形，每发现一次，根据具体情节，按</w:t>
      </w:r>
      <w:r>
        <w:rPr>
          <w:rFonts w:hint="eastAsia" w:ascii="宋体" w:hAnsi="宋体" w:eastAsia="宋体" w:cs="宋体"/>
          <w:color w:val="auto"/>
          <w:kern w:val="0"/>
          <w:sz w:val="21"/>
          <w:szCs w:val="21"/>
          <w:highlight w:val="none"/>
          <w:u w:val="single"/>
          <w:lang w:val="en-US" w:eastAsia="zh-CN"/>
        </w:rPr>
        <w:t>10000元/</w:t>
      </w:r>
      <w:r>
        <w:rPr>
          <w:rFonts w:hint="eastAsia" w:ascii="宋体" w:hAnsi="宋体" w:eastAsia="宋体" w:cs="宋体"/>
          <w:color w:val="auto"/>
          <w:kern w:val="0"/>
          <w:sz w:val="21"/>
          <w:szCs w:val="21"/>
          <w:highlight w:val="none"/>
          <w:u w:val="none"/>
          <w:lang w:val="en-US" w:eastAsia="zh-CN"/>
        </w:rPr>
        <w:t>天·次计算违约金；项目经理不按承诺到岗的（3.2.3项约定的情形除外），按履约保证金的</w:t>
      </w:r>
      <w:r>
        <w:rPr>
          <w:rFonts w:hint="eastAsia" w:ascii="宋体" w:hAnsi="宋体" w:eastAsia="宋体" w:cs="宋体"/>
          <w:color w:val="auto"/>
          <w:kern w:val="0"/>
          <w:sz w:val="21"/>
          <w:szCs w:val="21"/>
          <w:highlight w:val="none"/>
          <w:u w:val="single"/>
          <w:lang w:val="en-US" w:eastAsia="zh-CN"/>
        </w:rPr>
        <w:t>100%</w:t>
      </w:r>
      <w:r>
        <w:rPr>
          <w:rFonts w:hint="eastAsia" w:ascii="宋体" w:hAnsi="宋体" w:eastAsia="宋体" w:cs="宋体"/>
          <w:color w:val="auto"/>
          <w:kern w:val="0"/>
          <w:sz w:val="21"/>
          <w:szCs w:val="21"/>
          <w:highlight w:val="none"/>
          <w:u w:val="none"/>
          <w:lang w:val="en-US" w:eastAsia="zh-CN"/>
        </w:rPr>
        <w:t>支付违约金，并解除合同；擅自更换项目经理的，按签约合同价的</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none"/>
          <w:lang w:val="en-US" w:eastAsia="zh-CN"/>
        </w:rPr>
        <w:t>/人·次支付违约金，每次不低于20万，累计不超过200万；项目经理被责令停止执业的，按签约合同价的</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none"/>
          <w:lang w:val="en-US" w:eastAsia="zh-CN"/>
        </w:rPr>
        <w:t>/人·次支付违约金，每次不低于20万，累计不超过200万；项目经理被责令停止执业的，按签约合同价的</w:t>
      </w:r>
      <w:r>
        <w:rPr>
          <w:rFonts w:hint="eastAsia" w:ascii="宋体" w:hAnsi="宋体" w:eastAsia="宋体" w:cs="宋体"/>
          <w:color w:val="auto"/>
          <w:kern w:val="0"/>
          <w:sz w:val="21"/>
          <w:szCs w:val="21"/>
          <w:highlight w:val="none"/>
          <w:u w:val="single"/>
          <w:lang w:val="en-US" w:eastAsia="zh-CN"/>
        </w:rPr>
        <w:t>3%</w:t>
      </w:r>
      <w:r>
        <w:rPr>
          <w:rFonts w:hint="eastAsia" w:ascii="宋体" w:hAnsi="宋体" w:eastAsia="宋体" w:cs="宋体"/>
          <w:color w:val="auto"/>
          <w:kern w:val="0"/>
          <w:sz w:val="21"/>
          <w:szCs w:val="21"/>
          <w:highlight w:val="none"/>
          <w:u w:val="none"/>
          <w:lang w:val="en-US" w:eastAsia="zh-CN"/>
        </w:rPr>
        <w:t>/人•次支付违约金，每次不低于20万，累计不超过200万。</w:t>
      </w:r>
    </w:p>
    <w:p w14:paraId="1E4811D1">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kern w:val="0"/>
          <w:sz w:val="21"/>
          <w:szCs w:val="21"/>
          <w:highlight w:val="none"/>
          <w:u w:val="none"/>
          <w:lang w:val="en-US" w:eastAsia="zh-CN"/>
        </w:rPr>
        <w:t>2）主要技术负责人违约承担方式和计算方法：对于第16.2.1项（12）目的六种情形，每发现一次，根据具体情节，按</w:t>
      </w:r>
      <w:r>
        <w:rPr>
          <w:rFonts w:hint="eastAsia" w:ascii="宋体" w:hAnsi="宋体" w:eastAsia="宋体" w:cs="宋体"/>
          <w:color w:val="auto"/>
          <w:kern w:val="0"/>
          <w:sz w:val="21"/>
          <w:szCs w:val="21"/>
          <w:highlight w:val="none"/>
          <w:u w:val="single"/>
          <w:lang w:val="en-US" w:eastAsia="zh-CN"/>
        </w:rPr>
        <w:t>5000</w:t>
      </w:r>
      <w:r>
        <w:rPr>
          <w:rFonts w:hint="eastAsia" w:ascii="宋体" w:hAnsi="宋体" w:eastAsia="宋体" w:cs="宋体"/>
          <w:color w:val="auto"/>
          <w:kern w:val="0"/>
          <w:sz w:val="21"/>
          <w:szCs w:val="21"/>
          <w:highlight w:val="none"/>
          <w:u w:val="none"/>
          <w:lang w:val="en-US" w:eastAsia="zh-CN"/>
        </w:rPr>
        <w:t>元/天·次计算违约金；擅自更换主要技术负责人的，按签约合同价的</w:t>
      </w:r>
      <w:r>
        <w:rPr>
          <w:rFonts w:hint="eastAsia" w:ascii="宋体" w:hAnsi="宋体" w:eastAsia="宋体" w:cs="宋体"/>
          <w:color w:val="auto"/>
          <w:kern w:val="0"/>
          <w:sz w:val="21"/>
          <w:szCs w:val="21"/>
          <w:highlight w:val="none"/>
          <w:u w:val="single"/>
          <w:lang w:val="en-US" w:eastAsia="zh-CN"/>
        </w:rPr>
        <w:t>2%</w:t>
      </w:r>
      <w:r>
        <w:rPr>
          <w:rFonts w:hint="eastAsia" w:ascii="宋体" w:hAnsi="宋体" w:eastAsia="宋体" w:cs="宋体"/>
          <w:color w:val="auto"/>
          <w:kern w:val="0"/>
          <w:sz w:val="21"/>
          <w:szCs w:val="21"/>
          <w:highlight w:val="none"/>
          <w:u w:val="none"/>
          <w:lang w:val="en-US" w:eastAsia="zh-CN"/>
        </w:rPr>
        <w:t>/人·次支付违约金，每次不低于10万，累计不超过100万。</w:t>
      </w:r>
    </w:p>
    <w:p w14:paraId="1976E3B0">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u w:val="none"/>
          <w:lang w:val="en-US" w:eastAsia="zh-CN"/>
        </w:rPr>
        <w:t>3）主要施工管理人员违约承担方式和计算方法：对于第16.2.1项（13）目的五种情形，每发现一次，根据具体情节，按</w:t>
      </w:r>
      <w:r>
        <w:rPr>
          <w:rFonts w:hint="eastAsia" w:ascii="宋体" w:hAnsi="宋体" w:eastAsia="宋体" w:cs="宋体"/>
          <w:color w:val="auto"/>
          <w:kern w:val="0"/>
          <w:sz w:val="21"/>
          <w:szCs w:val="21"/>
          <w:highlight w:val="none"/>
          <w:u w:val="single"/>
          <w:lang w:val="en-US" w:eastAsia="zh-CN"/>
        </w:rPr>
        <w:t>2000元</w:t>
      </w:r>
      <w:r>
        <w:rPr>
          <w:rFonts w:hint="eastAsia" w:ascii="宋体" w:hAnsi="宋体" w:eastAsia="宋体" w:cs="宋体"/>
          <w:color w:val="auto"/>
          <w:kern w:val="0"/>
          <w:sz w:val="21"/>
          <w:szCs w:val="21"/>
          <w:highlight w:val="none"/>
          <w:u w:val="none"/>
          <w:lang w:val="en-US" w:eastAsia="zh-CN"/>
        </w:rPr>
        <w:t>/天·次计算违约金。</w:t>
      </w:r>
    </w:p>
    <w:p w14:paraId="4B796806">
      <w:pPr>
        <w:keepNext w:val="0"/>
        <w:keepLines w:val="0"/>
        <w:pageBreakBefore w:val="0"/>
        <w:widowControl w:val="0"/>
        <w:kinsoku/>
        <w:wordWrap/>
        <w:overflowPunct/>
        <w:topLinePunct w:val="0"/>
        <w:bidi w:val="0"/>
        <w:snapToGrid w:val="0"/>
        <w:spacing w:line="360" w:lineRule="auto"/>
        <w:ind w:firstLine="420" w:firstLineChars="200"/>
        <w:jc w:val="left"/>
        <w:textAlignment w:val="auto"/>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（18）</w:t>
      </w:r>
      <w:r>
        <w:rPr>
          <w:rFonts w:hint="eastAsia" w:ascii="宋体" w:hAnsi="宋体" w:cs="Microsoft Sans Serif"/>
          <w:color w:val="auto"/>
          <w:kern w:val="0"/>
          <w:szCs w:val="21"/>
          <w:highlight w:val="none"/>
          <w:u w:val="single"/>
        </w:rPr>
        <w:t xml:space="preserve">        </w:t>
      </w:r>
      <w:r>
        <w:rPr>
          <w:rFonts w:hint="eastAsia" w:ascii="宋体" w:hAnsi="宋体" w:cs="Microsoft Sans Serif"/>
          <w:color w:val="auto"/>
          <w:kern w:val="0"/>
          <w:szCs w:val="21"/>
          <w:highlight w:val="none"/>
        </w:rPr>
        <w:t>。</w:t>
      </w:r>
      <w:bookmarkStart w:id="1965" w:name="_Hlk524380347"/>
    </w:p>
    <w:p w14:paraId="00A7EFB5">
      <w:pPr>
        <w:keepNext w:val="0"/>
        <w:keepLines w:val="0"/>
        <w:pageBreakBefore w:val="0"/>
        <w:widowControl w:val="0"/>
        <w:kinsoku/>
        <w:wordWrap/>
        <w:overflowPunct/>
        <w:topLinePunct w:val="0"/>
        <w:bidi w:val="0"/>
        <w:snapToGrid w:val="0"/>
        <w:spacing w:line="360" w:lineRule="auto"/>
        <w:ind w:firstLine="420" w:firstLineChars="200"/>
        <w:jc w:val="left"/>
        <w:textAlignment w:val="auto"/>
        <w:rPr>
          <w:rFonts w:ascii="宋体" w:hAnsi="宋体" w:cs="Microsoft Sans Serif"/>
          <w:color w:val="auto"/>
          <w:kern w:val="0"/>
          <w:szCs w:val="21"/>
          <w:highlight w:val="none"/>
        </w:rPr>
      </w:pPr>
      <w:r>
        <w:rPr>
          <w:rFonts w:hint="eastAsia" w:ascii="宋体" w:hAnsi="宋体" w:cs="Microsoft Sans Serif"/>
          <w:color w:val="auto"/>
          <w:szCs w:val="21"/>
          <w:highlight w:val="none"/>
        </w:rPr>
        <w:t>应当由承包人向发包人支付的违约金，发包人可直接提取届时有效的履约担保相应金额，不足部分由承包人支付；若发包人提取履约担保相应金额，则承包人应在提取后7日内补足或提交合同约定的履约担保的金额，否则按专用合同第</w:t>
      </w:r>
      <w:r>
        <w:rPr>
          <w:rFonts w:hint="eastAsia" w:ascii="宋体" w:hAnsi="宋体" w:cs="Microsoft Sans Serif"/>
          <w:color w:val="auto"/>
          <w:kern w:val="0"/>
          <w:szCs w:val="21"/>
          <w:highlight w:val="none"/>
        </w:rPr>
        <w:t>16.2.2项第（1）目承担违约责任</w:t>
      </w:r>
      <w:r>
        <w:rPr>
          <w:rFonts w:hint="eastAsia" w:ascii="宋体" w:hAnsi="宋体" w:cs="Microsoft Sans Serif"/>
          <w:color w:val="auto"/>
          <w:szCs w:val="21"/>
          <w:highlight w:val="none"/>
        </w:rPr>
        <w:t>，并从应付或到期应付给承包人的任何款项中或采用其他方法，扣除该违约金。</w:t>
      </w:r>
    </w:p>
    <w:p w14:paraId="36F59685">
      <w:pPr>
        <w:keepNext w:val="0"/>
        <w:keepLines w:val="0"/>
        <w:pageBreakBefore w:val="0"/>
        <w:widowControl w:val="0"/>
        <w:kinsoku/>
        <w:wordWrap/>
        <w:overflowPunct/>
        <w:topLinePunct w:val="0"/>
        <w:bidi w:val="0"/>
        <w:snapToGrid w:val="0"/>
        <w:spacing w:line="360" w:lineRule="auto"/>
        <w:ind w:firstLine="420" w:firstLineChars="200"/>
        <w:jc w:val="left"/>
        <w:textAlignment w:val="auto"/>
        <w:rPr>
          <w:rFonts w:ascii="宋体" w:hAnsi="宋体" w:cs="Microsoft Sans Serif"/>
          <w:color w:val="auto"/>
          <w:kern w:val="0"/>
          <w:szCs w:val="21"/>
          <w:highlight w:val="none"/>
        </w:rPr>
      </w:pPr>
      <w:r>
        <w:rPr>
          <w:rFonts w:hint="eastAsia" w:ascii="宋体" w:hAnsi="宋体" w:cs="Microsoft Sans Serif"/>
          <w:color w:val="auto"/>
          <w:szCs w:val="21"/>
          <w:highlight w:val="none"/>
        </w:rPr>
        <w:t>承包人必须及时纠正违约行为并采取积极措施，满足合同要求，自行承担与纠正违约行为有关的人身伤亡、罚款、索赔、损失补偿、诉讼费用及其他一切责任，工期不予顺延</w:t>
      </w:r>
      <w:r>
        <w:rPr>
          <w:rFonts w:hint="eastAsia" w:ascii="宋体" w:hAnsi="宋体" w:cs="Microsoft Sans Serif"/>
          <w:color w:val="auto"/>
          <w:kern w:val="0"/>
          <w:szCs w:val="21"/>
          <w:highlight w:val="none"/>
        </w:rPr>
        <w:t>，承担由此给</w:t>
      </w:r>
      <w:r>
        <w:rPr>
          <w:rFonts w:hint="eastAsia" w:ascii="宋体" w:hAnsi="宋体" w:cs="Microsoft Sans Serif"/>
          <w:color w:val="auto"/>
          <w:szCs w:val="21"/>
          <w:highlight w:val="none"/>
        </w:rPr>
        <w:t>发包人造成的经济损失。</w:t>
      </w:r>
    </w:p>
    <w:p w14:paraId="598441CA">
      <w:pPr>
        <w:keepNext w:val="0"/>
        <w:keepLines w:val="0"/>
        <w:pageBreakBefore w:val="0"/>
        <w:widowControl w:val="0"/>
        <w:kinsoku/>
        <w:wordWrap/>
        <w:overflowPunct/>
        <w:topLinePunct w:val="0"/>
        <w:bidi w:val="0"/>
        <w:snapToGrid w:val="0"/>
        <w:spacing w:line="360" w:lineRule="auto"/>
        <w:ind w:firstLine="420" w:firstLineChars="200"/>
        <w:jc w:val="left"/>
        <w:textAlignment w:val="auto"/>
        <w:rPr>
          <w:rFonts w:ascii="宋体" w:hAnsi="宋体" w:cs="Microsoft Sans Serif"/>
          <w:color w:val="auto"/>
          <w:kern w:val="0"/>
          <w:szCs w:val="21"/>
          <w:highlight w:val="none"/>
        </w:rPr>
      </w:pPr>
      <w:r>
        <w:rPr>
          <w:rFonts w:hint="eastAsia" w:ascii="宋体" w:hAnsi="宋体" w:cs="Microsoft Sans Serif"/>
          <w:color w:val="auto"/>
          <w:szCs w:val="21"/>
          <w:highlight w:val="none"/>
        </w:rPr>
        <w:t>承包人承担承包范围的工程质量、安全、环保责任，因承包人原因引起的质量、安全、环保等事故由承包人承担相应的法律后果。</w:t>
      </w:r>
    </w:p>
    <w:bookmarkEnd w:id="1965"/>
    <w:p w14:paraId="646D8940">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16.2.3 因承包人违约解除合同</w:t>
      </w:r>
    </w:p>
    <w:p w14:paraId="4ED43812">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因承包人违约并致使合同目的不能实现的，发包人有权解除合同：</w:t>
      </w:r>
    </w:p>
    <w:p w14:paraId="3D5F12B6">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（1）未按合同约定延迟提供履约担保、质量保证金超过14天的；</w:t>
      </w:r>
    </w:p>
    <w:p w14:paraId="2CB93FE8">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（2）未按合同约定购买保险且经催告后超过56天的；</w:t>
      </w:r>
    </w:p>
    <w:p w14:paraId="1D2BC7CF">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（3）因承包人原因导致开工时间累计延误超过56天的；</w:t>
      </w:r>
    </w:p>
    <w:p w14:paraId="09579E24">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（4）因承包人原因导致工期延误超过90天的；</w:t>
      </w:r>
    </w:p>
    <w:p w14:paraId="1DA60047">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（5）发生第21.2款〔退出机制〕约定的情形的；</w:t>
      </w:r>
    </w:p>
    <w:p w14:paraId="4D44615D">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（6）监理人发出整改通知后，承包人在监理人限定的期限内仍不纠正违约行为的；</w:t>
      </w:r>
    </w:p>
    <w:p w14:paraId="7EA637AB">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（7）承包人进入清算或者严重资不抵债且无法履行合同的；</w:t>
      </w:r>
    </w:p>
    <w:p w14:paraId="4FE1D307">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（8）违反适用法律而被相关政府部门依法吊销营业执照、责令停业、清算或宣布破产、责令关闭的；</w:t>
      </w:r>
    </w:p>
    <w:p w14:paraId="16503887">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（9）承包人未履行合同项下的义务构成对合同的实质性违约，并且在收到发包人要求说明其违约并予以补救的通知后56天内仍未能补救该实质性违约的；</w:t>
      </w:r>
    </w:p>
    <w:p w14:paraId="7FBE3362">
      <w:pPr>
        <w:pStyle w:val="26"/>
        <w:spacing w:line="360" w:lineRule="auto"/>
        <w:jc w:val="left"/>
        <w:rPr>
          <w:rFonts w:ascii="宋体" w:hAnsi="宋体" w:cs="Microsoft Sans Serif"/>
          <w:color w:val="auto"/>
          <w:kern w:val="0"/>
          <w:sz w:val="21"/>
          <w:szCs w:val="21"/>
          <w:highlight w:val="none"/>
        </w:rPr>
      </w:pPr>
      <w:r>
        <w:rPr>
          <w:rFonts w:hint="eastAsia" w:ascii="宋体" w:hAnsi="宋体" w:cs="Microsoft Sans Serif"/>
          <w:color w:val="auto"/>
          <w:kern w:val="0"/>
          <w:sz w:val="21"/>
          <w:szCs w:val="21"/>
          <w:highlight w:val="none"/>
        </w:rPr>
        <w:t>（10）</w:t>
      </w:r>
      <w:r>
        <w:rPr>
          <w:rFonts w:hint="eastAsia" w:ascii="宋体" w:hAnsi="宋体" w:cs="Microsoft Sans Serif"/>
          <w:color w:val="auto"/>
          <w:kern w:val="0"/>
          <w:sz w:val="21"/>
          <w:szCs w:val="21"/>
          <w:highlight w:val="none"/>
          <w:u w:val="single"/>
        </w:rPr>
        <w:t>合同约定的发包人有权解除合同的其他情形</w:t>
      </w:r>
      <w:r>
        <w:rPr>
          <w:rFonts w:hint="eastAsia" w:ascii="宋体" w:hAnsi="宋体" w:cs="Microsoft Sans Serif"/>
          <w:color w:val="auto"/>
          <w:kern w:val="0"/>
          <w:sz w:val="21"/>
          <w:szCs w:val="21"/>
          <w:highlight w:val="none"/>
        </w:rPr>
        <w:t>。</w:t>
      </w:r>
    </w:p>
    <w:p w14:paraId="15003647">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16.2.4因承包人违约解除合同后的处理</w:t>
      </w:r>
    </w:p>
    <w:p w14:paraId="481E9B0D">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因承包人违约导致合同解除的，合同当事人应在合同解除后56天内完成估价、付款和清算，并按以下约定执行：</w:t>
      </w:r>
    </w:p>
    <w:p w14:paraId="25645D55">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（1）合同解除后，按第14.2款结算审定方式确定承包人实际完成工作对应的合同价款，以及承包人已提供的材料、工程设备、施工设备和临时工程等的价值；</w:t>
      </w:r>
    </w:p>
    <w:p w14:paraId="7884D332">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（2）合同解除后，承包人应支付违约金；</w:t>
      </w:r>
    </w:p>
    <w:p w14:paraId="7E483F29">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（3）合同解除后，赔偿因解除合同给发包人造成的损失；</w:t>
      </w:r>
    </w:p>
    <w:p w14:paraId="3561F277">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（4）合同解除后，承包人应按照发包人要求和监理人的指示完成现场的清理和撤离。</w:t>
      </w:r>
    </w:p>
    <w:p w14:paraId="7F81153A">
      <w:pPr>
        <w:spacing w:line="360" w:lineRule="auto"/>
        <w:ind w:firstLine="420" w:firstLineChars="200"/>
        <w:jc w:val="left"/>
        <w:rPr>
          <w:rFonts w:ascii="宋体" w:hAnsi="宋体"/>
          <w:color w:val="auto"/>
          <w:szCs w:val="21"/>
          <w:highlight w:val="none"/>
        </w:rPr>
      </w:pPr>
      <w:r>
        <w:rPr>
          <w:rFonts w:hint="eastAsia" w:ascii="宋体" w:hAnsi="宋体" w:cs="Microsoft Sans Serif"/>
          <w:color w:val="auto"/>
          <w:kern w:val="0"/>
          <w:szCs w:val="21"/>
          <w:highlight w:val="none"/>
        </w:rPr>
        <w:t>（5）</w:t>
      </w:r>
      <w:r>
        <w:rPr>
          <w:rFonts w:hint="eastAsia" w:ascii="宋体" w:hAnsi="宋体" w:cs="Microsoft Sans Serif"/>
          <w:color w:val="auto"/>
          <w:kern w:val="0"/>
          <w:szCs w:val="21"/>
          <w:highlight w:val="none"/>
          <w:u w:val="single"/>
        </w:rPr>
        <w:t xml:space="preserve">        </w:t>
      </w:r>
      <w:r>
        <w:rPr>
          <w:rFonts w:hint="eastAsia" w:ascii="宋体" w:hAnsi="宋体" w:cs="Microsoft Sans Serif"/>
          <w:color w:val="auto"/>
          <w:kern w:val="0"/>
          <w:szCs w:val="21"/>
          <w:highlight w:val="none"/>
        </w:rPr>
        <w:t>。</w:t>
      </w:r>
    </w:p>
    <w:p w14:paraId="70A50850">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因承包人违约导致解除合同的，发包人有权暂停对承包人的付款，查清各项付款和已扣款项。发包人和承包人未能就合同解除后的清算和款项支付达成一致的，按照第20条〔争议解决〕的约定处理。</w:t>
      </w:r>
    </w:p>
    <w:p w14:paraId="27D74D20">
      <w:pPr>
        <w:spacing w:line="360" w:lineRule="auto"/>
        <w:ind w:firstLine="420" w:firstLineChars="200"/>
        <w:jc w:val="left"/>
        <w:rPr>
          <w:rFonts w:ascii="宋体" w:hAnsi="宋体" w:cs="Microsoft Sans Serif"/>
          <w:color w:val="auto"/>
          <w:kern w:val="0"/>
          <w:szCs w:val="21"/>
          <w:highlight w:val="none"/>
        </w:rPr>
      </w:pPr>
      <w:r>
        <w:rPr>
          <w:rFonts w:hint="eastAsia" w:ascii="宋体" w:hAnsi="宋体" w:cs="Microsoft Sans Serif"/>
          <w:color w:val="auto"/>
          <w:kern w:val="0"/>
          <w:szCs w:val="21"/>
          <w:highlight w:val="none"/>
        </w:rPr>
        <w:t>合同解除后，发包人可派员进驻施工现场，另行组织人员或委托其他承包人继续完成合同工程；因继续完成工程的需要，发包人有权使用承包人在施工现场的材料、设备、临时工程、承包人文件和由承包人或以其名义编制的其他文件；发包人继续使用承包人在施工现场的材料、设备、临时工程、承包人文件和由承包人或以其名义编制的其他文件的费用承担方式由双方协商确定；发包人继续使用的行为不免除或减轻承包人应承担的违约责任，也不影响发包人根据合同享有的索赔等权利。</w:t>
      </w:r>
    </w:p>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952"/>
    <w:bookmarkEnd w:id="1953"/>
    <w:p w14:paraId="189713E9">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966" w:name="_Toc532375665"/>
      <w:bookmarkStart w:id="1967" w:name="_Toc532377404"/>
      <w:bookmarkStart w:id="1968" w:name="_Toc351203649"/>
      <w:bookmarkStart w:id="1969" w:name="_Hlk528928440"/>
      <w:r>
        <w:rPr>
          <w:rFonts w:hint="eastAsia"/>
          <w:color w:val="auto"/>
          <w:kern w:val="2"/>
          <w:sz w:val="21"/>
          <w:szCs w:val="21"/>
          <w:highlight w:val="none"/>
        </w:rPr>
        <w:t>17. 不可抗力</w:t>
      </w:r>
      <w:bookmarkEnd w:id="1966"/>
      <w:bookmarkEnd w:id="1967"/>
      <w:bookmarkEnd w:id="1968"/>
    </w:p>
    <w:p w14:paraId="241E34EE">
      <w:pPr>
        <w:pStyle w:val="7"/>
        <w:spacing w:before="0" w:beforeAutospacing="0" w:after="0" w:afterAutospacing="0" w:line="360" w:lineRule="auto"/>
        <w:ind w:firstLine="422" w:firstLineChars="200"/>
        <w:rPr>
          <w:color w:val="auto"/>
          <w:sz w:val="21"/>
          <w:szCs w:val="21"/>
          <w:highlight w:val="none"/>
        </w:rPr>
      </w:pPr>
      <w:bookmarkStart w:id="1970" w:name="_Toc532375666"/>
      <w:bookmarkStart w:id="1971" w:name="_Toc532377405"/>
      <w:r>
        <w:rPr>
          <w:rFonts w:hint="eastAsia"/>
          <w:color w:val="auto"/>
          <w:sz w:val="21"/>
          <w:szCs w:val="21"/>
          <w:highlight w:val="none"/>
        </w:rPr>
        <w:t>17.1 不可抗力的确认</w:t>
      </w:r>
      <w:bookmarkEnd w:id="1970"/>
      <w:bookmarkEnd w:id="1971"/>
    </w:p>
    <w:p w14:paraId="403E83AA">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除通用合同条款约定的不可抗力事件之外，视为不可抗力的其他情形：</w:t>
      </w:r>
      <w:bookmarkStart w:id="1972" w:name="_Hlk524379638"/>
    </w:p>
    <w:p w14:paraId="655C1758">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（1）洪水、火山爆发、山崩、山体滑坡、泥石流、龙卷风、隧道内不可预测的突发性地质灾害等自然灾害；</w:t>
      </w:r>
    </w:p>
    <w:p w14:paraId="3E00173D">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（2）骚乱、戒严、封锁、禁运、恐怖行为、等社会行为，但承包人或其分包人派遣与雇佣的人员由于合同工程施工原因引起的除外；</w:t>
      </w:r>
    </w:p>
    <w:p w14:paraId="49996A84">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（3）不能合理预见的重大交通阻滞、停运、交通事故，非双方责任引起的火灾、爆炸、船舶撞击等情形；</w:t>
      </w:r>
    </w:p>
    <w:p w14:paraId="70859E11">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（4）化学或放射性污染或核辐射；</w:t>
      </w:r>
    </w:p>
    <w:p w14:paraId="7E12ED27">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（5）环保治理等政府行为导致项目停工的。</w:t>
      </w:r>
      <w:bookmarkEnd w:id="1972"/>
    </w:p>
    <w:p w14:paraId="067FAA82">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0742691">
      <w:pPr>
        <w:pStyle w:val="7"/>
        <w:spacing w:before="0" w:beforeAutospacing="0" w:after="0" w:afterAutospacing="0" w:line="360" w:lineRule="auto"/>
        <w:ind w:firstLine="422" w:firstLineChars="200"/>
        <w:rPr>
          <w:color w:val="auto"/>
          <w:sz w:val="21"/>
          <w:szCs w:val="21"/>
          <w:highlight w:val="none"/>
        </w:rPr>
      </w:pPr>
      <w:bookmarkStart w:id="1973" w:name="_Toc532377406"/>
      <w:bookmarkStart w:id="1974" w:name="_Toc532375667"/>
      <w:bookmarkStart w:id="1975" w:name="_Toc351203610"/>
      <w:bookmarkStart w:id="1976" w:name="_Toc337558826"/>
      <w:bookmarkStart w:id="1977" w:name="_Toc296346620"/>
      <w:bookmarkStart w:id="1978" w:name="_Toc296503119"/>
      <w:r>
        <w:rPr>
          <w:rFonts w:hint="eastAsia"/>
          <w:color w:val="auto"/>
          <w:sz w:val="21"/>
          <w:szCs w:val="21"/>
          <w:highlight w:val="none"/>
        </w:rPr>
        <w:t>17.3 不可抗力后果的承担</w:t>
      </w:r>
      <w:bookmarkEnd w:id="1973"/>
      <w:bookmarkEnd w:id="1974"/>
      <w:bookmarkEnd w:id="1975"/>
    </w:p>
    <w:bookmarkEnd w:id="1976"/>
    <w:bookmarkEnd w:id="1977"/>
    <w:bookmarkEnd w:id="1978"/>
    <w:p w14:paraId="76DBED1C">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17.3.1 不可抗力引起的后果及造成的损失由合同当事人按照法律规定及合同约定各自承担。不可抗力发生前已完成的工程应当按照合同约定进行计量支付。</w:t>
      </w:r>
    </w:p>
    <w:p w14:paraId="2BD25BC2">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17.3.2 不可抗力导致的人员伤亡、财产损失、费用增加和（或）工期延误等后果，由合同当事人按以下原则承担：</w:t>
      </w:r>
    </w:p>
    <w:p w14:paraId="42FB386F">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（1）永久工程、已运至施工现场的施工材料和工程设备的损坏，以及因工程损坏造成的第三方人员伤亡和财产损失由发包人承担；</w:t>
      </w:r>
    </w:p>
    <w:p w14:paraId="40596BF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（2）承包人施工设备的损坏由承包人承担；</w:t>
      </w:r>
    </w:p>
    <w:p w14:paraId="3D2726FF">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（3）发包人和承包人承担各自人员伤亡和财产的损失；</w:t>
      </w:r>
    </w:p>
    <w:p w14:paraId="0D61E8C3">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（4）因不可抗力影响承包人履行合同约定的义务，已经引起或将引起工期延误的，应当顺延工期，由此导致承包人停工的费用损失由发包人和承包人合理共担；</w:t>
      </w:r>
    </w:p>
    <w:p w14:paraId="4205BA71">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（5）因不可抗力引起或将引起工期延误，发包人要求赶工的，由此增加的赶工费用由发包人承担；</w:t>
      </w:r>
    </w:p>
    <w:p w14:paraId="69F6D0B3">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（6）承包人在停工期间按照发包人要求照管、清理和修复工程的费用由发包人承担；</w:t>
      </w:r>
    </w:p>
    <w:p w14:paraId="6509A698">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（7）不可抗力事件发生后，合同当事人均应采取措施尽量避免和减少损失的扩大，任何一方当事人没有采取有效措施导致损失扩大的，应对扩大的损失承担责任。</w:t>
      </w:r>
    </w:p>
    <w:p w14:paraId="2EBA28FA">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（8）</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EE2715A">
      <w:pPr>
        <w:pStyle w:val="7"/>
        <w:spacing w:before="0" w:beforeAutospacing="0" w:after="0" w:afterAutospacing="0" w:line="360" w:lineRule="auto"/>
        <w:ind w:firstLine="422" w:firstLineChars="200"/>
        <w:rPr>
          <w:color w:val="auto"/>
          <w:sz w:val="21"/>
          <w:szCs w:val="21"/>
          <w:highlight w:val="none"/>
        </w:rPr>
      </w:pPr>
      <w:bookmarkStart w:id="1979" w:name="_Toc532377407"/>
      <w:bookmarkStart w:id="1980" w:name="_Toc532375668"/>
      <w:r>
        <w:rPr>
          <w:rFonts w:hint="eastAsia"/>
          <w:color w:val="auto"/>
          <w:sz w:val="21"/>
          <w:szCs w:val="21"/>
          <w:highlight w:val="none"/>
        </w:rPr>
        <w:t>17.4 因不可抗力解除合同</w:t>
      </w:r>
      <w:bookmarkEnd w:id="1979"/>
      <w:bookmarkEnd w:id="1980"/>
    </w:p>
    <w:p w14:paraId="26BC5C0E">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合同解除后，发包人应在商定或确定发包人应支付款项后</w:t>
      </w:r>
      <w:r>
        <w:rPr>
          <w:rFonts w:hint="eastAsia" w:ascii="宋体" w:hAnsi="宋体"/>
          <w:color w:val="auto"/>
          <w:szCs w:val="21"/>
          <w:highlight w:val="none"/>
          <w:u w:val="single"/>
        </w:rPr>
        <w:t>28</w:t>
      </w:r>
      <w:r>
        <w:rPr>
          <w:rFonts w:hint="eastAsia" w:ascii="宋体" w:hAnsi="宋体"/>
          <w:color w:val="auto"/>
          <w:szCs w:val="21"/>
          <w:highlight w:val="none"/>
        </w:rPr>
        <w:t>天内完成款项的支付。</w:t>
      </w:r>
    </w:p>
    <w:p w14:paraId="5C82F85A">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981" w:name="_Toc532375669"/>
      <w:bookmarkStart w:id="1982" w:name="_Toc532377408"/>
      <w:bookmarkStart w:id="1983" w:name="_Toc351203650"/>
      <w:r>
        <w:rPr>
          <w:rFonts w:hint="eastAsia"/>
          <w:color w:val="auto"/>
          <w:kern w:val="2"/>
          <w:sz w:val="21"/>
          <w:szCs w:val="21"/>
          <w:highlight w:val="none"/>
        </w:rPr>
        <w:t>18. 保险</w:t>
      </w:r>
      <w:bookmarkEnd w:id="1981"/>
      <w:bookmarkEnd w:id="1982"/>
      <w:bookmarkEnd w:id="1983"/>
    </w:p>
    <w:p w14:paraId="39FE1125">
      <w:pPr>
        <w:pStyle w:val="7"/>
        <w:spacing w:before="0" w:beforeAutospacing="0" w:after="0" w:afterAutospacing="0" w:line="360" w:lineRule="auto"/>
        <w:ind w:firstLine="422" w:firstLineChars="200"/>
        <w:rPr>
          <w:color w:val="auto"/>
          <w:sz w:val="21"/>
          <w:szCs w:val="21"/>
          <w:highlight w:val="none"/>
        </w:rPr>
      </w:pPr>
      <w:bookmarkStart w:id="1984" w:name="_Toc532377409"/>
      <w:bookmarkStart w:id="1985" w:name="_Toc532375670"/>
      <w:r>
        <w:rPr>
          <w:rFonts w:hint="eastAsia"/>
          <w:color w:val="auto"/>
          <w:sz w:val="21"/>
          <w:szCs w:val="21"/>
          <w:highlight w:val="none"/>
        </w:rPr>
        <w:t>18.1 工程保险</w:t>
      </w:r>
      <w:bookmarkEnd w:id="1984"/>
      <w:bookmarkEnd w:id="1985"/>
    </w:p>
    <w:p w14:paraId="521F58B2">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关于工程保险的特别约定：发包人应投保</w:t>
      </w:r>
      <w:r>
        <w:rPr>
          <w:rFonts w:hint="eastAsia" w:ascii="宋体" w:hAnsi="宋体"/>
          <w:color w:val="auto"/>
          <w:szCs w:val="21"/>
          <w:highlight w:val="none"/>
          <w:u w:val="single"/>
        </w:rPr>
        <w:t>建筑工程一切险或安装工程一切险</w:t>
      </w:r>
      <w:r>
        <w:rPr>
          <w:rFonts w:hint="eastAsia" w:ascii="宋体" w:hAnsi="宋体"/>
          <w:color w:val="auto"/>
          <w:szCs w:val="21"/>
          <w:highlight w:val="none"/>
        </w:rPr>
        <w:t>；发包人委托承包人投保的，因投保产生的保险费和其他相关费用由发包人承担。</w:t>
      </w:r>
    </w:p>
    <w:p w14:paraId="4E7AD0BA">
      <w:pPr>
        <w:pStyle w:val="7"/>
        <w:spacing w:before="0" w:beforeAutospacing="0" w:after="0" w:afterAutospacing="0" w:line="360" w:lineRule="auto"/>
        <w:ind w:firstLine="422" w:firstLineChars="200"/>
        <w:rPr>
          <w:color w:val="auto"/>
          <w:sz w:val="21"/>
          <w:szCs w:val="21"/>
          <w:highlight w:val="none"/>
        </w:rPr>
      </w:pPr>
      <w:bookmarkStart w:id="1986" w:name="_Toc532375671"/>
      <w:bookmarkStart w:id="1987" w:name="_Toc532377410"/>
      <w:r>
        <w:rPr>
          <w:rFonts w:hint="eastAsia"/>
          <w:color w:val="auto"/>
          <w:sz w:val="21"/>
          <w:szCs w:val="21"/>
          <w:highlight w:val="none"/>
        </w:rPr>
        <w:t>18.3 其他保险</w:t>
      </w:r>
      <w:bookmarkEnd w:id="1986"/>
      <w:bookmarkEnd w:id="1987"/>
    </w:p>
    <w:p w14:paraId="053E48A1">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关于其他保险的约定：</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5D10E1B8">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承包人是否应为其施工设备等办理财产保险：</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CB1F99D">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安全生产责任险：</w:t>
      </w:r>
      <w:r>
        <w:rPr>
          <w:rFonts w:hint="eastAsia" w:ascii="宋体" w:hAnsi="宋体"/>
          <w:color w:val="auto"/>
          <w:szCs w:val="21"/>
          <w:highlight w:val="none"/>
          <w:u w:val="single"/>
        </w:rPr>
        <w:t>承包人应按《重庆市人民政府办公厅关于在高危行业领域强制推行安全生产责任保险的实施意见》（渝府办法〔2017〕182号）的要求办理安全生产责任保险</w:t>
      </w:r>
      <w:r>
        <w:rPr>
          <w:rFonts w:hint="eastAsia" w:ascii="宋体" w:hAnsi="宋体"/>
          <w:color w:val="auto"/>
          <w:szCs w:val="21"/>
          <w:highlight w:val="none"/>
        </w:rPr>
        <w:t>。</w:t>
      </w:r>
    </w:p>
    <w:p w14:paraId="6630F0D1">
      <w:pPr>
        <w:pStyle w:val="7"/>
        <w:spacing w:before="0" w:beforeAutospacing="0" w:after="0" w:afterAutospacing="0" w:line="360" w:lineRule="auto"/>
        <w:ind w:firstLine="422" w:firstLineChars="200"/>
        <w:rPr>
          <w:color w:val="auto"/>
          <w:sz w:val="21"/>
          <w:szCs w:val="21"/>
          <w:highlight w:val="none"/>
        </w:rPr>
      </w:pPr>
      <w:bookmarkStart w:id="1988" w:name="_Toc532377411"/>
      <w:bookmarkStart w:id="1989" w:name="_Toc532375672"/>
      <w:r>
        <w:rPr>
          <w:rFonts w:hint="eastAsia"/>
          <w:color w:val="auto"/>
          <w:sz w:val="21"/>
          <w:szCs w:val="21"/>
          <w:highlight w:val="none"/>
        </w:rPr>
        <w:t>18.7 通知义务</w:t>
      </w:r>
      <w:bookmarkEnd w:id="1988"/>
      <w:bookmarkEnd w:id="1989"/>
    </w:p>
    <w:p w14:paraId="7EBBF697">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关于变更保险合同时的通知义务的约定：</w:t>
      </w:r>
      <w:r>
        <w:rPr>
          <w:rFonts w:hint="eastAsia" w:ascii="宋体" w:hAnsi="宋体"/>
          <w:color w:val="auto"/>
          <w:szCs w:val="21"/>
          <w:highlight w:val="none"/>
          <w:u w:val="single"/>
        </w:rPr>
        <w:t>按通用合同条款执行</w:t>
      </w:r>
      <w:r>
        <w:rPr>
          <w:rFonts w:hint="eastAsia" w:ascii="宋体" w:hAnsi="宋体"/>
          <w:color w:val="auto"/>
          <w:szCs w:val="21"/>
          <w:highlight w:val="none"/>
        </w:rPr>
        <w:t>。</w:t>
      </w:r>
    </w:p>
    <w:p w14:paraId="4EB35A2B">
      <w:pPr>
        <w:pStyle w:val="7"/>
        <w:spacing w:before="0" w:beforeAutospacing="0" w:after="0" w:afterAutospacing="0" w:line="360" w:lineRule="auto"/>
        <w:ind w:firstLine="422" w:firstLineChars="200"/>
        <w:rPr>
          <w:color w:val="auto"/>
          <w:sz w:val="21"/>
          <w:szCs w:val="21"/>
          <w:highlight w:val="none"/>
        </w:rPr>
      </w:pPr>
      <w:bookmarkStart w:id="1990" w:name="_Toc532377412"/>
      <w:bookmarkStart w:id="1991" w:name="_Toc532375673"/>
      <w:r>
        <w:rPr>
          <w:rFonts w:hint="eastAsia"/>
          <w:color w:val="auto"/>
          <w:sz w:val="21"/>
          <w:szCs w:val="21"/>
          <w:highlight w:val="none"/>
        </w:rPr>
        <w:t>18.8 其他</w:t>
      </w:r>
      <w:bookmarkEnd w:id="1990"/>
      <w:bookmarkEnd w:id="1991"/>
    </w:p>
    <w:p w14:paraId="7376A2BC">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18.8.1 工程开工日前，承包人向发包人提交各项生效的保险证据和保险单副本。未按本项约定提交的，每延后1天，承包人按500元/天支付违约金。</w:t>
      </w:r>
    </w:p>
    <w:p w14:paraId="4648069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18.8.2 承包人保险赔偿金不足以补偿发包人损失时，</w:t>
      </w:r>
      <w:bookmarkStart w:id="1992" w:name="_Hlk524378346"/>
      <w:r>
        <w:rPr>
          <w:rFonts w:hint="eastAsia" w:ascii="宋体" w:hAnsi="宋体"/>
          <w:color w:val="auto"/>
          <w:szCs w:val="21"/>
          <w:highlight w:val="none"/>
        </w:rPr>
        <w:t>差额由承包人负责补足</w:t>
      </w:r>
      <w:bookmarkEnd w:id="1992"/>
      <w:r>
        <w:rPr>
          <w:rFonts w:hint="eastAsia" w:ascii="宋体" w:hAnsi="宋体"/>
          <w:color w:val="auto"/>
          <w:szCs w:val="21"/>
          <w:highlight w:val="none"/>
        </w:rPr>
        <w:t>。</w:t>
      </w:r>
    </w:p>
    <w:p w14:paraId="23EAEAAC">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1993" w:name="_Toc532375674"/>
      <w:bookmarkStart w:id="1994" w:name="_Toc532377413"/>
      <w:bookmarkStart w:id="1995" w:name="_Toc351203620"/>
      <w:bookmarkStart w:id="1996" w:name="_Toc296346641"/>
      <w:bookmarkStart w:id="1997" w:name="_Toc337558835"/>
      <w:bookmarkStart w:id="1998" w:name="_Toc296503140"/>
      <w:r>
        <w:rPr>
          <w:rFonts w:hint="eastAsia"/>
          <w:color w:val="auto"/>
          <w:kern w:val="2"/>
          <w:sz w:val="21"/>
          <w:szCs w:val="21"/>
          <w:highlight w:val="none"/>
        </w:rPr>
        <w:t>19. 索赔</w:t>
      </w:r>
      <w:bookmarkEnd w:id="1993"/>
      <w:bookmarkEnd w:id="1994"/>
      <w:bookmarkEnd w:id="1995"/>
    </w:p>
    <w:bookmarkEnd w:id="1996"/>
    <w:bookmarkEnd w:id="1997"/>
    <w:bookmarkEnd w:id="1998"/>
    <w:p w14:paraId="09A1A703">
      <w:pPr>
        <w:pStyle w:val="7"/>
        <w:spacing w:before="0" w:beforeAutospacing="0" w:after="0" w:afterAutospacing="0" w:line="360" w:lineRule="auto"/>
        <w:ind w:firstLine="422" w:firstLineChars="200"/>
        <w:rPr>
          <w:color w:val="auto"/>
          <w:sz w:val="21"/>
          <w:szCs w:val="21"/>
          <w:highlight w:val="none"/>
        </w:rPr>
      </w:pPr>
      <w:bookmarkStart w:id="1999" w:name="_Toc532375675"/>
      <w:bookmarkStart w:id="2000" w:name="_Toc532377414"/>
      <w:bookmarkStart w:id="2001" w:name="_Toc351203621"/>
      <w:bookmarkStart w:id="2002" w:name="_Toc337558836"/>
      <w:bookmarkStart w:id="2003" w:name="_Toc296503141"/>
      <w:bookmarkStart w:id="2004" w:name="_Toc296346642"/>
      <w:r>
        <w:rPr>
          <w:rFonts w:hint="eastAsia"/>
          <w:color w:val="auto"/>
          <w:sz w:val="21"/>
          <w:szCs w:val="21"/>
          <w:highlight w:val="none"/>
        </w:rPr>
        <w:t>19.1 承包人的索赔</w:t>
      </w:r>
      <w:bookmarkEnd w:id="1999"/>
      <w:bookmarkEnd w:id="2000"/>
    </w:p>
    <w:p w14:paraId="0AFAC640">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根据合同约定，承包人认为有权得到追加付款和（或）延长工期的，应按以下程序向发包人提出索赔：</w:t>
      </w:r>
    </w:p>
    <w:p w14:paraId="298AB55B">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（1）承包人应在索赔事件发生后28天内，向监理人递交索赔意向通知书，并说明发生索赔事件的事由；承包人未在前述28天内发出索赔意向通知书的，丧失要求追加付款和（或）延长工期的权利；</w:t>
      </w:r>
    </w:p>
    <w:p w14:paraId="4486F0EE">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（2）承包人应在发出索赔意向通知书后28天内，向监理人正式递交索赔报告；索赔报告应详细说明索赔理由以及要求追加的付款金额和（或）延长的工期，并附必要的记录和证明材料；</w:t>
      </w:r>
    </w:p>
    <w:p w14:paraId="639FFAEF">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（3）索赔事件具有持续影响的，承包人应按监理人要求的合理时间间隔继续递交延续索赔通知，说明持续影响的实际情况和记录，列出累计的追加付款金额和（或）工期延长天数；</w:t>
      </w:r>
    </w:p>
    <w:p w14:paraId="34EA25ED">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（4）在索赔事件影响结束后28天内，承包人应向监理人递交最终索赔报告，说明最终要求索赔的追加付款金额和（或）延长的工期，并附必要的记录和证明材料。</w:t>
      </w:r>
    </w:p>
    <w:p w14:paraId="64645E60">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6D150C3">
      <w:pPr>
        <w:pStyle w:val="7"/>
        <w:spacing w:before="0" w:beforeAutospacing="0" w:after="0" w:afterAutospacing="0" w:line="360" w:lineRule="auto"/>
        <w:ind w:firstLine="422" w:firstLineChars="200"/>
        <w:rPr>
          <w:color w:val="auto"/>
          <w:sz w:val="21"/>
          <w:szCs w:val="21"/>
          <w:highlight w:val="none"/>
        </w:rPr>
      </w:pPr>
      <w:bookmarkStart w:id="2005" w:name="_Toc532375676"/>
      <w:bookmarkStart w:id="2006" w:name="_Toc532377415"/>
      <w:r>
        <w:rPr>
          <w:rFonts w:hint="eastAsia"/>
          <w:color w:val="auto"/>
          <w:sz w:val="21"/>
          <w:szCs w:val="21"/>
          <w:highlight w:val="none"/>
        </w:rPr>
        <w:t>19.2 对承包人索赔的处理</w:t>
      </w:r>
      <w:bookmarkEnd w:id="2005"/>
      <w:bookmarkEnd w:id="2006"/>
    </w:p>
    <w:p w14:paraId="349015FB">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对承包人索赔的处理如下：</w:t>
      </w:r>
    </w:p>
    <w:p w14:paraId="7F0EE180">
      <w:pPr>
        <w:autoSpaceDE w:val="0"/>
        <w:autoSpaceDN w:val="0"/>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（1）监理人应在收到索赔报告后14天内完成审查并报送发包人。监理人对索赔报告存在异议的，有权要求承包人提交全部原始记录副本</w:t>
      </w:r>
      <w:r>
        <w:rPr>
          <w:rFonts w:hint="eastAsia" w:ascii="宋体" w:hAnsi="宋体"/>
          <w:color w:val="auto"/>
          <w:szCs w:val="21"/>
          <w:highlight w:val="none"/>
        </w:rPr>
        <w:t>；</w:t>
      </w:r>
    </w:p>
    <w:p w14:paraId="2C9EEBD7">
      <w:pPr>
        <w:autoSpaceDE w:val="0"/>
        <w:autoSpaceDN w:val="0"/>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2）发包人应在监理人收到索赔报告或有关索赔的进一步证明材料后的28天内，由监理人向承包人出具经发包人签认的索赔处理结果。发包人逾期未答复的，承包人应以书面形式催告发包人，经承包人三次（每次间隔不少于3天）书面催告后，发包人仍未按期限答复的，则视为认可承包人的索赔要求</w:t>
      </w:r>
      <w:r>
        <w:rPr>
          <w:rFonts w:hint="eastAsia" w:ascii="宋体" w:hAnsi="宋体"/>
          <w:color w:val="auto"/>
          <w:szCs w:val="21"/>
          <w:highlight w:val="none"/>
        </w:rPr>
        <w:t>；</w:t>
      </w:r>
    </w:p>
    <w:p w14:paraId="5582F8E1">
      <w:pPr>
        <w:autoSpaceDE w:val="0"/>
        <w:autoSpaceDN w:val="0"/>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（3）承包人接受索赔处理结果的，索赔款项在当期进度款中进行支付；承包人不接受索赔处理结果的，按照第20条〔争议解决〕约定处理</w:t>
      </w:r>
      <w:r>
        <w:rPr>
          <w:rFonts w:hint="eastAsia" w:ascii="宋体" w:hAnsi="宋体"/>
          <w:color w:val="auto"/>
          <w:szCs w:val="21"/>
          <w:highlight w:val="none"/>
        </w:rPr>
        <w:t>；</w:t>
      </w:r>
    </w:p>
    <w:p w14:paraId="00FD673F">
      <w:pPr>
        <w:autoSpaceDE w:val="0"/>
        <w:autoSpaceDN w:val="0"/>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u w:val="single"/>
        </w:rPr>
        <w:t>（4）工期延误的关键线路按照经监理人、发包人审批同意的施工组织设计计算</w:t>
      </w:r>
      <w:r>
        <w:rPr>
          <w:rFonts w:hint="eastAsia" w:ascii="宋体" w:hAnsi="宋体"/>
          <w:color w:val="auto"/>
          <w:szCs w:val="21"/>
          <w:highlight w:val="none"/>
        </w:rPr>
        <w:t>。</w:t>
      </w:r>
    </w:p>
    <w:p w14:paraId="4FFD89DC">
      <w:pPr>
        <w:pStyle w:val="7"/>
        <w:spacing w:before="0" w:beforeAutospacing="0" w:after="0" w:afterAutospacing="0" w:line="360" w:lineRule="auto"/>
        <w:ind w:firstLine="422" w:firstLineChars="200"/>
        <w:rPr>
          <w:color w:val="auto"/>
          <w:sz w:val="21"/>
          <w:szCs w:val="21"/>
          <w:highlight w:val="none"/>
        </w:rPr>
      </w:pPr>
      <w:bookmarkStart w:id="2007" w:name="_Toc532377416"/>
      <w:bookmarkStart w:id="2008" w:name="_Toc532375677"/>
      <w:r>
        <w:rPr>
          <w:rFonts w:hint="eastAsia"/>
          <w:color w:val="auto"/>
          <w:sz w:val="21"/>
          <w:szCs w:val="21"/>
          <w:highlight w:val="none"/>
        </w:rPr>
        <w:t>19.3发包人的索赔</w:t>
      </w:r>
      <w:bookmarkEnd w:id="2007"/>
      <w:bookmarkEnd w:id="2008"/>
    </w:p>
    <w:p w14:paraId="5B5D748D">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根据合同约定，发包人认为有权得到赔付金额和（或）延长缺陷责任期的，监理人应向承包人发出通知并附有详细的证明。</w:t>
      </w:r>
    </w:p>
    <w:p w14:paraId="53465D75">
      <w:pPr>
        <w:autoSpaceDE w:val="0"/>
        <w:autoSpaceDN w:val="0"/>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rPr>
        <w:t>发包人应在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索赔事件具有持续影响的，发包人应在索赔事件影响结束后28天内，</w:t>
      </w:r>
      <w:bookmarkStart w:id="2009" w:name="_Hlk528652769"/>
      <w:r>
        <w:rPr>
          <w:rFonts w:hint="eastAsia" w:ascii="宋体" w:hAnsi="宋体"/>
          <w:color w:val="auto"/>
          <w:szCs w:val="21"/>
          <w:highlight w:val="none"/>
        </w:rPr>
        <w:t>通过监理人向承包人正式递交最终索赔报告</w:t>
      </w:r>
      <w:bookmarkEnd w:id="2009"/>
      <w:r>
        <w:rPr>
          <w:rFonts w:hint="eastAsia" w:ascii="宋体" w:hAnsi="宋体"/>
          <w:color w:val="auto"/>
          <w:szCs w:val="21"/>
          <w:highlight w:val="none"/>
        </w:rPr>
        <w:t>。</w:t>
      </w:r>
    </w:p>
    <w:p w14:paraId="231EEDDA">
      <w:pPr>
        <w:pStyle w:val="7"/>
        <w:spacing w:before="0" w:beforeAutospacing="0" w:after="0" w:afterAutospacing="0" w:line="360" w:lineRule="auto"/>
        <w:ind w:firstLine="422" w:firstLineChars="200"/>
        <w:rPr>
          <w:color w:val="auto"/>
          <w:sz w:val="21"/>
          <w:szCs w:val="21"/>
          <w:highlight w:val="none"/>
        </w:rPr>
      </w:pPr>
      <w:bookmarkStart w:id="2010" w:name="_Toc532377417"/>
      <w:bookmarkStart w:id="2011" w:name="_Toc532375678"/>
      <w:r>
        <w:rPr>
          <w:rFonts w:hint="eastAsia"/>
          <w:color w:val="auto"/>
          <w:sz w:val="21"/>
          <w:szCs w:val="21"/>
          <w:highlight w:val="none"/>
        </w:rPr>
        <w:t>19.4 对发包人索赔的处理</w:t>
      </w:r>
      <w:bookmarkEnd w:id="2010"/>
      <w:bookmarkEnd w:id="2011"/>
    </w:p>
    <w:p w14:paraId="26B4825A">
      <w:pPr>
        <w:autoSpaceDE w:val="0"/>
        <w:autoSpaceDN w:val="0"/>
        <w:spacing w:line="360" w:lineRule="auto"/>
        <w:ind w:right="105" w:rightChars="50"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对发包人索赔的处理如下：</w:t>
      </w:r>
    </w:p>
    <w:p w14:paraId="4524A9D0">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（1）承包人收到发包人提交的索赔报告后，应及时审查索赔报告的内容、查验发包人证明材料；</w:t>
      </w:r>
    </w:p>
    <w:p w14:paraId="1617E851">
      <w:pPr>
        <w:autoSpaceDE w:val="0"/>
        <w:autoSpaceDN w:val="0"/>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承包人应在收到索赔报告或有关索赔的进一步证明材料后28天内，将索赔处理结果答复发包人。如果承包人未在上述期限内作出答复的，监理人应以书面形式催告承包人，经监理人三次书面催告后，承包人仍未按期限答复的，则视为对发包人索赔要求的认可；</w:t>
      </w:r>
    </w:p>
    <w:p w14:paraId="5A1456C7">
      <w:pPr>
        <w:autoSpaceDE w:val="0"/>
        <w:autoSpaceDN w:val="0"/>
        <w:spacing w:line="360" w:lineRule="auto"/>
        <w:ind w:right="105" w:rightChars="50" w:firstLine="420" w:firstLineChars="200"/>
        <w:jc w:val="left"/>
        <w:rPr>
          <w:rFonts w:ascii="宋体" w:hAnsi="宋体"/>
          <w:color w:val="auto"/>
          <w:szCs w:val="21"/>
          <w:highlight w:val="none"/>
          <w:u w:val="single"/>
        </w:rPr>
      </w:pPr>
      <w:r>
        <w:rPr>
          <w:rFonts w:hint="eastAsia" w:ascii="宋体" w:hAnsi="宋体"/>
          <w:color w:val="auto"/>
          <w:szCs w:val="21"/>
          <w:highlight w:val="none"/>
        </w:rPr>
        <w:t>（3）承包人接受索赔处理结果的，发包人可从应支付给承包人的合同价款中扣除赔付的金额或延长缺陷责任期；发包人不接受索赔处理结果的，按第20条〔争议解决〕约定处理。</w:t>
      </w:r>
    </w:p>
    <w:p w14:paraId="2BE577DB">
      <w:pPr>
        <w:pStyle w:val="7"/>
        <w:spacing w:before="0" w:beforeAutospacing="0" w:after="0" w:afterAutospacing="0" w:line="360" w:lineRule="auto"/>
        <w:ind w:firstLine="422" w:firstLineChars="200"/>
        <w:rPr>
          <w:color w:val="auto"/>
          <w:sz w:val="21"/>
          <w:szCs w:val="21"/>
          <w:highlight w:val="none"/>
        </w:rPr>
      </w:pPr>
      <w:bookmarkStart w:id="2012" w:name="_Toc532375679"/>
      <w:bookmarkStart w:id="2013" w:name="_Toc532377418"/>
      <w:bookmarkStart w:id="2014" w:name="_Hlk528928420"/>
      <w:r>
        <w:rPr>
          <w:rFonts w:hint="eastAsia"/>
          <w:color w:val="auto"/>
          <w:sz w:val="21"/>
          <w:szCs w:val="21"/>
          <w:highlight w:val="none"/>
        </w:rPr>
        <w:t>19.5 提出索赔的期限</w:t>
      </w:r>
      <w:bookmarkEnd w:id="2012"/>
      <w:bookmarkEnd w:id="2013"/>
    </w:p>
    <w:p w14:paraId="79865C3F">
      <w:pPr>
        <w:autoSpaceDE w:val="0"/>
        <w:autoSpaceDN w:val="0"/>
        <w:spacing w:line="360" w:lineRule="auto"/>
        <w:ind w:right="105" w:rightChars="50" w:firstLine="420" w:firstLineChars="200"/>
        <w:jc w:val="left"/>
        <w:rPr>
          <w:rFonts w:ascii="宋体" w:hAnsi="宋体"/>
          <w:color w:val="auto"/>
          <w:szCs w:val="21"/>
          <w:highlight w:val="none"/>
        </w:rPr>
      </w:pPr>
      <w:bookmarkStart w:id="2015" w:name="_Hlk524298376"/>
      <w:r>
        <w:rPr>
          <w:rFonts w:hint="eastAsia" w:ascii="宋体" w:hAnsi="宋体"/>
          <w:color w:val="auto"/>
          <w:szCs w:val="21"/>
          <w:highlight w:val="none"/>
        </w:rPr>
        <w:t>任一索赔事件发生后28天内，承包人/发包人未向对方发出索赔意向通知书的，视为其已放弃索赔权，无权再就该索赔事项提出任何索赔。</w:t>
      </w:r>
    </w:p>
    <w:bookmarkEnd w:id="2001"/>
    <w:bookmarkEnd w:id="2002"/>
    <w:bookmarkEnd w:id="2003"/>
    <w:bookmarkEnd w:id="2004"/>
    <w:bookmarkEnd w:id="2014"/>
    <w:bookmarkEnd w:id="2015"/>
    <w:p w14:paraId="13EB02A0">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2016" w:name="_Toc532377419"/>
      <w:bookmarkStart w:id="2017" w:name="_Toc351203651"/>
      <w:bookmarkStart w:id="2018" w:name="_Toc532375680"/>
      <w:r>
        <w:rPr>
          <w:rFonts w:hint="eastAsia"/>
          <w:color w:val="auto"/>
          <w:kern w:val="2"/>
          <w:sz w:val="21"/>
          <w:szCs w:val="21"/>
          <w:highlight w:val="none"/>
        </w:rPr>
        <w:t>20. 争议解决</w:t>
      </w:r>
      <w:bookmarkEnd w:id="2016"/>
      <w:bookmarkEnd w:id="2017"/>
      <w:bookmarkEnd w:id="2018"/>
    </w:p>
    <w:p w14:paraId="7B573DE6">
      <w:pPr>
        <w:pStyle w:val="7"/>
        <w:spacing w:before="0" w:beforeAutospacing="0" w:after="0" w:afterAutospacing="0" w:line="360" w:lineRule="auto"/>
        <w:ind w:firstLine="422" w:firstLineChars="200"/>
        <w:rPr>
          <w:color w:val="auto"/>
          <w:sz w:val="21"/>
          <w:szCs w:val="21"/>
          <w:highlight w:val="none"/>
        </w:rPr>
      </w:pPr>
      <w:bookmarkStart w:id="2019" w:name="_Toc532377420"/>
      <w:bookmarkStart w:id="2020" w:name="_Toc532375681"/>
      <w:r>
        <w:rPr>
          <w:rFonts w:hint="eastAsia"/>
          <w:color w:val="auto"/>
          <w:sz w:val="21"/>
          <w:szCs w:val="21"/>
          <w:highlight w:val="none"/>
        </w:rPr>
        <w:t>20.3 争议评审</w:t>
      </w:r>
      <w:bookmarkEnd w:id="2019"/>
      <w:bookmarkEnd w:id="2020"/>
    </w:p>
    <w:p w14:paraId="505BBAD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合同当事人是否同意将工程争议提交争议评审小组决定：</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E69AED0">
      <w:pPr>
        <w:pStyle w:val="7"/>
        <w:spacing w:before="0" w:beforeAutospacing="0" w:after="0" w:afterAutospacing="0" w:line="360" w:lineRule="auto"/>
        <w:ind w:firstLine="422" w:firstLineChars="200"/>
        <w:rPr>
          <w:color w:val="auto"/>
          <w:sz w:val="21"/>
          <w:szCs w:val="21"/>
          <w:highlight w:val="none"/>
        </w:rPr>
      </w:pPr>
      <w:bookmarkStart w:id="2021" w:name="_Toc532377421"/>
      <w:bookmarkStart w:id="2022" w:name="_Toc532375682"/>
      <w:r>
        <w:rPr>
          <w:rFonts w:hint="eastAsia"/>
          <w:color w:val="auto"/>
          <w:sz w:val="21"/>
          <w:szCs w:val="21"/>
          <w:highlight w:val="none"/>
        </w:rPr>
        <w:t>20.4 仲裁或诉讼</w:t>
      </w:r>
      <w:bookmarkEnd w:id="2021"/>
      <w:bookmarkEnd w:id="2022"/>
    </w:p>
    <w:p w14:paraId="514806C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因合同及合同有关事项发生的争议，按下列第</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0FA4A9D5">
      <w:pPr>
        <w:spacing w:line="360" w:lineRule="auto"/>
        <w:ind w:right="105" w:rightChars="50" w:firstLine="420" w:firstLineChars="200"/>
        <w:jc w:val="left"/>
        <w:rPr>
          <w:rFonts w:ascii="宋体" w:hAnsi="宋体"/>
          <w:color w:val="auto"/>
          <w:szCs w:val="21"/>
          <w:highlight w:val="none"/>
        </w:rPr>
      </w:pPr>
      <w:r>
        <w:rPr>
          <w:rFonts w:ascii="宋体" w:hAnsi="宋体"/>
          <w:color w:val="auto"/>
          <w:szCs w:val="21"/>
          <w:highlight w:val="none"/>
        </w:rPr>
        <w:t>（1）向仲裁委员会申请仲裁；</w:t>
      </w:r>
    </w:p>
    <w:p w14:paraId="1E43AE72">
      <w:pPr>
        <w:spacing w:line="360" w:lineRule="auto"/>
        <w:ind w:right="105" w:rightChars="50" w:firstLine="420" w:firstLineChars="200"/>
        <w:jc w:val="left"/>
        <w:rPr>
          <w:rFonts w:ascii="宋体" w:hAnsi="宋体"/>
          <w:color w:val="auto"/>
          <w:szCs w:val="21"/>
          <w:highlight w:val="none"/>
        </w:rPr>
      </w:pPr>
      <w:r>
        <w:rPr>
          <w:rFonts w:ascii="宋体" w:hAnsi="宋体"/>
          <w:color w:val="auto"/>
          <w:szCs w:val="21"/>
          <w:highlight w:val="none"/>
        </w:rPr>
        <w:t>（2）向</w:t>
      </w:r>
      <w:r>
        <w:rPr>
          <w:rFonts w:ascii="宋体" w:hAnsi="宋体"/>
          <w:color w:val="auto"/>
          <w:szCs w:val="21"/>
          <w:highlight w:val="none"/>
          <w:u w:val="single"/>
        </w:rPr>
        <w:t xml:space="preserve">  </w:t>
      </w:r>
      <w:r>
        <w:rPr>
          <w:rFonts w:hint="default" w:ascii="宋体" w:hAnsi="宋体"/>
          <w:color w:val="auto"/>
          <w:szCs w:val="21"/>
          <w:highlight w:val="none"/>
          <w:u w:val="single"/>
          <w:lang w:val="en-US" w:eastAsia="zh-CN"/>
        </w:rPr>
        <w:t>项目建设所在地</w:t>
      </w:r>
      <w:r>
        <w:rPr>
          <w:rFonts w:ascii="宋体" w:hAnsi="宋体"/>
          <w:color w:val="auto"/>
          <w:szCs w:val="21"/>
          <w:highlight w:val="none"/>
          <w:u w:val="single"/>
        </w:rPr>
        <w:t xml:space="preserve">  </w:t>
      </w:r>
      <w:r>
        <w:rPr>
          <w:rFonts w:ascii="宋体" w:hAnsi="宋体"/>
          <w:color w:val="auto"/>
          <w:szCs w:val="21"/>
          <w:highlight w:val="none"/>
        </w:rPr>
        <w:t>人民法院起诉。</w:t>
      </w:r>
    </w:p>
    <w:p w14:paraId="75F2E470">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2023" w:name="_Toc532375683"/>
      <w:bookmarkStart w:id="2024" w:name="_Toc532377422"/>
      <w:r>
        <w:rPr>
          <w:rFonts w:hint="eastAsia"/>
          <w:color w:val="auto"/>
          <w:kern w:val="2"/>
          <w:sz w:val="21"/>
          <w:szCs w:val="21"/>
          <w:highlight w:val="none"/>
        </w:rPr>
        <w:t>21. 补充条款</w:t>
      </w:r>
      <w:bookmarkEnd w:id="2023"/>
      <w:bookmarkEnd w:id="2024"/>
    </w:p>
    <w:p w14:paraId="0F5FA75F">
      <w:pPr>
        <w:pStyle w:val="7"/>
        <w:spacing w:before="0" w:beforeAutospacing="0" w:after="0" w:afterAutospacing="0" w:line="360" w:lineRule="auto"/>
        <w:ind w:firstLine="422" w:firstLineChars="200"/>
        <w:rPr>
          <w:color w:val="auto"/>
          <w:sz w:val="21"/>
          <w:szCs w:val="21"/>
          <w:highlight w:val="none"/>
        </w:rPr>
      </w:pPr>
      <w:bookmarkStart w:id="2025" w:name="_Toc532375684"/>
      <w:bookmarkStart w:id="2026" w:name="_Toc532377423"/>
      <w:r>
        <w:rPr>
          <w:rFonts w:hint="eastAsia"/>
          <w:color w:val="auto"/>
          <w:sz w:val="21"/>
          <w:szCs w:val="21"/>
          <w:highlight w:val="none"/>
        </w:rPr>
        <w:t>21.1 退出机制</w:t>
      </w:r>
      <w:bookmarkEnd w:id="2025"/>
      <w:bookmarkEnd w:id="2026"/>
    </w:p>
    <w:p w14:paraId="4D860EA1">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21.1.1有下列情形之一的，发包人有权解除合同，亦有权兑付履约担保，并对承包人做清退出场处理</w:t>
      </w:r>
      <w:r>
        <w:rPr>
          <w:rFonts w:hint="eastAsia" w:ascii="宋体" w:hAnsi="宋体"/>
          <w:color w:val="auto"/>
          <w:kern w:val="0"/>
          <w:szCs w:val="21"/>
          <w:highlight w:val="none"/>
        </w:rPr>
        <w:t>：</w:t>
      </w:r>
    </w:p>
    <w:p w14:paraId="2524934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（1）因承包人原因造成较大及以上等级生产安全事故或工程质量事故的；</w:t>
      </w:r>
    </w:p>
    <w:p w14:paraId="5377517A">
      <w:pPr>
        <w:spacing w:line="360" w:lineRule="auto"/>
        <w:ind w:right="105" w:rightChars="50"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（2）因承包人债权债务纠纷或其他纠纷导致工程无法正常施工的。</w:t>
      </w:r>
    </w:p>
    <w:p w14:paraId="34B9ADC7">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kern w:val="0"/>
          <w:szCs w:val="21"/>
          <w:highlight w:val="none"/>
        </w:rPr>
        <w:t>（3）</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2EA3FFF3">
      <w:pPr>
        <w:pStyle w:val="2"/>
        <w:spacing w:after="0" w:line="360" w:lineRule="auto"/>
        <w:ind w:firstLine="420" w:firstLineChars="200"/>
        <w:rPr>
          <w:rFonts w:ascii="宋体" w:hAnsi="宋体"/>
          <w:color w:val="auto"/>
          <w:szCs w:val="21"/>
          <w:highlight w:val="none"/>
        </w:rPr>
      </w:pPr>
      <w:r>
        <w:rPr>
          <w:rFonts w:hint="eastAsia" w:ascii="宋体" w:hAnsi="宋体"/>
          <w:color w:val="auto"/>
          <w:szCs w:val="21"/>
          <w:highlight w:val="none"/>
        </w:rPr>
        <w:t>21.1.2有下列情形之一的，承包人有权解除合同，并按16.1.4约定执行：</w:t>
      </w:r>
    </w:p>
    <w:p w14:paraId="63974884">
      <w:pPr>
        <w:pStyle w:val="2"/>
        <w:spacing w:after="0"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（1）因发包人征地、拆迁、补偿、审批手续等原因致使本工程延期开工超过90天的。</w:t>
      </w:r>
    </w:p>
    <w:p w14:paraId="27405D6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kern w:val="0"/>
          <w:szCs w:val="21"/>
          <w:highlight w:val="none"/>
        </w:rPr>
        <w:t>（2）</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p>
    <w:p w14:paraId="60F5F4D4">
      <w:pPr>
        <w:pStyle w:val="7"/>
        <w:spacing w:before="0" w:beforeAutospacing="0" w:after="0" w:afterAutospacing="0" w:line="360" w:lineRule="auto"/>
        <w:ind w:firstLine="422" w:firstLineChars="200"/>
        <w:rPr>
          <w:color w:val="auto"/>
          <w:sz w:val="21"/>
          <w:szCs w:val="21"/>
          <w:highlight w:val="none"/>
        </w:rPr>
      </w:pPr>
      <w:bookmarkStart w:id="2027" w:name="_Toc532375685"/>
      <w:bookmarkStart w:id="2028" w:name="_Toc532377424"/>
      <w:r>
        <w:rPr>
          <w:rFonts w:hint="eastAsia"/>
          <w:color w:val="auto"/>
          <w:sz w:val="21"/>
          <w:szCs w:val="21"/>
          <w:highlight w:val="none"/>
        </w:rPr>
        <w:t>21.2智慧工地</w:t>
      </w:r>
      <w:bookmarkEnd w:id="2027"/>
      <w:bookmarkEnd w:id="2028"/>
    </w:p>
    <w:p w14:paraId="1852AE8D">
      <w:pPr>
        <w:spacing w:line="360" w:lineRule="auto"/>
        <w:ind w:right="105" w:rightChars="50" w:firstLine="420" w:firstLineChars="200"/>
        <w:jc w:val="left"/>
        <w:rPr>
          <w:color w:val="auto"/>
          <w:sz w:val="21"/>
          <w:szCs w:val="21"/>
          <w:highlight w:val="none"/>
        </w:rPr>
      </w:pPr>
      <w:r>
        <w:rPr>
          <w:rFonts w:hint="eastAsia" w:ascii="宋体" w:hAnsi="宋体"/>
          <w:color w:val="auto"/>
          <w:szCs w:val="21"/>
          <w:highlight w:val="none"/>
        </w:rPr>
        <w:t>工地建设可参照重庆市城乡建设委员会《关于印发“智慧工地”建设工作方案的通知》（渝建〔2017〕414号）的相关要求建设。</w:t>
      </w:r>
      <w:bookmarkEnd w:id="1969"/>
    </w:p>
    <w:p w14:paraId="6B88626B">
      <w:pPr>
        <w:pStyle w:val="6"/>
        <w:keepNext/>
        <w:keepLines/>
        <w:spacing w:before="156" w:beforeLines="50" w:beforeAutospacing="0" w:after="156" w:afterLines="50" w:afterAutospacing="0" w:line="360" w:lineRule="auto"/>
        <w:jc w:val="both"/>
        <w:rPr>
          <w:bCs w:val="0"/>
          <w:color w:val="auto"/>
          <w:kern w:val="2"/>
          <w:sz w:val="21"/>
          <w:szCs w:val="21"/>
          <w:highlight w:val="none"/>
        </w:rPr>
      </w:pPr>
      <w:bookmarkStart w:id="2029" w:name="baidusnap3"/>
      <w:bookmarkEnd w:id="2029"/>
      <w:bookmarkStart w:id="2030" w:name="baidusnap7"/>
      <w:bookmarkEnd w:id="2030"/>
      <w:bookmarkStart w:id="2031" w:name="_Toc532375686"/>
      <w:bookmarkStart w:id="2032" w:name="_Toc532377425"/>
      <w:bookmarkStart w:id="2033" w:name="_Toc351203652"/>
      <w:r>
        <w:rPr>
          <w:rFonts w:hint="eastAsia"/>
          <w:color w:val="auto"/>
          <w:kern w:val="2"/>
          <w:sz w:val="21"/>
          <w:szCs w:val="21"/>
          <w:highlight w:val="none"/>
        </w:rPr>
        <w:t>22. 合同附件</w:t>
      </w:r>
      <w:bookmarkEnd w:id="2031"/>
      <w:bookmarkEnd w:id="2032"/>
    </w:p>
    <w:p w14:paraId="61C7196C">
      <w:pPr>
        <w:spacing w:line="360" w:lineRule="auto"/>
        <w:ind w:right="105" w:rightChars="50" w:firstLine="420" w:firstLineChars="200"/>
        <w:jc w:val="left"/>
        <w:rPr>
          <w:rFonts w:ascii="宋体" w:hAnsi="宋体"/>
          <w:color w:val="auto"/>
          <w:highlight w:val="none"/>
        </w:rPr>
      </w:pPr>
      <w:r>
        <w:rPr>
          <w:rFonts w:hint="eastAsia" w:ascii="宋体" w:hAnsi="宋体"/>
          <w:color w:val="auto"/>
          <w:highlight w:val="none"/>
        </w:rPr>
        <w:t>以下附件是本合同的有效组成部分：</w:t>
      </w:r>
    </w:p>
    <w:p w14:paraId="1807176A">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附件1：工程质量保修书</w:t>
      </w:r>
    </w:p>
    <w:p w14:paraId="7A8F9962">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附件2：主要建设工程文件目录</w:t>
      </w:r>
    </w:p>
    <w:p w14:paraId="509D0BA9">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附件3：承包人项目管理机构组成表</w:t>
      </w:r>
    </w:p>
    <w:p w14:paraId="3446F75B">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附件4：履约</w:t>
      </w:r>
      <w:r>
        <w:rPr>
          <w:rFonts w:ascii="宋体" w:hAnsi="宋体"/>
          <w:color w:val="auto"/>
          <w:szCs w:val="21"/>
          <w:highlight w:val="none"/>
        </w:rPr>
        <w:t>担保</w:t>
      </w:r>
      <w:r>
        <w:rPr>
          <w:rFonts w:hint="eastAsia" w:ascii="宋体" w:hAnsi="宋体"/>
          <w:color w:val="auto"/>
          <w:szCs w:val="21"/>
          <w:highlight w:val="none"/>
        </w:rPr>
        <w:t>（如有）</w:t>
      </w:r>
    </w:p>
    <w:p w14:paraId="667022FF">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5</w:t>
      </w:r>
      <w:r>
        <w:rPr>
          <w:rFonts w:hint="eastAsia" w:ascii="宋体" w:hAnsi="宋体"/>
          <w:color w:val="auto"/>
          <w:szCs w:val="21"/>
          <w:highlight w:val="none"/>
        </w:rPr>
        <w:t>：预付款担保（如有）</w:t>
      </w:r>
    </w:p>
    <w:p w14:paraId="12FBE4D0">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6</w:t>
      </w:r>
      <w:r>
        <w:rPr>
          <w:rFonts w:hint="eastAsia" w:ascii="宋体" w:hAnsi="宋体"/>
          <w:color w:val="auto"/>
          <w:szCs w:val="21"/>
          <w:highlight w:val="none"/>
        </w:rPr>
        <w:t>：支付担保（如有）</w:t>
      </w:r>
    </w:p>
    <w:p w14:paraId="05D94023">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7</w:t>
      </w:r>
      <w:r>
        <w:rPr>
          <w:rFonts w:hint="eastAsia" w:ascii="宋体" w:hAnsi="宋体"/>
          <w:color w:val="auto"/>
          <w:szCs w:val="21"/>
          <w:highlight w:val="none"/>
        </w:rPr>
        <w:t>：专业工程暂估价表</w:t>
      </w:r>
    </w:p>
    <w:p w14:paraId="2B3011F6">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8</w:t>
      </w:r>
      <w:r>
        <w:rPr>
          <w:rFonts w:hint="eastAsia" w:ascii="宋体" w:hAnsi="宋体"/>
          <w:color w:val="auto"/>
          <w:szCs w:val="21"/>
          <w:highlight w:val="none"/>
        </w:rPr>
        <w:t>：廉洁从业协议</w:t>
      </w:r>
    </w:p>
    <w:p w14:paraId="388823D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9</w:t>
      </w:r>
      <w:r>
        <w:rPr>
          <w:rFonts w:hint="eastAsia" w:ascii="宋体" w:hAnsi="宋体"/>
          <w:color w:val="auto"/>
          <w:szCs w:val="21"/>
          <w:highlight w:val="none"/>
        </w:rPr>
        <w:t>：安全管理协议</w:t>
      </w:r>
    </w:p>
    <w:p w14:paraId="7824F185">
      <w:pPr>
        <w:spacing w:line="360" w:lineRule="auto"/>
        <w:ind w:right="105" w:rightChars="50" w:firstLine="420" w:firstLineChars="200"/>
        <w:jc w:val="left"/>
        <w:rPr>
          <w:rFonts w:ascii="宋体" w:hAns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10</w:t>
      </w:r>
      <w:r>
        <w:rPr>
          <w:rFonts w:hint="eastAsia" w:ascii="宋体" w:hAnsi="宋体"/>
          <w:color w:val="auto"/>
          <w:szCs w:val="21"/>
          <w:highlight w:val="none"/>
        </w:rPr>
        <w:t>：保障农民工工资支付协议</w:t>
      </w:r>
    </w:p>
    <w:p w14:paraId="6D37ADE9">
      <w:pPr>
        <w:spacing w:line="360" w:lineRule="auto"/>
        <w:ind w:right="105" w:rightChars="50" w:firstLine="420" w:firstLineChars="200"/>
        <w:jc w:val="left"/>
        <w:rPr>
          <w:rFonts w:hint="eastAsia" w:ascii="宋体" w:hAnsi="宋体"/>
          <w:color w:val="auto"/>
          <w:szCs w:val="21"/>
          <w:highlight w:val="none"/>
        </w:rPr>
      </w:pPr>
      <w:r>
        <w:rPr>
          <w:rFonts w:hint="eastAsia" w:ascii="宋体" w:hAnsi="宋体"/>
          <w:color w:val="auto"/>
          <w:szCs w:val="21"/>
          <w:highlight w:val="none"/>
        </w:rPr>
        <w:t>附件11：低价风险担保保函示范文本（独立保函）（如有）</w:t>
      </w:r>
    </w:p>
    <w:p w14:paraId="37BE1DAD">
      <w:pPr>
        <w:spacing w:line="360" w:lineRule="auto"/>
        <w:ind w:right="105" w:rightChars="50"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附件12：质量保证金保函（如有）</w:t>
      </w:r>
    </w:p>
    <w:bookmarkEnd w:id="2033"/>
    <w:p w14:paraId="237B2574">
      <w:pPr>
        <w:spacing w:line="360" w:lineRule="auto"/>
        <w:rPr>
          <w:rFonts w:hint="eastAsia" w:ascii="宋体" w:hAnsi="宋体"/>
          <w:color w:val="auto"/>
          <w:szCs w:val="21"/>
          <w:highlight w:val="none"/>
        </w:rPr>
      </w:pPr>
    </w:p>
    <w:p w14:paraId="166CBE92">
      <w:pPr>
        <w:spacing w:line="360" w:lineRule="auto"/>
        <w:rPr>
          <w:rFonts w:hint="eastAsia" w:ascii="宋体" w:hAnsi="宋体"/>
          <w:color w:val="auto"/>
          <w:szCs w:val="21"/>
          <w:highlight w:val="none"/>
        </w:rPr>
      </w:pPr>
    </w:p>
    <w:p w14:paraId="52D79632">
      <w:pPr>
        <w:spacing w:line="360" w:lineRule="auto"/>
        <w:rPr>
          <w:rFonts w:ascii="宋体" w:hAnsi="宋体"/>
          <w:color w:val="auto"/>
          <w:szCs w:val="21"/>
          <w:highlight w:val="none"/>
        </w:rPr>
      </w:pPr>
      <w:r>
        <w:rPr>
          <w:rFonts w:hint="eastAsia" w:ascii="宋体" w:hAnsi="宋体"/>
          <w:color w:val="auto"/>
          <w:szCs w:val="21"/>
          <w:highlight w:val="none"/>
        </w:rPr>
        <w:t>附</w:t>
      </w:r>
      <w:bookmarkStart w:id="2034" w:name="_Toc267261693"/>
      <w:bookmarkStart w:id="2035" w:name="_Toc296503226"/>
      <w:bookmarkStart w:id="2036" w:name="_Toc296346727"/>
      <w:bookmarkStart w:id="2037" w:name="_Toc296891266"/>
      <w:bookmarkStart w:id="2038" w:name="_Toc296944565"/>
      <w:bookmarkStart w:id="2039" w:name="_Toc296891054"/>
      <w:bookmarkStart w:id="2040" w:name="_Toc296347225"/>
      <w:r>
        <w:rPr>
          <w:rFonts w:hint="eastAsia" w:ascii="宋体" w:hAnsi="宋体"/>
          <w:color w:val="auto"/>
          <w:szCs w:val="21"/>
          <w:highlight w:val="none"/>
        </w:rPr>
        <w:t>件1：</w:t>
      </w:r>
      <w:bookmarkEnd w:id="2034"/>
      <w:bookmarkEnd w:id="2035"/>
      <w:bookmarkEnd w:id="2036"/>
      <w:bookmarkEnd w:id="2037"/>
      <w:bookmarkEnd w:id="2038"/>
      <w:bookmarkEnd w:id="2039"/>
      <w:bookmarkEnd w:id="2040"/>
    </w:p>
    <w:p w14:paraId="546131E1">
      <w:pPr>
        <w:spacing w:before="156" w:beforeLines="50" w:after="156" w:afterLines="50" w:line="360" w:lineRule="auto"/>
        <w:jc w:val="center"/>
        <w:rPr>
          <w:rFonts w:ascii="宋体" w:hAnsi="宋体"/>
          <w:color w:val="auto"/>
          <w:szCs w:val="21"/>
          <w:highlight w:val="none"/>
        </w:rPr>
      </w:pPr>
      <w:r>
        <w:rPr>
          <w:rFonts w:hint="eastAsia" w:ascii="宋体" w:hAnsi="宋体"/>
          <w:color w:val="auto"/>
          <w:szCs w:val="21"/>
          <w:highlight w:val="none"/>
        </w:rPr>
        <w:t>工程质量保修书</w:t>
      </w:r>
    </w:p>
    <w:p w14:paraId="012918C7">
      <w:pPr>
        <w:snapToGrid w:val="0"/>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发包人</w:t>
      </w:r>
      <w:r>
        <w:rPr>
          <w:rFonts w:hint="eastAsia" w:ascii="宋体" w:hAnsi="宋体"/>
          <w:b/>
          <w:color w:val="auto"/>
          <w:szCs w:val="21"/>
          <w:highlight w:val="none"/>
          <w:lang w:val="en-US" w:eastAsia="zh-CN"/>
        </w:rPr>
        <w:t>1</w:t>
      </w:r>
      <w:r>
        <w:rPr>
          <w:rFonts w:hint="eastAsia" w:ascii="宋体" w:hAnsi="宋体"/>
          <w:b/>
          <w:color w:val="auto"/>
          <w:szCs w:val="21"/>
          <w:highlight w:val="none"/>
        </w:rPr>
        <w:t>（全称）：</w:t>
      </w:r>
      <w:r>
        <w:rPr>
          <w:rFonts w:hint="eastAsia" w:ascii="宋体" w:hAnsi="宋体"/>
          <w:color w:val="auto"/>
          <w:szCs w:val="21"/>
          <w:highlight w:val="none"/>
          <w:u w:val="single"/>
        </w:rPr>
        <w:t xml:space="preserve">                             </w:t>
      </w:r>
    </w:p>
    <w:p w14:paraId="60516C6B">
      <w:pPr>
        <w:snapToGrid w:val="0"/>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发包人</w:t>
      </w:r>
      <w:r>
        <w:rPr>
          <w:rFonts w:hint="eastAsia" w:ascii="宋体" w:hAnsi="宋体"/>
          <w:b/>
          <w:color w:val="auto"/>
          <w:szCs w:val="21"/>
          <w:highlight w:val="none"/>
          <w:lang w:val="en-US" w:eastAsia="zh-CN"/>
        </w:rPr>
        <w:t>2</w:t>
      </w:r>
      <w:r>
        <w:rPr>
          <w:rFonts w:hint="eastAsia" w:ascii="宋体" w:hAnsi="宋体"/>
          <w:b/>
          <w:color w:val="auto"/>
          <w:szCs w:val="21"/>
          <w:highlight w:val="none"/>
        </w:rPr>
        <w:t>（全称）：</w:t>
      </w:r>
      <w:r>
        <w:rPr>
          <w:rFonts w:hint="eastAsia" w:ascii="宋体" w:hAnsi="宋体"/>
          <w:color w:val="auto"/>
          <w:szCs w:val="21"/>
          <w:highlight w:val="none"/>
          <w:u w:val="single"/>
        </w:rPr>
        <w:t xml:space="preserve">                             </w:t>
      </w:r>
    </w:p>
    <w:p w14:paraId="4927AFD2">
      <w:pPr>
        <w:snapToGrid w:val="0"/>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承包人（全称）：</w:t>
      </w:r>
      <w:r>
        <w:rPr>
          <w:rFonts w:hint="eastAsia" w:ascii="宋体" w:hAnsi="宋体"/>
          <w:color w:val="auto"/>
          <w:szCs w:val="21"/>
          <w:highlight w:val="none"/>
          <w:u w:val="single"/>
        </w:rPr>
        <w:t xml:space="preserve">                             </w:t>
      </w:r>
    </w:p>
    <w:p w14:paraId="0725686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发包人和承包人根据《中华人民共和国建筑法》和《建设工程质量管理条例》，经协商一致就</w:t>
      </w:r>
    </w:p>
    <w:p w14:paraId="74C9E02D">
      <w:pPr>
        <w:spacing w:line="360" w:lineRule="auto"/>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（工程全称）签订工程质量保修书。</w:t>
      </w:r>
    </w:p>
    <w:p w14:paraId="7FD243AE">
      <w:pPr>
        <w:spacing w:line="360" w:lineRule="auto"/>
        <w:ind w:firstLine="420" w:firstLineChars="200"/>
        <w:rPr>
          <w:rFonts w:ascii="宋体" w:hAnsi="宋体"/>
          <w:color w:val="auto"/>
          <w:szCs w:val="21"/>
          <w:highlight w:val="none"/>
        </w:rPr>
      </w:pPr>
      <w:bookmarkStart w:id="2041" w:name="_Toc532375687"/>
      <w:r>
        <w:rPr>
          <w:rFonts w:hint="eastAsia" w:ascii="宋体" w:hAnsi="宋体"/>
          <w:color w:val="auto"/>
          <w:szCs w:val="21"/>
          <w:highlight w:val="none"/>
        </w:rPr>
        <w:t>一、工程质量保修范围和内容</w:t>
      </w:r>
      <w:bookmarkEnd w:id="2041"/>
    </w:p>
    <w:p w14:paraId="5E8F57C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承包人在质量保修期内，按照有关法律规定和合同约定，承担工程质量保修责任。</w:t>
      </w:r>
    </w:p>
    <w:p w14:paraId="51C3D95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41A7054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承包人承包范围内容均属质量保修范围内容；其中：</w:t>
      </w:r>
    </w:p>
    <w:p w14:paraId="3D38438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1.属于设计原因造成的质量问题，承包人负责维修，不留隐患，费用由发包人承担；</w:t>
      </w:r>
    </w:p>
    <w:p w14:paraId="47185E6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2.属于施工造成的质量问题，承包人负责维修，不留隐患；</w:t>
      </w:r>
    </w:p>
    <w:p w14:paraId="66C9A6B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3.属于业主使用不当造成的质量问题，配合抢修，费用由发包人承担。</w:t>
      </w:r>
    </w:p>
    <w:p w14:paraId="3D00A087">
      <w:pPr>
        <w:spacing w:line="360" w:lineRule="auto"/>
        <w:ind w:firstLine="420" w:firstLineChars="200"/>
        <w:rPr>
          <w:rFonts w:ascii="宋体" w:hAnsi="宋体"/>
          <w:color w:val="auto"/>
          <w:szCs w:val="21"/>
          <w:highlight w:val="none"/>
        </w:rPr>
      </w:pPr>
      <w:bookmarkStart w:id="2042" w:name="_Toc532375688"/>
      <w:r>
        <w:rPr>
          <w:rFonts w:hint="eastAsia" w:ascii="宋体" w:hAnsi="宋体"/>
          <w:color w:val="auto"/>
          <w:szCs w:val="21"/>
          <w:highlight w:val="none"/>
        </w:rPr>
        <w:t>二、质量保修期</w:t>
      </w:r>
      <w:bookmarkEnd w:id="2042"/>
    </w:p>
    <w:p w14:paraId="61BA55D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根据《建设工程质量管理条例》及有关规定，本工程质量保修期约定如下：</w:t>
      </w:r>
    </w:p>
    <w:p w14:paraId="2CDA020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1.基础设施工程、房屋建筑的地基基础工程和主体结构工程，为设计文件规定的该工程的合理使用年限；</w:t>
      </w:r>
    </w:p>
    <w:p w14:paraId="2580D1C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2.屋面防水工程、有防水要求的卫生间、房间和外墙面的防渗漏，为5年；</w:t>
      </w:r>
    </w:p>
    <w:p w14:paraId="6DC0696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3.供热与供冷系统，为2个采暖期、供冷期；</w:t>
      </w:r>
    </w:p>
    <w:p w14:paraId="5B4DB8D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4.电气管线、给排水管道、设备安装和装修工程，为2年；</w:t>
      </w:r>
    </w:p>
    <w:p w14:paraId="3032154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5.其他项目保修期限：2年；</w:t>
      </w:r>
      <w:r>
        <w:rPr>
          <w:rFonts w:hint="eastAsia" w:ascii="宋体" w:hAnsi="宋体"/>
          <w:i/>
          <w:color w:val="auto"/>
          <w:szCs w:val="21"/>
          <w:highlight w:val="none"/>
        </w:rPr>
        <w:t>[提示：如有不同，根据具体情况修改]</w:t>
      </w:r>
    </w:p>
    <w:p w14:paraId="37C83E8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建设工程的保修期，自工程竣工验收合格之日起计算。</w:t>
      </w:r>
    </w:p>
    <w:p w14:paraId="3A6A37A6">
      <w:pPr>
        <w:spacing w:line="360" w:lineRule="auto"/>
        <w:ind w:firstLine="420" w:firstLineChars="200"/>
        <w:rPr>
          <w:rFonts w:ascii="宋体" w:hAnsi="宋体"/>
          <w:color w:val="auto"/>
          <w:szCs w:val="21"/>
          <w:highlight w:val="none"/>
        </w:rPr>
      </w:pPr>
      <w:bookmarkStart w:id="2043" w:name="_Toc532375689"/>
      <w:r>
        <w:rPr>
          <w:rFonts w:hint="eastAsia" w:ascii="宋体" w:hAnsi="宋体"/>
          <w:color w:val="auto"/>
          <w:szCs w:val="21"/>
          <w:highlight w:val="none"/>
        </w:rPr>
        <w:t>三、质量保修责任</w:t>
      </w:r>
      <w:bookmarkEnd w:id="2043"/>
    </w:p>
    <w:p w14:paraId="0250AA0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1.属于保修范围、内容的项目，承包人应当在接到保修通知之日起7天内派人保修。承包人不在约定期限内派人保修的，发包人可以委托他人修理。</w:t>
      </w:r>
    </w:p>
    <w:p w14:paraId="34E1927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2.发生紧急事故需抢修的，承包人在接到事故通知后，应当立即到达事故现场抢修。</w:t>
      </w:r>
    </w:p>
    <w:p w14:paraId="0EA0312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72D1F09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4.质量保修完成后，由发包人组织验收。</w:t>
      </w:r>
    </w:p>
    <w:p w14:paraId="2DF26157">
      <w:pPr>
        <w:spacing w:line="360" w:lineRule="auto"/>
        <w:ind w:firstLine="420" w:firstLineChars="200"/>
        <w:rPr>
          <w:rFonts w:ascii="宋体" w:hAnsi="宋体"/>
          <w:color w:val="auto"/>
          <w:szCs w:val="21"/>
          <w:highlight w:val="none"/>
        </w:rPr>
      </w:pPr>
      <w:bookmarkStart w:id="2044" w:name="_Toc532375690"/>
      <w:r>
        <w:rPr>
          <w:rFonts w:hint="eastAsia" w:ascii="宋体" w:hAnsi="宋体"/>
          <w:color w:val="auto"/>
          <w:szCs w:val="21"/>
          <w:highlight w:val="none"/>
        </w:rPr>
        <w:t>四、保修费用</w:t>
      </w:r>
      <w:bookmarkEnd w:id="2044"/>
    </w:p>
    <w:p w14:paraId="7FDD358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保修费用由质量缺陷的责任方承担。</w:t>
      </w:r>
    </w:p>
    <w:p w14:paraId="34C3FD8E">
      <w:pPr>
        <w:spacing w:line="360" w:lineRule="auto"/>
        <w:ind w:firstLine="420" w:firstLineChars="200"/>
        <w:rPr>
          <w:rFonts w:ascii="宋体" w:hAnsi="宋体"/>
          <w:color w:val="auto"/>
          <w:szCs w:val="21"/>
          <w:highlight w:val="none"/>
        </w:rPr>
      </w:pPr>
      <w:bookmarkStart w:id="2045" w:name="_Toc532375691"/>
      <w:r>
        <w:rPr>
          <w:rFonts w:hint="eastAsia" w:ascii="宋体" w:hAnsi="宋体"/>
          <w:color w:val="auto"/>
          <w:szCs w:val="21"/>
          <w:highlight w:val="none"/>
        </w:rPr>
        <w:t>五、双方约定的其他工程质量保修事项</w:t>
      </w:r>
    </w:p>
    <w:p w14:paraId="0116CEC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按国家相关法律和规定执行</w:t>
      </w:r>
      <w:r>
        <w:rPr>
          <w:rFonts w:hint="eastAsia" w:ascii="宋体" w:hAnsi="宋体"/>
          <w:color w:val="auto"/>
          <w:szCs w:val="21"/>
          <w:highlight w:val="none"/>
        </w:rPr>
        <w:t>。</w:t>
      </w:r>
      <w:bookmarkEnd w:id="2045"/>
    </w:p>
    <w:p w14:paraId="5A703DB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本工程质量保修书由发包人、承包人在工程竣工验收前共同签署，作为施工合同附件，其有效期限至保修期满。</w:t>
      </w:r>
    </w:p>
    <w:p w14:paraId="0AD2DFB0">
      <w:pPr>
        <w:spacing w:line="360" w:lineRule="auto"/>
        <w:ind w:firstLine="420" w:firstLineChars="200"/>
        <w:rPr>
          <w:rFonts w:ascii="宋体" w:hAnsi="宋体"/>
          <w:color w:val="auto"/>
          <w:szCs w:val="21"/>
          <w:highlight w:val="none"/>
        </w:rPr>
      </w:pPr>
      <w:r>
        <w:rPr>
          <w:rFonts w:ascii="宋体" w:hAnsi="宋体"/>
          <w:color w:val="auto"/>
          <w:szCs w:val="21"/>
          <w:highlight w:val="none"/>
        </w:rPr>
        <w:t>六</w:t>
      </w:r>
      <w:r>
        <w:rPr>
          <w:rFonts w:hint="eastAsia" w:ascii="宋体" w:hAnsi="宋体"/>
          <w:color w:val="auto"/>
          <w:szCs w:val="21"/>
          <w:highlight w:val="none"/>
        </w:rPr>
        <w:t>、</w:t>
      </w:r>
      <w:r>
        <w:rPr>
          <w:rFonts w:ascii="宋体" w:hAnsi="宋体"/>
          <w:color w:val="auto"/>
          <w:szCs w:val="21"/>
          <w:highlight w:val="none"/>
        </w:rPr>
        <w:t>本文件生效</w:t>
      </w:r>
    </w:p>
    <w:p w14:paraId="58505DE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本工程质量保修书经发包人与承包人盖章后生效。</w:t>
      </w:r>
    </w:p>
    <w:p w14:paraId="268A9151">
      <w:pPr>
        <w:pStyle w:val="2"/>
        <w:spacing w:line="360" w:lineRule="auto"/>
        <w:ind w:firstLine="420" w:firstLineChars="200"/>
        <w:rPr>
          <w:rFonts w:ascii="宋体" w:hAnsi="宋体"/>
          <w:color w:val="auto"/>
          <w:szCs w:val="21"/>
          <w:highlight w:val="none"/>
        </w:rPr>
      </w:pPr>
    </w:p>
    <w:p w14:paraId="69468556">
      <w:pPr>
        <w:spacing w:line="360" w:lineRule="auto"/>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发包人</w:t>
      </w:r>
      <w:r>
        <w:rPr>
          <w:rFonts w:hint="eastAsia" w:ascii="宋体" w:hAnsi="宋体"/>
          <w:snapToGrid w:val="0"/>
          <w:color w:val="auto"/>
          <w:kern w:val="0"/>
          <w:szCs w:val="21"/>
          <w:highlight w:val="none"/>
          <w:lang w:val="en-US" w:eastAsia="zh-CN"/>
        </w:rPr>
        <w:t>1</w:t>
      </w:r>
      <w:r>
        <w:rPr>
          <w:rFonts w:hint="eastAsia" w:ascii="宋体" w:hAnsi="宋体"/>
          <w:snapToGrid w:val="0"/>
          <w:color w:val="auto"/>
          <w:kern w:val="0"/>
          <w:szCs w:val="21"/>
          <w:highlight w:val="none"/>
        </w:rPr>
        <w:t>：</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（盖单位公章）</w:t>
      </w:r>
    </w:p>
    <w:p w14:paraId="5B5418A9">
      <w:pPr>
        <w:spacing w:line="360" w:lineRule="auto"/>
        <w:ind w:firstLine="420" w:firstLineChars="200"/>
        <w:rPr>
          <w:rFonts w:ascii="宋体" w:hAnsi="宋体"/>
          <w:snapToGrid w:val="0"/>
          <w:color w:val="auto"/>
          <w:kern w:val="0"/>
          <w:szCs w:val="21"/>
          <w:highlight w:val="none"/>
        </w:rPr>
      </w:pPr>
    </w:p>
    <w:p w14:paraId="12C9DF74">
      <w:pPr>
        <w:spacing w:line="360" w:lineRule="auto"/>
        <w:ind w:firstLine="420" w:firstLineChars="200"/>
        <w:rPr>
          <w:rFonts w:ascii="宋体" w:hAnsi="宋体"/>
          <w:snapToGrid w:val="0"/>
          <w:color w:val="auto"/>
          <w:kern w:val="0"/>
          <w:szCs w:val="21"/>
          <w:highlight w:val="none"/>
        </w:rPr>
      </w:pPr>
    </w:p>
    <w:p w14:paraId="206EE0F0">
      <w:pPr>
        <w:spacing w:line="360" w:lineRule="auto"/>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法定代表人或其委托代理人：</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（签名）</w:t>
      </w:r>
    </w:p>
    <w:p w14:paraId="0475B794">
      <w:pPr>
        <w:spacing w:line="360" w:lineRule="auto"/>
        <w:ind w:firstLine="420" w:firstLineChars="200"/>
        <w:rPr>
          <w:rFonts w:hint="eastAsia" w:ascii="宋体" w:hAnsi="宋体"/>
          <w:snapToGrid w:val="0"/>
          <w:color w:val="auto"/>
          <w:kern w:val="0"/>
          <w:szCs w:val="21"/>
          <w:highlight w:val="none"/>
        </w:rPr>
      </w:pPr>
    </w:p>
    <w:p w14:paraId="332D1FD6">
      <w:pPr>
        <w:spacing w:line="360" w:lineRule="auto"/>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发包人</w:t>
      </w:r>
      <w:r>
        <w:rPr>
          <w:rFonts w:hint="eastAsia" w:ascii="宋体" w:hAnsi="宋体"/>
          <w:snapToGrid w:val="0"/>
          <w:color w:val="auto"/>
          <w:kern w:val="0"/>
          <w:szCs w:val="21"/>
          <w:highlight w:val="none"/>
          <w:lang w:val="en-US" w:eastAsia="zh-CN"/>
        </w:rPr>
        <w:t>2</w:t>
      </w:r>
      <w:r>
        <w:rPr>
          <w:rFonts w:hint="eastAsia" w:ascii="宋体" w:hAnsi="宋体"/>
          <w:snapToGrid w:val="0"/>
          <w:color w:val="auto"/>
          <w:kern w:val="0"/>
          <w:szCs w:val="21"/>
          <w:highlight w:val="none"/>
        </w:rPr>
        <w:t>：</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（盖单位公章）</w:t>
      </w:r>
    </w:p>
    <w:p w14:paraId="045F51DD">
      <w:pPr>
        <w:spacing w:line="360" w:lineRule="auto"/>
        <w:ind w:firstLine="420" w:firstLineChars="200"/>
        <w:rPr>
          <w:rFonts w:ascii="宋体" w:hAnsi="宋体"/>
          <w:snapToGrid w:val="0"/>
          <w:color w:val="auto"/>
          <w:kern w:val="0"/>
          <w:szCs w:val="21"/>
          <w:highlight w:val="none"/>
        </w:rPr>
      </w:pPr>
    </w:p>
    <w:p w14:paraId="3861CF3D">
      <w:pPr>
        <w:spacing w:line="360" w:lineRule="auto"/>
        <w:ind w:firstLine="420" w:firstLineChars="200"/>
        <w:rPr>
          <w:rFonts w:ascii="宋体" w:hAnsi="宋体"/>
          <w:snapToGrid w:val="0"/>
          <w:color w:val="auto"/>
          <w:kern w:val="0"/>
          <w:szCs w:val="21"/>
          <w:highlight w:val="none"/>
        </w:rPr>
      </w:pPr>
    </w:p>
    <w:p w14:paraId="6F394486">
      <w:pPr>
        <w:spacing w:line="360" w:lineRule="auto"/>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法定代表人或其委托代理人：</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（签名）</w:t>
      </w:r>
    </w:p>
    <w:p w14:paraId="0366FFDD">
      <w:pPr>
        <w:spacing w:line="360" w:lineRule="auto"/>
        <w:ind w:firstLine="420" w:firstLineChars="200"/>
        <w:rPr>
          <w:rFonts w:ascii="宋体" w:hAnsi="宋体"/>
          <w:snapToGrid w:val="0"/>
          <w:color w:val="auto"/>
          <w:kern w:val="0"/>
          <w:szCs w:val="21"/>
          <w:highlight w:val="none"/>
        </w:rPr>
      </w:pPr>
    </w:p>
    <w:p w14:paraId="4ED10DD0">
      <w:pPr>
        <w:spacing w:line="360" w:lineRule="auto"/>
        <w:ind w:firstLine="420" w:firstLineChars="200"/>
        <w:rPr>
          <w:rFonts w:ascii="宋体" w:hAnsi="宋体"/>
          <w:snapToGrid w:val="0"/>
          <w:color w:val="auto"/>
          <w:kern w:val="0"/>
          <w:szCs w:val="21"/>
          <w:highlight w:val="none"/>
        </w:rPr>
      </w:pPr>
    </w:p>
    <w:p w14:paraId="3D28A899">
      <w:pPr>
        <w:spacing w:line="360" w:lineRule="auto"/>
        <w:ind w:firstLine="420" w:firstLineChars="200"/>
        <w:rPr>
          <w:rFonts w:ascii="宋体" w:hAnsi="宋体"/>
          <w:color w:val="auto"/>
          <w:szCs w:val="21"/>
          <w:highlight w:val="none"/>
        </w:rPr>
      </w:pPr>
      <w:r>
        <w:rPr>
          <w:rFonts w:hint="eastAsia" w:ascii="宋体" w:hAnsi="宋体"/>
          <w:snapToGrid w:val="0"/>
          <w:color w:val="auto"/>
          <w:kern w:val="0"/>
          <w:szCs w:val="21"/>
          <w:highlight w:val="none"/>
        </w:rPr>
        <w:t>承包人：</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（盖单位公章）</w:t>
      </w:r>
    </w:p>
    <w:p w14:paraId="09C4EACA">
      <w:pPr>
        <w:spacing w:line="360" w:lineRule="auto"/>
        <w:ind w:firstLine="420" w:firstLineChars="200"/>
        <w:rPr>
          <w:rFonts w:ascii="宋体" w:hAnsi="宋体"/>
          <w:snapToGrid w:val="0"/>
          <w:color w:val="auto"/>
          <w:kern w:val="0"/>
          <w:szCs w:val="21"/>
          <w:highlight w:val="none"/>
        </w:rPr>
      </w:pPr>
    </w:p>
    <w:p w14:paraId="5590F75B">
      <w:pPr>
        <w:spacing w:line="360" w:lineRule="auto"/>
        <w:ind w:firstLine="420" w:firstLineChars="200"/>
        <w:rPr>
          <w:rFonts w:ascii="宋体" w:hAnsi="宋体"/>
          <w:snapToGrid w:val="0"/>
          <w:color w:val="auto"/>
          <w:kern w:val="0"/>
          <w:szCs w:val="21"/>
          <w:highlight w:val="none"/>
        </w:rPr>
      </w:pPr>
    </w:p>
    <w:p w14:paraId="7B7CE1DF">
      <w:pPr>
        <w:spacing w:line="360" w:lineRule="auto"/>
        <w:ind w:firstLine="420" w:firstLineChars="200"/>
        <w:rPr>
          <w:rFonts w:ascii="宋体" w:hAnsi="宋体"/>
          <w:bCs/>
          <w:color w:val="auto"/>
          <w:kern w:val="0"/>
          <w:szCs w:val="21"/>
          <w:highlight w:val="none"/>
        </w:rPr>
      </w:pPr>
      <w:r>
        <w:rPr>
          <w:rFonts w:hint="eastAsia" w:ascii="宋体" w:hAnsi="宋体"/>
          <w:snapToGrid w:val="0"/>
          <w:color w:val="auto"/>
          <w:kern w:val="0"/>
          <w:szCs w:val="21"/>
          <w:highlight w:val="none"/>
        </w:rPr>
        <w:t>法定代表人或其委托代理人：</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（签名）</w:t>
      </w:r>
    </w:p>
    <w:p w14:paraId="36BBD16F">
      <w:pPr>
        <w:spacing w:line="360" w:lineRule="auto"/>
        <w:ind w:firstLine="418" w:firstLineChars="200"/>
        <w:rPr>
          <w:rFonts w:ascii="宋体" w:hAnsi="宋体"/>
          <w:snapToGrid w:val="0"/>
          <w:color w:val="auto"/>
          <w:spacing w:val="1"/>
          <w:w w:val="99"/>
          <w:kern w:val="0"/>
          <w:position w:val="-2"/>
          <w:szCs w:val="21"/>
          <w:highlight w:val="none"/>
        </w:rPr>
      </w:pPr>
    </w:p>
    <w:p w14:paraId="04757613">
      <w:pPr>
        <w:spacing w:line="360" w:lineRule="auto"/>
        <w:ind w:firstLine="418" w:firstLineChars="200"/>
        <w:rPr>
          <w:rFonts w:ascii="宋体" w:hAnsi="宋体"/>
          <w:snapToGrid w:val="0"/>
          <w:color w:val="auto"/>
          <w:spacing w:val="1"/>
          <w:w w:val="99"/>
          <w:kern w:val="0"/>
          <w:position w:val="-2"/>
          <w:szCs w:val="21"/>
          <w:highlight w:val="none"/>
        </w:rPr>
      </w:pPr>
    </w:p>
    <w:p w14:paraId="4B312C42">
      <w:pPr>
        <w:spacing w:line="360" w:lineRule="auto"/>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签约时间：</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年</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月</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rPr>
        <w:t>日</w:t>
      </w:r>
    </w:p>
    <w:p w14:paraId="12844D7D">
      <w:pPr>
        <w:spacing w:line="480" w:lineRule="auto"/>
        <w:rPr>
          <w:rFonts w:ascii="宋体" w:hAnsi="宋体"/>
          <w:color w:val="auto"/>
          <w:szCs w:val="21"/>
          <w:highlight w:val="none"/>
        </w:rPr>
      </w:pPr>
      <w:r>
        <w:rPr>
          <w:rFonts w:hint="eastAsia" w:ascii="宋体" w:hAnsi="宋体"/>
          <w:color w:val="auto"/>
          <w:szCs w:val="21"/>
          <w:highlight w:val="none"/>
        </w:rPr>
        <w:br w:type="page"/>
      </w:r>
      <w:r>
        <w:rPr>
          <w:rFonts w:hint="eastAsia" w:ascii="宋体" w:hAnsi="宋体"/>
          <w:color w:val="auto"/>
          <w:szCs w:val="21"/>
          <w:highlight w:val="none"/>
        </w:rPr>
        <w:t>附件2：</w:t>
      </w:r>
    </w:p>
    <w:p w14:paraId="29BDDE40">
      <w:pPr>
        <w:spacing w:before="156" w:beforeLines="50" w:after="156" w:afterLines="50" w:line="480" w:lineRule="auto"/>
        <w:jc w:val="center"/>
        <w:rPr>
          <w:rFonts w:ascii="宋体" w:hAnsi="宋体"/>
          <w:color w:val="auto"/>
          <w:szCs w:val="21"/>
          <w:highlight w:val="none"/>
        </w:rPr>
      </w:pPr>
      <w:r>
        <w:rPr>
          <w:rFonts w:hint="eastAsia" w:ascii="宋体" w:hAnsi="宋体"/>
          <w:color w:val="auto"/>
          <w:szCs w:val="21"/>
          <w:highlight w:val="none"/>
        </w:rPr>
        <w:t>主要建设工程文件目录</w:t>
      </w:r>
    </w:p>
    <w:tbl>
      <w:tblPr>
        <w:tblStyle w:val="17"/>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536"/>
        <w:gridCol w:w="1418"/>
        <w:gridCol w:w="1418"/>
        <w:gridCol w:w="2917"/>
      </w:tblGrid>
      <w:tr w14:paraId="1BC6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3536" w:type="dxa"/>
            <w:vAlign w:val="center"/>
          </w:tcPr>
          <w:p w14:paraId="27D56AB7">
            <w:pPr>
              <w:spacing w:line="400" w:lineRule="exact"/>
              <w:jc w:val="center"/>
              <w:rPr>
                <w:rFonts w:ascii="宋体" w:hAnsi="宋体"/>
                <w:color w:val="auto"/>
                <w:szCs w:val="21"/>
                <w:highlight w:val="none"/>
              </w:rPr>
            </w:pPr>
            <w:r>
              <w:rPr>
                <w:rFonts w:hint="eastAsia" w:ascii="宋体" w:hAnsi="宋体"/>
                <w:color w:val="auto"/>
                <w:szCs w:val="21"/>
                <w:highlight w:val="none"/>
              </w:rPr>
              <w:t>文件名称</w:t>
            </w:r>
          </w:p>
        </w:tc>
        <w:tc>
          <w:tcPr>
            <w:tcW w:w="1418" w:type="dxa"/>
            <w:vAlign w:val="center"/>
          </w:tcPr>
          <w:p w14:paraId="1469181E">
            <w:pPr>
              <w:spacing w:line="400" w:lineRule="exact"/>
              <w:jc w:val="center"/>
              <w:rPr>
                <w:rFonts w:ascii="宋体" w:hAnsi="宋体"/>
                <w:color w:val="auto"/>
                <w:szCs w:val="21"/>
                <w:highlight w:val="none"/>
              </w:rPr>
            </w:pPr>
            <w:r>
              <w:rPr>
                <w:rFonts w:hint="eastAsia" w:ascii="宋体" w:hAnsi="宋体"/>
                <w:color w:val="auto"/>
                <w:szCs w:val="21"/>
                <w:highlight w:val="none"/>
              </w:rPr>
              <w:t>套数</w:t>
            </w:r>
          </w:p>
        </w:tc>
        <w:tc>
          <w:tcPr>
            <w:tcW w:w="1418" w:type="dxa"/>
          </w:tcPr>
          <w:p w14:paraId="29E50566">
            <w:pPr>
              <w:spacing w:line="400" w:lineRule="exact"/>
              <w:jc w:val="center"/>
              <w:rPr>
                <w:rFonts w:ascii="宋体" w:hAnsi="宋体"/>
                <w:color w:val="auto"/>
                <w:szCs w:val="21"/>
                <w:highlight w:val="none"/>
              </w:rPr>
            </w:pPr>
            <w:r>
              <w:rPr>
                <w:rFonts w:hint="eastAsia" w:ascii="宋体" w:hAnsi="宋体"/>
                <w:color w:val="auto"/>
                <w:szCs w:val="21"/>
                <w:highlight w:val="none"/>
              </w:rPr>
              <w:t>移交时间</w:t>
            </w:r>
          </w:p>
        </w:tc>
        <w:tc>
          <w:tcPr>
            <w:tcW w:w="2917" w:type="dxa"/>
          </w:tcPr>
          <w:p w14:paraId="3783240D">
            <w:pPr>
              <w:spacing w:line="400" w:lineRule="exact"/>
              <w:jc w:val="center"/>
              <w:rPr>
                <w:rFonts w:ascii="宋体" w:hAnsi="宋体"/>
                <w:color w:val="auto"/>
                <w:szCs w:val="21"/>
                <w:highlight w:val="none"/>
              </w:rPr>
            </w:pPr>
            <w:r>
              <w:rPr>
                <w:rFonts w:hint="eastAsia" w:ascii="宋体" w:hAnsi="宋体"/>
                <w:color w:val="auto"/>
                <w:szCs w:val="21"/>
                <w:highlight w:val="none"/>
              </w:rPr>
              <w:t>责任人</w:t>
            </w:r>
          </w:p>
        </w:tc>
      </w:tr>
      <w:tr w14:paraId="4010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vAlign w:val="center"/>
          </w:tcPr>
          <w:p w14:paraId="5D3939F2">
            <w:pPr>
              <w:spacing w:line="400" w:lineRule="exact"/>
              <w:ind w:firstLine="420" w:firstLineChars="200"/>
              <w:rPr>
                <w:rFonts w:ascii="宋体" w:hAnsi="宋体"/>
                <w:color w:val="auto"/>
                <w:szCs w:val="21"/>
                <w:highlight w:val="none"/>
              </w:rPr>
            </w:pPr>
          </w:p>
        </w:tc>
        <w:tc>
          <w:tcPr>
            <w:tcW w:w="1418" w:type="dxa"/>
            <w:vAlign w:val="center"/>
          </w:tcPr>
          <w:p w14:paraId="091AACF2">
            <w:pPr>
              <w:spacing w:line="400" w:lineRule="exact"/>
              <w:ind w:firstLine="420" w:firstLineChars="200"/>
              <w:rPr>
                <w:rFonts w:ascii="宋体" w:hAnsi="宋体"/>
                <w:color w:val="auto"/>
                <w:szCs w:val="21"/>
                <w:highlight w:val="none"/>
              </w:rPr>
            </w:pPr>
          </w:p>
        </w:tc>
        <w:tc>
          <w:tcPr>
            <w:tcW w:w="1418" w:type="dxa"/>
            <w:vAlign w:val="center"/>
          </w:tcPr>
          <w:p w14:paraId="0D121019">
            <w:pPr>
              <w:spacing w:line="400" w:lineRule="exact"/>
              <w:ind w:firstLine="420" w:firstLineChars="200"/>
              <w:rPr>
                <w:rFonts w:ascii="宋体" w:hAnsi="宋体"/>
                <w:color w:val="auto"/>
                <w:szCs w:val="21"/>
                <w:highlight w:val="none"/>
              </w:rPr>
            </w:pPr>
          </w:p>
        </w:tc>
        <w:tc>
          <w:tcPr>
            <w:tcW w:w="2917" w:type="dxa"/>
            <w:vAlign w:val="center"/>
          </w:tcPr>
          <w:p w14:paraId="5713ABD0">
            <w:pPr>
              <w:spacing w:line="400" w:lineRule="exact"/>
              <w:ind w:firstLine="420" w:firstLineChars="200"/>
              <w:rPr>
                <w:rFonts w:ascii="宋体" w:hAnsi="宋体"/>
                <w:color w:val="auto"/>
                <w:szCs w:val="21"/>
                <w:highlight w:val="none"/>
              </w:rPr>
            </w:pPr>
          </w:p>
        </w:tc>
      </w:tr>
      <w:tr w14:paraId="2BF5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vAlign w:val="center"/>
          </w:tcPr>
          <w:p w14:paraId="73CB24DF">
            <w:pPr>
              <w:spacing w:line="400" w:lineRule="exact"/>
              <w:ind w:firstLine="420" w:firstLineChars="200"/>
              <w:rPr>
                <w:rFonts w:ascii="宋体" w:hAnsi="宋体"/>
                <w:color w:val="auto"/>
                <w:szCs w:val="21"/>
                <w:highlight w:val="none"/>
              </w:rPr>
            </w:pPr>
          </w:p>
        </w:tc>
        <w:tc>
          <w:tcPr>
            <w:tcW w:w="1418" w:type="dxa"/>
            <w:vAlign w:val="center"/>
          </w:tcPr>
          <w:p w14:paraId="4C02FF02">
            <w:pPr>
              <w:spacing w:line="400" w:lineRule="exact"/>
              <w:ind w:firstLine="420" w:firstLineChars="200"/>
              <w:rPr>
                <w:rFonts w:ascii="宋体" w:hAnsi="宋体"/>
                <w:color w:val="auto"/>
                <w:szCs w:val="21"/>
                <w:highlight w:val="none"/>
              </w:rPr>
            </w:pPr>
          </w:p>
        </w:tc>
        <w:tc>
          <w:tcPr>
            <w:tcW w:w="1418" w:type="dxa"/>
            <w:vAlign w:val="center"/>
          </w:tcPr>
          <w:p w14:paraId="61A5860E">
            <w:pPr>
              <w:spacing w:line="400" w:lineRule="exact"/>
              <w:ind w:firstLine="420" w:firstLineChars="200"/>
              <w:rPr>
                <w:rFonts w:ascii="宋体" w:hAnsi="宋体"/>
                <w:color w:val="auto"/>
                <w:szCs w:val="21"/>
                <w:highlight w:val="none"/>
              </w:rPr>
            </w:pPr>
          </w:p>
        </w:tc>
        <w:tc>
          <w:tcPr>
            <w:tcW w:w="2917" w:type="dxa"/>
            <w:vAlign w:val="center"/>
          </w:tcPr>
          <w:p w14:paraId="7EF48F2A">
            <w:pPr>
              <w:spacing w:line="400" w:lineRule="exact"/>
              <w:ind w:firstLine="420" w:firstLineChars="200"/>
              <w:rPr>
                <w:rFonts w:ascii="宋体" w:hAnsi="宋体"/>
                <w:color w:val="auto"/>
                <w:szCs w:val="21"/>
                <w:highlight w:val="none"/>
              </w:rPr>
            </w:pPr>
          </w:p>
        </w:tc>
      </w:tr>
      <w:tr w14:paraId="72FE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vAlign w:val="center"/>
          </w:tcPr>
          <w:p w14:paraId="2539E437">
            <w:pPr>
              <w:spacing w:line="400" w:lineRule="exact"/>
              <w:ind w:firstLine="420" w:firstLineChars="200"/>
              <w:rPr>
                <w:rFonts w:ascii="宋体" w:hAnsi="宋体"/>
                <w:color w:val="auto"/>
                <w:szCs w:val="21"/>
                <w:highlight w:val="none"/>
              </w:rPr>
            </w:pPr>
          </w:p>
        </w:tc>
        <w:tc>
          <w:tcPr>
            <w:tcW w:w="1418" w:type="dxa"/>
            <w:vAlign w:val="center"/>
          </w:tcPr>
          <w:p w14:paraId="79A81AFF">
            <w:pPr>
              <w:spacing w:line="400" w:lineRule="exact"/>
              <w:ind w:firstLine="420" w:firstLineChars="200"/>
              <w:rPr>
                <w:rFonts w:ascii="宋体" w:hAnsi="宋体"/>
                <w:color w:val="auto"/>
                <w:szCs w:val="21"/>
                <w:highlight w:val="none"/>
              </w:rPr>
            </w:pPr>
          </w:p>
        </w:tc>
        <w:tc>
          <w:tcPr>
            <w:tcW w:w="1418" w:type="dxa"/>
            <w:vAlign w:val="center"/>
          </w:tcPr>
          <w:p w14:paraId="29AA2F51">
            <w:pPr>
              <w:spacing w:line="400" w:lineRule="exact"/>
              <w:ind w:firstLine="420" w:firstLineChars="200"/>
              <w:rPr>
                <w:rFonts w:ascii="宋体" w:hAnsi="宋体"/>
                <w:color w:val="auto"/>
                <w:szCs w:val="21"/>
                <w:highlight w:val="none"/>
              </w:rPr>
            </w:pPr>
          </w:p>
        </w:tc>
        <w:tc>
          <w:tcPr>
            <w:tcW w:w="2917" w:type="dxa"/>
            <w:vAlign w:val="center"/>
          </w:tcPr>
          <w:p w14:paraId="7BB8A66C">
            <w:pPr>
              <w:spacing w:line="400" w:lineRule="exact"/>
              <w:ind w:firstLine="420" w:firstLineChars="200"/>
              <w:rPr>
                <w:rFonts w:ascii="宋体" w:hAnsi="宋体"/>
                <w:color w:val="auto"/>
                <w:szCs w:val="21"/>
                <w:highlight w:val="none"/>
              </w:rPr>
            </w:pPr>
          </w:p>
        </w:tc>
      </w:tr>
      <w:tr w14:paraId="213F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vAlign w:val="center"/>
          </w:tcPr>
          <w:p w14:paraId="136E4D48">
            <w:pPr>
              <w:spacing w:line="400" w:lineRule="exact"/>
              <w:ind w:firstLine="420" w:firstLineChars="200"/>
              <w:rPr>
                <w:rFonts w:ascii="宋体" w:hAnsi="宋体"/>
                <w:color w:val="auto"/>
                <w:szCs w:val="21"/>
                <w:highlight w:val="none"/>
              </w:rPr>
            </w:pPr>
          </w:p>
        </w:tc>
        <w:tc>
          <w:tcPr>
            <w:tcW w:w="1418" w:type="dxa"/>
            <w:vAlign w:val="center"/>
          </w:tcPr>
          <w:p w14:paraId="7FDE68F4">
            <w:pPr>
              <w:spacing w:line="400" w:lineRule="exact"/>
              <w:ind w:firstLine="420" w:firstLineChars="200"/>
              <w:rPr>
                <w:rFonts w:ascii="宋体" w:hAnsi="宋体"/>
                <w:color w:val="auto"/>
                <w:szCs w:val="21"/>
                <w:highlight w:val="none"/>
              </w:rPr>
            </w:pPr>
          </w:p>
        </w:tc>
        <w:tc>
          <w:tcPr>
            <w:tcW w:w="1418" w:type="dxa"/>
            <w:vAlign w:val="center"/>
          </w:tcPr>
          <w:p w14:paraId="4E40A8E2">
            <w:pPr>
              <w:spacing w:line="400" w:lineRule="exact"/>
              <w:ind w:firstLine="420" w:firstLineChars="200"/>
              <w:rPr>
                <w:rFonts w:ascii="宋体" w:hAnsi="宋体"/>
                <w:color w:val="auto"/>
                <w:szCs w:val="21"/>
                <w:highlight w:val="none"/>
              </w:rPr>
            </w:pPr>
          </w:p>
        </w:tc>
        <w:tc>
          <w:tcPr>
            <w:tcW w:w="2917" w:type="dxa"/>
            <w:vAlign w:val="center"/>
          </w:tcPr>
          <w:p w14:paraId="7F64C48A">
            <w:pPr>
              <w:spacing w:line="400" w:lineRule="exact"/>
              <w:ind w:firstLine="420" w:firstLineChars="200"/>
              <w:rPr>
                <w:rFonts w:ascii="宋体" w:hAnsi="宋体"/>
                <w:color w:val="auto"/>
                <w:szCs w:val="21"/>
                <w:highlight w:val="none"/>
              </w:rPr>
            </w:pPr>
          </w:p>
        </w:tc>
      </w:tr>
      <w:tr w14:paraId="3457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vAlign w:val="center"/>
          </w:tcPr>
          <w:p w14:paraId="052DA0DB">
            <w:pPr>
              <w:spacing w:line="400" w:lineRule="exact"/>
              <w:ind w:firstLine="420" w:firstLineChars="200"/>
              <w:rPr>
                <w:rFonts w:ascii="宋体" w:hAnsi="宋体"/>
                <w:color w:val="auto"/>
                <w:szCs w:val="21"/>
                <w:highlight w:val="none"/>
              </w:rPr>
            </w:pPr>
          </w:p>
        </w:tc>
        <w:tc>
          <w:tcPr>
            <w:tcW w:w="1418" w:type="dxa"/>
            <w:vAlign w:val="center"/>
          </w:tcPr>
          <w:p w14:paraId="32500C1A">
            <w:pPr>
              <w:spacing w:line="400" w:lineRule="exact"/>
              <w:ind w:firstLine="420" w:firstLineChars="200"/>
              <w:rPr>
                <w:rFonts w:ascii="宋体" w:hAnsi="宋体"/>
                <w:color w:val="auto"/>
                <w:szCs w:val="21"/>
                <w:highlight w:val="none"/>
              </w:rPr>
            </w:pPr>
          </w:p>
        </w:tc>
        <w:tc>
          <w:tcPr>
            <w:tcW w:w="1418" w:type="dxa"/>
            <w:vAlign w:val="center"/>
          </w:tcPr>
          <w:p w14:paraId="55ACF2F5">
            <w:pPr>
              <w:spacing w:line="400" w:lineRule="exact"/>
              <w:ind w:firstLine="420" w:firstLineChars="200"/>
              <w:rPr>
                <w:rFonts w:ascii="宋体" w:hAnsi="宋体"/>
                <w:color w:val="auto"/>
                <w:szCs w:val="21"/>
                <w:highlight w:val="none"/>
              </w:rPr>
            </w:pPr>
          </w:p>
        </w:tc>
        <w:tc>
          <w:tcPr>
            <w:tcW w:w="2917" w:type="dxa"/>
            <w:vAlign w:val="center"/>
          </w:tcPr>
          <w:p w14:paraId="1F97BF8D">
            <w:pPr>
              <w:spacing w:line="400" w:lineRule="exact"/>
              <w:ind w:firstLine="420" w:firstLineChars="200"/>
              <w:rPr>
                <w:rFonts w:ascii="宋体" w:hAnsi="宋体"/>
                <w:color w:val="auto"/>
                <w:szCs w:val="21"/>
                <w:highlight w:val="none"/>
              </w:rPr>
            </w:pPr>
          </w:p>
        </w:tc>
      </w:tr>
      <w:tr w14:paraId="2610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vAlign w:val="center"/>
          </w:tcPr>
          <w:p w14:paraId="1256608B">
            <w:pPr>
              <w:spacing w:line="400" w:lineRule="exact"/>
              <w:ind w:firstLine="420" w:firstLineChars="200"/>
              <w:rPr>
                <w:rFonts w:ascii="宋体" w:hAnsi="宋体"/>
                <w:color w:val="auto"/>
                <w:szCs w:val="21"/>
                <w:highlight w:val="none"/>
              </w:rPr>
            </w:pPr>
          </w:p>
        </w:tc>
        <w:tc>
          <w:tcPr>
            <w:tcW w:w="1418" w:type="dxa"/>
            <w:vAlign w:val="center"/>
          </w:tcPr>
          <w:p w14:paraId="27EE7DD4">
            <w:pPr>
              <w:spacing w:line="400" w:lineRule="exact"/>
              <w:ind w:firstLine="420" w:firstLineChars="200"/>
              <w:rPr>
                <w:rFonts w:ascii="宋体" w:hAnsi="宋体"/>
                <w:color w:val="auto"/>
                <w:szCs w:val="21"/>
                <w:highlight w:val="none"/>
              </w:rPr>
            </w:pPr>
          </w:p>
        </w:tc>
        <w:tc>
          <w:tcPr>
            <w:tcW w:w="1418" w:type="dxa"/>
            <w:vAlign w:val="center"/>
          </w:tcPr>
          <w:p w14:paraId="71673185">
            <w:pPr>
              <w:spacing w:line="400" w:lineRule="exact"/>
              <w:ind w:firstLine="420" w:firstLineChars="200"/>
              <w:rPr>
                <w:rFonts w:ascii="宋体" w:hAnsi="宋体"/>
                <w:color w:val="auto"/>
                <w:szCs w:val="21"/>
                <w:highlight w:val="none"/>
              </w:rPr>
            </w:pPr>
          </w:p>
        </w:tc>
        <w:tc>
          <w:tcPr>
            <w:tcW w:w="2917" w:type="dxa"/>
            <w:vAlign w:val="center"/>
          </w:tcPr>
          <w:p w14:paraId="4DC4FB82">
            <w:pPr>
              <w:spacing w:line="400" w:lineRule="exact"/>
              <w:ind w:firstLine="420" w:firstLineChars="200"/>
              <w:rPr>
                <w:rFonts w:ascii="宋体" w:hAnsi="宋体"/>
                <w:color w:val="auto"/>
                <w:szCs w:val="21"/>
                <w:highlight w:val="none"/>
              </w:rPr>
            </w:pPr>
          </w:p>
        </w:tc>
      </w:tr>
      <w:tr w14:paraId="0C2A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vAlign w:val="center"/>
          </w:tcPr>
          <w:p w14:paraId="4601C54A">
            <w:pPr>
              <w:spacing w:line="400" w:lineRule="exact"/>
              <w:ind w:firstLine="420" w:firstLineChars="200"/>
              <w:rPr>
                <w:rFonts w:ascii="宋体" w:hAnsi="宋体"/>
                <w:color w:val="auto"/>
                <w:szCs w:val="21"/>
                <w:highlight w:val="none"/>
              </w:rPr>
            </w:pPr>
          </w:p>
        </w:tc>
        <w:tc>
          <w:tcPr>
            <w:tcW w:w="1418" w:type="dxa"/>
            <w:vAlign w:val="center"/>
          </w:tcPr>
          <w:p w14:paraId="50B86044">
            <w:pPr>
              <w:spacing w:line="400" w:lineRule="exact"/>
              <w:ind w:firstLine="420" w:firstLineChars="200"/>
              <w:rPr>
                <w:rFonts w:ascii="宋体" w:hAnsi="宋体"/>
                <w:color w:val="auto"/>
                <w:szCs w:val="21"/>
                <w:highlight w:val="none"/>
              </w:rPr>
            </w:pPr>
          </w:p>
        </w:tc>
        <w:tc>
          <w:tcPr>
            <w:tcW w:w="1418" w:type="dxa"/>
            <w:vAlign w:val="center"/>
          </w:tcPr>
          <w:p w14:paraId="78030289">
            <w:pPr>
              <w:spacing w:line="400" w:lineRule="exact"/>
              <w:ind w:firstLine="420" w:firstLineChars="200"/>
              <w:rPr>
                <w:rFonts w:ascii="宋体" w:hAnsi="宋体"/>
                <w:color w:val="auto"/>
                <w:szCs w:val="21"/>
                <w:highlight w:val="none"/>
              </w:rPr>
            </w:pPr>
          </w:p>
        </w:tc>
        <w:tc>
          <w:tcPr>
            <w:tcW w:w="2917" w:type="dxa"/>
            <w:vAlign w:val="center"/>
          </w:tcPr>
          <w:p w14:paraId="1707CCF6">
            <w:pPr>
              <w:spacing w:line="400" w:lineRule="exact"/>
              <w:ind w:firstLine="420" w:firstLineChars="200"/>
              <w:rPr>
                <w:rFonts w:ascii="宋体" w:hAnsi="宋体"/>
                <w:color w:val="auto"/>
                <w:szCs w:val="21"/>
                <w:highlight w:val="none"/>
              </w:rPr>
            </w:pPr>
          </w:p>
        </w:tc>
      </w:tr>
      <w:tr w14:paraId="416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vAlign w:val="center"/>
          </w:tcPr>
          <w:p w14:paraId="6C3E6369">
            <w:pPr>
              <w:spacing w:line="400" w:lineRule="exact"/>
              <w:ind w:firstLine="420" w:firstLineChars="200"/>
              <w:rPr>
                <w:rFonts w:ascii="宋体" w:hAnsi="宋体"/>
                <w:color w:val="auto"/>
                <w:szCs w:val="21"/>
                <w:highlight w:val="none"/>
              </w:rPr>
            </w:pPr>
          </w:p>
        </w:tc>
        <w:tc>
          <w:tcPr>
            <w:tcW w:w="1418" w:type="dxa"/>
            <w:vAlign w:val="center"/>
          </w:tcPr>
          <w:p w14:paraId="2E7D7F92">
            <w:pPr>
              <w:spacing w:line="400" w:lineRule="exact"/>
              <w:ind w:firstLine="420" w:firstLineChars="200"/>
              <w:rPr>
                <w:rFonts w:ascii="宋体" w:hAnsi="宋体"/>
                <w:color w:val="auto"/>
                <w:szCs w:val="21"/>
                <w:highlight w:val="none"/>
              </w:rPr>
            </w:pPr>
          </w:p>
        </w:tc>
        <w:tc>
          <w:tcPr>
            <w:tcW w:w="1418" w:type="dxa"/>
            <w:vAlign w:val="center"/>
          </w:tcPr>
          <w:p w14:paraId="12A51AA4">
            <w:pPr>
              <w:spacing w:line="400" w:lineRule="exact"/>
              <w:ind w:firstLine="420" w:firstLineChars="200"/>
              <w:rPr>
                <w:rFonts w:ascii="宋体" w:hAnsi="宋体"/>
                <w:color w:val="auto"/>
                <w:szCs w:val="21"/>
                <w:highlight w:val="none"/>
              </w:rPr>
            </w:pPr>
          </w:p>
        </w:tc>
        <w:tc>
          <w:tcPr>
            <w:tcW w:w="2917" w:type="dxa"/>
            <w:vAlign w:val="center"/>
          </w:tcPr>
          <w:p w14:paraId="31FD1BA2">
            <w:pPr>
              <w:spacing w:line="400" w:lineRule="exact"/>
              <w:ind w:firstLine="420" w:firstLineChars="200"/>
              <w:rPr>
                <w:rFonts w:ascii="宋体" w:hAnsi="宋体"/>
                <w:color w:val="auto"/>
                <w:szCs w:val="21"/>
                <w:highlight w:val="none"/>
              </w:rPr>
            </w:pPr>
          </w:p>
        </w:tc>
      </w:tr>
      <w:tr w14:paraId="67A8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tcPr>
          <w:p w14:paraId="6A047A70">
            <w:pPr>
              <w:spacing w:line="400" w:lineRule="exact"/>
              <w:ind w:firstLine="420" w:firstLineChars="200"/>
              <w:rPr>
                <w:rFonts w:ascii="宋体" w:hAnsi="宋体"/>
                <w:color w:val="auto"/>
                <w:szCs w:val="21"/>
                <w:highlight w:val="none"/>
              </w:rPr>
            </w:pPr>
          </w:p>
        </w:tc>
        <w:tc>
          <w:tcPr>
            <w:tcW w:w="1418" w:type="dxa"/>
          </w:tcPr>
          <w:p w14:paraId="699AB905">
            <w:pPr>
              <w:spacing w:line="400" w:lineRule="exact"/>
              <w:ind w:firstLine="420" w:firstLineChars="200"/>
              <w:rPr>
                <w:rFonts w:ascii="宋体" w:hAnsi="宋体"/>
                <w:color w:val="auto"/>
                <w:szCs w:val="21"/>
                <w:highlight w:val="none"/>
              </w:rPr>
            </w:pPr>
          </w:p>
        </w:tc>
        <w:tc>
          <w:tcPr>
            <w:tcW w:w="1418" w:type="dxa"/>
          </w:tcPr>
          <w:p w14:paraId="315F3F27">
            <w:pPr>
              <w:spacing w:line="400" w:lineRule="exact"/>
              <w:ind w:firstLine="420" w:firstLineChars="200"/>
              <w:rPr>
                <w:rFonts w:ascii="宋体" w:hAnsi="宋体"/>
                <w:color w:val="auto"/>
                <w:szCs w:val="21"/>
                <w:highlight w:val="none"/>
              </w:rPr>
            </w:pPr>
          </w:p>
        </w:tc>
        <w:tc>
          <w:tcPr>
            <w:tcW w:w="2917" w:type="dxa"/>
          </w:tcPr>
          <w:p w14:paraId="6D627888">
            <w:pPr>
              <w:spacing w:line="400" w:lineRule="exact"/>
              <w:ind w:firstLine="420" w:firstLineChars="200"/>
              <w:rPr>
                <w:rFonts w:ascii="宋体" w:hAnsi="宋体"/>
                <w:color w:val="auto"/>
                <w:szCs w:val="21"/>
                <w:highlight w:val="none"/>
              </w:rPr>
            </w:pPr>
          </w:p>
        </w:tc>
      </w:tr>
      <w:tr w14:paraId="3E39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vAlign w:val="center"/>
          </w:tcPr>
          <w:p w14:paraId="225895C5">
            <w:pPr>
              <w:spacing w:line="400" w:lineRule="exact"/>
              <w:ind w:firstLine="420" w:firstLineChars="200"/>
              <w:rPr>
                <w:rFonts w:ascii="宋体" w:hAnsi="宋体"/>
                <w:color w:val="auto"/>
                <w:szCs w:val="21"/>
                <w:highlight w:val="none"/>
              </w:rPr>
            </w:pPr>
          </w:p>
        </w:tc>
        <w:tc>
          <w:tcPr>
            <w:tcW w:w="1418" w:type="dxa"/>
            <w:vAlign w:val="center"/>
          </w:tcPr>
          <w:p w14:paraId="2CD07EF6">
            <w:pPr>
              <w:spacing w:line="400" w:lineRule="exact"/>
              <w:ind w:firstLine="420" w:firstLineChars="200"/>
              <w:rPr>
                <w:rFonts w:ascii="宋体" w:hAnsi="宋体"/>
                <w:color w:val="auto"/>
                <w:szCs w:val="21"/>
                <w:highlight w:val="none"/>
              </w:rPr>
            </w:pPr>
          </w:p>
        </w:tc>
        <w:tc>
          <w:tcPr>
            <w:tcW w:w="1418" w:type="dxa"/>
            <w:vAlign w:val="center"/>
          </w:tcPr>
          <w:p w14:paraId="5AB4B3C3">
            <w:pPr>
              <w:spacing w:line="400" w:lineRule="exact"/>
              <w:ind w:firstLine="420" w:firstLineChars="200"/>
              <w:rPr>
                <w:rFonts w:ascii="宋体" w:hAnsi="宋体"/>
                <w:color w:val="auto"/>
                <w:szCs w:val="21"/>
                <w:highlight w:val="none"/>
              </w:rPr>
            </w:pPr>
          </w:p>
        </w:tc>
        <w:tc>
          <w:tcPr>
            <w:tcW w:w="2917" w:type="dxa"/>
            <w:vAlign w:val="center"/>
          </w:tcPr>
          <w:p w14:paraId="735E2608">
            <w:pPr>
              <w:spacing w:line="400" w:lineRule="exact"/>
              <w:ind w:firstLine="420" w:firstLineChars="200"/>
              <w:rPr>
                <w:rFonts w:ascii="宋体" w:hAnsi="宋体"/>
                <w:color w:val="auto"/>
                <w:szCs w:val="21"/>
                <w:highlight w:val="none"/>
              </w:rPr>
            </w:pPr>
          </w:p>
        </w:tc>
      </w:tr>
      <w:tr w14:paraId="327D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tcPr>
          <w:p w14:paraId="170EBAD3">
            <w:pPr>
              <w:spacing w:line="400" w:lineRule="exact"/>
              <w:ind w:firstLine="420" w:firstLineChars="200"/>
              <w:rPr>
                <w:rFonts w:ascii="宋体" w:hAnsi="宋体"/>
                <w:color w:val="auto"/>
                <w:szCs w:val="21"/>
                <w:highlight w:val="none"/>
              </w:rPr>
            </w:pPr>
          </w:p>
        </w:tc>
        <w:tc>
          <w:tcPr>
            <w:tcW w:w="1418" w:type="dxa"/>
          </w:tcPr>
          <w:p w14:paraId="5A1F098D">
            <w:pPr>
              <w:spacing w:line="400" w:lineRule="exact"/>
              <w:ind w:firstLine="420" w:firstLineChars="200"/>
              <w:rPr>
                <w:rFonts w:ascii="宋体" w:hAnsi="宋体"/>
                <w:color w:val="auto"/>
                <w:szCs w:val="21"/>
                <w:highlight w:val="none"/>
              </w:rPr>
            </w:pPr>
          </w:p>
        </w:tc>
        <w:tc>
          <w:tcPr>
            <w:tcW w:w="1418" w:type="dxa"/>
          </w:tcPr>
          <w:p w14:paraId="242D66E8">
            <w:pPr>
              <w:spacing w:line="400" w:lineRule="exact"/>
              <w:ind w:firstLine="420" w:firstLineChars="200"/>
              <w:rPr>
                <w:rFonts w:ascii="宋体" w:hAnsi="宋体"/>
                <w:color w:val="auto"/>
                <w:szCs w:val="21"/>
                <w:highlight w:val="none"/>
              </w:rPr>
            </w:pPr>
          </w:p>
        </w:tc>
        <w:tc>
          <w:tcPr>
            <w:tcW w:w="2917" w:type="dxa"/>
          </w:tcPr>
          <w:p w14:paraId="44563038">
            <w:pPr>
              <w:spacing w:line="400" w:lineRule="exact"/>
              <w:ind w:firstLine="420" w:firstLineChars="200"/>
              <w:rPr>
                <w:rFonts w:ascii="宋体" w:hAnsi="宋体"/>
                <w:color w:val="auto"/>
                <w:szCs w:val="21"/>
                <w:highlight w:val="none"/>
              </w:rPr>
            </w:pPr>
          </w:p>
        </w:tc>
      </w:tr>
      <w:tr w14:paraId="7CAA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tcPr>
          <w:p w14:paraId="6FBCF3B4">
            <w:pPr>
              <w:spacing w:line="400" w:lineRule="exact"/>
              <w:ind w:firstLine="420" w:firstLineChars="200"/>
              <w:rPr>
                <w:rFonts w:ascii="宋体" w:hAnsi="宋体"/>
                <w:color w:val="auto"/>
                <w:szCs w:val="21"/>
                <w:highlight w:val="none"/>
              </w:rPr>
            </w:pPr>
          </w:p>
        </w:tc>
        <w:tc>
          <w:tcPr>
            <w:tcW w:w="1418" w:type="dxa"/>
          </w:tcPr>
          <w:p w14:paraId="11142FED">
            <w:pPr>
              <w:spacing w:line="400" w:lineRule="exact"/>
              <w:ind w:firstLine="420" w:firstLineChars="200"/>
              <w:rPr>
                <w:rFonts w:ascii="宋体" w:hAnsi="宋体"/>
                <w:color w:val="auto"/>
                <w:szCs w:val="21"/>
                <w:highlight w:val="none"/>
              </w:rPr>
            </w:pPr>
          </w:p>
        </w:tc>
        <w:tc>
          <w:tcPr>
            <w:tcW w:w="1418" w:type="dxa"/>
          </w:tcPr>
          <w:p w14:paraId="269869AF">
            <w:pPr>
              <w:spacing w:line="400" w:lineRule="exact"/>
              <w:ind w:firstLine="420" w:firstLineChars="200"/>
              <w:rPr>
                <w:rFonts w:ascii="宋体" w:hAnsi="宋体"/>
                <w:color w:val="auto"/>
                <w:szCs w:val="21"/>
                <w:highlight w:val="none"/>
              </w:rPr>
            </w:pPr>
          </w:p>
        </w:tc>
        <w:tc>
          <w:tcPr>
            <w:tcW w:w="2917" w:type="dxa"/>
          </w:tcPr>
          <w:p w14:paraId="092C4A8F">
            <w:pPr>
              <w:spacing w:line="400" w:lineRule="exact"/>
              <w:ind w:firstLine="420" w:firstLineChars="200"/>
              <w:rPr>
                <w:rFonts w:ascii="宋体" w:hAnsi="宋体"/>
                <w:color w:val="auto"/>
                <w:szCs w:val="21"/>
                <w:highlight w:val="none"/>
              </w:rPr>
            </w:pPr>
          </w:p>
        </w:tc>
      </w:tr>
      <w:tr w14:paraId="4928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tcPr>
          <w:p w14:paraId="38069E72">
            <w:pPr>
              <w:spacing w:line="400" w:lineRule="exact"/>
              <w:ind w:firstLine="420" w:firstLineChars="200"/>
              <w:rPr>
                <w:rFonts w:ascii="宋体" w:hAnsi="宋体"/>
                <w:color w:val="auto"/>
                <w:szCs w:val="21"/>
                <w:highlight w:val="none"/>
              </w:rPr>
            </w:pPr>
          </w:p>
        </w:tc>
        <w:tc>
          <w:tcPr>
            <w:tcW w:w="1418" w:type="dxa"/>
          </w:tcPr>
          <w:p w14:paraId="77917A1B">
            <w:pPr>
              <w:spacing w:line="400" w:lineRule="exact"/>
              <w:ind w:firstLine="420" w:firstLineChars="200"/>
              <w:rPr>
                <w:rFonts w:ascii="宋体" w:hAnsi="宋体"/>
                <w:color w:val="auto"/>
                <w:szCs w:val="21"/>
                <w:highlight w:val="none"/>
              </w:rPr>
            </w:pPr>
          </w:p>
        </w:tc>
        <w:tc>
          <w:tcPr>
            <w:tcW w:w="1418" w:type="dxa"/>
          </w:tcPr>
          <w:p w14:paraId="1A204D11">
            <w:pPr>
              <w:spacing w:line="400" w:lineRule="exact"/>
              <w:ind w:firstLine="420" w:firstLineChars="200"/>
              <w:rPr>
                <w:rFonts w:ascii="宋体" w:hAnsi="宋体"/>
                <w:color w:val="auto"/>
                <w:szCs w:val="21"/>
                <w:highlight w:val="none"/>
              </w:rPr>
            </w:pPr>
          </w:p>
        </w:tc>
        <w:tc>
          <w:tcPr>
            <w:tcW w:w="2917" w:type="dxa"/>
          </w:tcPr>
          <w:p w14:paraId="0C350C98">
            <w:pPr>
              <w:spacing w:line="400" w:lineRule="exact"/>
              <w:ind w:firstLine="420" w:firstLineChars="200"/>
              <w:rPr>
                <w:rFonts w:ascii="宋体" w:hAnsi="宋体"/>
                <w:color w:val="auto"/>
                <w:szCs w:val="21"/>
                <w:highlight w:val="none"/>
              </w:rPr>
            </w:pPr>
          </w:p>
        </w:tc>
      </w:tr>
      <w:tr w14:paraId="335B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tcPr>
          <w:p w14:paraId="020DBCE9">
            <w:pPr>
              <w:spacing w:line="400" w:lineRule="exact"/>
              <w:ind w:firstLine="420" w:firstLineChars="200"/>
              <w:rPr>
                <w:rFonts w:ascii="宋体" w:hAnsi="宋体"/>
                <w:color w:val="auto"/>
                <w:szCs w:val="21"/>
                <w:highlight w:val="none"/>
              </w:rPr>
            </w:pPr>
          </w:p>
        </w:tc>
        <w:tc>
          <w:tcPr>
            <w:tcW w:w="1418" w:type="dxa"/>
          </w:tcPr>
          <w:p w14:paraId="7F196C2C">
            <w:pPr>
              <w:spacing w:line="400" w:lineRule="exact"/>
              <w:ind w:firstLine="420" w:firstLineChars="200"/>
              <w:rPr>
                <w:rFonts w:ascii="宋体" w:hAnsi="宋体"/>
                <w:color w:val="auto"/>
                <w:szCs w:val="21"/>
                <w:highlight w:val="none"/>
              </w:rPr>
            </w:pPr>
          </w:p>
        </w:tc>
        <w:tc>
          <w:tcPr>
            <w:tcW w:w="1418" w:type="dxa"/>
          </w:tcPr>
          <w:p w14:paraId="58D71D8E">
            <w:pPr>
              <w:spacing w:line="400" w:lineRule="exact"/>
              <w:ind w:firstLine="420" w:firstLineChars="200"/>
              <w:rPr>
                <w:rFonts w:ascii="宋体" w:hAnsi="宋体"/>
                <w:color w:val="auto"/>
                <w:szCs w:val="21"/>
                <w:highlight w:val="none"/>
              </w:rPr>
            </w:pPr>
          </w:p>
        </w:tc>
        <w:tc>
          <w:tcPr>
            <w:tcW w:w="2917" w:type="dxa"/>
          </w:tcPr>
          <w:p w14:paraId="0181999F">
            <w:pPr>
              <w:spacing w:line="400" w:lineRule="exact"/>
              <w:ind w:firstLine="420" w:firstLineChars="200"/>
              <w:rPr>
                <w:rFonts w:ascii="宋体" w:hAnsi="宋体"/>
                <w:color w:val="auto"/>
                <w:szCs w:val="21"/>
                <w:highlight w:val="none"/>
              </w:rPr>
            </w:pPr>
          </w:p>
        </w:tc>
      </w:tr>
      <w:tr w14:paraId="1590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tcPr>
          <w:p w14:paraId="2E7B9F36">
            <w:pPr>
              <w:spacing w:line="400" w:lineRule="exact"/>
              <w:ind w:firstLine="420" w:firstLineChars="200"/>
              <w:rPr>
                <w:rFonts w:ascii="宋体" w:hAnsi="宋体"/>
                <w:color w:val="auto"/>
                <w:szCs w:val="21"/>
                <w:highlight w:val="none"/>
              </w:rPr>
            </w:pPr>
          </w:p>
        </w:tc>
        <w:tc>
          <w:tcPr>
            <w:tcW w:w="1418" w:type="dxa"/>
          </w:tcPr>
          <w:p w14:paraId="7671F5CF">
            <w:pPr>
              <w:spacing w:line="400" w:lineRule="exact"/>
              <w:ind w:firstLine="420" w:firstLineChars="200"/>
              <w:rPr>
                <w:rFonts w:ascii="宋体" w:hAnsi="宋体"/>
                <w:color w:val="auto"/>
                <w:szCs w:val="21"/>
                <w:highlight w:val="none"/>
              </w:rPr>
            </w:pPr>
          </w:p>
        </w:tc>
        <w:tc>
          <w:tcPr>
            <w:tcW w:w="1418" w:type="dxa"/>
          </w:tcPr>
          <w:p w14:paraId="1EFC2897">
            <w:pPr>
              <w:spacing w:line="400" w:lineRule="exact"/>
              <w:ind w:firstLine="420" w:firstLineChars="200"/>
              <w:rPr>
                <w:rFonts w:ascii="宋体" w:hAnsi="宋体"/>
                <w:color w:val="auto"/>
                <w:szCs w:val="21"/>
                <w:highlight w:val="none"/>
              </w:rPr>
            </w:pPr>
          </w:p>
        </w:tc>
        <w:tc>
          <w:tcPr>
            <w:tcW w:w="2917" w:type="dxa"/>
          </w:tcPr>
          <w:p w14:paraId="3941CCF3">
            <w:pPr>
              <w:spacing w:line="400" w:lineRule="exact"/>
              <w:ind w:firstLine="420" w:firstLineChars="200"/>
              <w:rPr>
                <w:rFonts w:ascii="宋体" w:hAnsi="宋体"/>
                <w:color w:val="auto"/>
                <w:szCs w:val="21"/>
                <w:highlight w:val="none"/>
              </w:rPr>
            </w:pPr>
          </w:p>
        </w:tc>
      </w:tr>
      <w:tr w14:paraId="2946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tcPr>
          <w:p w14:paraId="45C6A0AA">
            <w:pPr>
              <w:spacing w:line="400" w:lineRule="exact"/>
              <w:ind w:firstLine="420" w:firstLineChars="200"/>
              <w:rPr>
                <w:rFonts w:ascii="宋体" w:hAnsi="宋体"/>
                <w:color w:val="auto"/>
                <w:szCs w:val="21"/>
                <w:highlight w:val="none"/>
              </w:rPr>
            </w:pPr>
          </w:p>
        </w:tc>
        <w:tc>
          <w:tcPr>
            <w:tcW w:w="1418" w:type="dxa"/>
          </w:tcPr>
          <w:p w14:paraId="6CF1CEE6">
            <w:pPr>
              <w:spacing w:line="400" w:lineRule="exact"/>
              <w:ind w:firstLine="420" w:firstLineChars="200"/>
              <w:rPr>
                <w:rFonts w:ascii="宋体" w:hAnsi="宋体"/>
                <w:color w:val="auto"/>
                <w:szCs w:val="21"/>
                <w:highlight w:val="none"/>
              </w:rPr>
            </w:pPr>
          </w:p>
        </w:tc>
        <w:tc>
          <w:tcPr>
            <w:tcW w:w="1418" w:type="dxa"/>
          </w:tcPr>
          <w:p w14:paraId="4436C952">
            <w:pPr>
              <w:spacing w:line="400" w:lineRule="exact"/>
              <w:ind w:firstLine="420" w:firstLineChars="200"/>
              <w:rPr>
                <w:rFonts w:ascii="宋体" w:hAnsi="宋体"/>
                <w:color w:val="auto"/>
                <w:szCs w:val="21"/>
                <w:highlight w:val="none"/>
              </w:rPr>
            </w:pPr>
          </w:p>
        </w:tc>
        <w:tc>
          <w:tcPr>
            <w:tcW w:w="2917" w:type="dxa"/>
          </w:tcPr>
          <w:p w14:paraId="2454C93A">
            <w:pPr>
              <w:spacing w:line="400" w:lineRule="exact"/>
              <w:ind w:firstLine="420" w:firstLineChars="200"/>
              <w:rPr>
                <w:rFonts w:ascii="宋体" w:hAnsi="宋体"/>
                <w:color w:val="auto"/>
                <w:szCs w:val="21"/>
                <w:highlight w:val="none"/>
              </w:rPr>
            </w:pPr>
          </w:p>
        </w:tc>
      </w:tr>
      <w:tr w14:paraId="3C65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tcPr>
          <w:p w14:paraId="2767EF42">
            <w:pPr>
              <w:spacing w:line="400" w:lineRule="exact"/>
              <w:ind w:firstLine="420" w:firstLineChars="200"/>
              <w:rPr>
                <w:rFonts w:ascii="宋体" w:hAnsi="宋体"/>
                <w:color w:val="auto"/>
                <w:szCs w:val="21"/>
                <w:highlight w:val="none"/>
              </w:rPr>
            </w:pPr>
          </w:p>
        </w:tc>
        <w:tc>
          <w:tcPr>
            <w:tcW w:w="1418" w:type="dxa"/>
          </w:tcPr>
          <w:p w14:paraId="214F32BE">
            <w:pPr>
              <w:spacing w:line="400" w:lineRule="exact"/>
              <w:ind w:firstLine="420" w:firstLineChars="200"/>
              <w:rPr>
                <w:rFonts w:ascii="宋体" w:hAnsi="宋体"/>
                <w:color w:val="auto"/>
                <w:szCs w:val="21"/>
                <w:highlight w:val="none"/>
              </w:rPr>
            </w:pPr>
          </w:p>
        </w:tc>
        <w:tc>
          <w:tcPr>
            <w:tcW w:w="1418" w:type="dxa"/>
          </w:tcPr>
          <w:p w14:paraId="03D5ACD7">
            <w:pPr>
              <w:spacing w:line="400" w:lineRule="exact"/>
              <w:ind w:firstLine="420" w:firstLineChars="200"/>
              <w:rPr>
                <w:rFonts w:ascii="宋体" w:hAnsi="宋体"/>
                <w:color w:val="auto"/>
                <w:szCs w:val="21"/>
                <w:highlight w:val="none"/>
              </w:rPr>
            </w:pPr>
          </w:p>
        </w:tc>
        <w:tc>
          <w:tcPr>
            <w:tcW w:w="2917" w:type="dxa"/>
          </w:tcPr>
          <w:p w14:paraId="5D982DFA">
            <w:pPr>
              <w:spacing w:line="400" w:lineRule="exact"/>
              <w:ind w:firstLine="420" w:firstLineChars="200"/>
              <w:rPr>
                <w:rFonts w:ascii="宋体" w:hAnsi="宋体"/>
                <w:color w:val="auto"/>
                <w:szCs w:val="21"/>
                <w:highlight w:val="none"/>
              </w:rPr>
            </w:pPr>
          </w:p>
        </w:tc>
      </w:tr>
      <w:tr w14:paraId="21A59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3536" w:type="dxa"/>
          </w:tcPr>
          <w:p w14:paraId="7416C96D">
            <w:pPr>
              <w:spacing w:line="400" w:lineRule="exact"/>
              <w:ind w:firstLine="420" w:firstLineChars="200"/>
              <w:rPr>
                <w:rFonts w:ascii="宋体" w:hAnsi="宋体"/>
                <w:color w:val="auto"/>
                <w:szCs w:val="21"/>
                <w:highlight w:val="none"/>
              </w:rPr>
            </w:pPr>
          </w:p>
        </w:tc>
        <w:tc>
          <w:tcPr>
            <w:tcW w:w="1418" w:type="dxa"/>
          </w:tcPr>
          <w:p w14:paraId="2EFD3CAB">
            <w:pPr>
              <w:spacing w:line="400" w:lineRule="exact"/>
              <w:ind w:firstLine="420" w:firstLineChars="200"/>
              <w:rPr>
                <w:rFonts w:ascii="宋体" w:hAnsi="宋体"/>
                <w:color w:val="auto"/>
                <w:szCs w:val="21"/>
                <w:highlight w:val="none"/>
              </w:rPr>
            </w:pPr>
          </w:p>
        </w:tc>
        <w:tc>
          <w:tcPr>
            <w:tcW w:w="1418" w:type="dxa"/>
          </w:tcPr>
          <w:p w14:paraId="2EB890C8">
            <w:pPr>
              <w:spacing w:line="400" w:lineRule="exact"/>
              <w:ind w:firstLine="420" w:firstLineChars="200"/>
              <w:rPr>
                <w:rFonts w:ascii="宋体" w:hAnsi="宋体"/>
                <w:color w:val="auto"/>
                <w:szCs w:val="21"/>
                <w:highlight w:val="none"/>
              </w:rPr>
            </w:pPr>
          </w:p>
        </w:tc>
        <w:tc>
          <w:tcPr>
            <w:tcW w:w="2917" w:type="dxa"/>
          </w:tcPr>
          <w:p w14:paraId="5675D500">
            <w:pPr>
              <w:spacing w:line="400" w:lineRule="exact"/>
              <w:ind w:firstLine="420" w:firstLineChars="200"/>
              <w:rPr>
                <w:rFonts w:ascii="宋体" w:hAnsi="宋体"/>
                <w:color w:val="auto"/>
                <w:szCs w:val="21"/>
                <w:highlight w:val="none"/>
              </w:rPr>
            </w:pPr>
          </w:p>
        </w:tc>
      </w:tr>
    </w:tbl>
    <w:p w14:paraId="3DA70D57">
      <w:pPr>
        <w:spacing w:line="360" w:lineRule="auto"/>
        <w:ind w:firstLine="420" w:firstLineChars="200"/>
        <w:rPr>
          <w:rFonts w:ascii="宋体" w:hAnsi="宋体"/>
          <w:color w:val="auto"/>
          <w:szCs w:val="21"/>
          <w:highlight w:val="none"/>
        </w:rPr>
      </w:pPr>
    </w:p>
    <w:p w14:paraId="6D708AF2">
      <w:pPr>
        <w:spacing w:line="480" w:lineRule="auto"/>
        <w:rPr>
          <w:rFonts w:ascii="宋体" w:hAnsi="宋体"/>
          <w:color w:val="auto"/>
          <w:szCs w:val="21"/>
          <w:highlight w:val="none"/>
        </w:rPr>
      </w:pPr>
      <w:r>
        <w:rPr>
          <w:rFonts w:hint="eastAsia" w:ascii="宋体" w:hAnsi="宋体"/>
          <w:color w:val="auto"/>
          <w:szCs w:val="21"/>
          <w:highlight w:val="none"/>
        </w:rPr>
        <w:br w:type="page"/>
      </w:r>
      <w:r>
        <w:rPr>
          <w:rFonts w:hint="eastAsia" w:ascii="宋体" w:hAnsi="宋体"/>
          <w:color w:val="auto"/>
          <w:szCs w:val="21"/>
          <w:highlight w:val="none"/>
        </w:rPr>
        <w:t>附</w:t>
      </w:r>
      <w:bookmarkStart w:id="2046" w:name="_Toc296891056"/>
      <w:bookmarkStart w:id="2047" w:name="_Toc296346729"/>
      <w:bookmarkStart w:id="2048" w:name="_Toc296944567"/>
      <w:bookmarkStart w:id="2049" w:name="_Toc267261699"/>
      <w:bookmarkStart w:id="2050" w:name="_Toc296891268"/>
      <w:bookmarkStart w:id="2051" w:name="_Toc296503228"/>
      <w:bookmarkStart w:id="2052" w:name="_Toc296347227"/>
      <w:r>
        <w:rPr>
          <w:rFonts w:hint="eastAsia" w:ascii="宋体" w:hAnsi="宋体"/>
          <w:color w:val="auto"/>
          <w:szCs w:val="21"/>
          <w:highlight w:val="none"/>
        </w:rPr>
        <w:t>件3：</w:t>
      </w:r>
    </w:p>
    <w:bookmarkEnd w:id="2046"/>
    <w:bookmarkEnd w:id="2047"/>
    <w:bookmarkEnd w:id="2048"/>
    <w:bookmarkEnd w:id="2049"/>
    <w:bookmarkEnd w:id="2050"/>
    <w:bookmarkEnd w:id="2051"/>
    <w:bookmarkEnd w:id="2052"/>
    <w:p w14:paraId="4A03070F">
      <w:pPr>
        <w:spacing w:before="156" w:beforeLines="50" w:after="156" w:afterLines="50" w:line="480" w:lineRule="auto"/>
        <w:jc w:val="center"/>
        <w:rPr>
          <w:rFonts w:ascii="宋体" w:hAnsi="宋体"/>
          <w:color w:val="auto"/>
          <w:szCs w:val="21"/>
          <w:highlight w:val="none"/>
        </w:rPr>
      </w:pPr>
      <w:r>
        <w:rPr>
          <w:rFonts w:hint="eastAsia" w:ascii="宋体" w:hAnsi="宋体"/>
          <w:color w:val="auto"/>
          <w:szCs w:val="21"/>
          <w:highlight w:val="none"/>
        </w:rPr>
        <w:t>承包人项目管理机构组成表</w:t>
      </w:r>
    </w:p>
    <w:tbl>
      <w:tblPr>
        <w:tblStyle w:val="17"/>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225C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0635B08">
            <w:pPr>
              <w:spacing w:line="400" w:lineRule="exact"/>
              <w:jc w:val="center"/>
              <w:rPr>
                <w:rFonts w:ascii="宋体" w:hAnsi="宋体"/>
                <w:color w:val="auto"/>
                <w:szCs w:val="21"/>
                <w:highlight w:val="none"/>
              </w:rPr>
            </w:pPr>
            <w:r>
              <w:rPr>
                <w:rFonts w:hint="eastAsia" w:ascii="宋体" w:hAnsi="宋体"/>
                <w:color w:val="auto"/>
                <w:szCs w:val="21"/>
                <w:highlight w:val="none"/>
              </w:rPr>
              <w:t>名    称</w:t>
            </w:r>
          </w:p>
        </w:tc>
        <w:tc>
          <w:tcPr>
            <w:tcW w:w="1418" w:type="dxa"/>
            <w:vAlign w:val="center"/>
          </w:tcPr>
          <w:p w14:paraId="3871EDBC">
            <w:pPr>
              <w:spacing w:line="400" w:lineRule="exact"/>
              <w:jc w:val="center"/>
              <w:rPr>
                <w:rFonts w:ascii="宋体" w:hAnsi="宋体"/>
                <w:color w:val="auto"/>
                <w:szCs w:val="21"/>
                <w:highlight w:val="none"/>
              </w:rPr>
            </w:pPr>
            <w:r>
              <w:rPr>
                <w:rFonts w:hint="eastAsia" w:ascii="宋体" w:hAnsi="宋体"/>
                <w:color w:val="auto"/>
                <w:szCs w:val="21"/>
                <w:highlight w:val="none"/>
              </w:rPr>
              <w:t>姓名</w:t>
            </w:r>
          </w:p>
        </w:tc>
        <w:tc>
          <w:tcPr>
            <w:tcW w:w="1134" w:type="dxa"/>
            <w:vAlign w:val="center"/>
          </w:tcPr>
          <w:p w14:paraId="7977D918">
            <w:pPr>
              <w:spacing w:line="400" w:lineRule="exact"/>
              <w:jc w:val="center"/>
              <w:rPr>
                <w:rFonts w:ascii="宋体" w:hAnsi="宋体"/>
                <w:color w:val="auto"/>
                <w:szCs w:val="21"/>
                <w:highlight w:val="none"/>
              </w:rPr>
            </w:pPr>
            <w:r>
              <w:rPr>
                <w:rFonts w:hint="eastAsia" w:ascii="宋体" w:hAnsi="宋体"/>
                <w:color w:val="auto"/>
                <w:szCs w:val="21"/>
                <w:highlight w:val="none"/>
              </w:rPr>
              <w:t>职务</w:t>
            </w:r>
          </w:p>
        </w:tc>
        <w:tc>
          <w:tcPr>
            <w:tcW w:w="1134" w:type="dxa"/>
            <w:vAlign w:val="center"/>
          </w:tcPr>
          <w:p w14:paraId="6A551173">
            <w:pPr>
              <w:spacing w:line="400" w:lineRule="exact"/>
              <w:jc w:val="center"/>
              <w:rPr>
                <w:rFonts w:ascii="宋体" w:hAnsi="宋体"/>
                <w:color w:val="auto"/>
                <w:szCs w:val="21"/>
                <w:highlight w:val="none"/>
              </w:rPr>
            </w:pPr>
            <w:r>
              <w:rPr>
                <w:rFonts w:hint="eastAsia" w:ascii="宋体" w:hAnsi="宋体"/>
                <w:color w:val="auto"/>
                <w:szCs w:val="21"/>
                <w:highlight w:val="none"/>
              </w:rPr>
              <w:t>职称</w:t>
            </w:r>
          </w:p>
        </w:tc>
        <w:tc>
          <w:tcPr>
            <w:tcW w:w="4252" w:type="dxa"/>
            <w:vAlign w:val="center"/>
          </w:tcPr>
          <w:p w14:paraId="2D982D11">
            <w:pPr>
              <w:spacing w:line="400" w:lineRule="exact"/>
              <w:jc w:val="center"/>
              <w:rPr>
                <w:rFonts w:ascii="宋体" w:hAnsi="宋体"/>
                <w:color w:val="auto"/>
                <w:szCs w:val="21"/>
                <w:highlight w:val="none"/>
              </w:rPr>
            </w:pPr>
            <w:r>
              <w:rPr>
                <w:rFonts w:hint="eastAsia" w:ascii="宋体" w:hAnsi="宋体"/>
                <w:color w:val="auto"/>
                <w:szCs w:val="21"/>
                <w:highlight w:val="none"/>
              </w:rPr>
              <w:t>主要资历、经验及承担过的项目</w:t>
            </w:r>
          </w:p>
        </w:tc>
      </w:tr>
      <w:tr w14:paraId="40AF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7" w:hRule="atLeast"/>
          <w:jc w:val="center"/>
        </w:trPr>
        <w:tc>
          <w:tcPr>
            <w:tcW w:w="9809" w:type="dxa"/>
            <w:gridSpan w:val="5"/>
            <w:vAlign w:val="center"/>
          </w:tcPr>
          <w:p w14:paraId="4ADC7A70">
            <w:pPr>
              <w:spacing w:line="400" w:lineRule="exact"/>
              <w:rPr>
                <w:rFonts w:ascii="宋体" w:hAnsi="宋体"/>
                <w:color w:val="auto"/>
                <w:szCs w:val="21"/>
                <w:highlight w:val="none"/>
              </w:rPr>
            </w:pPr>
            <w:r>
              <w:rPr>
                <w:rFonts w:hint="eastAsia" w:ascii="宋体" w:hAnsi="宋体"/>
                <w:color w:val="auto"/>
                <w:szCs w:val="21"/>
                <w:highlight w:val="none"/>
              </w:rPr>
              <w:t>一、总部人员</w:t>
            </w:r>
          </w:p>
        </w:tc>
      </w:tr>
      <w:tr w14:paraId="11CA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6C5C52D">
            <w:pPr>
              <w:spacing w:line="400" w:lineRule="exact"/>
              <w:jc w:val="center"/>
              <w:rPr>
                <w:rFonts w:ascii="宋体" w:hAnsi="宋体"/>
                <w:color w:val="auto"/>
                <w:szCs w:val="21"/>
                <w:highlight w:val="none"/>
              </w:rPr>
            </w:pPr>
            <w:r>
              <w:rPr>
                <w:rFonts w:hint="eastAsia" w:ascii="宋体" w:hAnsi="宋体"/>
                <w:color w:val="auto"/>
                <w:szCs w:val="21"/>
                <w:highlight w:val="none"/>
              </w:rPr>
              <w:t>项目主管</w:t>
            </w:r>
          </w:p>
        </w:tc>
        <w:tc>
          <w:tcPr>
            <w:tcW w:w="1418" w:type="dxa"/>
            <w:vAlign w:val="center"/>
          </w:tcPr>
          <w:p w14:paraId="421B74E4">
            <w:pPr>
              <w:spacing w:line="400" w:lineRule="exact"/>
              <w:ind w:firstLine="420" w:firstLineChars="200"/>
              <w:rPr>
                <w:rFonts w:ascii="宋体" w:hAnsi="宋体"/>
                <w:color w:val="auto"/>
                <w:szCs w:val="21"/>
                <w:highlight w:val="none"/>
              </w:rPr>
            </w:pPr>
          </w:p>
        </w:tc>
        <w:tc>
          <w:tcPr>
            <w:tcW w:w="1134" w:type="dxa"/>
            <w:vAlign w:val="center"/>
          </w:tcPr>
          <w:p w14:paraId="5930B872">
            <w:pPr>
              <w:spacing w:line="400" w:lineRule="exact"/>
              <w:ind w:firstLine="420" w:firstLineChars="200"/>
              <w:rPr>
                <w:rFonts w:ascii="宋体" w:hAnsi="宋体"/>
                <w:color w:val="auto"/>
                <w:szCs w:val="21"/>
                <w:highlight w:val="none"/>
              </w:rPr>
            </w:pPr>
          </w:p>
        </w:tc>
        <w:tc>
          <w:tcPr>
            <w:tcW w:w="1134" w:type="dxa"/>
            <w:vAlign w:val="center"/>
          </w:tcPr>
          <w:p w14:paraId="6D41B45D">
            <w:pPr>
              <w:spacing w:line="400" w:lineRule="exact"/>
              <w:ind w:firstLine="420" w:firstLineChars="200"/>
              <w:rPr>
                <w:rFonts w:ascii="宋体" w:hAnsi="宋体"/>
                <w:color w:val="auto"/>
                <w:szCs w:val="21"/>
                <w:highlight w:val="none"/>
              </w:rPr>
            </w:pPr>
          </w:p>
        </w:tc>
        <w:tc>
          <w:tcPr>
            <w:tcW w:w="4252" w:type="dxa"/>
            <w:vAlign w:val="center"/>
          </w:tcPr>
          <w:p w14:paraId="2025FF02">
            <w:pPr>
              <w:spacing w:line="400" w:lineRule="exact"/>
              <w:ind w:firstLine="420" w:firstLineChars="200"/>
              <w:rPr>
                <w:rFonts w:ascii="宋体" w:hAnsi="宋体"/>
                <w:color w:val="auto"/>
                <w:szCs w:val="21"/>
                <w:highlight w:val="none"/>
              </w:rPr>
            </w:pPr>
          </w:p>
        </w:tc>
      </w:tr>
      <w:tr w14:paraId="2003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7E54AF4D">
            <w:pPr>
              <w:spacing w:line="400" w:lineRule="exact"/>
              <w:jc w:val="center"/>
              <w:rPr>
                <w:rFonts w:ascii="宋体" w:hAnsi="宋体"/>
                <w:color w:val="auto"/>
                <w:szCs w:val="21"/>
                <w:highlight w:val="none"/>
              </w:rPr>
            </w:pPr>
          </w:p>
        </w:tc>
        <w:tc>
          <w:tcPr>
            <w:tcW w:w="1418" w:type="dxa"/>
            <w:vAlign w:val="center"/>
          </w:tcPr>
          <w:p w14:paraId="7FEAD66C">
            <w:pPr>
              <w:spacing w:line="400" w:lineRule="exact"/>
              <w:ind w:firstLine="420" w:firstLineChars="200"/>
              <w:rPr>
                <w:rFonts w:ascii="宋体" w:hAnsi="宋体"/>
                <w:color w:val="auto"/>
                <w:szCs w:val="21"/>
                <w:highlight w:val="none"/>
              </w:rPr>
            </w:pPr>
          </w:p>
        </w:tc>
        <w:tc>
          <w:tcPr>
            <w:tcW w:w="1134" w:type="dxa"/>
            <w:vAlign w:val="center"/>
          </w:tcPr>
          <w:p w14:paraId="20610339">
            <w:pPr>
              <w:spacing w:line="400" w:lineRule="exact"/>
              <w:ind w:firstLine="420" w:firstLineChars="200"/>
              <w:rPr>
                <w:rFonts w:ascii="宋体" w:hAnsi="宋体"/>
                <w:color w:val="auto"/>
                <w:szCs w:val="21"/>
                <w:highlight w:val="none"/>
              </w:rPr>
            </w:pPr>
          </w:p>
        </w:tc>
        <w:tc>
          <w:tcPr>
            <w:tcW w:w="1134" w:type="dxa"/>
            <w:vAlign w:val="center"/>
          </w:tcPr>
          <w:p w14:paraId="0D4A57F2">
            <w:pPr>
              <w:spacing w:line="400" w:lineRule="exact"/>
              <w:ind w:firstLine="420" w:firstLineChars="200"/>
              <w:rPr>
                <w:rFonts w:ascii="宋体" w:hAnsi="宋体"/>
                <w:color w:val="auto"/>
                <w:szCs w:val="21"/>
                <w:highlight w:val="none"/>
              </w:rPr>
            </w:pPr>
          </w:p>
        </w:tc>
        <w:tc>
          <w:tcPr>
            <w:tcW w:w="4252" w:type="dxa"/>
            <w:vAlign w:val="center"/>
          </w:tcPr>
          <w:p w14:paraId="3275AC11">
            <w:pPr>
              <w:spacing w:line="400" w:lineRule="exact"/>
              <w:ind w:firstLine="420" w:firstLineChars="200"/>
              <w:rPr>
                <w:rFonts w:ascii="宋体" w:hAnsi="宋体"/>
                <w:color w:val="auto"/>
                <w:szCs w:val="21"/>
                <w:highlight w:val="none"/>
              </w:rPr>
            </w:pPr>
          </w:p>
        </w:tc>
      </w:tr>
      <w:tr w14:paraId="0603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22E97CBF">
            <w:pPr>
              <w:spacing w:line="400" w:lineRule="exact"/>
              <w:jc w:val="center"/>
              <w:rPr>
                <w:rFonts w:ascii="宋体" w:hAnsi="宋体"/>
                <w:color w:val="auto"/>
                <w:szCs w:val="21"/>
                <w:highlight w:val="none"/>
              </w:rPr>
            </w:pPr>
            <w:r>
              <w:rPr>
                <w:rFonts w:hint="eastAsia" w:ascii="宋体" w:hAnsi="宋体"/>
                <w:color w:val="auto"/>
                <w:szCs w:val="21"/>
                <w:highlight w:val="none"/>
              </w:rPr>
              <w:t>其他人员</w:t>
            </w:r>
          </w:p>
        </w:tc>
        <w:tc>
          <w:tcPr>
            <w:tcW w:w="1418" w:type="dxa"/>
            <w:vAlign w:val="center"/>
          </w:tcPr>
          <w:p w14:paraId="5067965D">
            <w:pPr>
              <w:spacing w:line="400" w:lineRule="exact"/>
              <w:ind w:firstLine="420" w:firstLineChars="200"/>
              <w:rPr>
                <w:rFonts w:ascii="宋体" w:hAnsi="宋体"/>
                <w:color w:val="auto"/>
                <w:szCs w:val="21"/>
                <w:highlight w:val="none"/>
              </w:rPr>
            </w:pPr>
          </w:p>
        </w:tc>
        <w:tc>
          <w:tcPr>
            <w:tcW w:w="1134" w:type="dxa"/>
            <w:vAlign w:val="center"/>
          </w:tcPr>
          <w:p w14:paraId="1B47ED2E">
            <w:pPr>
              <w:spacing w:line="400" w:lineRule="exact"/>
              <w:ind w:firstLine="420" w:firstLineChars="200"/>
              <w:rPr>
                <w:rFonts w:ascii="宋体" w:hAnsi="宋体"/>
                <w:color w:val="auto"/>
                <w:szCs w:val="21"/>
                <w:highlight w:val="none"/>
              </w:rPr>
            </w:pPr>
          </w:p>
        </w:tc>
        <w:tc>
          <w:tcPr>
            <w:tcW w:w="1134" w:type="dxa"/>
            <w:vAlign w:val="center"/>
          </w:tcPr>
          <w:p w14:paraId="2A434AE2">
            <w:pPr>
              <w:spacing w:line="400" w:lineRule="exact"/>
              <w:ind w:firstLine="420" w:firstLineChars="200"/>
              <w:rPr>
                <w:rFonts w:ascii="宋体" w:hAnsi="宋体"/>
                <w:color w:val="auto"/>
                <w:szCs w:val="21"/>
                <w:highlight w:val="none"/>
              </w:rPr>
            </w:pPr>
          </w:p>
        </w:tc>
        <w:tc>
          <w:tcPr>
            <w:tcW w:w="4252" w:type="dxa"/>
            <w:vAlign w:val="center"/>
          </w:tcPr>
          <w:p w14:paraId="79110E5C">
            <w:pPr>
              <w:spacing w:line="400" w:lineRule="exact"/>
              <w:ind w:firstLine="420" w:firstLineChars="200"/>
              <w:rPr>
                <w:rFonts w:ascii="宋体" w:hAnsi="宋体"/>
                <w:color w:val="auto"/>
                <w:szCs w:val="21"/>
                <w:highlight w:val="none"/>
              </w:rPr>
            </w:pPr>
          </w:p>
        </w:tc>
      </w:tr>
      <w:tr w14:paraId="6EAC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59FC523C">
            <w:pPr>
              <w:spacing w:line="400" w:lineRule="exact"/>
              <w:jc w:val="center"/>
              <w:rPr>
                <w:rFonts w:ascii="宋体" w:hAnsi="宋体"/>
                <w:color w:val="auto"/>
                <w:szCs w:val="21"/>
                <w:highlight w:val="none"/>
              </w:rPr>
            </w:pPr>
          </w:p>
        </w:tc>
        <w:tc>
          <w:tcPr>
            <w:tcW w:w="1418" w:type="dxa"/>
            <w:vAlign w:val="center"/>
          </w:tcPr>
          <w:p w14:paraId="3B105ACA">
            <w:pPr>
              <w:spacing w:line="400" w:lineRule="exact"/>
              <w:ind w:firstLine="420" w:firstLineChars="200"/>
              <w:rPr>
                <w:rFonts w:ascii="宋体" w:hAnsi="宋体"/>
                <w:color w:val="auto"/>
                <w:szCs w:val="21"/>
                <w:highlight w:val="none"/>
              </w:rPr>
            </w:pPr>
          </w:p>
        </w:tc>
        <w:tc>
          <w:tcPr>
            <w:tcW w:w="1134" w:type="dxa"/>
            <w:vAlign w:val="center"/>
          </w:tcPr>
          <w:p w14:paraId="10E8E0D6">
            <w:pPr>
              <w:spacing w:line="400" w:lineRule="exact"/>
              <w:ind w:firstLine="420" w:firstLineChars="200"/>
              <w:rPr>
                <w:rFonts w:ascii="宋体" w:hAnsi="宋体"/>
                <w:color w:val="auto"/>
                <w:szCs w:val="21"/>
                <w:highlight w:val="none"/>
              </w:rPr>
            </w:pPr>
          </w:p>
        </w:tc>
        <w:tc>
          <w:tcPr>
            <w:tcW w:w="1134" w:type="dxa"/>
            <w:vAlign w:val="center"/>
          </w:tcPr>
          <w:p w14:paraId="30B460F9">
            <w:pPr>
              <w:spacing w:line="400" w:lineRule="exact"/>
              <w:ind w:firstLine="420" w:firstLineChars="200"/>
              <w:rPr>
                <w:rFonts w:ascii="宋体" w:hAnsi="宋体"/>
                <w:color w:val="auto"/>
                <w:szCs w:val="21"/>
                <w:highlight w:val="none"/>
              </w:rPr>
            </w:pPr>
          </w:p>
        </w:tc>
        <w:tc>
          <w:tcPr>
            <w:tcW w:w="4252" w:type="dxa"/>
            <w:vAlign w:val="center"/>
          </w:tcPr>
          <w:p w14:paraId="074F150D">
            <w:pPr>
              <w:spacing w:line="400" w:lineRule="exact"/>
              <w:ind w:firstLine="420" w:firstLineChars="200"/>
              <w:rPr>
                <w:rFonts w:ascii="宋体" w:hAnsi="宋体"/>
                <w:color w:val="auto"/>
                <w:szCs w:val="21"/>
                <w:highlight w:val="none"/>
              </w:rPr>
            </w:pPr>
          </w:p>
        </w:tc>
      </w:tr>
      <w:tr w14:paraId="2810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14:paraId="3CD6C8C2">
            <w:pPr>
              <w:spacing w:line="400" w:lineRule="exact"/>
              <w:rPr>
                <w:rFonts w:ascii="宋体" w:hAnsi="宋体"/>
                <w:color w:val="auto"/>
                <w:szCs w:val="21"/>
                <w:highlight w:val="none"/>
              </w:rPr>
            </w:pPr>
            <w:r>
              <w:rPr>
                <w:rFonts w:hint="eastAsia" w:ascii="宋体" w:hAnsi="宋体"/>
                <w:color w:val="auto"/>
                <w:szCs w:val="21"/>
                <w:highlight w:val="none"/>
              </w:rPr>
              <w:t>二、现场人员</w:t>
            </w:r>
          </w:p>
        </w:tc>
      </w:tr>
      <w:tr w14:paraId="34AD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2CBB7CB">
            <w:pPr>
              <w:spacing w:line="400" w:lineRule="exact"/>
              <w:jc w:val="center"/>
              <w:rPr>
                <w:rFonts w:ascii="宋体" w:hAnsi="宋体"/>
                <w:color w:val="auto"/>
                <w:szCs w:val="21"/>
                <w:highlight w:val="none"/>
              </w:rPr>
            </w:pPr>
            <w:r>
              <w:rPr>
                <w:rFonts w:hint="eastAsia" w:ascii="宋体" w:hAnsi="宋体"/>
                <w:color w:val="auto"/>
                <w:szCs w:val="21"/>
                <w:highlight w:val="none"/>
              </w:rPr>
              <w:t>项目经理</w:t>
            </w:r>
          </w:p>
        </w:tc>
        <w:tc>
          <w:tcPr>
            <w:tcW w:w="1418" w:type="dxa"/>
            <w:vAlign w:val="center"/>
          </w:tcPr>
          <w:p w14:paraId="542BF662">
            <w:pPr>
              <w:spacing w:line="400" w:lineRule="exact"/>
              <w:ind w:firstLine="420" w:firstLineChars="200"/>
              <w:rPr>
                <w:rFonts w:ascii="宋体" w:hAnsi="宋体"/>
                <w:color w:val="auto"/>
                <w:szCs w:val="21"/>
                <w:highlight w:val="none"/>
              </w:rPr>
            </w:pPr>
          </w:p>
        </w:tc>
        <w:tc>
          <w:tcPr>
            <w:tcW w:w="1134" w:type="dxa"/>
            <w:vAlign w:val="center"/>
          </w:tcPr>
          <w:p w14:paraId="72F8BF8A">
            <w:pPr>
              <w:spacing w:line="400" w:lineRule="exact"/>
              <w:ind w:firstLine="420" w:firstLineChars="200"/>
              <w:rPr>
                <w:rFonts w:ascii="宋体" w:hAnsi="宋体"/>
                <w:color w:val="auto"/>
                <w:szCs w:val="21"/>
                <w:highlight w:val="none"/>
              </w:rPr>
            </w:pPr>
          </w:p>
        </w:tc>
        <w:tc>
          <w:tcPr>
            <w:tcW w:w="1134" w:type="dxa"/>
            <w:vAlign w:val="center"/>
          </w:tcPr>
          <w:p w14:paraId="4112AF88">
            <w:pPr>
              <w:spacing w:line="400" w:lineRule="exact"/>
              <w:ind w:firstLine="420" w:firstLineChars="200"/>
              <w:rPr>
                <w:rFonts w:ascii="宋体" w:hAnsi="宋体"/>
                <w:color w:val="auto"/>
                <w:szCs w:val="21"/>
                <w:highlight w:val="none"/>
              </w:rPr>
            </w:pPr>
          </w:p>
        </w:tc>
        <w:tc>
          <w:tcPr>
            <w:tcW w:w="4252" w:type="dxa"/>
            <w:vAlign w:val="center"/>
          </w:tcPr>
          <w:p w14:paraId="3383DA0B">
            <w:pPr>
              <w:spacing w:line="400" w:lineRule="exact"/>
              <w:ind w:firstLine="420" w:firstLineChars="200"/>
              <w:rPr>
                <w:rFonts w:ascii="宋体" w:hAnsi="宋体"/>
                <w:color w:val="auto"/>
                <w:szCs w:val="21"/>
                <w:highlight w:val="none"/>
              </w:rPr>
            </w:pPr>
          </w:p>
        </w:tc>
      </w:tr>
      <w:tr w14:paraId="5F8F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324B0FD6">
            <w:pPr>
              <w:spacing w:line="400" w:lineRule="exact"/>
              <w:jc w:val="center"/>
              <w:rPr>
                <w:rFonts w:ascii="宋体" w:hAnsi="宋体"/>
                <w:color w:val="auto"/>
                <w:szCs w:val="21"/>
                <w:highlight w:val="none"/>
              </w:rPr>
            </w:pPr>
            <w:r>
              <w:rPr>
                <w:rFonts w:hint="eastAsia" w:ascii="宋体" w:hAnsi="宋体"/>
                <w:color w:val="auto"/>
                <w:szCs w:val="21"/>
                <w:highlight w:val="none"/>
              </w:rPr>
              <w:t>项目副经理</w:t>
            </w:r>
          </w:p>
        </w:tc>
        <w:tc>
          <w:tcPr>
            <w:tcW w:w="1418" w:type="dxa"/>
            <w:vAlign w:val="center"/>
          </w:tcPr>
          <w:p w14:paraId="3D83EEE4">
            <w:pPr>
              <w:spacing w:line="400" w:lineRule="exact"/>
              <w:ind w:firstLine="420" w:firstLineChars="200"/>
              <w:rPr>
                <w:rFonts w:ascii="宋体" w:hAnsi="宋体"/>
                <w:color w:val="auto"/>
                <w:szCs w:val="21"/>
                <w:highlight w:val="none"/>
              </w:rPr>
            </w:pPr>
          </w:p>
        </w:tc>
        <w:tc>
          <w:tcPr>
            <w:tcW w:w="1134" w:type="dxa"/>
            <w:vAlign w:val="center"/>
          </w:tcPr>
          <w:p w14:paraId="17F39C80">
            <w:pPr>
              <w:spacing w:line="400" w:lineRule="exact"/>
              <w:ind w:firstLine="420" w:firstLineChars="200"/>
              <w:rPr>
                <w:rFonts w:ascii="宋体" w:hAnsi="宋体"/>
                <w:color w:val="auto"/>
                <w:szCs w:val="21"/>
                <w:highlight w:val="none"/>
              </w:rPr>
            </w:pPr>
          </w:p>
        </w:tc>
        <w:tc>
          <w:tcPr>
            <w:tcW w:w="1134" w:type="dxa"/>
            <w:vAlign w:val="center"/>
          </w:tcPr>
          <w:p w14:paraId="7CCB26EC">
            <w:pPr>
              <w:spacing w:line="400" w:lineRule="exact"/>
              <w:ind w:firstLine="420" w:firstLineChars="200"/>
              <w:rPr>
                <w:rFonts w:ascii="宋体" w:hAnsi="宋体"/>
                <w:color w:val="auto"/>
                <w:szCs w:val="21"/>
                <w:highlight w:val="none"/>
              </w:rPr>
            </w:pPr>
          </w:p>
        </w:tc>
        <w:tc>
          <w:tcPr>
            <w:tcW w:w="4252" w:type="dxa"/>
            <w:vAlign w:val="center"/>
          </w:tcPr>
          <w:p w14:paraId="388A1B8E">
            <w:pPr>
              <w:spacing w:line="400" w:lineRule="exact"/>
              <w:ind w:firstLine="420" w:firstLineChars="200"/>
              <w:rPr>
                <w:rFonts w:ascii="宋体" w:hAnsi="宋体"/>
                <w:color w:val="auto"/>
                <w:szCs w:val="21"/>
                <w:highlight w:val="none"/>
              </w:rPr>
            </w:pPr>
          </w:p>
        </w:tc>
      </w:tr>
      <w:tr w14:paraId="2E1F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16B9E9E8">
            <w:pPr>
              <w:spacing w:line="400" w:lineRule="exact"/>
              <w:jc w:val="center"/>
              <w:rPr>
                <w:rFonts w:ascii="宋体" w:hAnsi="宋体"/>
                <w:color w:val="auto"/>
                <w:szCs w:val="21"/>
                <w:highlight w:val="none"/>
              </w:rPr>
            </w:pPr>
            <w:r>
              <w:rPr>
                <w:rFonts w:hint="eastAsia" w:ascii="宋体" w:hAnsi="宋体"/>
                <w:color w:val="auto"/>
                <w:szCs w:val="21"/>
                <w:highlight w:val="none"/>
              </w:rPr>
              <w:t>技术负责人</w:t>
            </w:r>
          </w:p>
        </w:tc>
        <w:tc>
          <w:tcPr>
            <w:tcW w:w="1418" w:type="dxa"/>
            <w:vAlign w:val="center"/>
          </w:tcPr>
          <w:p w14:paraId="465E5EA5">
            <w:pPr>
              <w:spacing w:line="400" w:lineRule="exact"/>
              <w:ind w:firstLine="420" w:firstLineChars="200"/>
              <w:rPr>
                <w:rFonts w:ascii="宋体" w:hAnsi="宋体"/>
                <w:color w:val="auto"/>
                <w:szCs w:val="21"/>
                <w:highlight w:val="none"/>
              </w:rPr>
            </w:pPr>
          </w:p>
        </w:tc>
        <w:tc>
          <w:tcPr>
            <w:tcW w:w="1134" w:type="dxa"/>
            <w:vAlign w:val="center"/>
          </w:tcPr>
          <w:p w14:paraId="02490E9A">
            <w:pPr>
              <w:spacing w:line="400" w:lineRule="exact"/>
              <w:ind w:firstLine="420" w:firstLineChars="200"/>
              <w:rPr>
                <w:rFonts w:ascii="宋体" w:hAnsi="宋体"/>
                <w:color w:val="auto"/>
                <w:szCs w:val="21"/>
                <w:highlight w:val="none"/>
              </w:rPr>
            </w:pPr>
          </w:p>
        </w:tc>
        <w:tc>
          <w:tcPr>
            <w:tcW w:w="1134" w:type="dxa"/>
            <w:vAlign w:val="center"/>
          </w:tcPr>
          <w:p w14:paraId="380A6416">
            <w:pPr>
              <w:spacing w:line="400" w:lineRule="exact"/>
              <w:ind w:firstLine="420" w:firstLineChars="200"/>
              <w:rPr>
                <w:rFonts w:ascii="宋体" w:hAnsi="宋体"/>
                <w:color w:val="auto"/>
                <w:szCs w:val="21"/>
                <w:highlight w:val="none"/>
              </w:rPr>
            </w:pPr>
          </w:p>
        </w:tc>
        <w:tc>
          <w:tcPr>
            <w:tcW w:w="4252" w:type="dxa"/>
            <w:vAlign w:val="center"/>
          </w:tcPr>
          <w:p w14:paraId="62AA3479">
            <w:pPr>
              <w:spacing w:line="400" w:lineRule="exact"/>
              <w:ind w:firstLine="420" w:firstLineChars="200"/>
              <w:rPr>
                <w:rFonts w:ascii="宋体" w:hAnsi="宋体"/>
                <w:color w:val="auto"/>
                <w:szCs w:val="21"/>
                <w:highlight w:val="none"/>
              </w:rPr>
            </w:pPr>
          </w:p>
        </w:tc>
      </w:tr>
      <w:tr w14:paraId="011A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79DF98D">
            <w:pPr>
              <w:spacing w:line="400" w:lineRule="exact"/>
              <w:jc w:val="center"/>
              <w:rPr>
                <w:rFonts w:ascii="宋体" w:hAnsi="宋体"/>
                <w:color w:val="auto"/>
                <w:szCs w:val="21"/>
                <w:highlight w:val="none"/>
              </w:rPr>
            </w:pPr>
            <w:r>
              <w:rPr>
                <w:rFonts w:hint="eastAsia" w:ascii="宋体" w:hAnsi="宋体"/>
                <w:color w:val="auto"/>
                <w:szCs w:val="21"/>
                <w:highlight w:val="none"/>
              </w:rPr>
              <w:t>造价管理</w:t>
            </w:r>
          </w:p>
        </w:tc>
        <w:tc>
          <w:tcPr>
            <w:tcW w:w="1418" w:type="dxa"/>
            <w:vAlign w:val="center"/>
          </w:tcPr>
          <w:p w14:paraId="13494F31">
            <w:pPr>
              <w:spacing w:line="400" w:lineRule="exact"/>
              <w:ind w:firstLine="420" w:firstLineChars="200"/>
              <w:rPr>
                <w:rFonts w:ascii="宋体" w:hAnsi="宋体"/>
                <w:color w:val="auto"/>
                <w:szCs w:val="21"/>
                <w:highlight w:val="none"/>
              </w:rPr>
            </w:pPr>
          </w:p>
        </w:tc>
        <w:tc>
          <w:tcPr>
            <w:tcW w:w="1134" w:type="dxa"/>
            <w:vAlign w:val="center"/>
          </w:tcPr>
          <w:p w14:paraId="6ECCDE1F">
            <w:pPr>
              <w:spacing w:line="400" w:lineRule="exact"/>
              <w:ind w:firstLine="420" w:firstLineChars="200"/>
              <w:rPr>
                <w:rFonts w:ascii="宋体" w:hAnsi="宋体"/>
                <w:color w:val="auto"/>
                <w:szCs w:val="21"/>
                <w:highlight w:val="none"/>
              </w:rPr>
            </w:pPr>
          </w:p>
        </w:tc>
        <w:tc>
          <w:tcPr>
            <w:tcW w:w="1134" w:type="dxa"/>
            <w:vAlign w:val="center"/>
          </w:tcPr>
          <w:p w14:paraId="6298C994">
            <w:pPr>
              <w:spacing w:line="400" w:lineRule="exact"/>
              <w:ind w:firstLine="420" w:firstLineChars="200"/>
              <w:rPr>
                <w:rFonts w:ascii="宋体" w:hAnsi="宋体"/>
                <w:color w:val="auto"/>
                <w:szCs w:val="21"/>
                <w:highlight w:val="none"/>
              </w:rPr>
            </w:pPr>
          </w:p>
        </w:tc>
        <w:tc>
          <w:tcPr>
            <w:tcW w:w="4252" w:type="dxa"/>
            <w:vAlign w:val="center"/>
          </w:tcPr>
          <w:p w14:paraId="63FE1EAB">
            <w:pPr>
              <w:spacing w:line="400" w:lineRule="exact"/>
              <w:ind w:firstLine="420" w:firstLineChars="200"/>
              <w:rPr>
                <w:rFonts w:ascii="宋体" w:hAnsi="宋体"/>
                <w:color w:val="auto"/>
                <w:szCs w:val="21"/>
                <w:highlight w:val="none"/>
              </w:rPr>
            </w:pPr>
          </w:p>
        </w:tc>
      </w:tr>
      <w:tr w14:paraId="3A6F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0460DD3A">
            <w:pPr>
              <w:spacing w:line="400" w:lineRule="exact"/>
              <w:jc w:val="center"/>
              <w:rPr>
                <w:rFonts w:ascii="宋体" w:hAnsi="宋体"/>
                <w:color w:val="auto"/>
                <w:szCs w:val="21"/>
                <w:highlight w:val="none"/>
              </w:rPr>
            </w:pPr>
            <w:r>
              <w:rPr>
                <w:rFonts w:hint="eastAsia" w:ascii="宋体" w:hAnsi="宋体"/>
                <w:color w:val="auto"/>
                <w:szCs w:val="21"/>
                <w:highlight w:val="none"/>
              </w:rPr>
              <w:t>质量管理</w:t>
            </w:r>
          </w:p>
        </w:tc>
        <w:tc>
          <w:tcPr>
            <w:tcW w:w="1418" w:type="dxa"/>
            <w:vAlign w:val="center"/>
          </w:tcPr>
          <w:p w14:paraId="0D07C1CC">
            <w:pPr>
              <w:spacing w:line="400" w:lineRule="exact"/>
              <w:ind w:firstLine="420" w:firstLineChars="200"/>
              <w:rPr>
                <w:rFonts w:ascii="宋体" w:hAnsi="宋体"/>
                <w:color w:val="auto"/>
                <w:szCs w:val="21"/>
                <w:highlight w:val="none"/>
              </w:rPr>
            </w:pPr>
          </w:p>
        </w:tc>
        <w:tc>
          <w:tcPr>
            <w:tcW w:w="1134" w:type="dxa"/>
            <w:vAlign w:val="center"/>
          </w:tcPr>
          <w:p w14:paraId="43370D31">
            <w:pPr>
              <w:spacing w:line="400" w:lineRule="exact"/>
              <w:ind w:firstLine="420" w:firstLineChars="200"/>
              <w:rPr>
                <w:rFonts w:ascii="宋体" w:hAnsi="宋体"/>
                <w:color w:val="auto"/>
                <w:szCs w:val="21"/>
                <w:highlight w:val="none"/>
              </w:rPr>
            </w:pPr>
          </w:p>
        </w:tc>
        <w:tc>
          <w:tcPr>
            <w:tcW w:w="1134" w:type="dxa"/>
            <w:vAlign w:val="center"/>
          </w:tcPr>
          <w:p w14:paraId="72ABDE90">
            <w:pPr>
              <w:spacing w:line="400" w:lineRule="exact"/>
              <w:ind w:firstLine="420" w:firstLineChars="200"/>
              <w:rPr>
                <w:rFonts w:ascii="宋体" w:hAnsi="宋体"/>
                <w:color w:val="auto"/>
                <w:szCs w:val="21"/>
                <w:highlight w:val="none"/>
              </w:rPr>
            </w:pPr>
          </w:p>
        </w:tc>
        <w:tc>
          <w:tcPr>
            <w:tcW w:w="4252" w:type="dxa"/>
            <w:vAlign w:val="center"/>
          </w:tcPr>
          <w:p w14:paraId="2F5E3E86">
            <w:pPr>
              <w:spacing w:line="400" w:lineRule="exact"/>
              <w:ind w:firstLine="420" w:firstLineChars="200"/>
              <w:rPr>
                <w:rFonts w:ascii="宋体" w:hAnsi="宋体"/>
                <w:color w:val="auto"/>
                <w:szCs w:val="21"/>
                <w:highlight w:val="none"/>
              </w:rPr>
            </w:pPr>
          </w:p>
        </w:tc>
      </w:tr>
      <w:tr w14:paraId="3FF9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4A688544">
            <w:pPr>
              <w:spacing w:line="400" w:lineRule="exact"/>
              <w:jc w:val="center"/>
              <w:rPr>
                <w:rFonts w:ascii="宋体" w:hAnsi="宋体"/>
                <w:color w:val="auto"/>
                <w:szCs w:val="21"/>
                <w:highlight w:val="none"/>
              </w:rPr>
            </w:pPr>
            <w:r>
              <w:rPr>
                <w:rFonts w:hint="eastAsia" w:ascii="宋体" w:hAnsi="宋体"/>
                <w:color w:val="auto"/>
                <w:szCs w:val="21"/>
                <w:highlight w:val="none"/>
              </w:rPr>
              <w:t>材料管理</w:t>
            </w:r>
          </w:p>
        </w:tc>
        <w:tc>
          <w:tcPr>
            <w:tcW w:w="1418" w:type="dxa"/>
            <w:vAlign w:val="center"/>
          </w:tcPr>
          <w:p w14:paraId="537F021A">
            <w:pPr>
              <w:spacing w:line="400" w:lineRule="exact"/>
              <w:ind w:firstLine="420" w:firstLineChars="200"/>
              <w:rPr>
                <w:rFonts w:ascii="宋体" w:hAnsi="宋体"/>
                <w:color w:val="auto"/>
                <w:szCs w:val="21"/>
                <w:highlight w:val="none"/>
              </w:rPr>
            </w:pPr>
          </w:p>
        </w:tc>
        <w:tc>
          <w:tcPr>
            <w:tcW w:w="1134" w:type="dxa"/>
            <w:vAlign w:val="center"/>
          </w:tcPr>
          <w:p w14:paraId="6B2FF93D">
            <w:pPr>
              <w:spacing w:line="400" w:lineRule="exact"/>
              <w:ind w:firstLine="420" w:firstLineChars="200"/>
              <w:rPr>
                <w:rFonts w:ascii="宋体" w:hAnsi="宋体"/>
                <w:color w:val="auto"/>
                <w:szCs w:val="21"/>
                <w:highlight w:val="none"/>
              </w:rPr>
            </w:pPr>
          </w:p>
        </w:tc>
        <w:tc>
          <w:tcPr>
            <w:tcW w:w="1134" w:type="dxa"/>
            <w:vAlign w:val="center"/>
          </w:tcPr>
          <w:p w14:paraId="46BD197A">
            <w:pPr>
              <w:spacing w:line="400" w:lineRule="exact"/>
              <w:ind w:firstLine="420" w:firstLineChars="200"/>
              <w:rPr>
                <w:rFonts w:ascii="宋体" w:hAnsi="宋体"/>
                <w:color w:val="auto"/>
                <w:szCs w:val="21"/>
                <w:highlight w:val="none"/>
              </w:rPr>
            </w:pPr>
          </w:p>
        </w:tc>
        <w:tc>
          <w:tcPr>
            <w:tcW w:w="4252" w:type="dxa"/>
            <w:vAlign w:val="center"/>
          </w:tcPr>
          <w:p w14:paraId="7F36E5B5">
            <w:pPr>
              <w:spacing w:line="400" w:lineRule="exact"/>
              <w:ind w:firstLine="420" w:firstLineChars="200"/>
              <w:rPr>
                <w:rFonts w:ascii="宋体" w:hAnsi="宋体"/>
                <w:color w:val="auto"/>
                <w:szCs w:val="21"/>
                <w:highlight w:val="none"/>
              </w:rPr>
            </w:pPr>
          </w:p>
        </w:tc>
      </w:tr>
      <w:tr w14:paraId="21B7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D81D5F2">
            <w:pPr>
              <w:spacing w:line="400" w:lineRule="exact"/>
              <w:jc w:val="center"/>
              <w:rPr>
                <w:rFonts w:ascii="宋体" w:hAnsi="宋体"/>
                <w:color w:val="auto"/>
                <w:szCs w:val="21"/>
                <w:highlight w:val="none"/>
              </w:rPr>
            </w:pPr>
            <w:r>
              <w:rPr>
                <w:rFonts w:hint="eastAsia" w:ascii="宋体" w:hAnsi="宋体"/>
                <w:color w:val="auto"/>
                <w:szCs w:val="21"/>
                <w:highlight w:val="none"/>
              </w:rPr>
              <w:t>计划管理</w:t>
            </w:r>
          </w:p>
        </w:tc>
        <w:tc>
          <w:tcPr>
            <w:tcW w:w="1418" w:type="dxa"/>
            <w:vAlign w:val="center"/>
          </w:tcPr>
          <w:p w14:paraId="757B2352">
            <w:pPr>
              <w:spacing w:line="400" w:lineRule="exact"/>
              <w:ind w:firstLine="420" w:firstLineChars="200"/>
              <w:rPr>
                <w:rFonts w:ascii="宋体" w:hAnsi="宋体"/>
                <w:color w:val="auto"/>
                <w:szCs w:val="21"/>
                <w:highlight w:val="none"/>
              </w:rPr>
            </w:pPr>
          </w:p>
        </w:tc>
        <w:tc>
          <w:tcPr>
            <w:tcW w:w="1134" w:type="dxa"/>
            <w:vAlign w:val="center"/>
          </w:tcPr>
          <w:p w14:paraId="094001C3">
            <w:pPr>
              <w:spacing w:line="400" w:lineRule="exact"/>
              <w:ind w:firstLine="420" w:firstLineChars="200"/>
              <w:rPr>
                <w:rFonts w:ascii="宋体" w:hAnsi="宋体"/>
                <w:color w:val="auto"/>
                <w:szCs w:val="21"/>
                <w:highlight w:val="none"/>
              </w:rPr>
            </w:pPr>
          </w:p>
        </w:tc>
        <w:tc>
          <w:tcPr>
            <w:tcW w:w="1134" w:type="dxa"/>
            <w:vAlign w:val="center"/>
          </w:tcPr>
          <w:p w14:paraId="0873B7D3">
            <w:pPr>
              <w:spacing w:line="400" w:lineRule="exact"/>
              <w:ind w:firstLine="420" w:firstLineChars="200"/>
              <w:rPr>
                <w:rFonts w:ascii="宋体" w:hAnsi="宋体"/>
                <w:color w:val="auto"/>
                <w:szCs w:val="21"/>
                <w:highlight w:val="none"/>
              </w:rPr>
            </w:pPr>
          </w:p>
        </w:tc>
        <w:tc>
          <w:tcPr>
            <w:tcW w:w="4252" w:type="dxa"/>
            <w:vAlign w:val="center"/>
          </w:tcPr>
          <w:p w14:paraId="3390E5E8">
            <w:pPr>
              <w:spacing w:line="400" w:lineRule="exact"/>
              <w:ind w:firstLine="420" w:firstLineChars="200"/>
              <w:rPr>
                <w:rFonts w:ascii="宋体" w:hAnsi="宋体"/>
                <w:color w:val="auto"/>
                <w:szCs w:val="21"/>
                <w:highlight w:val="none"/>
              </w:rPr>
            </w:pPr>
          </w:p>
        </w:tc>
      </w:tr>
      <w:tr w14:paraId="099D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14:paraId="6262A26D">
            <w:pPr>
              <w:spacing w:line="400" w:lineRule="exact"/>
              <w:jc w:val="center"/>
              <w:rPr>
                <w:rFonts w:ascii="宋体" w:hAnsi="宋体"/>
                <w:color w:val="auto"/>
                <w:szCs w:val="21"/>
                <w:highlight w:val="none"/>
              </w:rPr>
            </w:pPr>
            <w:r>
              <w:rPr>
                <w:rFonts w:hint="eastAsia" w:ascii="宋体" w:hAnsi="宋体"/>
                <w:color w:val="auto"/>
                <w:szCs w:val="21"/>
                <w:highlight w:val="none"/>
              </w:rPr>
              <w:t>安全管理</w:t>
            </w:r>
          </w:p>
        </w:tc>
        <w:tc>
          <w:tcPr>
            <w:tcW w:w="1418" w:type="dxa"/>
            <w:vAlign w:val="center"/>
          </w:tcPr>
          <w:p w14:paraId="59A5A5DD">
            <w:pPr>
              <w:spacing w:line="400" w:lineRule="exact"/>
              <w:ind w:firstLine="420" w:firstLineChars="200"/>
              <w:rPr>
                <w:rFonts w:ascii="宋体" w:hAnsi="宋体"/>
                <w:color w:val="auto"/>
                <w:szCs w:val="21"/>
                <w:highlight w:val="none"/>
              </w:rPr>
            </w:pPr>
          </w:p>
        </w:tc>
        <w:tc>
          <w:tcPr>
            <w:tcW w:w="1134" w:type="dxa"/>
            <w:vAlign w:val="center"/>
          </w:tcPr>
          <w:p w14:paraId="20D9B9E6">
            <w:pPr>
              <w:spacing w:line="400" w:lineRule="exact"/>
              <w:ind w:firstLine="420" w:firstLineChars="200"/>
              <w:rPr>
                <w:rFonts w:ascii="宋体" w:hAnsi="宋体"/>
                <w:color w:val="auto"/>
                <w:szCs w:val="21"/>
                <w:highlight w:val="none"/>
              </w:rPr>
            </w:pPr>
          </w:p>
        </w:tc>
        <w:tc>
          <w:tcPr>
            <w:tcW w:w="1134" w:type="dxa"/>
            <w:vAlign w:val="center"/>
          </w:tcPr>
          <w:p w14:paraId="6FA84C81">
            <w:pPr>
              <w:spacing w:line="400" w:lineRule="exact"/>
              <w:ind w:firstLine="420" w:firstLineChars="200"/>
              <w:rPr>
                <w:rFonts w:ascii="宋体" w:hAnsi="宋体"/>
                <w:color w:val="auto"/>
                <w:szCs w:val="21"/>
                <w:highlight w:val="none"/>
              </w:rPr>
            </w:pPr>
          </w:p>
        </w:tc>
        <w:tc>
          <w:tcPr>
            <w:tcW w:w="4252" w:type="dxa"/>
            <w:vAlign w:val="center"/>
          </w:tcPr>
          <w:p w14:paraId="66393B1C">
            <w:pPr>
              <w:spacing w:line="400" w:lineRule="exact"/>
              <w:ind w:firstLine="420" w:firstLineChars="200"/>
              <w:rPr>
                <w:rFonts w:ascii="宋体" w:hAnsi="宋体"/>
                <w:color w:val="auto"/>
                <w:szCs w:val="21"/>
                <w:highlight w:val="none"/>
              </w:rPr>
            </w:pPr>
          </w:p>
        </w:tc>
      </w:tr>
      <w:tr w14:paraId="7C56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14:paraId="5F5E4676">
            <w:pPr>
              <w:spacing w:line="400" w:lineRule="exact"/>
              <w:jc w:val="center"/>
              <w:rPr>
                <w:rFonts w:ascii="宋体" w:hAnsi="宋体"/>
                <w:color w:val="auto"/>
                <w:szCs w:val="21"/>
                <w:highlight w:val="none"/>
              </w:rPr>
            </w:pPr>
            <w:r>
              <w:rPr>
                <w:rFonts w:hint="eastAsia" w:ascii="宋体" w:hAnsi="宋体"/>
                <w:color w:val="auto"/>
                <w:szCs w:val="21"/>
                <w:highlight w:val="none"/>
              </w:rPr>
              <w:t>其他人员</w:t>
            </w:r>
          </w:p>
        </w:tc>
        <w:tc>
          <w:tcPr>
            <w:tcW w:w="1418" w:type="dxa"/>
            <w:vAlign w:val="center"/>
          </w:tcPr>
          <w:p w14:paraId="33ED9877">
            <w:pPr>
              <w:spacing w:line="400" w:lineRule="exact"/>
              <w:ind w:firstLine="420" w:firstLineChars="200"/>
              <w:rPr>
                <w:rFonts w:ascii="宋体" w:hAnsi="宋体"/>
                <w:color w:val="auto"/>
                <w:szCs w:val="21"/>
                <w:highlight w:val="none"/>
              </w:rPr>
            </w:pPr>
          </w:p>
        </w:tc>
        <w:tc>
          <w:tcPr>
            <w:tcW w:w="1134" w:type="dxa"/>
            <w:vAlign w:val="center"/>
          </w:tcPr>
          <w:p w14:paraId="673B87C9">
            <w:pPr>
              <w:spacing w:line="400" w:lineRule="exact"/>
              <w:ind w:firstLine="420" w:firstLineChars="200"/>
              <w:rPr>
                <w:rFonts w:ascii="宋体" w:hAnsi="宋体"/>
                <w:color w:val="auto"/>
                <w:szCs w:val="21"/>
                <w:highlight w:val="none"/>
              </w:rPr>
            </w:pPr>
          </w:p>
        </w:tc>
        <w:tc>
          <w:tcPr>
            <w:tcW w:w="1134" w:type="dxa"/>
            <w:vAlign w:val="center"/>
          </w:tcPr>
          <w:p w14:paraId="6E6A8005">
            <w:pPr>
              <w:spacing w:line="400" w:lineRule="exact"/>
              <w:ind w:firstLine="420" w:firstLineChars="200"/>
              <w:rPr>
                <w:rFonts w:ascii="宋体" w:hAnsi="宋体"/>
                <w:color w:val="auto"/>
                <w:szCs w:val="21"/>
                <w:highlight w:val="none"/>
              </w:rPr>
            </w:pPr>
          </w:p>
        </w:tc>
        <w:tc>
          <w:tcPr>
            <w:tcW w:w="4252" w:type="dxa"/>
            <w:vAlign w:val="center"/>
          </w:tcPr>
          <w:p w14:paraId="4C39876D">
            <w:pPr>
              <w:spacing w:line="400" w:lineRule="exact"/>
              <w:ind w:firstLine="420" w:firstLineChars="200"/>
              <w:rPr>
                <w:rFonts w:ascii="宋体" w:hAnsi="宋体"/>
                <w:color w:val="auto"/>
                <w:szCs w:val="21"/>
                <w:highlight w:val="none"/>
              </w:rPr>
            </w:pPr>
          </w:p>
        </w:tc>
      </w:tr>
      <w:tr w14:paraId="0000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0A793DCE">
            <w:pPr>
              <w:spacing w:line="400" w:lineRule="exact"/>
              <w:ind w:firstLine="420" w:firstLineChars="200"/>
              <w:rPr>
                <w:rFonts w:ascii="宋体" w:hAnsi="宋体"/>
                <w:color w:val="auto"/>
                <w:szCs w:val="21"/>
                <w:highlight w:val="none"/>
              </w:rPr>
            </w:pPr>
          </w:p>
        </w:tc>
        <w:tc>
          <w:tcPr>
            <w:tcW w:w="1418" w:type="dxa"/>
            <w:vAlign w:val="center"/>
          </w:tcPr>
          <w:p w14:paraId="7D30C4B4">
            <w:pPr>
              <w:spacing w:line="400" w:lineRule="exact"/>
              <w:ind w:firstLine="420" w:firstLineChars="200"/>
              <w:rPr>
                <w:rFonts w:ascii="宋体" w:hAnsi="宋体"/>
                <w:color w:val="auto"/>
                <w:szCs w:val="21"/>
                <w:highlight w:val="none"/>
              </w:rPr>
            </w:pPr>
          </w:p>
        </w:tc>
        <w:tc>
          <w:tcPr>
            <w:tcW w:w="1134" w:type="dxa"/>
            <w:vAlign w:val="center"/>
          </w:tcPr>
          <w:p w14:paraId="697944C0">
            <w:pPr>
              <w:spacing w:line="400" w:lineRule="exact"/>
              <w:ind w:firstLine="420" w:firstLineChars="200"/>
              <w:rPr>
                <w:rFonts w:ascii="宋体" w:hAnsi="宋体"/>
                <w:color w:val="auto"/>
                <w:szCs w:val="21"/>
                <w:highlight w:val="none"/>
              </w:rPr>
            </w:pPr>
          </w:p>
        </w:tc>
        <w:tc>
          <w:tcPr>
            <w:tcW w:w="1134" w:type="dxa"/>
            <w:vAlign w:val="center"/>
          </w:tcPr>
          <w:p w14:paraId="26432968">
            <w:pPr>
              <w:spacing w:line="400" w:lineRule="exact"/>
              <w:ind w:firstLine="420" w:firstLineChars="200"/>
              <w:rPr>
                <w:rFonts w:ascii="宋体" w:hAnsi="宋体"/>
                <w:color w:val="auto"/>
                <w:szCs w:val="21"/>
                <w:highlight w:val="none"/>
              </w:rPr>
            </w:pPr>
          </w:p>
        </w:tc>
        <w:tc>
          <w:tcPr>
            <w:tcW w:w="4252" w:type="dxa"/>
            <w:vAlign w:val="center"/>
          </w:tcPr>
          <w:p w14:paraId="3C680345">
            <w:pPr>
              <w:spacing w:line="400" w:lineRule="exact"/>
              <w:ind w:firstLine="420" w:firstLineChars="200"/>
              <w:rPr>
                <w:rFonts w:ascii="宋体" w:hAnsi="宋体"/>
                <w:color w:val="auto"/>
                <w:szCs w:val="21"/>
                <w:highlight w:val="none"/>
              </w:rPr>
            </w:pPr>
          </w:p>
        </w:tc>
      </w:tr>
      <w:tr w14:paraId="2921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14:paraId="2A4AE59D">
            <w:pPr>
              <w:spacing w:line="400" w:lineRule="exact"/>
              <w:ind w:firstLine="420" w:firstLineChars="200"/>
              <w:rPr>
                <w:rFonts w:ascii="宋体" w:hAnsi="宋体"/>
                <w:color w:val="auto"/>
                <w:szCs w:val="21"/>
                <w:highlight w:val="none"/>
              </w:rPr>
            </w:pPr>
          </w:p>
        </w:tc>
        <w:tc>
          <w:tcPr>
            <w:tcW w:w="1418" w:type="dxa"/>
            <w:vAlign w:val="center"/>
          </w:tcPr>
          <w:p w14:paraId="15A1C0BD">
            <w:pPr>
              <w:spacing w:line="400" w:lineRule="exact"/>
              <w:ind w:firstLine="420" w:firstLineChars="200"/>
              <w:rPr>
                <w:rFonts w:ascii="宋体" w:hAnsi="宋体"/>
                <w:color w:val="auto"/>
                <w:szCs w:val="21"/>
                <w:highlight w:val="none"/>
              </w:rPr>
            </w:pPr>
          </w:p>
        </w:tc>
        <w:tc>
          <w:tcPr>
            <w:tcW w:w="1134" w:type="dxa"/>
            <w:vAlign w:val="center"/>
          </w:tcPr>
          <w:p w14:paraId="17F14B58">
            <w:pPr>
              <w:spacing w:line="400" w:lineRule="exact"/>
              <w:ind w:firstLine="420" w:firstLineChars="200"/>
              <w:rPr>
                <w:rFonts w:ascii="宋体" w:hAnsi="宋体"/>
                <w:color w:val="auto"/>
                <w:szCs w:val="21"/>
                <w:highlight w:val="none"/>
              </w:rPr>
            </w:pPr>
          </w:p>
        </w:tc>
        <w:tc>
          <w:tcPr>
            <w:tcW w:w="1134" w:type="dxa"/>
            <w:vAlign w:val="center"/>
          </w:tcPr>
          <w:p w14:paraId="40C8A929">
            <w:pPr>
              <w:spacing w:line="400" w:lineRule="exact"/>
              <w:ind w:firstLine="420" w:firstLineChars="200"/>
              <w:rPr>
                <w:rFonts w:ascii="宋体" w:hAnsi="宋体"/>
                <w:color w:val="auto"/>
                <w:szCs w:val="21"/>
                <w:highlight w:val="none"/>
              </w:rPr>
            </w:pPr>
          </w:p>
        </w:tc>
        <w:tc>
          <w:tcPr>
            <w:tcW w:w="4252" w:type="dxa"/>
            <w:vAlign w:val="center"/>
          </w:tcPr>
          <w:p w14:paraId="1346A5DA">
            <w:pPr>
              <w:spacing w:line="400" w:lineRule="exact"/>
              <w:ind w:firstLine="420" w:firstLineChars="200"/>
              <w:rPr>
                <w:rFonts w:ascii="宋体" w:hAnsi="宋体"/>
                <w:color w:val="auto"/>
                <w:szCs w:val="21"/>
                <w:highlight w:val="none"/>
              </w:rPr>
            </w:pPr>
          </w:p>
        </w:tc>
      </w:tr>
      <w:tr w14:paraId="7871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7" w:hRule="atLeast"/>
          <w:jc w:val="center"/>
        </w:trPr>
        <w:tc>
          <w:tcPr>
            <w:tcW w:w="1871" w:type="dxa"/>
            <w:vMerge w:val="continue"/>
            <w:vAlign w:val="center"/>
          </w:tcPr>
          <w:p w14:paraId="428A6AEE">
            <w:pPr>
              <w:spacing w:line="400" w:lineRule="exact"/>
              <w:ind w:firstLine="420" w:firstLineChars="200"/>
              <w:rPr>
                <w:rFonts w:ascii="宋体" w:hAnsi="宋体"/>
                <w:color w:val="auto"/>
                <w:szCs w:val="21"/>
                <w:highlight w:val="none"/>
              </w:rPr>
            </w:pPr>
          </w:p>
        </w:tc>
        <w:tc>
          <w:tcPr>
            <w:tcW w:w="1418" w:type="dxa"/>
            <w:vAlign w:val="center"/>
          </w:tcPr>
          <w:p w14:paraId="0C57B45A">
            <w:pPr>
              <w:spacing w:line="400" w:lineRule="exact"/>
              <w:ind w:firstLine="420" w:firstLineChars="200"/>
              <w:rPr>
                <w:rFonts w:ascii="宋体" w:hAnsi="宋体"/>
                <w:color w:val="auto"/>
                <w:szCs w:val="21"/>
                <w:highlight w:val="none"/>
              </w:rPr>
            </w:pPr>
          </w:p>
        </w:tc>
        <w:tc>
          <w:tcPr>
            <w:tcW w:w="1134" w:type="dxa"/>
            <w:vAlign w:val="center"/>
          </w:tcPr>
          <w:p w14:paraId="3243B9B3">
            <w:pPr>
              <w:spacing w:line="400" w:lineRule="exact"/>
              <w:ind w:firstLine="420" w:firstLineChars="200"/>
              <w:rPr>
                <w:rFonts w:ascii="宋体" w:hAnsi="宋体"/>
                <w:color w:val="auto"/>
                <w:szCs w:val="21"/>
                <w:highlight w:val="none"/>
              </w:rPr>
            </w:pPr>
          </w:p>
        </w:tc>
        <w:tc>
          <w:tcPr>
            <w:tcW w:w="1134" w:type="dxa"/>
            <w:vAlign w:val="center"/>
          </w:tcPr>
          <w:p w14:paraId="64EFA699">
            <w:pPr>
              <w:spacing w:line="400" w:lineRule="exact"/>
              <w:ind w:firstLine="420" w:firstLineChars="200"/>
              <w:rPr>
                <w:rFonts w:ascii="宋体" w:hAnsi="宋体"/>
                <w:color w:val="auto"/>
                <w:szCs w:val="21"/>
                <w:highlight w:val="none"/>
              </w:rPr>
            </w:pPr>
          </w:p>
        </w:tc>
        <w:tc>
          <w:tcPr>
            <w:tcW w:w="4252" w:type="dxa"/>
            <w:vAlign w:val="center"/>
          </w:tcPr>
          <w:p w14:paraId="20B7BBC4">
            <w:pPr>
              <w:spacing w:line="400" w:lineRule="exact"/>
              <w:ind w:firstLine="420" w:firstLineChars="200"/>
              <w:rPr>
                <w:rFonts w:ascii="宋体" w:hAnsi="宋体"/>
                <w:color w:val="auto"/>
                <w:szCs w:val="21"/>
                <w:highlight w:val="none"/>
              </w:rPr>
            </w:pPr>
          </w:p>
        </w:tc>
      </w:tr>
      <w:tr w14:paraId="720DE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0" w:hRule="atLeast"/>
          <w:jc w:val="center"/>
        </w:trPr>
        <w:tc>
          <w:tcPr>
            <w:tcW w:w="1871" w:type="dxa"/>
            <w:vMerge w:val="continue"/>
            <w:vAlign w:val="center"/>
          </w:tcPr>
          <w:p w14:paraId="7C4105B5">
            <w:pPr>
              <w:spacing w:line="400" w:lineRule="exact"/>
              <w:ind w:firstLine="420" w:firstLineChars="200"/>
              <w:rPr>
                <w:rFonts w:ascii="宋体" w:hAnsi="宋体"/>
                <w:color w:val="auto"/>
                <w:szCs w:val="21"/>
                <w:highlight w:val="none"/>
              </w:rPr>
            </w:pPr>
          </w:p>
        </w:tc>
        <w:tc>
          <w:tcPr>
            <w:tcW w:w="1418" w:type="dxa"/>
            <w:vAlign w:val="center"/>
          </w:tcPr>
          <w:p w14:paraId="7954F5B8">
            <w:pPr>
              <w:spacing w:line="400" w:lineRule="exact"/>
              <w:ind w:firstLine="420" w:firstLineChars="200"/>
              <w:rPr>
                <w:rFonts w:ascii="宋体" w:hAnsi="宋体"/>
                <w:color w:val="auto"/>
                <w:szCs w:val="21"/>
                <w:highlight w:val="none"/>
              </w:rPr>
            </w:pPr>
          </w:p>
        </w:tc>
        <w:tc>
          <w:tcPr>
            <w:tcW w:w="1134" w:type="dxa"/>
            <w:vAlign w:val="center"/>
          </w:tcPr>
          <w:p w14:paraId="341C37D7">
            <w:pPr>
              <w:spacing w:line="400" w:lineRule="exact"/>
              <w:ind w:firstLine="420" w:firstLineChars="200"/>
              <w:rPr>
                <w:rFonts w:ascii="宋体" w:hAnsi="宋体"/>
                <w:color w:val="auto"/>
                <w:szCs w:val="21"/>
                <w:highlight w:val="none"/>
              </w:rPr>
            </w:pPr>
          </w:p>
        </w:tc>
        <w:tc>
          <w:tcPr>
            <w:tcW w:w="1134" w:type="dxa"/>
            <w:vAlign w:val="center"/>
          </w:tcPr>
          <w:p w14:paraId="3E369A85">
            <w:pPr>
              <w:spacing w:line="400" w:lineRule="exact"/>
              <w:ind w:firstLine="420" w:firstLineChars="200"/>
              <w:rPr>
                <w:rFonts w:ascii="宋体" w:hAnsi="宋体"/>
                <w:color w:val="auto"/>
                <w:szCs w:val="21"/>
                <w:highlight w:val="none"/>
              </w:rPr>
            </w:pPr>
          </w:p>
        </w:tc>
        <w:tc>
          <w:tcPr>
            <w:tcW w:w="4252" w:type="dxa"/>
            <w:vAlign w:val="center"/>
          </w:tcPr>
          <w:p w14:paraId="0E7E394D">
            <w:pPr>
              <w:spacing w:line="400" w:lineRule="exact"/>
              <w:ind w:firstLine="420" w:firstLineChars="200"/>
              <w:rPr>
                <w:rFonts w:ascii="宋体" w:hAnsi="宋体"/>
                <w:color w:val="auto"/>
                <w:szCs w:val="21"/>
                <w:highlight w:val="none"/>
              </w:rPr>
            </w:pPr>
          </w:p>
        </w:tc>
      </w:tr>
    </w:tbl>
    <w:p w14:paraId="074C377B">
      <w:pPr>
        <w:spacing w:line="48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br w:type="page"/>
      </w:r>
      <w:bookmarkStart w:id="2053" w:name="_Toc267261701"/>
      <w:r>
        <w:rPr>
          <w:rFonts w:hint="eastAsia" w:ascii="宋体" w:hAnsi="宋体"/>
          <w:color w:val="auto"/>
          <w:szCs w:val="21"/>
          <w:highlight w:val="none"/>
        </w:rPr>
        <w:t>附</w:t>
      </w:r>
      <w:bookmarkStart w:id="2054" w:name="_Toc296891059"/>
      <w:bookmarkStart w:id="2055" w:name="_Toc296944570"/>
      <w:bookmarkStart w:id="2056" w:name="_Toc296347230"/>
      <w:bookmarkStart w:id="2057" w:name="_Toc296503231"/>
      <w:bookmarkStart w:id="2058" w:name="_Toc296346732"/>
      <w:bookmarkStart w:id="2059" w:name="_Toc296891271"/>
      <w:r>
        <w:rPr>
          <w:rFonts w:hint="eastAsia" w:ascii="宋体" w:hAnsi="宋体"/>
          <w:color w:val="auto"/>
          <w:szCs w:val="21"/>
          <w:highlight w:val="none"/>
        </w:rPr>
        <w:t>件4：</w:t>
      </w:r>
      <w:r>
        <w:rPr>
          <w:rFonts w:hint="eastAsia" w:ascii="宋体" w:hAnsi="宋体"/>
          <w:color w:val="auto"/>
          <w:szCs w:val="21"/>
          <w:highlight w:val="none"/>
          <w:lang w:val="en-US" w:eastAsia="zh-CN"/>
        </w:rPr>
        <w:t>履约担保（如有）</w:t>
      </w:r>
    </w:p>
    <w:bookmarkEnd w:id="2053"/>
    <w:bookmarkEnd w:id="2054"/>
    <w:bookmarkEnd w:id="2055"/>
    <w:bookmarkEnd w:id="2056"/>
    <w:bookmarkEnd w:id="2057"/>
    <w:bookmarkEnd w:id="2058"/>
    <w:bookmarkEnd w:id="2059"/>
    <w:p w14:paraId="249D020D">
      <w:pPr>
        <w:keepNext w:val="0"/>
        <w:keepLines w:val="0"/>
        <w:pageBreakBefore w:val="0"/>
        <w:kinsoku/>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履约保函示范文本</w:t>
      </w:r>
    </w:p>
    <w:p w14:paraId="16DBA7DE">
      <w:pPr>
        <w:keepNext w:val="0"/>
        <w:keepLines w:val="0"/>
        <w:pageBreakBefore w:val="0"/>
        <w:kinsoku/>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sz w:val="21"/>
          <w:szCs w:val="21"/>
          <w:highlight w:val="none"/>
        </w:rPr>
      </w:pPr>
    </w:p>
    <w:p w14:paraId="557F9C5F">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申请人：</w:t>
      </w:r>
    </w:p>
    <w:p w14:paraId="1DE5BA0C">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址：</w:t>
      </w:r>
    </w:p>
    <w:p w14:paraId="493A11C4">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受益人：</w:t>
      </w:r>
    </w:p>
    <w:p w14:paraId="6F39329A">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址：</w:t>
      </w:r>
    </w:p>
    <w:p w14:paraId="1E40CC98">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开立人：</w:t>
      </w:r>
    </w:p>
    <w:p w14:paraId="24C7FDFC">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址：</w:t>
      </w:r>
    </w:p>
    <w:p w14:paraId="5A1345F8">
      <w:pPr>
        <w:keepNext w:val="0"/>
        <w:keepLines w:val="0"/>
        <w:pageBreakBefore w:val="0"/>
        <w:shd w:val="clear"/>
        <w:kinsoku/>
        <w:wordWrap/>
        <w:overflowPunct/>
        <w:topLinePunct w:val="0"/>
        <w:autoSpaceDE/>
        <w:autoSpaceDN/>
        <w:bidi w:val="0"/>
        <w:adjustRightInd/>
        <w:snapToGrid/>
        <w:spacing w:beforeLines="0" w:line="360" w:lineRule="auto"/>
        <w:ind w:right="0" w:rightChars="0"/>
        <w:textAlignment w:val="auto"/>
        <w:outlineLvl w:val="9"/>
        <w:rPr>
          <w:rFonts w:hint="eastAsia" w:asciiTheme="minorEastAsia" w:hAnsiTheme="minorEastAsia" w:eastAsiaTheme="minorEastAsia" w:cstheme="minorEastAsia"/>
          <w:color w:val="auto"/>
          <w:kern w:val="2"/>
          <w:sz w:val="21"/>
          <w:szCs w:val="21"/>
          <w:highlight w:val="none"/>
        </w:rPr>
      </w:pPr>
    </w:p>
    <w:p w14:paraId="5ACC61D5">
      <w:pPr>
        <w:keepNext w:val="0"/>
        <w:keepLines w:val="0"/>
        <w:pageBreakBefore w:val="0"/>
        <w:shd w:val="clear"/>
        <w:kinsoku/>
        <w:wordWrap/>
        <w:overflowPunct/>
        <w:topLinePunct w:val="0"/>
        <w:autoSpaceDE/>
        <w:autoSpaceDN/>
        <w:bidi w:val="0"/>
        <w:adjustRightInd/>
        <w:snapToGrid/>
        <w:spacing w:beforeLines="0" w:line="360" w:lineRule="auto"/>
        <w:ind w:right="0" w:rightChars="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（受益人名称）：</w:t>
      </w:r>
    </w:p>
    <w:p w14:paraId="1A6F17BD">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鉴于</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 xml:space="preserve"> </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rPr>
        <w:t>以下简称“受益人”）与</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（以下简称“申请人”）就工程</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（以下简称“本工程”）施工和有关事项协商一致，根据本工程中标通知书、</w:t>
      </w:r>
      <w:r>
        <w:rPr>
          <w:rFonts w:hint="eastAsia" w:asciiTheme="minorEastAsia" w:hAnsiTheme="minorEastAsia" w:eastAsiaTheme="minorEastAsia" w:cstheme="minorEastAsia"/>
          <w:color w:val="auto"/>
          <w:kern w:val="2"/>
          <w:sz w:val="21"/>
          <w:szCs w:val="21"/>
          <w:highlight w:val="none"/>
          <w:lang w:eastAsia="zh-CN"/>
        </w:rPr>
        <w:t>竞争性比选文件</w:t>
      </w:r>
      <w:r>
        <w:rPr>
          <w:rFonts w:hint="eastAsia" w:asciiTheme="minorEastAsia" w:hAnsiTheme="minorEastAsia" w:eastAsiaTheme="minorEastAsia" w:cstheme="minorEastAsia"/>
          <w:color w:val="auto"/>
          <w:kern w:val="2"/>
          <w:sz w:val="21"/>
          <w:szCs w:val="21"/>
          <w:highlight w:val="none"/>
        </w:rPr>
        <w:t>和</w:t>
      </w:r>
      <w:r>
        <w:rPr>
          <w:rFonts w:hint="eastAsia" w:asciiTheme="minorEastAsia" w:hAnsiTheme="minorEastAsia" w:eastAsiaTheme="minorEastAsia" w:cstheme="minorEastAsia"/>
          <w:color w:val="auto"/>
          <w:kern w:val="2"/>
          <w:sz w:val="21"/>
          <w:szCs w:val="21"/>
          <w:highlight w:val="none"/>
          <w:lang w:eastAsia="zh-CN"/>
        </w:rPr>
        <w:t>比选申请文件</w:t>
      </w:r>
      <w:r>
        <w:rPr>
          <w:rFonts w:hint="eastAsia" w:asciiTheme="minorEastAsia" w:hAnsiTheme="minorEastAsia" w:eastAsiaTheme="minorEastAsia" w:cstheme="minorEastAsia"/>
          <w:color w:val="auto"/>
          <w:kern w:val="2"/>
          <w:sz w:val="21"/>
          <w:szCs w:val="21"/>
          <w:highlight w:val="none"/>
        </w:rPr>
        <w:t>，了解到申请人为本工程项下之承包人、受益人为本工程项下之发包人，基于申请人的请求，我方（即“开立人”）同意就申请人履行本工程依据中标通知书、</w:t>
      </w:r>
      <w:r>
        <w:rPr>
          <w:rFonts w:hint="eastAsia" w:asciiTheme="minorEastAsia" w:hAnsiTheme="minorEastAsia" w:eastAsiaTheme="minorEastAsia" w:cstheme="minorEastAsia"/>
          <w:color w:val="auto"/>
          <w:kern w:val="2"/>
          <w:sz w:val="21"/>
          <w:szCs w:val="21"/>
          <w:highlight w:val="none"/>
          <w:lang w:eastAsia="zh-CN"/>
        </w:rPr>
        <w:t>竞争性比选文件</w:t>
      </w:r>
      <w:r>
        <w:rPr>
          <w:rFonts w:hint="eastAsia" w:asciiTheme="minorEastAsia" w:hAnsiTheme="minorEastAsia" w:eastAsiaTheme="minorEastAsia" w:cstheme="minorEastAsia"/>
          <w:color w:val="auto"/>
          <w:kern w:val="2"/>
          <w:sz w:val="21"/>
          <w:szCs w:val="21"/>
          <w:highlight w:val="none"/>
        </w:rPr>
        <w:t>和</w:t>
      </w:r>
      <w:r>
        <w:rPr>
          <w:rFonts w:hint="eastAsia" w:asciiTheme="minorEastAsia" w:hAnsiTheme="minorEastAsia" w:eastAsiaTheme="minorEastAsia" w:cstheme="minorEastAsia"/>
          <w:color w:val="auto"/>
          <w:kern w:val="2"/>
          <w:sz w:val="21"/>
          <w:szCs w:val="21"/>
          <w:highlight w:val="none"/>
          <w:lang w:eastAsia="zh-CN"/>
        </w:rPr>
        <w:t>比选申请文件</w:t>
      </w:r>
      <w:r>
        <w:rPr>
          <w:rFonts w:hint="eastAsia" w:asciiTheme="minorEastAsia" w:hAnsiTheme="minorEastAsia" w:eastAsiaTheme="minorEastAsia" w:cstheme="minorEastAsia"/>
          <w:color w:val="auto"/>
          <w:kern w:val="2"/>
          <w:sz w:val="21"/>
          <w:szCs w:val="21"/>
          <w:highlight w:val="none"/>
        </w:rPr>
        <w:t>签订的</w:t>
      </w:r>
      <w:r>
        <w:rPr>
          <w:rFonts w:hint="eastAsia" w:asciiTheme="minorEastAsia" w:hAnsiTheme="minorEastAsia" w:eastAsiaTheme="minorEastAsia" w:cstheme="minorEastAsia"/>
          <w:color w:val="auto"/>
          <w:kern w:val="2"/>
          <w:sz w:val="21"/>
          <w:szCs w:val="21"/>
          <w:highlight w:val="none"/>
          <w:u w:val="single"/>
        </w:rPr>
        <w:t>《        》</w:t>
      </w:r>
      <w:r>
        <w:rPr>
          <w:rFonts w:hint="eastAsia" w:asciiTheme="minorEastAsia" w:hAnsiTheme="minorEastAsia" w:eastAsiaTheme="minorEastAsia" w:cstheme="minorEastAsia"/>
          <w:color w:val="auto"/>
          <w:kern w:val="2"/>
          <w:sz w:val="21"/>
          <w:szCs w:val="21"/>
          <w:highlight w:val="none"/>
        </w:rPr>
        <w:t>（以下简称“基础合同”）约定的义务，向贵方提供不可撤销、不可转让的见索即付保函（以下简称“本保函”）。</w:t>
      </w:r>
    </w:p>
    <w:p w14:paraId="0FD9FE1B">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一、本保函担保范围：承包人未按照基础合同的约定履行义务，应当向贵方承担的违约责任和赔偿因此造成的损失、利息、律师费、诉讼费用等实现债权的费用。</w:t>
      </w:r>
    </w:p>
    <w:p w14:paraId="47193F0C">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二、本保函担保金额最高不超过人民币（大写）</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元（¥</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p>
    <w:p w14:paraId="4580C6FB">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spacing w:val="6"/>
          <w:kern w:val="2"/>
          <w:sz w:val="21"/>
          <w:szCs w:val="21"/>
          <w:highlight w:val="none"/>
        </w:rPr>
      </w:pPr>
      <w:r>
        <w:rPr>
          <w:rFonts w:hint="eastAsia" w:asciiTheme="minorEastAsia" w:hAnsiTheme="minorEastAsia" w:eastAsiaTheme="minorEastAsia" w:cstheme="minorEastAsia"/>
          <w:color w:val="auto"/>
          <w:kern w:val="2"/>
          <w:sz w:val="21"/>
          <w:szCs w:val="21"/>
          <w:highlight w:val="none"/>
        </w:rPr>
        <w:t>三、</w:t>
      </w:r>
      <w:r>
        <w:rPr>
          <w:rFonts w:hint="eastAsia" w:asciiTheme="minorEastAsia" w:hAnsiTheme="minorEastAsia" w:eastAsiaTheme="minorEastAsia" w:cstheme="minorEastAsia"/>
          <w:color w:val="auto"/>
          <w:spacing w:val="6"/>
          <w:kern w:val="2"/>
          <w:sz w:val="21"/>
          <w:szCs w:val="21"/>
          <w:highlight w:val="none"/>
        </w:rPr>
        <w:t>本保函有效期自</w:t>
      </w:r>
      <w:r>
        <w:rPr>
          <w:rFonts w:hint="eastAsia" w:asciiTheme="minorEastAsia" w:hAnsiTheme="minorEastAsia" w:eastAsiaTheme="minorEastAsia" w:cstheme="minorEastAsia"/>
          <w:color w:val="auto"/>
          <w:spacing w:val="6"/>
          <w:kern w:val="2"/>
          <w:sz w:val="21"/>
          <w:szCs w:val="21"/>
          <w:highlight w:val="none"/>
          <w:lang w:eastAsia="zh-CN"/>
        </w:rPr>
        <w:t>受益人与申请人签订的合同生效之日</w:t>
      </w:r>
      <w:r>
        <w:rPr>
          <w:rFonts w:hint="eastAsia" w:asciiTheme="minorEastAsia" w:hAnsiTheme="minorEastAsia" w:eastAsiaTheme="minorEastAsia" w:cstheme="minorEastAsia"/>
          <w:color w:val="auto"/>
          <w:spacing w:val="0"/>
          <w:kern w:val="2"/>
          <w:sz w:val="21"/>
          <w:szCs w:val="21"/>
          <w:highlight w:val="none"/>
          <w:lang w:eastAsia="zh-CN"/>
        </w:rPr>
        <w:t>起至合同约定的工期截止日后</w:t>
      </w:r>
      <w:r>
        <w:rPr>
          <w:rFonts w:hint="eastAsia" w:asciiTheme="minorEastAsia" w:hAnsiTheme="minorEastAsia" w:eastAsiaTheme="minorEastAsia" w:cstheme="minorEastAsia"/>
          <w:color w:val="auto"/>
          <w:spacing w:val="0"/>
          <w:kern w:val="2"/>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kern w:val="2"/>
          <w:sz w:val="21"/>
          <w:szCs w:val="21"/>
          <w:highlight w:val="none"/>
        </w:rPr>
        <w:t>天</w:t>
      </w:r>
      <w:r>
        <w:rPr>
          <w:rFonts w:hint="eastAsia" w:asciiTheme="minorEastAsia" w:hAnsiTheme="minorEastAsia" w:eastAsiaTheme="minorEastAsia" w:cstheme="minorEastAsia"/>
          <w:color w:val="auto"/>
          <w:spacing w:val="0"/>
          <w:kern w:val="2"/>
          <w:sz w:val="21"/>
          <w:szCs w:val="21"/>
          <w:highlight w:val="none"/>
          <w:lang w:eastAsia="zh-CN"/>
        </w:rPr>
        <w:t>，最迟不超过</w:t>
      </w:r>
      <w:r>
        <w:rPr>
          <w:rFonts w:hint="eastAsia" w:asciiTheme="minorEastAsia" w:hAnsiTheme="minorEastAsia" w:eastAsiaTheme="minorEastAsia" w:cstheme="minorEastAsia"/>
          <w:color w:val="auto"/>
          <w:spacing w:val="0"/>
          <w:kern w:val="2"/>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kern w:val="2"/>
          <w:sz w:val="21"/>
          <w:szCs w:val="21"/>
          <w:highlight w:val="none"/>
          <w:lang w:val="en-US" w:eastAsia="zh-CN"/>
        </w:rPr>
        <w:t>年</w:t>
      </w:r>
      <w:r>
        <w:rPr>
          <w:rFonts w:hint="eastAsia" w:asciiTheme="minorEastAsia" w:hAnsiTheme="minorEastAsia" w:eastAsiaTheme="minorEastAsia" w:cstheme="minorEastAsia"/>
          <w:color w:val="auto"/>
          <w:spacing w:val="0"/>
          <w:kern w:val="2"/>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kern w:val="2"/>
          <w:sz w:val="21"/>
          <w:szCs w:val="21"/>
          <w:highlight w:val="none"/>
          <w:lang w:val="en-US" w:eastAsia="zh-CN"/>
        </w:rPr>
        <w:t>月</w:t>
      </w:r>
      <w:r>
        <w:rPr>
          <w:rFonts w:hint="eastAsia" w:asciiTheme="minorEastAsia" w:hAnsiTheme="minorEastAsia" w:eastAsiaTheme="minorEastAsia" w:cstheme="minorEastAsia"/>
          <w:color w:val="auto"/>
          <w:spacing w:val="0"/>
          <w:kern w:val="2"/>
          <w:sz w:val="21"/>
          <w:szCs w:val="21"/>
          <w:highlight w:val="none"/>
          <w:u w:val="single"/>
          <w:lang w:val="en-US" w:eastAsia="zh-CN"/>
        </w:rPr>
        <w:t xml:space="preserve">  </w:t>
      </w:r>
      <w:r>
        <w:rPr>
          <w:rFonts w:hint="eastAsia" w:asciiTheme="minorEastAsia" w:hAnsiTheme="minorEastAsia" w:eastAsiaTheme="minorEastAsia" w:cstheme="minorEastAsia"/>
          <w:color w:val="auto"/>
          <w:spacing w:val="0"/>
          <w:kern w:val="2"/>
          <w:sz w:val="21"/>
          <w:szCs w:val="21"/>
          <w:highlight w:val="none"/>
          <w:lang w:val="en-US" w:eastAsia="zh-CN"/>
        </w:rPr>
        <w:t>日。</w:t>
      </w:r>
    </w:p>
    <w:p w14:paraId="591EA879">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四、我方承诺，在收到受益人发来的书面</w:t>
      </w:r>
      <w:r>
        <w:rPr>
          <w:rFonts w:hint="eastAsia" w:asciiTheme="minorEastAsia" w:hAnsiTheme="minorEastAsia" w:eastAsiaTheme="minorEastAsia" w:cstheme="minorEastAsia"/>
          <w:color w:val="auto"/>
          <w:kern w:val="2"/>
          <w:sz w:val="21"/>
          <w:szCs w:val="21"/>
          <w:highlight w:val="none"/>
          <w:lang w:eastAsia="zh-CN"/>
        </w:rPr>
        <w:t>索赔</w:t>
      </w:r>
      <w:r>
        <w:rPr>
          <w:rFonts w:hint="eastAsia" w:asciiTheme="minorEastAsia" w:hAnsiTheme="minorEastAsia" w:eastAsiaTheme="minorEastAsia" w:cstheme="minorEastAsia"/>
          <w:color w:val="auto"/>
          <w:kern w:val="2"/>
          <w:sz w:val="21"/>
          <w:szCs w:val="21"/>
          <w:highlight w:val="none"/>
        </w:rPr>
        <w:t>通知</w:t>
      </w:r>
      <w:r>
        <w:rPr>
          <w:rFonts w:hint="eastAsia" w:asciiTheme="minorEastAsia" w:hAnsiTheme="minorEastAsia" w:eastAsiaTheme="minorEastAsia" w:cstheme="minorEastAsia"/>
          <w:color w:val="auto"/>
          <w:kern w:val="2"/>
          <w:sz w:val="21"/>
          <w:szCs w:val="21"/>
          <w:highlight w:val="none"/>
          <w:lang w:eastAsia="zh-CN"/>
        </w:rPr>
        <w:t>和本保函原件</w:t>
      </w:r>
      <w:r>
        <w:rPr>
          <w:rFonts w:hint="eastAsia" w:asciiTheme="minorEastAsia" w:hAnsiTheme="minorEastAsia" w:eastAsiaTheme="minorEastAsia" w:cstheme="minorEastAsia"/>
          <w:color w:val="auto"/>
          <w:kern w:val="2"/>
          <w:sz w:val="21"/>
          <w:szCs w:val="21"/>
          <w:highlight w:val="none"/>
        </w:rPr>
        <w:t>后的</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个工作日内无条件支付至受益人指定账户，前述书面</w:t>
      </w:r>
      <w:r>
        <w:rPr>
          <w:rFonts w:hint="eastAsia" w:asciiTheme="minorEastAsia" w:hAnsiTheme="minorEastAsia" w:eastAsiaTheme="minorEastAsia" w:cstheme="minorEastAsia"/>
          <w:color w:val="auto"/>
          <w:kern w:val="2"/>
          <w:sz w:val="21"/>
          <w:szCs w:val="21"/>
          <w:highlight w:val="none"/>
          <w:lang w:eastAsia="zh-CN"/>
        </w:rPr>
        <w:t>索赔</w:t>
      </w:r>
      <w:r>
        <w:rPr>
          <w:rFonts w:hint="eastAsia" w:asciiTheme="minorEastAsia" w:hAnsiTheme="minorEastAsia" w:eastAsiaTheme="minorEastAsia" w:cstheme="minorEastAsia"/>
          <w:color w:val="auto"/>
          <w:kern w:val="2"/>
          <w:sz w:val="21"/>
          <w:szCs w:val="21"/>
          <w:highlight w:val="none"/>
        </w:rPr>
        <w:t>通知即为付款要求之单据，且应满足以下要求：</w:t>
      </w:r>
    </w:p>
    <w:p w14:paraId="7F8276C4">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索赔</w:t>
      </w:r>
      <w:r>
        <w:rPr>
          <w:rFonts w:hint="eastAsia" w:asciiTheme="minorEastAsia" w:hAnsiTheme="minorEastAsia" w:eastAsiaTheme="minorEastAsia" w:cstheme="minorEastAsia"/>
          <w:color w:val="auto"/>
          <w:kern w:val="2"/>
          <w:sz w:val="21"/>
          <w:szCs w:val="21"/>
          <w:highlight w:val="none"/>
        </w:rPr>
        <w:t>通知到达的日期在本保函的有效期内；</w:t>
      </w:r>
    </w:p>
    <w:p w14:paraId="1C97198C">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（2）载明要求支付的金额；</w:t>
      </w:r>
    </w:p>
    <w:p w14:paraId="0E2B65E3">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（3）载明申请人违反合同义务的条款和内容；</w:t>
      </w:r>
    </w:p>
    <w:p w14:paraId="5C1C6475">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（4）声明不存在合同文件约定或我国法律规定免除申请人或开立人支付责任的情形；</w:t>
      </w:r>
    </w:p>
    <w:p w14:paraId="6B04BB33">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（5）</w:t>
      </w:r>
      <w:r>
        <w:rPr>
          <w:rFonts w:hint="eastAsia" w:asciiTheme="minorEastAsia" w:hAnsiTheme="minorEastAsia" w:eastAsiaTheme="minorEastAsia" w:cstheme="minorEastAsia"/>
          <w:color w:val="auto"/>
          <w:kern w:val="2"/>
          <w:sz w:val="21"/>
          <w:szCs w:val="21"/>
          <w:highlight w:val="none"/>
          <w:lang w:eastAsia="zh-CN"/>
        </w:rPr>
        <w:t>索赔</w:t>
      </w:r>
      <w:r>
        <w:rPr>
          <w:rFonts w:hint="eastAsia" w:asciiTheme="minorEastAsia" w:hAnsiTheme="minorEastAsia" w:eastAsiaTheme="minorEastAsia" w:cstheme="minorEastAsia"/>
          <w:color w:val="auto"/>
          <w:kern w:val="2"/>
          <w:sz w:val="21"/>
          <w:szCs w:val="21"/>
          <w:highlight w:val="none"/>
        </w:rPr>
        <w:t>通知应在本保函有效期内到达的地址是：</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p>
    <w:p w14:paraId="2E150B9C">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受益人发出的书面索赔通知应由其为鉴明受益人法定代表人（负责人）或授权代理人签名或盖个人名章并加盖公章。</w:t>
      </w:r>
    </w:p>
    <w:p w14:paraId="0574AB93">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五、本保函项下的权利不得转让，不得设定担保。贵方未经我方书面同意转让本保函或其项下任何权利，对我方不发生法律效力。</w:t>
      </w:r>
    </w:p>
    <w:p w14:paraId="417E933B">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六、与本保函有关的基础合同不成立、不生效、无效、被撤销、被解除，不影响本保函的独立有效。</w:t>
      </w:r>
    </w:p>
    <w:p w14:paraId="591D1A6F">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七、贵方应在本保函到期后的</w:t>
      </w:r>
      <w:r>
        <w:rPr>
          <w:rFonts w:hint="eastAsia" w:asciiTheme="minorEastAsia" w:hAnsiTheme="minorEastAsia" w:eastAsiaTheme="minorEastAsia" w:cstheme="minorEastAsia"/>
          <w:color w:val="auto"/>
          <w:kern w:val="2"/>
          <w:sz w:val="21"/>
          <w:szCs w:val="21"/>
          <w:highlight w:val="none"/>
          <w:lang w:val="en-US" w:eastAsia="zh-CN"/>
        </w:rPr>
        <w:t>七个工作</w:t>
      </w:r>
      <w:r>
        <w:rPr>
          <w:rFonts w:hint="eastAsia" w:asciiTheme="minorEastAsia" w:hAnsiTheme="minorEastAsia" w:eastAsiaTheme="minorEastAsia" w:cstheme="minorEastAsia"/>
          <w:color w:val="auto"/>
          <w:kern w:val="2"/>
          <w:sz w:val="21"/>
          <w:szCs w:val="21"/>
          <w:highlight w:val="none"/>
        </w:rPr>
        <w:t>日内将本保函正本退回我方注销，但是不论贵方是否按此要求将本保函正本退回我方，我方在本保函项下的义务和责任均在保函有效期到期后自动消灭。</w:t>
      </w:r>
    </w:p>
    <w:p w14:paraId="1E6416DF">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八、本保函适用的法律为中华人民共和国法律，争议裁判管辖地为中华人民共和国</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p>
    <w:p w14:paraId="0D49B67C">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九、本保函自我方法定代表人或授权代表</w:t>
      </w:r>
      <w:r>
        <w:rPr>
          <w:rFonts w:hint="eastAsia" w:asciiTheme="minorEastAsia" w:hAnsiTheme="minorEastAsia" w:eastAsiaTheme="minorEastAsia" w:cstheme="minorEastAsia"/>
          <w:color w:val="auto"/>
          <w:kern w:val="2"/>
          <w:sz w:val="21"/>
          <w:szCs w:val="21"/>
          <w:highlight w:val="none"/>
          <w:lang w:eastAsia="zh-CN"/>
        </w:rPr>
        <w:t>签名</w:t>
      </w:r>
      <w:r>
        <w:rPr>
          <w:rFonts w:hint="eastAsia" w:asciiTheme="minorEastAsia" w:hAnsiTheme="minorEastAsia" w:eastAsiaTheme="minorEastAsia" w:cstheme="minorEastAsia"/>
          <w:color w:val="auto"/>
          <w:kern w:val="2"/>
          <w:sz w:val="21"/>
          <w:szCs w:val="21"/>
          <w:highlight w:val="none"/>
        </w:rPr>
        <w:t>或盖个人名章并加盖公章或合同专用章之日起生效。</w:t>
      </w:r>
    </w:p>
    <w:p w14:paraId="1318A201">
      <w:pPr>
        <w:keepNext w:val="0"/>
        <w:keepLines w:val="0"/>
        <w:pageBreakBefore w:val="0"/>
        <w:widowControl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u w:val="none"/>
        </w:rPr>
      </w:pPr>
      <w:r>
        <w:rPr>
          <w:rFonts w:hint="eastAsia" w:asciiTheme="minorEastAsia" w:hAnsiTheme="minorEastAsia" w:eastAsiaTheme="minorEastAsia" w:cstheme="minorEastAsia"/>
          <w:color w:val="auto"/>
          <w:kern w:val="2"/>
          <w:sz w:val="21"/>
          <w:szCs w:val="21"/>
          <w:highlight w:val="none"/>
          <w:lang w:val="en-US" w:eastAsia="zh-CN"/>
        </w:rPr>
        <w:t>十、</w:t>
      </w:r>
      <w:r>
        <w:rPr>
          <w:rFonts w:hint="eastAsia" w:asciiTheme="minorEastAsia" w:hAnsiTheme="minorEastAsia" w:eastAsiaTheme="minorEastAsia" w:cstheme="minorEastAsia"/>
          <w:color w:val="auto"/>
          <w:kern w:val="2"/>
          <w:sz w:val="21"/>
          <w:szCs w:val="21"/>
          <w:highlight w:val="none"/>
          <w:lang w:eastAsia="zh-CN"/>
        </w:rPr>
        <w:t>本保函在重庆市辖区范围内的核验地点：</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none"/>
          <w:lang w:eastAsia="zh-CN"/>
        </w:rPr>
        <w:t>；核验方式：</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none"/>
          <w:lang w:val="en-US" w:eastAsia="zh-CN"/>
        </w:rPr>
        <w:t>。</w:t>
      </w:r>
    </w:p>
    <w:p w14:paraId="18F7C865">
      <w:pPr>
        <w:keepNext w:val="0"/>
        <w:keepLines w:val="0"/>
        <w:pageBreakBefore w:val="0"/>
        <w:widowControl w:val="0"/>
        <w:shd w:val="clear"/>
        <w:kinsoku/>
        <w:wordWrap/>
        <w:topLinePunct w:val="0"/>
        <w:autoSpaceDE/>
        <w:autoSpaceDN/>
        <w:bidi w:val="0"/>
        <w:snapToGrid/>
        <w:spacing w:beforeLines="0" w:after="0" w:line="360" w:lineRule="auto"/>
        <w:jc w:val="both"/>
        <w:rPr>
          <w:rFonts w:hint="eastAsia" w:asciiTheme="minorEastAsia" w:hAnsiTheme="minorEastAsia" w:eastAsiaTheme="minorEastAsia" w:cstheme="minorEastAsia"/>
          <w:color w:val="auto"/>
          <w:kern w:val="2"/>
          <w:sz w:val="21"/>
          <w:szCs w:val="21"/>
          <w:highlight w:val="none"/>
          <w:lang w:val="en-US" w:eastAsia="zh-CN" w:bidi="ar-SA"/>
        </w:rPr>
      </w:pPr>
    </w:p>
    <w:p w14:paraId="32166674">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 xml:space="preserve">开 立 人：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（公章）</w:t>
      </w:r>
    </w:p>
    <w:p w14:paraId="58F9CA93">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法定代表人（或授权代表）：</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r>
        <w:rPr>
          <w:rFonts w:hint="eastAsia" w:asciiTheme="minorEastAsia" w:hAnsiTheme="minorEastAsia" w:eastAsiaTheme="minorEastAsia" w:cstheme="minorEastAsia"/>
          <w:color w:val="auto"/>
          <w:kern w:val="2"/>
          <w:sz w:val="21"/>
          <w:szCs w:val="21"/>
          <w:highlight w:val="none"/>
          <w:lang w:eastAsia="zh-CN"/>
        </w:rPr>
        <w:t>签名或盖个人名章</w:t>
      </w:r>
      <w:r>
        <w:rPr>
          <w:rFonts w:hint="eastAsia" w:asciiTheme="minorEastAsia" w:hAnsiTheme="minorEastAsia" w:eastAsiaTheme="minorEastAsia" w:cstheme="minorEastAsia"/>
          <w:color w:val="auto"/>
          <w:kern w:val="2"/>
          <w:sz w:val="21"/>
          <w:szCs w:val="21"/>
          <w:highlight w:val="none"/>
        </w:rPr>
        <w:t>）</w:t>
      </w:r>
    </w:p>
    <w:p w14:paraId="7ABD7D90">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u w:val="single"/>
          <w:lang w:val="en-US" w:eastAsia="zh-CN"/>
        </w:rPr>
      </w:pPr>
      <w:r>
        <w:rPr>
          <w:rFonts w:hint="eastAsia" w:asciiTheme="minorEastAsia" w:hAnsiTheme="minorEastAsia" w:eastAsiaTheme="minorEastAsia" w:cstheme="minorEastAsia"/>
          <w:color w:val="auto"/>
          <w:kern w:val="2"/>
          <w:sz w:val="21"/>
          <w:szCs w:val="21"/>
          <w:highlight w:val="none"/>
        </w:rPr>
        <w:t xml:space="preserve">地   </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址：</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p>
    <w:p w14:paraId="18B25479">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邮政编码：</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p>
    <w:p w14:paraId="68C61816">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电    话：</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p>
    <w:p w14:paraId="7971823E">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传    真：</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p>
    <w:p w14:paraId="4D17F452">
      <w:pPr>
        <w:spacing w:line="360" w:lineRule="auto"/>
        <w:ind w:firstLine="420" w:firstLineChars="200"/>
        <w:jc w:val="left"/>
        <w:outlineLvl w:val="9"/>
        <w:rPr>
          <w:rFonts w:ascii="宋体" w:hAnsi="宋体"/>
          <w:color w:val="auto"/>
          <w:szCs w:val="21"/>
          <w:highlight w:val="none"/>
        </w:rPr>
      </w:pPr>
      <w:r>
        <w:rPr>
          <w:rFonts w:hint="eastAsia" w:asciiTheme="minorEastAsia" w:hAnsiTheme="minorEastAsia" w:eastAsiaTheme="minorEastAsia" w:cstheme="minorEastAsia"/>
          <w:color w:val="auto"/>
          <w:kern w:val="2"/>
          <w:sz w:val="21"/>
          <w:szCs w:val="21"/>
          <w:highlight w:val="none"/>
        </w:rPr>
        <w:t xml:space="preserve">开立时间：    年    月    </w:t>
      </w:r>
      <w:r>
        <w:rPr>
          <w:rFonts w:hint="eastAsia" w:ascii="宋体" w:hAnsi="宋体" w:eastAsia="宋体" w:cs="宋体"/>
          <w:color w:val="auto"/>
          <w:sz w:val="21"/>
          <w:szCs w:val="21"/>
          <w:highlight w:val="none"/>
          <w:lang w:eastAsia="zh-CN"/>
        </w:rPr>
        <w:t>日</w:t>
      </w:r>
    </w:p>
    <w:p w14:paraId="4C5D035A">
      <w:pPr>
        <w:widowControl/>
        <w:spacing w:line="360" w:lineRule="auto"/>
        <w:jc w:val="left"/>
        <w:rPr>
          <w:rFonts w:ascii="宋体" w:hAnsi="宋体"/>
          <w:color w:val="auto"/>
          <w:szCs w:val="21"/>
          <w:highlight w:val="none"/>
        </w:rPr>
      </w:pPr>
      <w:r>
        <w:rPr>
          <w:rFonts w:ascii="宋体" w:hAnsi="宋体"/>
          <w:color w:val="auto"/>
          <w:szCs w:val="21"/>
          <w:highlight w:val="none"/>
        </w:rPr>
        <w:br w:type="page"/>
      </w:r>
    </w:p>
    <w:p w14:paraId="5844ED0C">
      <w:pPr>
        <w:spacing w:line="480" w:lineRule="auto"/>
        <w:rPr>
          <w:rFonts w:ascii="宋体" w:hAnsi="宋体"/>
          <w:color w:val="auto"/>
          <w:szCs w:val="21"/>
          <w:highlight w:val="none"/>
        </w:rPr>
      </w:pPr>
      <w:r>
        <w:rPr>
          <w:rFonts w:hint="eastAsia" w:ascii="宋体" w:hAnsi="宋体"/>
          <w:color w:val="auto"/>
          <w:szCs w:val="21"/>
          <w:highlight w:val="none"/>
        </w:rPr>
        <w:t>附</w:t>
      </w:r>
      <w:bookmarkStart w:id="2060" w:name="_Toc296944571"/>
      <w:bookmarkStart w:id="2061" w:name="_Toc296347231"/>
      <w:bookmarkStart w:id="2062" w:name="_Toc296346733"/>
      <w:bookmarkStart w:id="2063" w:name="_Toc296891272"/>
      <w:bookmarkStart w:id="2064" w:name="_Toc296503232"/>
      <w:bookmarkStart w:id="2065" w:name="_Toc267261702"/>
      <w:bookmarkStart w:id="2066" w:name="_Toc296891060"/>
      <w:r>
        <w:rPr>
          <w:rFonts w:hint="eastAsia" w:ascii="宋体" w:hAnsi="宋体"/>
          <w:color w:val="auto"/>
          <w:szCs w:val="21"/>
          <w:highlight w:val="none"/>
        </w:rPr>
        <w:t>件</w:t>
      </w:r>
      <w:r>
        <w:rPr>
          <w:rFonts w:ascii="宋体" w:hAnsi="宋体"/>
          <w:color w:val="auto"/>
          <w:szCs w:val="21"/>
          <w:highlight w:val="none"/>
        </w:rPr>
        <w:t>5</w:t>
      </w:r>
      <w:r>
        <w:rPr>
          <w:rFonts w:hint="eastAsia" w:ascii="宋体" w:hAnsi="宋体"/>
          <w:color w:val="auto"/>
          <w:szCs w:val="21"/>
          <w:highlight w:val="none"/>
        </w:rPr>
        <w:t>：</w:t>
      </w:r>
    </w:p>
    <w:bookmarkEnd w:id="2060"/>
    <w:bookmarkEnd w:id="2061"/>
    <w:bookmarkEnd w:id="2062"/>
    <w:bookmarkEnd w:id="2063"/>
    <w:bookmarkEnd w:id="2064"/>
    <w:bookmarkEnd w:id="2065"/>
    <w:bookmarkEnd w:id="2066"/>
    <w:p w14:paraId="12C93ACE">
      <w:pPr>
        <w:spacing w:before="156" w:beforeLines="50" w:after="156" w:afterLines="50" w:line="480" w:lineRule="auto"/>
        <w:jc w:val="center"/>
        <w:rPr>
          <w:rFonts w:ascii="宋体" w:hAnsi="宋体"/>
          <w:color w:val="auto"/>
          <w:szCs w:val="21"/>
          <w:highlight w:val="none"/>
        </w:rPr>
      </w:pPr>
      <w:r>
        <w:rPr>
          <w:rFonts w:hint="eastAsia" w:ascii="宋体" w:hAnsi="宋体"/>
          <w:color w:val="auto"/>
          <w:szCs w:val="21"/>
          <w:highlight w:val="none"/>
        </w:rPr>
        <w:t>预付款担保（如有）</w:t>
      </w:r>
    </w:p>
    <w:p w14:paraId="7F6FF27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（发包人名称）：</w:t>
      </w:r>
    </w:p>
    <w:p w14:paraId="12BD410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日签订的</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374B8EC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0FD249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 担保有效期自预付款支付给承包人起生效，至你方签发的进度款支付证书说明已完全扣清止。</w:t>
      </w:r>
    </w:p>
    <w:p w14:paraId="5B2CD00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5837216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你方和承包人按合同约定变更合同时，我方承担本保函规定的义务不变。</w:t>
      </w:r>
    </w:p>
    <w:p w14:paraId="7CEA722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 因本保函发生的纠纷，可由双方协商解决，协商不成的，按下列第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022AA48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5F63AAF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 xml:space="preserve">                     </w:t>
      </w:r>
      <w:r>
        <w:rPr>
          <w:rFonts w:hint="eastAsia" w:ascii="宋体" w:hAnsi="宋体"/>
          <w:color w:val="auto"/>
          <w:szCs w:val="21"/>
          <w:highlight w:val="none"/>
        </w:rPr>
        <w:t>人民法院起诉。</w:t>
      </w:r>
    </w:p>
    <w:p w14:paraId="16F3434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 本保函自我方法定代表人（或其委托代理人）</w:t>
      </w:r>
      <w:r>
        <w:rPr>
          <w:rFonts w:hint="eastAsia" w:ascii="宋体" w:hAnsi="宋体"/>
          <w:color w:val="auto"/>
          <w:szCs w:val="21"/>
          <w:highlight w:val="none"/>
          <w:lang w:eastAsia="zh-CN"/>
        </w:rPr>
        <w:t>签名</w:t>
      </w:r>
      <w:r>
        <w:rPr>
          <w:rFonts w:hint="eastAsia" w:ascii="宋体" w:hAnsi="宋体"/>
          <w:color w:val="auto"/>
          <w:szCs w:val="21"/>
          <w:highlight w:val="none"/>
        </w:rPr>
        <w:t>并加盖</w:t>
      </w:r>
      <w:r>
        <w:rPr>
          <w:rFonts w:hint="eastAsia" w:ascii="宋体" w:hAnsi="宋体"/>
          <w:color w:val="auto"/>
          <w:szCs w:val="21"/>
          <w:highlight w:val="none"/>
          <w:lang w:val="en-US" w:eastAsia="zh-CN"/>
        </w:rPr>
        <w:t>单位</w:t>
      </w:r>
      <w:r>
        <w:rPr>
          <w:rFonts w:hint="eastAsia" w:ascii="宋体" w:hAnsi="宋体"/>
          <w:color w:val="auto"/>
          <w:szCs w:val="21"/>
          <w:highlight w:val="none"/>
        </w:rPr>
        <w:t>公章之日起生效。</w:t>
      </w:r>
    </w:p>
    <w:p w14:paraId="7957317B">
      <w:pPr>
        <w:pStyle w:val="2"/>
        <w:spacing w:line="360" w:lineRule="auto"/>
        <w:ind w:firstLine="420" w:firstLineChars="200"/>
        <w:rPr>
          <w:rFonts w:ascii="宋体" w:hAnsi="宋体"/>
          <w:color w:val="auto"/>
          <w:szCs w:val="21"/>
          <w:highlight w:val="none"/>
        </w:rPr>
      </w:pPr>
    </w:p>
    <w:p w14:paraId="0AA692E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w:t>
      </w:r>
      <w:r>
        <w:rPr>
          <w:rFonts w:hint="eastAsia" w:ascii="宋体" w:hAnsi="宋体"/>
          <w:color w:val="auto"/>
          <w:szCs w:val="21"/>
          <w:highlight w:val="none"/>
          <w:lang w:eastAsia="zh-CN"/>
        </w:rPr>
        <w:t>公</w:t>
      </w:r>
      <w:r>
        <w:rPr>
          <w:rFonts w:hint="eastAsia" w:ascii="宋体" w:hAnsi="宋体"/>
          <w:color w:val="auto"/>
          <w:szCs w:val="21"/>
          <w:highlight w:val="none"/>
        </w:rPr>
        <w:t>章）</w:t>
      </w:r>
    </w:p>
    <w:p w14:paraId="7139B60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lang w:eastAsia="zh-CN"/>
        </w:rPr>
        <w:t>签名</w:t>
      </w:r>
      <w:r>
        <w:rPr>
          <w:rFonts w:hint="eastAsia" w:ascii="宋体" w:hAnsi="宋体"/>
          <w:color w:val="auto"/>
          <w:szCs w:val="21"/>
          <w:highlight w:val="none"/>
        </w:rPr>
        <w:t>）</w:t>
      </w:r>
    </w:p>
    <w:p w14:paraId="44447B6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185764EF">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邮政编码：</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0FB9A13">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3D4C3E7D">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传    真：</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036EFD93">
      <w:pPr>
        <w:spacing w:line="360" w:lineRule="auto"/>
        <w:ind w:firstLine="420" w:firstLineChars="200"/>
        <w:rPr>
          <w:rFonts w:ascii="宋体" w:hAnsi="宋体"/>
          <w:color w:val="auto"/>
          <w:szCs w:val="21"/>
          <w:highlight w:val="none"/>
          <w:u w:val="single"/>
        </w:rPr>
      </w:pPr>
    </w:p>
    <w:p w14:paraId="54917689">
      <w:pPr>
        <w:spacing w:line="360" w:lineRule="auto"/>
        <w:ind w:firstLine="420" w:firstLineChars="200"/>
        <w:jc w:val="righ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DDE8A8A">
      <w:pPr>
        <w:spacing w:line="480" w:lineRule="auto"/>
        <w:rPr>
          <w:rFonts w:ascii="宋体" w:hAnsi="宋体"/>
          <w:color w:val="auto"/>
          <w:szCs w:val="21"/>
          <w:highlight w:val="none"/>
        </w:rPr>
      </w:pPr>
      <w:r>
        <w:rPr>
          <w:rFonts w:hint="eastAsia" w:ascii="宋体" w:hAnsi="宋体"/>
          <w:color w:val="auto"/>
          <w:szCs w:val="21"/>
          <w:highlight w:val="none"/>
        </w:rPr>
        <w:br w:type="page"/>
      </w:r>
      <w:r>
        <w:rPr>
          <w:rFonts w:hint="eastAsia" w:ascii="宋体" w:hAnsi="宋体"/>
          <w:color w:val="auto"/>
          <w:szCs w:val="21"/>
          <w:highlight w:val="none"/>
        </w:rPr>
        <w:t>附</w:t>
      </w:r>
      <w:bookmarkStart w:id="2067" w:name="_Toc296891061"/>
      <w:bookmarkStart w:id="2068" w:name="_Toc296944572"/>
      <w:bookmarkStart w:id="2069" w:name="_Toc296891273"/>
      <w:bookmarkStart w:id="2070" w:name="_Toc296346734"/>
      <w:bookmarkStart w:id="2071" w:name="_Toc296347232"/>
      <w:bookmarkStart w:id="2072" w:name="_Toc296503233"/>
      <w:r>
        <w:rPr>
          <w:rFonts w:hint="eastAsia" w:ascii="宋体" w:hAnsi="宋体"/>
          <w:color w:val="auto"/>
          <w:szCs w:val="21"/>
          <w:highlight w:val="none"/>
        </w:rPr>
        <w:t>件</w:t>
      </w:r>
      <w:r>
        <w:rPr>
          <w:rFonts w:ascii="宋体" w:hAnsi="宋体"/>
          <w:color w:val="auto"/>
          <w:szCs w:val="21"/>
          <w:highlight w:val="none"/>
        </w:rPr>
        <w:t>6</w:t>
      </w:r>
      <w:r>
        <w:rPr>
          <w:rFonts w:hint="eastAsia" w:ascii="宋体" w:hAnsi="宋体"/>
          <w:color w:val="auto"/>
          <w:szCs w:val="21"/>
          <w:highlight w:val="none"/>
        </w:rPr>
        <w:t>：</w:t>
      </w:r>
    </w:p>
    <w:bookmarkEnd w:id="2067"/>
    <w:bookmarkEnd w:id="2068"/>
    <w:bookmarkEnd w:id="2069"/>
    <w:bookmarkEnd w:id="2070"/>
    <w:bookmarkEnd w:id="2071"/>
    <w:bookmarkEnd w:id="2072"/>
    <w:p w14:paraId="7DCF735A">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支付担保（如有）</w:t>
      </w:r>
    </w:p>
    <w:p w14:paraId="3D97580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（承包人）：</w:t>
      </w:r>
    </w:p>
    <w:p w14:paraId="4C57EF1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鉴于你方作为承包人已经与 </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日签订了</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（工程名称）《建设工程施工合同》（以下称“主合同”），应发包人的申请，我方愿就发包人履行主合同约定的工程款支付义务以保证的方式向你方提供如下担保：</w:t>
      </w:r>
    </w:p>
    <w:p w14:paraId="6E4FDF66">
      <w:pPr>
        <w:spacing w:line="360" w:lineRule="auto"/>
        <w:ind w:firstLine="420" w:firstLineChars="200"/>
        <w:rPr>
          <w:rFonts w:ascii="宋体" w:hAnsi="宋体"/>
          <w:color w:val="auto"/>
          <w:szCs w:val="21"/>
          <w:highlight w:val="none"/>
        </w:rPr>
      </w:pPr>
      <w:bookmarkStart w:id="2073" w:name="_Toc532375692"/>
      <w:r>
        <w:rPr>
          <w:rFonts w:hint="eastAsia" w:ascii="宋体" w:hAnsi="宋体"/>
          <w:color w:val="auto"/>
          <w:szCs w:val="21"/>
          <w:highlight w:val="none"/>
        </w:rPr>
        <w:t>一、保证的范围及保证金额</w:t>
      </w:r>
      <w:bookmarkEnd w:id="2073"/>
    </w:p>
    <w:p w14:paraId="5A6A610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 我方的保证范围是主合同约定的工程款。</w:t>
      </w:r>
    </w:p>
    <w:p w14:paraId="1CCE08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 本保函所称主合同约定的工程款是指主合同约定的除工程质量保证金以外的合同价款。</w:t>
      </w:r>
    </w:p>
    <w:p w14:paraId="1CD40E6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 我方保证的金额是主合同约定的工程款的</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%，数额最高不超过人民币元（大写：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CE74DE5">
      <w:pPr>
        <w:spacing w:line="360" w:lineRule="auto"/>
        <w:ind w:firstLine="420" w:firstLineChars="200"/>
        <w:rPr>
          <w:rFonts w:ascii="宋体" w:hAnsi="宋体"/>
          <w:color w:val="auto"/>
          <w:szCs w:val="21"/>
          <w:highlight w:val="none"/>
        </w:rPr>
      </w:pPr>
      <w:bookmarkStart w:id="2074" w:name="_Toc532375693"/>
      <w:r>
        <w:rPr>
          <w:rFonts w:hint="eastAsia" w:ascii="宋体" w:hAnsi="宋体"/>
          <w:color w:val="auto"/>
          <w:szCs w:val="21"/>
          <w:highlight w:val="none"/>
        </w:rPr>
        <w:t>二、保证的方式及保证期间</w:t>
      </w:r>
      <w:bookmarkEnd w:id="2074"/>
    </w:p>
    <w:p w14:paraId="0DFE089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 我方保证的方式为：连带责任保证。</w:t>
      </w:r>
    </w:p>
    <w:p w14:paraId="43B4CCD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 我方保证的期间为：自合同生效之日起至主合同约定的工程款支付完毕之日后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p w14:paraId="2BE2BA3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 你方与发包人协议变更工程款支付日期的，经我方书面同意后，保证期间按照变更后的支付日期做相应调整。</w:t>
      </w:r>
    </w:p>
    <w:p w14:paraId="340670F9">
      <w:pPr>
        <w:spacing w:line="360" w:lineRule="auto"/>
        <w:ind w:firstLine="420" w:firstLineChars="200"/>
        <w:rPr>
          <w:rFonts w:ascii="宋体" w:hAnsi="宋体"/>
          <w:color w:val="auto"/>
          <w:szCs w:val="21"/>
          <w:highlight w:val="none"/>
        </w:rPr>
      </w:pPr>
      <w:bookmarkStart w:id="2075" w:name="_Toc532375694"/>
      <w:r>
        <w:rPr>
          <w:rFonts w:hint="eastAsia" w:ascii="宋体" w:hAnsi="宋体"/>
          <w:color w:val="auto"/>
          <w:szCs w:val="21"/>
          <w:highlight w:val="none"/>
        </w:rPr>
        <w:t>三、承担保证责任的形式</w:t>
      </w:r>
      <w:bookmarkEnd w:id="2075"/>
    </w:p>
    <w:p w14:paraId="2EFA8A4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我方承担保证责任的形式是代为支付。发包人未按主合同约定向你方支付工程款的，由我方在保证金额内代为支付。</w:t>
      </w:r>
    </w:p>
    <w:p w14:paraId="336A5AAE">
      <w:pPr>
        <w:spacing w:line="360" w:lineRule="auto"/>
        <w:ind w:firstLine="420" w:firstLineChars="200"/>
        <w:rPr>
          <w:rFonts w:ascii="宋体" w:hAnsi="宋体"/>
          <w:color w:val="auto"/>
          <w:szCs w:val="21"/>
          <w:highlight w:val="none"/>
        </w:rPr>
      </w:pPr>
      <w:bookmarkStart w:id="2076" w:name="_Toc532375695"/>
      <w:r>
        <w:rPr>
          <w:rFonts w:hint="eastAsia" w:ascii="宋体" w:hAnsi="宋体"/>
          <w:color w:val="auto"/>
          <w:szCs w:val="21"/>
          <w:highlight w:val="none"/>
        </w:rPr>
        <w:t>四、代偿的安排</w:t>
      </w:r>
      <w:bookmarkEnd w:id="2076"/>
    </w:p>
    <w:p w14:paraId="5F97FDA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3CC2338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58529C4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 我方收到你方的书面索赔通知及相应的证明材料后７天内无条件支付。</w:t>
      </w:r>
    </w:p>
    <w:p w14:paraId="2F9BF42A">
      <w:pPr>
        <w:spacing w:line="360" w:lineRule="auto"/>
        <w:ind w:firstLine="420" w:firstLineChars="200"/>
        <w:rPr>
          <w:rFonts w:ascii="宋体" w:hAnsi="宋体"/>
          <w:color w:val="auto"/>
          <w:szCs w:val="21"/>
          <w:highlight w:val="none"/>
        </w:rPr>
      </w:pPr>
      <w:bookmarkStart w:id="2077" w:name="_Toc532375696"/>
      <w:r>
        <w:rPr>
          <w:rFonts w:hint="eastAsia" w:ascii="宋体" w:hAnsi="宋体"/>
          <w:color w:val="auto"/>
          <w:szCs w:val="21"/>
          <w:highlight w:val="none"/>
        </w:rPr>
        <w:t>五、保证责任的解除</w:t>
      </w:r>
      <w:bookmarkEnd w:id="2077"/>
    </w:p>
    <w:p w14:paraId="08FA1BC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 在本保函承诺的保证期间内，你方未书面向我方主张保证责任的，自保证期间届满次日起，我方保证责任解除。</w:t>
      </w:r>
    </w:p>
    <w:p w14:paraId="31AA3AA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 发包人按主合同约定履行了工程款的全部支付义务的，自本保函承诺的保证期间届满次日起，我方保证责任解除。</w:t>
      </w:r>
    </w:p>
    <w:p w14:paraId="6E826F5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 我方按照本保函向你方履行保证责任所支付金额达到本保函保证金额时，自我方向你方支付（支付款项从我方账户划出）之日起，保证责任即解除。</w:t>
      </w:r>
    </w:p>
    <w:p w14:paraId="167E97D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 按照法律法规的规定或出现应解除我方保证责任的其他情形的，我方在本保函项下的保证责任亦解除。</w:t>
      </w:r>
    </w:p>
    <w:p w14:paraId="23147AE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 我方解除保证责任后，你方应自我方保证责任解除之日起  个工作日内，将本保函原件返还我方。</w:t>
      </w:r>
    </w:p>
    <w:p w14:paraId="62CC1BA9">
      <w:pPr>
        <w:spacing w:line="360" w:lineRule="auto"/>
        <w:ind w:firstLine="420" w:firstLineChars="200"/>
        <w:rPr>
          <w:rFonts w:ascii="宋体" w:hAnsi="宋体"/>
          <w:color w:val="auto"/>
          <w:szCs w:val="21"/>
          <w:highlight w:val="none"/>
        </w:rPr>
      </w:pPr>
      <w:bookmarkStart w:id="2078" w:name="_Toc532375697"/>
      <w:r>
        <w:rPr>
          <w:rFonts w:hint="eastAsia" w:ascii="宋体" w:hAnsi="宋体"/>
          <w:color w:val="auto"/>
          <w:szCs w:val="21"/>
          <w:highlight w:val="none"/>
        </w:rPr>
        <w:t>六、免责条款</w:t>
      </w:r>
      <w:bookmarkEnd w:id="2078"/>
    </w:p>
    <w:p w14:paraId="54F336E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 因你方违约致使发包人不能履行义务的，我方不承担保证责任。</w:t>
      </w:r>
    </w:p>
    <w:p w14:paraId="009496F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 依照法律法规的规定或你方与发包人的另行约定，免除发包人部分或全部义务的，我方亦免除其相应的保证责任。</w:t>
      </w:r>
    </w:p>
    <w:p w14:paraId="326C913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3D660BE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 因不可抗力造成发包人不能履行义务的，我方不承担保证责任。</w:t>
      </w:r>
    </w:p>
    <w:p w14:paraId="35DE8F6C">
      <w:pPr>
        <w:spacing w:line="360" w:lineRule="auto"/>
        <w:ind w:firstLine="420" w:firstLineChars="200"/>
        <w:rPr>
          <w:rFonts w:ascii="宋体" w:hAnsi="宋体"/>
          <w:color w:val="auto"/>
          <w:szCs w:val="21"/>
          <w:highlight w:val="none"/>
        </w:rPr>
      </w:pPr>
      <w:bookmarkStart w:id="2079" w:name="_Toc532375698"/>
      <w:r>
        <w:rPr>
          <w:rFonts w:hint="eastAsia" w:ascii="宋体" w:hAnsi="宋体"/>
          <w:color w:val="auto"/>
          <w:szCs w:val="21"/>
          <w:highlight w:val="none"/>
        </w:rPr>
        <w:t>七、争议解决</w:t>
      </w:r>
      <w:bookmarkEnd w:id="2079"/>
    </w:p>
    <w:p w14:paraId="18B9F56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因本保函或本保函相关事项发生的纠纷，可由双方协商解决，协商不成的，按下列第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532C01B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2A0A8BC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 xml:space="preserve">                     </w:t>
      </w:r>
      <w:r>
        <w:rPr>
          <w:rFonts w:hint="eastAsia" w:ascii="宋体" w:hAnsi="宋体"/>
          <w:color w:val="auto"/>
          <w:szCs w:val="21"/>
          <w:highlight w:val="none"/>
        </w:rPr>
        <w:t>人民法院起诉。</w:t>
      </w:r>
    </w:p>
    <w:p w14:paraId="66FCAEB3">
      <w:pPr>
        <w:spacing w:line="360" w:lineRule="auto"/>
        <w:ind w:firstLine="420" w:firstLineChars="200"/>
        <w:rPr>
          <w:rFonts w:ascii="宋体" w:hAnsi="宋体"/>
          <w:color w:val="auto"/>
          <w:szCs w:val="21"/>
          <w:highlight w:val="none"/>
        </w:rPr>
      </w:pPr>
      <w:bookmarkStart w:id="2080" w:name="_Toc532375699"/>
      <w:r>
        <w:rPr>
          <w:rFonts w:hint="eastAsia" w:ascii="宋体" w:hAnsi="宋体"/>
          <w:color w:val="auto"/>
          <w:szCs w:val="21"/>
          <w:highlight w:val="none"/>
        </w:rPr>
        <w:t>八、保函的生效</w:t>
      </w:r>
      <w:bookmarkEnd w:id="2080"/>
    </w:p>
    <w:p w14:paraId="2393240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本保函自我方法定代表人（或其委托代理人）</w:t>
      </w:r>
      <w:r>
        <w:rPr>
          <w:rFonts w:hint="eastAsia" w:ascii="宋体" w:hAnsi="宋体"/>
          <w:color w:val="auto"/>
          <w:szCs w:val="21"/>
          <w:highlight w:val="none"/>
          <w:lang w:eastAsia="zh-CN"/>
        </w:rPr>
        <w:t>签名</w:t>
      </w:r>
      <w:r>
        <w:rPr>
          <w:rFonts w:hint="eastAsia" w:ascii="宋体" w:hAnsi="宋体"/>
          <w:color w:val="auto"/>
          <w:szCs w:val="21"/>
          <w:highlight w:val="none"/>
        </w:rPr>
        <w:t>并加盖</w:t>
      </w:r>
      <w:r>
        <w:rPr>
          <w:rFonts w:hint="eastAsia" w:ascii="宋体" w:hAnsi="宋体"/>
          <w:color w:val="auto"/>
          <w:szCs w:val="21"/>
          <w:highlight w:val="none"/>
          <w:lang w:val="en-US" w:eastAsia="zh-CN"/>
        </w:rPr>
        <w:t>单位</w:t>
      </w:r>
      <w:r>
        <w:rPr>
          <w:rFonts w:hint="eastAsia" w:ascii="宋体" w:hAnsi="宋体"/>
          <w:color w:val="auto"/>
          <w:szCs w:val="21"/>
          <w:highlight w:val="none"/>
        </w:rPr>
        <w:t>公章之日起生效。</w:t>
      </w:r>
    </w:p>
    <w:p w14:paraId="68873E49">
      <w:pPr>
        <w:spacing w:line="360" w:lineRule="auto"/>
        <w:ind w:firstLine="420" w:firstLineChars="200"/>
        <w:jc w:val="left"/>
        <w:rPr>
          <w:rFonts w:ascii="宋体" w:hAnsi="宋体"/>
          <w:color w:val="auto"/>
          <w:szCs w:val="21"/>
          <w:highlight w:val="none"/>
        </w:rPr>
      </w:pPr>
    </w:p>
    <w:p w14:paraId="214A2869">
      <w:pPr>
        <w:spacing w:line="360" w:lineRule="auto"/>
        <w:ind w:firstLine="420" w:firstLineChars="200"/>
        <w:jc w:val="left"/>
        <w:rPr>
          <w:rFonts w:ascii="宋体" w:hAnsi="宋体"/>
          <w:color w:val="auto"/>
          <w:szCs w:val="21"/>
          <w:highlight w:val="none"/>
        </w:rPr>
      </w:pPr>
    </w:p>
    <w:p w14:paraId="490A404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w:t>
      </w:r>
      <w:r>
        <w:rPr>
          <w:rFonts w:hint="eastAsia" w:ascii="宋体" w:hAnsi="宋体"/>
          <w:color w:val="auto"/>
          <w:szCs w:val="21"/>
          <w:highlight w:val="none"/>
          <w:lang w:val="en-US" w:eastAsia="zh-CN"/>
        </w:rPr>
        <w:t>单位公</w:t>
      </w:r>
      <w:r>
        <w:rPr>
          <w:rFonts w:hint="eastAsia" w:ascii="宋体" w:hAnsi="宋体"/>
          <w:color w:val="auto"/>
          <w:szCs w:val="21"/>
          <w:highlight w:val="none"/>
        </w:rPr>
        <w:t>章）</w:t>
      </w:r>
    </w:p>
    <w:p w14:paraId="01AC3F4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lang w:eastAsia="zh-CN"/>
        </w:rPr>
        <w:t>签名</w:t>
      </w:r>
      <w:r>
        <w:rPr>
          <w:rFonts w:hint="eastAsia" w:ascii="宋体" w:hAnsi="宋体"/>
          <w:color w:val="auto"/>
          <w:szCs w:val="21"/>
          <w:highlight w:val="none"/>
        </w:rPr>
        <w:t>）</w:t>
      </w:r>
    </w:p>
    <w:p w14:paraId="40BBC70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2A86AD7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3A662E6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35F725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w:t>
      </w:r>
    </w:p>
    <w:p w14:paraId="6F0D1C5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r>
        <w:rPr>
          <w:rFonts w:hint="eastAsia" w:ascii="宋体" w:hAnsi="宋体"/>
          <w:color w:val="auto"/>
          <w:szCs w:val="21"/>
          <w:highlight w:val="none"/>
        </w:rPr>
        <w:br w:type="page"/>
      </w:r>
    </w:p>
    <w:p w14:paraId="0BFE7C49">
      <w:pPr>
        <w:spacing w:line="480" w:lineRule="auto"/>
        <w:rPr>
          <w:rFonts w:ascii="宋体" w:hAns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7</w:t>
      </w:r>
      <w:r>
        <w:rPr>
          <w:rFonts w:hint="eastAsia" w:ascii="宋体" w:hAnsi="宋体"/>
          <w:color w:val="auto"/>
          <w:szCs w:val="21"/>
          <w:highlight w:val="none"/>
        </w:rPr>
        <w:t>：</w:t>
      </w:r>
    </w:p>
    <w:p w14:paraId="1EE2D0C5">
      <w:pPr>
        <w:spacing w:before="156" w:beforeLines="50" w:after="156" w:afterLines="50" w:line="480" w:lineRule="auto"/>
        <w:jc w:val="center"/>
        <w:rPr>
          <w:rFonts w:ascii="宋体" w:hAnsi="宋体"/>
          <w:color w:val="auto"/>
          <w:szCs w:val="21"/>
          <w:highlight w:val="none"/>
        </w:rPr>
      </w:pPr>
      <w:r>
        <w:rPr>
          <w:rFonts w:hint="eastAsia" w:ascii="宋体" w:hAnsi="宋体"/>
          <w:color w:val="auto"/>
          <w:szCs w:val="21"/>
          <w:highlight w:val="none"/>
        </w:rPr>
        <w:t>专业工程暂估价表</w:t>
      </w:r>
    </w:p>
    <w:tbl>
      <w:tblPr>
        <w:tblStyle w:val="17"/>
        <w:tblW w:w="9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9"/>
        <w:gridCol w:w="1984"/>
        <w:gridCol w:w="5103"/>
        <w:gridCol w:w="1560"/>
      </w:tblGrid>
      <w:tr w14:paraId="0144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665FD595">
            <w:pPr>
              <w:spacing w:line="400" w:lineRule="exact"/>
              <w:jc w:val="center"/>
              <w:rPr>
                <w:rFonts w:ascii="宋体" w:hAnsi="宋体"/>
                <w:color w:val="auto"/>
                <w:szCs w:val="21"/>
                <w:highlight w:val="none"/>
              </w:rPr>
            </w:pPr>
            <w:r>
              <w:rPr>
                <w:rFonts w:hint="eastAsia" w:ascii="宋体" w:hAnsi="宋体"/>
                <w:color w:val="auto"/>
                <w:szCs w:val="21"/>
                <w:highlight w:val="none"/>
              </w:rPr>
              <w:t>序号</w:t>
            </w:r>
          </w:p>
        </w:tc>
        <w:tc>
          <w:tcPr>
            <w:tcW w:w="1984" w:type="dxa"/>
          </w:tcPr>
          <w:p w14:paraId="7607401F">
            <w:pPr>
              <w:spacing w:line="400" w:lineRule="exact"/>
              <w:jc w:val="center"/>
              <w:rPr>
                <w:rFonts w:ascii="宋体" w:hAnsi="宋体"/>
                <w:color w:val="auto"/>
                <w:szCs w:val="21"/>
                <w:highlight w:val="none"/>
              </w:rPr>
            </w:pPr>
            <w:r>
              <w:rPr>
                <w:rFonts w:hint="eastAsia" w:ascii="宋体" w:hAnsi="宋体"/>
                <w:color w:val="auto"/>
                <w:szCs w:val="21"/>
                <w:highlight w:val="none"/>
              </w:rPr>
              <w:t>专业工程名称</w:t>
            </w:r>
          </w:p>
        </w:tc>
        <w:tc>
          <w:tcPr>
            <w:tcW w:w="5103" w:type="dxa"/>
          </w:tcPr>
          <w:p w14:paraId="55524EED">
            <w:pPr>
              <w:spacing w:line="400" w:lineRule="exact"/>
              <w:jc w:val="center"/>
              <w:rPr>
                <w:rFonts w:ascii="宋体" w:hAnsi="宋体"/>
                <w:color w:val="auto"/>
                <w:szCs w:val="21"/>
                <w:highlight w:val="none"/>
              </w:rPr>
            </w:pPr>
            <w:r>
              <w:rPr>
                <w:rFonts w:hint="eastAsia" w:ascii="宋体" w:hAnsi="宋体"/>
                <w:color w:val="auto"/>
                <w:szCs w:val="21"/>
                <w:highlight w:val="none"/>
              </w:rPr>
              <w:t>工程内容</w:t>
            </w:r>
          </w:p>
        </w:tc>
        <w:tc>
          <w:tcPr>
            <w:tcW w:w="1560" w:type="dxa"/>
          </w:tcPr>
          <w:p w14:paraId="1581EC65">
            <w:pPr>
              <w:spacing w:line="400" w:lineRule="exact"/>
              <w:jc w:val="center"/>
              <w:rPr>
                <w:rFonts w:ascii="宋体" w:hAnsi="宋体"/>
                <w:color w:val="auto"/>
                <w:szCs w:val="21"/>
                <w:highlight w:val="none"/>
              </w:rPr>
            </w:pPr>
            <w:r>
              <w:rPr>
                <w:rFonts w:hint="eastAsia" w:ascii="宋体" w:hAnsi="宋体"/>
                <w:color w:val="auto"/>
                <w:szCs w:val="21"/>
                <w:highlight w:val="none"/>
              </w:rPr>
              <w:t>金额</w:t>
            </w:r>
          </w:p>
        </w:tc>
      </w:tr>
      <w:tr w14:paraId="3B89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5D1C076B">
            <w:pPr>
              <w:spacing w:line="400" w:lineRule="exact"/>
              <w:ind w:firstLine="420" w:firstLineChars="200"/>
              <w:rPr>
                <w:rFonts w:ascii="宋体" w:hAnsi="宋体"/>
                <w:color w:val="auto"/>
                <w:szCs w:val="21"/>
                <w:highlight w:val="none"/>
              </w:rPr>
            </w:pPr>
          </w:p>
        </w:tc>
        <w:tc>
          <w:tcPr>
            <w:tcW w:w="1984" w:type="dxa"/>
          </w:tcPr>
          <w:p w14:paraId="751BCDB4">
            <w:pPr>
              <w:spacing w:line="400" w:lineRule="exact"/>
              <w:ind w:firstLine="420" w:firstLineChars="200"/>
              <w:rPr>
                <w:rFonts w:ascii="宋体" w:hAnsi="宋体"/>
                <w:color w:val="auto"/>
                <w:szCs w:val="21"/>
                <w:highlight w:val="none"/>
              </w:rPr>
            </w:pPr>
          </w:p>
        </w:tc>
        <w:tc>
          <w:tcPr>
            <w:tcW w:w="5103" w:type="dxa"/>
          </w:tcPr>
          <w:p w14:paraId="17990E99">
            <w:pPr>
              <w:spacing w:line="400" w:lineRule="exact"/>
              <w:ind w:firstLine="420" w:firstLineChars="200"/>
              <w:rPr>
                <w:rFonts w:ascii="宋体" w:hAnsi="宋体"/>
                <w:color w:val="auto"/>
                <w:szCs w:val="21"/>
                <w:highlight w:val="none"/>
              </w:rPr>
            </w:pPr>
          </w:p>
        </w:tc>
        <w:tc>
          <w:tcPr>
            <w:tcW w:w="1560" w:type="dxa"/>
          </w:tcPr>
          <w:p w14:paraId="25EF6FCA">
            <w:pPr>
              <w:spacing w:line="400" w:lineRule="exact"/>
              <w:ind w:firstLine="420" w:firstLineChars="200"/>
              <w:rPr>
                <w:rFonts w:ascii="宋体" w:hAnsi="宋体"/>
                <w:color w:val="auto"/>
                <w:szCs w:val="21"/>
                <w:highlight w:val="none"/>
              </w:rPr>
            </w:pPr>
          </w:p>
        </w:tc>
      </w:tr>
      <w:tr w14:paraId="122E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5D5DFAB1">
            <w:pPr>
              <w:spacing w:line="400" w:lineRule="exact"/>
              <w:ind w:firstLine="420" w:firstLineChars="200"/>
              <w:rPr>
                <w:rFonts w:ascii="宋体" w:hAnsi="宋体"/>
                <w:color w:val="auto"/>
                <w:szCs w:val="21"/>
                <w:highlight w:val="none"/>
              </w:rPr>
            </w:pPr>
          </w:p>
        </w:tc>
        <w:tc>
          <w:tcPr>
            <w:tcW w:w="1984" w:type="dxa"/>
          </w:tcPr>
          <w:p w14:paraId="38CA7FDC">
            <w:pPr>
              <w:spacing w:line="400" w:lineRule="exact"/>
              <w:ind w:firstLine="420" w:firstLineChars="200"/>
              <w:rPr>
                <w:rFonts w:ascii="宋体" w:hAnsi="宋体"/>
                <w:color w:val="auto"/>
                <w:szCs w:val="21"/>
                <w:highlight w:val="none"/>
              </w:rPr>
            </w:pPr>
          </w:p>
        </w:tc>
        <w:tc>
          <w:tcPr>
            <w:tcW w:w="5103" w:type="dxa"/>
          </w:tcPr>
          <w:p w14:paraId="54A28AF8">
            <w:pPr>
              <w:spacing w:line="400" w:lineRule="exact"/>
              <w:ind w:firstLine="420" w:firstLineChars="200"/>
              <w:rPr>
                <w:rFonts w:ascii="宋体" w:hAnsi="宋体"/>
                <w:color w:val="auto"/>
                <w:szCs w:val="21"/>
                <w:highlight w:val="none"/>
              </w:rPr>
            </w:pPr>
          </w:p>
        </w:tc>
        <w:tc>
          <w:tcPr>
            <w:tcW w:w="1560" w:type="dxa"/>
          </w:tcPr>
          <w:p w14:paraId="1FFD6B0E">
            <w:pPr>
              <w:spacing w:line="400" w:lineRule="exact"/>
              <w:ind w:firstLine="420" w:firstLineChars="200"/>
              <w:rPr>
                <w:rFonts w:ascii="宋体" w:hAnsi="宋体"/>
                <w:color w:val="auto"/>
                <w:szCs w:val="21"/>
                <w:highlight w:val="none"/>
              </w:rPr>
            </w:pPr>
          </w:p>
        </w:tc>
      </w:tr>
      <w:tr w14:paraId="3294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0B9809F4">
            <w:pPr>
              <w:spacing w:line="400" w:lineRule="exact"/>
              <w:ind w:firstLine="420" w:firstLineChars="200"/>
              <w:rPr>
                <w:rFonts w:ascii="宋体" w:hAnsi="宋体"/>
                <w:color w:val="auto"/>
                <w:szCs w:val="21"/>
                <w:highlight w:val="none"/>
              </w:rPr>
            </w:pPr>
          </w:p>
        </w:tc>
        <w:tc>
          <w:tcPr>
            <w:tcW w:w="1984" w:type="dxa"/>
          </w:tcPr>
          <w:p w14:paraId="35396665">
            <w:pPr>
              <w:spacing w:line="400" w:lineRule="exact"/>
              <w:ind w:firstLine="420" w:firstLineChars="200"/>
              <w:rPr>
                <w:rFonts w:ascii="宋体" w:hAnsi="宋体"/>
                <w:color w:val="auto"/>
                <w:szCs w:val="21"/>
                <w:highlight w:val="none"/>
              </w:rPr>
            </w:pPr>
          </w:p>
        </w:tc>
        <w:tc>
          <w:tcPr>
            <w:tcW w:w="5103" w:type="dxa"/>
          </w:tcPr>
          <w:p w14:paraId="05374F21">
            <w:pPr>
              <w:spacing w:line="400" w:lineRule="exact"/>
              <w:ind w:firstLine="420" w:firstLineChars="200"/>
              <w:rPr>
                <w:rFonts w:ascii="宋体" w:hAnsi="宋体"/>
                <w:color w:val="auto"/>
                <w:szCs w:val="21"/>
                <w:highlight w:val="none"/>
              </w:rPr>
            </w:pPr>
          </w:p>
        </w:tc>
        <w:tc>
          <w:tcPr>
            <w:tcW w:w="1560" w:type="dxa"/>
          </w:tcPr>
          <w:p w14:paraId="34B1563E">
            <w:pPr>
              <w:spacing w:line="400" w:lineRule="exact"/>
              <w:ind w:firstLine="420" w:firstLineChars="200"/>
              <w:rPr>
                <w:rFonts w:ascii="宋体" w:hAnsi="宋体"/>
                <w:color w:val="auto"/>
                <w:szCs w:val="21"/>
                <w:highlight w:val="none"/>
              </w:rPr>
            </w:pPr>
          </w:p>
        </w:tc>
      </w:tr>
      <w:tr w14:paraId="6ADF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770E0A76">
            <w:pPr>
              <w:spacing w:line="400" w:lineRule="exact"/>
              <w:ind w:firstLine="420" w:firstLineChars="200"/>
              <w:rPr>
                <w:rFonts w:ascii="宋体" w:hAnsi="宋体"/>
                <w:color w:val="auto"/>
                <w:szCs w:val="21"/>
                <w:highlight w:val="none"/>
              </w:rPr>
            </w:pPr>
          </w:p>
        </w:tc>
        <w:tc>
          <w:tcPr>
            <w:tcW w:w="1984" w:type="dxa"/>
          </w:tcPr>
          <w:p w14:paraId="05B221D2">
            <w:pPr>
              <w:spacing w:line="400" w:lineRule="exact"/>
              <w:ind w:firstLine="420" w:firstLineChars="200"/>
              <w:rPr>
                <w:rFonts w:ascii="宋体" w:hAnsi="宋体"/>
                <w:color w:val="auto"/>
                <w:szCs w:val="21"/>
                <w:highlight w:val="none"/>
              </w:rPr>
            </w:pPr>
          </w:p>
        </w:tc>
        <w:tc>
          <w:tcPr>
            <w:tcW w:w="5103" w:type="dxa"/>
          </w:tcPr>
          <w:p w14:paraId="4CE4C852">
            <w:pPr>
              <w:spacing w:line="400" w:lineRule="exact"/>
              <w:ind w:firstLine="420" w:firstLineChars="200"/>
              <w:rPr>
                <w:rFonts w:ascii="宋体" w:hAnsi="宋体"/>
                <w:color w:val="auto"/>
                <w:szCs w:val="21"/>
                <w:highlight w:val="none"/>
              </w:rPr>
            </w:pPr>
          </w:p>
        </w:tc>
        <w:tc>
          <w:tcPr>
            <w:tcW w:w="1560" w:type="dxa"/>
          </w:tcPr>
          <w:p w14:paraId="40B7C97E">
            <w:pPr>
              <w:spacing w:line="400" w:lineRule="exact"/>
              <w:ind w:firstLine="420" w:firstLineChars="200"/>
              <w:rPr>
                <w:rFonts w:ascii="宋体" w:hAnsi="宋体"/>
                <w:color w:val="auto"/>
                <w:szCs w:val="21"/>
                <w:highlight w:val="none"/>
              </w:rPr>
            </w:pPr>
          </w:p>
        </w:tc>
      </w:tr>
      <w:tr w14:paraId="503F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403360D6">
            <w:pPr>
              <w:spacing w:line="400" w:lineRule="exact"/>
              <w:ind w:firstLine="420" w:firstLineChars="200"/>
              <w:rPr>
                <w:rFonts w:ascii="宋体" w:hAnsi="宋体"/>
                <w:color w:val="auto"/>
                <w:szCs w:val="21"/>
                <w:highlight w:val="none"/>
              </w:rPr>
            </w:pPr>
          </w:p>
        </w:tc>
        <w:tc>
          <w:tcPr>
            <w:tcW w:w="1984" w:type="dxa"/>
          </w:tcPr>
          <w:p w14:paraId="5458183F">
            <w:pPr>
              <w:spacing w:line="400" w:lineRule="exact"/>
              <w:ind w:firstLine="420" w:firstLineChars="200"/>
              <w:rPr>
                <w:rFonts w:ascii="宋体" w:hAnsi="宋体"/>
                <w:color w:val="auto"/>
                <w:szCs w:val="21"/>
                <w:highlight w:val="none"/>
              </w:rPr>
            </w:pPr>
          </w:p>
        </w:tc>
        <w:tc>
          <w:tcPr>
            <w:tcW w:w="5103" w:type="dxa"/>
          </w:tcPr>
          <w:p w14:paraId="648D7CE9">
            <w:pPr>
              <w:spacing w:line="400" w:lineRule="exact"/>
              <w:ind w:firstLine="420" w:firstLineChars="200"/>
              <w:rPr>
                <w:rFonts w:ascii="宋体" w:hAnsi="宋体"/>
                <w:color w:val="auto"/>
                <w:szCs w:val="21"/>
                <w:highlight w:val="none"/>
              </w:rPr>
            </w:pPr>
          </w:p>
        </w:tc>
        <w:tc>
          <w:tcPr>
            <w:tcW w:w="1560" w:type="dxa"/>
          </w:tcPr>
          <w:p w14:paraId="15CA00C7">
            <w:pPr>
              <w:spacing w:line="400" w:lineRule="exact"/>
              <w:ind w:firstLine="420" w:firstLineChars="200"/>
              <w:rPr>
                <w:rFonts w:ascii="宋体" w:hAnsi="宋体"/>
                <w:color w:val="auto"/>
                <w:szCs w:val="21"/>
                <w:highlight w:val="none"/>
              </w:rPr>
            </w:pPr>
          </w:p>
        </w:tc>
      </w:tr>
      <w:tr w14:paraId="7181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5C11287D">
            <w:pPr>
              <w:spacing w:line="400" w:lineRule="exact"/>
              <w:ind w:firstLine="420" w:firstLineChars="200"/>
              <w:rPr>
                <w:rFonts w:ascii="宋体" w:hAnsi="宋体"/>
                <w:color w:val="auto"/>
                <w:szCs w:val="21"/>
                <w:highlight w:val="none"/>
              </w:rPr>
            </w:pPr>
          </w:p>
        </w:tc>
        <w:tc>
          <w:tcPr>
            <w:tcW w:w="1984" w:type="dxa"/>
          </w:tcPr>
          <w:p w14:paraId="0AA78C4D">
            <w:pPr>
              <w:spacing w:line="400" w:lineRule="exact"/>
              <w:ind w:firstLine="420" w:firstLineChars="200"/>
              <w:rPr>
                <w:rFonts w:ascii="宋体" w:hAnsi="宋体"/>
                <w:color w:val="auto"/>
                <w:szCs w:val="21"/>
                <w:highlight w:val="none"/>
              </w:rPr>
            </w:pPr>
          </w:p>
        </w:tc>
        <w:tc>
          <w:tcPr>
            <w:tcW w:w="5103" w:type="dxa"/>
          </w:tcPr>
          <w:p w14:paraId="1C9346A8">
            <w:pPr>
              <w:spacing w:line="400" w:lineRule="exact"/>
              <w:ind w:firstLine="420" w:firstLineChars="200"/>
              <w:rPr>
                <w:rFonts w:ascii="宋体" w:hAnsi="宋体"/>
                <w:color w:val="auto"/>
                <w:szCs w:val="21"/>
                <w:highlight w:val="none"/>
              </w:rPr>
            </w:pPr>
          </w:p>
        </w:tc>
        <w:tc>
          <w:tcPr>
            <w:tcW w:w="1560" w:type="dxa"/>
          </w:tcPr>
          <w:p w14:paraId="3CAA4D25">
            <w:pPr>
              <w:spacing w:line="400" w:lineRule="exact"/>
              <w:ind w:firstLine="420" w:firstLineChars="200"/>
              <w:rPr>
                <w:rFonts w:ascii="宋体" w:hAnsi="宋体"/>
                <w:color w:val="auto"/>
                <w:szCs w:val="21"/>
                <w:highlight w:val="none"/>
              </w:rPr>
            </w:pPr>
          </w:p>
        </w:tc>
      </w:tr>
      <w:tr w14:paraId="696F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73530628">
            <w:pPr>
              <w:spacing w:line="400" w:lineRule="exact"/>
              <w:ind w:firstLine="420" w:firstLineChars="200"/>
              <w:rPr>
                <w:rFonts w:ascii="宋体" w:hAnsi="宋体"/>
                <w:color w:val="auto"/>
                <w:szCs w:val="21"/>
                <w:highlight w:val="none"/>
              </w:rPr>
            </w:pPr>
          </w:p>
        </w:tc>
        <w:tc>
          <w:tcPr>
            <w:tcW w:w="1984" w:type="dxa"/>
          </w:tcPr>
          <w:p w14:paraId="573F9073">
            <w:pPr>
              <w:spacing w:line="400" w:lineRule="exact"/>
              <w:ind w:firstLine="420" w:firstLineChars="200"/>
              <w:rPr>
                <w:rFonts w:ascii="宋体" w:hAnsi="宋体"/>
                <w:color w:val="auto"/>
                <w:szCs w:val="21"/>
                <w:highlight w:val="none"/>
              </w:rPr>
            </w:pPr>
          </w:p>
        </w:tc>
        <w:tc>
          <w:tcPr>
            <w:tcW w:w="5103" w:type="dxa"/>
          </w:tcPr>
          <w:p w14:paraId="103C7178">
            <w:pPr>
              <w:spacing w:line="400" w:lineRule="exact"/>
              <w:ind w:firstLine="420" w:firstLineChars="200"/>
              <w:rPr>
                <w:rFonts w:ascii="宋体" w:hAnsi="宋体"/>
                <w:color w:val="auto"/>
                <w:szCs w:val="21"/>
                <w:highlight w:val="none"/>
              </w:rPr>
            </w:pPr>
          </w:p>
        </w:tc>
        <w:tc>
          <w:tcPr>
            <w:tcW w:w="1560" w:type="dxa"/>
          </w:tcPr>
          <w:p w14:paraId="134D06D0">
            <w:pPr>
              <w:spacing w:line="400" w:lineRule="exact"/>
              <w:ind w:firstLine="420" w:firstLineChars="200"/>
              <w:rPr>
                <w:rFonts w:ascii="宋体" w:hAnsi="宋体"/>
                <w:color w:val="auto"/>
                <w:szCs w:val="21"/>
                <w:highlight w:val="none"/>
              </w:rPr>
            </w:pPr>
          </w:p>
        </w:tc>
      </w:tr>
      <w:tr w14:paraId="041C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66C825D6">
            <w:pPr>
              <w:spacing w:line="400" w:lineRule="exact"/>
              <w:ind w:firstLine="420" w:firstLineChars="200"/>
              <w:rPr>
                <w:rFonts w:ascii="宋体" w:hAnsi="宋体"/>
                <w:color w:val="auto"/>
                <w:szCs w:val="21"/>
                <w:highlight w:val="none"/>
              </w:rPr>
            </w:pPr>
          </w:p>
        </w:tc>
        <w:tc>
          <w:tcPr>
            <w:tcW w:w="1984" w:type="dxa"/>
          </w:tcPr>
          <w:p w14:paraId="70663645">
            <w:pPr>
              <w:spacing w:line="400" w:lineRule="exact"/>
              <w:ind w:firstLine="420" w:firstLineChars="200"/>
              <w:rPr>
                <w:rFonts w:ascii="宋体" w:hAnsi="宋体"/>
                <w:color w:val="auto"/>
                <w:szCs w:val="21"/>
                <w:highlight w:val="none"/>
              </w:rPr>
            </w:pPr>
          </w:p>
        </w:tc>
        <w:tc>
          <w:tcPr>
            <w:tcW w:w="5103" w:type="dxa"/>
          </w:tcPr>
          <w:p w14:paraId="7B34BC56">
            <w:pPr>
              <w:spacing w:line="400" w:lineRule="exact"/>
              <w:ind w:firstLine="420" w:firstLineChars="200"/>
              <w:rPr>
                <w:rFonts w:ascii="宋体" w:hAnsi="宋体"/>
                <w:color w:val="auto"/>
                <w:szCs w:val="21"/>
                <w:highlight w:val="none"/>
              </w:rPr>
            </w:pPr>
          </w:p>
        </w:tc>
        <w:tc>
          <w:tcPr>
            <w:tcW w:w="1560" w:type="dxa"/>
          </w:tcPr>
          <w:p w14:paraId="037AAB95">
            <w:pPr>
              <w:spacing w:line="400" w:lineRule="exact"/>
              <w:ind w:firstLine="420" w:firstLineChars="200"/>
              <w:rPr>
                <w:rFonts w:ascii="宋体" w:hAnsi="宋体"/>
                <w:color w:val="auto"/>
                <w:szCs w:val="21"/>
                <w:highlight w:val="none"/>
              </w:rPr>
            </w:pPr>
          </w:p>
        </w:tc>
      </w:tr>
      <w:tr w14:paraId="6B14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04BC7312">
            <w:pPr>
              <w:spacing w:line="400" w:lineRule="exact"/>
              <w:ind w:firstLine="420" w:firstLineChars="200"/>
              <w:rPr>
                <w:rFonts w:ascii="宋体" w:hAnsi="宋体"/>
                <w:color w:val="auto"/>
                <w:szCs w:val="21"/>
                <w:highlight w:val="none"/>
              </w:rPr>
            </w:pPr>
          </w:p>
        </w:tc>
        <w:tc>
          <w:tcPr>
            <w:tcW w:w="1984" w:type="dxa"/>
          </w:tcPr>
          <w:p w14:paraId="3B208994">
            <w:pPr>
              <w:spacing w:line="400" w:lineRule="exact"/>
              <w:ind w:firstLine="420" w:firstLineChars="200"/>
              <w:rPr>
                <w:rFonts w:ascii="宋体" w:hAnsi="宋体"/>
                <w:color w:val="auto"/>
                <w:szCs w:val="21"/>
                <w:highlight w:val="none"/>
              </w:rPr>
            </w:pPr>
          </w:p>
        </w:tc>
        <w:tc>
          <w:tcPr>
            <w:tcW w:w="5103" w:type="dxa"/>
          </w:tcPr>
          <w:p w14:paraId="1826E129">
            <w:pPr>
              <w:spacing w:line="400" w:lineRule="exact"/>
              <w:ind w:firstLine="420" w:firstLineChars="200"/>
              <w:rPr>
                <w:rFonts w:ascii="宋体" w:hAnsi="宋体"/>
                <w:color w:val="auto"/>
                <w:szCs w:val="21"/>
                <w:highlight w:val="none"/>
              </w:rPr>
            </w:pPr>
          </w:p>
        </w:tc>
        <w:tc>
          <w:tcPr>
            <w:tcW w:w="1560" w:type="dxa"/>
          </w:tcPr>
          <w:p w14:paraId="5EE1778D">
            <w:pPr>
              <w:spacing w:line="400" w:lineRule="exact"/>
              <w:ind w:firstLine="420" w:firstLineChars="200"/>
              <w:rPr>
                <w:rFonts w:ascii="宋体" w:hAnsi="宋体"/>
                <w:color w:val="auto"/>
                <w:szCs w:val="21"/>
                <w:highlight w:val="none"/>
              </w:rPr>
            </w:pPr>
          </w:p>
        </w:tc>
      </w:tr>
      <w:tr w14:paraId="78C75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579BD0B8">
            <w:pPr>
              <w:spacing w:line="400" w:lineRule="exact"/>
              <w:ind w:firstLine="420" w:firstLineChars="200"/>
              <w:rPr>
                <w:rFonts w:ascii="宋体" w:hAnsi="宋体"/>
                <w:color w:val="auto"/>
                <w:szCs w:val="21"/>
                <w:highlight w:val="none"/>
              </w:rPr>
            </w:pPr>
          </w:p>
        </w:tc>
        <w:tc>
          <w:tcPr>
            <w:tcW w:w="1984" w:type="dxa"/>
          </w:tcPr>
          <w:p w14:paraId="0C839CDB">
            <w:pPr>
              <w:spacing w:line="400" w:lineRule="exact"/>
              <w:ind w:firstLine="420" w:firstLineChars="200"/>
              <w:rPr>
                <w:rFonts w:ascii="宋体" w:hAnsi="宋体"/>
                <w:color w:val="auto"/>
                <w:szCs w:val="21"/>
                <w:highlight w:val="none"/>
              </w:rPr>
            </w:pPr>
          </w:p>
        </w:tc>
        <w:tc>
          <w:tcPr>
            <w:tcW w:w="5103" w:type="dxa"/>
          </w:tcPr>
          <w:p w14:paraId="1BF9514E">
            <w:pPr>
              <w:spacing w:line="400" w:lineRule="exact"/>
              <w:ind w:firstLine="420" w:firstLineChars="200"/>
              <w:rPr>
                <w:rFonts w:ascii="宋体" w:hAnsi="宋体"/>
                <w:color w:val="auto"/>
                <w:szCs w:val="21"/>
                <w:highlight w:val="none"/>
              </w:rPr>
            </w:pPr>
          </w:p>
        </w:tc>
        <w:tc>
          <w:tcPr>
            <w:tcW w:w="1560" w:type="dxa"/>
          </w:tcPr>
          <w:p w14:paraId="306CF810">
            <w:pPr>
              <w:spacing w:line="400" w:lineRule="exact"/>
              <w:ind w:firstLine="420" w:firstLineChars="200"/>
              <w:rPr>
                <w:rFonts w:ascii="宋体" w:hAnsi="宋体"/>
                <w:color w:val="auto"/>
                <w:szCs w:val="21"/>
                <w:highlight w:val="none"/>
              </w:rPr>
            </w:pPr>
          </w:p>
        </w:tc>
      </w:tr>
      <w:tr w14:paraId="67D1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7902C3C3">
            <w:pPr>
              <w:spacing w:line="400" w:lineRule="exact"/>
              <w:ind w:firstLine="420" w:firstLineChars="200"/>
              <w:rPr>
                <w:rFonts w:ascii="宋体" w:hAnsi="宋体"/>
                <w:color w:val="auto"/>
                <w:szCs w:val="21"/>
                <w:highlight w:val="none"/>
              </w:rPr>
            </w:pPr>
          </w:p>
        </w:tc>
        <w:tc>
          <w:tcPr>
            <w:tcW w:w="1984" w:type="dxa"/>
          </w:tcPr>
          <w:p w14:paraId="50F2E343">
            <w:pPr>
              <w:spacing w:line="400" w:lineRule="exact"/>
              <w:ind w:firstLine="420" w:firstLineChars="200"/>
              <w:rPr>
                <w:rFonts w:ascii="宋体" w:hAnsi="宋体"/>
                <w:color w:val="auto"/>
                <w:szCs w:val="21"/>
                <w:highlight w:val="none"/>
              </w:rPr>
            </w:pPr>
          </w:p>
        </w:tc>
        <w:tc>
          <w:tcPr>
            <w:tcW w:w="5103" w:type="dxa"/>
          </w:tcPr>
          <w:p w14:paraId="4BDE8C72">
            <w:pPr>
              <w:spacing w:line="400" w:lineRule="exact"/>
              <w:ind w:firstLine="420" w:firstLineChars="200"/>
              <w:rPr>
                <w:rFonts w:ascii="宋体" w:hAnsi="宋体"/>
                <w:color w:val="auto"/>
                <w:szCs w:val="21"/>
                <w:highlight w:val="none"/>
              </w:rPr>
            </w:pPr>
          </w:p>
        </w:tc>
        <w:tc>
          <w:tcPr>
            <w:tcW w:w="1560" w:type="dxa"/>
          </w:tcPr>
          <w:p w14:paraId="3C21DC93">
            <w:pPr>
              <w:spacing w:line="400" w:lineRule="exact"/>
              <w:ind w:firstLine="420" w:firstLineChars="200"/>
              <w:rPr>
                <w:rFonts w:ascii="宋体" w:hAnsi="宋体"/>
                <w:color w:val="auto"/>
                <w:szCs w:val="21"/>
                <w:highlight w:val="none"/>
              </w:rPr>
            </w:pPr>
          </w:p>
        </w:tc>
      </w:tr>
      <w:tr w14:paraId="0E41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08889E98">
            <w:pPr>
              <w:spacing w:line="400" w:lineRule="exact"/>
              <w:ind w:firstLine="420" w:firstLineChars="200"/>
              <w:rPr>
                <w:rFonts w:ascii="宋体" w:hAnsi="宋体"/>
                <w:color w:val="auto"/>
                <w:szCs w:val="21"/>
                <w:highlight w:val="none"/>
              </w:rPr>
            </w:pPr>
          </w:p>
        </w:tc>
        <w:tc>
          <w:tcPr>
            <w:tcW w:w="1984" w:type="dxa"/>
          </w:tcPr>
          <w:p w14:paraId="4A60A062">
            <w:pPr>
              <w:spacing w:line="400" w:lineRule="exact"/>
              <w:ind w:firstLine="420" w:firstLineChars="200"/>
              <w:rPr>
                <w:rFonts w:ascii="宋体" w:hAnsi="宋体"/>
                <w:color w:val="auto"/>
                <w:szCs w:val="21"/>
                <w:highlight w:val="none"/>
              </w:rPr>
            </w:pPr>
          </w:p>
        </w:tc>
        <w:tc>
          <w:tcPr>
            <w:tcW w:w="5103" w:type="dxa"/>
          </w:tcPr>
          <w:p w14:paraId="1416FF61">
            <w:pPr>
              <w:spacing w:line="400" w:lineRule="exact"/>
              <w:ind w:firstLine="420" w:firstLineChars="200"/>
              <w:rPr>
                <w:rFonts w:ascii="宋体" w:hAnsi="宋体"/>
                <w:color w:val="auto"/>
                <w:szCs w:val="21"/>
                <w:highlight w:val="none"/>
              </w:rPr>
            </w:pPr>
          </w:p>
        </w:tc>
        <w:tc>
          <w:tcPr>
            <w:tcW w:w="1560" w:type="dxa"/>
          </w:tcPr>
          <w:p w14:paraId="227BA653">
            <w:pPr>
              <w:spacing w:line="400" w:lineRule="exact"/>
              <w:ind w:firstLine="420" w:firstLineChars="200"/>
              <w:rPr>
                <w:rFonts w:ascii="宋体" w:hAnsi="宋体"/>
                <w:color w:val="auto"/>
                <w:szCs w:val="21"/>
                <w:highlight w:val="none"/>
              </w:rPr>
            </w:pPr>
          </w:p>
        </w:tc>
      </w:tr>
      <w:tr w14:paraId="0172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72C0D109">
            <w:pPr>
              <w:spacing w:line="400" w:lineRule="exact"/>
              <w:ind w:firstLine="420" w:firstLineChars="200"/>
              <w:rPr>
                <w:rFonts w:ascii="宋体" w:hAnsi="宋体"/>
                <w:color w:val="auto"/>
                <w:szCs w:val="21"/>
                <w:highlight w:val="none"/>
              </w:rPr>
            </w:pPr>
          </w:p>
        </w:tc>
        <w:tc>
          <w:tcPr>
            <w:tcW w:w="1984" w:type="dxa"/>
          </w:tcPr>
          <w:p w14:paraId="2913F7F6">
            <w:pPr>
              <w:spacing w:line="400" w:lineRule="exact"/>
              <w:ind w:firstLine="420" w:firstLineChars="200"/>
              <w:rPr>
                <w:rFonts w:ascii="宋体" w:hAnsi="宋体"/>
                <w:color w:val="auto"/>
                <w:szCs w:val="21"/>
                <w:highlight w:val="none"/>
              </w:rPr>
            </w:pPr>
          </w:p>
        </w:tc>
        <w:tc>
          <w:tcPr>
            <w:tcW w:w="5103" w:type="dxa"/>
          </w:tcPr>
          <w:p w14:paraId="1D74BF9C">
            <w:pPr>
              <w:spacing w:line="400" w:lineRule="exact"/>
              <w:ind w:firstLine="420" w:firstLineChars="200"/>
              <w:rPr>
                <w:rFonts w:ascii="宋体" w:hAnsi="宋体"/>
                <w:color w:val="auto"/>
                <w:szCs w:val="21"/>
                <w:highlight w:val="none"/>
              </w:rPr>
            </w:pPr>
          </w:p>
        </w:tc>
        <w:tc>
          <w:tcPr>
            <w:tcW w:w="1560" w:type="dxa"/>
          </w:tcPr>
          <w:p w14:paraId="1D5C4A55">
            <w:pPr>
              <w:spacing w:line="400" w:lineRule="exact"/>
              <w:ind w:firstLine="420" w:firstLineChars="200"/>
              <w:rPr>
                <w:rFonts w:ascii="宋体" w:hAnsi="宋体"/>
                <w:color w:val="auto"/>
                <w:szCs w:val="21"/>
                <w:highlight w:val="none"/>
              </w:rPr>
            </w:pPr>
          </w:p>
        </w:tc>
      </w:tr>
      <w:tr w14:paraId="66B8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4ED8D23A">
            <w:pPr>
              <w:spacing w:line="400" w:lineRule="exact"/>
              <w:ind w:firstLine="420" w:firstLineChars="200"/>
              <w:rPr>
                <w:rFonts w:ascii="宋体" w:hAnsi="宋体"/>
                <w:color w:val="auto"/>
                <w:szCs w:val="21"/>
                <w:highlight w:val="none"/>
              </w:rPr>
            </w:pPr>
          </w:p>
        </w:tc>
        <w:tc>
          <w:tcPr>
            <w:tcW w:w="1984" w:type="dxa"/>
          </w:tcPr>
          <w:p w14:paraId="42DFDB37">
            <w:pPr>
              <w:spacing w:line="400" w:lineRule="exact"/>
              <w:ind w:firstLine="420" w:firstLineChars="200"/>
              <w:rPr>
                <w:rFonts w:ascii="宋体" w:hAnsi="宋体"/>
                <w:color w:val="auto"/>
                <w:szCs w:val="21"/>
                <w:highlight w:val="none"/>
              </w:rPr>
            </w:pPr>
          </w:p>
        </w:tc>
        <w:tc>
          <w:tcPr>
            <w:tcW w:w="5103" w:type="dxa"/>
          </w:tcPr>
          <w:p w14:paraId="70FA3866">
            <w:pPr>
              <w:spacing w:line="400" w:lineRule="exact"/>
              <w:ind w:firstLine="420" w:firstLineChars="200"/>
              <w:rPr>
                <w:rFonts w:ascii="宋体" w:hAnsi="宋体"/>
                <w:color w:val="auto"/>
                <w:szCs w:val="21"/>
                <w:highlight w:val="none"/>
              </w:rPr>
            </w:pPr>
          </w:p>
        </w:tc>
        <w:tc>
          <w:tcPr>
            <w:tcW w:w="1560" w:type="dxa"/>
          </w:tcPr>
          <w:p w14:paraId="2AF26031">
            <w:pPr>
              <w:spacing w:line="400" w:lineRule="exact"/>
              <w:ind w:firstLine="420" w:firstLineChars="200"/>
              <w:rPr>
                <w:rFonts w:ascii="宋体" w:hAnsi="宋体"/>
                <w:color w:val="auto"/>
                <w:szCs w:val="21"/>
                <w:highlight w:val="none"/>
              </w:rPr>
            </w:pPr>
          </w:p>
        </w:tc>
      </w:tr>
      <w:tr w14:paraId="3AEF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63475657">
            <w:pPr>
              <w:spacing w:line="400" w:lineRule="exact"/>
              <w:ind w:firstLine="420" w:firstLineChars="200"/>
              <w:rPr>
                <w:rFonts w:ascii="宋体" w:hAnsi="宋体"/>
                <w:color w:val="auto"/>
                <w:szCs w:val="21"/>
                <w:highlight w:val="none"/>
              </w:rPr>
            </w:pPr>
          </w:p>
        </w:tc>
        <w:tc>
          <w:tcPr>
            <w:tcW w:w="1984" w:type="dxa"/>
          </w:tcPr>
          <w:p w14:paraId="7BAA8BE2">
            <w:pPr>
              <w:spacing w:line="400" w:lineRule="exact"/>
              <w:ind w:firstLine="420" w:firstLineChars="200"/>
              <w:rPr>
                <w:rFonts w:ascii="宋体" w:hAnsi="宋体"/>
                <w:color w:val="auto"/>
                <w:szCs w:val="21"/>
                <w:highlight w:val="none"/>
              </w:rPr>
            </w:pPr>
          </w:p>
        </w:tc>
        <w:tc>
          <w:tcPr>
            <w:tcW w:w="5103" w:type="dxa"/>
          </w:tcPr>
          <w:p w14:paraId="29E7E71A">
            <w:pPr>
              <w:spacing w:line="400" w:lineRule="exact"/>
              <w:ind w:firstLine="420" w:firstLineChars="200"/>
              <w:rPr>
                <w:rFonts w:ascii="宋体" w:hAnsi="宋体"/>
                <w:color w:val="auto"/>
                <w:szCs w:val="21"/>
                <w:highlight w:val="none"/>
              </w:rPr>
            </w:pPr>
          </w:p>
        </w:tc>
        <w:tc>
          <w:tcPr>
            <w:tcW w:w="1560" w:type="dxa"/>
          </w:tcPr>
          <w:p w14:paraId="07D06A9E">
            <w:pPr>
              <w:spacing w:line="400" w:lineRule="exact"/>
              <w:ind w:firstLine="420" w:firstLineChars="200"/>
              <w:rPr>
                <w:rFonts w:ascii="宋体" w:hAnsi="宋体"/>
                <w:color w:val="auto"/>
                <w:szCs w:val="21"/>
                <w:highlight w:val="none"/>
              </w:rPr>
            </w:pPr>
          </w:p>
        </w:tc>
      </w:tr>
      <w:tr w14:paraId="548C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74058C77">
            <w:pPr>
              <w:spacing w:line="400" w:lineRule="exact"/>
              <w:ind w:firstLine="420" w:firstLineChars="200"/>
              <w:rPr>
                <w:rFonts w:ascii="宋体" w:hAnsi="宋体"/>
                <w:color w:val="auto"/>
                <w:szCs w:val="21"/>
                <w:highlight w:val="none"/>
              </w:rPr>
            </w:pPr>
          </w:p>
        </w:tc>
        <w:tc>
          <w:tcPr>
            <w:tcW w:w="1984" w:type="dxa"/>
          </w:tcPr>
          <w:p w14:paraId="23694DEF">
            <w:pPr>
              <w:spacing w:line="400" w:lineRule="exact"/>
              <w:ind w:firstLine="420" w:firstLineChars="200"/>
              <w:rPr>
                <w:rFonts w:ascii="宋体" w:hAnsi="宋体"/>
                <w:color w:val="auto"/>
                <w:szCs w:val="21"/>
                <w:highlight w:val="none"/>
              </w:rPr>
            </w:pPr>
          </w:p>
        </w:tc>
        <w:tc>
          <w:tcPr>
            <w:tcW w:w="5103" w:type="dxa"/>
          </w:tcPr>
          <w:p w14:paraId="34A3B841">
            <w:pPr>
              <w:spacing w:line="400" w:lineRule="exact"/>
              <w:ind w:firstLine="420" w:firstLineChars="200"/>
              <w:rPr>
                <w:rFonts w:ascii="宋体" w:hAnsi="宋体"/>
                <w:color w:val="auto"/>
                <w:szCs w:val="21"/>
                <w:highlight w:val="none"/>
              </w:rPr>
            </w:pPr>
          </w:p>
        </w:tc>
        <w:tc>
          <w:tcPr>
            <w:tcW w:w="1560" w:type="dxa"/>
          </w:tcPr>
          <w:p w14:paraId="7F06324C">
            <w:pPr>
              <w:spacing w:line="400" w:lineRule="exact"/>
              <w:ind w:firstLine="420" w:firstLineChars="200"/>
              <w:rPr>
                <w:rFonts w:ascii="宋体" w:hAnsi="宋体"/>
                <w:color w:val="auto"/>
                <w:szCs w:val="21"/>
                <w:highlight w:val="none"/>
              </w:rPr>
            </w:pPr>
          </w:p>
        </w:tc>
      </w:tr>
      <w:tr w14:paraId="0283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22C367AF">
            <w:pPr>
              <w:spacing w:line="400" w:lineRule="exact"/>
              <w:ind w:firstLine="420" w:firstLineChars="200"/>
              <w:rPr>
                <w:rFonts w:ascii="宋体" w:hAnsi="宋体"/>
                <w:color w:val="auto"/>
                <w:szCs w:val="21"/>
                <w:highlight w:val="none"/>
              </w:rPr>
            </w:pPr>
          </w:p>
        </w:tc>
        <w:tc>
          <w:tcPr>
            <w:tcW w:w="1984" w:type="dxa"/>
          </w:tcPr>
          <w:p w14:paraId="6E0DCCEF">
            <w:pPr>
              <w:spacing w:line="400" w:lineRule="exact"/>
              <w:ind w:firstLine="420" w:firstLineChars="200"/>
              <w:rPr>
                <w:rFonts w:ascii="宋体" w:hAnsi="宋体"/>
                <w:color w:val="auto"/>
                <w:szCs w:val="21"/>
                <w:highlight w:val="none"/>
              </w:rPr>
            </w:pPr>
          </w:p>
        </w:tc>
        <w:tc>
          <w:tcPr>
            <w:tcW w:w="5103" w:type="dxa"/>
          </w:tcPr>
          <w:p w14:paraId="0CE4762F">
            <w:pPr>
              <w:spacing w:line="400" w:lineRule="exact"/>
              <w:ind w:firstLine="420" w:firstLineChars="200"/>
              <w:rPr>
                <w:rFonts w:ascii="宋体" w:hAnsi="宋体"/>
                <w:color w:val="auto"/>
                <w:szCs w:val="21"/>
                <w:highlight w:val="none"/>
              </w:rPr>
            </w:pPr>
          </w:p>
        </w:tc>
        <w:tc>
          <w:tcPr>
            <w:tcW w:w="1560" w:type="dxa"/>
          </w:tcPr>
          <w:p w14:paraId="0EC13350">
            <w:pPr>
              <w:spacing w:line="400" w:lineRule="exact"/>
              <w:ind w:firstLine="420" w:firstLineChars="200"/>
              <w:rPr>
                <w:rFonts w:ascii="宋体" w:hAnsi="宋体"/>
                <w:color w:val="auto"/>
                <w:szCs w:val="21"/>
                <w:highlight w:val="none"/>
              </w:rPr>
            </w:pPr>
          </w:p>
        </w:tc>
      </w:tr>
      <w:tr w14:paraId="1052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6BE46530">
            <w:pPr>
              <w:spacing w:line="400" w:lineRule="exact"/>
              <w:ind w:firstLine="420" w:firstLineChars="200"/>
              <w:rPr>
                <w:rFonts w:ascii="宋体" w:hAnsi="宋体"/>
                <w:color w:val="auto"/>
                <w:szCs w:val="21"/>
                <w:highlight w:val="none"/>
              </w:rPr>
            </w:pPr>
          </w:p>
        </w:tc>
        <w:tc>
          <w:tcPr>
            <w:tcW w:w="1984" w:type="dxa"/>
          </w:tcPr>
          <w:p w14:paraId="14EC5BA9">
            <w:pPr>
              <w:spacing w:line="400" w:lineRule="exact"/>
              <w:ind w:firstLine="420" w:firstLineChars="200"/>
              <w:rPr>
                <w:rFonts w:ascii="宋体" w:hAnsi="宋体"/>
                <w:color w:val="auto"/>
                <w:szCs w:val="21"/>
                <w:highlight w:val="none"/>
              </w:rPr>
            </w:pPr>
          </w:p>
        </w:tc>
        <w:tc>
          <w:tcPr>
            <w:tcW w:w="5103" w:type="dxa"/>
          </w:tcPr>
          <w:p w14:paraId="40AE1C03">
            <w:pPr>
              <w:spacing w:line="400" w:lineRule="exact"/>
              <w:ind w:firstLine="420" w:firstLineChars="200"/>
              <w:rPr>
                <w:rFonts w:ascii="宋体" w:hAnsi="宋体"/>
                <w:color w:val="auto"/>
                <w:szCs w:val="21"/>
                <w:highlight w:val="none"/>
              </w:rPr>
            </w:pPr>
          </w:p>
        </w:tc>
        <w:tc>
          <w:tcPr>
            <w:tcW w:w="1560" w:type="dxa"/>
          </w:tcPr>
          <w:p w14:paraId="3FFB9755">
            <w:pPr>
              <w:spacing w:line="400" w:lineRule="exact"/>
              <w:ind w:firstLine="420" w:firstLineChars="200"/>
              <w:rPr>
                <w:rFonts w:ascii="宋体" w:hAnsi="宋体"/>
                <w:color w:val="auto"/>
                <w:szCs w:val="21"/>
                <w:highlight w:val="none"/>
              </w:rPr>
            </w:pPr>
          </w:p>
        </w:tc>
      </w:tr>
      <w:tr w14:paraId="1B59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1B8EF645">
            <w:pPr>
              <w:spacing w:line="400" w:lineRule="exact"/>
              <w:ind w:firstLine="420" w:firstLineChars="200"/>
              <w:rPr>
                <w:rFonts w:ascii="宋体" w:hAnsi="宋体"/>
                <w:color w:val="auto"/>
                <w:szCs w:val="21"/>
                <w:highlight w:val="none"/>
              </w:rPr>
            </w:pPr>
          </w:p>
        </w:tc>
        <w:tc>
          <w:tcPr>
            <w:tcW w:w="1984" w:type="dxa"/>
          </w:tcPr>
          <w:p w14:paraId="4382760A">
            <w:pPr>
              <w:spacing w:line="400" w:lineRule="exact"/>
              <w:ind w:firstLine="420" w:firstLineChars="200"/>
              <w:rPr>
                <w:rFonts w:ascii="宋体" w:hAnsi="宋体"/>
                <w:color w:val="auto"/>
                <w:szCs w:val="21"/>
                <w:highlight w:val="none"/>
              </w:rPr>
            </w:pPr>
          </w:p>
        </w:tc>
        <w:tc>
          <w:tcPr>
            <w:tcW w:w="5103" w:type="dxa"/>
          </w:tcPr>
          <w:p w14:paraId="58827B13">
            <w:pPr>
              <w:spacing w:line="400" w:lineRule="exact"/>
              <w:ind w:firstLine="420" w:firstLineChars="200"/>
              <w:rPr>
                <w:rFonts w:ascii="宋体" w:hAnsi="宋体"/>
                <w:color w:val="auto"/>
                <w:szCs w:val="21"/>
                <w:highlight w:val="none"/>
              </w:rPr>
            </w:pPr>
          </w:p>
        </w:tc>
        <w:tc>
          <w:tcPr>
            <w:tcW w:w="1560" w:type="dxa"/>
          </w:tcPr>
          <w:p w14:paraId="0F4399E6">
            <w:pPr>
              <w:spacing w:line="400" w:lineRule="exact"/>
              <w:ind w:firstLine="420" w:firstLineChars="200"/>
              <w:rPr>
                <w:rFonts w:ascii="宋体" w:hAnsi="宋体"/>
                <w:color w:val="auto"/>
                <w:szCs w:val="21"/>
                <w:highlight w:val="none"/>
              </w:rPr>
            </w:pPr>
          </w:p>
        </w:tc>
      </w:tr>
      <w:tr w14:paraId="5BA4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11D7DB3C">
            <w:pPr>
              <w:spacing w:line="400" w:lineRule="exact"/>
              <w:ind w:firstLine="420" w:firstLineChars="200"/>
              <w:rPr>
                <w:rFonts w:ascii="宋体" w:hAnsi="宋体"/>
                <w:color w:val="auto"/>
                <w:szCs w:val="21"/>
                <w:highlight w:val="none"/>
              </w:rPr>
            </w:pPr>
          </w:p>
        </w:tc>
        <w:tc>
          <w:tcPr>
            <w:tcW w:w="1984" w:type="dxa"/>
          </w:tcPr>
          <w:p w14:paraId="5DD1AEF8">
            <w:pPr>
              <w:spacing w:line="400" w:lineRule="exact"/>
              <w:ind w:firstLine="420" w:firstLineChars="200"/>
              <w:rPr>
                <w:rFonts w:ascii="宋体" w:hAnsi="宋体"/>
                <w:color w:val="auto"/>
                <w:szCs w:val="21"/>
                <w:highlight w:val="none"/>
              </w:rPr>
            </w:pPr>
          </w:p>
        </w:tc>
        <w:tc>
          <w:tcPr>
            <w:tcW w:w="5103" w:type="dxa"/>
          </w:tcPr>
          <w:p w14:paraId="40B50FCB">
            <w:pPr>
              <w:spacing w:line="400" w:lineRule="exact"/>
              <w:ind w:firstLine="420" w:firstLineChars="200"/>
              <w:rPr>
                <w:rFonts w:ascii="宋体" w:hAnsi="宋体"/>
                <w:color w:val="auto"/>
                <w:szCs w:val="21"/>
                <w:highlight w:val="none"/>
              </w:rPr>
            </w:pPr>
          </w:p>
        </w:tc>
        <w:tc>
          <w:tcPr>
            <w:tcW w:w="1560" w:type="dxa"/>
          </w:tcPr>
          <w:p w14:paraId="28FBF751">
            <w:pPr>
              <w:spacing w:line="400" w:lineRule="exact"/>
              <w:ind w:firstLine="420" w:firstLineChars="200"/>
              <w:rPr>
                <w:rFonts w:ascii="宋体" w:hAnsi="宋体"/>
                <w:color w:val="auto"/>
                <w:szCs w:val="21"/>
                <w:highlight w:val="none"/>
              </w:rPr>
            </w:pPr>
          </w:p>
        </w:tc>
      </w:tr>
      <w:tr w14:paraId="6D8C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09EE8622">
            <w:pPr>
              <w:spacing w:line="400" w:lineRule="exact"/>
              <w:ind w:firstLine="420" w:firstLineChars="200"/>
              <w:rPr>
                <w:rFonts w:ascii="宋体" w:hAnsi="宋体"/>
                <w:color w:val="auto"/>
                <w:szCs w:val="21"/>
                <w:highlight w:val="none"/>
              </w:rPr>
            </w:pPr>
          </w:p>
        </w:tc>
        <w:tc>
          <w:tcPr>
            <w:tcW w:w="1984" w:type="dxa"/>
          </w:tcPr>
          <w:p w14:paraId="7E2AB0A1">
            <w:pPr>
              <w:spacing w:line="400" w:lineRule="exact"/>
              <w:ind w:firstLine="420" w:firstLineChars="200"/>
              <w:rPr>
                <w:rFonts w:ascii="宋体" w:hAnsi="宋体"/>
                <w:color w:val="auto"/>
                <w:szCs w:val="21"/>
                <w:highlight w:val="none"/>
              </w:rPr>
            </w:pPr>
          </w:p>
        </w:tc>
        <w:tc>
          <w:tcPr>
            <w:tcW w:w="5103" w:type="dxa"/>
          </w:tcPr>
          <w:p w14:paraId="1C940F08">
            <w:pPr>
              <w:spacing w:line="400" w:lineRule="exact"/>
              <w:ind w:firstLine="420" w:firstLineChars="200"/>
              <w:rPr>
                <w:rFonts w:ascii="宋体" w:hAnsi="宋体"/>
                <w:color w:val="auto"/>
                <w:szCs w:val="21"/>
                <w:highlight w:val="none"/>
              </w:rPr>
            </w:pPr>
          </w:p>
        </w:tc>
        <w:tc>
          <w:tcPr>
            <w:tcW w:w="1560" w:type="dxa"/>
          </w:tcPr>
          <w:p w14:paraId="3FDD8C80">
            <w:pPr>
              <w:spacing w:line="400" w:lineRule="exact"/>
              <w:ind w:firstLine="420" w:firstLineChars="200"/>
              <w:rPr>
                <w:rFonts w:ascii="宋体" w:hAnsi="宋体"/>
                <w:color w:val="auto"/>
                <w:szCs w:val="21"/>
                <w:highlight w:val="none"/>
              </w:rPr>
            </w:pPr>
          </w:p>
        </w:tc>
      </w:tr>
      <w:tr w14:paraId="0081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79" w:type="dxa"/>
          </w:tcPr>
          <w:p w14:paraId="467F87F3">
            <w:pPr>
              <w:spacing w:line="400" w:lineRule="exact"/>
              <w:ind w:firstLine="420" w:firstLineChars="200"/>
              <w:rPr>
                <w:rFonts w:ascii="宋体" w:hAnsi="宋体"/>
                <w:color w:val="auto"/>
                <w:szCs w:val="21"/>
                <w:highlight w:val="none"/>
              </w:rPr>
            </w:pPr>
          </w:p>
        </w:tc>
        <w:tc>
          <w:tcPr>
            <w:tcW w:w="1984" w:type="dxa"/>
          </w:tcPr>
          <w:p w14:paraId="70098033">
            <w:pPr>
              <w:spacing w:line="400" w:lineRule="exact"/>
              <w:ind w:firstLine="420" w:firstLineChars="200"/>
              <w:rPr>
                <w:rFonts w:ascii="宋体" w:hAnsi="宋体"/>
                <w:color w:val="auto"/>
                <w:szCs w:val="21"/>
                <w:highlight w:val="none"/>
              </w:rPr>
            </w:pPr>
          </w:p>
        </w:tc>
        <w:tc>
          <w:tcPr>
            <w:tcW w:w="5103" w:type="dxa"/>
          </w:tcPr>
          <w:p w14:paraId="581907DB">
            <w:pPr>
              <w:spacing w:line="400" w:lineRule="exact"/>
              <w:ind w:firstLine="420" w:firstLineChars="200"/>
              <w:rPr>
                <w:rFonts w:ascii="宋体" w:hAnsi="宋体"/>
                <w:color w:val="auto"/>
                <w:szCs w:val="21"/>
                <w:highlight w:val="none"/>
              </w:rPr>
            </w:pPr>
          </w:p>
        </w:tc>
        <w:tc>
          <w:tcPr>
            <w:tcW w:w="1560" w:type="dxa"/>
          </w:tcPr>
          <w:p w14:paraId="1995D7CB">
            <w:pPr>
              <w:spacing w:line="400" w:lineRule="exact"/>
              <w:ind w:firstLine="420" w:firstLineChars="200"/>
              <w:rPr>
                <w:rFonts w:ascii="宋体" w:hAnsi="宋体"/>
                <w:color w:val="auto"/>
                <w:szCs w:val="21"/>
                <w:highlight w:val="none"/>
              </w:rPr>
            </w:pPr>
          </w:p>
        </w:tc>
      </w:tr>
      <w:tr w14:paraId="05B3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9526" w:type="dxa"/>
            <w:gridSpan w:val="4"/>
          </w:tcPr>
          <w:p w14:paraId="662B83A9">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小计：</w:t>
            </w:r>
          </w:p>
        </w:tc>
      </w:tr>
    </w:tbl>
    <w:p w14:paraId="6B4C9FD6">
      <w:pPr>
        <w:spacing w:line="360" w:lineRule="auto"/>
        <w:ind w:firstLine="420" w:firstLineChars="200"/>
        <w:rPr>
          <w:rFonts w:ascii="宋体" w:hAnsi="宋体"/>
          <w:color w:val="auto"/>
          <w:szCs w:val="21"/>
          <w:highlight w:val="none"/>
        </w:rPr>
      </w:pPr>
    </w:p>
    <w:p w14:paraId="792DF769">
      <w:pPr>
        <w:pStyle w:val="2"/>
        <w:spacing w:line="360" w:lineRule="auto"/>
        <w:rPr>
          <w:rFonts w:ascii="宋体" w:hAnsi="宋体"/>
          <w:color w:val="auto"/>
          <w:szCs w:val="21"/>
          <w:highlight w:val="none"/>
        </w:rPr>
      </w:pPr>
    </w:p>
    <w:p w14:paraId="5AB21D98">
      <w:pPr>
        <w:spacing w:line="480" w:lineRule="auto"/>
        <w:ind w:firstLine="420" w:firstLineChars="200"/>
        <w:rPr>
          <w:rFonts w:ascii="宋体" w:hAnsi="宋体"/>
          <w:color w:val="auto"/>
          <w:szCs w:val="21"/>
          <w:highlight w:val="none"/>
        </w:rPr>
      </w:pPr>
      <w:r>
        <w:rPr>
          <w:rFonts w:ascii="宋体" w:hAnsi="宋体"/>
          <w:color w:val="auto"/>
          <w:szCs w:val="21"/>
          <w:highlight w:val="none"/>
        </w:rPr>
        <w:br w:type="page"/>
      </w:r>
    </w:p>
    <w:p w14:paraId="101305F3">
      <w:pPr>
        <w:spacing w:line="480" w:lineRule="auto"/>
        <w:rPr>
          <w:rFonts w:ascii="宋体" w:hAns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8</w:t>
      </w:r>
      <w:r>
        <w:rPr>
          <w:rFonts w:hint="eastAsia" w:ascii="宋体" w:hAnsi="宋体"/>
          <w:color w:val="auto"/>
          <w:szCs w:val="21"/>
          <w:highlight w:val="none"/>
        </w:rPr>
        <w:t>：</w:t>
      </w:r>
    </w:p>
    <w:p w14:paraId="0259B1CE">
      <w:pPr>
        <w:spacing w:before="156" w:beforeLines="50" w:after="156" w:afterLines="50" w:line="480" w:lineRule="auto"/>
        <w:jc w:val="center"/>
        <w:rPr>
          <w:rFonts w:ascii="宋体" w:hAnsi="宋体"/>
          <w:color w:val="auto"/>
          <w:szCs w:val="21"/>
          <w:highlight w:val="none"/>
        </w:rPr>
      </w:pPr>
      <w:r>
        <w:rPr>
          <w:rFonts w:hint="eastAsia" w:ascii="宋体" w:hAnsi="宋体"/>
          <w:color w:val="auto"/>
          <w:szCs w:val="21"/>
          <w:highlight w:val="none"/>
        </w:rPr>
        <w:t>廉洁从业协议</w:t>
      </w:r>
    </w:p>
    <w:p w14:paraId="243C5CD4">
      <w:pPr>
        <w:snapToGrid w:val="0"/>
        <w:spacing w:line="360" w:lineRule="auto"/>
        <w:ind w:firstLine="422" w:firstLineChars="200"/>
        <w:rPr>
          <w:rFonts w:hint="eastAsia" w:ascii="宋体" w:hAnsi="宋体"/>
          <w:color w:val="auto"/>
          <w:szCs w:val="21"/>
          <w:highlight w:val="none"/>
          <w:u w:val="single"/>
        </w:rPr>
      </w:pPr>
      <w:r>
        <w:rPr>
          <w:rFonts w:hint="eastAsia" w:ascii="宋体" w:hAnsi="宋体"/>
          <w:b/>
          <w:color w:val="auto"/>
          <w:szCs w:val="21"/>
          <w:highlight w:val="none"/>
        </w:rPr>
        <w:t>发包人</w:t>
      </w:r>
      <w:r>
        <w:rPr>
          <w:rFonts w:hint="eastAsia" w:ascii="宋体" w:hAnsi="宋体"/>
          <w:b/>
          <w:color w:val="auto"/>
          <w:szCs w:val="21"/>
          <w:highlight w:val="none"/>
          <w:lang w:val="en-US" w:eastAsia="zh-CN"/>
        </w:rPr>
        <w:t>1</w:t>
      </w:r>
      <w:r>
        <w:rPr>
          <w:rFonts w:hint="eastAsia" w:ascii="宋体" w:hAnsi="宋体"/>
          <w:b/>
          <w:color w:val="auto"/>
          <w:szCs w:val="21"/>
          <w:highlight w:val="none"/>
        </w:rPr>
        <w:t>（全称）：</w:t>
      </w:r>
      <w:r>
        <w:rPr>
          <w:rFonts w:hint="eastAsia" w:ascii="宋体" w:hAnsi="宋体"/>
          <w:color w:val="auto"/>
          <w:szCs w:val="21"/>
          <w:highlight w:val="none"/>
          <w:u w:val="single"/>
        </w:rPr>
        <w:t xml:space="preserve">                             </w:t>
      </w:r>
    </w:p>
    <w:p w14:paraId="1F77DF3F">
      <w:pPr>
        <w:snapToGrid w:val="0"/>
        <w:spacing w:line="360" w:lineRule="auto"/>
        <w:ind w:firstLine="422" w:firstLineChars="200"/>
        <w:rPr>
          <w:color w:val="auto"/>
          <w:highlight w:val="none"/>
        </w:rPr>
      </w:pPr>
      <w:r>
        <w:rPr>
          <w:rFonts w:hint="eastAsia" w:ascii="宋体" w:hAnsi="宋体"/>
          <w:b/>
          <w:color w:val="auto"/>
          <w:szCs w:val="21"/>
          <w:highlight w:val="none"/>
        </w:rPr>
        <w:t>发包人</w:t>
      </w:r>
      <w:r>
        <w:rPr>
          <w:rFonts w:hint="eastAsia" w:ascii="宋体" w:hAnsi="宋体"/>
          <w:b/>
          <w:color w:val="auto"/>
          <w:szCs w:val="21"/>
          <w:highlight w:val="none"/>
          <w:lang w:val="en-US" w:eastAsia="zh-CN"/>
        </w:rPr>
        <w:t>2</w:t>
      </w:r>
      <w:r>
        <w:rPr>
          <w:rFonts w:hint="eastAsia" w:ascii="宋体" w:hAnsi="宋体"/>
          <w:b/>
          <w:color w:val="auto"/>
          <w:szCs w:val="21"/>
          <w:highlight w:val="none"/>
        </w:rPr>
        <w:t>（全称）：</w:t>
      </w:r>
      <w:r>
        <w:rPr>
          <w:rFonts w:hint="eastAsia" w:ascii="宋体" w:hAnsi="宋体"/>
          <w:color w:val="auto"/>
          <w:szCs w:val="21"/>
          <w:highlight w:val="none"/>
          <w:u w:val="single"/>
        </w:rPr>
        <w:t xml:space="preserve">                             </w:t>
      </w:r>
    </w:p>
    <w:p w14:paraId="45232273">
      <w:pPr>
        <w:snapToGrid w:val="0"/>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承包人（全称）：</w:t>
      </w:r>
      <w:r>
        <w:rPr>
          <w:rFonts w:hint="eastAsia" w:ascii="宋体" w:hAnsi="宋体"/>
          <w:color w:val="auto"/>
          <w:szCs w:val="21"/>
          <w:highlight w:val="none"/>
          <w:u w:val="single"/>
        </w:rPr>
        <w:t xml:space="preserve">                             </w:t>
      </w:r>
    </w:p>
    <w:p w14:paraId="17FDFD4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国家有关部门以及有关工程建设、廉政建设的规定，为做好工程建设中的党风廉政建设，保证工程建设高效优质，保证建设资金的安全和有效使用以及投资效益，建设工程的项目法人（以下简称“发包人”）与承包人（以下简称“承包人”），特订立如下协议。</w:t>
      </w:r>
    </w:p>
    <w:p w14:paraId="1A0B37E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1. 发包人承包人的权利和义务</w:t>
      </w:r>
    </w:p>
    <w:p w14:paraId="234769F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（1）严格遵守党的政策规定和国家有关法律法规及相关部门的有关规定。</w:t>
      </w:r>
    </w:p>
    <w:p w14:paraId="5AB13D1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（2）严格执行 工程的合同文件，自觉按合同办事。</w:t>
      </w:r>
    </w:p>
    <w:p w14:paraId="7BF2EC7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（3）双方的业务活动坚持公开、公正、诚信、透明的原则（法律认定的商业秘密和合同文件另有规定除外），不得损害国家和集体利益，违反工程建设管理规章制度。</w:t>
      </w:r>
    </w:p>
    <w:p w14:paraId="7FBBAB5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（4）建立健全廉政制度，开展廉政教育，设立廉政告示牌，公布举报电话，监督并认真查处违法违纪行为。</w:t>
      </w:r>
    </w:p>
    <w:p w14:paraId="213AD13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（5）发现对方在业务活动中有违反廉政规定的行为，有及时提醒对方纠正的权利和义务。</w:t>
      </w:r>
    </w:p>
    <w:p w14:paraId="5D95127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（6）发现对方严重违反协议义务条款的行为，有向其上级有关部门举报、建议给予处理并要求告知处理结果的权利。</w:t>
      </w:r>
    </w:p>
    <w:p w14:paraId="5EC085E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 发包人的义务</w:t>
      </w:r>
    </w:p>
    <w:p w14:paraId="3AA6E5F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（1）发包人及其工作人员不得索要或接受承包人的礼金、有价证券和贵重物品，不得在承包人报销任何应由发包人或发包人工作人员个人支付的费用等。</w:t>
      </w:r>
    </w:p>
    <w:p w14:paraId="75C9B1D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（2）发包人工作人员不得参加承包人安排的超标准宴请和娱乐活动；不得接受承包人提供的通讯工具、交通工具和高档办公用品等。</w:t>
      </w:r>
    </w:p>
    <w:p w14:paraId="550DA07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（3）发包人及其工作人员不得要求或者接受承包人为其住房装修、婚丧嫁娶活动、配偶子女的工作安排以及出国出境、旅游等提供方便等。</w:t>
      </w:r>
    </w:p>
    <w:p w14:paraId="476A48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（4）发包人工作人员及其配偶、子女不得从事与发包人工程有关的材料设备供应、工程分包、劳务等经济活动等。</w:t>
      </w:r>
    </w:p>
    <w:p w14:paraId="61F5C1D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（5）发包人及其工作人员不得以任何理由向承包人推荐分包单位或推销材料，不得要求承包人购买合同规定外的材料和设备。</w:t>
      </w:r>
    </w:p>
    <w:p w14:paraId="4A83DE0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（6）发包人工作人员要秉公办事，不准营私舞弊，不准利用职权从事各种个人有偿中介活动和安排个人施工队伍。</w:t>
      </w:r>
    </w:p>
    <w:p w14:paraId="2EC5233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 承包人义务</w:t>
      </w:r>
    </w:p>
    <w:p w14:paraId="78E217A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（1）承包人不得以任何理由向发包人及其工作人员行贿或馈赠礼金、有价证券、贵重礼品。</w:t>
      </w:r>
    </w:p>
    <w:p w14:paraId="65E5D2F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（2）承包人不得以任何名义为发包人及其工作人员报销应由发包人单位或个人支付的任何费用。</w:t>
      </w:r>
    </w:p>
    <w:p w14:paraId="0F1263F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（3）承包人不得以任何理由安排发包人工作人员参加超标准宴请及娱乐活动。</w:t>
      </w:r>
    </w:p>
    <w:p w14:paraId="1A150AD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（4）承包人不得为发包人单位和个人购置或提供通讯工具、交通工具和高档办公用品等。</w:t>
      </w:r>
    </w:p>
    <w:p w14:paraId="20AFE69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 违约责任</w:t>
      </w:r>
    </w:p>
    <w:p w14:paraId="5AABA1E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（1）发包人及其工作人员违反合同第1、2条，按管理权限，依据有关规定给予党纪、政纪或组织处理；涉嫌犯罪的，移交司法机关追究刑事责任；给承包人单位造成经济损失的，应予以赔偿。</w:t>
      </w:r>
    </w:p>
    <w:p w14:paraId="4FCBE69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（2）承包人及其工作人员违反合同第1、3条，按管理权限，依据有关规定给予党纪、政纪或组织处理；给发包人单位造成经济损失的，应予以赔偿。</w:t>
      </w:r>
    </w:p>
    <w:p w14:paraId="1246FAA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 双方约定：协议由双方或双方上级单位的纪检监察机关负责监督执行。由发包人或发包人上级单位的纪检监察机关约请承包人或承包人上级单位纪检监察机关对合同执行情况进行检查，提出在协议规定范围内的裁定意见。</w:t>
      </w:r>
    </w:p>
    <w:p w14:paraId="584B795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 协议有效期为甲乙双方签署之日起至该工程项目竣工验收后止。</w:t>
      </w:r>
    </w:p>
    <w:p w14:paraId="5045CC1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7.协议作为 工程施工合同的附件，与工程施工合同具有同等的法律效力，经合同双方签署立即生效。</w:t>
      </w:r>
    </w:p>
    <w:p w14:paraId="762734D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（以下无正文）</w:t>
      </w:r>
    </w:p>
    <w:p w14:paraId="7E6A7EEF">
      <w:pPr>
        <w:spacing w:line="360" w:lineRule="auto"/>
        <w:rPr>
          <w:rFonts w:ascii="宋体" w:hAnsi="宋体"/>
          <w:color w:val="auto"/>
          <w:szCs w:val="21"/>
          <w:highlight w:val="none"/>
        </w:rPr>
      </w:pPr>
    </w:p>
    <w:p w14:paraId="2FB0351D">
      <w:pPr>
        <w:pStyle w:val="2"/>
        <w:spacing w:line="360" w:lineRule="auto"/>
        <w:rPr>
          <w:rFonts w:ascii="宋体" w:hAnsi="宋体"/>
          <w:color w:val="auto"/>
          <w:szCs w:val="21"/>
          <w:highlight w:val="none"/>
        </w:rPr>
      </w:pPr>
    </w:p>
    <w:p w14:paraId="5190E52E">
      <w:pPr>
        <w:pStyle w:val="2"/>
        <w:spacing w:line="360" w:lineRule="auto"/>
        <w:rPr>
          <w:rFonts w:ascii="宋体" w:hAnsi="宋体"/>
          <w:color w:val="auto"/>
          <w:szCs w:val="21"/>
          <w:highlight w:val="none"/>
        </w:rPr>
      </w:pPr>
    </w:p>
    <w:p w14:paraId="46AE0724">
      <w:pPr>
        <w:spacing w:line="360" w:lineRule="auto"/>
        <w:rPr>
          <w:rFonts w:ascii="宋体" w:hAnsi="宋体"/>
          <w:color w:val="auto"/>
          <w:szCs w:val="21"/>
          <w:highlight w:val="none"/>
        </w:rPr>
      </w:pPr>
      <w:r>
        <w:rPr>
          <w:rFonts w:hint="eastAsia" w:ascii="宋体" w:hAnsi="宋体"/>
          <w:color w:val="auto"/>
          <w:szCs w:val="21"/>
          <w:highlight w:val="none"/>
        </w:rPr>
        <w:t>甲     方：                         乙     方：</w:t>
      </w:r>
    </w:p>
    <w:p w14:paraId="5A84DB25">
      <w:pPr>
        <w:spacing w:line="360" w:lineRule="auto"/>
        <w:rPr>
          <w:rFonts w:ascii="宋体" w:hAnsi="宋体"/>
          <w:color w:val="auto"/>
          <w:szCs w:val="21"/>
          <w:highlight w:val="none"/>
        </w:rPr>
      </w:pPr>
    </w:p>
    <w:p w14:paraId="2DBC5179">
      <w:pPr>
        <w:spacing w:line="360" w:lineRule="auto"/>
        <w:rPr>
          <w:rFonts w:ascii="宋体" w:hAnsi="宋体"/>
          <w:color w:val="auto"/>
          <w:szCs w:val="21"/>
          <w:highlight w:val="none"/>
        </w:rPr>
      </w:pPr>
    </w:p>
    <w:p w14:paraId="6704D4FD">
      <w:pPr>
        <w:spacing w:line="360" w:lineRule="auto"/>
        <w:rPr>
          <w:rFonts w:ascii="宋体" w:hAnsi="宋体"/>
          <w:color w:val="auto"/>
          <w:szCs w:val="21"/>
          <w:highlight w:val="none"/>
        </w:rPr>
      </w:pPr>
      <w:r>
        <w:rPr>
          <w:rFonts w:hint="eastAsia" w:ascii="宋体" w:hAnsi="宋体"/>
          <w:color w:val="auto"/>
          <w:szCs w:val="21"/>
          <w:highlight w:val="none"/>
        </w:rPr>
        <w:t xml:space="preserve">法定代表人                          法定代表人                      </w:t>
      </w:r>
    </w:p>
    <w:p w14:paraId="24F75961">
      <w:pPr>
        <w:spacing w:line="360" w:lineRule="auto"/>
        <w:rPr>
          <w:rFonts w:ascii="宋体" w:hAnsi="宋体"/>
          <w:color w:val="auto"/>
          <w:szCs w:val="21"/>
          <w:highlight w:val="none"/>
        </w:rPr>
      </w:pPr>
    </w:p>
    <w:p w14:paraId="2FDE9069">
      <w:pPr>
        <w:spacing w:line="360" w:lineRule="auto"/>
        <w:rPr>
          <w:rFonts w:ascii="宋体" w:hAnsi="宋体"/>
          <w:color w:val="auto"/>
          <w:szCs w:val="21"/>
          <w:highlight w:val="none"/>
        </w:rPr>
      </w:pPr>
    </w:p>
    <w:p w14:paraId="548CB1CB">
      <w:pPr>
        <w:spacing w:line="360" w:lineRule="auto"/>
        <w:rPr>
          <w:rFonts w:ascii="宋体" w:hAnsi="宋体"/>
          <w:color w:val="auto"/>
          <w:szCs w:val="21"/>
          <w:highlight w:val="none"/>
        </w:rPr>
      </w:pPr>
      <w:r>
        <w:rPr>
          <w:rFonts w:hint="eastAsia" w:ascii="宋体" w:hAnsi="宋体"/>
          <w:color w:val="auto"/>
          <w:szCs w:val="21"/>
          <w:highlight w:val="none"/>
        </w:rPr>
        <w:t>或其授权的代理人：                  或授权的代理人：</w:t>
      </w:r>
    </w:p>
    <w:p w14:paraId="00AD8E89">
      <w:pPr>
        <w:spacing w:line="480" w:lineRule="auto"/>
        <w:rPr>
          <w:rFonts w:ascii="宋体" w:hAnsi="宋体"/>
          <w:color w:val="auto"/>
          <w:szCs w:val="21"/>
          <w:highlight w:val="none"/>
        </w:rPr>
      </w:pPr>
      <w:r>
        <w:rPr>
          <w:rFonts w:hint="eastAsia" w:ascii="宋体" w:hAnsi="宋体"/>
          <w:color w:val="auto"/>
          <w:szCs w:val="21"/>
          <w:highlight w:val="none"/>
        </w:rPr>
        <w:br w:type="page"/>
      </w:r>
      <w:r>
        <w:rPr>
          <w:rFonts w:hint="eastAsia" w:ascii="宋体" w:hAnsi="宋体"/>
          <w:color w:val="auto"/>
          <w:szCs w:val="21"/>
          <w:highlight w:val="none"/>
        </w:rPr>
        <w:t>附件</w:t>
      </w:r>
      <w:r>
        <w:rPr>
          <w:rFonts w:ascii="宋体" w:hAnsi="宋体"/>
          <w:color w:val="auto"/>
          <w:szCs w:val="21"/>
          <w:highlight w:val="none"/>
        </w:rPr>
        <w:t>9</w:t>
      </w:r>
      <w:r>
        <w:rPr>
          <w:rFonts w:hint="eastAsia" w:ascii="宋体" w:hAnsi="宋体"/>
          <w:color w:val="auto"/>
          <w:szCs w:val="21"/>
          <w:highlight w:val="none"/>
        </w:rPr>
        <w:t>：</w:t>
      </w:r>
    </w:p>
    <w:p w14:paraId="1D96D342">
      <w:pPr>
        <w:spacing w:before="156" w:beforeLines="50" w:after="156" w:afterLines="50" w:line="480" w:lineRule="auto"/>
        <w:jc w:val="center"/>
        <w:rPr>
          <w:rFonts w:ascii="宋体" w:hAnsi="宋体"/>
          <w:color w:val="auto"/>
          <w:szCs w:val="21"/>
          <w:highlight w:val="none"/>
        </w:rPr>
      </w:pPr>
      <w:bookmarkStart w:id="2081" w:name="_Toc247431422"/>
      <w:bookmarkStart w:id="2082" w:name="_Toc336680145"/>
      <w:bookmarkStart w:id="2083" w:name="_Toc448406299"/>
      <w:bookmarkStart w:id="2084" w:name="_Toc435689499"/>
      <w:bookmarkStart w:id="2085" w:name="_Toc239510288"/>
      <w:bookmarkStart w:id="2086" w:name="_Toc435690184"/>
      <w:r>
        <w:rPr>
          <w:rFonts w:hint="eastAsia" w:ascii="宋体" w:hAnsi="宋体"/>
          <w:color w:val="auto"/>
          <w:szCs w:val="21"/>
          <w:highlight w:val="none"/>
        </w:rPr>
        <w:t>安全管理协议</w:t>
      </w:r>
      <w:bookmarkEnd w:id="2081"/>
      <w:bookmarkEnd w:id="2082"/>
      <w:bookmarkEnd w:id="2083"/>
      <w:bookmarkEnd w:id="2084"/>
      <w:bookmarkEnd w:id="2085"/>
      <w:bookmarkEnd w:id="2086"/>
    </w:p>
    <w:p w14:paraId="5E434A63">
      <w:pPr>
        <w:snapToGrid w:val="0"/>
        <w:spacing w:line="360" w:lineRule="auto"/>
        <w:ind w:firstLine="422" w:firstLineChars="200"/>
        <w:rPr>
          <w:rFonts w:hint="eastAsia" w:ascii="宋体" w:hAnsi="宋体"/>
          <w:color w:val="auto"/>
          <w:szCs w:val="21"/>
          <w:highlight w:val="none"/>
          <w:u w:val="single"/>
        </w:rPr>
      </w:pPr>
      <w:r>
        <w:rPr>
          <w:rFonts w:hint="eastAsia" w:ascii="宋体" w:hAnsi="宋体"/>
          <w:b/>
          <w:color w:val="auto"/>
          <w:szCs w:val="21"/>
          <w:highlight w:val="none"/>
        </w:rPr>
        <w:t>发包人</w:t>
      </w:r>
      <w:r>
        <w:rPr>
          <w:rFonts w:hint="eastAsia" w:ascii="宋体" w:hAnsi="宋体"/>
          <w:b/>
          <w:color w:val="auto"/>
          <w:szCs w:val="21"/>
          <w:highlight w:val="none"/>
          <w:lang w:val="en-US" w:eastAsia="zh-CN"/>
        </w:rPr>
        <w:t>1</w:t>
      </w:r>
      <w:r>
        <w:rPr>
          <w:rFonts w:hint="eastAsia" w:ascii="宋体" w:hAnsi="宋体"/>
          <w:b/>
          <w:color w:val="auto"/>
          <w:szCs w:val="21"/>
          <w:highlight w:val="none"/>
        </w:rPr>
        <w:t>（全称）：</w:t>
      </w:r>
      <w:r>
        <w:rPr>
          <w:rFonts w:hint="eastAsia" w:ascii="宋体" w:hAnsi="宋体"/>
          <w:color w:val="auto"/>
          <w:szCs w:val="21"/>
          <w:highlight w:val="none"/>
          <w:u w:val="single"/>
        </w:rPr>
        <w:t xml:space="preserve">                             </w:t>
      </w:r>
    </w:p>
    <w:p w14:paraId="310E6354">
      <w:pPr>
        <w:snapToGrid w:val="0"/>
        <w:spacing w:line="360" w:lineRule="auto"/>
        <w:ind w:firstLine="422" w:firstLineChars="200"/>
        <w:rPr>
          <w:color w:val="auto"/>
          <w:highlight w:val="none"/>
        </w:rPr>
      </w:pPr>
      <w:r>
        <w:rPr>
          <w:rFonts w:hint="eastAsia" w:ascii="宋体" w:hAnsi="宋体"/>
          <w:b/>
          <w:color w:val="auto"/>
          <w:szCs w:val="21"/>
          <w:highlight w:val="none"/>
        </w:rPr>
        <w:t>发包人</w:t>
      </w:r>
      <w:r>
        <w:rPr>
          <w:rFonts w:hint="eastAsia" w:ascii="宋体" w:hAnsi="宋体"/>
          <w:b/>
          <w:color w:val="auto"/>
          <w:szCs w:val="21"/>
          <w:highlight w:val="none"/>
          <w:lang w:val="en-US" w:eastAsia="zh-CN"/>
        </w:rPr>
        <w:t>2</w:t>
      </w:r>
      <w:r>
        <w:rPr>
          <w:rFonts w:hint="eastAsia" w:ascii="宋体" w:hAnsi="宋体"/>
          <w:b/>
          <w:color w:val="auto"/>
          <w:szCs w:val="21"/>
          <w:highlight w:val="none"/>
        </w:rPr>
        <w:t>（全称）：</w:t>
      </w:r>
      <w:r>
        <w:rPr>
          <w:rFonts w:hint="eastAsia" w:ascii="宋体" w:hAnsi="宋体"/>
          <w:color w:val="auto"/>
          <w:szCs w:val="21"/>
          <w:highlight w:val="none"/>
          <w:u w:val="single"/>
        </w:rPr>
        <w:t xml:space="preserve">                             </w:t>
      </w:r>
    </w:p>
    <w:p w14:paraId="71C3B9BB">
      <w:pPr>
        <w:snapToGrid w:val="0"/>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承包人（全称）：</w:t>
      </w:r>
      <w:r>
        <w:rPr>
          <w:rFonts w:hint="eastAsia" w:ascii="宋体" w:hAnsi="宋体"/>
          <w:color w:val="auto"/>
          <w:szCs w:val="21"/>
          <w:highlight w:val="none"/>
          <w:u w:val="single"/>
        </w:rPr>
        <w:t xml:space="preserve">                             </w:t>
      </w:r>
    </w:p>
    <w:p w14:paraId="4B838E6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为了确保实现</w:t>
      </w:r>
      <w:r>
        <w:rPr>
          <w:rFonts w:hint="eastAsia" w:ascii="宋体" w:hAnsi="宋体"/>
          <w:color w:val="auto"/>
          <w:szCs w:val="21"/>
          <w:highlight w:val="none"/>
          <w:u w:val="single"/>
        </w:rPr>
        <w:t xml:space="preserve">        </w:t>
      </w:r>
      <w:r>
        <w:rPr>
          <w:rFonts w:hint="eastAsia" w:ascii="宋体" w:hAnsi="宋体"/>
          <w:color w:val="auto"/>
          <w:szCs w:val="21"/>
          <w:highlight w:val="none"/>
        </w:rPr>
        <w:t>安全生产目标，进一步明确双方的安全管理责任，加强安全生产管理工作的协调、管理力度，</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（以下简称“发包人”）与</w:t>
      </w:r>
      <w:r>
        <w:rPr>
          <w:rFonts w:hint="eastAsia" w:ascii="宋体" w:hAnsi="宋体"/>
          <w:color w:val="auto"/>
          <w:szCs w:val="21"/>
          <w:highlight w:val="none"/>
          <w:u w:val="single"/>
        </w:rPr>
        <w:t xml:space="preserve">        </w:t>
      </w:r>
      <w:r>
        <w:rPr>
          <w:rFonts w:hint="eastAsia" w:ascii="宋体" w:hAnsi="宋体"/>
          <w:color w:val="auto"/>
          <w:szCs w:val="21"/>
          <w:highlight w:val="none"/>
        </w:rPr>
        <w:t>（以下简称“承包人”）依据国家安全生产相关的法律、法规和安全方面的强制性国家标准或行业标准，双方同意签订该协议作为正式合同安全管理方面的补充规定，并承诺本协议具有与合同相同的法律效力。具体条款如下：</w:t>
      </w:r>
    </w:p>
    <w:p w14:paraId="66C6DC65">
      <w:pPr>
        <w:spacing w:line="360" w:lineRule="auto"/>
        <w:ind w:firstLine="420" w:firstLineChars="200"/>
        <w:rPr>
          <w:rFonts w:ascii="宋体" w:hAnsi="宋体"/>
          <w:color w:val="auto"/>
          <w:szCs w:val="21"/>
          <w:highlight w:val="none"/>
        </w:rPr>
      </w:pPr>
      <w:bookmarkStart w:id="2087" w:name="_Toc239510289"/>
      <w:bookmarkStart w:id="2088" w:name="_Toc247431423"/>
      <w:bookmarkStart w:id="2089" w:name="_Toc532375700"/>
      <w:bookmarkStart w:id="2090" w:name="_Toc247418263"/>
      <w:r>
        <w:rPr>
          <w:rFonts w:hint="eastAsia" w:ascii="宋体" w:hAnsi="宋体"/>
          <w:color w:val="auto"/>
          <w:szCs w:val="21"/>
          <w:highlight w:val="none"/>
        </w:rPr>
        <w:t>一、协议有效期限</w:t>
      </w:r>
      <w:bookmarkEnd w:id="2087"/>
      <w:bookmarkEnd w:id="2088"/>
      <w:bookmarkEnd w:id="2089"/>
      <w:bookmarkEnd w:id="2090"/>
    </w:p>
    <w:p w14:paraId="6E45486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本协议中所涉及的安全管理责任自合同签订之日起开始生效，至合同工程全部完工验收且经发包人与承包人签订移交协议生效后之日终止。</w:t>
      </w:r>
    </w:p>
    <w:p w14:paraId="28E0E07D">
      <w:pPr>
        <w:spacing w:line="360" w:lineRule="auto"/>
        <w:ind w:firstLine="420" w:firstLineChars="200"/>
        <w:rPr>
          <w:rFonts w:ascii="宋体" w:hAnsi="宋体"/>
          <w:color w:val="auto"/>
          <w:szCs w:val="21"/>
          <w:highlight w:val="none"/>
        </w:rPr>
      </w:pPr>
      <w:bookmarkStart w:id="2091" w:name="_Toc239510290"/>
      <w:bookmarkStart w:id="2092" w:name="_Toc247418264"/>
      <w:bookmarkStart w:id="2093" w:name="_Toc532375701"/>
      <w:bookmarkStart w:id="2094" w:name="_Toc247431424"/>
      <w:r>
        <w:rPr>
          <w:rFonts w:hint="eastAsia" w:ascii="宋体" w:hAnsi="宋体"/>
          <w:color w:val="auto"/>
          <w:szCs w:val="21"/>
          <w:highlight w:val="none"/>
        </w:rPr>
        <w:t>二、责任目标</w:t>
      </w:r>
      <w:bookmarkEnd w:id="2091"/>
      <w:bookmarkEnd w:id="2092"/>
      <w:bookmarkEnd w:id="2093"/>
      <w:bookmarkEnd w:id="2094"/>
    </w:p>
    <w:p w14:paraId="5AE6E42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（一）承包人承诺承担和履行合同和发包人所规定的安全责任，且满足要求。</w:t>
      </w:r>
    </w:p>
    <w:p w14:paraId="27901A3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（二）承包人的安全控制目标是确保本工程在实施过程中：</w:t>
      </w:r>
    </w:p>
    <w:p w14:paraId="7B169FA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1．不发生人身重伤事故；</w:t>
      </w:r>
    </w:p>
    <w:p w14:paraId="03D1CEC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2．不发生火灾事故；</w:t>
      </w:r>
    </w:p>
    <w:p w14:paraId="13DEB26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3．不发生负有同等及以上事故责任的造成人身重伤的一般交通事故；</w:t>
      </w:r>
    </w:p>
    <w:p w14:paraId="600C7B9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4．不发生集体食物中毒事件（同时5人及以上的食物中毒）；</w:t>
      </w:r>
    </w:p>
    <w:p w14:paraId="7D6349B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5．不发生流行性传染病 （无甲型传染病、其他常见传染病未形成多人同时患病）；</w:t>
      </w:r>
    </w:p>
    <w:p w14:paraId="33FC904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6．不发生重大环境污染事件（生活、工业垃圾及其他污染物造成环境污染和大面积水土流失）；</w:t>
      </w:r>
    </w:p>
    <w:p w14:paraId="46C2D32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7．不发生对施工区附近生产、生活造成重大影响的事件（如造成重大设备损坏、重大财产损失、人员伤害等）；</w:t>
      </w:r>
    </w:p>
    <w:p w14:paraId="68879CB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8．不发生治安保卫事件（构成刑事拘留及以上的事件、盗窃直接损失超过1万元人民币的事件）。</w:t>
      </w:r>
    </w:p>
    <w:p w14:paraId="76E7CF0B">
      <w:pPr>
        <w:spacing w:line="360" w:lineRule="auto"/>
        <w:ind w:firstLine="420" w:firstLineChars="200"/>
        <w:jc w:val="left"/>
        <w:rPr>
          <w:rFonts w:ascii="宋体" w:hAnsi="宋体"/>
          <w:color w:val="auto"/>
          <w:szCs w:val="21"/>
          <w:highlight w:val="none"/>
        </w:rPr>
      </w:pPr>
      <w:bookmarkStart w:id="2095" w:name="_Toc239510291"/>
      <w:bookmarkStart w:id="2096" w:name="_Toc247431425"/>
      <w:bookmarkStart w:id="2097" w:name="_Toc247418265"/>
      <w:r>
        <w:rPr>
          <w:rFonts w:hint="eastAsia" w:ascii="宋体" w:hAnsi="宋体"/>
          <w:color w:val="auto"/>
          <w:szCs w:val="21"/>
          <w:highlight w:val="none"/>
        </w:rPr>
        <w:t>（三）承包人承诺在施工中控制以下安全事故的发生：</w:t>
      </w:r>
      <w:bookmarkEnd w:id="2095"/>
      <w:bookmarkEnd w:id="2096"/>
      <w:bookmarkEnd w:id="2097"/>
    </w:p>
    <w:p w14:paraId="31302CF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1．人员轻伤事故。</w:t>
      </w:r>
    </w:p>
    <w:p w14:paraId="79C1EDC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2．负有同等及以上事故责任的人身轻伤交通事故。</w:t>
      </w:r>
    </w:p>
    <w:p w14:paraId="1CD2235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3．其他安全未遂事故和异常事件。</w:t>
      </w:r>
    </w:p>
    <w:p w14:paraId="4187027B">
      <w:pPr>
        <w:spacing w:line="360" w:lineRule="auto"/>
        <w:ind w:firstLine="420" w:firstLineChars="200"/>
        <w:rPr>
          <w:rFonts w:ascii="宋体" w:hAnsi="宋体"/>
          <w:color w:val="auto"/>
          <w:szCs w:val="21"/>
          <w:highlight w:val="none"/>
        </w:rPr>
      </w:pPr>
      <w:bookmarkStart w:id="2098" w:name="_Toc239510292"/>
      <w:bookmarkStart w:id="2099" w:name="_Toc532375702"/>
      <w:bookmarkStart w:id="2100" w:name="_Toc247431426"/>
      <w:bookmarkStart w:id="2101" w:name="_Toc247418266"/>
      <w:r>
        <w:rPr>
          <w:rFonts w:hint="eastAsia" w:ascii="宋体" w:hAnsi="宋体"/>
          <w:color w:val="auto"/>
          <w:szCs w:val="21"/>
          <w:highlight w:val="none"/>
        </w:rPr>
        <w:t>三、安全责任</w:t>
      </w:r>
      <w:bookmarkEnd w:id="2098"/>
      <w:bookmarkEnd w:id="2099"/>
      <w:bookmarkEnd w:id="2100"/>
      <w:bookmarkEnd w:id="2101"/>
    </w:p>
    <w:p w14:paraId="0D71C1F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1．承包人负有安全生产的管理责任和直接责任。</w:t>
      </w:r>
    </w:p>
    <w:p w14:paraId="39CCE17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2．承包人的法人或签署合同的公司总经理或受委托的代理人对合同安全负有全面的领导责任。</w:t>
      </w:r>
    </w:p>
    <w:p w14:paraId="115C211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3．承包人项目经理对施工现场的安全工作负有全面的直接领导责任。</w:t>
      </w:r>
    </w:p>
    <w:p w14:paraId="539CDDF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4．承包人保证执行“谁施工、谁负责”的施工安全原则。</w:t>
      </w:r>
    </w:p>
    <w:p w14:paraId="2B7A214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5．承包人保证服从发包人对安全工作的统一协调和管理。</w:t>
      </w:r>
    </w:p>
    <w:p w14:paraId="09F1518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6．承包人保证对本工程项目安全生产条件及其管理资源自行投入，保证安全资金的专款专用。</w:t>
      </w:r>
    </w:p>
    <w:p w14:paraId="77FD894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7．承包人保证建立本工程项目的安全管理体系及安全保证体系（注：项目安全管理大纲/手册、管理性的程序文件等）。</w:t>
      </w:r>
    </w:p>
    <w:p w14:paraId="38B9EBC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8．承包人保证现场的安全管理专职人员必须持有建设主管部门安全生产培训考核合格证书。</w:t>
      </w:r>
    </w:p>
    <w:p w14:paraId="7EECBEC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9．承包人保证为现场所有工作人员（含分包商员工及劳务人员）配备符合国家标准的有承包人和/或其下属分包商标志的个人基本劳动保护用品。</w:t>
      </w:r>
    </w:p>
    <w:p w14:paraId="564F43D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10．承包人保证按照国家法律规定为现场所有工作人员（含分包商员工及劳务人员）购买意外伤害保险。</w:t>
      </w:r>
    </w:p>
    <w:p w14:paraId="3F8C346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11．承包人保证施工生活营地（包括自建的和租用的营地）满足消防、安全用电、卫生防疫、防暴雨、防雷击等方面的安全要求。</w:t>
      </w:r>
    </w:p>
    <w:p w14:paraId="28F8AC7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12．承包人保证对带入现场的设备、工具、材料按照国家法规和标准进行检测、试验，并持有法定部门出具的检验证书。</w:t>
      </w:r>
    </w:p>
    <w:p w14:paraId="58633D6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13．承包人保证制订施工现场的文明施工措施，保护环境、树木和植被，保持施工现场的良好秩序和整洁的作业环境。</w:t>
      </w:r>
    </w:p>
    <w:p w14:paraId="5E0D786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14．承包人负责在施工过程中与当地政府、周边群众及其他承包商保持良好的沟通和交流。承包人遇到与周边群众发生纠纷时，应负责协调工作，确保工程能够顺利进行。</w:t>
      </w:r>
    </w:p>
    <w:p w14:paraId="5523F4FE">
      <w:pPr>
        <w:spacing w:line="360" w:lineRule="auto"/>
        <w:ind w:firstLine="420" w:firstLineChars="200"/>
        <w:rPr>
          <w:rFonts w:ascii="宋体" w:hAnsi="宋体"/>
          <w:color w:val="auto"/>
          <w:szCs w:val="21"/>
          <w:highlight w:val="none"/>
        </w:rPr>
      </w:pPr>
      <w:bookmarkStart w:id="2102" w:name="_Toc239510293"/>
      <w:bookmarkStart w:id="2103" w:name="_Toc247418267"/>
      <w:bookmarkStart w:id="2104" w:name="_Toc532375703"/>
      <w:bookmarkStart w:id="2105" w:name="_Toc247431427"/>
      <w:r>
        <w:rPr>
          <w:rFonts w:hint="eastAsia" w:ascii="宋体" w:hAnsi="宋体"/>
          <w:color w:val="auto"/>
          <w:szCs w:val="21"/>
          <w:highlight w:val="none"/>
        </w:rPr>
        <w:t>四、接口及协调</w:t>
      </w:r>
      <w:bookmarkEnd w:id="2102"/>
      <w:bookmarkEnd w:id="2103"/>
      <w:bookmarkEnd w:id="2104"/>
      <w:bookmarkEnd w:id="2105"/>
    </w:p>
    <w:p w14:paraId="01DC3BF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1．发包人委托监理公司对该工程实施监理，监理公司在安全管理方面代表发包人行使监督检查职能，承包人必须给予配合和支持。</w:t>
      </w:r>
    </w:p>
    <w:p w14:paraId="1B17586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2．承包人人员、车辆的出入，带入现场的设备、机具、材料，在现场使用的或直接管理的办公、生活、生产性设施的安全管理须满足发包人现场管理的基本要求。</w:t>
      </w:r>
    </w:p>
    <w:p w14:paraId="7AFC591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3．承包人应指定专职安全管理人员与发包人委托的监理公司接口，参与安全协调和管理。安全协调和管理的内容包括职业健康、工业安全、消防安全、卫生防疫、交通安全、环境保护、治安保卫等各方面。</w:t>
      </w:r>
    </w:p>
    <w:p w14:paraId="2712DC7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480379F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5．承包人指定的专职安全管理人员应与发包人委托的监理公司建立联系，在业务上接受发包人委托的监理公司的协调和指导。</w:t>
      </w:r>
    </w:p>
    <w:p w14:paraId="6B8F762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6．开工后承包人的专职安全管理人员应按照发包人委托的监理公司的规定，定期报送安全月度快报、季报、年报和各种专项事故报告等。</w:t>
      </w:r>
    </w:p>
    <w:p w14:paraId="2541866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7．在工程实体未全部正式移交发包人施工管理部门之前，承包人依旧对施工范围内的安全管理负责。</w:t>
      </w:r>
    </w:p>
    <w:p w14:paraId="518FD62B">
      <w:pPr>
        <w:spacing w:line="360" w:lineRule="auto"/>
        <w:ind w:firstLine="420" w:firstLineChars="200"/>
        <w:rPr>
          <w:rFonts w:ascii="宋体" w:hAnsi="宋体"/>
          <w:color w:val="auto"/>
          <w:szCs w:val="21"/>
          <w:highlight w:val="none"/>
        </w:rPr>
      </w:pPr>
      <w:bookmarkStart w:id="2106" w:name="_Toc247418268"/>
      <w:bookmarkStart w:id="2107" w:name="_Toc532375704"/>
      <w:bookmarkStart w:id="2108" w:name="_Toc247431428"/>
      <w:bookmarkStart w:id="2109" w:name="_Toc239510294"/>
      <w:r>
        <w:rPr>
          <w:rFonts w:hint="eastAsia" w:ascii="宋体" w:hAnsi="宋体"/>
          <w:color w:val="auto"/>
          <w:szCs w:val="21"/>
          <w:highlight w:val="none"/>
        </w:rPr>
        <w:t>五、安全资质审查</w:t>
      </w:r>
      <w:bookmarkEnd w:id="2106"/>
      <w:bookmarkEnd w:id="2107"/>
      <w:bookmarkEnd w:id="2108"/>
      <w:bookmarkEnd w:id="2109"/>
    </w:p>
    <w:p w14:paraId="2A27167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承包人在项目开工前5个工作天内向发包人委托的监理公司提供以下安全资质供审查和存档：</w:t>
      </w:r>
    </w:p>
    <w:p w14:paraId="136BE3D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1．企业安全生产许可证书复印件。</w:t>
      </w:r>
    </w:p>
    <w:p w14:paraId="71778B3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2．企业近三年的施工简历及安全施工业绩证明文件。</w:t>
      </w:r>
    </w:p>
    <w:p w14:paraId="4CF83EB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3．企业主要安全管理人员（包括项目经理、专职安全管理人员）经建设主管部门安全生产知识考核合格证书。</w:t>
      </w:r>
    </w:p>
    <w:p w14:paraId="65EC476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4．特种作业人员资格证书。</w:t>
      </w:r>
    </w:p>
    <w:p w14:paraId="35D152E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5．项目安全管理机构及其人员配备（承包人必须配有专职的安全员）。</w:t>
      </w:r>
    </w:p>
    <w:p w14:paraId="1A68170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6．适用于项目的安全管理体系及保证体系文件（安全管理大纲及管理程序文件）。</w:t>
      </w:r>
    </w:p>
    <w:p w14:paraId="16E978AE">
      <w:pPr>
        <w:spacing w:line="360" w:lineRule="auto"/>
        <w:ind w:firstLine="420" w:firstLineChars="200"/>
        <w:rPr>
          <w:rFonts w:ascii="宋体" w:hAnsi="宋体"/>
          <w:color w:val="auto"/>
          <w:szCs w:val="21"/>
          <w:highlight w:val="none"/>
        </w:rPr>
      </w:pPr>
      <w:bookmarkStart w:id="2110" w:name="_Toc247431429"/>
      <w:bookmarkStart w:id="2111" w:name="_Toc532375705"/>
      <w:bookmarkStart w:id="2112" w:name="_Toc239510295"/>
      <w:bookmarkStart w:id="2113" w:name="_Toc247418269"/>
      <w:r>
        <w:rPr>
          <w:rFonts w:hint="eastAsia" w:ascii="宋体" w:hAnsi="宋体"/>
          <w:color w:val="auto"/>
          <w:szCs w:val="21"/>
          <w:highlight w:val="none"/>
        </w:rPr>
        <w:t>六、人员基本素质</w:t>
      </w:r>
      <w:bookmarkEnd w:id="2110"/>
      <w:bookmarkEnd w:id="2111"/>
      <w:bookmarkEnd w:id="2112"/>
      <w:bookmarkEnd w:id="2113"/>
    </w:p>
    <w:p w14:paraId="26BB20E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承包人提供的人员必须满足下列要求：</w:t>
      </w:r>
    </w:p>
    <w:p w14:paraId="368DFED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1．身体健康，无影响工作的精神疾病、无传染病和其他重大疾病；承包人需对其雇用的施工人员签发健康声明并保证其健康。其中体检证明材料（县级以上医院）和健康声明作为人员办理入场证件的必备材料。</w:t>
      </w:r>
    </w:p>
    <w:p w14:paraId="1D345C5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2．无刑事案件牵连。</w:t>
      </w:r>
    </w:p>
    <w:p w14:paraId="58234CF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3．无吸毒、酗酒、赌博、嫖娼等恶习及违法行为。</w:t>
      </w:r>
    </w:p>
    <w:p w14:paraId="2835BB3A">
      <w:pPr>
        <w:spacing w:line="360" w:lineRule="auto"/>
        <w:ind w:firstLine="420" w:firstLineChars="200"/>
        <w:rPr>
          <w:rFonts w:ascii="宋体" w:hAnsi="宋体"/>
          <w:color w:val="auto"/>
          <w:szCs w:val="21"/>
          <w:highlight w:val="none"/>
        </w:rPr>
      </w:pPr>
      <w:bookmarkStart w:id="2114" w:name="_Toc247418270"/>
      <w:bookmarkStart w:id="2115" w:name="_Toc239510296"/>
      <w:bookmarkStart w:id="2116" w:name="_Toc247431430"/>
      <w:bookmarkStart w:id="2117" w:name="_Toc532375706"/>
      <w:r>
        <w:rPr>
          <w:rFonts w:hint="eastAsia" w:ascii="宋体" w:hAnsi="宋体"/>
          <w:color w:val="auto"/>
          <w:szCs w:val="21"/>
          <w:highlight w:val="none"/>
        </w:rPr>
        <w:t>七、劳动保护</w:t>
      </w:r>
      <w:bookmarkEnd w:id="2114"/>
      <w:bookmarkEnd w:id="2115"/>
      <w:bookmarkEnd w:id="2116"/>
      <w:bookmarkEnd w:id="2117"/>
    </w:p>
    <w:p w14:paraId="29AADF5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1．承包人负责为本单位任何用工形式的员工提供个人劳动保护用品（包括工作服、安全帽、安全鞋等）。</w:t>
      </w:r>
    </w:p>
    <w:p w14:paraId="6C5EBFB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2．承包人负责向特殊工种的员工提供特殊劳动保护，否则不得从事特殊工种作业。</w:t>
      </w:r>
    </w:p>
    <w:p w14:paraId="0940E94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3．发包人委托的监理公司有权检查承包人的个人劳动保护用品是否符合国家的相应标准。</w:t>
      </w:r>
    </w:p>
    <w:p w14:paraId="5A44B81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 承包人在特殊风险场所作业而需要特殊防护用品或安全仪表时，必须在上述防护用品全部到位后才能开工。</w:t>
      </w:r>
    </w:p>
    <w:p w14:paraId="2C55E5B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5．承包人应配备临时安全围栏、警示带、警告标志、防火布等集体防护用品。</w:t>
      </w:r>
    </w:p>
    <w:p w14:paraId="68C9DA04">
      <w:pPr>
        <w:spacing w:line="360" w:lineRule="auto"/>
        <w:ind w:firstLine="420" w:firstLineChars="200"/>
        <w:rPr>
          <w:rFonts w:ascii="宋体" w:hAnsi="宋体"/>
          <w:color w:val="auto"/>
          <w:szCs w:val="21"/>
          <w:highlight w:val="none"/>
        </w:rPr>
      </w:pPr>
      <w:bookmarkStart w:id="2118" w:name="_Toc239510297"/>
      <w:bookmarkStart w:id="2119" w:name="_Toc247431431"/>
      <w:bookmarkStart w:id="2120" w:name="_Toc532375707"/>
      <w:bookmarkStart w:id="2121" w:name="_Toc247418271"/>
      <w:r>
        <w:rPr>
          <w:rFonts w:hint="eastAsia" w:ascii="宋体" w:hAnsi="宋体"/>
          <w:color w:val="auto"/>
          <w:szCs w:val="21"/>
          <w:highlight w:val="none"/>
        </w:rPr>
        <w:t>八、施工机具与材料</w:t>
      </w:r>
      <w:bookmarkEnd w:id="2118"/>
      <w:bookmarkEnd w:id="2119"/>
      <w:bookmarkEnd w:id="2120"/>
      <w:bookmarkEnd w:id="2121"/>
    </w:p>
    <w:p w14:paraId="0348791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1．承包人对带入现场的施工机械和工器具的安全负责。</w:t>
      </w:r>
    </w:p>
    <w:p w14:paraId="6A3D0B0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2．对于承包人带入现场的特殊工器具，如起重设备、索具、机动车辆、压缩气瓶等，承包人必须按国家法规和标准进行检测、试验，并持有法定部门出具的检验证书。</w:t>
      </w:r>
    </w:p>
    <w:p w14:paraId="2B0ECD0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3．对于不属于法定检测的工器具，承包人也必须建立相应的管理、检测制度，这些工器具包括登高工具、脚手架材料、电动工具、安全防护设备及用具等。</w:t>
      </w:r>
    </w:p>
    <w:p w14:paraId="56DDC3A3">
      <w:pPr>
        <w:spacing w:line="360" w:lineRule="auto"/>
        <w:ind w:firstLine="420" w:firstLineChars="200"/>
        <w:rPr>
          <w:rFonts w:ascii="宋体" w:hAnsi="宋体"/>
          <w:color w:val="auto"/>
          <w:szCs w:val="21"/>
          <w:highlight w:val="none"/>
        </w:rPr>
      </w:pPr>
      <w:bookmarkStart w:id="2122" w:name="_Toc247418272"/>
      <w:bookmarkStart w:id="2123" w:name="_Toc239510298"/>
      <w:bookmarkStart w:id="2124" w:name="_Toc247431432"/>
      <w:bookmarkStart w:id="2125" w:name="_Toc532375708"/>
      <w:r>
        <w:rPr>
          <w:rFonts w:hint="eastAsia" w:ascii="宋体" w:hAnsi="宋体"/>
          <w:color w:val="auto"/>
          <w:szCs w:val="21"/>
          <w:highlight w:val="none"/>
        </w:rPr>
        <w:t>九、开工前安全条件检查</w:t>
      </w:r>
      <w:bookmarkEnd w:id="2122"/>
      <w:bookmarkEnd w:id="2123"/>
      <w:bookmarkEnd w:id="2124"/>
      <w:bookmarkEnd w:id="2125"/>
    </w:p>
    <w:p w14:paraId="5566E49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59C4CEC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642C1BE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3．发包人委托的监理公司检查发现的缺陷，承包人应在规定期限内完成整改。对于重大缺陷，发包人委托的监理公司有权要求承包人推迟开工，由此对工期产生的影响或经济损失，由承包人承担。</w:t>
      </w:r>
    </w:p>
    <w:p w14:paraId="52931BC8">
      <w:pPr>
        <w:spacing w:line="360" w:lineRule="auto"/>
        <w:ind w:firstLine="420" w:firstLineChars="200"/>
        <w:rPr>
          <w:rFonts w:ascii="宋体" w:hAnsi="宋体"/>
          <w:color w:val="auto"/>
          <w:szCs w:val="21"/>
          <w:highlight w:val="none"/>
        </w:rPr>
      </w:pPr>
      <w:bookmarkStart w:id="2126" w:name="_Toc239510299"/>
      <w:bookmarkStart w:id="2127" w:name="_Toc247431433"/>
      <w:bookmarkStart w:id="2128" w:name="_Toc247418273"/>
      <w:bookmarkStart w:id="2129" w:name="_Toc532375709"/>
      <w:r>
        <w:rPr>
          <w:rFonts w:hint="eastAsia" w:ascii="宋体" w:hAnsi="宋体"/>
          <w:color w:val="auto"/>
          <w:szCs w:val="21"/>
          <w:highlight w:val="none"/>
        </w:rPr>
        <w:t>十、安全监督</w:t>
      </w:r>
      <w:bookmarkEnd w:id="2126"/>
      <w:bookmarkEnd w:id="2127"/>
      <w:bookmarkEnd w:id="2128"/>
      <w:bookmarkEnd w:id="2129"/>
    </w:p>
    <w:p w14:paraId="5DDCBB3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1．承包人应配备有满足项目安全管理需要的专职安全管理人员。</w:t>
      </w:r>
    </w:p>
    <w:p w14:paraId="29EBB6F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2．承包人的专职安全管理人员必须持建设主管部门颁发的安全生产知识考核合格证书。</w:t>
      </w:r>
    </w:p>
    <w:p w14:paraId="05608F1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3．承包人的专职安全管理人员在业务上接受发包人委托的监理公司和发包人安全管理部门的协调和指导。</w:t>
      </w:r>
    </w:p>
    <w:p w14:paraId="598230C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4．承包人应建立班前安全交底制度；施工期间坚持开展安全检查和日常安全监督并形成相应的记录。</w:t>
      </w:r>
    </w:p>
    <w:p w14:paraId="596B17D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5．承包人应在每个作业区任命兼职安全员，赋予兼职安全员相应的授权和义务，并对兼职安全员进行定期考核。</w:t>
      </w:r>
    </w:p>
    <w:p w14:paraId="3E576AF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6．承包人应接受和配合发包人专业部门及委托的监理公司的监督与安全评价。</w:t>
      </w:r>
    </w:p>
    <w:p w14:paraId="4F1ABFF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7．发包人和委托的监理公司有权对承包人履行安全管理协议的情况进行监督，并有权对违章行为实行停工和处罚，处罚情况将通知承包人。涉及经济处罚时将直接通知合同管理部门从合同结算中扣除。</w:t>
      </w:r>
    </w:p>
    <w:p w14:paraId="4D83C91F">
      <w:pPr>
        <w:spacing w:line="360" w:lineRule="auto"/>
        <w:ind w:firstLine="420" w:firstLineChars="200"/>
        <w:rPr>
          <w:rFonts w:ascii="宋体" w:hAnsi="宋体"/>
          <w:color w:val="auto"/>
          <w:szCs w:val="21"/>
          <w:highlight w:val="none"/>
        </w:rPr>
      </w:pPr>
      <w:bookmarkStart w:id="2130" w:name="_Toc247431434"/>
      <w:bookmarkStart w:id="2131" w:name="_Toc532375710"/>
      <w:bookmarkStart w:id="2132" w:name="_Toc247418274"/>
      <w:bookmarkStart w:id="2133" w:name="_Toc239510300"/>
      <w:r>
        <w:rPr>
          <w:rFonts w:hint="eastAsia" w:ascii="宋体" w:hAnsi="宋体"/>
          <w:color w:val="auto"/>
          <w:szCs w:val="21"/>
          <w:highlight w:val="none"/>
        </w:rPr>
        <w:t>十一、安全培训与授权</w:t>
      </w:r>
      <w:bookmarkEnd w:id="2130"/>
      <w:bookmarkEnd w:id="2131"/>
      <w:bookmarkEnd w:id="2132"/>
      <w:bookmarkEnd w:id="2133"/>
    </w:p>
    <w:p w14:paraId="79BD96A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1．承包人所有特殊工种人员必须持证上岗，发包人和发包人委托的监理公司有权对其进行抽查。承包人要建立特殊工种定期培训和检查计划，这些工种包括但不限于：机动车驾驶员、焊工、起重工、电工等。</w:t>
      </w:r>
    </w:p>
    <w:p w14:paraId="039458F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2．承包人应在特殊工种之外的其他工种中，筛选出高风险工种，并对其开展针对性的专题安全培训。</w:t>
      </w:r>
    </w:p>
    <w:p w14:paraId="7664CFE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3．承包人应组织 “入场培训”和考核。发包人委托的监理公司有权监督培训、考核情况或组织抽查考核。</w:t>
      </w:r>
    </w:p>
    <w:p w14:paraId="2B7DFA8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4．承包人应建立安全培训和考核机制，编制培训教材和培训滚动计划。承包人应组织安全考试/考核，建立培训考核记录，发包人委托的监理公司有权查看这些记录。</w:t>
      </w:r>
    </w:p>
    <w:p w14:paraId="5E27D3CD">
      <w:pPr>
        <w:spacing w:line="360" w:lineRule="auto"/>
        <w:ind w:firstLine="420" w:firstLineChars="200"/>
        <w:rPr>
          <w:rFonts w:ascii="宋体" w:hAnsi="宋体"/>
          <w:color w:val="auto"/>
          <w:szCs w:val="21"/>
          <w:highlight w:val="none"/>
        </w:rPr>
      </w:pPr>
      <w:bookmarkStart w:id="2134" w:name="_Toc247431435"/>
      <w:bookmarkStart w:id="2135" w:name="_Toc239510301"/>
      <w:bookmarkStart w:id="2136" w:name="_Toc532375711"/>
      <w:bookmarkStart w:id="2137" w:name="_Toc247418275"/>
      <w:r>
        <w:rPr>
          <w:rFonts w:hint="eastAsia" w:ascii="宋体" w:hAnsi="宋体"/>
          <w:color w:val="auto"/>
          <w:szCs w:val="21"/>
          <w:highlight w:val="none"/>
        </w:rPr>
        <w:t>十二、职业健康与卫生防疫</w:t>
      </w:r>
      <w:bookmarkEnd w:id="2134"/>
      <w:bookmarkEnd w:id="2135"/>
      <w:bookmarkEnd w:id="2136"/>
      <w:bookmarkEnd w:id="2137"/>
    </w:p>
    <w:p w14:paraId="71F95DE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1．承包人应有特殊健康检查制度，预防有禁忌症患者从事有关职业，如恐高症患者不得从事高空作业，患有心血管疾病的人员不得从事繁重的体力劳动，特殊工种人员的体检应符合国家的规定。</w:t>
      </w:r>
    </w:p>
    <w:p w14:paraId="304FBE5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2．承包人应保证卫生防疫基本设施的投入，以满足医疗、急救的要求，建立外部医疗支持渠道。</w:t>
      </w:r>
    </w:p>
    <w:p w14:paraId="00F7D58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33221963">
      <w:pPr>
        <w:spacing w:line="360" w:lineRule="auto"/>
        <w:ind w:firstLine="420" w:firstLineChars="200"/>
        <w:rPr>
          <w:rFonts w:ascii="宋体" w:hAnsi="宋体"/>
          <w:color w:val="auto"/>
          <w:szCs w:val="21"/>
          <w:highlight w:val="none"/>
        </w:rPr>
      </w:pPr>
      <w:bookmarkStart w:id="2138" w:name="_Toc239510302"/>
      <w:bookmarkStart w:id="2139" w:name="_Toc532375712"/>
      <w:bookmarkStart w:id="2140" w:name="_Toc247431436"/>
      <w:bookmarkStart w:id="2141" w:name="_Toc247418276"/>
      <w:r>
        <w:rPr>
          <w:rFonts w:hint="eastAsia" w:ascii="宋体" w:hAnsi="宋体"/>
          <w:color w:val="auto"/>
          <w:szCs w:val="21"/>
          <w:highlight w:val="none"/>
        </w:rPr>
        <w:t>十三、文明施工与环保要求</w:t>
      </w:r>
      <w:bookmarkEnd w:id="2138"/>
      <w:bookmarkEnd w:id="2139"/>
      <w:bookmarkEnd w:id="2140"/>
      <w:bookmarkEnd w:id="2141"/>
    </w:p>
    <w:p w14:paraId="27D9781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1．承包人需制订施工现场的文明施工措施，保持良好的施工现场秩序。施工现场的物料堆放要摆放整齐，安全标志和宣传标志要清楚醒目，废料、废物要分类收集，安全通道要畅通。</w:t>
      </w:r>
    </w:p>
    <w:p w14:paraId="74D4134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2．承包人作业时应避免建筑材料抛洒、飞扬、流淌；应尽可能降低噪音、震动。</w:t>
      </w:r>
    </w:p>
    <w:p w14:paraId="376B58B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3．承包人应根据实际需要，在施工现场布置临时卫生设施（洗手间、卫生间等），施工作业不破坏环境卫生，不污染现场环境。</w:t>
      </w:r>
    </w:p>
    <w:p w14:paraId="0149B69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4．承包人在施工中应充分重视对环境的保护，保护绿色植被，保护古树。施工如需伤害古树，必须报告发包人委托的监理公司，在未得到指令前，禁止擅自伤害古树。</w:t>
      </w:r>
    </w:p>
    <w:p w14:paraId="4BDB58B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承包人应及时清理现场废物和垃圾。工业废料与生活垃圾必须分开，有害废物与普通废物必须分开（如油品废物、电池灯管等，必须单独收集、存放）；禁止在非指定场所乱倒、乱堆垃圾。禁止违章处理危险化学品和工业垃圾。</w:t>
      </w:r>
    </w:p>
    <w:p w14:paraId="2DEF2FAF">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6．承包人在施工中应禁止向环境，排放工业污水、生活污水、废油或其他有害物质。</w:t>
      </w:r>
    </w:p>
    <w:p w14:paraId="2C9E4BB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49C7CD47">
      <w:pPr>
        <w:spacing w:line="360" w:lineRule="auto"/>
        <w:ind w:firstLine="420" w:firstLineChars="200"/>
        <w:rPr>
          <w:rFonts w:ascii="宋体" w:hAnsi="宋体"/>
          <w:color w:val="auto"/>
          <w:szCs w:val="21"/>
          <w:highlight w:val="none"/>
        </w:rPr>
      </w:pPr>
      <w:bookmarkStart w:id="2142" w:name="_Toc247418277"/>
      <w:bookmarkStart w:id="2143" w:name="_Toc532375713"/>
      <w:bookmarkStart w:id="2144" w:name="_Toc239510303"/>
      <w:bookmarkStart w:id="2145" w:name="_Toc247431437"/>
      <w:r>
        <w:rPr>
          <w:rFonts w:hint="eastAsia" w:ascii="宋体" w:hAnsi="宋体"/>
          <w:color w:val="auto"/>
          <w:szCs w:val="21"/>
          <w:highlight w:val="none"/>
        </w:rPr>
        <w:t>十四、工程风险管理与事故预防</w:t>
      </w:r>
      <w:bookmarkEnd w:id="2142"/>
      <w:bookmarkEnd w:id="2143"/>
      <w:bookmarkEnd w:id="2144"/>
      <w:bookmarkEnd w:id="2145"/>
    </w:p>
    <w:p w14:paraId="0AEF9994">
      <w:pPr>
        <w:spacing w:line="360" w:lineRule="auto"/>
        <w:ind w:firstLine="420" w:firstLineChars="200"/>
        <w:jc w:val="left"/>
        <w:rPr>
          <w:rFonts w:ascii="宋体" w:hAnsi="宋体"/>
          <w:color w:val="auto"/>
          <w:szCs w:val="21"/>
          <w:highlight w:val="none"/>
        </w:rPr>
      </w:pPr>
      <w:bookmarkStart w:id="2146" w:name="_Toc247431438"/>
      <w:bookmarkStart w:id="2147" w:name="_Toc239510304"/>
      <w:bookmarkStart w:id="2148" w:name="_Toc247418278"/>
      <w:r>
        <w:rPr>
          <w:rFonts w:hint="eastAsia" w:ascii="宋体" w:hAnsi="宋体"/>
          <w:color w:val="auto"/>
          <w:szCs w:val="21"/>
          <w:highlight w:val="none"/>
        </w:rPr>
        <w:t>（一）基本要求</w:t>
      </w:r>
      <w:bookmarkEnd w:id="2146"/>
      <w:bookmarkEnd w:id="2147"/>
      <w:bookmarkEnd w:id="2148"/>
    </w:p>
    <w:p w14:paraId="248823F2">
      <w:pPr>
        <w:spacing w:line="360" w:lineRule="auto"/>
        <w:ind w:firstLine="420" w:firstLineChars="200"/>
        <w:jc w:val="left"/>
        <w:rPr>
          <w:rFonts w:ascii="宋体" w:hAnsi="宋体"/>
          <w:color w:val="auto"/>
          <w:szCs w:val="21"/>
          <w:highlight w:val="none"/>
        </w:rPr>
      </w:pPr>
      <w:bookmarkStart w:id="2149" w:name="_Toc532375714"/>
      <w:r>
        <w:rPr>
          <w:rFonts w:hint="eastAsia" w:ascii="宋体" w:hAnsi="宋体"/>
          <w:color w:val="auto"/>
          <w:szCs w:val="21"/>
          <w:highlight w:val="none"/>
        </w:rPr>
        <w:t>1．承包人应对施工过程进行全面、深入的危险源识别和风险分析。在施工安全组织设计中提供危险源及重要危险源清单、作业风险分析报告，该报告应包括（但不限于）如下信息：</w:t>
      </w:r>
      <w:bookmarkEnd w:id="2149"/>
    </w:p>
    <w:p w14:paraId="0E7F8BE8">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（1）高风险作业和工种清单：作业名称、类别和数量、主要事故风险。</w:t>
      </w:r>
    </w:p>
    <w:p w14:paraId="648AB2C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（2）施工能源和机械的种类、数量和主要事故风险。</w:t>
      </w:r>
    </w:p>
    <w:p w14:paraId="4AC6352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（3）施工作业条件的类型和主要事故风险。</w:t>
      </w:r>
    </w:p>
    <w:p w14:paraId="6B9CD60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（4）主要工艺过程（或施工活动）的类别及其相关的事故风险。</w:t>
      </w:r>
    </w:p>
    <w:p w14:paraId="61226970">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（5）主要火灾危险（可燃物、点火源）。</w:t>
      </w:r>
    </w:p>
    <w:p w14:paraId="4E2D75F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（6）主要自然灾害（洪水、大风、雷暴、暴雨、地质灾害等）。</w:t>
      </w:r>
    </w:p>
    <w:p w14:paraId="302A5C7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（7）主要环境保护事件（有害垃圾、机械的跑冒滴漏、原材料流失、水土流失等）。</w:t>
      </w:r>
    </w:p>
    <w:p w14:paraId="48D721C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（8）其他。</w:t>
      </w:r>
    </w:p>
    <w:p w14:paraId="5A95848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2．承包人应针对识别出的危险源制定有针对性的事故预防措施并确保在施工中得到有效落实。</w:t>
      </w:r>
    </w:p>
    <w:p w14:paraId="4F300FF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3．承包人应建立日常施工活动的动态作业风险分析和安全交底制度。该制度应明确规定风险分析的方法、责任和交底的内容、时间及记录。</w:t>
      </w:r>
    </w:p>
    <w:p w14:paraId="11EE61B0">
      <w:pPr>
        <w:spacing w:line="360" w:lineRule="auto"/>
        <w:ind w:firstLine="420" w:firstLineChars="200"/>
        <w:jc w:val="left"/>
        <w:rPr>
          <w:rFonts w:ascii="宋体" w:hAnsi="宋体"/>
          <w:color w:val="auto"/>
          <w:szCs w:val="21"/>
          <w:highlight w:val="none"/>
        </w:rPr>
      </w:pPr>
      <w:bookmarkStart w:id="2150" w:name="_Toc247431439"/>
      <w:bookmarkStart w:id="2151" w:name="_Toc239510305"/>
      <w:bookmarkStart w:id="2152" w:name="_Toc247418279"/>
      <w:r>
        <w:rPr>
          <w:rFonts w:hint="eastAsia" w:ascii="宋体" w:hAnsi="宋体"/>
          <w:color w:val="auto"/>
          <w:szCs w:val="21"/>
          <w:highlight w:val="none"/>
        </w:rPr>
        <w:t>（二）现场作业基本安全条件</w:t>
      </w:r>
      <w:bookmarkEnd w:id="2150"/>
      <w:bookmarkEnd w:id="2151"/>
      <w:bookmarkEnd w:id="2152"/>
    </w:p>
    <w:p w14:paraId="5C4BD73E">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1334409A">
      <w:pPr>
        <w:spacing w:line="360" w:lineRule="auto"/>
        <w:ind w:firstLine="420" w:firstLineChars="200"/>
        <w:rPr>
          <w:rFonts w:ascii="宋体" w:hAnsi="宋体"/>
          <w:color w:val="auto"/>
          <w:szCs w:val="21"/>
          <w:highlight w:val="none"/>
        </w:rPr>
      </w:pPr>
      <w:bookmarkStart w:id="2153" w:name="_Toc247431440"/>
      <w:bookmarkStart w:id="2154" w:name="_Toc239510306"/>
      <w:bookmarkStart w:id="2155" w:name="_Toc247418280"/>
      <w:bookmarkStart w:id="2156" w:name="_Toc532375715"/>
      <w:r>
        <w:rPr>
          <w:rFonts w:hint="eastAsia" w:ascii="宋体" w:hAnsi="宋体"/>
          <w:color w:val="auto"/>
          <w:szCs w:val="21"/>
          <w:highlight w:val="none"/>
        </w:rPr>
        <w:t>十五、事故报告与应急救援</w:t>
      </w:r>
      <w:bookmarkEnd w:id="2153"/>
      <w:bookmarkEnd w:id="2154"/>
      <w:bookmarkEnd w:id="2155"/>
      <w:bookmarkEnd w:id="2156"/>
    </w:p>
    <w:p w14:paraId="1138BEF2">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1．承包人应制定对于未遂事故及以上级别的安全事件和事故，定期报送安全月度快报、季报、年报和各种专项事故报告等。</w:t>
      </w:r>
    </w:p>
    <w:p w14:paraId="187F78A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2．承包人应建立安全事故统计记录、未遂事故统计记录、违章统计记录，并根据统计情况进行分析，并就分析结果制定相应的预防措施。</w:t>
      </w:r>
    </w:p>
    <w:p w14:paraId="5F4639E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3．承包人应建立事故应急救援机制，明确事故处置的基本原则，即现场发生事故时，首先抢救生命，向救援组织报警，并采取措施限制事故扩大。</w:t>
      </w:r>
    </w:p>
    <w:p w14:paraId="56D47B7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4．承包人应建立相应的应急响应组织，以便能迅速处理突发意外。</w:t>
      </w:r>
    </w:p>
    <w:p w14:paraId="7E91749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5．承包人应建立专项应急响应预案，包括重大人身伤亡事故的救护预案、火灾响应预案、“四防”预案（防风、防冻、防雷、防暴雨）、重大疫病防护预案、环境污染防护预案、地质灾害防护预案等。</w:t>
      </w:r>
    </w:p>
    <w:p w14:paraId="6E0AA2F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6．承包人应对应急预案进行适当演练，保证应急预案的可操作性。</w:t>
      </w:r>
    </w:p>
    <w:p w14:paraId="3A188E8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7．在工地的其他施工单位发生重大事故时，承包人应无条件立即配合、支持事故抢险。</w:t>
      </w:r>
    </w:p>
    <w:p w14:paraId="4F605EF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8．承包人必须为事故处置支付各项费用，包括受伤者的抚恤、补偿等费用，并按合同要求赔偿对发包人造成的损失。</w:t>
      </w:r>
    </w:p>
    <w:p w14:paraId="10DBFF4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9．由于发包人原因而造成的事故，发包人应负责按事故的具体损失情况给予承包人经济赔偿。</w:t>
      </w:r>
    </w:p>
    <w:p w14:paraId="79854C3A">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10．涉及承包人员工的伤害事故，承包人除要报告发包人委托的监理公司外，还应负责按照国家、行业和本单位上级公司的要求，上报事故。</w:t>
      </w:r>
    </w:p>
    <w:p w14:paraId="51FE6942">
      <w:pPr>
        <w:spacing w:line="360" w:lineRule="auto"/>
        <w:ind w:firstLine="420" w:firstLineChars="200"/>
        <w:rPr>
          <w:rFonts w:ascii="宋体" w:hAnsi="宋体"/>
          <w:color w:val="auto"/>
          <w:szCs w:val="21"/>
          <w:highlight w:val="none"/>
        </w:rPr>
      </w:pPr>
      <w:bookmarkStart w:id="2157" w:name="_Toc247418281"/>
      <w:bookmarkStart w:id="2158" w:name="_Toc239510307"/>
      <w:bookmarkStart w:id="2159" w:name="_Toc247431441"/>
      <w:bookmarkStart w:id="2160" w:name="_Toc532375716"/>
      <w:r>
        <w:rPr>
          <w:rFonts w:hint="eastAsia" w:ascii="宋体" w:hAnsi="宋体"/>
          <w:color w:val="auto"/>
          <w:szCs w:val="21"/>
          <w:highlight w:val="none"/>
        </w:rPr>
        <w:t>十六、安全业绩考核</w:t>
      </w:r>
      <w:bookmarkEnd w:id="2157"/>
      <w:bookmarkEnd w:id="2158"/>
      <w:bookmarkEnd w:id="2159"/>
      <w:bookmarkEnd w:id="2160"/>
    </w:p>
    <w:p w14:paraId="2610CBB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为了落实安全管理的责任，承包人在施工过程中发生安全事故时，承包人除应按国家有关规定承担责任和处罚外，发包人还将按照以下标准进行考核：</w:t>
      </w:r>
    </w:p>
    <w:tbl>
      <w:tblPr>
        <w:tblStyle w:val="17"/>
        <w:tblW w:w="7005" w:type="dxa"/>
        <w:jc w:val="center"/>
        <w:tblLayout w:type="fixed"/>
        <w:tblCellMar>
          <w:top w:w="0" w:type="dxa"/>
          <w:left w:w="0" w:type="dxa"/>
          <w:bottom w:w="0" w:type="dxa"/>
          <w:right w:w="0" w:type="dxa"/>
        </w:tblCellMar>
      </w:tblPr>
      <w:tblGrid>
        <w:gridCol w:w="3240"/>
        <w:gridCol w:w="3765"/>
      </w:tblGrid>
      <w:tr w14:paraId="39CA2017">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050C17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事件类型</w:t>
            </w:r>
          </w:p>
        </w:tc>
        <w:tc>
          <w:tcPr>
            <w:tcW w:w="37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ED3E50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违约金额</w:t>
            </w:r>
          </w:p>
        </w:tc>
      </w:tr>
      <w:tr w14:paraId="5120585A">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726C10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较大事故</w:t>
            </w:r>
          </w:p>
        </w:tc>
        <w:tc>
          <w:tcPr>
            <w:tcW w:w="3765" w:type="dxa"/>
            <w:tcBorders>
              <w:top w:val="single" w:color="auto" w:sz="8" w:space="0"/>
              <w:left w:val="nil"/>
              <w:bottom w:val="single" w:color="auto" w:sz="8" w:space="0"/>
              <w:right w:val="single" w:color="auto" w:sz="8" w:space="0"/>
            </w:tcBorders>
            <w:vAlign w:val="center"/>
          </w:tcPr>
          <w:p w14:paraId="5E1791D6">
            <w:pPr>
              <w:spacing w:line="360" w:lineRule="auto"/>
              <w:ind w:firstLine="420" w:firstLineChars="200"/>
              <w:jc w:val="left"/>
              <w:rPr>
                <w:rFonts w:ascii="宋体" w:hAnsi="宋体"/>
                <w:color w:val="auto"/>
                <w:szCs w:val="21"/>
                <w:highlight w:val="none"/>
              </w:rPr>
            </w:pPr>
            <w:r>
              <w:rPr>
                <w:rFonts w:hint="eastAsia" w:ascii="宋体" w:hAnsi="宋体"/>
                <w:color w:val="auto"/>
                <w:kern w:val="0"/>
                <w:szCs w:val="21"/>
                <w:highlight w:val="none"/>
              </w:rPr>
              <w:t>签约合同价</w:t>
            </w:r>
            <w:r>
              <w:rPr>
                <w:rFonts w:hint="eastAsia" w:ascii="宋体" w:hAnsi="宋体"/>
                <w:color w:val="auto"/>
                <w:szCs w:val="21"/>
                <w:highlight w:val="none"/>
              </w:rPr>
              <w:t>的0.5‰</w:t>
            </w:r>
          </w:p>
        </w:tc>
      </w:tr>
      <w:tr w14:paraId="0FAF8C80">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F8D74E6">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重大事故</w:t>
            </w:r>
          </w:p>
        </w:tc>
        <w:tc>
          <w:tcPr>
            <w:tcW w:w="3765" w:type="dxa"/>
            <w:tcBorders>
              <w:top w:val="single" w:color="auto" w:sz="8" w:space="0"/>
              <w:left w:val="nil"/>
              <w:bottom w:val="single" w:color="auto" w:sz="8" w:space="0"/>
              <w:right w:val="single" w:color="auto" w:sz="8" w:space="0"/>
            </w:tcBorders>
            <w:vAlign w:val="center"/>
          </w:tcPr>
          <w:p w14:paraId="5ADA293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签约合同价的2‰</w:t>
            </w:r>
          </w:p>
        </w:tc>
      </w:tr>
      <w:tr w14:paraId="6C199072">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0E2417">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特别重大事故</w:t>
            </w:r>
          </w:p>
        </w:tc>
        <w:tc>
          <w:tcPr>
            <w:tcW w:w="3765" w:type="dxa"/>
            <w:tcBorders>
              <w:top w:val="single" w:color="auto" w:sz="8" w:space="0"/>
              <w:left w:val="nil"/>
              <w:bottom w:val="single" w:color="auto" w:sz="8" w:space="0"/>
              <w:right w:val="single" w:color="auto" w:sz="8" w:space="0"/>
            </w:tcBorders>
            <w:vAlign w:val="center"/>
          </w:tcPr>
          <w:p w14:paraId="5819B16C">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签约合同价的4‰</w:t>
            </w:r>
          </w:p>
        </w:tc>
      </w:tr>
    </w:tbl>
    <w:p w14:paraId="2AF9B10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（1）较大事故，是指造成3人以上10人以下死亡，或者10人以上50人以下重伤，或者1000万元以上5000万元以下直接经济损失的事故；</w:t>
      </w:r>
    </w:p>
    <w:p w14:paraId="65A75639">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（2）重大事故，是指造成10人以上30人以下死亡，或者50人以上100人以下重伤，或者5000万元以上1亿元以下直接经济损失的事故；</w:t>
      </w:r>
    </w:p>
    <w:p w14:paraId="60769323">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（3）特别重大事故，是指造成30人以上死亡，或者100人以上重伤（包括急性工业中毒，下同），或者1亿元以上直接经济损失的事故；</w:t>
      </w:r>
    </w:p>
    <w:p w14:paraId="03A566F4">
      <w:pPr>
        <w:spacing w:line="276" w:lineRule="auto"/>
        <w:ind w:firstLine="420" w:firstLineChars="200"/>
        <w:jc w:val="left"/>
        <w:rPr>
          <w:rFonts w:ascii="宋体" w:hAnsi="宋体"/>
          <w:color w:val="auto"/>
          <w:szCs w:val="21"/>
          <w:highlight w:val="none"/>
        </w:rPr>
      </w:pPr>
      <w:r>
        <w:rPr>
          <w:rFonts w:hint="eastAsia" w:ascii="宋体" w:hAnsi="宋体"/>
          <w:color w:val="auto"/>
          <w:szCs w:val="21"/>
          <w:highlight w:val="none"/>
        </w:rPr>
        <w:t>（4）所称的“以上”包括本数，所称的“以下”不包括本数。</w:t>
      </w:r>
    </w:p>
    <w:p w14:paraId="023DC9A4">
      <w:pPr>
        <w:spacing w:line="276"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同时也作为是否可接受承包人再次参加发包人项目投标的依据之一。 </w:t>
      </w:r>
    </w:p>
    <w:p w14:paraId="4F1D7181">
      <w:pPr>
        <w:spacing w:line="276" w:lineRule="auto"/>
        <w:ind w:firstLine="420" w:firstLineChars="200"/>
        <w:rPr>
          <w:rFonts w:ascii="宋体" w:hAnsi="宋体"/>
          <w:color w:val="auto"/>
          <w:szCs w:val="21"/>
          <w:highlight w:val="none"/>
        </w:rPr>
      </w:pPr>
      <w:bookmarkStart w:id="2161" w:name="_Toc247431442"/>
      <w:bookmarkStart w:id="2162" w:name="_Toc532375717"/>
      <w:bookmarkStart w:id="2163" w:name="_Toc247418282"/>
      <w:bookmarkStart w:id="2164" w:name="_Toc239510308"/>
      <w:r>
        <w:rPr>
          <w:rFonts w:hint="eastAsia" w:ascii="宋体" w:hAnsi="宋体"/>
          <w:color w:val="auto"/>
          <w:szCs w:val="21"/>
          <w:highlight w:val="none"/>
        </w:rPr>
        <w:t>十七、协议条款的修订</w:t>
      </w:r>
      <w:bookmarkEnd w:id="2161"/>
      <w:bookmarkEnd w:id="2162"/>
      <w:bookmarkEnd w:id="2163"/>
      <w:bookmarkEnd w:id="2164"/>
    </w:p>
    <w:p w14:paraId="6B82B3B5">
      <w:pPr>
        <w:spacing w:line="276" w:lineRule="auto"/>
        <w:ind w:firstLine="420" w:firstLineChars="200"/>
        <w:jc w:val="left"/>
        <w:rPr>
          <w:rFonts w:ascii="宋体" w:hAnsi="宋体"/>
          <w:color w:val="auto"/>
          <w:szCs w:val="21"/>
          <w:highlight w:val="none"/>
        </w:rPr>
      </w:pPr>
      <w:r>
        <w:rPr>
          <w:rFonts w:hint="eastAsia" w:ascii="宋体" w:hAnsi="宋体"/>
          <w:color w:val="auto"/>
          <w:szCs w:val="21"/>
          <w:highlight w:val="none"/>
        </w:rPr>
        <w:t>在项目实施过程中，经双方友好协商，本协议的有关条款也可做出相应的修改。</w:t>
      </w:r>
    </w:p>
    <w:p w14:paraId="4EAE8591">
      <w:pPr>
        <w:spacing w:line="276" w:lineRule="auto"/>
        <w:ind w:firstLine="420" w:firstLineChars="200"/>
        <w:jc w:val="left"/>
        <w:rPr>
          <w:rFonts w:ascii="宋体" w:hAnsi="宋体"/>
          <w:color w:val="auto"/>
          <w:szCs w:val="21"/>
          <w:highlight w:val="none"/>
        </w:rPr>
      </w:pPr>
      <w:r>
        <w:rPr>
          <w:rFonts w:hint="eastAsia" w:ascii="宋体" w:hAnsi="宋体"/>
          <w:color w:val="auto"/>
          <w:szCs w:val="21"/>
          <w:highlight w:val="none"/>
        </w:rPr>
        <w:t>本工程安全管理协议，由发包人、承包人双方在施工承包合同签订后7天内共同签署，作为施工合同附件。</w:t>
      </w:r>
    </w:p>
    <w:p w14:paraId="5A4B5B6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  包  人</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color w:val="auto"/>
          <w:szCs w:val="21"/>
          <w:highlight w:val="none"/>
          <w:lang w:val="en-US" w:eastAsia="zh-CN"/>
        </w:rPr>
        <w:t>单位</w:t>
      </w:r>
      <w:r>
        <w:rPr>
          <w:rFonts w:hint="eastAsia" w:ascii="宋体" w:hAnsi="宋体"/>
          <w:color w:val="auto"/>
          <w:szCs w:val="21"/>
          <w:highlight w:val="none"/>
        </w:rPr>
        <w:t>公章）：</w:t>
      </w:r>
      <w:r>
        <w:rPr>
          <w:rFonts w:hint="eastAsia" w:ascii="宋体" w:hAnsi="宋体" w:cs="宋体"/>
          <w:color w:val="auto"/>
          <w:szCs w:val="21"/>
          <w:highlight w:val="none"/>
          <w:u w:val="single"/>
        </w:rPr>
        <w:t xml:space="preserve">                   </w:t>
      </w:r>
    </w:p>
    <w:p w14:paraId="3E34826B">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法定代表人（签名）：</w:t>
      </w:r>
      <w:r>
        <w:rPr>
          <w:rFonts w:hint="eastAsia" w:ascii="宋体" w:hAnsi="宋体" w:cs="宋体"/>
          <w:color w:val="auto"/>
          <w:szCs w:val="21"/>
          <w:highlight w:val="none"/>
          <w:u w:val="single"/>
        </w:rPr>
        <w:t xml:space="preserve">                       </w:t>
      </w:r>
      <w:r>
        <w:rPr>
          <w:rFonts w:hint="eastAsia" w:ascii="宋体" w:hAnsi="宋体"/>
          <w:color w:val="auto"/>
          <w:szCs w:val="21"/>
          <w:highlight w:val="none"/>
        </w:rPr>
        <w:t xml:space="preserve">  </w:t>
      </w:r>
    </w:p>
    <w:p w14:paraId="3CB3A6F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或其委托代理人（签名）：</w:t>
      </w:r>
      <w:r>
        <w:rPr>
          <w:rFonts w:hint="eastAsia" w:ascii="宋体" w:hAnsi="宋体" w:cs="宋体"/>
          <w:color w:val="auto"/>
          <w:szCs w:val="21"/>
          <w:highlight w:val="none"/>
          <w:u w:val="single"/>
        </w:rPr>
        <w:t xml:space="preserve">                   </w:t>
      </w:r>
      <w:r>
        <w:rPr>
          <w:rFonts w:hint="eastAsia" w:ascii="宋体" w:hAnsi="宋体"/>
          <w:color w:val="auto"/>
          <w:szCs w:val="21"/>
          <w:highlight w:val="none"/>
        </w:rPr>
        <w:t xml:space="preserve">  </w:t>
      </w:r>
    </w:p>
    <w:p w14:paraId="1C3C38DA">
      <w:pPr>
        <w:pStyle w:val="2"/>
        <w:rPr>
          <w:color w:val="auto"/>
          <w:highlight w:val="none"/>
        </w:rPr>
      </w:pPr>
    </w:p>
    <w:p w14:paraId="37C1180D">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发  包  人</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单位</w:t>
      </w:r>
      <w:r>
        <w:rPr>
          <w:rFonts w:hint="eastAsia" w:ascii="宋体" w:hAnsi="宋体"/>
          <w:color w:val="auto"/>
          <w:szCs w:val="21"/>
          <w:highlight w:val="none"/>
        </w:rPr>
        <w:t>公章）：</w:t>
      </w:r>
      <w:r>
        <w:rPr>
          <w:rFonts w:hint="eastAsia" w:ascii="宋体" w:hAnsi="宋体" w:cs="宋体"/>
          <w:color w:val="auto"/>
          <w:szCs w:val="21"/>
          <w:highlight w:val="none"/>
          <w:u w:val="single"/>
        </w:rPr>
        <w:t xml:space="preserve">                   </w:t>
      </w:r>
    </w:p>
    <w:p w14:paraId="60B68C85">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法定代表人（签名）：</w:t>
      </w:r>
      <w:r>
        <w:rPr>
          <w:rFonts w:hint="eastAsia" w:ascii="宋体" w:hAnsi="宋体" w:cs="宋体"/>
          <w:color w:val="auto"/>
          <w:szCs w:val="21"/>
          <w:highlight w:val="none"/>
          <w:u w:val="single"/>
        </w:rPr>
        <w:t xml:space="preserve">                       </w:t>
      </w:r>
      <w:r>
        <w:rPr>
          <w:rFonts w:hint="eastAsia" w:ascii="宋体" w:hAnsi="宋体"/>
          <w:color w:val="auto"/>
          <w:szCs w:val="21"/>
          <w:highlight w:val="none"/>
        </w:rPr>
        <w:t xml:space="preserve">  </w:t>
      </w:r>
    </w:p>
    <w:p w14:paraId="663D49C4">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或其委托代理人（签名）：</w:t>
      </w:r>
      <w:r>
        <w:rPr>
          <w:rFonts w:hint="eastAsia" w:ascii="宋体" w:hAnsi="宋体" w:cs="宋体"/>
          <w:color w:val="auto"/>
          <w:szCs w:val="21"/>
          <w:highlight w:val="none"/>
          <w:u w:val="single"/>
        </w:rPr>
        <w:t xml:space="preserve">                   </w:t>
      </w:r>
      <w:r>
        <w:rPr>
          <w:rFonts w:hint="eastAsia" w:ascii="宋体" w:hAnsi="宋体"/>
          <w:color w:val="auto"/>
          <w:szCs w:val="21"/>
          <w:highlight w:val="none"/>
        </w:rPr>
        <w:t xml:space="preserve">  </w:t>
      </w:r>
    </w:p>
    <w:p w14:paraId="154D3564">
      <w:pPr>
        <w:spacing w:line="360" w:lineRule="auto"/>
        <w:ind w:firstLine="420" w:firstLineChars="200"/>
        <w:jc w:val="left"/>
        <w:rPr>
          <w:rFonts w:ascii="宋体" w:hAnsi="宋体"/>
          <w:color w:val="auto"/>
          <w:szCs w:val="21"/>
          <w:highlight w:val="none"/>
        </w:rPr>
      </w:pPr>
    </w:p>
    <w:p w14:paraId="29F588C1">
      <w:pPr>
        <w:spacing w:line="360" w:lineRule="auto"/>
        <w:ind w:firstLine="420" w:firstLineChars="200"/>
        <w:jc w:val="left"/>
        <w:rPr>
          <w:rFonts w:ascii="宋体" w:hAnsi="宋体"/>
          <w:color w:val="auto"/>
          <w:kern w:val="0"/>
          <w:szCs w:val="21"/>
          <w:highlight w:val="none"/>
        </w:rPr>
      </w:pPr>
      <w:r>
        <w:rPr>
          <w:rFonts w:hint="eastAsia" w:ascii="宋体" w:hAnsi="宋体"/>
          <w:color w:val="auto"/>
          <w:szCs w:val="21"/>
          <w:highlight w:val="none"/>
        </w:rPr>
        <w:t>承  包  人（</w:t>
      </w:r>
      <w:r>
        <w:rPr>
          <w:rFonts w:hint="eastAsia" w:ascii="宋体" w:hAnsi="宋体"/>
          <w:color w:val="auto"/>
          <w:szCs w:val="21"/>
          <w:highlight w:val="none"/>
          <w:lang w:val="en-US" w:eastAsia="zh-CN"/>
        </w:rPr>
        <w:t>单位</w:t>
      </w:r>
      <w:r>
        <w:rPr>
          <w:rFonts w:hint="eastAsia" w:ascii="宋体" w:hAnsi="宋体"/>
          <w:color w:val="auto"/>
          <w:szCs w:val="21"/>
          <w:highlight w:val="none"/>
        </w:rPr>
        <w:t>公章）：</w:t>
      </w:r>
      <w:r>
        <w:rPr>
          <w:rFonts w:hint="eastAsia" w:ascii="宋体" w:hAnsi="宋体" w:cs="宋体"/>
          <w:color w:val="auto"/>
          <w:szCs w:val="21"/>
          <w:highlight w:val="none"/>
          <w:u w:val="single"/>
        </w:rPr>
        <w:t xml:space="preserve">                   </w:t>
      </w:r>
    </w:p>
    <w:p w14:paraId="1403C341">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法定代表人（签名）：</w:t>
      </w:r>
      <w:r>
        <w:rPr>
          <w:rFonts w:hint="eastAsia" w:ascii="宋体" w:hAnsi="宋体" w:cs="宋体"/>
          <w:color w:val="auto"/>
          <w:szCs w:val="21"/>
          <w:highlight w:val="none"/>
          <w:u w:val="single"/>
        </w:rPr>
        <w:t xml:space="preserve">                       </w:t>
      </w:r>
    </w:p>
    <w:p w14:paraId="5F88C410">
      <w:pPr>
        <w:spacing w:line="360" w:lineRule="auto"/>
        <w:ind w:firstLine="420" w:firstLineChars="200"/>
        <w:jc w:val="left"/>
        <w:rPr>
          <w:rFonts w:ascii="宋体" w:hAnsi="宋体"/>
          <w:color w:val="auto"/>
          <w:kern w:val="0"/>
          <w:szCs w:val="21"/>
          <w:highlight w:val="none"/>
        </w:rPr>
      </w:pPr>
      <w:r>
        <w:rPr>
          <w:rFonts w:hint="eastAsia" w:ascii="宋体" w:hAnsi="宋体"/>
          <w:color w:val="auto"/>
          <w:szCs w:val="21"/>
          <w:highlight w:val="none"/>
        </w:rPr>
        <w:t>或其委托代理人（签名）：</w:t>
      </w:r>
      <w:r>
        <w:rPr>
          <w:rFonts w:hint="eastAsia" w:ascii="宋体" w:hAnsi="宋体" w:cs="宋体"/>
          <w:color w:val="auto"/>
          <w:szCs w:val="21"/>
          <w:highlight w:val="none"/>
          <w:u w:val="single"/>
        </w:rPr>
        <w:t xml:space="preserve">                   </w:t>
      </w:r>
    </w:p>
    <w:p w14:paraId="4FDF50B0">
      <w:pPr>
        <w:snapToGrid w:val="0"/>
        <w:spacing w:line="360" w:lineRule="auto"/>
        <w:jc w:val="left"/>
        <w:rPr>
          <w:rFonts w:ascii="宋体" w:hAnsi="宋体"/>
          <w:color w:val="auto"/>
          <w:kern w:val="0"/>
          <w:szCs w:val="21"/>
          <w:highlight w:val="none"/>
        </w:rPr>
      </w:pPr>
      <w:r>
        <w:rPr>
          <w:rFonts w:hint="eastAsia" w:ascii="宋体" w:hAnsi="宋体"/>
          <w:color w:val="auto"/>
          <w:szCs w:val="21"/>
          <w:highlight w:val="none"/>
        </w:rPr>
        <w:br w:type="page"/>
      </w:r>
    </w:p>
    <w:p w14:paraId="1CE4BB5A">
      <w:pPr>
        <w:spacing w:line="480" w:lineRule="auto"/>
        <w:rPr>
          <w:rFonts w:ascii="宋体" w:hAnsi="宋体"/>
          <w:color w:val="auto"/>
          <w:szCs w:val="21"/>
          <w:highlight w:val="none"/>
        </w:rPr>
      </w:pPr>
      <w:r>
        <w:rPr>
          <w:rFonts w:hint="eastAsia" w:ascii="宋体" w:hAnsi="宋体"/>
          <w:color w:val="auto"/>
          <w:szCs w:val="21"/>
          <w:highlight w:val="none"/>
        </w:rPr>
        <w:t>附件</w:t>
      </w:r>
      <w:r>
        <w:rPr>
          <w:rFonts w:ascii="宋体" w:hAnsi="宋体"/>
          <w:color w:val="auto"/>
          <w:szCs w:val="21"/>
          <w:highlight w:val="none"/>
        </w:rPr>
        <w:t>10</w:t>
      </w:r>
      <w:r>
        <w:rPr>
          <w:rFonts w:hint="eastAsia" w:ascii="宋体" w:hAnsi="宋体"/>
          <w:color w:val="auto"/>
          <w:szCs w:val="21"/>
          <w:highlight w:val="none"/>
        </w:rPr>
        <w:t>：</w:t>
      </w:r>
    </w:p>
    <w:p w14:paraId="7E674C3A">
      <w:pPr>
        <w:spacing w:before="156" w:beforeLines="50" w:after="156" w:afterLines="50" w:line="480" w:lineRule="auto"/>
        <w:jc w:val="center"/>
        <w:rPr>
          <w:rFonts w:ascii="宋体" w:hAnsi="宋体"/>
          <w:color w:val="auto"/>
          <w:szCs w:val="21"/>
          <w:highlight w:val="none"/>
        </w:rPr>
      </w:pPr>
      <w:r>
        <w:rPr>
          <w:rFonts w:hint="eastAsia" w:ascii="宋体" w:hAnsi="宋体"/>
          <w:color w:val="auto"/>
          <w:szCs w:val="21"/>
          <w:highlight w:val="none"/>
        </w:rPr>
        <w:t>保障农民工工资支付协议</w:t>
      </w:r>
    </w:p>
    <w:p w14:paraId="514D6C6C">
      <w:pPr>
        <w:snapToGrid w:val="0"/>
        <w:spacing w:line="480" w:lineRule="auto"/>
        <w:rPr>
          <w:rFonts w:hint="eastAsia" w:ascii="宋体" w:hAnsi="宋体"/>
          <w:color w:val="auto"/>
          <w:szCs w:val="21"/>
          <w:highlight w:val="none"/>
        </w:rPr>
      </w:pPr>
      <w:r>
        <w:rPr>
          <w:rFonts w:hint="eastAsia" w:ascii="宋体" w:hAnsi="宋体"/>
          <w:color w:val="auto"/>
          <w:szCs w:val="21"/>
          <w:highlight w:val="none"/>
        </w:rPr>
        <w:t xml:space="preserve"> 发包人</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olor w:val="auto"/>
          <w:szCs w:val="21"/>
          <w:highlight w:val="none"/>
        </w:rPr>
        <w:t>（发包人）</w:t>
      </w:r>
    </w:p>
    <w:p w14:paraId="172CF3D1">
      <w:pPr>
        <w:snapToGrid w:val="0"/>
        <w:spacing w:line="480" w:lineRule="auto"/>
        <w:rPr>
          <w:color w:val="auto"/>
          <w:highlight w:val="none"/>
        </w:rPr>
      </w:pPr>
      <w:r>
        <w:rPr>
          <w:rFonts w:hint="eastAsia" w:ascii="宋体" w:hAnsi="宋体"/>
          <w:color w:val="auto"/>
          <w:szCs w:val="21"/>
          <w:highlight w:val="none"/>
        </w:rPr>
        <w:t xml:space="preserve"> 发包人</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olor w:val="auto"/>
          <w:szCs w:val="21"/>
          <w:highlight w:val="none"/>
        </w:rPr>
        <w:t>（发包人）</w:t>
      </w:r>
    </w:p>
    <w:p w14:paraId="320A910F">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 承包人：</w:t>
      </w:r>
      <w:r>
        <w:rPr>
          <w:rFonts w:hint="eastAsia" w:ascii="宋体" w:hAnsi="宋体" w:cs="宋体"/>
          <w:color w:val="auto"/>
          <w:szCs w:val="21"/>
          <w:highlight w:val="none"/>
          <w:u w:val="single"/>
        </w:rPr>
        <w:t xml:space="preserve">                                 </w:t>
      </w:r>
      <w:r>
        <w:rPr>
          <w:rFonts w:hint="eastAsia" w:ascii="宋体" w:hAnsi="宋体"/>
          <w:color w:val="auto"/>
          <w:szCs w:val="21"/>
          <w:highlight w:val="none"/>
        </w:rPr>
        <w:t>（承包人）</w:t>
      </w:r>
    </w:p>
    <w:p w14:paraId="1BBD27C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贯彻落实《国务院办公厅关于全面治理拖欠农民工工资问题的意见》（国办发〔2016〕1号），《重庆市人民政府办公厅关于全面治理拖欠农民工工资问题的实施意见》（渝府办发〔2016〕101号），健全预防和解决拖欠农民工工资问题的长效机制，切实保障农民工劳动报酬权益，维护社会公平正义，促进社会和谐稳定。经甲、乙双方结合实际情况，友好协商，达成如下协议：</w:t>
      </w:r>
    </w:p>
    <w:p w14:paraId="7A2E76E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承包人申报工程进度款时，应对上月已支付工程款用于农民工工资发放的情况进行说明，并附农民工代表按时足额收取了工资的签名确认书。监理单位应对相关情况说明和签名确认书（详附件）进行审查签名后，与工程进度款申报资料一并提交给发包人。发包人审核合格后，才进行当期工程进度款的支付。</w:t>
      </w:r>
    </w:p>
    <w:p w14:paraId="0C6A994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由于工程进度款申报和审查需一定时间，其与农民工工资发放时间存在一定时间的延后，承包人应具有垫付不低于3个月农民工工资能力。承包人在本补充协议签订后申请的第一笔工程进度款时应出具垫付不低于3个月农民工工资的书面承诺给发包人。发包人将承包人是否做出承诺作为支付工程进度款的前提条件之一。</w:t>
      </w:r>
    </w:p>
    <w:p w14:paraId="722AC3E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承包人每月10日前将本月作业班组、班组人数、农民工身份信息等报监理单位，10日～15日分别以作业班组为小组，每小组自行选举产生一名农民工代表，监理单位应全程监督，选举结果与当期工程款支付申请一并报送发包人。</w:t>
      </w:r>
    </w:p>
    <w:p w14:paraId="78592AD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四、若发现承包人有下列事项的，发包人在支付当期进度款时暂扣当期应支付进度款5%比例的款项。</w:t>
      </w:r>
      <w:r>
        <w:rPr>
          <w:rFonts w:hint="eastAsia" w:ascii="宋体" w:hAnsi="宋体"/>
          <w:color w:val="auto"/>
          <w:szCs w:val="21"/>
          <w:highlight w:val="none"/>
        </w:rPr>
        <w:br w:type="textWrapping"/>
      </w:r>
      <w:r>
        <w:rPr>
          <w:rFonts w:hint="eastAsia" w:ascii="宋体" w:hAnsi="宋体"/>
          <w:color w:val="auto"/>
          <w:szCs w:val="21"/>
          <w:highlight w:val="none"/>
        </w:rPr>
        <w:t xml:space="preserve">    （一）现场检查发现项目存在拖欠农民工工资情况并经核查属实的；</w:t>
      </w:r>
    </w:p>
    <w:p w14:paraId="6AB35E5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（二）相关行政管理部门检查发现存在拖欠农民工工资情况并经核查属实的；</w:t>
      </w:r>
      <w:r>
        <w:rPr>
          <w:rFonts w:hint="eastAsia" w:ascii="宋体" w:hAnsi="宋体"/>
          <w:color w:val="auto"/>
          <w:szCs w:val="21"/>
          <w:highlight w:val="none"/>
        </w:rPr>
        <w:br w:type="textWrapping"/>
      </w:r>
      <w:r>
        <w:rPr>
          <w:rFonts w:hint="eastAsia" w:ascii="宋体" w:hAnsi="宋体"/>
          <w:color w:val="auto"/>
          <w:szCs w:val="21"/>
          <w:highlight w:val="none"/>
        </w:rPr>
        <w:t xml:space="preserve">    （三）有拖欠农民工工资投诉事项并经核查属实的。</w:t>
      </w:r>
      <w:r>
        <w:rPr>
          <w:rFonts w:hint="eastAsia" w:ascii="宋体" w:hAnsi="宋体"/>
          <w:color w:val="auto"/>
          <w:szCs w:val="21"/>
          <w:highlight w:val="none"/>
        </w:rPr>
        <w:br w:type="textWrapping"/>
      </w:r>
      <w:r>
        <w:rPr>
          <w:rFonts w:hint="eastAsia" w:ascii="宋体" w:hAnsi="宋体"/>
          <w:color w:val="auto"/>
          <w:szCs w:val="21"/>
          <w:highlight w:val="none"/>
        </w:rPr>
        <w:t xml:space="preserve">    五、对发现的存在拖欠农民工工资事项，承包人应在3天内限时整改，并将整改措施和结果报发包人审查，经发包人批准同意后，在下一期工程进度款支付中返还暂扣的工程款；如承包人未在3天内限时整改，暂扣工程款将继续扣留，直至整改完毕。暂扣款不计息。</w:t>
      </w:r>
    </w:p>
    <w:p w14:paraId="2B7AE465">
      <w:pPr>
        <w:tabs>
          <w:tab w:val="left" w:pos="1080"/>
          <w:tab w:val="left" w:pos="1260"/>
          <w:tab w:val="left" w:pos="1440"/>
        </w:tabs>
        <w:spacing w:line="360" w:lineRule="auto"/>
        <w:ind w:firstLine="420" w:firstLineChars="200"/>
        <w:rPr>
          <w:rFonts w:ascii="宋体" w:hAnsi="宋体"/>
          <w:snapToGrid w:val="0"/>
          <w:color w:val="auto"/>
          <w:spacing w:val="-4"/>
          <w:kern w:val="0"/>
          <w:szCs w:val="21"/>
          <w:highlight w:val="none"/>
        </w:rPr>
      </w:pPr>
      <w:r>
        <w:rPr>
          <w:rFonts w:hint="eastAsia" w:ascii="宋体" w:hAnsi="宋体"/>
          <w:color w:val="auto"/>
          <w:szCs w:val="21"/>
          <w:highlight w:val="none"/>
        </w:rPr>
        <w:t>六、本协议经双方法定代表人或委托代理人签名并加盖</w:t>
      </w:r>
      <w:r>
        <w:rPr>
          <w:rFonts w:hint="eastAsia" w:ascii="宋体" w:hAnsi="宋体"/>
          <w:color w:val="auto"/>
          <w:szCs w:val="21"/>
          <w:highlight w:val="none"/>
          <w:lang w:val="en-US" w:eastAsia="zh-CN"/>
        </w:rPr>
        <w:t>单位</w:t>
      </w:r>
      <w:r>
        <w:rPr>
          <w:rFonts w:hint="eastAsia" w:ascii="宋体" w:hAnsi="宋体"/>
          <w:color w:val="auto"/>
          <w:szCs w:val="21"/>
          <w:highlight w:val="none"/>
        </w:rPr>
        <w:t>公章后生效，履行完毕后自然失效。</w:t>
      </w:r>
    </w:p>
    <w:p w14:paraId="05DCF98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附件：</w:t>
      </w:r>
    </w:p>
    <w:p w14:paraId="784C2E6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1、关于农民工工资发放情况的说明表</w:t>
      </w:r>
    </w:p>
    <w:p w14:paraId="4E5FCDC8">
      <w:pPr>
        <w:pStyle w:val="2"/>
        <w:spacing w:line="360" w:lineRule="auto"/>
        <w:ind w:firstLine="420" w:firstLineChars="200"/>
        <w:rPr>
          <w:rFonts w:ascii="宋体" w:hAnsi="宋体"/>
          <w:color w:val="auto"/>
          <w:szCs w:val="21"/>
          <w:highlight w:val="none"/>
        </w:rPr>
      </w:pPr>
    </w:p>
    <w:p w14:paraId="300181E0">
      <w:pPr>
        <w:pStyle w:val="2"/>
        <w:spacing w:line="360" w:lineRule="auto"/>
        <w:ind w:firstLine="420" w:firstLineChars="200"/>
        <w:rPr>
          <w:rFonts w:ascii="宋体" w:hAnsi="宋体"/>
          <w:color w:val="auto"/>
          <w:szCs w:val="21"/>
          <w:highlight w:val="none"/>
        </w:rPr>
      </w:pPr>
    </w:p>
    <w:p w14:paraId="7664EA25">
      <w:pPr>
        <w:pStyle w:val="2"/>
        <w:spacing w:line="360" w:lineRule="auto"/>
        <w:ind w:firstLine="420" w:firstLineChars="200"/>
        <w:rPr>
          <w:rFonts w:ascii="宋体" w:hAnsi="宋体"/>
          <w:color w:val="auto"/>
          <w:szCs w:val="21"/>
          <w:highlight w:val="none"/>
        </w:rPr>
      </w:pPr>
    </w:p>
    <w:p w14:paraId="22B1B36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（以下无正文）</w:t>
      </w:r>
    </w:p>
    <w:p w14:paraId="3149AFEB">
      <w:pPr>
        <w:spacing w:line="360" w:lineRule="auto"/>
        <w:ind w:firstLine="420" w:firstLineChars="200"/>
        <w:rPr>
          <w:rFonts w:ascii="宋体" w:hAnsi="宋体"/>
          <w:color w:val="auto"/>
          <w:szCs w:val="21"/>
          <w:highlight w:val="none"/>
        </w:rPr>
      </w:pPr>
    </w:p>
    <w:p w14:paraId="7ED601BB">
      <w:pPr>
        <w:spacing w:line="360" w:lineRule="auto"/>
        <w:ind w:firstLine="420" w:firstLineChars="200"/>
        <w:rPr>
          <w:rFonts w:ascii="宋体" w:hAnsi="宋体"/>
          <w:color w:val="auto"/>
          <w:szCs w:val="21"/>
          <w:highlight w:val="none"/>
        </w:rPr>
      </w:pPr>
    </w:p>
    <w:p w14:paraId="0F4251BE">
      <w:pPr>
        <w:pStyle w:val="2"/>
        <w:spacing w:line="360" w:lineRule="auto"/>
        <w:rPr>
          <w:rFonts w:ascii="宋体" w:hAnsi="宋体"/>
          <w:color w:val="auto"/>
          <w:szCs w:val="21"/>
          <w:highlight w:val="none"/>
        </w:rPr>
      </w:pPr>
    </w:p>
    <w:p w14:paraId="545A28BE">
      <w:pPr>
        <w:spacing w:line="360" w:lineRule="auto"/>
        <w:rPr>
          <w:rFonts w:ascii="宋体" w:hAnsi="宋体"/>
          <w:color w:val="auto"/>
          <w:szCs w:val="21"/>
          <w:highlight w:val="none"/>
        </w:rPr>
      </w:pPr>
      <w:r>
        <w:rPr>
          <w:rFonts w:hint="eastAsia" w:ascii="宋体" w:hAnsi="宋体"/>
          <w:color w:val="auto"/>
          <w:szCs w:val="21"/>
          <w:highlight w:val="none"/>
        </w:rPr>
        <w:t>发包人</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olor w:val="auto"/>
          <w:szCs w:val="21"/>
          <w:highlight w:val="none"/>
        </w:rPr>
        <w:t>（发包人）</w:t>
      </w:r>
    </w:p>
    <w:p w14:paraId="3CCF728E">
      <w:pPr>
        <w:spacing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s="宋体"/>
          <w:color w:val="auto"/>
          <w:szCs w:val="21"/>
          <w:highlight w:val="none"/>
          <w:u w:val="single"/>
        </w:rPr>
        <w:t xml:space="preserve">       </w:t>
      </w:r>
    </w:p>
    <w:p w14:paraId="62B76726">
      <w:pPr>
        <w:spacing w:line="360" w:lineRule="auto"/>
        <w:rPr>
          <w:rFonts w:ascii="宋体" w:hAnsi="宋体"/>
          <w:color w:val="auto"/>
          <w:szCs w:val="21"/>
          <w:highlight w:val="none"/>
        </w:rPr>
      </w:pPr>
      <w:r>
        <w:rPr>
          <w:rFonts w:hint="eastAsia" w:ascii="宋体" w:hAnsi="宋体"/>
          <w:color w:val="auto"/>
          <w:szCs w:val="21"/>
          <w:highlight w:val="none"/>
        </w:rPr>
        <w:t>或委托代理人：</w:t>
      </w:r>
      <w:r>
        <w:rPr>
          <w:rFonts w:hint="eastAsia" w:ascii="宋体" w:hAnsi="宋体" w:cs="宋体"/>
          <w:color w:val="auto"/>
          <w:szCs w:val="21"/>
          <w:highlight w:val="none"/>
          <w:u w:val="single"/>
        </w:rPr>
        <w:t xml:space="preserve">       </w:t>
      </w:r>
    </w:p>
    <w:p w14:paraId="5DAED883">
      <w:pPr>
        <w:spacing w:line="360" w:lineRule="auto"/>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s="宋体"/>
          <w:color w:val="auto"/>
          <w:szCs w:val="21"/>
          <w:highlight w:val="none"/>
          <w:u w:val="single"/>
        </w:rPr>
        <w:t xml:space="preserve">       </w:t>
      </w:r>
    </w:p>
    <w:p w14:paraId="71E77D0E">
      <w:pPr>
        <w:spacing w:line="360" w:lineRule="auto"/>
        <w:rPr>
          <w:rFonts w:ascii="宋体" w:hAnsi="宋体"/>
          <w:color w:val="auto"/>
          <w:szCs w:val="21"/>
          <w:highlight w:val="none"/>
        </w:rPr>
      </w:pPr>
    </w:p>
    <w:p w14:paraId="03E6658F">
      <w:pPr>
        <w:spacing w:line="360" w:lineRule="auto"/>
        <w:rPr>
          <w:rFonts w:ascii="宋体" w:hAnsi="宋体"/>
          <w:color w:val="auto"/>
          <w:szCs w:val="21"/>
          <w:highlight w:val="none"/>
        </w:rPr>
      </w:pPr>
      <w:r>
        <w:rPr>
          <w:rFonts w:hint="eastAsia" w:ascii="宋体" w:hAnsi="宋体"/>
          <w:color w:val="auto"/>
          <w:szCs w:val="21"/>
          <w:highlight w:val="none"/>
        </w:rPr>
        <w:t>发包人</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olor w:val="auto"/>
          <w:szCs w:val="21"/>
          <w:highlight w:val="none"/>
        </w:rPr>
        <w:t>（发包人）</w:t>
      </w:r>
    </w:p>
    <w:p w14:paraId="3289CD28">
      <w:pPr>
        <w:spacing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s="宋体"/>
          <w:color w:val="auto"/>
          <w:szCs w:val="21"/>
          <w:highlight w:val="none"/>
          <w:u w:val="single"/>
        </w:rPr>
        <w:t xml:space="preserve">       </w:t>
      </w:r>
    </w:p>
    <w:p w14:paraId="6354E700">
      <w:pPr>
        <w:spacing w:line="360" w:lineRule="auto"/>
        <w:rPr>
          <w:rFonts w:ascii="宋体" w:hAnsi="宋体"/>
          <w:color w:val="auto"/>
          <w:szCs w:val="21"/>
          <w:highlight w:val="none"/>
        </w:rPr>
      </w:pPr>
      <w:r>
        <w:rPr>
          <w:rFonts w:hint="eastAsia" w:ascii="宋体" w:hAnsi="宋体"/>
          <w:color w:val="auto"/>
          <w:szCs w:val="21"/>
          <w:highlight w:val="none"/>
        </w:rPr>
        <w:t>或委托代理人：</w:t>
      </w:r>
      <w:r>
        <w:rPr>
          <w:rFonts w:hint="eastAsia" w:ascii="宋体" w:hAnsi="宋体" w:cs="宋体"/>
          <w:color w:val="auto"/>
          <w:szCs w:val="21"/>
          <w:highlight w:val="none"/>
          <w:u w:val="single"/>
        </w:rPr>
        <w:t xml:space="preserve">       </w:t>
      </w:r>
    </w:p>
    <w:p w14:paraId="55E4FEF3">
      <w:pPr>
        <w:spacing w:line="360" w:lineRule="auto"/>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s="宋体"/>
          <w:color w:val="auto"/>
          <w:szCs w:val="21"/>
          <w:highlight w:val="none"/>
          <w:u w:val="single"/>
        </w:rPr>
        <w:t xml:space="preserve">       </w:t>
      </w:r>
    </w:p>
    <w:p w14:paraId="5A2857FD">
      <w:pPr>
        <w:spacing w:line="360" w:lineRule="auto"/>
        <w:rPr>
          <w:rFonts w:ascii="宋体" w:hAnsi="宋体"/>
          <w:color w:val="auto"/>
          <w:szCs w:val="21"/>
          <w:highlight w:val="none"/>
        </w:rPr>
      </w:pPr>
    </w:p>
    <w:p w14:paraId="3419FA68">
      <w:pPr>
        <w:spacing w:line="360" w:lineRule="auto"/>
        <w:rPr>
          <w:rFonts w:ascii="宋体" w:hAnsi="宋体"/>
          <w:color w:val="auto"/>
          <w:szCs w:val="21"/>
          <w:highlight w:val="none"/>
        </w:rPr>
      </w:pPr>
    </w:p>
    <w:p w14:paraId="0021CD14">
      <w:pPr>
        <w:spacing w:line="360" w:lineRule="auto"/>
        <w:rPr>
          <w:rFonts w:ascii="宋体" w:hAnsi="宋体"/>
          <w:color w:val="auto"/>
          <w:szCs w:val="21"/>
          <w:highlight w:val="none"/>
        </w:rPr>
      </w:pPr>
      <w:r>
        <w:rPr>
          <w:rFonts w:hint="eastAsia" w:ascii="宋体" w:hAnsi="宋体"/>
          <w:color w:val="auto"/>
          <w:szCs w:val="21"/>
          <w:highlight w:val="none"/>
        </w:rPr>
        <w:t>承包人：</w:t>
      </w:r>
      <w:r>
        <w:rPr>
          <w:rFonts w:hint="eastAsia" w:ascii="宋体" w:hAnsi="宋体" w:cs="宋体"/>
          <w:color w:val="auto"/>
          <w:szCs w:val="21"/>
          <w:highlight w:val="none"/>
          <w:u w:val="single"/>
        </w:rPr>
        <w:t xml:space="preserve">       </w:t>
      </w:r>
      <w:r>
        <w:rPr>
          <w:rFonts w:hint="eastAsia" w:ascii="宋体" w:hAnsi="宋体"/>
          <w:color w:val="auto"/>
          <w:szCs w:val="21"/>
          <w:highlight w:val="none"/>
        </w:rPr>
        <w:t>（承包人）</w:t>
      </w:r>
    </w:p>
    <w:p w14:paraId="1289149A">
      <w:pPr>
        <w:spacing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s="宋体"/>
          <w:color w:val="auto"/>
          <w:szCs w:val="21"/>
          <w:highlight w:val="none"/>
          <w:u w:val="single"/>
        </w:rPr>
        <w:t xml:space="preserve">       </w:t>
      </w:r>
    </w:p>
    <w:p w14:paraId="721A3C1F">
      <w:pPr>
        <w:spacing w:line="360" w:lineRule="auto"/>
        <w:rPr>
          <w:rFonts w:ascii="宋体" w:hAnsi="宋体"/>
          <w:color w:val="auto"/>
          <w:szCs w:val="21"/>
          <w:highlight w:val="none"/>
        </w:rPr>
      </w:pPr>
      <w:r>
        <w:rPr>
          <w:rFonts w:hint="eastAsia" w:ascii="宋体" w:hAnsi="宋体"/>
          <w:color w:val="auto"/>
          <w:szCs w:val="21"/>
          <w:highlight w:val="none"/>
        </w:rPr>
        <w:t>或委托代理人：</w:t>
      </w:r>
      <w:r>
        <w:rPr>
          <w:rFonts w:hint="eastAsia" w:ascii="宋体" w:hAnsi="宋体" w:cs="宋体"/>
          <w:color w:val="auto"/>
          <w:szCs w:val="21"/>
          <w:highlight w:val="none"/>
          <w:u w:val="single"/>
        </w:rPr>
        <w:t xml:space="preserve">       </w:t>
      </w:r>
    </w:p>
    <w:p w14:paraId="4E6847CF">
      <w:pPr>
        <w:spacing w:line="360" w:lineRule="auto"/>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s="宋体"/>
          <w:color w:val="auto"/>
          <w:szCs w:val="21"/>
          <w:highlight w:val="none"/>
          <w:u w:val="single"/>
        </w:rPr>
        <w:t xml:space="preserve">       </w:t>
      </w:r>
    </w:p>
    <w:p w14:paraId="203C0E10">
      <w:pPr>
        <w:snapToGrid w:val="0"/>
        <w:spacing w:line="360" w:lineRule="auto"/>
        <w:ind w:firstLine="560"/>
        <w:rPr>
          <w:rFonts w:ascii="宋体" w:hAnsi="宋体"/>
          <w:color w:val="auto"/>
          <w:szCs w:val="21"/>
          <w:highlight w:val="none"/>
        </w:rPr>
      </w:pPr>
    </w:p>
    <w:p w14:paraId="7902564F">
      <w:pPr>
        <w:spacing w:line="480" w:lineRule="auto"/>
        <w:rPr>
          <w:rFonts w:ascii="宋体" w:hAnsi="宋体"/>
          <w:color w:val="auto"/>
          <w:szCs w:val="21"/>
          <w:highlight w:val="none"/>
        </w:rPr>
      </w:pPr>
      <w:r>
        <w:rPr>
          <w:rFonts w:hint="eastAsia" w:ascii="宋体" w:hAnsi="宋体"/>
          <w:color w:val="auto"/>
          <w:szCs w:val="21"/>
          <w:highlight w:val="none"/>
        </w:rPr>
        <w:br w:type="page"/>
      </w:r>
      <w:r>
        <w:rPr>
          <w:rFonts w:hint="eastAsia" w:ascii="宋体" w:hAnsi="宋体"/>
          <w:color w:val="auto"/>
          <w:szCs w:val="21"/>
          <w:highlight w:val="none"/>
        </w:rPr>
        <w:t>保障农民工工资支付协议附件1：</w:t>
      </w:r>
    </w:p>
    <w:p w14:paraId="14D7CC48">
      <w:pPr>
        <w:widowControl/>
        <w:snapToGrid w:val="0"/>
        <w:spacing w:after="100" w:afterAutospacing="1" w:line="480" w:lineRule="auto"/>
        <w:jc w:val="center"/>
        <w:rPr>
          <w:rFonts w:ascii="宋体" w:hAnsi="宋体"/>
          <w:color w:val="auto"/>
          <w:szCs w:val="21"/>
          <w:highlight w:val="none"/>
        </w:rPr>
      </w:pPr>
      <w:r>
        <w:rPr>
          <w:rFonts w:hint="eastAsia" w:ascii="宋体" w:hAnsi="宋体"/>
          <w:color w:val="auto"/>
          <w:szCs w:val="21"/>
          <w:highlight w:val="none"/>
        </w:rPr>
        <w:t>关于农民工工资发放情况的说明表</w:t>
      </w:r>
    </w:p>
    <w:tbl>
      <w:tblPr>
        <w:tblStyle w:val="17"/>
        <w:tblW w:w="8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6201"/>
      </w:tblGrid>
      <w:tr w14:paraId="57A6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7" w:type="dxa"/>
            <w:gridSpan w:val="2"/>
          </w:tcPr>
          <w:p w14:paraId="59BBE7C0">
            <w:pPr>
              <w:widowControl/>
              <w:snapToGrid w:val="0"/>
              <w:spacing w:after="100" w:afterAutospacing="1" w:line="400" w:lineRule="exact"/>
              <w:jc w:val="left"/>
              <w:rPr>
                <w:rFonts w:ascii="宋体" w:hAnsi="宋体"/>
                <w:color w:val="auto"/>
                <w:kern w:val="0"/>
                <w:szCs w:val="21"/>
                <w:highlight w:val="none"/>
              </w:rPr>
            </w:pPr>
            <w:r>
              <w:rPr>
                <w:rFonts w:hint="eastAsia" w:ascii="宋体" w:hAnsi="宋体"/>
                <w:color w:val="auto"/>
                <w:kern w:val="0"/>
                <w:szCs w:val="21"/>
                <w:highlight w:val="none"/>
              </w:rPr>
              <w:t>工程名称：</w:t>
            </w:r>
          </w:p>
        </w:tc>
      </w:tr>
      <w:tr w14:paraId="21A4E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236" w:type="dxa"/>
          </w:tcPr>
          <w:p w14:paraId="456E6B10">
            <w:pPr>
              <w:widowControl/>
              <w:snapToGrid w:val="0"/>
              <w:spacing w:after="100" w:afterAutospacing="1" w:line="400" w:lineRule="exact"/>
              <w:rPr>
                <w:rFonts w:ascii="宋体" w:hAnsi="宋体"/>
                <w:color w:val="auto"/>
                <w:kern w:val="0"/>
                <w:szCs w:val="21"/>
                <w:highlight w:val="none"/>
              </w:rPr>
            </w:pPr>
            <w:r>
              <w:rPr>
                <w:rFonts w:hint="eastAsia" w:ascii="宋体" w:hAnsi="宋体"/>
                <w:color w:val="auto"/>
                <w:kern w:val="0"/>
                <w:szCs w:val="21"/>
                <w:highlight w:val="none"/>
              </w:rPr>
              <w:t>施工单位：</w:t>
            </w:r>
          </w:p>
        </w:tc>
        <w:tc>
          <w:tcPr>
            <w:tcW w:w="6201" w:type="dxa"/>
          </w:tcPr>
          <w:p w14:paraId="2F4772B4">
            <w:pPr>
              <w:widowControl/>
              <w:snapToGrid w:val="0"/>
              <w:spacing w:after="100" w:afterAutospacing="1" w:line="400" w:lineRule="exact"/>
              <w:rPr>
                <w:rFonts w:ascii="宋体" w:hAnsi="宋体"/>
                <w:color w:val="auto"/>
                <w:kern w:val="0"/>
                <w:szCs w:val="21"/>
                <w:highlight w:val="none"/>
              </w:rPr>
            </w:pPr>
          </w:p>
        </w:tc>
      </w:tr>
      <w:tr w14:paraId="4FCA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tcPr>
          <w:p w14:paraId="7EFCB1CF">
            <w:pPr>
              <w:widowControl/>
              <w:snapToGrid w:val="0"/>
              <w:spacing w:after="100" w:afterAutospacing="1" w:line="400" w:lineRule="exact"/>
              <w:rPr>
                <w:rFonts w:ascii="宋体" w:hAnsi="宋体"/>
                <w:color w:val="auto"/>
                <w:kern w:val="0"/>
                <w:szCs w:val="21"/>
                <w:highlight w:val="none"/>
              </w:rPr>
            </w:pPr>
            <w:r>
              <w:rPr>
                <w:rFonts w:hint="eastAsia" w:ascii="宋体" w:hAnsi="宋体"/>
                <w:color w:val="auto"/>
                <w:kern w:val="0"/>
                <w:szCs w:val="21"/>
                <w:highlight w:val="none"/>
              </w:rPr>
              <w:t>监理单位：</w:t>
            </w:r>
          </w:p>
        </w:tc>
        <w:tc>
          <w:tcPr>
            <w:tcW w:w="6201" w:type="dxa"/>
          </w:tcPr>
          <w:p w14:paraId="476850C6">
            <w:pPr>
              <w:widowControl/>
              <w:snapToGrid w:val="0"/>
              <w:spacing w:after="100" w:afterAutospacing="1" w:line="400" w:lineRule="exact"/>
              <w:rPr>
                <w:rFonts w:ascii="宋体" w:hAnsi="宋体"/>
                <w:color w:val="auto"/>
                <w:kern w:val="0"/>
                <w:szCs w:val="21"/>
                <w:highlight w:val="none"/>
              </w:rPr>
            </w:pPr>
          </w:p>
        </w:tc>
      </w:tr>
      <w:tr w14:paraId="6744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5" w:hRule="atLeast"/>
          <w:jc w:val="center"/>
        </w:trPr>
        <w:tc>
          <w:tcPr>
            <w:tcW w:w="8437" w:type="dxa"/>
            <w:gridSpan w:val="2"/>
          </w:tcPr>
          <w:p w14:paraId="42760FC9">
            <w:pPr>
              <w:widowControl/>
              <w:snapToGrid w:val="0"/>
              <w:spacing w:after="100" w:afterAutospacing="1" w:line="400" w:lineRule="exact"/>
              <w:rPr>
                <w:rFonts w:ascii="宋体" w:hAnsi="宋体"/>
                <w:color w:val="auto"/>
                <w:kern w:val="0"/>
                <w:szCs w:val="21"/>
                <w:highlight w:val="none"/>
                <w:u w:val="single"/>
              </w:rPr>
            </w:pPr>
          </w:p>
          <w:p w14:paraId="4BF61349">
            <w:pPr>
              <w:widowControl/>
              <w:snapToGrid w:val="0"/>
              <w:spacing w:after="100" w:afterAutospacing="1" w:line="400" w:lineRule="exact"/>
              <w:rPr>
                <w:rFonts w:ascii="宋体" w:hAnsi="宋体"/>
                <w:color w:val="auto"/>
                <w:kern w:val="0"/>
                <w:szCs w:val="21"/>
                <w:highlight w:val="none"/>
              </w:rPr>
            </w:pPr>
            <w:r>
              <w:rPr>
                <w:rFonts w:hint="eastAsia" w:ascii="宋体" w:hAnsi="宋体"/>
                <w:color w:val="auto"/>
                <w:kern w:val="0"/>
                <w:szCs w:val="21"/>
                <w:highlight w:val="none"/>
              </w:rPr>
              <w:t>（项目业主单位名称）：</w:t>
            </w:r>
            <w:r>
              <w:rPr>
                <w:rFonts w:hint="eastAsia" w:ascii="宋体" w:hAnsi="宋体"/>
                <w:color w:val="auto"/>
                <w:kern w:val="0"/>
                <w:szCs w:val="21"/>
                <w:highlight w:val="none"/>
                <w:u w:val="single"/>
              </w:rPr>
              <w:br w:type="textWrapping"/>
            </w:r>
            <w:r>
              <w:rPr>
                <w:rFonts w:hint="eastAsia" w:ascii="宋体" w:hAnsi="宋体"/>
                <w:color w:val="auto"/>
                <w:kern w:val="0"/>
                <w:szCs w:val="21"/>
                <w:highlight w:val="none"/>
              </w:rPr>
              <w:t xml:space="preserve">    我单位负责承建的（工程名称）无拖欠农民工资的情况，贵单位先期支付我单位的工程款已优先用于支付了农民工工资，农民工工资全部按时足额进行了发放，请贵单位予以审核。</w:t>
            </w:r>
            <w:r>
              <w:rPr>
                <w:rFonts w:hint="eastAsia" w:ascii="宋体" w:hAnsi="宋体"/>
                <w:color w:val="auto"/>
                <w:kern w:val="0"/>
                <w:szCs w:val="21"/>
                <w:highlight w:val="none"/>
              </w:rPr>
              <w:br w:type="textWrapping"/>
            </w:r>
          </w:p>
          <w:p w14:paraId="4437D3C4">
            <w:pPr>
              <w:widowControl/>
              <w:snapToGrid w:val="0"/>
              <w:spacing w:after="100" w:afterAutospacing="1" w:line="400" w:lineRule="exact"/>
              <w:ind w:firstLine="1260" w:firstLineChars="600"/>
              <w:rPr>
                <w:rFonts w:ascii="宋体" w:hAnsi="宋体"/>
                <w:color w:val="auto"/>
                <w:kern w:val="0"/>
                <w:szCs w:val="21"/>
                <w:highlight w:val="none"/>
                <w:u w:val="single"/>
              </w:rPr>
            </w:pPr>
            <w:r>
              <w:rPr>
                <w:rFonts w:hint="eastAsia" w:ascii="宋体" w:hAnsi="宋体"/>
                <w:color w:val="auto"/>
                <w:kern w:val="0"/>
                <w:szCs w:val="21"/>
                <w:highlight w:val="none"/>
              </w:rPr>
              <w:t>施工单位项目负责人签名（加盖项目章）：</w:t>
            </w:r>
            <w:r>
              <w:rPr>
                <w:rFonts w:hint="eastAsia" w:ascii="宋体" w:hAnsi="宋体"/>
                <w:color w:val="auto"/>
                <w:kern w:val="0"/>
                <w:szCs w:val="21"/>
                <w:highlight w:val="none"/>
                <w:u w:val="single"/>
              </w:rPr>
              <w:t xml:space="preserve">        </w:t>
            </w:r>
          </w:p>
        </w:tc>
      </w:tr>
      <w:tr w14:paraId="7782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236" w:type="dxa"/>
            <w:vAlign w:val="center"/>
          </w:tcPr>
          <w:p w14:paraId="3C932B0B">
            <w:pPr>
              <w:widowControl/>
              <w:snapToGrid w:val="0"/>
              <w:spacing w:after="100" w:afterAutospacing="1"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监理单位意见：</w:t>
            </w:r>
          </w:p>
        </w:tc>
        <w:tc>
          <w:tcPr>
            <w:tcW w:w="6201" w:type="dxa"/>
          </w:tcPr>
          <w:p w14:paraId="582BB33D">
            <w:pPr>
              <w:widowControl/>
              <w:snapToGrid w:val="0"/>
              <w:spacing w:after="100" w:afterAutospacing="1" w:line="400" w:lineRule="exact"/>
              <w:rPr>
                <w:rFonts w:ascii="宋体" w:hAnsi="宋体"/>
                <w:color w:val="auto"/>
                <w:kern w:val="0"/>
                <w:szCs w:val="21"/>
                <w:highlight w:val="none"/>
                <w:u w:val="single"/>
              </w:rPr>
            </w:pPr>
          </w:p>
          <w:p w14:paraId="0357D213">
            <w:pPr>
              <w:widowControl/>
              <w:snapToGrid w:val="0"/>
              <w:spacing w:after="100" w:afterAutospacing="1" w:line="400" w:lineRule="exact"/>
              <w:rPr>
                <w:rFonts w:ascii="宋体" w:hAnsi="宋体"/>
                <w:color w:val="auto"/>
                <w:kern w:val="0"/>
                <w:szCs w:val="21"/>
                <w:highlight w:val="none"/>
                <w:u w:val="single"/>
              </w:rPr>
            </w:pPr>
            <w:r>
              <w:rPr>
                <w:rFonts w:hint="eastAsia" w:ascii="宋体" w:hAnsi="宋体"/>
                <w:color w:val="auto"/>
                <w:kern w:val="0"/>
                <w:szCs w:val="21"/>
                <w:highlight w:val="none"/>
              </w:rPr>
              <w:t xml:space="preserve">             总监签名并加盖项目章：</w:t>
            </w:r>
            <w:r>
              <w:rPr>
                <w:rFonts w:hint="eastAsia" w:ascii="宋体" w:hAnsi="宋体"/>
                <w:color w:val="auto"/>
                <w:kern w:val="0"/>
                <w:szCs w:val="21"/>
                <w:highlight w:val="none"/>
                <w:u w:val="single"/>
              </w:rPr>
              <w:t xml:space="preserve">        </w:t>
            </w:r>
          </w:p>
        </w:tc>
      </w:tr>
      <w:tr w14:paraId="5C70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2236" w:type="dxa"/>
            <w:vAlign w:val="center"/>
          </w:tcPr>
          <w:p w14:paraId="312C20D4">
            <w:pPr>
              <w:widowControl/>
              <w:snapToGrid w:val="0"/>
              <w:spacing w:after="100" w:afterAutospacing="1" w:line="400" w:lineRule="exact"/>
              <w:jc w:val="center"/>
              <w:rPr>
                <w:rFonts w:ascii="宋体" w:hAnsi="宋体"/>
                <w:color w:val="auto"/>
                <w:kern w:val="0"/>
                <w:szCs w:val="21"/>
                <w:highlight w:val="none"/>
              </w:rPr>
            </w:pPr>
            <w:r>
              <w:rPr>
                <w:rFonts w:hint="eastAsia" w:ascii="宋体" w:hAnsi="宋体"/>
                <w:color w:val="auto"/>
                <w:kern w:val="0"/>
                <w:szCs w:val="21"/>
                <w:highlight w:val="none"/>
              </w:rPr>
              <w:t>工程部项目负责人意见：</w:t>
            </w:r>
          </w:p>
        </w:tc>
        <w:tc>
          <w:tcPr>
            <w:tcW w:w="6201" w:type="dxa"/>
          </w:tcPr>
          <w:p w14:paraId="4DEB0000">
            <w:pPr>
              <w:widowControl/>
              <w:snapToGrid w:val="0"/>
              <w:spacing w:after="100" w:afterAutospacing="1" w:line="400" w:lineRule="exact"/>
              <w:rPr>
                <w:rFonts w:ascii="宋体" w:hAnsi="宋体"/>
                <w:color w:val="auto"/>
                <w:kern w:val="0"/>
                <w:szCs w:val="21"/>
                <w:highlight w:val="none"/>
                <w:u w:val="single"/>
              </w:rPr>
            </w:pPr>
          </w:p>
          <w:p w14:paraId="569C0309">
            <w:pPr>
              <w:widowControl/>
              <w:snapToGrid w:val="0"/>
              <w:spacing w:after="100" w:afterAutospacing="1" w:line="400" w:lineRule="exact"/>
              <w:rPr>
                <w:rFonts w:ascii="宋体" w:hAnsi="宋体"/>
                <w:color w:val="auto"/>
                <w:kern w:val="0"/>
                <w:szCs w:val="21"/>
                <w:highlight w:val="none"/>
                <w:u w:val="single"/>
              </w:rPr>
            </w:pPr>
            <w:r>
              <w:rPr>
                <w:rFonts w:hint="eastAsia" w:ascii="宋体" w:hAnsi="宋体"/>
                <w:color w:val="auto"/>
                <w:kern w:val="0"/>
                <w:szCs w:val="21"/>
                <w:highlight w:val="none"/>
              </w:rPr>
              <w:t xml:space="preserve">                   项目负责人签名：</w:t>
            </w:r>
            <w:r>
              <w:rPr>
                <w:rFonts w:hint="eastAsia" w:ascii="宋体" w:hAnsi="宋体"/>
                <w:color w:val="auto"/>
                <w:kern w:val="0"/>
                <w:szCs w:val="21"/>
                <w:highlight w:val="none"/>
                <w:u w:val="single"/>
              </w:rPr>
              <w:t xml:space="preserve">        </w:t>
            </w:r>
          </w:p>
        </w:tc>
      </w:tr>
    </w:tbl>
    <w:p w14:paraId="6018856B">
      <w:pPr>
        <w:rPr>
          <w:rFonts w:ascii="宋体" w:hAnsi="宋体"/>
          <w:color w:val="auto"/>
          <w:sz w:val="24"/>
          <w:highlight w:val="none"/>
        </w:rPr>
      </w:pPr>
      <w:r>
        <w:rPr>
          <w:rFonts w:ascii="宋体" w:hAnsi="宋体"/>
          <w:color w:val="auto"/>
          <w:sz w:val="24"/>
          <w:highlight w:val="none"/>
        </w:rPr>
        <w:br w:type="page"/>
      </w:r>
    </w:p>
    <w:p w14:paraId="549C877A">
      <w:pPr>
        <w:spacing w:line="360" w:lineRule="auto"/>
        <w:rPr>
          <w:rFonts w:ascii="宋体" w:hAnsi="宋体"/>
          <w:color w:val="auto"/>
          <w:szCs w:val="21"/>
          <w:highlight w:val="none"/>
        </w:rPr>
      </w:pPr>
      <w:r>
        <w:rPr>
          <w:rFonts w:hint="eastAsia" w:ascii="宋体" w:hAnsi="宋体"/>
          <w:color w:val="auto"/>
          <w:szCs w:val="21"/>
          <w:highlight w:val="none"/>
        </w:rPr>
        <w:t>附件11：低价风险担保保函示范文本（独立保函）（如有）</w:t>
      </w:r>
    </w:p>
    <w:p w14:paraId="6090E3CE">
      <w:pPr>
        <w:spacing w:line="360" w:lineRule="auto"/>
        <w:jc w:val="center"/>
        <w:rPr>
          <w:rFonts w:asciiTheme="minorEastAsia" w:hAnsiTheme="minorEastAsia" w:eastAsiaTheme="minorEastAsia" w:cstheme="minorEastAsia"/>
          <w:b/>
          <w:bCs/>
          <w:color w:val="auto"/>
          <w:szCs w:val="21"/>
          <w:highlight w:val="none"/>
        </w:rPr>
      </w:pPr>
    </w:p>
    <w:p w14:paraId="73DCDF62">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低价风险担保保函示范文本</w:t>
      </w:r>
    </w:p>
    <w:p w14:paraId="34DD89FF">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（独立保函）</w:t>
      </w:r>
    </w:p>
    <w:p w14:paraId="4F9ED5E3">
      <w:pPr>
        <w:wordWrap w:val="0"/>
        <w:spacing w:line="360" w:lineRule="auto"/>
        <w:jc w:val="righ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编号：           </w:t>
      </w:r>
    </w:p>
    <w:p w14:paraId="369E4E1F">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申请人：</w:t>
      </w:r>
    </w:p>
    <w:p w14:paraId="6530B99D">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地址：</w:t>
      </w:r>
    </w:p>
    <w:p w14:paraId="1EE8B943">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受益人：</w:t>
      </w:r>
    </w:p>
    <w:p w14:paraId="7FBC23D1">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地址：</w:t>
      </w:r>
    </w:p>
    <w:p w14:paraId="2D1B598F">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开立人：</w:t>
      </w:r>
    </w:p>
    <w:p w14:paraId="7294AE83">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地址：</w:t>
      </w:r>
    </w:p>
    <w:p w14:paraId="39CE3A48">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w:t>
      </w:r>
    </w:p>
    <w:p w14:paraId="6A10AC38">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（受益人名称）： </w:t>
      </w:r>
    </w:p>
    <w:p w14:paraId="5625152C">
      <w:pPr>
        <w:pStyle w:val="2"/>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鉴于</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（以下简称“申请人”）于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日参加</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（以下简称“受益人”）的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（项目名称）的投标，收到受益人于</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日签发的中标通知书，成为该项目的中标人。基于申请人的请求，我方同意就申请人履行该项目中标通知书、</w:t>
      </w:r>
      <w:r>
        <w:rPr>
          <w:rFonts w:hint="eastAsia" w:asciiTheme="minorEastAsia" w:hAnsiTheme="minorEastAsia" w:eastAsiaTheme="minorEastAsia" w:cstheme="minorEastAsia"/>
          <w:color w:val="auto"/>
          <w:szCs w:val="21"/>
          <w:highlight w:val="none"/>
          <w:lang w:eastAsia="zh-CN"/>
        </w:rPr>
        <w:t>竞争性比选文件</w:t>
      </w:r>
      <w:r>
        <w:rPr>
          <w:rFonts w:hint="eastAsia" w:asciiTheme="minorEastAsia" w:hAnsiTheme="minorEastAsia" w:eastAsiaTheme="minorEastAsia" w:cstheme="minorEastAsia"/>
          <w:color w:val="auto"/>
          <w:szCs w:val="21"/>
          <w:highlight w:val="none"/>
        </w:rPr>
        <w:t>和</w:t>
      </w:r>
      <w:r>
        <w:rPr>
          <w:rFonts w:hint="eastAsia" w:asciiTheme="minorEastAsia" w:hAnsiTheme="minorEastAsia" w:eastAsiaTheme="minorEastAsia" w:cstheme="minorEastAsia"/>
          <w:color w:val="auto"/>
          <w:szCs w:val="21"/>
          <w:highlight w:val="none"/>
          <w:lang w:eastAsia="zh-CN"/>
        </w:rPr>
        <w:t>比选申请文件</w:t>
      </w:r>
      <w:r>
        <w:rPr>
          <w:rFonts w:hint="eastAsia" w:asciiTheme="minorEastAsia" w:hAnsiTheme="minorEastAsia" w:eastAsiaTheme="minorEastAsia" w:cstheme="minorEastAsia"/>
          <w:color w:val="auto"/>
          <w:szCs w:val="21"/>
          <w:highlight w:val="none"/>
        </w:rPr>
        <w:t>约定的义务，向贵方提供不可撤销、不可转让的见索即付独立保函（以下简称“本保函”）。</w:t>
      </w:r>
    </w:p>
    <w:p w14:paraId="05F9F3F9">
      <w:pPr>
        <w:pStyle w:val="2"/>
        <w:numPr>
          <w:ilvl w:val="0"/>
          <w:numId w:val="3"/>
        </w:num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本保函担保范围：申请人未按照中标通知书、</w:t>
      </w:r>
      <w:r>
        <w:rPr>
          <w:rFonts w:hint="eastAsia" w:asciiTheme="minorEastAsia" w:hAnsiTheme="minorEastAsia" w:eastAsiaTheme="minorEastAsia" w:cstheme="minorEastAsia"/>
          <w:color w:val="auto"/>
          <w:szCs w:val="21"/>
          <w:highlight w:val="none"/>
          <w:lang w:eastAsia="zh-CN"/>
        </w:rPr>
        <w:t>竞争性比选文件</w:t>
      </w:r>
      <w:r>
        <w:rPr>
          <w:rFonts w:hint="eastAsia" w:asciiTheme="minorEastAsia" w:hAnsiTheme="minorEastAsia" w:eastAsiaTheme="minorEastAsia" w:cstheme="minorEastAsia"/>
          <w:color w:val="auto"/>
          <w:szCs w:val="21"/>
          <w:highlight w:val="none"/>
        </w:rPr>
        <w:t>和</w:t>
      </w:r>
      <w:r>
        <w:rPr>
          <w:rFonts w:hint="eastAsia" w:asciiTheme="minorEastAsia" w:hAnsiTheme="minorEastAsia" w:eastAsiaTheme="minorEastAsia" w:cstheme="minorEastAsia"/>
          <w:color w:val="auto"/>
          <w:szCs w:val="21"/>
          <w:highlight w:val="none"/>
          <w:lang w:eastAsia="zh-CN"/>
        </w:rPr>
        <w:t>比选申请文件</w:t>
      </w:r>
      <w:r>
        <w:rPr>
          <w:rFonts w:hint="eastAsia" w:asciiTheme="minorEastAsia" w:hAnsiTheme="minorEastAsia" w:eastAsiaTheme="minorEastAsia" w:cstheme="minorEastAsia"/>
          <w:color w:val="auto"/>
          <w:szCs w:val="21"/>
          <w:highlight w:val="none"/>
        </w:rPr>
        <w:t>约定签订合同或未按签订的合同约定履行相关义务，应当向贵方承担的违约责任和赔偿因此造成的损失、利息、律师费、诉讼费用等实现债权的费用。</w:t>
      </w:r>
    </w:p>
    <w:p w14:paraId="3EDFD1D5">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二、本保函担保金额最高不超过人民币（大写）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元（¥</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14:paraId="5ED04656">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三、本保函有效期自开立之日起至合同约定的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日止，最迟不超过</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日。 </w:t>
      </w:r>
    </w:p>
    <w:p w14:paraId="60F70718">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四、我方承诺，在收到受益人发来的书面付款通知后的</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工作日内无条件支付，前述书面付款通知即为付款要求之单据，且应满足以下要求：</w:t>
      </w:r>
    </w:p>
    <w:p w14:paraId="1EEBE27D">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（1）付款通知到达的日期在本保函的有效期内；</w:t>
      </w:r>
    </w:p>
    <w:p w14:paraId="3C753E7C">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（2）载明要求支付的金额；</w:t>
      </w:r>
    </w:p>
    <w:p w14:paraId="4FB725CB">
      <w:pPr>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（3）载明申请人未按照中标通知书、</w:t>
      </w:r>
      <w:r>
        <w:rPr>
          <w:rFonts w:hint="eastAsia" w:asciiTheme="minorEastAsia" w:hAnsiTheme="minorEastAsia" w:eastAsiaTheme="minorEastAsia" w:cstheme="minorEastAsia"/>
          <w:color w:val="auto"/>
          <w:szCs w:val="21"/>
          <w:highlight w:val="none"/>
          <w:lang w:eastAsia="zh-CN"/>
        </w:rPr>
        <w:t>竞争性比选文件</w:t>
      </w:r>
      <w:r>
        <w:rPr>
          <w:rFonts w:hint="eastAsia" w:asciiTheme="minorEastAsia" w:hAnsiTheme="minorEastAsia" w:eastAsiaTheme="minorEastAsia" w:cstheme="minorEastAsia"/>
          <w:color w:val="auto"/>
          <w:szCs w:val="21"/>
          <w:highlight w:val="none"/>
        </w:rPr>
        <w:t>和</w:t>
      </w:r>
      <w:r>
        <w:rPr>
          <w:rFonts w:hint="eastAsia" w:asciiTheme="minorEastAsia" w:hAnsiTheme="minorEastAsia" w:eastAsiaTheme="minorEastAsia" w:cstheme="minorEastAsia"/>
          <w:color w:val="auto"/>
          <w:szCs w:val="21"/>
          <w:highlight w:val="none"/>
          <w:lang w:eastAsia="zh-CN"/>
        </w:rPr>
        <w:t>比选申请文件</w:t>
      </w:r>
      <w:r>
        <w:rPr>
          <w:rFonts w:hint="eastAsia" w:asciiTheme="minorEastAsia" w:hAnsiTheme="minorEastAsia" w:eastAsiaTheme="minorEastAsia" w:cstheme="minorEastAsia"/>
          <w:color w:val="auto"/>
          <w:szCs w:val="21"/>
          <w:highlight w:val="none"/>
        </w:rPr>
        <w:t>约定签订合同或违反合同义务的条款和内容；</w:t>
      </w:r>
    </w:p>
    <w:p w14:paraId="3784C254">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（4）付款通知中应声明不存在</w:t>
      </w:r>
      <w:r>
        <w:rPr>
          <w:rFonts w:hint="eastAsia" w:asciiTheme="minorEastAsia" w:hAnsiTheme="minorEastAsia" w:eastAsiaTheme="minorEastAsia" w:cstheme="minorEastAsia"/>
          <w:color w:val="auto"/>
          <w:szCs w:val="21"/>
          <w:highlight w:val="none"/>
          <w:lang w:eastAsia="zh-CN"/>
        </w:rPr>
        <w:t>竞争性比选文件</w:t>
      </w:r>
      <w:r>
        <w:rPr>
          <w:rFonts w:hint="eastAsia" w:asciiTheme="minorEastAsia" w:hAnsiTheme="minorEastAsia" w:eastAsiaTheme="minorEastAsia" w:cstheme="minorEastAsia"/>
          <w:color w:val="auto"/>
          <w:szCs w:val="21"/>
          <w:highlight w:val="none"/>
        </w:rPr>
        <w:t>约定、合同文件约定或我国法律规定免除申请人或开立人支付责任的情形；</w:t>
      </w:r>
    </w:p>
    <w:p w14:paraId="72831B52">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（5）付款通知应在本保函有效期内到达的地址是：</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w:t>
      </w:r>
    </w:p>
    <w:p w14:paraId="624C6E06">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受益人发出的书面付款通知应由其为鉴明受益人法定代表人（负责人）或授权代理人签名加盖公章。</w:t>
      </w:r>
    </w:p>
    <w:p w14:paraId="0AD5AC6E">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五、本保函项下的权利不得转让，不得设定担保。贵方未经我方书面同意转让本保函或其项下任何权利，对我方不发生法律效力。 </w:t>
      </w:r>
    </w:p>
    <w:p w14:paraId="76DC13E6">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六、与本保函有关的合同不成立、不生效、无效、被撤销、被解除，不影响本保函的独立有效。 </w:t>
      </w:r>
    </w:p>
    <w:p w14:paraId="71D70D73">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七、贵方应在本保函到期后的七个工作日内将本保函正本退回我方注销，但是不论贵方是否按此要求将本保函正本退回我方，我方在本保函项下的义务和责任均在保函有效期到期后自动消灭。 </w:t>
      </w:r>
    </w:p>
    <w:p w14:paraId="138165D5">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八、本保函适用的法律为中华人民共和国法律，争议裁判管辖地为中华人民共和国</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14:paraId="21C0BABC">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九、本保函自我方法定代表人或授权代表签名并加盖公章之日起生效。 </w:t>
      </w:r>
    </w:p>
    <w:p w14:paraId="32E171C7">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开 立 人：                              （公章） </w:t>
      </w:r>
    </w:p>
    <w:p w14:paraId="7BDD8257">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法定代表人（或授权代表）：              （签名） </w:t>
      </w:r>
    </w:p>
    <w:p w14:paraId="509165E0">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地    址：                                       </w:t>
      </w:r>
    </w:p>
    <w:p w14:paraId="25F35A60">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邮政编码：                 </w:t>
      </w:r>
    </w:p>
    <w:p w14:paraId="39CF3620">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电    话：                 </w:t>
      </w:r>
    </w:p>
    <w:p w14:paraId="6B15EF49">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传    真：                 </w:t>
      </w:r>
    </w:p>
    <w:p w14:paraId="19D6082E">
      <w:pPr>
        <w:spacing w:line="360" w:lineRule="auto"/>
        <w:ind w:firstLine="420" w:firstLineChars="200"/>
        <w:rPr>
          <w:color w:val="auto"/>
          <w:highlight w:val="none"/>
        </w:rPr>
      </w:pPr>
      <w:r>
        <w:rPr>
          <w:rFonts w:hint="eastAsia" w:asciiTheme="minorEastAsia" w:hAnsiTheme="minorEastAsia" w:eastAsiaTheme="minorEastAsia" w:cstheme="minorEastAsia"/>
          <w:color w:val="auto"/>
          <w:szCs w:val="21"/>
          <w:highlight w:val="none"/>
        </w:rPr>
        <w:t>开立时间：      年      月</w:t>
      </w:r>
      <w:r>
        <w:rPr>
          <w:rFonts w:hint="eastAsia" w:asciiTheme="minorEastAsia" w:hAnsiTheme="minorEastAsia" w:eastAsiaTheme="minorEastAsia" w:cstheme="minorEastAsia"/>
          <w:color w:val="auto"/>
          <w:szCs w:val="21"/>
          <w:highlight w:val="none"/>
          <w:lang w:val="en-US" w:eastAsia="zh-CN"/>
        </w:rPr>
        <w:t xml:space="preserve">      日</w:t>
      </w:r>
    </w:p>
    <w:p w14:paraId="2E925A55">
      <w:pPr>
        <w:pStyle w:val="2"/>
        <w:rPr>
          <w:rFonts w:ascii="宋体" w:hAnsi="宋体"/>
          <w:color w:val="auto"/>
          <w:sz w:val="24"/>
          <w:highlight w:val="none"/>
        </w:rPr>
      </w:pPr>
    </w:p>
    <w:p w14:paraId="2EBE02A1">
      <w:pPr>
        <w:pStyle w:val="2"/>
        <w:rPr>
          <w:rFonts w:ascii="宋体" w:hAnsi="宋体"/>
          <w:color w:val="auto"/>
          <w:sz w:val="24"/>
          <w:highlight w:val="none"/>
        </w:rPr>
      </w:pPr>
    </w:p>
    <w:p w14:paraId="6D26EFF9">
      <w:pPr>
        <w:pStyle w:val="2"/>
        <w:rPr>
          <w:rFonts w:ascii="宋体" w:hAnsi="宋体"/>
          <w:color w:val="auto"/>
          <w:sz w:val="24"/>
          <w:highlight w:val="none"/>
        </w:rPr>
      </w:pPr>
    </w:p>
    <w:p w14:paraId="5DF27B0D">
      <w:pPr>
        <w:pStyle w:val="2"/>
        <w:rPr>
          <w:rFonts w:ascii="宋体" w:hAnsi="宋体"/>
          <w:color w:val="auto"/>
          <w:sz w:val="24"/>
          <w:highlight w:val="none"/>
        </w:rPr>
      </w:pPr>
    </w:p>
    <w:p w14:paraId="69D14A5D">
      <w:pPr>
        <w:pStyle w:val="2"/>
        <w:rPr>
          <w:rFonts w:ascii="宋体" w:hAnsi="宋体"/>
          <w:color w:val="auto"/>
          <w:sz w:val="24"/>
          <w:highlight w:val="none"/>
        </w:rPr>
      </w:pPr>
    </w:p>
    <w:p w14:paraId="3F8A0702">
      <w:pPr>
        <w:pStyle w:val="2"/>
        <w:rPr>
          <w:rFonts w:ascii="宋体" w:hAnsi="宋体"/>
          <w:color w:val="auto"/>
          <w:sz w:val="24"/>
          <w:highlight w:val="none"/>
        </w:rPr>
      </w:pPr>
    </w:p>
    <w:p w14:paraId="6C658DB2">
      <w:pPr>
        <w:pStyle w:val="2"/>
        <w:rPr>
          <w:rFonts w:ascii="宋体" w:hAnsi="宋体"/>
          <w:color w:val="auto"/>
          <w:sz w:val="24"/>
          <w:highlight w:val="none"/>
        </w:rPr>
      </w:pPr>
    </w:p>
    <w:p w14:paraId="6B70C874">
      <w:pPr>
        <w:spacing w:line="360" w:lineRule="auto"/>
        <w:jc w:val="left"/>
        <w:rPr>
          <w:rFonts w:ascii="宋体" w:hAnsi="宋体"/>
          <w:color w:val="auto"/>
          <w:sz w:val="24"/>
          <w:highlight w:val="none"/>
        </w:rPr>
      </w:pPr>
    </w:p>
    <w:bookmarkEnd w:id="676"/>
    <w:p w14:paraId="57BBEA5B">
      <w:pPr>
        <w:spacing w:line="360" w:lineRule="auto"/>
        <w:rPr>
          <w:rFonts w:ascii="宋体" w:hAnsi="宋体"/>
          <w:color w:val="auto"/>
          <w:szCs w:val="20"/>
          <w:highlight w:val="none"/>
        </w:rPr>
      </w:pPr>
    </w:p>
    <w:p w14:paraId="68351D36">
      <w:pPr>
        <w:spacing w:line="240" w:lineRule="auto"/>
        <w:rPr>
          <w:rFonts w:ascii="宋体" w:hAnsi="宋体"/>
          <w:color w:val="auto"/>
          <w:szCs w:val="20"/>
          <w:highlight w:val="none"/>
        </w:rPr>
      </w:pPr>
      <w:r>
        <w:rPr>
          <w:rFonts w:ascii="宋体" w:hAnsi="宋体"/>
          <w:color w:val="auto"/>
          <w:szCs w:val="20"/>
          <w:highlight w:val="none"/>
        </w:rPr>
        <w:br w:type="page"/>
      </w:r>
    </w:p>
    <w:p w14:paraId="4C2D743A">
      <w:pPr>
        <w:spacing w:line="360" w:lineRule="auto"/>
        <w:rPr>
          <w:rFonts w:ascii="宋体" w:hAnsi="宋体"/>
          <w:color w:val="auto"/>
          <w:szCs w:val="21"/>
          <w:highlight w:val="none"/>
        </w:rPr>
      </w:pPr>
      <w:r>
        <w:rPr>
          <w:rFonts w:hint="eastAsia" w:ascii="宋体" w:hAnsi="宋体"/>
          <w:color w:val="auto"/>
          <w:szCs w:val="20"/>
          <w:highlight w:val="none"/>
          <w:lang w:val="en-US" w:eastAsia="zh-CN"/>
        </w:rPr>
        <w:t>附件12</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质量保证金保函</w:t>
      </w:r>
      <w:r>
        <w:rPr>
          <w:rFonts w:hint="eastAsia" w:ascii="宋体" w:hAnsi="宋体"/>
          <w:color w:val="auto"/>
          <w:szCs w:val="21"/>
          <w:highlight w:val="none"/>
        </w:rPr>
        <w:t>（如有）</w:t>
      </w:r>
    </w:p>
    <w:p w14:paraId="7A13A8F4">
      <w:pPr>
        <w:keepNext w:val="0"/>
        <w:keepLines w:val="0"/>
        <w:pageBreakBefore w:val="0"/>
        <w:kinsoku/>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val="0"/>
          <w:bCs w:val="0"/>
          <w:color w:val="auto"/>
          <w:sz w:val="21"/>
          <w:szCs w:val="21"/>
          <w:highlight w:val="none"/>
        </w:rPr>
      </w:pPr>
    </w:p>
    <w:p w14:paraId="2CB4B8DF">
      <w:pPr>
        <w:keepNext w:val="0"/>
        <w:keepLines w:val="0"/>
        <w:pageBreakBefore w:val="0"/>
        <w:kinsoku/>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工程质量保函示范文本</w:t>
      </w:r>
    </w:p>
    <w:p w14:paraId="3CA4E5C9">
      <w:pPr>
        <w:keepNext w:val="0"/>
        <w:keepLines w:val="0"/>
        <w:pageBreakBefore w:val="0"/>
        <w:kinsoku/>
        <w:wordWrap w:val="0"/>
        <w:overflowPunct/>
        <w:topLinePunct w:val="0"/>
        <w:autoSpaceDE/>
        <w:autoSpaceDN/>
        <w:bidi w:val="0"/>
        <w:adjustRightInd/>
        <w:snapToGrid/>
        <w:spacing w:line="360" w:lineRule="auto"/>
        <w:ind w:right="0" w:rightChars="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662A6CA2">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申请人：</w:t>
      </w:r>
    </w:p>
    <w:p w14:paraId="46907F99">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址：</w:t>
      </w:r>
    </w:p>
    <w:p w14:paraId="34C8A5EA">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受益人：</w:t>
      </w:r>
    </w:p>
    <w:p w14:paraId="5275CAE6">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址：</w:t>
      </w:r>
    </w:p>
    <w:p w14:paraId="1514D18B">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开立人：</w:t>
      </w:r>
    </w:p>
    <w:p w14:paraId="3D5F29A7">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w:t>
      </w:r>
      <w:r>
        <w:rPr>
          <w:rFonts w:hint="eastAsia" w:asciiTheme="minorEastAsia" w:hAnsiTheme="minorEastAsia" w:eastAsiaTheme="minorEastAsia" w:cstheme="minorEastAsia"/>
          <w:color w:val="auto"/>
          <w:kern w:val="2"/>
          <w:sz w:val="21"/>
          <w:szCs w:val="21"/>
          <w:highlight w:val="none"/>
          <w:lang w:val="en-US" w:eastAsia="zh-CN"/>
        </w:rPr>
        <w:t xml:space="preserve">  </w:t>
      </w:r>
      <w:r>
        <w:rPr>
          <w:rFonts w:hint="eastAsia" w:asciiTheme="minorEastAsia" w:hAnsiTheme="minorEastAsia" w:eastAsiaTheme="minorEastAsia" w:cstheme="minorEastAsia"/>
          <w:color w:val="auto"/>
          <w:kern w:val="2"/>
          <w:sz w:val="21"/>
          <w:szCs w:val="21"/>
          <w:highlight w:val="none"/>
        </w:rPr>
        <w:t>址：</w:t>
      </w:r>
    </w:p>
    <w:p w14:paraId="5FF7D74C">
      <w:pPr>
        <w:keepNext w:val="0"/>
        <w:keepLines w:val="0"/>
        <w:pageBreakBefore w:val="0"/>
        <w:shd w:val="clear"/>
        <w:kinsoku/>
        <w:wordWrap/>
        <w:overflowPunct/>
        <w:topLinePunct w:val="0"/>
        <w:autoSpaceDE/>
        <w:autoSpaceDN/>
        <w:bidi w:val="0"/>
        <w:adjustRightInd/>
        <w:snapToGrid/>
        <w:spacing w:beforeLines="0" w:line="360" w:lineRule="auto"/>
        <w:ind w:right="0" w:rightChars="0"/>
        <w:textAlignment w:val="auto"/>
        <w:rPr>
          <w:rFonts w:hint="eastAsia" w:asciiTheme="minorEastAsia" w:hAnsiTheme="minorEastAsia" w:eastAsiaTheme="minorEastAsia" w:cstheme="minorEastAsia"/>
          <w:color w:val="auto"/>
          <w:kern w:val="2"/>
          <w:sz w:val="21"/>
          <w:szCs w:val="21"/>
          <w:highlight w:val="none"/>
        </w:rPr>
      </w:pPr>
    </w:p>
    <w:p w14:paraId="6D0BA6E3">
      <w:pPr>
        <w:keepNext w:val="0"/>
        <w:keepLines w:val="0"/>
        <w:pageBreakBefore w:val="0"/>
        <w:shd w:val="clear"/>
        <w:kinsoku/>
        <w:wordWrap/>
        <w:overflowPunct/>
        <w:topLinePunct w:val="0"/>
        <w:autoSpaceDE/>
        <w:autoSpaceDN/>
        <w:bidi w:val="0"/>
        <w:adjustRightInd/>
        <w:snapToGrid/>
        <w:spacing w:beforeLines="0" w:line="360" w:lineRule="auto"/>
        <w:ind w:right="0" w:rightChars="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 xml:space="preserve">（受益人名称）： </w:t>
      </w:r>
    </w:p>
    <w:p w14:paraId="0AE963C2">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鉴于</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（以下简称“受益人”）与</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（以下简称“申请人”）于</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年</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月</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日就</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工程（以下简称“本工程”）施工和有关事项协商一致共同签订</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（合同名称）合同编号</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我方（即“开立人”）根据上述合同了解到申请人为合同项下之承包人，受益人为合同项下之发包人，基于申请人的请求，我方同意就申请人履行与贵方签订的合同项下的义务，向贵方提供不可撤销、不可转让的见索即付保函（以下简称“本保函”）。</w:t>
      </w:r>
    </w:p>
    <w:p w14:paraId="035021D5">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一、本保函担保范围：承包人未按照合同约定履行工程缺陷责任期内的保修义务，应当向贵方承担的违约责任和赔偿因此造成的损失、利息、律师费、诉讼费用等实现债权的费用。</w:t>
      </w:r>
    </w:p>
    <w:p w14:paraId="466B8092">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二、本保函担保金额最高不超过人民币（大写）</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元（¥</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p>
    <w:p w14:paraId="13E8B372">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三、本保函有效期（保证期间）为以下第</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种：</w:t>
      </w:r>
    </w:p>
    <w:p w14:paraId="08368436">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lang w:val="en-US" w:eastAsia="zh-CN"/>
        </w:rPr>
        <w:t>1</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rPr>
        <w:t>本保函有效期至</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年</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月</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日。</w:t>
      </w:r>
    </w:p>
    <w:p w14:paraId="0F296082">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lang w:val="en-US" w:eastAsia="zh-CN"/>
        </w:rPr>
        <w:t>2</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p>
    <w:p w14:paraId="3468CAA2">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四、我方承诺，在收到受益人发来的书面索赔通知和本保函原件后的</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none"/>
          <w:lang w:eastAsia="zh-CN"/>
        </w:rPr>
        <w:t>个工作</w:t>
      </w:r>
      <w:r>
        <w:rPr>
          <w:rFonts w:hint="eastAsia" w:asciiTheme="minorEastAsia" w:hAnsiTheme="minorEastAsia" w:eastAsiaTheme="minorEastAsia" w:cstheme="minorEastAsia"/>
          <w:color w:val="auto"/>
          <w:kern w:val="2"/>
          <w:sz w:val="21"/>
          <w:szCs w:val="21"/>
          <w:highlight w:val="none"/>
        </w:rPr>
        <w:t>日内无条件支付至受益人指定账户，前述书面索赔通知即为付款要求之单据，且应满足以下要求：</w:t>
      </w:r>
    </w:p>
    <w:p w14:paraId="57F6DD59">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（1）索赔通知到达的日期在本保函的有效期内；</w:t>
      </w:r>
    </w:p>
    <w:p w14:paraId="10A3DFC0">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（2）载明要求支付的金额；</w:t>
      </w:r>
    </w:p>
    <w:p w14:paraId="227D072E">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（3）载明申请人违反合同义务的条款和内容；</w:t>
      </w:r>
    </w:p>
    <w:p w14:paraId="10FC73FE">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（4）声明不存在合同文件约定或我国法律规定免除申请人或开立人支付责任的情形；</w:t>
      </w:r>
    </w:p>
    <w:p w14:paraId="5727DE32">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（5）索赔通知应在本保函有效期内到达的地址是：</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p>
    <w:p w14:paraId="7482865F">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受益人发出的书面索赔通知应由其为鉴明受益人法定代表人（负责人）或授权代理人签名或盖个人名章并加盖公章。</w:t>
      </w:r>
    </w:p>
    <w:p w14:paraId="78F12D20">
      <w:pPr>
        <w:keepNext w:val="0"/>
        <w:keepLines w:val="0"/>
        <w:pageBreakBefore w:val="0"/>
        <w:shd w:val="clear"/>
        <w:kinsoku/>
        <w:wordWrap/>
        <w:overflowPunct w:val="0"/>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五、本保函项下的权利不得转让，不得设定担保。贵方未经我方书面同意转让本保函或其项下任何权利，对我方不发生法律效力。</w:t>
      </w:r>
    </w:p>
    <w:p w14:paraId="439AFC8C">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 xml:space="preserve">六、与本保函有关的合同不成立、不生效、无效、被撤销、被解除，不影响本保函的独立有效。 </w:t>
      </w:r>
    </w:p>
    <w:p w14:paraId="255AF121">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七、贵方应在本保函到期后的</w:t>
      </w:r>
      <w:r>
        <w:rPr>
          <w:rFonts w:hint="eastAsia" w:asciiTheme="minorEastAsia" w:hAnsiTheme="minorEastAsia" w:eastAsiaTheme="minorEastAsia" w:cstheme="minorEastAsia"/>
          <w:color w:val="auto"/>
          <w:kern w:val="2"/>
          <w:sz w:val="21"/>
          <w:szCs w:val="21"/>
          <w:highlight w:val="none"/>
          <w:lang w:eastAsia="zh-CN"/>
        </w:rPr>
        <w:t>七个工作</w:t>
      </w:r>
      <w:r>
        <w:rPr>
          <w:rFonts w:hint="eastAsia" w:asciiTheme="minorEastAsia" w:hAnsiTheme="minorEastAsia" w:eastAsiaTheme="minorEastAsia" w:cstheme="minorEastAsia"/>
          <w:color w:val="auto"/>
          <w:kern w:val="2"/>
          <w:sz w:val="21"/>
          <w:szCs w:val="21"/>
          <w:highlight w:val="none"/>
        </w:rPr>
        <w:t>日内将本保函正本退回我方注销，但是不论贵方是否按此要求将本保函正本退回我方，我方在本保函项下的义务和责任均在保函有效期到期后自动消灭。</w:t>
      </w:r>
    </w:p>
    <w:p w14:paraId="122E1565">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八、本保函适用的法律为中华人民共和国法律，争议裁判管辖地为中华人民共和国</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p>
    <w:p w14:paraId="45C36A47">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九、本保函自我方法定代表人或授权代表</w:t>
      </w:r>
      <w:r>
        <w:rPr>
          <w:rFonts w:hint="eastAsia" w:asciiTheme="minorEastAsia" w:hAnsiTheme="minorEastAsia" w:eastAsiaTheme="minorEastAsia" w:cstheme="minorEastAsia"/>
          <w:color w:val="auto"/>
          <w:kern w:val="2"/>
          <w:sz w:val="21"/>
          <w:szCs w:val="21"/>
          <w:highlight w:val="none"/>
          <w:lang w:eastAsia="zh-CN"/>
        </w:rPr>
        <w:t>签名</w:t>
      </w:r>
      <w:r>
        <w:rPr>
          <w:rFonts w:hint="eastAsia" w:asciiTheme="minorEastAsia" w:hAnsiTheme="minorEastAsia" w:eastAsiaTheme="minorEastAsia" w:cstheme="minorEastAsia"/>
          <w:color w:val="auto"/>
          <w:kern w:val="2"/>
          <w:sz w:val="21"/>
          <w:szCs w:val="21"/>
          <w:highlight w:val="none"/>
        </w:rPr>
        <w:t>或盖个人名章并加盖公章或合同专用章之日起生效。</w:t>
      </w:r>
    </w:p>
    <w:p w14:paraId="67582C96">
      <w:pPr>
        <w:keepNext w:val="0"/>
        <w:keepLines w:val="0"/>
        <w:pageBreakBefore w:val="0"/>
        <w:widowControl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u w:val="none"/>
        </w:rPr>
      </w:pPr>
      <w:r>
        <w:rPr>
          <w:rFonts w:hint="eastAsia" w:asciiTheme="minorEastAsia" w:hAnsiTheme="minorEastAsia" w:eastAsiaTheme="minorEastAsia" w:cstheme="minorEastAsia"/>
          <w:color w:val="auto"/>
          <w:kern w:val="2"/>
          <w:sz w:val="21"/>
          <w:szCs w:val="21"/>
          <w:highlight w:val="none"/>
          <w:lang w:val="en-US" w:eastAsia="zh-CN"/>
        </w:rPr>
        <w:t>十、</w:t>
      </w:r>
      <w:r>
        <w:rPr>
          <w:rFonts w:hint="eastAsia" w:asciiTheme="minorEastAsia" w:hAnsiTheme="minorEastAsia" w:eastAsiaTheme="minorEastAsia" w:cstheme="minorEastAsia"/>
          <w:color w:val="auto"/>
          <w:kern w:val="2"/>
          <w:sz w:val="21"/>
          <w:szCs w:val="21"/>
          <w:highlight w:val="none"/>
          <w:lang w:eastAsia="zh-CN"/>
        </w:rPr>
        <w:t>本保函在重庆市辖区范围内的核验地点：</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none"/>
          <w:lang w:eastAsia="zh-CN"/>
        </w:rPr>
        <w:t>；核验方式：</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none"/>
          <w:lang w:val="en-US" w:eastAsia="zh-CN"/>
        </w:rPr>
        <w:t>。</w:t>
      </w:r>
    </w:p>
    <w:p w14:paraId="2C52EF76">
      <w:pPr>
        <w:keepNext w:val="0"/>
        <w:keepLines w:val="0"/>
        <w:pageBreakBefore w:val="0"/>
        <w:widowControl w:val="0"/>
        <w:shd w:val="clear"/>
        <w:kinsoku/>
        <w:wordWrap/>
        <w:topLinePunct w:val="0"/>
        <w:autoSpaceDE/>
        <w:autoSpaceDN/>
        <w:bidi w:val="0"/>
        <w:snapToGrid/>
        <w:spacing w:beforeLines="0" w:after="0" w:line="360" w:lineRule="auto"/>
        <w:ind w:firstLine="420" w:firstLineChars="200"/>
        <w:jc w:val="both"/>
        <w:rPr>
          <w:rFonts w:hint="eastAsia" w:asciiTheme="minorEastAsia" w:hAnsiTheme="minorEastAsia" w:eastAsiaTheme="minorEastAsia" w:cstheme="minorEastAsia"/>
          <w:color w:val="auto"/>
          <w:kern w:val="2"/>
          <w:sz w:val="21"/>
          <w:szCs w:val="21"/>
          <w:highlight w:val="none"/>
          <w:lang w:val="en-US" w:eastAsia="zh-CN" w:bidi="ar-SA"/>
        </w:rPr>
      </w:pPr>
    </w:p>
    <w:p w14:paraId="421C1C99">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 xml:space="preserve">开 立 人：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（公章）</w:t>
      </w:r>
    </w:p>
    <w:p w14:paraId="328368E8">
      <w:pPr>
        <w:keepNext w:val="0"/>
        <w:keepLines w:val="0"/>
        <w:pageBreakBefore w:val="0"/>
        <w:shd w:val="clear"/>
        <w:kinsoku/>
        <w:wordWrap/>
        <w:overflowPunct/>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法定代表人（或授权代表）：</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rPr>
        <w:t>（</w:t>
      </w:r>
      <w:r>
        <w:rPr>
          <w:rFonts w:hint="eastAsia" w:asciiTheme="minorEastAsia" w:hAnsiTheme="minorEastAsia" w:eastAsiaTheme="minorEastAsia" w:cstheme="minorEastAsia"/>
          <w:color w:val="auto"/>
          <w:kern w:val="2"/>
          <w:sz w:val="21"/>
          <w:szCs w:val="21"/>
          <w:highlight w:val="none"/>
          <w:lang w:eastAsia="zh-CN"/>
        </w:rPr>
        <w:t>签名或盖个人名章</w:t>
      </w:r>
      <w:r>
        <w:rPr>
          <w:rFonts w:hint="eastAsia" w:asciiTheme="minorEastAsia" w:hAnsiTheme="minorEastAsia" w:eastAsiaTheme="minorEastAsia" w:cstheme="minorEastAsia"/>
          <w:color w:val="auto"/>
          <w:kern w:val="2"/>
          <w:sz w:val="21"/>
          <w:szCs w:val="21"/>
          <w:highlight w:val="none"/>
        </w:rPr>
        <w:t>）</w:t>
      </w:r>
    </w:p>
    <w:p w14:paraId="7A84CD2E">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地    址：</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w:t>
      </w:r>
    </w:p>
    <w:p w14:paraId="141EF111">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邮政编码：</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w:t>
      </w:r>
    </w:p>
    <w:p w14:paraId="55B16060">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电    话：</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w:t>
      </w:r>
    </w:p>
    <w:p w14:paraId="2514DB5F">
      <w:pPr>
        <w:keepNext w:val="0"/>
        <w:keepLines w:val="0"/>
        <w:pageBreakBefore w:val="0"/>
        <w:widowControl w:val="0"/>
        <w:shd w:val="clear"/>
        <w:kinsoku/>
        <w:wordWrap/>
        <w:overflowPunct w:val="0"/>
        <w:topLinePunct w:val="0"/>
        <w:autoSpaceDE/>
        <w:autoSpaceDN/>
        <w:bidi w:val="0"/>
        <w:adjustRightInd/>
        <w:snapToGrid/>
        <w:spacing w:beforeLines="0" w:line="360" w:lineRule="auto"/>
        <w:ind w:right="0" w:rightChars="0" w:firstLine="420" w:firstLineChars="200"/>
        <w:textAlignment w:val="auto"/>
        <w:outlineLvl w:val="9"/>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传    真：</w:t>
      </w:r>
      <w:r>
        <w:rPr>
          <w:rFonts w:hint="eastAsia" w:asciiTheme="minorEastAsia" w:hAnsiTheme="minorEastAsia" w:eastAsiaTheme="minorEastAsia" w:cstheme="minorEastAsia"/>
          <w:color w:val="auto"/>
          <w:kern w:val="2"/>
          <w:sz w:val="21"/>
          <w:szCs w:val="21"/>
          <w:highlight w:val="none"/>
          <w:u w:val="single"/>
        </w:rPr>
        <w:t xml:space="preserve">                                </w:t>
      </w:r>
      <w:r>
        <w:rPr>
          <w:rFonts w:hint="eastAsia" w:asciiTheme="minorEastAsia" w:hAnsiTheme="minorEastAsia" w:eastAsiaTheme="minorEastAsia" w:cstheme="minorEastAsia"/>
          <w:color w:val="auto"/>
          <w:kern w:val="2"/>
          <w:sz w:val="21"/>
          <w:szCs w:val="21"/>
          <w:highlight w:val="none"/>
          <w:u w:val="single"/>
          <w:lang w:val="en-US" w:eastAsia="zh-CN"/>
        </w:rPr>
        <w:t xml:space="preserve">          </w:t>
      </w:r>
      <w:r>
        <w:rPr>
          <w:rFonts w:hint="eastAsia" w:asciiTheme="minorEastAsia" w:hAnsiTheme="minorEastAsia" w:eastAsiaTheme="minorEastAsia" w:cstheme="minorEastAsia"/>
          <w:color w:val="auto"/>
          <w:kern w:val="2"/>
          <w:sz w:val="21"/>
          <w:szCs w:val="21"/>
          <w:highlight w:val="none"/>
        </w:rPr>
        <w:t xml:space="preserve"> </w:t>
      </w:r>
    </w:p>
    <w:p w14:paraId="34718397">
      <w:pPr>
        <w:bidi w:val="0"/>
        <w:jc w:val="right"/>
        <w:rPr>
          <w:rFonts w:hint="eastAsia"/>
          <w:highlight w:val="none"/>
        </w:rPr>
      </w:pPr>
      <w:r>
        <w:rPr>
          <w:rFonts w:hint="eastAsia"/>
          <w:highlight w:val="none"/>
        </w:rPr>
        <w:t>开立时间：    年    月    日</w:t>
      </w:r>
    </w:p>
    <w:p w14:paraId="6F161B93">
      <w:pPr>
        <w:pStyle w:val="3"/>
        <w:spacing w:before="0" w:after="0" w:line="360" w:lineRule="auto"/>
        <w:jc w:val="center"/>
        <w:rPr>
          <w:rFonts w:hint="eastAsia" w:ascii="宋体" w:hAnsi="宋体" w:eastAsia="宋体" w:cs="宋体"/>
          <w:color w:val="auto"/>
          <w:sz w:val="21"/>
          <w:szCs w:val="21"/>
          <w:highlight w:val="none"/>
        </w:rPr>
      </w:pPr>
    </w:p>
    <w:p w14:paraId="6EAA4A4A">
      <w:pPr>
        <w:pStyle w:val="3"/>
        <w:spacing w:before="0" w:after="0" w:line="360" w:lineRule="auto"/>
        <w:jc w:val="center"/>
        <w:rPr>
          <w:rFonts w:hint="eastAsia" w:ascii="宋体" w:hAnsi="宋体" w:eastAsia="宋体" w:cs="宋体"/>
          <w:color w:val="auto"/>
          <w:sz w:val="21"/>
          <w:szCs w:val="21"/>
          <w:highlight w:val="none"/>
        </w:rPr>
      </w:pPr>
    </w:p>
    <w:p w14:paraId="4EE08DD8">
      <w:pPr>
        <w:pStyle w:val="3"/>
        <w:spacing w:before="0" w:after="0" w:line="360" w:lineRule="auto"/>
        <w:jc w:val="center"/>
        <w:rPr>
          <w:rFonts w:hint="eastAsia" w:ascii="宋体" w:hAnsi="宋体" w:eastAsia="宋体" w:cs="宋体"/>
          <w:color w:val="auto"/>
          <w:sz w:val="21"/>
          <w:szCs w:val="21"/>
          <w:highlight w:val="none"/>
        </w:rPr>
      </w:pPr>
    </w:p>
    <w:p w14:paraId="11832295">
      <w:pPr>
        <w:pStyle w:val="3"/>
        <w:spacing w:before="0" w:after="0" w:line="360" w:lineRule="auto"/>
        <w:jc w:val="center"/>
        <w:rPr>
          <w:rFonts w:hint="eastAsia" w:ascii="宋体" w:hAnsi="宋体" w:eastAsia="宋体" w:cs="宋体"/>
          <w:color w:val="auto"/>
          <w:sz w:val="21"/>
          <w:szCs w:val="21"/>
          <w:highlight w:val="none"/>
        </w:rPr>
      </w:pPr>
    </w:p>
    <w:p w14:paraId="614A673A">
      <w:pPr>
        <w:pStyle w:val="3"/>
        <w:spacing w:before="0" w:after="0" w:line="360" w:lineRule="auto"/>
        <w:jc w:val="center"/>
        <w:rPr>
          <w:rFonts w:hint="eastAsia" w:ascii="宋体" w:hAnsi="宋体" w:eastAsia="宋体" w:cs="宋体"/>
          <w:color w:val="auto"/>
          <w:sz w:val="21"/>
          <w:szCs w:val="21"/>
          <w:highlight w:val="none"/>
        </w:rPr>
      </w:pPr>
    </w:p>
    <w:p w14:paraId="09EA2D9C">
      <w:pPr>
        <w:pStyle w:val="3"/>
        <w:spacing w:before="0" w:after="0" w:line="360" w:lineRule="auto"/>
        <w:jc w:val="center"/>
        <w:rPr>
          <w:rFonts w:hint="eastAsia" w:ascii="宋体" w:hAnsi="宋体" w:eastAsia="宋体" w:cs="宋体"/>
          <w:color w:val="auto"/>
          <w:sz w:val="21"/>
          <w:szCs w:val="21"/>
          <w:highlight w:val="none"/>
        </w:rPr>
      </w:pPr>
    </w:p>
    <w:p w14:paraId="32CC1B90">
      <w:pPr>
        <w:pStyle w:val="3"/>
        <w:spacing w:before="0" w:after="0" w:line="360" w:lineRule="auto"/>
        <w:jc w:val="center"/>
        <w:rPr>
          <w:rFonts w:hint="eastAsia" w:ascii="宋体" w:hAnsi="宋体" w:eastAsia="宋体" w:cs="宋体"/>
          <w:color w:val="auto"/>
          <w:sz w:val="21"/>
          <w:szCs w:val="21"/>
          <w:highlight w:val="none"/>
        </w:rPr>
      </w:pPr>
    </w:p>
    <w:p w14:paraId="6F8C4FBC">
      <w:pPr>
        <w:rPr>
          <w:rFonts w:hint="eastAsia" w:ascii="宋体" w:hAnsi="宋体" w:eastAsia="宋体" w:cs="宋体"/>
          <w:color w:val="auto"/>
          <w:sz w:val="21"/>
          <w:szCs w:val="21"/>
          <w:highlight w:val="none"/>
        </w:rPr>
      </w:pPr>
    </w:p>
    <w:p w14:paraId="0587721C">
      <w:pPr>
        <w:rPr>
          <w:rFonts w:hint="eastAsia" w:ascii="宋体" w:hAnsi="宋体" w:eastAsia="宋体" w:cs="宋体"/>
          <w:color w:val="auto"/>
          <w:sz w:val="21"/>
          <w:szCs w:val="21"/>
          <w:highlight w:val="none"/>
        </w:rPr>
      </w:pPr>
    </w:p>
    <w:p w14:paraId="73A844B1">
      <w:pPr>
        <w:rPr>
          <w:rFonts w:hint="eastAsia" w:ascii="宋体" w:hAnsi="宋体" w:eastAsia="宋体" w:cs="宋体"/>
          <w:color w:val="auto"/>
          <w:sz w:val="21"/>
          <w:szCs w:val="21"/>
          <w:highlight w:val="none"/>
        </w:rPr>
      </w:pPr>
    </w:p>
    <w:p w14:paraId="1AAE575D">
      <w:pPr>
        <w:rPr>
          <w:rFonts w:hint="eastAsia" w:ascii="宋体" w:hAnsi="宋体" w:eastAsia="宋体" w:cs="宋体"/>
          <w:color w:val="auto"/>
          <w:sz w:val="21"/>
          <w:szCs w:val="21"/>
          <w:highlight w:val="none"/>
        </w:rPr>
      </w:pPr>
    </w:p>
    <w:p w14:paraId="2C0EC64D">
      <w:pPr>
        <w:rPr>
          <w:rFonts w:hint="eastAsia" w:ascii="宋体" w:hAnsi="宋体" w:eastAsia="宋体" w:cs="宋体"/>
          <w:color w:val="auto"/>
          <w:sz w:val="21"/>
          <w:szCs w:val="21"/>
          <w:highlight w:val="none"/>
        </w:rPr>
      </w:pPr>
    </w:p>
    <w:p w14:paraId="26A3F59B">
      <w:pPr>
        <w:rPr>
          <w:rFonts w:hint="eastAsia" w:ascii="宋体" w:hAnsi="宋体" w:eastAsia="宋体" w:cs="宋体"/>
          <w:color w:val="auto"/>
          <w:sz w:val="21"/>
          <w:szCs w:val="21"/>
          <w:highlight w:val="none"/>
        </w:rPr>
      </w:pPr>
    </w:p>
    <w:p w14:paraId="1D995C54">
      <w:pPr>
        <w:rPr>
          <w:rFonts w:hint="eastAsia" w:ascii="宋体" w:hAnsi="宋体" w:eastAsia="宋体" w:cs="宋体"/>
          <w:color w:val="auto"/>
          <w:sz w:val="21"/>
          <w:szCs w:val="21"/>
          <w:highlight w:val="none"/>
        </w:rPr>
      </w:pPr>
    </w:p>
    <w:p w14:paraId="4C706078">
      <w:pPr>
        <w:rPr>
          <w:rFonts w:hint="eastAsia" w:ascii="宋体" w:hAnsi="宋体" w:eastAsia="宋体" w:cs="宋体"/>
          <w:color w:val="auto"/>
          <w:sz w:val="21"/>
          <w:szCs w:val="21"/>
          <w:highlight w:val="none"/>
        </w:rPr>
      </w:pPr>
    </w:p>
    <w:p w14:paraId="6B7C4C86">
      <w:pPr>
        <w:rPr>
          <w:rFonts w:hint="eastAsia" w:ascii="宋体" w:hAnsi="宋体" w:eastAsia="宋体" w:cs="宋体"/>
          <w:color w:val="auto"/>
          <w:sz w:val="21"/>
          <w:szCs w:val="21"/>
          <w:highlight w:val="none"/>
        </w:rPr>
      </w:pPr>
    </w:p>
    <w:p w14:paraId="20CE6FCA">
      <w:pPr>
        <w:rPr>
          <w:rFonts w:hint="eastAsia" w:ascii="宋体" w:hAnsi="宋体" w:eastAsia="宋体" w:cs="宋体"/>
          <w:color w:val="auto"/>
          <w:sz w:val="21"/>
          <w:szCs w:val="21"/>
          <w:highlight w:val="none"/>
        </w:rPr>
      </w:pPr>
    </w:p>
    <w:p w14:paraId="3F307336">
      <w:pPr>
        <w:rPr>
          <w:rFonts w:hint="eastAsia" w:ascii="宋体" w:hAnsi="宋体" w:eastAsia="宋体" w:cs="宋体"/>
          <w:color w:val="auto"/>
          <w:sz w:val="21"/>
          <w:szCs w:val="21"/>
          <w:highlight w:val="none"/>
        </w:rPr>
      </w:pPr>
    </w:p>
    <w:p w14:paraId="55BFAB97">
      <w:pPr>
        <w:rPr>
          <w:rFonts w:hint="eastAsia" w:ascii="宋体" w:hAnsi="宋体" w:eastAsia="宋体" w:cs="宋体"/>
          <w:color w:val="auto"/>
          <w:sz w:val="21"/>
          <w:szCs w:val="21"/>
          <w:highlight w:val="none"/>
        </w:rPr>
      </w:pPr>
    </w:p>
    <w:p w14:paraId="222A3711">
      <w:pPr>
        <w:rPr>
          <w:rFonts w:hint="eastAsia" w:ascii="宋体" w:hAnsi="宋体" w:eastAsia="宋体" w:cs="宋体"/>
          <w:color w:val="auto"/>
          <w:sz w:val="21"/>
          <w:szCs w:val="21"/>
          <w:highlight w:val="none"/>
        </w:rPr>
      </w:pPr>
    </w:p>
    <w:p w14:paraId="244AACD1">
      <w:pPr>
        <w:rPr>
          <w:rFonts w:hint="eastAsia" w:ascii="宋体" w:hAnsi="宋体" w:eastAsia="宋体" w:cs="宋体"/>
          <w:color w:val="auto"/>
          <w:sz w:val="21"/>
          <w:szCs w:val="21"/>
          <w:highlight w:val="none"/>
        </w:rPr>
      </w:pPr>
    </w:p>
    <w:p w14:paraId="5D5D41E4">
      <w:pPr>
        <w:rPr>
          <w:rFonts w:hint="eastAsia" w:ascii="宋体" w:hAnsi="宋体" w:eastAsia="宋体" w:cs="宋体"/>
          <w:color w:val="auto"/>
          <w:sz w:val="21"/>
          <w:szCs w:val="21"/>
          <w:highlight w:val="none"/>
        </w:rPr>
      </w:pPr>
    </w:p>
    <w:p w14:paraId="2AE7260F">
      <w:pPr>
        <w:rPr>
          <w:rFonts w:hint="eastAsia" w:ascii="宋体" w:hAnsi="宋体" w:eastAsia="宋体" w:cs="宋体"/>
          <w:color w:val="auto"/>
          <w:sz w:val="21"/>
          <w:szCs w:val="21"/>
          <w:highlight w:val="none"/>
        </w:rPr>
      </w:pPr>
    </w:p>
    <w:p w14:paraId="160046E9">
      <w:pPr>
        <w:rPr>
          <w:rFonts w:hint="eastAsia" w:ascii="宋体" w:hAnsi="宋体" w:eastAsia="宋体" w:cs="宋体"/>
          <w:color w:val="auto"/>
          <w:sz w:val="21"/>
          <w:szCs w:val="21"/>
          <w:highlight w:val="none"/>
        </w:rPr>
      </w:pPr>
    </w:p>
    <w:p w14:paraId="7E8596BB">
      <w:pPr>
        <w:rPr>
          <w:rFonts w:hint="eastAsia" w:ascii="宋体" w:hAnsi="宋体" w:eastAsia="宋体" w:cs="宋体"/>
          <w:color w:val="auto"/>
          <w:sz w:val="21"/>
          <w:szCs w:val="21"/>
          <w:highlight w:val="none"/>
        </w:rPr>
      </w:pPr>
    </w:p>
    <w:p w14:paraId="7E4ABD81">
      <w:pPr>
        <w:pStyle w:val="3"/>
        <w:spacing w:before="0" w:after="0" w:line="360" w:lineRule="auto"/>
        <w:jc w:val="center"/>
        <w:rPr>
          <w:rFonts w:ascii="宋体" w:hAnsi="宋体"/>
          <w:sz w:val="52"/>
          <w:szCs w:val="52"/>
          <w:highlight w:val="none"/>
        </w:rPr>
      </w:pPr>
    </w:p>
    <w:p w14:paraId="34ADC88A">
      <w:pPr>
        <w:pStyle w:val="3"/>
        <w:spacing w:before="0" w:after="0" w:line="360" w:lineRule="auto"/>
        <w:jc w:val="center"/>
        <w:rPr>
          <w:rFonts w:ascii="宋体" w:hAnsi="宋体"/>
          <w:sz w:val="52"/>
          <w:szCs w:val="52"/>
          <w:highlight w:val="none"/>
        </w:rPr>
      </w:pPr>
    </w:p>
    <w:p w14:paraId="2E334B59">
      <w:pPr>
        <w:pStyle w:val="3"/>
        <w:spacing w:before="0" w:after="0" w:line="360" w:lineRule="auto"/>
        <w:jc w:val="center"/>
        <w:rPr>
          <w:rFonts w:ascii="宋体" w:hAnsi="宋体"/>
          <w:sz w:val="52"/>
          <w:szCs w:val="52"/>
          <w:highlight w:val="none"/>
        </w:rPr>
      </w:pPr>
      <w:bookmarkStart w:id="2165" w:name="_Toc8487"/>
      <w:r>
        <w:rPr>
          <w:rFonts w:ascii="宋体" w:hAnsi="宋体"/>
          <w:sz w:val="52"/>
          <w:szCs w:val="52"/>
          <w:highlight w:val="none"/>
        </w:rPr>
        <w:t>第 二 卷</w:t>
      </w:r>
      <w:bookmarkEnd w:id="673"/>
      <w:bookmarkEnd w:id="674"/>
      <w:bookmarkEnd w:id="675"/>
      <w:bookmarkEnd w:id="2165"/>
    </w:p>
    <w:p w14:paraId="059D72D0">
      <w:pPr>
        <w:spacing w:line="360" w:lineRule="auto"/>
        <w:rPr>
          <w:rFonts w:ascii="宋体" w:hAnsi="宋体"/>
          <w:szCs w:val="20"/>
          <w:highlight w:val="none"/>
        </w:rPr>
      </w:pPr>
      <w:r>
        <w:rPr>
          <w:rFonts w:ascii="宋体" w:hAnsi="宋体"/>
          <w:szCs w:val="20"/>
          <w:highlight w:val="none"/>
        </w:rPr>
        <w:br w:type="page"/>
      </w:r>
    </w:p>
    <w:p w14:paraId="7EC2404B">
      <w:pPr>
        <w:pStyle w:val="3"/>
        <w:spacing w:line="360" w:lineRule="auto"/>
        <w:jc w:val="center"/>
        <w:rPr>
          <w:rFonts w:ascii="宋体" w:hAnsi="宋体"/>
          <w:highlight w:val="none"/>
        </w:rPr>
      </w:pPr>
      <w:bookmarkStart w:id="2166" w:name="招标文件06章图纸"/>
      <w:bookmarkEnd w:id="2166"/>
      <w:bookmarkStart w:id="2167" w:name="_Toc27908"/>
      <w:bookmarkStart w:id="2168" w:name="_Toc430530519"/>
      <w:bookmarkStart w:id="2169" w:name="_Toc287620803"/>
      <w:bookmarkStart w:id="2170" w:name="_Toc287607861"/>
      <w:bookmarkStart w:id="2171" w:name="_Toc509218846"/>
      <w:bookmarkStart w:id="2172" w:name="_Toc534185825"/>
      <w:bookmarkStart w:id="2173" w:name="_Toc4170"/>
      <w:r>
        <w:rPr>
          <w:rFonts w:hint="eastAsia" w:ascii="宋体" w:hAnsi="宋体"/>
          <w:highlight w:val="none"/>
        </w:rPr>
        <w:t>第六章  图纸</w:t>
      </w:r>
      <w:bookmarkEnd w:id="2167"/>
      <w:bookmarkEnd w:id="2168"/>
      <w:bookmarkEnd w:id="2169"/>
      <w:bookmarkEnd w:id="2170"/>
      <w:bookmarkEnd w:id="2171"/>
      <w:bookmarkEnd w:id="2172"/>
      <w:bookmarkEnd w:id="2173"/>
    </w:p>
    <w:p w14:paraId="2C21D688">
      <w:pPr>
        <w:spacing w:line="360" w:lineRule="auto"/>
        <w:jc w:val="center"/>
        <w:rPr>
          <w:rFonts w:ascii="宋体" w:hAnsi="宋体"/>
          <w:szCs w:val="20"/>
          <w:highlight w:val="none"/>
        </w:rPr>
      </w:pPr>
      <w:r>
        <w:rPr>
          <w:rFonts w:hint="eastAsia" w:ascii="宋体" w:hAnsi="宋体"/>
          <w:szCs w:val="20"/>
          <w:highlight w:val="none"/>
        </w:rPr>
        <w:t>在</w:t>
      </w:r>
      <w:r>
        <w:rPr>
          <w:rFonts w:hint="eastAsia" w:ascii="宋体" w:hAnsi="宋体"/>
          <w:szCs w:val="20"/>
          <w:highlight w:val="none"/>
          <w:lang w:val="en-US" w:eastAsia="zh-CN"/>
        </w:rPr>
        <w:t>行采家</w:t>
      </w:r>
      <w:r>
        <w:rPr>
          <w:rFonts w:hint="eastAsia" w:ascii="宋体" w:hAnsi="宋体"/>
          <w:szCs w:val="20"/>
          <w:highlight w:val="none"/>
        </w:rPr>
        <w:t>下载。</w:t>
      </w:r>
    </w:p>
    <w:p w14:paraId="7B2C310A">
      <w:pPr>
        <w:spacing w:line="360" w:lineRule="auto"/>
        <w:rPr>
          <w:rFonts w:ascii="宋体" w:hAnsi="宋体"/>
          <w:szCs w:val="20"/>
          <w:highlight w:val="none"/>
        </w:rPr>
      </w:pPr>
      <w:bookmarkStart w:id="2174" w:name="招标文件06章图纸01"/>
      <w:bookmarkEnd w:id="2174"/>
      <w:bookmarkStart w:id="2175" w:name="_Toc287620804"/>
      <w:bookmarkStart w:id="2176" w:name="_Toc430530520"/>
    </w:p>
    <w:bookmarkEnd w:id="2175"/>
    <w:bookmarkEnd w:id="2176"/>
    <w:p w14:paraId="4774A9AE">
      <w:pPr>
        <w:spacing w:line="360" w:lineRule="auto"/>
        <w:rPr>
          <w:rFonts w:ascii="宋体" w:hAnsi="宋体"/>
          <w:highlight w:val="none"/>
        </w:rPr>
      </w:pPr>
      <w:r>
        <w:rPr>
          <w:rFonts w:ascii="宋体" w:hAnsi="宋体"/>
          <w:szCs w:val="20"/>
          <w:highlight w:val="none"/>
        </w:rPr>
        <w:br w:type="page"/>
      </w:r>
    </w:p>
    <w:p w14:paraId="325427EB">
      <w:pPr>
        <w:pStyle w:val="3"/>
        <w:spacing w:before="0" w:after="0" w:line="360" w:lineRule="auto"/>
        <w:jc w:val="center"/>
        <w:rPr>
          <w:rFonts w:ascii="宋体" w:hAnsi="宋体"/>
          <w:sz w:val="52"/>
          <w:szCs w:val="52"/>
          <w:highlight w:val="none"/>
        </w:rPr>
      </w:pPr>
      <w:bookmarkStart w:id="2177" w:name="_Toc10747"/>
      <w:bookmarkStart w:id="2178" w:name="_Toc7492"/>
      <w:r>
        <w:rPr>
          <w:rFonts w:hint="eastAsia" w:ascii="宋体" w:hAnsi="宋体"/>
          <w:sz w:val="52"/>
          <w:szCs w:val="52"/>
          <w:highlight w:val="none"/>
        </w:rPr>
        <w:t>第 三 卷</w:t>
      </w:r>
      <w:bookmarkEnd w:id="2177"/>
      <w:bookmarkEnd w:id="2178"/>
      <w:bookmarkStart w:id="2179" w:name="_Toc509218847"/>
      <w:bookmarkStart w:id="2180" w:name="_Toc536797390"/>
      <w:bookmarkStart w:id="2181" w:name="_Toc536796986"/>
      <w:bookmarkStart w:id="2182" w:name="_Toc534185826"/>
      <w:bookmarkStart w:id="2183" w:name="_Toc536797255"/>
      <w:bookmarkStart w:id="2184" w:name="_Toc536797121"/>
      <w:bookmarkStart w:id="2185" w:name="_Toc536796850"/>
      <w:bookmarkStart w:id="2186" w:name="_Toc536619968"/>
      <w:bookmarkStart w:id="2187" w:name="_Toc13211206"/>
      <w:bookmarkStart w:id="2188" w:name="_Toc536628344"/>
      <w:bookmarkStart w:id="2189" w:name="_Toc536621880"/>
      <w:bookmarkStart w:id="2190" w:name="_Toc13211764"/>
      <w:bookmarkStart w:id="2191" w:name="_Toc13210772"/>
      <w:bookmarkStart w:id="2192" w:name="_Toc536620100"/>
    </w:p>
    <w:bookmarkEnd w:id="2179"/>
    <w:p w14:paraId="7FFF40E5">
      <w:pPr>
        <w:rPr>
          <w:highlight w:val="none"/>
        </w:rPr>
      </w:pPr>
      <w:r>
        <w:rPr>
          <w:highlight w:val="none"/>
        </w:rPr>
        <w:br w:type="page"/>
      </w:r>
      <w:bookmarkEnd w:id="2180"/>
      <w:bookmarkEnd w:id="2181"/>
      <w:bookmarkEnd w:id="2182"/>
      <w:bookmarkEnd w:id="2183"/>
      <w:bookmarkEnd w:id="2184"/>
      <w:bookmarkEnd w:id="2185"/>
      <w:bookmarkEnd w:id="2186"/>
      <w:bookmarkEnd w:id="2187"/>
      <w:bookmarkEnd w:id="2188"/>
      <w:bookmarkEnd w:id="2189"/>
      <w:bookmarkEnd w:id="2190"/>
      <w:bookmarkEnd w:id="2191"/>
      <w:bookmarkEnd w:id="2192"/>
    </w:p>
    <w:p w14:paraId="337940A0">
      <w:pPr>
        <w:pStyle w:val="3"/>
        <w:spacing w:line="360" w:lineRule="auto"/>
        <w:jc w:val="center"/>
        <w:rPr>
          <w:rFonts w:ascii="宋体" w:hAnsi="宋体"/>
          <w:highlight w:val="none"/>
        </w:rPr>
      </w:pPr>
      <w:bookmarkStart w:id="2193" w:name="招标文件07章技术标准和要求"/>
      <w:bookmarkEnd w:id="2193"/>
      <w:bookmarkStart w:id="2194" w:name="_Toc30088"/>
      <w:bookmarkStart w:id="2195" w:name="_Toc12972"/>
      <w:r>
        <w:rPr>
          <w:rFonts w:ascii="宋体" w:hAnsi="宋体"/>
          <w:highlight w:val="none"/>
        </w:rPr>
        <w:t>第七章</w:t>
      </w:r>
      <w:r>
        <w:rPr>
          <w:rFonts w:hint="eastAsia" w:ascii="宋体" w:hAnsi="宋体"/>
          <w:highlight w:val="none"/>
        </w:rPr>
        <w:t xml:space="preserve">  </w:t>
      </w:r>
      <w:r>
        <w:rPr>
          <w:rFonts w:ascii="宋体" w:hAnsi="宋体"/>
          <w:highlight w:val="none"/>
        </w:rPr>
        <w:t>技术标准和要求</w:t>
      </w:r>
      <w:bookmarkEnd w:id="2194"/>
      <w:bookmarkEnd w:id="2195"/>
      <w:bookmarkStart w:id="2196" w:name="招标文件07章技术标准和要求01"/>
      <w:bookmarkEnd w:id="2196"/>
      <w:bookmarkStart w:id="2197" w:name="_Toc430530524"/>
      <w:bookmarkStart w:id="2198" w:name="_Toc287620808"/>
    </w:p>
    <w:bookmarkEnd w:id="2197"/>
    <w:bookmarkEnd w:id="2198"/>
    <w:p w14:paraId="7CDA1FD2">
      <w:pPr>
        <w:spacing w:line="360" w:lineRule="auto"/>
        <w:jc w:val="center"/>
        <w:rPr>
          <w:rStyle w:val="21"/>
          <w:highlight w:val="none"/>
        </w:rPr>
      </w:pPr>
      <w:r>
        <w:rPr>
          <w:rFonts w:ascii="宋体" w:hAnsi="宋体"/>
          <w:szCs w:val="21"/>
          <w:highlight w:val="none"/>
        </w:rPr>
        <w:t>由</w:t>
      </w:r>
      <w:r>
        <w:rPr>
          <w:rFonts w:hint="eastAsia" w:ascii="宋体" w:hAnsi="宋体"/>
          <w:szCs w:val="21"/>
          <w:highlight w:val="none"/>
          <w:lang w:eastAsia="zh-CN"/>
        </w:rPr>
        <w:t>比选人</w:t>
      </w:r>
      <w:r>
        <w:rPr>
          <w:rFonts w:ascii="宋体" w:hAnsi="宋体"/>
          <w:szCs w:val="21"/>
          <w:highlight w:val="none"/>
        </w:rPr>
        <w:t>根据招标项目的实际情况编写</w:t>
      </w:r>
      <w:r>
        <w:rPr>
          <w:rFonts w:hint="eastAsia" w:ascii="宋体" w:hAnsi="宋体"/>
          <w:szCs w:val="21"/>
          <w:highlight w:val="none"/>
        </w:rPr>
        <w:t>（如有）。</w:t>
      </w:r>
    </w:p>
    <w:p w14:paraId="74065AEA">
      <w:pPr>
        <w:spacing w:line="360" w:lineRule="auto"/>
        <w:rPr>
          <w:rFonts w:ascii="宋体" w:hAnsi="宋体"/>
          <w:highlight w:val="none"/>
        </w:rPr>
      </w:pPr>
      <w:r>
        <w:rPr>
          <w:rFonts w:ascii="宋体" w:hAnsi="宋体"/>
          <w:highlight w:val="none"/>
        </w:rPr>
        <w:br w:type="page"/>
      </w:r>
    </w:p>
    <w:p w14:paraId="698139F0">
      <w:pPr>
        <w:pStyle w:val="3"/>
        <w:spacing w:before="0" w:after="0" w:line="360" w:lineRule="auto"/>
        <w:jc w:val="center"/>
        <w:rPr>
          <w:rFonts w:ascii="宋体" w:hAnsi="宋体"/>
          <w:sz w:val="52"/>
          <w:szCs w:val="52"/>
          <w:highlight w:val="none"/>
        </w:rPr>
      </w:pPr>
      <w:bookmarkStart w:id="2199" w:name="_Toc509218849"/>
      <w:bookmarkStart w:id="2200" w:name="_Toc2213"/>
      <w:bookmarkStart w:id="2201" w:name="_Toc534185827"/>
      <w:bookmarkStart w:id="2202" w:name="_Toc7987"/>
      <w:r>
        <w:rPr>
          <w:rFonts w:ascii="宋体" w:hAnsi="宋体"/>
          <w:sz w:val="52"/>
          <w:szCs w:val="52"/>
          <w:highlight w:val="none"/>
        </w:rPr>
        <w:t>第 四 卷</w:t>
      </w:r>
      <w:bookmarkEnd w:id="2199"/>
      <w:bookmarkEnd w:id="2200"/>
      <w:bookmarkEnd w:id="2201"/>
      <w:bookmarkEnd w:id="2202"/>
      <w:bookmarkStart w:id="2203" w:name="_Toc509218850"/>
      <w:bookmarkStart w:id="2204" w:name="_Toc536628347"/>
      <w:bookmarkStart w:id="2205" w:name="_Toc536797258"/>
      <w:bookmarkStart w:id="2206" w:name="_Toc13211767"/>
      <w:bookmarkStart w:id="2207" w:name="_Toc13211209"/>
      <w:bookmarkStart w:id="2208" w:name="_Toc534185828"/>
      <w:bookmarkStart w:id="2209" w:name="_Toc536621883"/>
      <w:bookmarkStart w:id="2210" w:name="_Toc536619970"/>
      <w:bookmarkStart w:id="2211" w:name="_Toc536620102"/>
      <w:bookmarkStart w:id="2212" w:name="_Toc536796853"/>
      <w:bookmarkStart w:id="2213" w:name="_Toc13210775"/>
      <w:bookmarkStart w:id="2214" w:name="_Toc536796989"/>
      <w:bookmarkStart w:id="2215" w:name="_Toc536797124"/>
      <w:bookmarkStart w:id="2216" w:name="_Toc536797393"/>
    </w:p>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p w14:paraId="0EA4CA87">
      <w:pPr>
        <w:rPr>
          <w:highlight w:val="none"/>
        </w:rPr>
      </w:pPr>
      <w:r>
        <w:rPr>
          <w:highlight w:val="none"/>
        </w:rPr>
        <w:br w:type="page"/>
      </w:r>
      <w:bookmarkStart w:id="2217" w:name="招标文件08章投标文件格式"/>
      <w:bookmarkEnd w:id="2217"/>
      <w:bookmarkStart w:id="2218" w:name="_Toc287607865"/>
      <w:bookmarkStart w:id="2219" w:name="_Toc287620812"/>
    </w:p>
    <w:p w14:paraId="43451B03">
      <w:pPr>
        <w:pStyle w:val="3"/>
        <w:spacing w:line="360" w:lineRule="auto"/>
        <w:jc w:val="center"/>
        <w:rPr>
          <w:rFonts w:ascii="宋体" w:hAnsi="宋体"/>
          <w:highlight w:val="none"/>
        </w:rPr>
      </w:pPr>
      <w:bookmarkStart w:id="2220" w:name="_Toc534185829"/>
      <w:bookmarkStart w:id="2221" w:name="_Toc15022"/>
      <w:bookmarkStart w:id="2222" w:name="_Toc509218852"/>
      <w:bookmarkStart w:id="2223" w:name="_Toc430530528"/>
      <w:bookmarkStart w:id="2224" w:name="_Toc27161"/>
      <w:r>
        <w:rPr>
          <w:rFonts w:hint="eastAsia" w:ascii="宋体" w:hAnsi="宋体"/>
          <w:highlight w:val="none"/>
        </w:rPr>
        <w:t xml:space="preserve">第八章  </w:t>
      </w:r>
      <w:r>
        <w:rPr>
          <w:rFonts w:hint="eastAsia" w:ascii="宋体" w:hAnsi="宋体"/>
          <w:highlight w:val="none"/>
          <w:lang w:eastAsia="zh-CN"/>
        </w:rPr>
        <w:t>比选申请文件</w:t>
      </w:r>
      <w:r>
        <w:rPr>
          <w:rFonts w:hint="eastAsia" w:ascii="宋体" w:hAnsi="宋体"/>
          <w:highlight w:val="none"/>
        </w:rPr>
        <w:t>格式</w:t>
      </w:r>
      <w:bookmarkEnd w:id="2218"/>
      <w:bookmarkEnd w:id="2219"/>
      <w:bookmarkEnd w:id="2220"/>
      <w:bookmarkEnd w:id="2221"/>
      <w:bookmarkEnd w:id="2222"/>
      <w:bookmarkEnd w:id="2223"/>
      <w:bookmarkEnd w:id="2224"/>
    </w:p>
    <w:p w14:paraId="282CA4D5">
      <w:pPr>
        <w:spacing w:line="360" w:lineRule="auto"/>
        <w:rPr>
          <w:rFonts w:ascii="宋体" w:hAnsi="宋体"/>
          <w:sz w:val="32"/>
          <w:szCs w:val="32"/>
          <w:highlight w:val="none"/>
        </w:rPr>
      </w:pPr>
    </w:p>
    <w:p w14:paraId="385A86DF">
      <w:pPr>
        <w:spacing w:line="360" w:lineRule="auto"/>
        <w:jc w:val="center"/>
        <w:rPr>
          <w:rFonts w:ascii="宋体" w:hAnsi="宋体"/>
          <w:sz w:val="36"/>
          <w:szCs w:val="36"/>
          <w:highlight w:val="none"/>
        </w:rPr>
      </w:pPr>
      <w:r>
        <w:rPr>
          <w:rFonts w:ascii="宋体" w:hAnsi="宋体"/>
          <w:szCs w:val="20"/>
          <w:highlight w:val="none"/>
        </w:rPr>
        <w:br w:type="page"/>
      </w:r>
      <w:bookmarkStart w:id="2225" w:name="_Toc224103493"/>
      <w:r>
        <w:rPr>
          <w:rFonts w:hint="eastAsia" w:ascii="宋体" w:hAnsi="宋体"/>
          <w:sz w:val="36"/>
          <w:szCs w:val="36"/>
          <w:highlight w:val="none"/>
        </w:rPr>
        <w:t>目  录</w:t>
      </w:r>
      <w:bookmarkEnd w:id="2225"/>
    </w:p>
    <w:p w14:paraId="3999A683">
      <w:pPr>
        <w:spacing w:line="360" w:lineRule="auto"/>
        <w:jc w:val="center"/>
        <w:rPr>
          <w:rFonts w:ascii="宋体" w:hAnsi="宋体"/>
          <w:szCs w:val="20"/>
          <w:highlight w:val="none"/>
        </w:rPr>
      </w:pPr>
    </w:p>
    <w:p w14:paraId="2EE4CC3F">
      <w:pPr>
        <w:spacing w:line="360" w:lineRule="auto"/>
        <w:rPr>
          <w:rFonts w:ascii="宋体" w:hAnsi="宋体"/>
          <w:b/>
          <w:highlight w:val="none"/>
        </w:rPr>
      </w:pPr>
      <w:r>
        <w:rPr>
          <w:rFonts w:hint="eastAsia" w:ascii="宋体" w:hAnsi="宋体"/>
          <w:b/>
          <w:highlight w:val="none"/>
        </w:rPr>
        <w:t>一</w:t>
      </w:r>
      <w:r>
        <w:rPr>
          <w:rFonts w:ascii="宋体" w:hAnsi="宋体"/>
          <w:b/>
          <w:highlight w:val="none"/>
        </w:rPr>
        <w:t>、投标函部分</w:t>
      </w:r>
    </w:p>
    <w:p w14:paraId="2D8ECEA4">
      <w:pPr>
        <w:spacing w:line="360" w:lineRule="auto"/>
        <w:ind w:firstLine="420" w:firstLineChars="200"/>
        <w:rPr>
          <w:rFonts w:ascii="宋体" w:hAnsi="宋体"/>
          <w:highlight w:val="none"/>
        </w:rPr>
      </w:pPr>
      <w:r>
        <w:rPr>
          <w:rFonts w:ascii="宋体" w:hAnsi="宋体"/>
          <w:highlight w:val="none"/>
        </w:rPr>
        <w:t>（一）投标函</w:t>
      </w:r>
    </w:p>
    <w:p w14:paraId="5C70351F">
      <w:pPr>
        <w:spacing w:line="360" w:lineRule="auto"/>
        <w:ind w:firstLine="420" w:firstLineChars="200"/>
        <w:rPr>
          <w:rFonts w:ascii="宋体" w:hAnsi="宋体"/>
          <w:highlight w:val="none"/>
        </w:rPr>
      </w:pPr>
      <w:r>
        <w:rPr>
          <w:rFonts w:ascii="宋体" w:hAnsi="宋体"/>
          <w:highlight w:val="none"/>
        </w:rPr>
        <w:t>（二）投标函附录</w:t>
      </w:r>
    </w:p>
    <w:p w14:paraId="14031D29">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lang w:val="en-US" w:eastAsia="zh-CN"/>
        </w:rPr>
        <w:t>三</w:t>
      </w:r>
      <w:r>
        <w:rPr>
          <w:rFonts w:ascii="宋体" w:hAnsi="宋体"/>
          <w:highlight w:val="none"/>
        </w:rPr>
        <w:t>）</w:t>
      </w:r>
      <w:r>
        <w:rPr>
          <w:rFonts w:hint="eastAsia" w:ascii="宋体" w:hAnsi="宋体"/>
          <w:highlight w:val="none"/>
          <w:lang w:val="en-US" w:eastAsia="zh-CN"/>
        </w:rPr>
        <w:t>投标报价合理性说明</w:t>
      </w:r>
      <w:r>
        <w:rPr>
          <w:rFonts w:hint="eastAsia" w:ascii="宋体" w:hAnsi="宋体"/>
          <w:highlight w:val="none"/>
        </w:rPr>
        <w:t>（如有）</w:t>
      </w:r>
    </w:p>
    <w:p w14:paraId="4793B300">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lang w:val="en-US" w:eastAsia="zh-CN"/>
        </w:rPr>
        <w:t>四</w:t>
      </w:r>
      <w:r>
        <w:rPr>
          <w:rFonts w:ascii="宋体" w:hAnsi="宋体"/>
          <w:highlight w:val="none"/>
        </w:rPr>
        <w:t>）</w:t>
      </w:r>
      <w:r>
        <w:rPr>
          <w:rFonts w:hint="eastAsia" w:ascii="宋体" w:hAnsi="宋体"/>
          <w:highlight w:val="none"/>
        </w:rPr>
        <w:t>法定代表人身份证明或授权委托书</w:t>
      </w:r>
    </w:p>
    <w:p w14:paraId="61DA9346">
      <w:pPr>
        <w:spacing w:line="360" w:lineRule="auto"/>
        <w:rPr>
          <w:rFonts w:ascii="宋体" w:hAnsi="宋体"/>
          <w:b/>
          <w:highlight w:val="none"/>
        </w:rPr>
      </w:pPr>
      <w:r>
        <w:rPr>
          <w:rFonts w:hint="eastAsia" w:ascii="宋体" w:hAnsi="宋体"/>
          <w:b/>
          <w:highlight w:val="none"/>
        </w:rPr>
        <w:t>二</w:t>
      </w:r>
      <w:r>
        <w:rPr>
          <w:rFonts w:ascii="宋体" w:hAnsi="宋体"/>
          <w:b/>
          <w:highlight w:val="none"/>
        </w:rPr>
        <w:t>、</w:t>
      </w:r>
      <w:r>
        <w:rPr>
          <w:rFonts w:hint="eastAsia" w:ascii="宋体" w:hAnsi="宋体"/>
          <w:b/>
          <w:highlight w:val="none"/>
          <w:lang w:val="en-US" w:eastAsia="zh-CN"/>
        </w:rPr>
        <w:t>报价</w:t>
      </w:r>
      <w:r>
        <w:rPr>
          <w:rFonts w:ascii="宋体" w:hAnsi="宋体"/>
          <w:b/>
          <w:highlight w:val="none"/>
        </w:rPr>
        <w:t>部分</w:t>
      </w:r>
    </w:p>
    <w:p w14:paraId="679766B3">
      <w:pPr>
        <w:spacing w:line="360" w:lineRule="auto"/>
        <w:ind w:firstLine="420" w:firstLineChars="200"/>
        <w:rPr>
          <w:rFonts w:ascii="宋体" w:hAnsi="宋体"/>
          <w:highlight w:val="none"/>
        </w:rPr>
      </w:pPr>
      <w:r>
        <w:rPr>
          <w:rFonts w:ascii="宋体" w:hAnsi="宋体"/>
          <w:highlight w:val="none"/>
        </w:rPr>
        <w:t>已标价工程量清单</w:t>
      </w:r>
    </w:p>
    <w:p w14:paraId="243E35A2">
      <w:pPr>
        <w:spacing w:line="360" w:lineRule="auto"/>
        <w:rPr>
          <w:rFonts w:ascii="宋体" w:hAnsi="宋体"/>
          <w:b/>
          <w:highlight w:val="none"/>
        </w:rPr>
      </w:pPr>
      <w:r>
        <w:rPr>
          <w:rFonts w:hint="eastAsia" w:ascii="宋体" w:hAnsi="宋体"/>
          <w:b/>
          <w:highlight w:val="none"/>
          <w:lang w:val="en-US" w:eastAsia="zh-CN"/>
        </w:rPr>
        <w:t>三</w:t>
      </w:r>
      <w:r>
        <w:rPr>
          <w:rFonts w:ascii="宋体" w:hAnsi="宋体"/>
          <w:b/>
          <w:highlight w:val="none"/>
        </w:rPr>
        <w:t>、技术部分</w:t>
      </w:r>
    </w:p>
    <w:p w14:paraId="4C221641">
      <w:pPr>
        <w:spacing w:line="360" w:lineRule="auto"/>
        <w:rPr>
          <w:rFonts w:ascii="宋体" w:hAnsi="宋体"/>
          <w:b/>
          <w:highlight w:val="none"/>
        </w:rPr>
      </w:pPr>
      <w:r>
        <w:rPr>
          <w:rFonts w:hint="eastAsia" w:ascii="宋体" w:hAnsi="宋体"/>
          <w:b/>
          <w:highlight w:val="none"/>
          <w:lang w:val="en-US" w:eastAsia="zh-CN"/>
        </w:rPr>
        <w:t>四</w:t>
      </w:r>
      <w:r>
        <w:rPr>
          <w:rFonts w:ascii="宋体" w:hAnsi="宋体"/>
          <w:b/>
          <w:highlight w:val="none"/>
        </w:rPr>
        <w:t>、</w:t>
      </w:r>
      <w:r>
        <w:rPr>
          <w:rFonts w:hint="eastAsia" w:ascii="宋体" w:hAnsi="宋体"/>
          <w:b/>
          <w:highlight w:val="none"/>
        </w:rPr>
        <w:t>资格审查部分</w:t>
      </w:r>
    </w:p>
    <w:p w14:paraId="497C7C23">
      <w:pPr>
        <w:spacing w:line="360" w:lineRule="auto"/>
        <w:ind w:firstLine="420" w:firstLineChars="200"/>
        <w:rPr>
          <w:rFonts w:ascii="宋体" w:hAnsi="宋体"/>
          <w:highlight w:val="none"/>
        </w:rPr>
      </w:pPr>
      <w:r>
        <w:rPr>
          <w:rFonts w:ascii="宋体" w:hAnsi="宋体"/>
          <w:highlight w:val="none"/>
        </w:rPr>
        <w:t>（一）</w:t>
      </w:r>
      <w:r>
        <w:rPr>
          <w:rFonts w:hint="eastAsia" w:ascii="宋体" w:hAnsi="宋体"/>
          <w:highlight w:val="none"/>
        </w:rPr>
        <w:t>法定代表人身份证明或授权委托书</w:t>
      </w:r>
    </w:p>
    <w:p w14:paraId="72105B01">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lang w:val="en-US" w:eastAsia="zh-CN"/>
        </w:rPr>
        <w:t>二</w:t>
      </w:r>
      <w:r>
        <w:rPr>
          <w:rFonts w:ascii="宋体" w:hAnsi="宋体"/>
          <w:highlight w:val="none"/>
        </w:rPr>
        <w:t>）</w:t>
      </w:r>
      <w:r>
        <w:rPr>
          <w:rFonts w:hint="eastAsia" w:ascii="宋体" w:hAnsi="宋体"/>
          <w:highlight w:val="none"/>
        </w:rPr>
        <w:t>承诺</w:t>
      </w:r>
    </w:p>
    <w:p w14:paraId="0112E7FD">
      <w:pPr>
        <w:spacing w:line="360" w:lineRule="auto"/>
        <w:ind w:firstLine="420" w:firstLineChars="200"/>
        <w:rPr>
          <w:rFonts w:ascii="宋体" w:hAnsi="宋体"/>
          <w:highlight w:val="none"/>
        </w:rPr>
      </w:pPr>
      <w:r>
        <w:rPr>
          <w:rFonts w:ascii="宋体" w:hAnsi="宋体"/>
          <w:highlight w:val="none"/>
        </w:rPr>
        <w:t>（</w:t>
      </w:r>
      <w:r>
        <w:rPr>
          <w:rFonts w:hint="eastAsia" w:ascii="宋体" w:hAnsi="宋体"/>
          <w:highlight w:val="none"/>
          <w:lang w:val="en-US" w:eastAsia="zh-CN"/>
        </w:rPr>
        <w:t>三</w:t>
      </w:r>
      <w:r>
        <w:rPr>
          <w:rFonts w:ascii="宋体" w:hAnsi="宋体"/>
          <w:highlight w:val="none"/>
        </w:rPr>
        <w:t>）其他资料</w:t>
      </w:r>
    </w:p>
    <w:p w14:paraId="1C6E10AA">
      <w:pPr>
        <w:autoSpaceDE w:val="0"/>
        <w:autoSpaceDN w:val="0"/>
        <w:adjustRightInd w:val="0"/>
        <w:spacing w:line="276" w:lineRule="auto"/>
        <w:ind w:right="-23"/>
        <w:jc w:val="left"/>
        <w:rPr>
          <w:rFonts w:ascii="宋体" w:hAnsi="宋体"/>
          <w:kern w:val="0"/>
          <w:szCs w:val="21"/>
          <w:highlight w:val="none"/>
          <w:u w:val="single"/>
        </w:rPr>
      </w:pPr>
      <w:r>
        <w:rPr>
          <w:rFonts w:ascii="宋体" w:hAnsi="宋体"/>
          <w:b/>
          <w:kern w:val="0"/>
          <w:sz w:val="24"/>
          <w:highlight w:val="none"/>
        </w:rPr>
        <w:br w:type="page"/>
      </w:r>
      <w:bookmarkStart w:id="2226" w:name="_Toc430530529"/>
      <w:bookmarkStart w:id="2227" w:name="_Toc287620813"/>
      <w:bookmarkStart w:id="2228" w:name="_Toc277082642"/>
      <w:bookmarkStart w:id="2229" w:name="_Toc287607866"/>
      <w:bookmarkStart w:id="2230" w:name="_Toc224103494"/>
    </w:p>
    <w:p w14:paraId="413DE63A">
      <w:pPr>
        <w:pStyle w:val="4"/>
        <w:spacing w:line="360" w:lineRule="auto"/>
        <w:jc w:val="center"/>
        <w:rPr>
          <w:rFonts w:ascii="宋体" w:hAnsi="宋体"/>
          <w:b w:val="0"/>
          <w:bCs w:val="0"/>
          <w:sz w:val="44"/>
          <w:szCs w:val="44"/>
          <w:highlight w:val="none"/>
        </w:rPr>
      </w:pPr>
      <w:bookmarkStart w:id="2231" w:name="_Toc27093"/>
      <w:bookmarkStart w:id="2232" w:name="_Toc9843"/>
      <w:r>
        <w:rPr>
          <w:rFonts w:hint="eastAsia" w:ascii="宋体" w:hAnsi="宋体"/>
          <w:b w:val="0"/>
          <w:bCs w:val="0"/>
          <w:sz w:val="44"/>
          <w:szCs w:val="44"/>
          <w:highlight w:val="none"/>
        </w:rPr>
        <w:t>一、投标函部分</w:t>
      </w:r>
      <w:bookmarkEnd w:id="2226"/>
      <w:bookmarkEnd w:id="2227"/>
      <w:bookmarkEnd w:id="2228"/>
      <w:bookmarkEnd w:id="2229"/>
      <w:bookmarkEnd w:id="2230"/>
      <w:bookmarkEnd w:id="2231"/>
      <w:bookmarkEnd w:id="2232"/>
    </w:p>
    <w:p w14:paraId="4983B23B">
      <w:pPr>
        <w:tabs>
          <w:tab w:val="left" w:pos="2580"/>
          <w:tab w:val="left" w:pos="5940"/>
        </w:tabs>
        <w:autoSpaceDE w:val="0"/>
        <w:autoSpaceDN w:val="0"/>
        <w:adjustRightInd w:val="0"/>
        <w:snapToGrid w:val="0"/>
        <w:spacing w:line="360" w:lineRule="auto"/>
        <w:jc w:val="left"/>
        <w:rPr>
          <w:rFonts w:ascii="宋体" w:hAnsi="宋体"/>
          <w:kern w:val="0"/>
          <w:sz w:val="28"/>
          <w:szCs w:val="28"/>
          <w:highlight w:val="none"/>
          <w:u w:val="single"/>
        </w:rPr>
      </w:pPr>
      <w:r>
        <w:rPr>
          <w:rFonts w:ascii="宋体" w:hAnsi="宋体"/>
          <w:kern w:val="0"/>
          <w:sz w:val="28"/>
          <w:szCs w:val="28"/>
          <w:highlight w:val="none"/>
          <w:u w:val="single"/>
        </w:rPr>
        <w:br w:type="page"/>
      </w:r>
    </w:p>
    <w:p w14:paraId="5934B3F6">
      <w:pPr>
        <w:spacing w:line="360" w:lineRule="auto"/>
        <w:jc w:val="center"/>
        <w:rPr>
          <w:rFonts w:ascii="宋体" w:hAnsi="宋体"/>
          <w:kern w:val="0"/>
          <w:sz w:val="32"/>
          <w:szCs w:val="32"/>
          <w:highlight w:val="none"/>
        </w:rPr>
      </w:pPr>
      <w:r>
        <w:rPr>
          <w:rFonts w:hint="eastAsia" w:ascii="宋体" w:hAnsi="宋体"/>
          <w:kern w:val="0"/>
          <w:sz w:val="32"/>
          <w:szCs w:val="32"/>
          <w:highlight w:val="none"/>
          <w:u w:val="single"/>
        </w:rPr>
        <w:t xml:space="preserve">                   （项目名称）</w:t>
      </w:r>
    </w:p>
    <w:p w14:paraId="5281AFE3">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63A3E804">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58EAB19C">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66B31C45">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6947297B">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3C6C98D7">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highlight w:val="none"/>
        </w:rPr>
      </w:pPr>
      <w:r>
        <w:rPr>
          <w:rFonts w:hint="eastAsia" w:ascii="宋体" w:hAnsi="宋体"/>
          <w:kern w:val="0"/>
          <w:sz w:val="72"/>
          <w:szCs w:val="72"/>
          <w:highlight w:val="none"/>
          <w:lang w:val="en-US" w:eastAsia="zh-CN"/>
        </w:rPr>
        <w:t>比选申请</w:t>
      </w:r>
      <w:r>
        <w:rPr>
          <w:rFonts w:hint="eastAsia" w:ascii="宋体" w:hAnsi="宋体"/>
          <w:kern w:val="0"/>
          <w:sz w:val="72"/>
          <w:szCs w:val="72"/>
          <w:highlight w:val="none"/>
        </w:rPr>
        <w:t>文件</w:t>
      </w:r>
    </w:p>
    <w:p w14:paraId="5332F0DA">
      <w:pPr>
        <w:autoSpaceDE w:val="0"/>
        <w:autoSpaceDN w:val="0"/>
        <w:adjustRightInd w:val="0"/>
        <w:snapToGrid w:val="0"/>
        <w:spacing w:line="360" w:lineRule="auto"/>
        <w:jc w:val="left"/>
        <w:rPr>
          <w:rFonts w:ascii="宋体" w:hAnsi="宋体"/>
          <w:kern w:val="0"/>
          <w:sz w:val="16"/>
          <w:szCs w:val="16"/>
          <w:highlight w:val="none"/>
        </w:rPr>
      </w:pPr>
    </w:p>
    <w:p w14:paraId="2143AC5B">
      <w:pPr>
        <w:autoSpaceDE w:val="0"/>
        <w:autoSpaceDN w:val="0"/>
        <w:adjustRightInd w:val="0"/>
        <w:snapToGrid w:val="0"/>
        <w:spacing w:line="360" w:lineRule="auto"/>
        <w:jc w:val="center"/>
        <w:rPr>
          <w:rFonts w:ascii="宋体" w:hAnsi="宋体"/>
          <w:kern w:val="0"/>
          <w:sz w:val="36"/>
          <w:szCs w:val="36"/>
          <w:highlight w:val="none"/>
        </w:rPr>
      </w:pPr>
      <w:r>
        <w:rPr>
          <w:rFonts w:hint="eastAsia" w:ascii="宋体" w:hAnsi="宋体"/>
          <w:kern w:val="0"/>
          <w:sz w:val="36"/>
          <w:szCs w:val="36"/>
          <w:highlight w:val="none"/>
        </w:rPr>
        <w:t>投标函部分</w:t>
      </w:r>
    </w:p>
    <w:p w14:paraId="317F9402">
      <w:pPr>
        <w:autoSpaceDE w:val="0"/>
        <w:autoSpaceDN w:val="0"/>
        <w:adjustRightInd w:val="0"/>
        <w:snapToGrid w:val="0"/>
        <w:spacing w:line="360" w:lineRule="auto"/>
        <w:jc w:val="left"/>
        <w:rPr>
          <w:rFonts w:ascii="宋体" w:hAnsi="宋体"/>
          <w:b/>
          <w:kern w:val="0"/>
          <w:sz w:val="20"/>
          <w:szCs w:val="20"/>
          <w:highlight w:val="none"/>
        </w:rPr>
      </w:pPr>
    </w:p>
    <w:p w14:paraId="7990218C">
      <w:pPr>
        <w:autoSpaceDE w:val="0"/>
        <w:autoSpaceDN w:val="0"/>
        <w:adjustRightInd w:val="0"/>
        <w:snapToGrid w:val="0"/>
        <w:spacing w:line="360" w:lineRule="auto"/>
        <w:jc w:val="left"/>
        <w:rPr>
          <w:rFonts w:ascii="宋体" w:hAnsi="宋体"/>
          <w:b/>
          <w:kern w:val="0"/>
          <w:sz w:val="20"/>
          <w:szCs w:val="20"/>
          <w:highlight w:val="none"/>
        </w:rPr>
      </w:pPr>
    </w:p>
    <w:p w14:paraId="6644043D">
      <w:pPr>
        <w:autoSpaceDE w:val="0"/>
        <w:autoSpaceDN w:val="0"/>
        <w:adjustRightInd w:val="0"/>
        <w:snapToGrid w:val="0"/>
        <w:spacing w:line="360" w:lineRule="auto"/>
        <w:jc w:val="left"/>
        <w:rPr>
          <w:rFonts w:ascii="宋体" w:hAnsi="宋体"/>
          <w:b/>
          <w:kern w:val="0"/>
          <w:sz w:val="20"/>
          <w:szCs w:val="20"/>
          <w:highlight w:val="none"/>
        </w:rPr>
      </w:pPr>
    </w:p>
    <w:p w14:paraId="3525A52D">
      <w:pPr>
        <w:autoSpaceDE w:val="0"/>
        <w:autoSpaceDN w:val="0"/>
        <w:adjustRightInd w:val="0"/>
        <w:snapToGrid w:val="0"/>
        <w:spacing w:line="360" w:lineRule="auto"/>
        <w:jc w:val="left"/>
        <w:rPr>
          <w:rFonts w:ascii="宋体" w:hAnsi="宋体"/>
          <w:b/>
          <w:kern w:val="0"/>
          <w:sz w:val="20"/>
          <w:szCs w:val="20"/>
          <w:highlight w:val="none"/>
        </w:rPr>
      </w:pPr>
    </w:p>
    <w:p w14:paraId="373C5C32">
      <w:pPr>
        <w:autoSpaceDE w:val="0"/>
        <w:autoSpaceDN w:val="0"/>
        <w:adjustRightInd w:val="0"/>
        <w:snapToGrid w:val="0"/>
        <w:spacing w:line="360" w:lineRule="auto"/>
        <w:jc w:val="left"/>
        <w:rPr>
          <w:rFonts w:ascii="宋体" w:hAnsi="宋体"/>
          <w:b/>
          <w:kern w:val="0"/>
          <w:sz w:val="20"/>
          <w:szCs w:val="20"/>
          <w:highlight w:val="none"/>
        </w:rPr>
      </w:pPr>
    </w:p>
    <w:p w14:paraId="4D248AC9">
      <w:pPr>
        <w:autoSpaceDE w:val="0"/>
        <w:autoSpaceDN w:val="0"/>
        <w:adjustRightInd w:val="0"/>
        <w:snapToGrid w:val="0"/>
        <w:spacing w:line="360" w:lineRule="auto"/>
        <w:jc w:val="left"/>
        <w:rPr>
          <w:rFonts w:ascii="宋体" w:hAnsi="宋体"/>
          <w:b/>
          <w:kern w:val="0"/>
          <w:sz w:val="20"/>
          <w:szCs w:val="20"/>
          <w:highlight w:val="none"/>
        </w:rPr>
      </w:pPr>
    </w:p>
    <w:p w14:paraId="0F52DD3A">
      <w:pPr>
        <w:autoSpaceDE w:val="0"/>
        <w:autoSpaceDN w:val="0"/>
        <w:adjustRightInd w:val="0"/>
        <w:snapToGrid w:val="0"/>
        <w:spacing w:line="360" w:lineRule="auto"/>
        <w:jc w:val="left"/>
        <w:rPr>
          <w:rFonts w:ascii="宋体" w:hAnsi="宋体"/>
          <w:b/>
          <w:kern w:val="0"/>
          <w:sz w:val="20"/>
          <w:szCs w:val="20"/>
          <w:highlight w:val="none"/>
        </w:rPr>
      </w:pPr>
    </w:p>
    <w:p w14:paraId="5B2E041C">
      <w:pPr>
        <w:autoSpaceDE w:val="0"/>
        <w:autoSpaceDN w:val="0"/>
        <w:adjustRightInd w:val="0"/>
        <w:snapToGrid w:val="0"/>
        <w:spacing w:line="360" w:lineRule="auto"/>
        <w:jc w:val="left"/>
        <w:rPr>
          <w:rFonts w:ascii="宋体" w:hAnsi="宋体"/>
          <w:b/>
          <w:kern w:val="0"/>
          <w:sz w:val="20"/>
          <w:szCs w:val="20"/>
          <w:highlight w:val="none"/>
        </w:rPr>
      </w:pPr>
    </w:p>
    <w:p w14:paraId="536CE6BB">
      <w:pPr>
        <w:autoSpaceDE w:val="0"/>
        <w:autoSpaceDN w:val="0"/>
        <w:adjustRightInd w:val="0"/>
        <w:snapToGrid w:val="0"/>
        <w:spacing w:line="360" w:lineRule="auto"/>
        <w:jc w:val="left"/>
        <w:rPr>
          <w:rFonts w:ascii="宋体" w:hAnsi="宋体"/>
          <w:b/>
          <w:kern w:val="0"/>
          <w:sz w:val="20"/>
          <w:szCs w:val="20"/>
          <w:highlight w:val="none"/>
        </w:rPr>
      </w:pPr>
    </w:p>
    <w:p w14:paraId="1E38F16E">
      <w:pPr>
        <w:autoSpaceDE w:val="0"/>
        <w:autoSpaceDN w:val="0"/>
        <w:adjustRightInd w:val="0"/>
        <w:snapToGrid w:val="0"/>
        <w:spacing w:line="360" w:lineRule="auto"/>
        <w:jc w:val="left"/>
        <w:rPr>
          <w:rFonts w:ascii="宋体" w:hAnsi="宋体"/>
          <w:b/>
          <w:kern w:val="0"/>
          <w:sz w:val="20"/>
          <w:szCs w:val="20"/>
          <w:highlight w:val="none"/>
        </w:rPr>
      </w:pPr>
    </w:p>
    <w:p w14:paraId="01C67D2B">
      <w:pPr>
        <w:autoSpaceDE w:val="0"/>
        <w:autoSpaceDN w:val="0"/>
        <w:adjustRightInd w:val="0"/>
        <w:snapToGrid w:val="0"/>
        <w:spacing w:line="360" w:lineRule="auto"/>
        <w:jc w:val="left"/>
        <w:rPr>
          <w:rFonts w:ascii="宋体" w:hAnsi="宋体"/>
          <w:b/>
          <w:kern w:val="0"/>
          <w:sz w:val="20"/>
          <w:szCs w:val="20"/>
          <w:highlight w:val="none"/>
        </w:rPr>
      </w:pPr>
    </w:p>
    <w:p w14:paraId="5B667161">
      <w:pPr>
        <w:tabs>
          <w:tab w:val="left" w:pos="6080"/>
          <w:tab w:val="left" w:pos="6640"/>
        </w:tabs>
        <w:autoSpaceDE w:val="0"/>
        <w:autoSpaceDN w:val="0"/>
        <w:adjustRightInd w:val="0"/>
        <w:snapToGrid w:val="0"/>
        <w:spacing w:after="156" w:afterLines="50" w:line="360" w:lineRule="auto"/>
        <w:jc w:val="center"/>
        <w:rPr>
          <w:rFonts w:ascii="宋体" w:hAnsi="宋体"/>
          <w:w w:val="99"/>
          <w:kern w:val="0"/>
          <w:sz w:val="28"/>
          <w:szCs w:val="28"/>
          <w:highlight w:val="none"/>
        </w:rPr>
      </w:pPr>
      <w:r>
        <w:rPr>
          <w:rFonts w:hint="eastAsia" w:ascii="宋体" w:hAnsi="宋体"/>
          <w:w w:val="99"/>
          <w:kern w:val="0"/>
          <w:sz w:val="28"/>
          <w:szCs w:val="28"/>
          <w:highlight w:val="none"/>
          <w:lang w:eastAsia="zh-CN"/>
        </w:rPr>
        <w:t>比选申请人</w:t>
      </w:r>
      <w:r>
        <w:rPr>
          <w:rFonts w:ascii="宋体" w:hAnsi="宋体"/>
          <w:spacing w:val="1"/>
          <w:w w:val="99"/>
          <w:kern w:val="0"/>
          <w:sz w:val="28"/>
          <w:szCs w:val="28"/>
          <w:highlight w:val="none"/>
        </w:rPr>
        <w:t>：</w:t>
      </w:r>
      <w:r>
        <w:rPr>
          <w:rFonts w:ascii="宋体" w:hAnsi="宋体"/>
          <w:w w:val="198"/>
          <w:kern w:val="0"/>
          <w:sz w:val="28"/>
          <w:szCs w:val="28"/>
          <w:highlight w:val="none"/>
          <w:u w:val="single"/>
        </w:rPr>
        <w:t xml:space="preserve"> 　　　　 　　</w:t>
      </w:r>
      <w:r>
        <w:rPr>
          <w:rFonts w:ascii="宋体" w:hAnsi="宋体"/>
          <w:w w:val="99"/>
          <w:kern w:val="0"/>
          <w:sz w:val="28"/>
          <w:szCs w:val="28"/>
          <w:highlight w:val="none"/>
        </w:rPr>
        <w:t>（盖单位法人章）</w:t>
      </w:r>
    </w:p>
    <w:p w14:paraId="29A5E41D">
      <w:pPr>
        <w:tabs>
          <w:tab w:val="left" w:pos="6080"/>
          <w:tab w:val="left" w:pos="6640"/>
        </w:tabs>
        <w:autoSpaceDE w:val="0"/>
        <w:autoSpaceDN w:val="0"/>
        <w:adjustRightInd w:val="0"/>
        <w:snapToGrid w:val="0"/>
        <w:spacing w:after="156" w:afterLines="50" w:line="360" w:lineRule="auto"/>
        <w:jc w:val="center"/>
        <w:rPr>
          <w:rFonts w:ascii="宋体" w:hAnsi="宋体"/>
          <w:kern w:val="0"/>
          <w:sz w:val="28"/>
          <w:szCs w:val="28"/>
          <w:highlight w:val="none"/>
        </w:rPr>
      </w:pPr>
      <w:r>
        <w:rPr>
          <w:rFonts w:ascii="宋体" w:hAnsi="宋体"/>
          <w:w w:val="99"/>
          <w:kern w:val="0"/>
          <w:sz w:val="28"/>
          <w:szCs w:val="28"/>
          <w:highlight w:val="none"/>
        </w:rPr>
        <w:t>法定代表人或其委托代理人：</w:t>
      </w:r>
      <w:r>
        <w:rPr>
          <w:rFonts w:ascii="宋体" w:hAnsi="宋体"/>
          <w:w w:val="198"/>
          <w:kern w:val="0"/>
          <w:sz w:val="28"/>
          <w:szCs w:val="28"/>
          <w:highlight w:val="none"/>
          <w:u w:val="single"/>
        </w:rPr>
        <w:t xml:space="preserve"> 　　 </w:t>
      </w:r>
      <w:r>
        <w:rPr>
          <w:rFonts w:ascii="宋体" w:hAnsi="宋体"/>
          <w:w w:val="99"/>
          <w:kern w:val="0"/>
          <w:sz w:val="28"/>
          <w:szCs w:val="28"/>
          <w:highlight w:val="none"/>
        </w:rPr>
        <w:t>（</w:t>
      </w:r>
      <w:r>
        <w:rPr>
          <w:rFonts w:hint="eastAsia" w:ascii="宋体" w:hAnsi="宋体"/>
          <w:w w:val="99"/>
          <w:kern w:val="0"/>
          <w:sz w:val="28"/>
          <w:szCs w:val="28"/>
          <w:highlight w:val="none"/>
        </w:rPr>
        <w:t>签名</w:t>
      </w:r>
      <w:r>
        <w:rPr>
          <w:rFonts w:ascii="宋体" w:hAnsi="宋体"/>
          <w:w w:val="99"/>
          <w:kern w:val="0"/>
          <w:sz w:val="28"/>
          <w:szCs w:val="28"/>
          <w:highlight w:val="none"/>
        </w:rPr>
        <w:t>或盖章）</w:t>
      </w:r>
    </w:p>
    <w:p w14:paraId="2E51BF75">
      <w:pPr>
        <w:autoSpaceDE w:val="0"/>
        <w:autoSpaceDN w:val="0"/>
        <w:adjustRightInd w:val="0"/>
        <w:snapToGrid w:val="0"/>
        <w:spacing w:line="360" w:lineRule="auto"/>
        <w:jc w:val="center"/>
        <w:rPr>
          <w:rFonts w:ascii="宋体" w:hAnsi="宋体"/>
          <w:kern w:val="0"/>
          <w:sz w:val="24"/>
          <w:szCs w:val="21"/>
          <w:highlight w:val="none"/>
        </w:rPr>
      </w:pPr>
      <w:r>
        <w:rPr>
          <w:rFonts w:hint="eastAsia" w:ascii="宋体" w:hAnsi="宋体"/>
          <w:w w:val="99"/>
          <w:kern w:val="0"/>
          <w:sz w:val="28"/>
          <w:szCs w:val="28"/>
          <w:highlight w:val="none"/>
          <w:u w:val="single"/>
        </w:rPr>
        <w:t xml:space="preserve">    </w:t>
      </w:r>
      <w:r>
        <w:rPr>
          <w:rFonts w:hint="eastAsia" w:ascii="宋体" w:hAnsi="宋体"/>
          <w:w w:val="99"/>
          <w:kern w:val="0"/>
          <w:sz w:val="28"/>
          <w:szCs w:val="28"/>
          <w:highlight w:val="none"/>
        </w:rPr>
        <w:t>年</w:t>
      </w:r>
      <w:r>
        <w:rPr>
          <w:rFonts w:hint="eastAsia" w:ascii="宋体" w:hAnsi="宋体"/>
          <w:w w:val="99"/>
          <w:kern w:val="0"/>
          <w:sz w:val="28"/>
          <w:szCs w:val="28"/>
          <w:highlight w:val="none"/>
          <w:u w:val="single"/>
        </w:rPr>
        <w:t xml:space="preserve">    </w:t>
      </w:r>
      <w:r>
        <w:rPr>
          <w:rFonts w:hint="eastAsia" w:ascii="宋体" w:hAnsi="宋体"/>
          <w:w w:val="99"/>
          <w:kern w:val="0"/>
          <w:sz w:val="28"/>
          <w:szCs w:val="28"/>
          <w:highlight w:val="none"/>
        </w:rPr>
        <w:t>月</w:t>
      </w:r>
      <w:r>
        <w:rPr>
          <w:rFonts w:hint="eastAsia" w:ascii="宋体" w:hAnsi="宋体"/>
          <w:w w:val="99"/>
          <w:kern w:val="0"/>
          <w:sz w:val="28"/>
          <w:szCs w:val="28"/>
          <w:highlight w:val="none"/>
          <w:u w:val="single"/>
        </w:rPr>
        <w:t xml:space="preserve">    </w:t>
      </w:r>
      <w:r>
        <w:rPr>
          <w:rFonts w:hint="eastAsia" w:ascii="宋体" w:hAnsi="宋体"/>
          <w:w w:val="99"/>
          <w:kern w:val="0"/>
          <w:sz w:val="28"/>
          <w:szCs w:val="28"/>
          <w:highlight w:val="none"/>
        </w:rPr>
        <w:t>日</w:t>
      </w:r>
      <w:r>
        <w:rPr>
          <w:rFonts w:ascii="宋体" w:hAnsi="宋体"/>
          <w:kern w:val="0"/>
          <w:sz w:val="24"/>
          <w:szCs w:val="21"/>
          <w:highlight w:val="none"/>
        </w:rPr>
        <w:br w:type="page"/>
      </w:r>
    </w:p>
    <w:p w14:paraId="24D257BA">
      <w:pPr>
        <w:autoSpaceDE w:val="0"/>
        <w:autoSpaceDN w:val="0"/>
        <w:adjustRightInd w:val="0"/>
        <w:snapToGrid w:val="0"/>
        <w:spacing w:line="360" w:lineRule="auto"/>
        <w:jc w:val="center"/>
        <w:rPr>
          <w:rFonts w:ascii="宋体" w:hAnsi="宋体"/>
          <w:kern w:val="0"/>
          <w:sz w:val="36"/>
          <w:szCs w:val="36"/>
          <w:highlight w:val="none"/>
        </w:rPr>
      </w:pPr>
      <w:r>
        <w:rPr>
          <w:rFonts w:hint="eastAsia" w:ascii="宋体" w:hAnsi="宋体"/>
          <w:kern w:val="0"/>
          <w:sz w:val="36"/>
          <w:szCs w:val="36"/>
          <w:highlight w:val="none"/>
        </w:rPr>
        <w:t>目  录</w:t>
      </w:r>
    </w:p>
    <w:p w14:paraId="5203A10C">
      <w:pPr>
        <w:autoSpaceDE w:val="0"/>
        <w:autoSpaceDN w:val="0"/>
        <w:adjustRightInd w:val="0"/>
        <w:snapToGrid w:val="0"/>
        <w:spacing w:line="360" w:lineRule="auto"/>
        <w:jc w:val="left"/>
        <w:rPr>
          <w:rFonts w:ascii="宋体" w:hAnsi="宋体"/>
          <w:kern w:val="0"/>
          <w:sz w:val="24"/>
          <w:szCs w:val="21"/>
          <w:highlight w:val="none"/>
        </w:rPr>
      </w:pPr>
    </w:p>
    <w:p w14:paraId="1FB94030">
      <w:pPr>
        <w:autoSpaceDE w:val="0"/>
        <w:autoSpaceDN w:val="0"/>
        <w:adjustRightInd w:val="0"/>
        <w:spacing w:line="360" w:lineRule="auto"/>
        <w:ind w:firstLine="480" w:firstLineChars="200"/>
        <w:jc w:val="left"/>
        <w:rPr>
          <w:rFonts w:ascii="宋体" w:hAnsi="宋体"/>
          <w:kern w:val="0"/>
          <w:sz w:val="24"/>
          <w:highlight w:val="none"/>
        </w:rPr>
      </w:pPr>
      <w:r>
        <w:rPr>
          <w:rFonts w:ascii="宋体" w:hAnsi="宋体"/>
          <w:kern w:val="0"/>
          <w:sz w:val="24"/>
          <w:highlight w:val="none"/>
        </w:rPr>
        <w:t>（一）投标函</w:t>
      </w:r>
    </w:p>
    <w:p w14:paraId="0D64A420">
      <w:pPr>
        <w:autoSpaceDE w:val="0"/>
        <w:autoSpaceDN w:val="0"/>
        <w:adjustRightInd w:val="0"/>
        <w:spacing w:line="360" w:lineRule="auto"/>
        <w:ind w:firstLine="480" w:firstLineChars="200"/>
        <w:jc w:val="left"/>
        <w:rPr>
          <w:rFonts w:ascii="宋体" w:hAnsi="宋体"/>
          <w:kern w:val="0"/>
          <w:sz w:val="24"/>
          <w:highlight w:val="none"/>
        </w:rPr>
      </w:pPr>
      <w:r>
        <w:rPr>
          <w:rFonts w:ascii="宋体" w:hAnsi="宋体"/>
          <w:kern w:val="0"/>
          <w:sz w:val="24"/>
          <w:highlight w:val="none"/>
        </w:rPr>
        <w:t>（二）投标函附录</w:t>
      </w:r>
    </w:p>
    <w:p w14:paraId="63A1300B">
      <w:pPr>
        <w:autoSpaceDE w:val="0"/>
        <w:autoSpaceDN w:val="0"/>
        <w:adjustRightInd w:val="0"/>
        <w:spacing w:line="360" w:lineRule="auto"/>
        <w:ind w:firstLine="480" w:firstLineChars="200"/>
        <w:jc w:val="left"/>
        <w:rPr>
          <w:rFonts w:ascii="宋体" w:hAnsi="宋体"/>
          <w:kern w:val="0"/>
          <w:sz w:val="24"/>
          <w:highlight w:val="none"/>
        </w:rPr>
      </w:pPr>
      <w:r>
        <w:rPr>
          <w:rFonts w:ascii="宋体" w:hAnsi="宋体"/>
          <w:kern w:val="0"/>
          <w:sz w:val="24"/>
          <w:highlight w:val="none"/>
        </w:rPr>
        <w:t>（</w:t>
      </w:r>
      <w:r>
        <w:rPr>
          <w:rFonts w:hint="eastAsia" w:ascii="宋体" w:hAnsi="宋体"/>
          <w:kern w:val="0"/>
          <w:sz w:val="24"/>
          <w:highlight w:val="none"/>
          <w:lang w:val="en-US" w:eastAsia="zh-CN"/>
        </w:rPr>
        <w:t>三</w:t>
      </w:r>
      <w:r>
        <w:rPr>
          <w:rFonts w:ascii="宋体" w:hAnsi="宋体"/>
          <w:kern w:val="0"/>
          <w:sz w:val="24"/>
          <w:highlight w:val="none"/>
        </w:rPr>
        <w:t>）</w:t>
      </w:r>
      <w:r>
        <w:rPr>
          <w:rFonts w:hint="eastAsia" w:ascii="宋体" w:hAnsi="宋体"/>
          <w:kern w:val="0"/>
          <w:sz w:val="24"/>
          <w:highlight w:val="none"/>
        </w:rPr>
        <w:t>投标报价合理性说明（如有）</w:t>
      </w:r>
    </w:p>
    <w:p w14:paraId="2C321AE8">
      <w:pPr>
        <w:autoSpaceDE w:val="0"/>
        <w:autoSpaceDN w:val="0"/>
        <w:adjustRightInd w:val="0"/>
        <w:spacing w:line="360" w:lineRule="auto"/>
        <w:ind w:firstLine="480" w:firstLineChars="200"/>
        <w:jc w:val="left"/>
        <w:rPr>
          <w:rFonts w:ascii="宋体" w:hAnsi="宋体"/>
          <w:kern w:val="0"/>
          <w:sz w:val="24"/>
          <w:highlight w:val="none"/>
        </w:rPr>
      </w:pPr>
      <w:r>
        <w:rPr>
          <w:rFonts w:ascii="宋体" w:hAnsi="宋体"/>
          <w:kern w:val="0"/>
          <w:sz w:val="24"/>
          <w:highlight w:val="none"/>
        </w:rPr>
        <w:t>（</w:t>
      </w:r>
      <w:r>
        <w:rPr>
          <w:rFonts w:hint="eastAsia" w:ascii="宋体" w:hAnsi="宋体"/>
          <w:kern w:val="0"/>
          <w:sz w:val="24"/>
          <w:highlight w:val="none"/>
          <w:lang w:val="en-US" w:eastAsia="zh-CN"/>
        </w:rPr>
        <w:t>四</w:t>
      </w:r>
      <w:r>
        <w:rPr>
          <w:rFonts w:ascii="宋体" w:hAnsi="宋体"/>
          <w:kern w:val="0"/>
          <w:sz w:val="24"/>
          <w:highlight w:val="none"/>
        </w:rPr>
        <w:t>）</w:t>
      </w:r>
      <w:r>
        <w:rPr>
          <w:rFonts w:hint="eastAsia" w:ascii="宋体" w:hAnsi="宋体"/>
          <w:kern w:val="0"/>
          <w:sz w:val="24"/>
          <w:highlight w:val="none"/>
        </w:rPr>
        <w:t>法定代表人身份证明或授权委托书</w:t>
      </w:r>
    </w:p>
    <w:p w14:paraId="46978578">
      <w:pPr>
        <w:pStyle w:val="5"/>
        <w:spacing w:before="0" w:after="0" w:line="240" w:lineRule="auto"/>
        <w:jc w:val="center"/>
        <w:rPr>
          <w:rFonts w:ascii="宋体" w:hAnsi="宋体"/>
          <w:b w:val="0"/>
          <w:highlight w:val="none"/>
        </w:rPr>
      </w:pPr>
      <w:bookmarkStart w:id="2233" w:name="_Toc287607867"/>
      <w:bookmarkStart w:id="2234" w:name="_Toc287620814"/>
      <w:bookmarkStart w:id="2235" w:name="_Toc430530530"/>
      <w:bookmarkStart w:id="2236" w:name="_Toc277082643"/>
      <w:bookmarkStart w:id="2237" w:name="_Toc224103495"/>
      <w:bookmarkStart w:id="2238" w:name="_Toc509218854"/>
      <w:bookmarkStart w:id="2239" w:name="_Toc534185831"/>
      <w:r>
        <w:rPr>
          <w:rFonts w:ascii="宋体" w:hAnsi="宋体"/>
          <w:highlight w:val="none"/>
        </w:rPr>
        <w:br w:type="page"/>
      </w:r>
      <w:bookmarkStart w:id="2240" w:name="_Toc21453"/>
      <w:bookmarkStart w:id="2241" w:name="_Toc20851"/>
      <w:r>
        <w:rPr>
          <w:rFonts w:hint="eastAsia" w:ascii="宋体" w:hAnsi="宋体"/>
          <w:b w:val="0"/>
          <w:bCs w:val="0"/>
          <w:highlight w:val="none"/>
        </w:rPr>
        <w:t>（一）投标函</w:t>
      </w:r>
      <w:bookmarkEnd w:id="2233"/>
      <w:bookmarkEnd w:id="2234"/>
      <w:bookmarkEnd w:id="2235"/>
      <w:bookmarkEnd w:id="2236"/>
      <w:bookmarkEnd w:id="2237"/>
      <w:bookmarkEnd w:id="2238"/>
      <w:bookmarkEnd w:id="2239"/>
      <w:bookmarkEnd w:id="2240"/>
      <w:bookmarkEnd w:id="2241"/>
    </w:p>
    <w:p w14:paraId="1B522D7B">
      <w:pPr>
        <w:tabs>
          <w:tab w:val="left" w:pos="2640"/>
        </w:tabs>
        <w:autoSpaceDE w:val="0"/>
        <w:autoSpaceDN w:val="0"/>
        <w:adjustRightInd w:val="0"/>
        <w:spacing w:line="400" w:lineRule="exact"/>
        <w:rPr>
          <w:rFonts w:ascii="宋体" w:hAnsi="宋体"/>
          <w:snapToGrid w:val="0"/>
          <w:kern w:val="0"/>
          <w:szCs w:val="21"/>
          <w:highlight w:val="none"/>
        </w:rPr>
      </w:pPr>
      <w:r>
        <w:rPr>
          <w:rFonts w:ascii="宋体" w:hAnsi="宋体"/>
          <w:snapToGrid w:val="0"/>
          <w:kern w:val="0"/>
          <w:szCs w:val="21"/>
          <w:highlight w:val="none"/>
          <w:u w:val="single"/>
        </w:rPr>
        <w:tab/>
      </w:r>
      <w:r>
        <w:rPr>
          <w:rFonts w:ascii="宋体" w:hAnsi="宋体"/>
          <w:snapToGrid w:val="0"/>
          <w:kern w:val="0"/>
          <w:szCs w:val="21"/>
          <w:highlight w:val="none"/>
          <w:u w:val="single"/>
        </w:rPr>
        <w:t>（</w:t>
      </w:r>
      <w:r>
        <w:rPr>
          <w:rFonts w:hint="eastAsia" w:ascii="宋体" w:hAnsi="宋体"/>
          <w:snapToGrid w:val="0"/>
          <w:kern w:val="0"/>
          <w:szCs w:val="21"/>
          <w:highlight w:val="none"/>
          <w:u w:val="single"/>
          <w:lang w:eastAsia="zh-CN"/>
        </w:rPr>
        <w:t>比选人</w:t>
      </w:r>
      <w:r>
        <w:rPr>
          <w:rFonts w:ascii="宋体" w:hAnsi="宋体"/>
          <w:snapToGrid w:val="0"/>
          <w:kern w:val="0"/>
          <w:szCs w:val="21"/>
          <w:highlight w:val="none"/>
          <w:u w:val="single"/>
        </w:rPr>
        <w:t>名称）</w:t>
      </w:r>
      <w:r>
        <w:rPr>
          <w:rFonts w:ascii="宋体" w:hAnsi="宋体"/>
          <w:snapToGrid w:val="0"/>
          <w:kern w:val="0"/>
          <w:szCs w:val="21"/>
          <w:highlight w:val="none"/>
        </w:rPr>
        <w:t>：</w:t>
      </w:r>
    </w:p>
    <w:p w14:paraId="471A03EA">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1</w:t>
      </w:r>
      <w:r>
        <w:rPr>
          <w:rFonts w:hint="eastAsia" w:ascii="宋体" w:hAnsi="宋体"/>
          <w:snapToGrid w:val="0"/>
          <w:kern w:val="0"/>
          <w:szCs w:val="21"/>
          <w:highlight w:val="none"/>
        </w:rPr>
        <w:t xml:space="preserve">. </w:t>
      </w:r>
      <w:r>
        <w:rPr>
          <w:rFonts w:ascii="宋体" w:hAnsi="宋体"/>
          <w:snapToGrid w:val="0"/>
          <w:kern w:val="0"/>
          <w:szCs w:val="21"/>
          <w:highlight w:val="none"/>
        </w:rPr>
        <w:t>我方已仔细研究了</w:t>
      </w:r>
      <w:r>
        <w:rPr>
          <w:rFonts w:ascii="宋体" w:hAnsi="宋体"/>
          <w:snapToGrid w:val="0"/>
          <w:kern w:val="0"/>
          <w:szCs w:val="21"/>
          <w:highlight w:val="none"/>
          <w:u w:val="single"/>
        </w:rPr>
        <w:tab/>
      </w:r>
      <w:r>
        <w:rPr>
          <w:rFonts w:ascii="宋体" w:hAnsi="宋体"/>
          <w:snapToGrid w:val="0"/>
          <w:kern w:val="0"/>
          <w:szCs w:val="21"/>
          <w:highlight w:val="none"/>
          <w:u w:val="single"/>
        </w:rPr>
        <w:tab/>
      </w:r>
      <w:r>
        <w:rPr>
          <w:rFonts w:ascii="宋体" w:hAnsi="宋体"/>
          <w:snapToGrid w:val="0"/>
          <w:kern w:val="0"/>
          <w:szCs w:val="21"/>
          <w:highlight w:val="none"/>
          <w:u w:val="single"/>
        </w:rPr>
        <w:t>（项目名称）</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的全部内容，愿意以人民币（大写）</w:t>
      </w:r>
      <w:r>
        <w:rPr>
          <w:rFonts w:ascii="宋体" w:hAnsi="宋体"/>
          <w:snapToGrid w:val="0"/>
          <w:kern w:val="0"/>
          <w:szCs w:val="21"/>
          <w:highlight w:val="none"/>
          <w:u w:val="single"/>
        </w:rPr>
        <w:tab/>
      </w:r>
      <w:r>
        <w:rPr>
          <w:rFonts w:ascii="宋体" w:hAnsi="宋体"/>
          <w:snapToGrid w:val="0"/>
          <w:kern w:val="0"/>
          <w:szCs w:val="21"/>
          <w:highlight w:val="none"/>
        </w:rPr>
        <w:t>（¥</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）的投标总报价进行报价，其中</w:t>
      </w:r>
      <w:r>
        <w:rPr>
          <w:rFonts w:ascii="宋体" w:hAnsi="宋体"/>
          <w:snapToGrid w:val="0"/>
          <w:kern w:val="0"/>
          <w:highlight w:val="none"/>
        </w:rPr>
        <w:t>安全文明施工费暂定金额为人民币</w:t>
      </w:r>
      <w:r>
        <w:rPr>
          <w:rFonts w:ascii="宋体" w:hAnsi="宋体"/>
          <w:snapToGrid w:val="0"/>
          <w:kern w:val="0"/>
          <w:szCs w:val="21"/>
          <w:highlight w:val="none"/>
        </w:rPr>
        <w:t>（大写）</w:t>
      </w:r>
      <w:r>
        <w:rPr>
          <w:rFonts w:ascii="宋体" w:hAnsi="宋体"/>
          <w:snapToGrid w:val="0"/>
          <w:kern w:val="0"/>
          <w:szCs w:val="21"/>
          <w:highlight w:val="none"/>
          <w:u w:val="single"/>
        </w:rPr>
        <w:tab/>
      </w:r>
      <w:r>
        <w:rPr>
          <w:rFonts w:ascii="宋体" w:hAnsi="宋体"/>
          <w:snapToGrid w:val="0"/>
          <w:kern w:val="0"/>
          <w:szCs w:val="21"/>
          <w:highlight w:val="none"/>
        </w:rPr>
        <w:t>（¥</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），该工程</w:t>
      </w:r>
      <w:r>
        <w:rPr>
          <w:rFonts w:ascii="宋体" w:hAnsi="宋体"/>
          <w:snapToGrid w:val="0"/>
          <w:kern w:val="0"/>
          <w:highlight w:val="none"/>
        </w:rPr>
        <w:t>项目经理为</w:t>
      </w:r>
      <w:r>
        <w:rPr>
          <w:rFonts w:hint="eastAsia" w:ascii="宋体" w:hAnsi="宋体"/>
          <w:snapToGrid w:val="0"/>
          <w:kern w:val="0"/>
          <w:highlight w:val="none"/>
          <w:u w:val="single"/>
        </w:rPr>
        <w:t xml:space="preserve">        </w:t>
      </w:r>
      <w:r>
        <w:rPr>
          <w:rFonts w:ascii="宋体" w:hAnsi="宋体"/>
          <w:snapToGrid w:val="0"/>
          <w:kern w:val="0"/>
          <w:szCs w:val="21"/>
          <w:highlight w:val="none"/>
        </w:rPr>
        <w:t>。工期</w:t>
      </w:r>
      <w:r>
        <w:rPr>
          <w:rFonts w:hint="eastAsia" w:ascii="宋体" w:hAnsi="宋体"/>
          <w:snapToGrid w:val="0"/>
          <w:kern w:val="0"/>
          <w:szCs w:val="21"/>
          <w:highlight w:val="none"/>
          <w:u w:val="single"/>
        </w:rPr>
        <w:t>达到</w:t>
      </w:r>
      <w:r>
        <w:rPr>
          <w:rFonts w:hint="eastAsia" w:ascii="宋体" w:hAnsi="宋体"/>
          <w:snapToGrid w:val="0"/>
          <w:kern w:val="0"/>
          <w:szCs w:val="21"/>
          <w:highlight w:val="none"/>
          <w:u w:val="single"/>
          <w:lang w:eastAsia="zh-CN"/>
        </w:rPr>
        <w:t>竞争性比选文件</w:t>
      </w:r>
      <w:r>
        <w:rPr>
          <w:rFonts w:hint="eastAsia" w:ascii="宋体" w:hAnsi="宋体"/>
          <w:snapToGrid w:val="0"/>
          <w:kern w:val="0"/>
          <w:szCs w:val="21"/>
          <w:highlight w:val="none"/>
          <w:u w:val="single"/>
        </w:rPr>
        <w:t>的要求</w:t>
      </w:r>
      <w:r>
        <w:rPr>
          <w:rFonts w:ascii="宋体" w:hAnsi="宋体"/>
          <w:snapToGrid w:val="0"/>
          <w:kern w:val="0"/>
          <w:szCs w:val="21"/>
          <w:highlight w:val="none"/>
        </w:rPr>
        <w:t>，</w:t>
      </w:r>
      <w:r>
        <w:rPr>
          <w:rFonts w:hint="eastAsia" w:ascii="宋体" w:hAnsi="宋体"/>
          <w:snapToGrid w:val="0"/>
          <w:kern w:val="0"/>
          <w:szCs w:val="21"/>
          <w:highlight w:val="none"/>
        </w:rPr>
        <w:t>缺陷责任期</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rPr>
        <w:t>，</w:t>
      </w:r>
      <w:r>
        <w:rPr>
          <w:rFonts w:ascii="宋体" w:hAnsi="宋体"/>
          <w:snapToGrid w:val="0"/>
          <w:kern w:val="0"/>
          <w:szCs w:val="21"/>
          <w:highlight w:val="none"/>
        </w:rPr>
        <w:t xml:space="preserve"> 按合同约定实施和完成承包工程，修补工程中的任何缺陷，工程质量</w:t>
      </w:r>
      <w:r>
        <w:rPr>
          <w:rFonts w:hint="eastAsia" w:ascii="宋体" w:hAnsi="宋体"/>
          <w:snapToGrid w:val="0"/>
          <w:kern w:val="0"/>
          <w:szCs w:val="21"/>
          <w:highlight w:val="none"/>
          <w:u w:val="single"/>
        </w:rPr>
        <w:t>达到</w:t>
      </w:r>
      <w:r>
        <w:rPr>
          <w:rFonts w:hint="eastAsia" w:ascii="宋体" w:hAnsi="宋体"/>
          <w:snapToGrid w:val="0"/>
          <w:kern w:val="0"/>
          <w:szCs w:val="21"/>
          <w:highlight w:val="none"/>
          <w:u w:val="single"/>
          <w:lang w:eastAsia="zh-CN"/>
        </w:rPr>
        <w:t>竞争性比选文件</w:t>
      </w:r>
      <w:r>
        <w:rPr>
          <w:rFonts w:hint="eastAsia" w:ascii="宋体" w:hAnsi="宋体"/>
          <w:snapToGrid w:val="0"/>
          <w:kern w:val="0"/>
          <w:szCs w:val="21"/>
          <w:highlight w:val="none"/>
          <w:u w:val="single"/>
        </w:rPr>
        <w:t>的要求</w:t>
      </w:r>
      <w:r>
        <w:rPr>
          <w:rFonts w:ascii="宋体" w:hAnsi="宋体"/>
          <w:snapToGrid w:val="0"/>
          <w:kern w:val="0"/>
          <w:szCs w:val="21"/>
          <w:highlight w:val="none"/>
        </w:rPr>
        <w:t>。</w:t>
      </w:r>
    </w:p>
    <w:p w14:paraId="44790DBD">
      <w:pPr>
        <w:autoSpaceDE w:val="0"/>
        <w:autoSpaceDN w:val="0"/>
        <w:adjustRightInd w:val="0"/>
        <w:spacing w:line="400" w:lineRule="exact"/>
        <w:ind w:firstLine="420" w:firstLineChars="200"/>
        <w:rPr>
          <w:rFonts w:ascii="宋体" w:hAnsi="宋体"/>
          <w:snapToGrid w:val="0"/>
          <w:kern w:val="0"/>
          <w:sz w:val="10"/>
          <w:szCs w:val="10"/>
          <w:highlight w:val="none"/>
        </w:rPr>
      </w:pPr>
      <w:r>
        <w:rPr>
          <w:rFonts w:ascii="宋体" w:hAnsi="宋体"/>
          <w:snapToGrid w:val="0"/>
          <w:kern w:val="0"/>
          <w:szCs w:val="21"/>
          <w:highlight w:val="none"/>
        </w:rPr>
        <w:t>2</w:t>
      </w:r>
      <w:r>
        <w:rPr>
          <w:rFonts w:hint="eastAsia" w:ascii="宋体" w:hAnsi="宋体"/>
          <w:snapToGrid w:val="0"/>
          <w:kern w:val="0"/>
          <w:szCs w:val="21"/>
          <w:highlight w:val="none"/>
        </w:rPr>
        <w:t xml:space="preserve">. </w:t>
      </w:r>
      <w:r>
        <w:rPr>
          <w:rFonts w:ascii="宋体" w:hAnsi="宋体"/>
          <w:snapToGrid w:val="0"/>
          <w:kern w:val="0"/>
          <w:szCs w:val="21"/>
          <w:highlight w:val="none"/>
        </w:rPr>
        <w:t>我方承诺</w:t>
      </w:r>
      <w:r>
        <w:rPr>
          <w:rFonts w:hint="eastAsia" w:ascii="宋体" w:hAnsi="宋体"/>
          <w:snapToGrid w:val="0"/>
          <w:kern w:val="0"/>
          <w:szCs w:val="21"/>
          <w:highlight w:val="none"/>
        </w:rPr>
        <w:t>响应</w:t>
      </w:r>
      <w:r>
        <w:rPr>
          <w:rFonts w:hint="eastAsia" w:ascii="宋体" w:hAnsi="宋体"/>
          <w:snapToGrid w:val="0"/>
          <w:kern w:val="0"/>
          <w:szCs w:val="21"/>
          <w:highlight w:val="none"/>
          <w:lang w:eastAsia="zh-CN"/>
        </w:rPr>
        <w:t>竞争性比选文件</w:t>
      </w:r>
      <w:r>
        <w:rPr>
          <w:rFonts w:hint="eastAsia" w:ascii="宋体" w:hAnsi="宋体"/>
          <w:snapToGrid w:val="0"/>
          <w:kern w:val="0"/>
          <w:szCs w:val="21"/>
          <w:highlight w:val="none"/>
        </w:rPr>
        <w:t>规定的投标有效期，</w:t>
      </w:r>
      <w:r>
        <w:rPr>
          <w:rFonts w:ascii="宋体" w:hAnsi="宋体"/>
          <w:snapToGrid w:val="0"/>
          <w:kern w:val="0"/>
          <w:szCs w:val="21"/>
          <w:highlight w:val="none"/>
        </w:rPr>
        <w:t>在投标有效期内不修改、撤销</w:t>
      </w:r>
      <w:r>
        <w:rPr>
          <w:rFonts w:hint="eastAsia" w:ascii="宋体" w:hAnsi="宋体"/>
          <w:snapToGrid w:val="0"/>
          <w:kern w:val="0"/>
          <w:szCs w:val="21"/>
          <w:highlight w:val="none"/>
          <w:lang w:eastAsia="zh-CN"/>
        </w:rPr>
        <w:t>比选申请文件</w:t>
      </w:r>
      <w:r>
        <w:rPr>
          <w:rFonts w:ascii="宋体" w:hAnsi="宋体"/>
          <w:snapToGrid w:val="0"/>
          <w:kern w:val="0"/>
          <w:szCs w:val="21"/>
          <w:highlight w:val="none"/>
        </w:rPr>
        <w:t>。</w:t>
      </w:r>
    </w:p>
    <w:p w14:paraId="6A6D9D46">
      <w:pPr>
        <w:tabs>
          <w:tab w:val="left" w:pos="2730"/>
          <w:tab w:val="left" w:pos="7980"/>
        </w:tabs>
        <w:autoSpaceDE w:val="0"/>
        <w:autoSpaceDN w:val="0"/>
        <w:adjustRightInd w:val="0"/>
        <w:spacing w:line="400" w:lineRule="exact"/>
        <w:ind w:firstLine="420" w:firstLineChars="200"/>
        <w:rPr>
          <w:rFonts w:ascii="宋体" w:hAnsi="宋体"/>
          <w:snapToGrid w:val="0"/>
          <w:kern w:val="0"/>
          <w:sz w:val="10"/>
          <w:szCs w:val="10"/>
          <w:highlight w:val="none"/>
        </w:rPr>
      </w:pPr>
      <w:r>
        <w:rPr>
          <w:rFonts w:ascii="宋体" w:hAnsi="宋体"/>
          <w:snapToGrid w:val="0"/>
          <w:kern w:val="0"/>
          <w:szCs w:val="21"/>
          <w:highlight w:val="none"/>
        </w:rPr>
        <w:t>3</w:t>
      </w:r>
      <w:r>
        <w:rPr>
          <w:rFonts w:hint="eastAsia" w:ascii="宋体" w:hAnsi="宋体"/>
          <w:snapToGrid w:val="0"/>
          <w:kern w:val="0"/>
          <w:szCs w:val="21"/>
          <w:highlight w:val="none"/>
        </w:rPr>
        <w:t xml:space="preserve">. </w:t>
      </w:r>
      <w:r>
        <w:rPr>
          <w:rFonts w:ascii="宋体" w:hAnsi="宋体"/>
          <w:snapToGrid w:val="0"/>
          <w:kern w:val="0"/>
          <w:szCs w:val="21"/>
          <w:highlight w:val="none"/>
        </w:rPr>
        <w:t>随同本投标函提交投标保证金一份，金额为人民币（大写）</w:t>
      </w:r>
      <w:r>
        <w:rPr>
          <w:rFonts w:hint="eastAsia" w:ascii="宋体" w:hAnsi="宋体"/>
          <w:snapToGrid w:val="0"/>
          <w:kern w:val="0"/>
          <w:szCs w:val="21"/>
          <w:highlight w:val="none"/>
          <w:u w:val="single"/>
          <w:lang w:val="en-US" w:eastAsia="zh-CN"/>
        </w:rPr>
        <w:t xml:space="preserve"> / </w:t>
      </w:r>
      <w:r>
        <w:rPr>
          <w:rFonts w:ascii="宋体" w:hAnsi="宋体"/>
          <w:snapToGrid w:val="0"/>
          <w:kern w:val="0"/>
          <w:szCs w:val="21"/>
          <w:highlight w:val="none"/>
        </w:rPr>
        <w:t>（¥</w:t>
      </w:r>
      <w:r>
        <w:rPr>
          <w:rFonts w:hint="eastAsia" w:ascii="宋体" w:hAnsi="宋体"/>
          <w:snapToGrid w:val="0"/>
          <w:kern w:val="0"/>
          <w:szCs w:val="21"/>
          <w:highlight w:val="none"/>
          <w:u w:val="single"/>
          <w:lang w:val="en-US" w:eastAsia="zh-CN"/>
        </w:rPr>
        <w:t xml:space="preserve"> / </w:t>
      </w:r>
      <w:r>
        <w:rPr>
          <w:rFonts w:ascii="宋体" w:hAnsi="宋体"/>
          <w:snapToGrid w:val="0"/>
          <w:kern w:val="0"/>
          <w:szCs w:val="21"/>
          <w:highlight w:val="none"/>
        </w:rPr>
        <w:t>）。</w:t>
      </w:r>
      <w:r>
        <w:rPr>
          <w:rFonts w:hint="eastAsia" w:ascii="宋体" w:hAnsi="宋体"/>
          <w:snapToGrid w:val="0"/>
          <w:kern w:val="0"/>
          <w:szCs w:val="21"/>
          <w:highlight w:val="none"/>
        </w:rPr>
        <w:t>投标保证金有效期</w:t>
      </w:r>
      <w:r>
        <w:rPr>
          <w:rFonts w:ascii="宋体" w:hAnsi="宋体"/>
          <w:snapToGrid w:val="0"/>
          <w:kern w:val="0"/>
          <w:szCs w:val="21"/>
          <w:highlight w:val="none"/>
        </w:rPr>
        <w:t>与</w:t>
      </w:r>
      <w:r>
        <w:rPr>
          <w:rFonts w:hint="eastAsia" w:ascii="宋体" w:hAnsi="宋体"/>
          <w:snapToGrid w:val="0"/>
          <w:kern w:val="0"/>
          <w:szCs w:val="21"/>
          <w:highlight w:val="none"/>
        </w:rPr>
        <w:t>投标有效期</w:t>
      </w:r>
      <w:r>
        <w:rPr>
          <w:rFonts w:ascii="宋体" w:hAnsi="宋体"/>
          <w:snapToGrid w:val="0"/>
          <w:kern w:val="0"/>
          <w:szCs w:val="21"/>
          <w:highlight w:val="none"/>
        </w:rPr>
        <w:t>一致，在此期间，若我方违反招投标有关法律、法规及本</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的相关规定，投标保证金的受益人为</w:t>
      </w:r>
      <w:r>
        <w:rPr>
          <w:rFonts w:hint="eastAsia" w:ascii="宋体" w:hAnsi="宋体"/>
          <w:snapToGrid w:val="0"/>
          <w:kern w:val="0"/>
          <w:szCs w:val="21"/>
          <w:highlight w:val="none"/>
          <w:lang w:eastAsia="zh-CN"/>
        </w:rPr>
        <w:t>比选人</w:t>
      </w:r>
      <w:r>
        <w:rPr>
          <w:rFonts w:ascii="宋体" w:hAnsi="宋体"/>
          <w:snapToGrid w:val="0"/>
          <w:kern w:val="0"/>
          <w:szCs w:val="21"/>
          <w:highlight w:val="none"/>
        </w:rPr>
        <w:t>。</w:t>
      </w:r>
    </w:p>
    <w:p w14:paraId="5C646079">
      <w:pPr>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4</w:t>
      </w:r>
      <w:r>
        <w:rPr>
          <w:rFonts w:hint="eastAsia" w:ascii="宋体" w:hAnsi="宋体"/>
          <w:snapToGrid w:val="0"/>
          <w:kern w:val="0"/>
          <w:szCs w:val="21"/>
          <w:highlight w:val="none"/>
        </w:rPr>
        <w:t xml:space="preserve">. </w:t>
      </w:r>
      <w:r>
        <w:rPr>
          <w:rFonts w:ascii="宋体" w:hAnsi="宋体"/>
          <w:snapToGrid w:val="0"/>
          <w:kern w:val="0"/>
          <w:szCs w:val="21"/>
          <w:highlight w:val="none"/>
        </w:rPr>
        <w:t>如我方中标：</w:t>
      </w:r>
    </w:p>
    <w:p w14:paraId="29F9F52C">
      <w:pPr>
        <w:autoSpaceDE w:val="0"/>
        <w:autoSpaceDN w:val="0"/>
        <w:adjustRightInd w:val="0"/>
        <w:spacing w:line="400" w:lineRule="exact"/>
        <w:ind w:firstLine="420" w:firstLineChars="200"/>
        <w:rPr>
          <w:rFonts w:ascii="宋体" w:hAnsi="宋体"/>
          <w:snapToGrid w:val="0"/>
          <w:kern w:val="0"/>
          <w:sz w:val="10"/>
          <w:szCs w:val="10"/>
          <w:highlight w:val="none"/>
        </w:rPr>
      </w:pPr>
      <w:r>
        <w:rPr>
          <w:rFonts w:ascii="宋体" w:hAnsi="宋体"/>
          <w:snapToGrid w:val="0"/>
          <w:kern w:val="0"/>
          <w:szCs w:val="21"/>
          <w:highlight w:val="none"/>
        </w:rPr>
        <w:t>（1）我方承诺在收到中标通知书后，在中标通知书规定的期限内与你方签订合同。</w:t>
      </w:r>
    </w:p>
    <w:p w14:paraId="6A056201">
      <w:pPr>
        <w:autoSpaceDE w:val="0"/>
        <w:autoSpaceDN w:val="0"/>
        <w:adjustRightInd w:val="0"/>
        <w:spacing w:line="400" w:lineRule="exact"/>
        <w:ind w:firstLine="420" w:firstLineChars="200"/>
        <w:rPr>
          <w:rFonts w:ascii="宋体" w:hAnsi="宋体"/>
          <w:snapToGrid w:val="0"/>
          <w:kern w:val="0"/>
          <w:sz w:val="10"/>
          <w:szCs w:val="10"/>
          <w:highlight w:val="none"/>
        </w:rPr>
      </w:pPr>
      <w:r>
        <w:rPr>
          <w:rFonts w:ascii="宋体" w:hAnsi="宋体"/>
          <w:snapToGrid w:val="0"/>
          <w:kern w:val="0"/>
          <w:szCs w:val="21"/>
          <w:highlight w:val="none"/>
        </w:rPr>
        <w:t>（2）随同本投标函递交的投标函附录属于合同文件的组成部分。</w:t>
      </w:r>
    </w:p>
    <w:p w14:paraId="0396F6C5">
      <w:pPr>
        <w:autoSpaceDE w:val="0"/>
        <w:autoSpaceDN w:val="0"/>
        <w:adjustRightInd w:val="0"/>
        <w:spacing w:line="400" w:lineRule="exact"/>
        <w:ind w:firstLine="420" w:firstLineChars="200"/>
        <w:rPr>
          <w:rFonts w:ascii="宋体" w:hAnsi="宋体"/>
          <w:snapToGrid w:val="0"/>
          <w:kern w:val="0"/>
          <w:sz w:val="10"/>
          <w:szCs w:val="10"/>
          <w:highlight w:val="none"/>
        </w:rPr>
      </w:pPr>
      <w:r>
        <w:rPr>
          <w:rFonts w:ascii="宋体" w:hAnsi="宋体"/>
          <w:snapToGrid w:val="0"/>
          <w:kern w:val="0"/>
          <w:szCs w:val="21"/>
          <w:highlight w:val="none"/>
        </w:rPr>
        <w:t>（3）我方承诺按照</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规定向你方递交履约担保。</w:t>
      </w:r>
    </w:p>
    <w:p w14:paraId="670FBA89">
      <w:pPr>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（4）我方承诺在合同约定的期限内完成并移交全部合同工程。</w:t>
      </w:r>
    </w:p>
    <w:p w14:paraId="087B531E">
      <w:pPr>
        <w:autoSpaceDE w:val="0"/>
        <w:autoSpaceDN w:val="0"/>
        <w:adjustRightInd w:val="0"/>
        <w:spacing w:line="400" w:lineRule="exact"/>
        <w:ind w:firstLine="420" w:firstLineChars="200"/>
        <w:rPr>
          <w:rFonts w:ascii="宋体" w:hAnsi="宋体"/>
          <w:snapToGrid w:val="0"/>
          <w:kern w:val="0"/>
          <w:sz w:val="10"/>
          <w:szCs w:val="10"/>
          <w:highlight w:val="none"/>
        </w:rPr>
      </w:pPr>
      <w:r>
        <w:rPr>
          <w:rFonts w:hint="eastAsia" w:ascii="宋体" w:hAnsi="宋体"/>
          <w:snapToGrid w:val="0"/>
          <w:kern w:val="0"/>
          <w:szCs w:val="21"/>
          <w:highlight w:val="none"/>
        </w:rPr>
        <w:t>（5）我方承诺以不低于</w:t>
      </w:r>
      <w:r>
        <w:rPr>
          <w:rFonts w:hint="eastAsia" w:ascii="宋体" w:hAnsi="宋体"/>
          <w:snapToGrid w:val="0"/>
          <w:kern w:val="0"/>
          <w:szCs w:val="21"/>
          <w:highlight w:val="none"/>
          <w:lang w:eastAsia="zh-CN"/>
        </w:rPr>
        <w:t>竞争性比选文件</w:t>
      </w:r>
      <w:r>
        <w:rPr>
          <w:rFonts w:hint="eastAsia" w:ascii="宋体" w:hAnsi="宋体"/>
          <w:snapToGrid w:val="0"/>
          <w:kern w:val="0"/>
          <w:szCs w:val="21"/>
          <w:highlight w:val="none"/>
        </w:rPr>
        <w:t>第七章 技术标准和要求中所列的技术指标和参数要求完成全部合同工程。</w:t>
      </w:r>
    </w:p>
    <w:p w14:paraId="2065A26D">
      <w:pPr>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5</w:t>
      </w:r>
      <w:r>
        <w:rPr>
          <w:rFonts w:hint="eastAsia" w:ascii="宋体" w:hAnsi="宋体"/>
          <w:snapToGrid w:val="0"/>
          <w:kern w:val="0"/>
          <w:szCs w:val="21"/>
          <w:highlight w:val="none"/>
        </w:rPr>
        <w:t xml:space="preserve">. </w:t>
      </w:r>
      <w:r>
        <w:rPr>
          <w:rFonts w:ascii="宋体" w:hAnsi="宋体"/>
          <w:snapToGrid w:val="0"/>
          <w:kern w:val="0"/>
          <w:szCs w:val="21"/>
          <w:highlight w:val="none"/>
        </w:rPr>
        <w:t>我方</w:t>
      </w:r>
      <w:r>
        <w:rPr>
          <w:rFonts w:ascii="宋体" w:hAnsi="宋体"/>
          <w:snapToGrid w:val="0"/>
          <w:spacing w:val="-2"/>
          <w:kern w:val="0"/>
          <w:szCs w:val="21"/>
          <w:highlight w:val="none"/>
        </w:rPr>
        <w:t>在此声明，所递交的</w:t>
      </w:r>
      <w:r>
        <w:rPr>
          <w:rFonts w:hint="eastAsia" w:ascii="宋体" w:hAnsi="宋体"/>
          <w:snapToGrid w:val="0"/>
          <w:spacing w:val="-2"/>
          <w:kern w:val="0"/>
          <w:szCs w:val="21"/>
          <w:highlight w:val="none"/>
          <w:lang w:eastAsia="zh-CN"/>
        </w:rPr>
        <w:t>比选申请文件</w:t>
      </w:r>
      <w:r>
        <w:rPr>
          <w:rFonts w:ascii="宋体" w:hAnsi="宋体"/>
          <w:snapToGrid w:val="0"/>
          <w:spacing w:val="-2"/>
          <w:kern w:val="0"/>
          <w:szCs w:val="21"/>
          <w:highlight w:val="none"/>
        </w:rPr>
        <w:t>及有关资料内容完整、真实和准确，</w:t>
      </w:r>
      <w:r>
        <w:rPr>
          <w:rFonts w:ascii="宋体" w:hAnsi="宋体"/>
          <w:snapToGrid w:val="0"/>
          <w:kern w:val="0"/>
          <w:szCs w:val="21"/>
          <w:highlight w:val="none"/>
        </w:rPr>
        <w:t>同时我方承诺接受</w:t>
      </w:r>
      <w:r>
        <w:rPr>
          <w:rFonts w:hint="eastAsia" w:ascii="宋体" w:hAnsi="宋体"/>
          <w:snapToGrid w:val="0"/>
          <w:kern w:val="0"/>
          <w:szCs w:val="21"/>
          <w:highlight w:val="none"/>
          <w:lang w:eastAsia="zh-CN"/>
        </w:rPr>
        <w:t>竞争性比选文件</w:t>
      </w:r>
      <w:r>
        <w:rPr>
          <w:rFonts w:ascii="宋体" w:hAnsi="宋体"/>
          <w:snapToGrid w:val="0"/>
          <w:kern w:val="0"/>
          <w:szCs w:val="21"/>
          <w:highlight w:val="none"/>
        </w:rPr>
        <w:t>及附件、</w:t>
      </w:r>
      <w:r>
        <w:rPr>
          <w:rFonts w:hint="eastAsia" w:ascii="宋体" w:hAnsi="宋体"/>
          <w:snapToGrid w:val="0"/>
          <w:kern w:val="0"/>
          <w:szCs w:val="21"/>
          <w:highlight w:val="none"/>
        </w:rPr>
        <w:t>澄清</w:t>
      </w:r>
      <w:r>
        <w:rPr>
          <w:rFonts w:ascii="宋体" w:hAnsi="宋体"/>
          <w:snapToGrid w:val="0"/>
          <w:kern w:val="0"/>
          <w:szCs w:val="21"/>
          <w:highlight w:val="none"/>
        </w:rPr>
        <w:t>及</w:t>
      </w:r>
      <w:r>
        <w:rPr>
          <w:rFonts w:hint="eastAsia" w:ascii="宋体" w:hAnsi="宋体"/>
          <w:snapToGrid w:val="0"/>
          <w:kern w:val="0"/>
          <w:szCs w:val="21"/>
          <w:highlight w:val="none"/>
        </w:rPr>
        <w:t>修改</w:t>
      </w:r>
      <w:r>
        <w:rPr>
          <w:rFonts w:ascii="宋体" w:hAnsi="宋体"/>
          <w:snapToGrid w:val="0"/>
          <w:kern w:val="0"/>
          <w:szCs w:val="21"/>
          <w:highlight w:val="none"/>
        </w:rPr>
        <w:t>通知中所有的内容。</w:t>
      </w:r>
    </w:p>
    <w:p w14:paraId="582BA730">
      <w:pPr>
        <w:tabs>
          <w:tab w:val="left" w:pos="5985"/>
        </w:tabs>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6</w:t>
      </w:r>
      <w:r>
        <w:rPr>
          <w:rFonts w:hint="eastAsia" w:ascii="宋体" w:hAnsi="宋体"/>
          <w:snapToGrid w:val="0"/>
          <w:kern w:val="0"/>
          <w:szCs w:val="21"/>
          <w:highlight w:val="none"/>
        </w:rPr>
        <w:t xml:space="preserve">. </w:t>
      </w:r>
      <w:r>
        <w:rPr>
          <w:rFonts w:ascii="宋体" w:hAnsi="宋体"/>
          <w:snapToGrid w:val="0"/>
          <w:w w:val="200"/>
          <w:kern w:val="0"/>
          <w:szCs w:val="21"/>
          <w:highlight w:val="none"/>
          <w:u w:val="single"/>
        </w:rPr>
        <w:t xml:space="preserve"> </w:t>
      </w:r>
      <w:r>
        <w:rPr>
          <w:rFonts w:ascii="宋体" w:hAnsi="宋体"/>
          <w:snapToGrid w:val="0"/>
          <w:kern w:val="0"/>
          <w:szCs w:val="21"/>
          <w:highlight w:val="none"/>
          <w:u w:val="single"/>
        </w:rPr>
        <w:tab/>
      </w:r>
      <w:r>
        <w:rPr>
          <w:rFonts w:ascii="宋体" w:hAnsi="宋体"/>
          <w:snapToGrid w:val="0"/>
          <w:kern w:val="0"/>
          <w:szCs w:val="21"/>
          <w:highlight w:val="none"/>
          <w:u w:val="single"/>
        </w:rPr>
        <w:t>（其他补充说明）</w:t>
      </w:r>
      <w:r>
        <w:rPr>
          <w:rFonts w:ascii="宋体" w:hAnsi="宋体"/>
          <w:snapToGrid w:val="0"/>
          <w:kern w:val="0"/>
          <w:szCs w:val="21"/>
          <w:highlight w:val="none"/>
        </w:rPr>
        <w:t>。</w:t>
      </w:r>
    </w:p>
    <w:p w14:paraId="06A37C26">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投  标  人：</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u w:val="single"/>
        </w:rPr>
        <w:t xml:space="preserve">    </w:t>
      </w:r>
      <w:r>
        <w:rPr>
          <w:rFonts w:ascii="宋体" w:hAnsi="宋体"/>
          <w:snapToGrid w:val="0"/>
          <w:kern w:val="0"/>
          <w:szCs w:val="21"/>
          <w:highlight w:val="none"/>
        </w:rPr>
        <w:t xml:space="preserve">（盖单位法人章） </w:t>
      </w:r>
    </w:p>
    <w:p w14:paraId="4615159B">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法定代表人</w:t>
      </w:r>
      <w:r>
        <w:rPr>
          <w:rFonts w:hint="eastAsia" w:ascii="宋体" w:hAnsi="宋体"/>
          <w:snapToGrid w:val="0"/>
          <w:kern w:val="0"/>
          <w:szCs w:val="21"/>
          <w:highlight w:val="none"/>
        </w:rPr>
        <w:t>或其委托代理人</w:t>
      </w:r>
      <w:r>
        <w:rPr>
          <w:rFonts w:ascii="宋体" w:hAnsi="宋体"/>
          <w:snapToGrid w:val="0"/>
          <w:kern w:val="0"/>
          <w:szCs w:val="21"/>
          <w:highlight w:val="none"/>
        </w:rPr>
        <w:t>：</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w:t>
      </w:r>
      <w:r>
        <w:rPr>
          <w:rFonts w:hint="eastAsia" w:ascii="宋体" w:hAnsi="宋体"/>
          <w:snapToGrid w:val="0"/>
          <w:kern w:val="0"/>
          <w:szCs w:val="21"/>
          <w:highlight w:val="none"/>
        </w:rPr>
        <w:t>签名</w:t>
      </w:r>
      <w:r>
        <w:rPr>
          <w:rFonts w:ascii="宋体" w:hAnsi="宋体"/>
          <w:snapToGrid w:val="0"/>
          <w:kern w:val="0"/>
          <w:szCs w:val="21"/>
          <w:highlight w:val="none"/>
        </w:rPr>
        <w:t>或盖章）</w:t>
      </w:r>
    </w:p>
    <w:p w14:paraId="5B186248">
      <w:pPr>
        <w:tabs>
          <w:tab w:val="left" w:pos="7035"/>
          <w:tab w:val="left" w:pos="7560"/>
          <w:tab w:val="left" w:pos="8300"/>
        </w:tabs>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地</w:t>
      </w:r>
      <w:r>
        <w:rPr>
          <w:rFonts w:hint="eastAsia" w:ascii="宋体" w:hAnsi="宋体"/>
          <w:snapToGrid w:val="0"/>
          <w:kern w:val="0"/>
          <w:szCs w:val="21"/>
          <w:highlight w:val="none"/>
        </w:rPr>
        <w:t xml:space="preserve">    </w:t>
      </w:r>
      <w:r>
        <w:rPr>
          <w:rFonts w:ascii="宋体" w:hAnsi="宋体"/>
          <w:snapToGrid w:val="0"/>
          <w:kern w:val="0"/>
          <w:szCs w:val="21"/>
          <w:highlight w:val="none"/>
        </w:rPr>
        <w:t>址：</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u w:val="single"/>
        </w:rPr>
        <w:t xml:space="preserve">      </w:t>
      </w:r>
    </w:p>
    <w:p w14:paraId="4541B98B">
      <w:pPr>
        <w:tabs>
          <w:tab w:val="left" w:pos="8300"/>
        </w:tabs>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网</w:t>
      </w:r>
      <w:r>
        <w:rPr>
          <w:rFonts w:hint="eastAsia" w:ascii="宋体" w:hAnsi="宋体"/>
          <w:snapToGrid w:val="0"/>
          <w:kern w:val="0"/>
          <w:szCs w:val="21"/>
          <w:highlight w:val="none"/>
        </w:rPr>
        <w:t xml:space="preserve">    </w:t>
      </w:r>
      <w:r>
        <w:rPr>
          <w:rFonts w:ascii="宋体" w:hAnsi="宋体"/>
          <w:snapToGrid w:val="0"/>
          <w:kern w:val="0"/>
          <w:szCs w:val="21"/>
          <w:highlight w:val="none"/>
        </w:rPr>
        <w:t>址：</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u w:val="single"/>
        </w:rPr>
        <w:t xml:space="preserve">      </w:t>
      </w:r>
    </w:p>
    <w:p w14:paraId="55B02A1F">
      <w:pPr>
        <w:tabs>
          <w:tab w:val="left" w:pos="8300"/>
        </w:tabs>
        <w:autoSpaceDE w:val="0"/>
        <w:autoSpaceDN w:val="0"/>
        <w:adjustRightInd w:val="0"/>
        <w:spacing w:line="400" w:lineRule="exact"/>
        <w:ind w:firstLine="420" w:firstLineChars="200"/>
        <w:rPr>
          <w:rFonts w:ascii="宋体" w:hAnsi="宋体"/>
          <w:snapToGrid w:val="0"/>
          <w:kern w:val="0"/>
          <w:szCs w:val="21"/>
          <w:highlight w:val="none"/>
        </w:rPr>
      </w:pPr>
      <w:r>
        <w:rPr>
          <w:rFonts w:hint="eastAsia" w:ascii="宋体" w:hAnsi="宋体"/>
          <w:snapToGrid w:val="0"/>
          <w:kern w:val="0"/>
          <w:szCs w:val="21"/>
          <w:highlight w:val="none"/>
        </w:rPr>
        <w:t>单位电话（座机）：</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rPr>
        <w:t>委托代理人电话（手机）：</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p>
    <w:p w14:paraId="43EE5A81">
      <w:pPr>
        <w:tabs>
          <w:tab w:val="left" w:pos="8300"/>
        </w:tabs>
        <w:autoSpaceDE w:val="0"/>
        <w:autoSpaceDN w:val="0"/>
        <w:adjustRightInd w:val="0"/>
        <w:spacing w:line="400" w:lineRule="exact"/>
        <w:ind w:firstLine="420" w:firstLineChars="200"/>
        <w:rPr>
          <w:rFonts w:ascii="宋体" w:hAnsi="宋体"/>
          <w:snapToGrid w:val="0"/>
          <w:kern w:val="0"/>
          <w:szCs w:val="21"/>
          <w:highlight w:val="none"/>
        </w:rPr>
      </w:pPr>
      <w:r>
        <w:rPr>
          <w:rFonts w:ascii="宋体" w:hAnsi="宋体"/>
          <w:snapToGrid w:val="0"/>
          <w:kern w:val="0"/>
          <w:szCs w:val="21"/>
          <w:highlight w:val="none"/>
        </w:rPr>
        <w:t>传</w:t>
      </w:r>
      <w:r>
        <w:rPr>
          <w:rFonts w:hint="eastAsia" w:ascii="宋体" w:hAnsi="宋体"/>
          <w:snapToGrid w:val="0"/>
          <w:kern w:val="0"/>
          <w:szCs w:val="21"/>
          <w:highlight w:val="none"/>
        </w:rPr>
        <w:t xml:space="preserve">    </w:t>
      </w:r>
      <w:r>
        <w:rPr>
          <w:rFonts w:ascii="宋体" w:hAnsi="宋体"/>
          <w:snapToGrid w:val="0"/>
          <w:kern w:val="0"/>
          <w:szCs w:val="21"/>
          <w:highlight w:val="none"/>
        </w:rPr>
        <w:t>真：</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u w:val="single"/>
        </w:rPr>
        <w:t xml:space="preserve">      </w:t>
      </w:r>
    </w:p>
    <w:p w14:paraId="6731E1EB">
      <w:pPr>
        <w:tabs>
          <w:tab w:val="left" w:pos="8300"/>
        </w:tabs>
        <w:autoSpaceDE w:val="0"/>
        <w:autoSpaceDN w:val="0"/>
        <w:adjustRightInd w:val="0"/>
        <w:spacing w:line="400" w:lineRule="exact"/>
        <w:ind w:firstLine="420" w:firstLineChars="200"/>
        <w:rPr>
          <w:rFonts w:ascii="宋体" w:hAnsi="宋体"/>
          <w:snapToGrid w:val="0"/>
          <w:kern w:val="0"/>
          <w:szCs w:val="21"/>
          <w:highlight w:val="none"/>
          <w:u w:val="single"/>
        </w:rPr>
      </w:pPr>
      <w:r>
        <w:rPr>
          <w:rFonts w:ascii="宋体" w:hAnsi="宋体"/>
          <w:snapToGrid w:val="0"/>
          <w:kern w:val="0"/>
          <w:szCs w:val="21"/>
          <w:highlight w:val="none"/>
        </w:rPr>
        <w:t>邮政编码：</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u w:val="single"/>
        </w:rPr>
        <w:t xml:space="preserve">      </w:t>
      </w:r>
    </w:p>
    <w:p w14:paraId="47F86C78">
      <w:pPr>
        <w:tabs>
          <w:tab w:val="left" w:pos="8300"/>
        </w:tabs>
        <w:autoSpaceDE w:val="0"/>
        <w:autoSpaceDN w:val="0"/>
        <w:adjustRightInd w:val="0"/>
        <w:spacing w:line="400" w:lineRule="exact"/>
        <w:ind w:firstLine="400" w:firstLineChars="200"/>
        <w:rPr>
          <w:rFonts w:ascii="宋体" w:hAnsi="宋体"/>
          <w:snapToGrid w:val="0"/>
          <w:kern w:val="0"/>
          <w:sz w:val="20"/>
          <w:szCs w:val="20"/>
          <w:highlight w:val="none"/>
        </w:rPr>
      </w:pPr>
    </w:p>
    <w:p w14:paraId="48406071">
      <w:pPr>
        <w:tabs>
          <w:tab w:val="left" w:pos="8300"/>
        </w:tabs>
        <w:autoSpaceDE w:val="0"/>
        <w:autoSpaceDN w:val="0"/>
        <w:adjustRightInd w:val="0"/>
        <w:spacing w:line="400" w:lineRule="exact"/>
        <w:ind w:firstLine="420" w:firstLineChars="200"/>
        <w:jc w:val="right"/>
        <w:rPr>
          <w:rFonts w:ascii="宋体" w:hAnsi="宋体"/>
          <w:kern w:val="0"/>
          <w:szCs w:val="21"/>
          <w:highlight w:val="none"/>
        </w:rPr>
      </w:pPr>
      <w:r>
        <w:rPr>
          <w:rFonts w:hint="eastAsia" w:ascii="宋体" w:hAnsi="宋体"/>
          <w:kern w:val="0"/>
          <w:szCs w:val="21"/>
          <w:highlight w:val="none"/>
          <w:u w:val="single"/>
        </w:rPr>
        <w:t xml:space="preserve">    </w:t>
      </w:r>
      <w:r>
        <w:rPr>
          <w:rFonts w:ascii="宋体" w:hAnsi="宋体"/>
          <w:kern w:val="0"/>
          <w:szCs w:val="21"/>
          <w:highlight w:val="none"/>
        </w:rPr>
        <w:t>年</w:t>
      </w:r>
      <w:r>
        <w:rPr>
          <w:rFonts w:hint="eastAsia" w:ascii="宋体" w:hAnsi="宋体"/>
          <w:kern w:val="0"/>
          <w:szCs w:val="21"/>
          <w:highlight w:val="none"/>
          <w:u w:val="single"/>
        </w:rPr>
        <w:t xml:space="preserve">    </w:t>
      </w:r>
      <w:r>
        <w:rPr>
          <w:rFonts w:ascii="宋体" w:hAnsi="宋体"/>
          <w:kern w:val="0"/>
          <w:szCs w:val="21"/>
          <w:highlight w:val="none"/>
        </w:rPr>
        <w:t>月</w:t>
      </w:r>
      <w:r>
        <w:rPr>
          <w:rFonts w:hint="eastAsia" w:ascii="宋体" w:hAnsi="宋体"/>
          <w:kern w:val="0"/>
          <w:szCs w:val="21"/>
          <w:highlight w:val="none"/>
          <w:u w:val="single"/>
        </w:rPr>
        <w:t xml:space="preserve">    </w:t>
      </w:r>
      <w:r>
        <w:rPr>
          <w:rFonts w:ascii="宋体" w:hAnsi="宋体"/>
          <w:kern w:val="0"/>
          <w:szCs w:val="21"/>
          <w:highlight w:val="none"/>
        </w:rPr>
        <w:t>日</w:t>
      </w:r>
    </w:p>
    <w:p w14:paraId="3EFA706D">
      <w:pPr>
        <w:tabs>
          <w:tab w:val="left" w:pos="8300"/>
        </w:tabs>
        <w:autoSpaceDE w:val="0"/>
        <w:autoSpaceDN w:val="0"/>
        <w:adjustRightInd w:val="0"/>
        <w:spacing w:line="400" w:lineRule="exact"/>
        <w:ind w:firstLine="420" w:firstLineChars="200"/>
        <w:jc w:val="right"/>
        <w:rPr>
          <w:rFonts w:ascii="宋体" w:hAnsi="宋体"/>
          <w:kern w:val="0"/>
          <w:szCs w:val="21"/>
          <w:highlight w:val="none"/>
        </w:rPr>
      </w:pPr>
    </w:p>
    <w:p w14:paraId="1A40D883">
      <w:pPr>
        <w:pStyle w:val="5"/>
        <w:spacing w:before="0" w:after="0" w:line="240" w:lineRule="auto"/>
        <w:jc w:val="center"/>
        <w:rPr>
          <w:rFonts w:ascii="宋体" w:hAnsi="宋体"/>
          <w:snapToGrid w:val="0"/>
          <w:kern w:val="0"/>
          <w:szCs w:val="21"/>
          <w:highlight w:val="none"/>
        </w:rPr>
      </w:pPr>
      <w:bookmarkStart w:id="2242" w:name="_Toc277082644"/>
      <w:bookmarkStart w:id="2243" w:name="_Toc430530531"/>
      <w:bookmarkStart w:id="2244" w:name="_Toc287607868"/>
      <w:bookmarkStart w:id="2245" w:name="_Toc224103496"/>
      <w:bookmarkStart w:id="2246" w:name="_Toc287620815"/>
      <w:r>
        <w:rPr>
          <w:rFonts w:ascii="宋体" w:hAnsi="宋体"/>
          <w:sz w:val="28"/>
          <w:highlight w:val="none"/>
        </w:rPr>
        <w:br w:type="page"/>
      </w:r>
      <w:bookmarkStart w:id="2247" w:name="_Toc19126"/>
      <w:bookmarkStart w:id="2248" w:name="_Toc6673"/>
      <w:bookmarkStart w:id="2249" w:name="_Toc534185832"/>
      <w:bookmarkStart w:id="2250" w:name="_Toc509218855"/>
      <w:r>
        <w:rPr>
          <w:rFonts w:ascii="宋体" w:hAnsi="宋体"/>
          <w:b w:val="0"/>
          <w:bCs w:val="0"/>
          <w:highlight w:val="none"/>
        </w:rPr>
        <w:t>（二）投标函附录</w:t>
      </w:r>
      <w:bookmarkEnd w:id="2242"/>
      <w:bookmarkEnd w:id="2243"/>
      <w:bookmarkEnd w:id="2244"/>
      <w:bookmarkEnd w:id="2245"/>
      <w:bookmarkEnd w:id="2246"/>
      <w:bookmarkEnd w:id="2247"/>
      <w:bookmarkEnd w:id="2248"/>
      <w:bookmarkEnd w:id="2249"/>
      <w:bookmarkEnd w:id="2250"/>
    </w:p>
    <w:tbl>
      <w:tblPr>
        <w:tblStyle w:val="17"/>
        <w:tblW w:w="9469" w:type="dxa"/>
        <w:tblInd w:w="-1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720"/>
        <w:gridCol w:w="2582"/>
        <w:gridCol w:w="2388"/>
        <w:gridCol w:w="2987"/>
        <w:gridCol w:w="792"/>
      </w:tblGrid>
      <w:tr w14:paraId="664ED12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14:paraId="3FCA5A16">
            <w:pPr>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序号</w:t>
            </w:r>
          </w:p>
        </w:tc>
        <w:tc>
          <w:tcPr>
            <w:tcW w:w="2582" w:type="dxa"/>
            <w:vAlign w:val="center"/>
          </w:tcPr>
          <w:p w14:paraId="2828FFA6">
            <w:pPr>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条款名称</w:t>
            </w:r>
          </w:p>
        </w:tc>
        <w:tc>
          <w:tcPr>
            <w:tcW w:w="2388" w:type="dxa"/>
            <w:vAlign w:val="center"/>
          </w:tcPr>
          <w:p w14:paraId="2756B011">
            <w:pPr>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合同条款号</w:t>
            </w:r>
          </w:p>
        </w:tc>
        <w:tc>
          <w:tcPr>
            <w:tcW w:w="2987" w:type="dxa"/>
            <w:vAlign w:val="center"/>
          </w:tcPr>
          <w:p w14:paraId="13DC5DC6">
            <w:pPr>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约定内容</w:t>
            </w:r>
          </w:p>
        </w:tc>
        <w:tc>
          <w:tcPr>
            <w:tcW w:w="792" w:type="dxa"/>
            <w:vAlign w:val="center"/>
          </w:tcPr>
          <w:p w14:paraId="30EA5E1C">
            <w:pPr>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备注</w:t>
            </w:r>
          </w:p>
        </w:tc>
      </w:tr>
      <w:tr w14:paraId="7BB9F7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14:paraId="543939FD">
            <w:pPr>
              <w:autoSpaceDE w:val="0"/>
              <w:autoSpaceDN w:val="0"/>
              <w:adjustRightInd w:val="0"/>
              <w:jc w:val="center"/>
              <w:rPr>
                <w:rFonts w:ascii="宋体" w:hAnsi="宋体"/>
                <w:snapToGrid w:val="0"/>
                <w:kern w:val="0"/>
                <w:szCs w:val="21"/>
                <w:highlight w:val="none"/>
              </w:rPr>
            </w:pPr>
            <w:r>
              <w:rPr>
                <w:rFonts w:hint="eastAsia" w:ascii="宋体" w:hAnsi="宋体"/>
                <w:snapToGrid w:val="0"/>
                <w:kern w:val="0"/>
                <w:szCs w:val="21"/>
                <w:highlight w:val="none"/>
              </w:rPr>
              <w:t>1</w:t>
            </w:r>
          </w:p>
        </w:tc>
        <w:tc>
          <w:tcPr>
            <w:tcW w:w="2582" w:type="dxa"/>
            <w:vAlign w:val="center"/>
          </w:tcPr>
          <w:p w14:paraId="2143FA96">
            <w:pPr>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工期</w:t>
            </w:r>
          </w:p>
        </w:tc>
        <w:tc>
          <w:tcPr>
            <w:tcW w:w="2388" w:type="dxa"/>
            <w:vAlign w:val="center"/>
          </w:tcPr>
          <w:p w14:paraId="4A3B5561">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1.1.4.3</w:t>
            </w:r>
          </w:p>
        </w:tc>
        <w:tc>
          <w:tcPr>
            <w:tcW w:w="2987" w:type="dxa"/>
            <w:vAlign w:val="center"/>
          </w:tcPr>
          <w:p w14:paraId="050F2300">
            <w:pPr>
              <w:tabs>
                <w:tab w:val="left" w:pos="1560"/>
              </w:tabs>
              <w:autoSpaceDE w:val="0"/>
              <w:autoSpaceDN w:val="0"/>
              <w:adjustRightInd w:val="0"/>
              <w:jc w:val="center"/>
              <w:rPr>
                <w:rFonts w:ascii="宋体" w:hAnsi="宋体"/>
                <w:snapToGrid w:val="0"/>
                <w:kern w:val="0"/>
                <w:szCs w:val="21"/>
                <w:highlight w:val="none"/>
              </w:rPr>
            </w:pPr>
          </w:p>
        </w:tc>
        <w:tc>
          <w:tcPr>
            <w:tcW w:w="792" w:type="dxa"/>
            <w:vAlign w:val="center"/>
          </w:tcPr>
          <w:p w14:paraId="2BC35046">
            <w:pPr>
              <w:autoSpaceDE w:val="0"/>
              <w:autoSpaceDN w:val="0"/>
              <w:adjustRightInd w:val="0"/>
              <w:jc w:val="center"/>
              <w:rPr>
                <w:rFonts w:ascii="宋体" w:hAnsi="宋体"/>
                <w:snapToGrid w:val="0"/>
                <w:kern w:val="0"/>
                <w:szCs w:val="21"/>
                <w:highlight w:val="none"/>
              </w:rPr>
            </w:pPr>
          </w:p>
        </w:tc>
      </w:tr>
      <w:tr w14:paraId="02CA88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14:paraId="630AE733">
            <w:pPr>
              <w:autoSpaceDE w:val="0"/>
              <w:autoSpaceDN w:val="0"/>
              <w:adjustRightInd w:val="0"/>
              <w:jc w:val="center"/>
              <w:rPr>
                <w:rFonts w:ascii="宋体" w:hAnsi="宋体"/>
                <w:snapToGrid w:val="0"/>
                <w:kern w:val="0"/>
                <w:szCs w:val="21"/>
                <w:highlight w:val="none"/>
              </w:rPr>
            </w:pPr>
            <w:r>
              <w:rPr>
                <w:rFonts w:hint="eastAsia" w:ascii="宋体" w:hAnsi="宋体"/>
                <w:snapToGrid w:val="0"/>
                <w:kern w:val="0"/>
                <w:szCs w:val="21"/>
                <w:highlight w:val="none"/>
              </w:rPr>
              <w:t>2</w:t>
            </w:r>
          </w:p>
        </w:tc>
        <w:tc>
          <w:tcPr>
            <w:tcW w:w="2582" w:type="dxa"/>
            <w:vAlign w:val="center"/>
          </w:tcPr>
          <w:p w14:paraId="127FAF60">
            <w:pPr>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分包</w:t>
            </w:r>
          </w:p>
        </w:tc>
        <w:tc>
          <w:tcPr>
            <w:tcW w:w="2388" w:type="dxa"/>
            <w:vAlign w:val="center"/>
          </w:tcPr>
          <w:p w14:paraId="552E4677">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3.5</w:t>
            </w:r>
          </w:p>
        </w:tc>
        <w:tc>
          <w:tcPr>
            <w:tcW w:w="2987" w:type="dxa"/>
            <w:vAlign w:val="center"/>
          </w:tcPr>
          <w:p w14:paraId="44ACF13E">
            <w:pPr>
              <w:autoSpaceDE w:val="0"/>
              <w:autoSpaceDN w:val="0"/>
              <w:adjustRightInd w:val="0"/>
              <w:jc w:val="center"/>
              <w:rPr>
                <w:rFonts w:ascii="宋体" w:hAnsi="宋体"/>
                <w:snapToGrid w:val="0"/>
                <w:kern w:val="0"/>
                <w:szCs w:val="21"/>
                <w:highlight w:val="none"/>
              </w:rPr>
            </w:pPr>
          </w:p>
        </w:tc>
        <w:tc>
          <w:tcPr>
            <w:tcW w:w="792" w:type="dxa"/>
            <w:vAlign w:val="center"/>
          </w:tcPr>
          <w:p w14:paraId="63290BC5">
            <w:pPr>
              <w:autoSpaceDE w:val="0"/>
              <w:autoSpaceDN w:val="0"/>
              <w:adjustRightInd w:val="0"/>
              <w:jc w:val="center"/>
              <w:rPr>
                <w:rFonts w:ascii="宋体" w:hAnsi="宋体"/>
                <w:snapToGrid w:val="0"/>
                <w:kern w:val="0"/>
                <w:szCs w:val="21"/>
                <w:highlight w:val="none"/>
              </w:rPr>
            </w:pPr>
          </w:p>
        </w:tc>
      </w:tr>
      <w:tr w14:paraId="3286AC2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14:paraId="1FB3B9DE">
            <w:pPr>
              <w:autoSpaceDE w:val="0"/>
              <w:autoSpaceDN w:val="0"/>
              <w:adjustRightInd w:val="0"/>
              <w:jc w:val="center"/>
              <w:rPr>
                <w:rFonts w:ascii="宋体" w:hAnsi="宋体"/>
                <w:snapToGrid w:val="0"/>
                <w:kern w:val="0"/>
                <w:szCs w:val="21"/>
                <w:highlight w:val="none"/>
              </w:rPr>
            </w:pPr>
            <w:r>
              <w:rPr>
                <w:rFonts w:hint="eastAsia" w:ascii="宋体" w:hAnsi="宋体"/>
                <w:snapToGrid w:val="0"/>
                <w:kern w:val="0"/>
                <w:szCs w:val="21"/>
                <w:highlight w:val="none"/>
              </w:rPr>
              <w:t>3</w:t>
            </w:r>
          </w:p>
        </w:tc>
        <w:tc>
          <w:tcPr>
            <w:tcW w:w="2582" w:type="dxa"/>
            <w:vAlign w:val="center"/>
          </w:tcPr>
          <w:p w14:paraId="0086B3CC">
            <w:pPr>
              <w:autoSpaceDE w:val="0"/>
              <w:autoSpaceDN w:val="0"/>
              <w:adjustRightInd w:val="0"/>
              <w:jc w:val="center"/>
              <w:rPr>
                <w:rFonts w:ascii="宋体" w:hAnsi="宋体"/>
                <w:snapToGrid w:val="0"/>
                <w:kern w:val="0"/>
                <w:szCs w:val="21"/>
                <w:highlight w:val="none"/>
              </w:rPr>
            </w:pPr>
            <w:r>
              <w:rPr>
                <w:rFonts w:hint="eastAsia" w:ascii="宋体" w:hAnsi="宋体"/>
                <w:snapToGrid w:val="0"/>
                <w:kern w:val="0"/>
                <w:szCs w:val="21"/>
                <w:highlight w:val="none"/>
              </w:rPr>
              <w:t>工程质量</w:t>
            </w:r>
          </w:p>
        </w:tc>
        <w:tc>
          <w:tcPr>
            <w:tcW w:w="2388" w:type="dxa"/>
            <w:vAlign w:val="center"/>
          </w:tcPr>
          <w:p w14:paraId="2DFE79DE">
            <w:pPr>
              <w:tabs>
                <w:tab w:val="left" w:pos="2051"/>
              </w:tabs>
              <w:autoSpaceDE w:val="0"/>
              <w:autoSpaceDN w:val="0"/>
              <w:adjustRightInd w:val="0"/>
              <w:jc w:val="center"/>
              <w:rPr>
                <w:rFonts w:ascii="宋体" w:hAnsi="宋体"/>
                <w:snapToGrid w:val="0"/>
                <w:kern w:val="0"/>
                <w:szCs w:val="21"/>
                <w:highlight w:val="none"/>
              </w:rPr>
            </w:pPr>
            <w:r>
              <w:rPr>
                <w:rFonts w:hint="eastAsia" w:ascii="宋体" w:hAnsi="宋体"/>
                <w:snapToGrid w:val="0"/>
                <w:kern w:val="0"/>
                <w:szCs w:val="21"/>
                <w:highlight w:val="none"/>
              </w:rPr>
              <w:t>5.1</w:t>
            </w:r>
          </w:p>
        </w:tc>
        <w:tc>
          <w:tcPr>
            <w:tcW w:w="2987" w:type="dxa"/>
            <w:vAlign w:val="center"/>
          </w:tcPr>
          <w:p w14:paraId="3804D548">
            <w:pPr>
              <w:autoSpaceDE w:val="0"/>
              <w:autoSpaceDN w:val="0"/>
              <w:adjustRightInd w:val="0"/>
              <w:jc w:val="center"/>
              <w:rPr>
                <w:rFonts w:ascii="宋体" w:hAnsi="宋体"/>
                <w:snapToGrid w:val="0"/>
                <w:kern w:val="0"/>
                <w:szCs w:val="21"/>
                <w:highlight w:val="none"/>
              </w:rPr>
            </w:pPr>
          </w:p>
        </w:tc>
        <w:tc>
          <w:tcPr>
            <w:tcW w:w="792" w:type="dxa"/>
            <w:vAlign w:val="center"/>
          </w:tcPr>
          <w:p w14:paraId="66C4FEE7">
            <w:pPr>
              <w:autoSpaceDE w:val="0"/>
              <w:autoSpaceDN w:val="0"/>
              <w:adjustRightInd w:val="0"/>
              <w:jc w:val="center"/>
              <w:rPr>
                <w:rFonts w:ascii="宋体" w:hAnsi="宋体"/>
                <w:snapToGrid w:val="0"/>
                <w:kern w:val="0"/>
                <w:szCs w:val="21"/>
                <w:highlight w:val="none"/>
              </w:rPr>
            </w:pPr>
          </w:p>
        </w:tc>
      </w:tr>
      <w:tr w14:paraId="4027B86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14:paraId="6E8664DE">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w:t>
            </w:r>
          </w:p>
        </w:tc>
        <w:tc>
          <w:tcPr>
            <w:tcW w:w="2582" w:type="dxa"/>
            <w:vAlign w:val="center"/>
          </w:tcPr>
          <w:p w14:paraId="40D07004">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w:t>
            </w:r>
          </w:p>
        </w:tc>
        <w:tc>
          <w:tcPr>
            <w:tcW w:w="2388" w:type="dxa"/>
            <w:vAlign w:val="center"/>
          </w:tcPr>
          <w:p w14:paraId="59EE1D42">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w:t>
            </w:r>
          </w:p>
        </w:tc>
        <w:tc>
          <w:tcPr>
            <w:tcW w:w="2987" w:type="dxa"/>
            <w:vAlign w:val="center"/>
          </w:tcPr>
          <w:p w14:paraId="50A4E1AE">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w:t>
            </w:r>
          </w:p>
        </w:tc>
        <w:tc>
          <w:tcPr>
            <w:tcW w:w="792" w:type="dxa"/>
            <w:vAlign w:val="center"/>
          </w:tcPr>
          <w:p w14:paraId="0DD8060F">
            <w:pPr>
              <w:autoSpaceDE w:val="0"/>
              <w:autoSpaceDN w:val="0"/>
              <w:adjustRightInd w:val="0"/>
              <w:jc w:val="center"/>
              <w:rPr>
                <w:rFonts w:ascii="宋体" w:hAnsi="宋体"/>
                <w:snapToGrid w:val="0"/>
                <w:kern w:val="0"/>
                <w:szCs w:val="21"/>
                <w:highlight w:val="none"/>
              </w:rPr>
            </w:pPr>
          </w:p>
        </w:tc>
      </w:tr>
      <w:tr w14:paraId="10D9EB6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trPr>
        <w:tc>
          <w:tcPr>
            <w:tcW w:w="720" w:type="dxa"/>
            <w:vAlign w:val="center"/>
          </w:tcPr>
          <w:p w14:paraId="41B67AEB">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w:t>
            </w:r>
          </w:p>
        </w:tc>
        <w:tc>
          <w:tcPr>
            <w:tcW w:w="2582" w:type="dxa"/>
            <w:vAlign w:val="center"/>
          </w:tcPr>
          <w:p w14:paraId="2D39E076">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w:t>
            </w:r>
          </w:p>
        </w:tc>
        <w:tc>
          <w:tcPr>
            <w:tcW w:w="2388" w:type="dxa"/>
            <w:vAlign w:val="center"/>
          </w:tcPr>
          <w:p w14:paraId="34E8CF0D">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w:t>
            </w:r>
          </w:p>
        </w:tc>
        <w:tc>
          <w:tcPr>
            <w:tcW w:w="2987" w:type="dxa"/>
            <w:vAlign w:val="center"/>
          </w:tcPr>
          <w:p w14:paraId="4097499D">
            <w:pPr>
              <w:tabs>
                <w:tab w:val="left" w:pos="2051"/>
              </w:tabs>
              <w:autoSpaceDE w:val="0"/>
              <w:autoSpaceDN w:val="0"/>
              <w:adjustRightInd w:val="0"/>
              <w:jc w:val="center"/>
              <w:rPr>
                <w:rFonts w:ascii="宋体" w:hAnsi="宋体"/>
                <w:snapToGrid w:val="0"/>
                <w:kern w:val="0"/>
                <w:szCs w:val="21"/>
                <w:highlight w:val="none"/>
              </w:rPr>
            </w:pPr>
            <w:r>
              <w:rPr>
                <w:rFonts w:ascii="宋体" w:hAnsi="宋体"/>
                <w:snapToGrid w:val="0"/>
                <w:kern w:val="0"/>
                <w:szCs w:val="21"/>
                <w:highlight w:val="none"/>
              </w:rPr>
              <w:t>……</w:t>
            </w:r>
          </w:p>
        </w:tc>
        <w:tc>
          <w:tcPr>
            <w:tcW w:w="792" w:type="dxa"/>
            <w:vAlign w:val="center"/>
          </w:tcPr>
          <w:p w14:paraId="06E920D9">
            <w:pPr>
              <w:autoSpaceDE w:val="0"/>
              <w:autoSpaceDN w:val="0"/>
              <w:adjustRightInd w:val="0"/>
              <w:jc w:val="center"/>
              <w:rPr>
                <w:rFonts w:ascii="宋体" w:hAnsi="宋体"/>
                <w:snapToGrid w:val="0"/>
                <w:kern w:val="0"/>
                <w:szCs w:val="21"/>
                <w:highlight w:val="none"/>
              </w:rPr>
            </w:pPr>
          </w:p>
        </w:tc>
      </w:tr>
    </w:tbl>
    <w:p w14:paraId="36FD6C7C">
      <w:pPr>
        <w:spacing w:line="360" w:lineRule="auto"/>
        <w:rPr>
          <w:rFonts w:ascii="宋体" w:hAnsi="宋体"/>
          <w:snapToGrid w:val="0"/>
          <w:w w:val="99"/>
          <w:highlight w:val="none"/>
        </w:rPr>
      </w:pPr>
    </w:p>
    <w:p w14:paraId="626DE5E4">
      <w:pPr>
        <w:spacing w:line="360" w:lineRule="auto"/>
        <w:rPr>
          <w:rFonts w:ascii="宋体" w:hAnsi="宋体"/>
          <w:snapToGrid w:val="0"/>
          <w:kern w:val="0"/>
          <w:sz w:val="32"/>
          <w:szCs w:val="32"/>
          <w:highlight w:val="none"/>
        </w:rPr>
      </w:pPr>
    </w:p>
    <w:p w14:paraId="781B3A30">
      <w:pPr>
        <w:spacing w:line="360" w:lineRule="auto"/>
        <w:rPr>
          <w:rFonts w:ascii="宋体" w:hAnsi="宋体"/>
          <w:snapToGrid w:val="0"/>
          <w:highlight w:val="none"/>
        </w:rPr>
      </w:pPr>
    </w:p>
    <w:p w14:paraId="37E94957">
      <w:pPr>
        <w:tabs>
          <w:tab w:val="left" w:pos="7140"/>
          <w:tab w:val="left" w:pos="7560"/>
          <w:tab w:val="left" w:pos="8300"/>
        </w:tabs>
        <w:autoSpaceDE w:val="0"/>
        <w:autoSpaceDN w:val="0"/>
        <w:adjustRightInd w:val="0"/>
        <w:spacing w:line="360" w:lineRule="auto"/>
        <w:ind w:right="210" w:firstLine="2396" w:firstLineChars="1141"/>
        <w:rPr>
          <w:rFonts w:ascii="宋体" w:hAnsi="宋体"/>
          <w:snapToGrid w:val="0"/>
          <w:kern w:val="0"/>
          <w:szCs w:val="21"/>
          <w:highlight w:val="none"/>
        </w:rPr>
      </w:pPr>
      <w:r>
        <w:rPr>
          <w:rFonts w:ascii="宋体" w:hAnsi="宋体"/>
          <w:snapToGrid w:val="0"/>
          <w:kern w:val="0"/>
          <w:szCs w:val="21"/>
          <w:highlight w:val="none"/>
        </w:rPr>
        <w:t>投  标  人：</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u w:val="single"/>
        </w:rPr>
        <w:t xml:space="preserve">  </w:t>
      </w:r>
      <w:r>
        <w:rPr>
          <w:rFonts w:ascii="宋体" w:hAnsi="宋体"/>
          <w:snapToGrid w:val="0"/>
          <w:kern w:val="0"/>
          <w:szCs w:val="21"/>
          <w:highlight w:val="none"/>
        </w:rPr>
        <w:t xml:space="preserve">（盖单位法人章） </w:t>
      </w:r>
    </w:p>
    <w:p w14:paraId="5111EDC5">
      <w:pPr>
        <w:tabs>
          <w:tab w:val="left" w:pos="7140"/>
          <w:tab w:val="left" w:pos="7560"/>
          <w:tab w:val="left" w:pos="8300"/>
        </w:tabs>
        <w:autoSpaceDE w:val="0"/>
        <w:autoSpaceDN w:val="0"/>
        <w:adjustRightInd w:val="0"/>
        <w:spacing w:line="360" w:lineRule="auto"/>
        <w:ind w:right="210" w:firstLine="1984" w:firstLineChars="945"/>
        <w:rPr>
          <w:rFonts w:ascii="宋体" w:hAnsi="宋体"/>
          <w:snapToGrid w:val="0"/>
          <w:kern w:val="0"/>
          <w:szCs w:val="21"/>
          <w:highlight w:val="none"/>
        </w:rPr>
      </w:pPr>
      <w:r>
        <w:rPr>
          <w:rFonts w:hint="eastAsia" w:ascii="宋体" w:hAnsi="宋体"/>
          <w:snapToGrid w:val="0"/>
          <w:kern w:val="0"/>
          <w:szCs w:val="21"/>
          <w:highlight w:val="none"/>
        </w:rPr>
        <w:t xml:space="preserve">   </w:t>
      </w:r>
    </w:p>
    <w:p w14:paraId="6E4D3415">
      <w:pPr>
        <w:tabs>
          <w:tab w:val="left" w:pos="7140"/>
          <w:tab w:val="left" w:pos="7560"/>
          <w:tab w:val="left" w:pos="8300"/>
        </w:tabs>
        <w:autoSpaceDE w:val="0"/>
        <w:autoSpaceDN w:val="0"/>
        <w:adjustRightInd w:val="0"/>
        <w:spacing w:line="360" w:lineRule="auto"/>
        <w:ind w:right="210" w:firstLine="2415" w:firstLineChars="1150"/>
        <w:rPr>
          <w:rFonts w:ascii="宋体" w:hAnsi="宋体"/>
          <w:snapToGrid w:val="0"/>
          <w:kern w:val="0"/>
          <w:szCs w:val="21"/>
          <w:highlight w:val="none"/>
        </w:rPr>
      </w:pPr>
      <w:r>
        <w:rPr>
          <w:rFonts w:ascii="宋体" w:hAnsi="宋体"/>
          <w:snapToGrid w:val="0"/>
          <w:kern w:val="0"/>
          <w:szCs w:val="21"/>
          <w:highlight w:val="none"/>
        </w:rPr>
        <w:t>法定代表人或其委托代理人：</w:t>
      </w:r>
      <w:r>
        <w:rPr>
          <w:rFonts w:ascii="宋体" w:hAnsi="宋体"/>
          <w:snapToGrid w:val="0"/>
          <w:kern w:val="0"/>
          <w:szCs w:val="21"/>
          <w:highlight w:val="none"/>
          <w:u w:val="single"/>
        </w:rPr>
        <w:t xml:space="preserve">         </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w:t>
      </w:r>
      <w:r>
        <w:rPr>
          <w:rFonts w:hint="eastAsia" w:ascii="宋体" w:hAnsi="宋体"/>
          <w:snapToGrid w:val="0"/>
          <w:kern w:val="0"/>
          <w:szCs w:val="21"/>
          <w:highlight w:val="none"/>
        </w:rPr>
        <w:t>签名</w:t>
      </w:r>
      <w:r>
        <w:rPr>
          <w:rFonts w:ascii="宋体" w:hAnsi="宋体"/>
          <w:snapToGrid w:val="0"/>
          <w:kern w:val="0"/>
          <w:szCs w:val="21"/>
          <w:highlight w:val="none"/>
        </w:rPr>
        <w:t xml:space="preserve">或盖章） </w:t>
      </w:r>
    </w:p>
    <w:p w14:paraId="3FD6C70B">
      <w:pPr>
        <w:tabs>
          <w:tab w:val="left" w:pos="7140"/>
          <w:tab w:val="left" w:pos="7560"/>
          <w:tab w:val="left" w:pos="8300"/>
        </w:tabs>
        <w:autoSpaceDE w:val="0"/>
        <w:autoSpaceDN w:val="0"/>
        <w:adjustRightInd w:val="0"/>
        <w:spacing w:line="360" w:lineRule="auto"/>
        <w:ind w:right="210" w:firstLine="1995" w:firstLineChars="950"/>
        <w:rPr>
          <w:rFonts w:ascii="宋体" w:hAnsi="宋体"/>
          <w:snapToGrid w:val="0"/>
          <w:kern w:val="0"/>
          <w:szCs w:val="21"/>
          <w:highlight w:val="none"/>
        </w:rPr>
      </w:pPr>
    </w:p>
    <w:p w14:paraId="5B811B20">
      <w:pPr>
        <w:pStyle w:val="5"/>
        <w:spacing w:before="0" w:after="0" w:line="240" w:lineRule="auto"/>
        <w:jc w:val="center"/>
        <w:rPr>
          <w:rFonts w:ascii="宋体" w:hAnsi="宋体"/>
          <w:b w:val="0"/>
          <w:bCs w:val="0"/>
          <w:highlight w:val="none"/>
        </w:rPr>
      </w:pPr>
      <w:r>
        <w:rPr>
          <w:rFonts w:ascii="宋体" w:hAnsi="宋体"/>
          <w:snapToGrid w:val="0"/>
          <w:highlight w:val="none"/>
        </w:rPr>
        <w:br w:type="page"/>
      </w:r>
      <w:bookmarkStart w:id="2251" w:name="_Toc24729"/>
      <w:bookmarkStart w:id="2252" w:name="_Toc287620816"/>
      <w:bookmarkStart w:id="2253" w:name="_Toc277082645"/>
      <w:bookmarkStart w:id="2254" w:name="_Toc224103497"/>
      <w:bookmarkStart w:id="2255" w:name="_Toc430530532"/>
      <w:bookmarkStart w:id="2256" w:name="_Toc15282"/>
      <w:bookmarkStart w:id="2257" w:name="_Toc287607869"/>
      <w:r>
        <w:rPr>
          <w:rFonts w:ascii="宋体" w:hAnsi="宋体"/>
          <w:b w:val="0"/>
          <w:bCs w:val="0"/>
          <w:highlight w:val="none"/>
        </w:rPr>
        <w:t>（</w:t>
      </w:r>
      <w:r>
        <w:rPr>
          <w:rFonts w:hint="eastAsia" w:ascii="宋体" w:hAnsi="宋体"/>
          <w:b w:val="0"/>
          <w:bCs w:val="0"/>
          <w:highlight w:val="none"/>
          <w:lang w:val="en-US" w:eastAsia="zh-CN"/>
        </w:rPr>
        <w:t>三</w:t>
      </w:r>
      <w:r>
        <w:rPr>
          <w:rFonts w:ascii="宋体" w:hAnsi="宋体"/>
          <w:b w:val="0"/>
          <w:bCs w:val="0"/>
          <w:highlight w:val="none"/>
        </w:rPr>
        <w:t>）</w:t>
      </w:r>
      <w:r>
        <w:rPr>
          <w:rFonts w:hint="eastAsia" w:ascii="宋体" w:hAnsi="宋体"/>
          <w:b w:val="0"/>
          <w:bCs w:val="0"/>
          <w:highlight w:val="none"/>
        </w:rPr>
        <w:t>投标报价合理性说明</w:t>
      </w:r>
      <w:r>
        <w:rPr>
          <w:rFonts w:hint="eastAsia" w:ascii="宋体" w:hAnsi="宋体"/>
          <w:b w:val="0"/>
          <w:bCs w:val="0"/>
          <w:highlight w:val="none"/>
          <w:lang w:eastAsia="zh-CN"/>
        </w:rPr>
        <w:t>（</w:t>
      </w:r>
      <w:r>
        <w:rPr>
          <w:rFonts w:hint="eastAsia" w:ascii="宋体" w:hAnsi="宋体"/>
          <w:b w:val="0"/>
          <w:bCs w:val="0"/>
          <w:highlight w:val="none"/>
          <w:lang w:val="en-US" w:eastAsia="zh-CN"/>
        </w:rPr>
        <w:t>如有</w:t>
      </w:r>
      <w:r>
        <w:rPr>
          <w:rFonts w:hint="eastAsia" w:ascii="宋体" w:hAnsi="宋体"/>
          <w:b w:val="0"/>
          <w:bCs w:val="0"/>
          <w:highlight w:val="none"/>
          <w:lang w:eastAsia="zh-CN"/>
        </w:rPr>
        <w:t>）</w:t>
      </w:r>
      <w:bookmarkEnd w:id="2251"/>
    </w:p>
    <w:p w14:paraId="0AE9B471">
      <w:pPr>
        <w:autoSpaceDE w:val="0"/>
        <w:autoSpaceDN w:val="0"/>
        <w:adjustRightInd w:val="0"/>
        <w:snapToGrid w:val="0"/>
        <w:spacing w:line="360" w:lineRule="auto"/>
        <w:jc w:val="center"/>
        <w:rPr>
          <w:rFonts w:ascii="宋体" w:hAnsi="宋体"/>
          <w:snapToGrid w:val="0"/>
          <w:kern w:val="0"/>
          <w:sz w:val="32"/>
          <w:szCs w:val="32"/>
          <w:highlight w:val="none"/>
        </w:rPr>
      </w:pPr>
    </w:p>
    <w:p w14:paraId="7DEF70C3">
      <w:pPr>
        <w:autoSpaceDE w:val="0"/>
        <w:autoSpaceDN w:val="0"/>
        <w:adjustRightInd w:val="0"/>
        <w:snapToGrid w:val="0"/>
        <w:spacing w:line="360" w:lineRule="auto"/>
        <w:ind w:firstLine="420" w:firstLineChars="200"/>
        <w:jc w:val="left"/>
        <w:rPr>
          <w:rFonts w:ascii="宋体" w:hAnsi="宋体"/>
          <w:snapToGrid w:val="0"/>
          <w:kern w:val="0"/>
          <w:sz w:val="32"/>
          <w:szCs w:val="32"/>
          <w:highlight w:val="none"/>
        </w:rPr>
      </w:pPr>
      <w:r>
        <w:rPr>
          <w:rFonts w:hint="eastAsia" w:ascii="宋体" w:hAnsi="宋体"/>
          <w:i w:val="0"/>
          <w:iCs w:val="0"/>
          <w:snapToGrid w:val="0"/>
          <w:kern w:val="0"/>
          <w:sz w:val="21"/>
          <w:szCs w:val="21"/>
          <w:highlight w:val="none"/>
          <w:lang w:val="en-US" w:eastAsia="zh-CN"/>
        </w:rPr>
        <w:t>（注：投标报价</w:t>
      </w:r>
      <w:r>
        <w:rPr>
          <w:rFonts w:hint="eastAsia" w:ascii="宋体" w:hAnsi="宋体"/>
          <w:highlight w:val="none"/>
          <w:lang w:val="en-US" w:eastAsia="zh-CN"/>
        </w:rPr>
        <w:t>低于异常低价警戒线</w:t>
      </w:r>
      <w:r>
        <w:rPr>
          <w:rFonts w:hint="eastAsia" w:ascii="宋体" w:hAnsi="宋体"/>
          <w:i w:val="0"/>
          <w:iCs w:val="0"/>
          <w:snapToGrid w:val="0"/>
          <w:kern w:val="0"/>
          <w:sz w:val="21"/>
          <w:szCs w:val="21"/>
          <w:highlight w:val="none"/>
          <w:lang w:val="en-US" w:eastAsia="zh-CN"/>
        </w:rPr>
        <w:t>时提供，格式自拟，并提供必要的佐证材料。</w:t>
      </w:r>
      <w:r>
        <w:rPr>
          <w:rFonts w:hint="eastAsia" w:ascii="宋体" w:hAnsi="宋体" w:cs="宋体"/>
          <w:i w:val="0"/>
          <w:iCs w:val="0"/>
          <w:szCs w:val="21"/>
          <w:highlight w:val="none"/>
          <w:u w:val="none"/>
          <w:lang w:val="en-US" w:eastAsia="zh-CN"/>
        </w:rPr>
        <w:t>比选申请人提供的说明不得降低或者改变原设计方案、技术工艺、施工标准，不得影响项目的质量、安全、工期、结算等正常履约</w:t>
      </w:r>
      <w:r>
        <w:rPr>
          <w:rFonts w:hint="eastAsia" w:ascii="宋体" w:hAnsi="宋体"/>
          <w:snapToGrid w:val="0"/>
          <w:kern w:val="0"/>
          <w:szCs w:val="21"/>
          <w:highlight w:val="none"/>
        </w:rPr>
        <w:t>。</w:t>
      </w:r>
      <w:r>
        <w:rPr>
          <w:rFonts w:hint="eastAsia" w:ascii="宋体" w:hAnsi="宋体"/>
          <w:i w:val="0"/>
          <w:iCs w:val="0"/>
          <w:snapToGrid w:val="0"/>
          <w:kern w:val="0"/>
          <w:sz w:val="21"/>
          <w:szCs w:val="21"/>
          <w:highlight w:val="none"/>
          <w:lang w:val="en-US" w:eastAsia="zh-CN"/>
        </w:rPr>
        <w:t>）</w:t>
      </w:r>
    </w:p>
    <w:p w14:paraId="0F086CC4">
      <w:pPr>
        <w:autoSpaceDE w:val="0"/>
        <w:autoSpaceDN w:val="0"/>
        <w:adjustRightInd w:val="0"/>
        <w:snapToGrid w:val="0"/>
        <w:spacing w:line="360" w:lineRule="auto"/>
        <w:jc w:val="center"/>
        <w:rPr>
          <w:rFonts w:ascii="宋体" w:hAnsi="宋体"/>
          <w:snapToGrid w:val="0"/>
          <w:kern w:val="0"/>
          <w:sz w:val="32"/>
          <w:szCs w:val="32"/>
          <w:highlight w:val="none"/>
        </w:rPr>
      </w:pPr>
    </w:p>
    <w:p w14:paraId="5B1823D6">
      <w:pPr>
        <w:rPr>
          <w:rFonts w:ascii="宋体" w:hAnsi="宋体"/>
          <w:b w:val="0"/>
          <w:bCs w:val="0"/>
          <w:highlight w:val="none"/>
        </w:rPr>
      </w:pPr>
      <w:r>
        <w:rPr>
          <w:rFonts w:ascii="宋体" w:hAnsi="宋体"/>
          <w:b w:val="0"/>
          <w:bCs w:val="0"/>
          <w:highlight w:val="none"/>
        </w:rPr>
        <w:br w:type="page"/>
      </w:r>
    </w:p>
    <w:p w14:paraId="13BC13EB">
      <w:pPr>
        <w:pStyle w:val="5"/>
        <w:spacing w:before="0" w:after="0" w:line="240" w:lineRule="auto"/>
        <w:jc w:val="center"/>
        <w:rPr>
          <w:rFonts w:ascii="宋体" w:hAnsi="宋体"/>
          <w:snapToGrid w:val="0"/>
          <w:kern w:val="0"/>
          <w:szCs w:val="21"/>
          <w:highlight w:val="none"/>
        </w:rPr>
      </w:pPr>
      <w:bookmarkStart w:id="2258" w:name="_Toc2203"/>
      <w:r>
        <w:rPr>
          <w:rFonts w:ascii="宋体" w:hAnsi="宋体"/>
          <w:b w:val="0"/>
          <w:bCs w:val="0"/>
          <w:highlight w:val="none"/>
        </w:rPr>
        <w:t>（</w:t>
      </w:r>
      <w:r>
        <w:rPr>
          <w:rFonts w:hint="eastAsia" w:ascii="宋体" w:hAnsi="宋体"/>
          <w:b w:val="0"/>
          <w:bCs w:val="0"/>
          <w:highlight w:val="none"/>
          <w:lang w:val="en-US" w:eastAsia="zh-CN"/>
        </w:rPr>
        <w:t>四</w:t>
      </w:r>
      <w:r>
        <w:rPr>
          <w:rFonts w:ascii="宋体" w:hAnsi="宋体"/>
          <w:b w:val="0"/>
          <w:bCs w:val="0"/>
          <w:highlight w:val="none"/>
        </w:rPr>
        <w:t>）</w:t>
      </w:r>
      <w:r>
        <w:rPr>
          <w:rFonts w:hint="eastAsia" w:ascii="宋体" w:hAnsi="宋体"/>
          <w:b w:val="0"/>
          <w:bCs w:val="0"/>
          <w:highlight w:val="none"/>
        </w:rPr>
        <w:t>法定代表人身份证明或授权委托书</w:t>
      </w:r>
      <w:bookmarkEnd w:id="2252"/>
      <w:bookmarkEnd w:id="2253"/>
      <w:bookmarkEnd w:id="2254"/>
      <w:bookmarkEnd w:id="2255"/>
      <w:bookmarkEnd w:id="2256"/>
      <w:bookmarkEnd w:id="2257"/>
      <w:bookmarkEnd w:id="2258"/>
    </w:p>
    <w:p w14:paraId="58C59F4B">
      <w:pPr>
        <w:spacing w:line="480" w:lineRule="auto"/>
        <w:jc w:val="center"/>
        <w:rPr>
          <w:rFonts w:ascii="宋体" w:hAnsi="宋体"/>
          <w:sz w:val="28"/>
          <w:highlight w:val="none"/>
        </w:rPr>
      </w:pPr>
      <w:r>
        <w:rPr>
          <w:rFonts w:hint="eastAsia" w:ascii="宋体" w:hAnsi="宋体"/>
          <w:sz w:val="28"/>
          <w:highlight w:val="none"/>
        </w:rPr>
        <w:t>法定代表人身份证明</w:t>
      </w:r>
    </w:p>
    <w:p w14:paraId="025481FB">
      <w:pPr>
        <w:spacing w:line="480" w:lineRule="auto"/>
        <w:jc w:val="center"/>
        <w:rPr>
          <w:rFonts w:ascii="宋体" w:hAnsi="宋体"/>
          <w:highlight w:val="none"/>
        </w:rPr>
      </w:pPr>
    </w:p>
    <w:p w14:paraId="21A2EC51">
      <w:pPr>
        <w:tabs>
          <w:tab w:val="left" w:pos="556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hint="eastAsia" w:ascii="宋体" w:hAnsi="宋体"/>
          <w:kern w:val="0"/>
          <w:szCs w:val="21"/>
          <w:highlight w:val="none"/>
          <w:lang w:eastAsia="zh-CN"/>
        </w:rPr>
        <w:t>比选申请人</w:t>
      </w:r>
      <w:r>
        <w:rPr>
          <w:rFonts w:ascii="宋体" w:hAnsi="宋体"/>
          <w:kern w:val="0"/>
          <w:szCs w:val="21"/>
          <w:highlight w:val="none"/>
        </w:rPr>
        <w:t>名称：</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45B3C2DA">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单位性质：</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579EA238">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地</w:t>
      </w:r>
      <w:r>
        <w:rPr>
          <w:rFonts w:hint="eastAsia" w:ascii="宋体" w:hAnsi="宋体"/>
          <w:kern w:val="0"/>
          <w:szCs w:val="21"/>
          <w:highlight w:val="none"/>
        </w:rPr>
        <w:t xml:space="preserve">    </w:t>
      </w:r>
      <w:r>
        <w:rPr>
          <w:rFonts w:ascii="宋体" w:hAnsi="宋体"/>
          <w:kern w:val="0"/>
          <w:szCs w:val="21"/>
          <w:highlight w:val="none"/>
        </w:rPr>
        <w:t>址：</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488BDD66">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成立时间：</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年</w:t>
      </w:r>
      <w:r>
        <w:rPr>
          <w:rFonts w:ascii="宋体" w:hAnsi="宋体"/>
          <w:w w:val="200"/>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月</w:t>
      </w:r>
      <w:r>
        <w:rPr>
          <w:rFonts w:ascii="宋体" w:hAnsi="宋体"/>
          <w:w w:val="200"/>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日</w:t>
      </w:r>
    </w:p>
    <w:p w14:paraId="15F22EF0">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姓名：</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性别</w:t>
      </w:r>
      <w:r>
        <w:rPr>
          <w:rFonts w:ascii="宋体" w:hAnsi="宋体"/>
          <w:spacing w:val="-1"/>
          <w:kern w:val="0"/>
          <w:szCs w:val="21"/>
          <w:highlight w:val="none"/>
        </w:rPr>
        <w:t>：</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spacing w:val="-1"/>
          <w:kern w:val="0"/>
          <w:szCs w:val="21"/>
          <w:highlight w:val="none"/>
        </w:rPr>
        <w:t>年</w:t>
      </w:r>
      <w:r>
        <w:rPr>
          <w:rFonts w:ascii="宋体" w:hAnsi="宋体"/>
          <w:kern w:val="0"/>
          <w:szCs w:val="21"/>
          <w:highlight w:val="none"/>
        </w:rPr>
        <w:t>龄：</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职务：</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05F14FEE">
      <w:pPr>
        <w:tabs>
          <w:tab w:val="left" w:pos="336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系</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lang w:eastAsia="zh-CN"/>
        </w:rPr>
        <w:t>比选申请人</w:t>
      </w:r>
      <w:r>
        <w:rPr>
          <w:rFonts w:ascii="宋体" w:hAnsi="宋体"/>
          <w:kern w:val="0"/>
          <w:szCs w:val="21"/>
          <w:highlight w:val="none"/>
          <w:u w:val="single"/>
        </w:rPr>
        <w:t>名称）</w:t>
      </w:r>
      <w:r>
        <w:rPr>
          <w:rFonts w:ascii="宋体" w:hAnsi="宋体"/>
          <w:kern w:val="0"/>
          <w:szCs w:val="21"/>
          <w:highlight w:val="none"/>
        </w:rPr>
        <w:t>的法定代表人。</w:t>
      </w:r>
    </w:p>
    <w:p w14:paraId="197C9FE4">
      <w:pPr>
        <w:tabs>
          <w:tab w:val="left" w:pos="336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特此证明。</w:t>
      </w:r>
    </w:p>
    <w:p w14:paraId="5FABD1C4">
      <w:pPr>
        <w:autoSpaceDE w:val="0"/>
        <w:autoSpaceDN w:val="0"/>
        <w:adjustRightInd w:val="0"/>
        <w:snapToGrid w:val="0"/>
        <w:spacing w:line="480" w:lineRule="auto"/>
        <w:ind w:firstLine="810" w:firstLineChars="386"/>
        <w:jc w:val="left"/>
        <w:rPr>
          <w:rFonts w:ascii="宋体" w:hAnsi="宋体"/>
          <w:kern w:val="0"/>
          <w:szCs w:val="21"/>
          <w:highlight w:val="none"/>
        </w:rPr>
      </w:pPr>
      <w:r>
        <w:rPr>
          <w:rFonts w:hint="eastAsia" w:ascii="宋体" w:hAnsi="宋体"/>
          <w:kern w:val="0"/>
          <w:szCs w:val="21"/>
          <w:highlight w:val="none"/>
        </w:rPr>
        <w:t>附：法定代表人身份证</w:t>
      </w:r>
      <w:r>
        <w:rPr>
          <w:rFonts w:hint="eastAsia" w:ascii="宋体" w:hAnsi="宋体"/>
          <w:kern w:val="0"/>
          <w:szCs w:val="21"/>
          <w:highlight w:val="none"/>
          <w:lang w:val="en-US" w:eastAsia="zh-CN"/>
        </w:rPr>
        <w:t>明</w:t>
      </w:r>
      <w:r>
        <w:rPr>
          <w:rFonts w:hint="eastAsia" w:ascii="宋体" w:hAnsi="宋体"/>
          <w:kern w:val="0"/>
          <w:szCs w:val="21"/>
          <w:highlight w:val="none"/>
        </w:rPr>
        <w:t>扫描件（双面）</w:t>
      </w:r>
    </w:p>
    <w:p w14:paraId="61C3AB4F">
      <w:pPr>
        <w:autoSpaceDE w:val="0"/>
        <w:autoSpaceDN w:val="0"/>
        <w:adjustRightInd w:val="0"/>
        <w:snapToGrid w:val="0"/>
        <w:spacing w:line="360" w:lineRule="auto"/>
        <w:jc w:val="left"/>
        <w:rPr>
          <w:rFonts w:ascii="宋体" w:hAnsi="宋体"/>
          <w:szCs w:val="21"/>
          <w:highlight w:val="none"/>
        </w:rPr>
      </w:pPr>
    </w:p>
    <w:p w14:paraId="2E9C84C6">
      <w:pPr>
        <w:pStyle w:val="2"/>
        <w:spacing w:after="0" w:line="360" w:lineRule="auto"/>
        <w:rPr>
          <w:rFonts w:ascii="宋体" w:hAnsi="宋体"/>
          <w:szCs w:val="21"/>
          <w:highlight w:val="none"/>
        </w:rPr>
      </w:pPr>
    </w:p>
    <w:p w14:paraId="32FAD40E">
      <w:pPr>
        <w:pStyle w:val="2"/>
        <w:spacing w:after="0" w:line="360" w:lineRule="auto"/>
        <w:rPr>
          <w:rFonts w:ascii="宋体" w:hAnsi="宋体"/>
          <w:szCs w:val="21"/>
          <w:highlight w:val="none"/>
        </w:rPr>
      </w:pPr>
    </w:p>
    <w:p w14:paraId="576DD0DA">
      <w:pPr>
        <w:pStyle w:val="2"/>
        <w:spacing w:after="0" w:line="360" w:lineRule="auto"/>
        <w:rPr>
          <w:rFonts w:ascii="宋体" w:hAnsi="宋体"/>
          <w:szCs w:val="21"/>
          <w:highlight w:val="none"/>
        </w:rPr>
      </w:pPr>
    </w:p>
    <w:p w14:paraId="7EE77993">
      <w:pPr>
        <w:pStyle w:val="2"/>
        <w:spacing w:after="0" w:line="360" w:lineRule="auto"/>
        <w:rPr>
          <w:rFonts w:ascii="宋体" w:hAnsi="宋体"/>
          <w:szCs w:val="21"/>
          <w:highlight w:val="none"/>
        </w:rPr>
      </w:pPr>
    </w:p>
    <w:p w14:paraId="69552BFB">
      <w:pPr>
        <w:pStyle w:val="2"/>
        <w:spacing w:after="0" w:line="360" w:lineRule="auto"/>
        <w:rPr>
          <w:rFonts w:ascii="宋体" w:hAnsi="宋体"/>
          <w:szCs w:val="21"/>
          <w:highlight w:val="none"/>
        </w:rPr>
      </w:pPr>
    </w:p>
    <w:p w14:paraId="199ADDD8">
      <w:pPr>
        <w:tabs>
          <w:tab w:val="left" w:pos="5475"/>
        </w:tabs>
        <w:autoSpaceDE w:val="0"/>
        <w:autoSpaceDN w:val="0"/>
        <w:adjustRightInd w:val="0"/>
        <w:snapToGrid w:val="0"/>
        <w:spacing w:line="480" w:lineRule="auto"/>
        <w:ind w:firstLine="372" w:firstLineChars="186"/>
        <w:jc w:val="left"/>
        <w:rPr>
          <w:rFonts w:ascii="宋体" w:hAnsi="宋体"/>
          <w:kern w:val="0"/>
          <w:sz w:val="20"/>
          <w:szCs w:val="20"/>
          <w:highlight w:val="none"/>
        </w:rPr>
      </w:pPr>
    </w:p>
    <w:p w14:paraId="02A40F11">
      <w:pPr>
        <w:tabs>
          <w:tab w:val="left" w:pos="5460"/>
        </w:tabs>
        <w:autoSpaceDE w:val="0"/>
        <w:autoSpaceDN w:val="0"/>
        <w:adjustRightInd w:val="0"/>
        <w:snapToGrid w:val="0"/>
        <w:spacing w:line="480" w:lineRule="auto"/>
        <w:ind w:firstLine="2100"/>
        <w:jc w:val="right"/>
        <w:rPr>
          <w:rFonts w:ascii="宋体" w:hAnsi="宋体"/>
          <w:kern w:val="0"/>
          <w:szCs w:val="21"/>
          <w:highlight w:val="none"/>
        </w:rPr>
      </w:pPr>
      <w:r>
        <w:rPr>
          <w:rFonts w:hint="eastAsia" w:ascii="宋体" w:hAnsi="宋体"/>
          <w:kern w:val="0"/>
          <w:szCs w:val="21"/>
          <w:highlight w:val="none"/>
          <w:lang w:eastAsia="zh-CN"/>
        </w:rPr>
        <w:t>比选申请人</w:t>
      </w:r>
      <w:r>
        <w:rPr>
          <w:rFonts w:ascii="宋体" w:hAnsi="宋体"/>
          <w:kern w:val="0"/>
          <w:szCs w:val="21"/>
          <w:highlight w:val="none"/>
        </w:rPr>
        <w:t>：</w:t>
      </w:r>
      <w:r>
        <w:rPr>
          <w:rFonts w:ascii="宋体" w:hAnsi="宋体"/>
          <w:w w:val="200"/>
          <w:kern w:val="0"/>
          <w:szCs w:val="21"/>
          <w:highlight w:val="none"/>
          <w:u w:val="single"/>
        </w:rPr>
        <w:t xml:space="preserve">              </w:t>
      </w:r>
      <w:r>
        <w:rPr>
          <w:rFonts w:ascii="宋体" w:hAnsi="宋体"/>
          <w:kern w:val="0"/>
          <w:szCs w:val="21"/>
          <w:highlight w:val="none"/>
          <w:u w:val="single"/>
        </w:rPr>
        <w:tab/>
      </w:r>
      <w:r>
        <w:rPr>
          <w:rFonts w:ascii="宋体" w:hAnsi="宋体"/>
          <w:spacing w:val="-1"/>
          <w:kern w:val="0"/>
          <w:szCs w:val="21"/>
          <w:highlight w:val="none"/>
        </w:rPr>
        <w:t>（</w:t>
      </w:r>
      <w:r>
        <w:rPr>
          <w:rFonts w:ascii="宋体" w:hAnsi="宋体"/>
          <w:kern w:val="0"/>
          <w:szCs w:val="21"/>
          <w:highlight w:val="none"/>
        </w:rPr>
        <w:t>盖单位法人章）</w:t>
      </w:r>
    </w:p>
    <w:p w14:paraId="20C145CB">
      <w:pPr>
        <w:autoSpaceDE w:val="0"/>
        <w:autoSpaceDN w:val="0"/>
        <w:adjustRightInd w:val="0"/>
        <w:snapToGrid w:val="0"/>
        <w:spacing w:line="480" w:lineRule="auto"/>
        <w:jc w:val="left"/>
        <w:rPr>
          <w:rFonts w:ascii="宋体" w:hAnsi="宋体"/>
          <w:kern w:val="0"/>
          <w:sz w:val="20"/>
          <w:szCs w:val="20"/>
          <w:highlight w:val="none"/>
        </w:rPr>
      </w:pPr>
    </w:p>
    <w:p w14:paraId="28DAEEA7">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highlight w:val="none"/>
        </w:rPr>
      </w:pPr>
      <w:r>
        <w:rPr>
          <w:rFonts w:hint="eastAsia" w:ascii="宋体" w:hAnsi="宋体"/>
          <w:w w:val="200"/>
          <w:kern w:val="0"/>
          <w:szCs w:val="21"/>
          <w:highlight w:val="none"/>
          <w:u w:val="single"/>
        </w:rPr>
        <w:t xml:space="preserve">      </w:t>
      </w:r>
      <w:r>
        <w:rPr>
          <w:rFonts w:ascii="宋体" w:hAnsi="宋体"/>
          <w:kern w:val="0"/>
          <w:szCs w:val="21"/>
          <w:highlight w:val="none"/>
        </w:rPr>
        <w:t>年</w:t>
      </w:r>
      <w:r>
        <w:rPr>
          <w:rFonts w:ascii="宋体" w:hAnsi="宋体"/>
          <w:w w:val="200"/>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月</w:t>
      </w:r>
      <w:r>
        <w:rPr>
          <w:rFonts w:ascii="宋体" w:hAnsi="宋体"/>
          <w:w w:val="200"/>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日</w:t>
      </w:r>
      <w:r>
        <w:rPr>
          <w:rFonts w:hint="eastAsia" w:ascii="宋体" w:hAnsi="宋体"/>
          <w:kern w:val="0"/>
          <w:szCs w:val="21"/>
          <w:highlight w:val="none"/>
        </w:rPr>
        <w:t xml:space="preserve">  </w:t>
      </w:r>
    </w:p>
    <w:p w14:paraId="43EB7BAA">
      <w:pPr>
        <w:autoSpaceDE w:val="0"/>
        <w:autoSpaceDN w:val="0"/>
        <w:adjustRightInd w:val="0"/>
        <w:snapToGrid w:val="0"/>
        <w:spacing w:line="360" w:lineRule="auto"/>
        <w:jc w:val="left"/>
        <w:rPr>
          <w:rFonts w:ascii="宋体" w:hAnsi="宋体"/>
          <w:kern w:val="0"/>
          <w:highlight w:val="none"/>
        </w:rPr>
      </w:pPr>
    </w:p>
    <w:p w14:paraId="4AC469C9">
      <w:pPr>
        <w:autoSpaceDE w:val="0"/>
        <w:autoSpaceDN w:val="0"/>
        <w:adjustRightInd w:val="0"/>
        <w:snapToGrid w:val="0"/>
        <w:spacing w:line="360" w:lineRule="auto"/>
        <w:jc w:val="left"/>
        <w:rPr>
          <w:rFonts w:ascii="宋体" w:hAnsi="宋体"/>
          <w:kern w:val="0"/>
          <w:highlight w:val="none"/>
        </w:rPr>
      </w:pPr>
    </w:p>
    <w:p w14:paraId="7DF74A3A">
      <w:pPr>
        <w:spacing w:line="360" w:lineRule="auto"/>
        <w:ind w:firstLine="420" w:firstLineChars="200"/>
        <w:rPr>
          <w:rFonts w:ascii="宋体" w:hAnsi="宋体"/>
          <w:highlight w:val="none"/>
        </w:rPr>
      </w:pPr>
      <w:r>
        <w:rPr>
          <w:rFonts w:ascii="宋体" w:hAnsi="宋体"/>
          <w:highlight w:val="none"/>
        </w:rPr>
        <w:t>注：法定代表人身份证明需按上述格式填写完整，不可缺少内容。在此基础上增加内容的不影响其有效性。</w:t>
      </w:r>
    </w:p>
    <w:p w14:paraId="146B1D9F">
      <w:pPr>
        <w:spacing w:line="360" w:lineRule="auto"/>
        <w:ind w:firstLine="420" w:firstLineChars="200"/>
        <w:rPr>
          <w:rFonts w:ascii="宋体" w:hAnsi="宋体"/>
          <w:highlight w:val="none"/>
        </w:rPr>
      </w:pPr>
    </w:p>
    <w:p w14:paraId="454AF4D7">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highlight w:val="none"/>
        </w:rPr>
      </w:pPr>
      <w:r>
        <w:rPr>
          <w:rFonts w:ascii="宋体" w:hAnsi="宋体"/>
          <w:kern w:val="0"/>
          <w:highlight w:val="none"/>
        </w:rPr>
        <w:br w:type="page"/>
      </w:r>
      <w:r>
        <w:rPr>
          <w:rFonts w:ascii="宋体" w:hAnsi="宋体"/>
          <w:snapToGrid w:val="0"/>
          <w:kern w:val="0"/>
          <w:sz w:val="32"/>
          <w:szCs w:val="32"/>
          <w:highlight w:val="none"/>
        </w:rPr>
        <w:t>授权委托书</w:t>
      </w:r>
    </w:p>
    <w:p w14:paraId="78895AA8">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highlight w:val="none"/>
        </w:rPr>
      </w:pPr>
      <w:r>
        <w:rPr>
          <w:rFonts w:ascii="宋体" w:hAnsi="宋体"/>
          <w:kern w:val="0"/>
          <w:szCs w:val="21"/>
          <w:highlight w:val="none"/>
        </w:rPr>
        <w:t>本人</w:t>
      </w:r>
      <w:r>
        <w:rPr>
          <w:rFonts w:hint="eastAsia" w:ascii="宋体" w:hAnsi="宋体"/>
          <w:w w:val="200"/>
          <w:kern w:val="0"/>
          <w:szCs w:val="21"/>
          <w:highlight w:val="none"/>
          <w:u w:val="single"/>
        </w:rPr>
        <w:t xml:space="preserve">    </w:t>
      </w:r>
      <w:r>
        <w:rPr>
          <w:rFonts w:ascii="宋体" w:hAnsi="宋体"/>
          <w:kern w:val="0"/>
          <w:szCs w:val="21"/>
          <w:highlight w:val="none"/>
          <w:u w:val="single"/>
        </w:rPr>
        <w:t>（姓名）</w:t>
      </w:r>
      <w:r>
        <w:rPr>
          <w:rFonts w:ascii="宋体" w:hAnsi="宋体"/>
          <w:kern w:val="0"/>
          <w:szCs w:val="21"/>
          <w:highlight w:val="none"/>
        </w:rPr>
        <w:t>系</w:t>
      </w:r>
      <w:r>
        <w:rPr>
          <w:rFonts w:hint="eastAsia" w:ascii="宋体" w:hAnsi="宋体"/>
          <w:w w:val="200"/>
          <w:kern w:val="0"/>
          <w:szCs w:val="21"/>
          <w:highlight w:val="none"/>
          <w:u w:val="single"/>
        </w:rPr>
        <w:t xml:space="preserve">        </w:t>
      </w:r>
      <w:r>
        <w:rPr>
          <w:rFonts w:ascii="宋体" w:hAnsi="宋体"/>
          <w:kern w:val="0"/>
          <w:szCs w:val="21"/>
          <w:highlight w:val="none"/>
          <w:u w:val="single"/>
        </w:rPr>
        <w:t>（</w:t>
      </w:r>
      <w:r>
        <w:rPr>
          <w:rFonts w:hint="eastAsia" w:ascii="宋体" w:hAnsi="宋体"/>
          <w:spacing w:val="-1"/>
          <w:kern w:val="0"/>
          <w:szCs w:val="21"/>
          <w:highlight w:val="none"/>
          <w:u w:val="single"/>
          <w:lang w:eastAsia="zh-CN"/>
        </w:rPr>
        <w:t>比选申请人</w:t>
      </w:r>
      <w:r>
        <w:rPr>
          <w:rFonts w:ascii="宋体" w:hAnsi="宋体"/>
          <w:kern w:val="0"/>
          <w:szCs w:val="21"/>
          <w:highlight w:val="none"/>
          <w:u w:val="single"/>
        </w:rPr>
        <w:t>名称</w:t>
      </w:r>
      <w:r>
        <w:rPr>
          <w:rFonts w:ascii="宋体" w:hAnsi="宋体"/>
          <w:spacing w:val="1"/>
          <w:kern w:val="0"/>
          <w:szCs w:val="21"/>
          <w:highlight w:val="none"/>
          <w:u w:val="single"/>
        </w:rPr>
        <w:t>）</w:t>
      </w:r>
      <w:r>
        <w:rPr>
          <w:rFonts w:ascii="宋体" w:hAnsi="宋体"/>
          <w:kern w:val="0"/>
          <w:szCs w:val="21"/>
          <w:highlight w:val="none"/>
        </w:rPr>
        <w:t>的法定代</w:t>
      </w:r>
      <w:r>
        <w:rPr>
          <w:rFonts w:ascii="宋体" w:hAnsi="宋体"/>
          <w:spacing w:val="1"/>
          <w:kern w:val="0"/>
          <w:szCs w:val="21"/>
          <w:highlight w:val="none"/>
        </w:rPr>
        <w:t>表</w:t>
      </w:r>
      <w:r>
        <w:rPr>
          <w:rFonts w:ascii="宋体" w:hAnsi="宋体"/>
          <w:kern w:val="0"/>
          <w:szCs w:val="21"/>
          <w:highlight w:val="none"/>
        </w:rPr>
        <w:t>人，现委托</w:t>
      </w:r>
      <w:r>
        <w:rPr>
          <w:rFonts w:hint="eastAsia" w:ascii="宋体" w:hAnsi="宋体"/>
          <w:w w:val="200"/>
          <w:kern w:val="0"/>
          <w:szCs w:val="21"/>
          <w:highlight w:val="none"/>
          <w:u w:val="single"/>
        </w:rPr>
        <w:t xml:space="preserve">    </w:t>
      </w:r>
      <w:r>
        <w:rPr>
          <w:rFonts w:ascii="宋体" w:hAnsi="宋体"/>
          <w:kern w:val="0"/>
          <w:szCs w:val="21"/>
          <w:highlight w:val="none"/>
          <w:u w:val="single"/>
        </w:rPr>
        <w:t>（姓名）</w:t>
      </w:r>
      <w:r>
        <w:rPr>
          <w:rFonts w:ascii="宋体" w:hAnsi="宋体"/>
          <w:kern w:val="0"/>
          <w:szCs w:val="21"/>
          <w:highlight w:val="none"/>
        </w:rPr>
        <w:t>为我方代理人。代理人根据授权，</w:t>
      </w:r>
      <w:r>
        <w:rPr>
          <w:rFonts w:hint="eastAsia" w:ascii="宋体" w:hAnsi="宋体"/>
          <w:kern w:val="0"/>
          <w:szCs w:val="21"/>
          <w:highlight w:val="none"/>
          <w:lang w:val="en-US" w:eastAsia="zh-CN"/>
        </w:rPr>
        <w:t>代表我方</w:t>
      </w:r>
      <w:r>
        <w:rPr>
          <w:rFonts w:ascii="宋体" w:hAnsi="宋体"/>
          <w:kern w:val="0"/>
          <w:szCs w:val="21"/>
          <w:highlight w:val="none"/>
        </w:rPr>
        <w:t>签署、澄清、说明、补正、递交、撤回、 修改</w:t>
      </w:r>
      <w:r>
        <w:rPr>
          <w:rFonts w:hint="eastAsia" w:ascii="宋体" w:hAnsi="宋体"/>
          <w:w w:val="200"/>
          <w:kern w:val="0"/>
          <w:szCs w:val="21"/>
          <w:highlight w:val="none"/>
          <w:u w:val="single"/>
        </w:rPr>
        <w:t xml:space="preserve">        </w:t>
      </w:r>
      <w:r>
        <w:rPr>
          <w:rFonts w:ascii="宋体" w:hAnsi="宋体"/>
          <w:kern w:val="0"/>
          <w:szCs w:val="21"/>
          <w:highlight w:val="none"/>
          <w:u w:val="single"/>
        </w:rPr>
        <w:t>（项</w:t>
      </w:r>
      <w:r>
        <w:rPr>
          <w:rFonts w:ascii="宋体" w:hAnsi="宋体"/>
          <w:spacing w:val="-1"/>
          <w:kern w:val="0"/>
          <w:szCs w:val="21"/>
          <w:highlight w:val="none"/>
          <w:u w:val="single"/>
        </w:rPr>
        <w:t>目</w:t>
      </w:r>
      <w:r>
        <w:rPr>
          <w:rFonts w:ascii="宋体" w:hAnsi="宋体"/>
          <w:kern w:val="0"/>
          <w:szCs w:val="21"/>
          <w:highlight w:val="none"/>
          <w:u w:val="single"/>
        </w:rPr>
        <w:t>名称）</w:t>
      </w:r>
      <w:r>
        <w:rPr>
          <w:rFonts w:hint="eastAsia" w:ascii="宋体" w:hAnsi="宋体"/>
          <w:kern w:val="0"/>
          <w:szCs w:val="21"/>
          <w:highlight w:val="none"/>
          <w:lang w:eastAsia="zh-CN"/>
        </w:rPr>
        <w:t>比选申请文件</w:t>
      </w:r>
      <w:r>
        <w:rPr>
          <w:rFonts w:ascii="宋体" w:hAnsi="宋体"/>
          <w:kern w:val="0"/>
          <w:szCs w:val="21"/>
          <w:highlight w:val="none"/>
        </w:rPr>
        <w:t>、签订合同和处理有关事宜， 其法律后果由我方承担。</w:t>
      </w:r>
    </w:p>
    <w:p w14:paraId="0A957049">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委托</w:t>
      </w:r>
      <w:r>
        <w:rPr>
          <w:rFonts w:ascii="宋体" w:hAnsi="宋体"/>
          <w:spacing w:val="-1"/>
          <w:kern w:val="0"/>
          <w:szCs w:val="21"/>
          <w:highlight w:val="none"/>
        </w:rPr>
        <w:t>期</w:t>
      </w:r>
      <w:r>
        <w:rPr>
          <w:rFonts w:ascii="宋体" w:hAnsi="宋体"/>
          <w:kern w:val="0"/>
          <w:szCs w:val="21"/>
          <w:highlight w:val="none"/>
        </w:rPr>
        <w:t>限：</w:t>
      </w:r>
      <w:r>
        <w:rPr>
          <w:rFonts w:hint="eastAsia" w:ascii="宋体" w:hAnsi="宋体"/>
          <w:w w:val="200"/>
          <w:kern w:val="0"/>
          <w:szCs w:val="21"/>
          <w:highlight w:val="none"/>
          <w:u w:val="single"/>
        </w:rPr>
        <w:t xml:space="preserve">        </w:t>
      </w:r>
      <w:r>
        <w:rPr>
          <w:rFonts w:ascii="宋体" w:hAnsi="宋体"/>
          <w:kern w:val="0"/>
          <w:szCs w:val="21"/>
          <w:highlight w:val="none"/>
        </w:rPr>
        <w:t xml:space="preserve">。 </w:t>
      </w:r>
    </w:p>
    <w:p w14:paraId="15EE5F41">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代理人无转委托权。</w:t>
      </w:r>
    </w:p>
    <w:p w14:paraId="3C970410">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p>
    <w:p w14:paraId="48A4FB15">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投  标  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ascii="宋体" w:hAnsi="宋体"/>
          <w:spacing w:val="-1"/>
          <w:kern w:val="0"/>
          <w:szCs w:val="21"/>
          <w:highlight w:val="none"/>
        </w:rPr>
        <w:t>盖单位法人章</w:t>
      </w:r>
      <w:r>
        <w:rPr>
          <w:rFonts w:ascii="宋体" w:hAnsi="宋体"/>
          <w:kern w:val="0"/>
          <w:szCs w:val="21"/>
          <w:highlight w:val="none"/>
        </w:rPr>
        <w:t>）</w:t>
      </w:r>
    </w:p>
    <w:p w14:paraId="33CDCF12">
      <w:pPr>
        <w:tabs>
          <w:tab w:val="left" w:pos="630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ascii="宋体" w:hAnsi="宋体"/>
          <w:kern w:val="0"/>
          <w:szCs w:val="21"/>
          <w:highlight w:val="none"/>
        </w:rPr>
        <w:t>法定代表人：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ascii="宋体" w:hAnsi="宋体"/>
          <w:kern w:val="0"/>
          <w:szCs w:val="21"/>
          <w:highlight w:val="none"/>
        </w:rPr>
        <w:t>或盖章）</w:t>
      </w:r>
    </w:p>
    <w:p w14:paraId="5EB7A735">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u w:val="single"/>
        </w:rPr>
      </w:pPr>
      <w:r>
        <w:rPr>
          <w:rFonts w:ascii="宋体" w:hAnsi="宋体"/>
          <w:kern w:val="0"/>
          <w:szCs w:val="21"/>
          <w:highlight w:val="none"/>
        </w:rPr>
        <w:t>身份证号码：</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p>
    <w:p w14:paraId="7797BC44">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ascii="宋体" w:hAnsi="宋体"/>
          <w:kern w:val="0"/>
          <w:szCs w:val="21"/>
          <w:highlight w:val="none"/>
        </w:rPr>
        <w:t>委托代理人：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ascii="宋体" w:hAnsi="宋体"/>
          <w:kern w:val="0"/>
          <w:szCs w:val="21"/>
          <w:highlight w:val="none"/>
        </w:rPr>
        <w:t>）</w:t>
      </w:r>
    </w:p>
    <w:p w14:paraId="5EDDCC84">
      <w:pPr>
        <w:tabs>
          <w:tab w:val="left" w:pos="6825"/>
        </w:tabs>
        <w:autoSpaceDE w:val="0"/>
        <w:autoSpaceDN w:val="0"/>
        <w:adjustRightInd w:val="0"/>
        <w:snapToGrid w:val="0"/>
        <w:spacing w:line="480" w:lineRule="auto"/>
        <w:ind w:firstLine="420" w:firstLineChars="200"/>
        <w:jc w:val="left"/>
        <w:rPr>
          <w:rFonts w:ascii="宋体" w:hAnsi="宋体"/>
          <w:w w:val="200"/>
          <w:kern w:val="0"/>
          <w:szCs w:val="21"/>
          <w:highlight w:val="none"/>
          <w:u w:val="single"/>
        </w:rPr>
      </w:pPr>
      <w:r>
        <w:rPr>
          <w:rFonts w:ascii="宋体" w:hAnsi="宋体"/>
          <w:kern w:val="0"/>
          <w:szCs w:val="21"/>
          <w:highlight w:val="none"/>
        </w:rPr>
        <w:t>身份证号码：</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p>
    <w:p w14:paraId="0C58EE49">
      <w:pPr>
        <w:tabs>
          <w:tab w:val="left" w:pos="6825"/>
        </w:tabs>
        <w:autoSpaceDE w:val="0"/>
        <w:autoSpaceDN w:val="0"/>
        <w:adjustRightInd w:val="0"/>
        <w:snapToGrid w:val="0"/>
        <w:spacing w:line="480" w:lineRule="auto"/>
        <w:ind w:firstLine="420" w:firstLineChars="200"/>
        <w:jc w:val="left"/>
        <w:rPr>
          <w:rFonts w:ascii="宋体" w:hAnsi="宋体"/>
          <w:kern w:val="0"/>
          <w:szCs w:val="21"/>
          <w:highlight w:val="none"/>
          <w:u w:val="single"/>
        </w:rPr>
      </w:pPr>
      <w:r>
        <w:rPr>
          <w:rFonts w:hint="eastAsia" w:ascii="宋体" w:hAnsi="宋体"/>
          <w:kern w:val="0"/>
          <w:szCs w:val="21"/>
          <w:highlight w:val="none"/>
        </w:rPr>
        <w:t>单位电话（座机）：</w:t>
      </w:r>
      <w:r>
        <w:rPr>
          <w:rFonts w:hint="eastAsia" w:ascii="宋体" w:hAnsi="宋体"/>
          <w:kern w:val="0"/>
          <w:szCs w:val="21"/>
          <w:highlight w:val="none"/>
          <w:u w:val="single"/>
        </w:rPr>
        <w:t xml:space="preserve">                              </w:t>
      </w:r>
    </w:p>
    <w:p w14:paraId="4CCFAED1">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hint="eastAsia" w:ascii="宋体" w:hAnsi="宋体"/>
          <w:kern w:val="0"/>
          <w:szCs w:val="21"/>
          <w:highlight w:val="none"/>
        </w:rPr>
        <w:t xml:space="preserve">委托代理人电话（手机）：                                          </w:t>
      </w:r>
    </w:p>
    <w:p w14:paraId="7AA17E58">
      <w:pPr>
        <w:autoSpaceDE w:val="0"/>
        <w:autoSpaceDN w:val="0"/>
        <w:adjustRightInd w:val="0"/>
        <w:snapToGrid w:val="0"/>
        <w:spacing w:line="480" w:lineRule="auto"/>
        <w:ind w:firstLine="810" w:firstLineChars="386"/>
        <w:jc w:val="left"/>
        <w:rPr>
          <w:rFonts w:ascii="宋体" w:hAnsi="宋体"/>
          <w:kern w:val="0"/>
          <w:szCs w:val="21"/>
          <w:highlight w:val="none"/>
        </w:rPr>
      </w:pPr>
      <w:r>
        <w:rPr>
          <w:rFonts w:hint="eastAsia" w:ascii="宋体" w:hAnsi="宋体"/>
          <w:kern w:val="0"/>
          <w:szCs w:val="21"/>
          <w:highlight w:val="none"/>
        </w:rPr>
        <w:t>附：法定代表人和委托代理人身份证</w:t>
      </w:r>
      <w:r>
        <w:rPr>
          <w:rFonts w:hint="eastAsia" w:ascii="宋体" w:hAnsi="宋体"/>
          <w:kern w:val="0"/>
          <w:szCs w:val="21"/>
          <w:highlight w:val="none"/>
          <w:lang w:val="en-US" w:eastAsia="zh-CN"/>
        </w:rPr>
        <w:t>明</w:t>
      </w:r>
      <w:r>
        <w:rPr>
          <w:rFonts w:hint="eastAsia" w:ascii="宋体" w:hAnsi="宋体"/>
          <w:kern w:val="0"/>
          <w:szCs w:val="21"/>
          <w:highlight w:val="none"/>
        </w:rPr>
        <w:t>扫描件（双面）</w:t>
      </w:r>
    </w:p>
    <w:p w14:paraId="139BB642">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highlight w:val="none"/>
          <w:u w:val="single"/>
        </w:rPr>
      </w:pPr>
    </w:p>
    <w:p w14:paraId="602B5FF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06D66114">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13A9771E">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37BDF1F8">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7FE18B15">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5336B18B">
      <w:pPr>
        <w:tabs>
          <w:tab w:val="left" w:pos="6825"/>
        </w:tabs>
        <w:autoSpaceDE w:val="0"/>
        <w:autoSpaceDN w:val="0"/>
        <w:adjustRightInd w:val="0"/>
        <w:snapToGrid w:val="0"/>
        <w:spacing w:line="480" w:lineRule="auto"/>
        <w:ind w:firstLine="420" w:firstLineChars="200"/>
        <w:jc w:val="left"/>
        <w:rPr>
          <w:rFonts w:ascii="宋体" w:hAnsi="宋体"/>
          <w:kern w:val="0"/>
          <w:szCs w:val="21"/>
          <w:highlight w:val="none"/>
        </w:rPr>
      </w:pPr>
    </w:p>
    <w:p w14:paraId="6D5572C7">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highlight w:val="none"/>
        </w:rPr>
      </w:pPr>
      <w:r>
        <w:rPr>
          <w:rFonts w:hint="eastAsia" w:ascii="宋体" w:hAnsi="宋体"/>
          <w:w w:val="200"/>
          <w:kern w:val="0"/>
          <w:szCs w:val="21"/>
          <w:highlight w:val="none"/>
          <w:u w:val="single"/>
        </w:rPr>
        <w:t xml:space="preserve">  </w:t>
      </w:r>
      <w:r>
        <w:rPr>
          <w:rFonts w:ascii="宋体" w:hAnsi="宋体"/>
          <w:kern w:val="0"/>
          <w:szCs w:val="21"/>
          <w:highlight w:val="none"/>
        </w:rPr>
        <w:t>年</w:t>
      </w:r>
      <w:r>
        <w:rPr>
          <w:rFonts w:hint="eastAsia" w:ascii="宋体" w:hAnsi="宋体"/>
          <w:w w:val="200"/>
          <w:kern w:val="0"/>
          <w:szCs w:val="21"/>
          <w:highlight w:val="none"/>
          <w:u w:val="single"/>
        </w:rPr>
        <w:t xml:space="preserve">  </w:t>
      </w:r>
      <w:r>
        <w:rPr>
          <w:rFonts w:ascii="宋体" w:hAnsi="宋体"/>
          <w:kern w:val="0"/>
          <w:szCs w:val="21"/>
          <w:highlight w:val="none"/>
        </w:rPr>
        <w:t>月</w:t>
      </w:r>
      <w:r>
        <w:rPr>
          <w:rFonts w:hint="eastAsia" w:ascii="宋体" w:hAnsi="宋体"/>
          <w:w w:val="200"/>
          <w:kern w:val="0"/>
          <w:szCs w:val="21"/>
          <w:highlight w:val="none"/>
          <w:u w:val="single"/>
        </w:rPr>
        <w:t xml:space="preserve">  </w:t>
      </w:r>
      <w:r>
        <w:rPr>
          <w:rFonts w:ascii="宋体" w:hAnsi="宋体"/>
          <w:kern w:val="0"/>
          <w:szCs w:val="21"/>
          <w:highlight w:val="none"/>
        </w:rPr>
        <w:t>日</w:t>
      </w:r>
      <w:r>
        <w:rPr>
          <w:rFonts w:hint="eastAsia" w:ascii="宋体" w:hAnsi="宋体"/>
          <w:kern w:val="0"/>
          <w:szCs w:val="21"/>
          <w:highlight w:val="none"/>
        </w:rPr>
        <w:t xml:space="preserve"> </w:t>
      </w:r>
    </w:p>
    <w:p w14:paraId="73C1B322">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highlight w:val="none"/>
        </w:rPr>
      </w:pPr>
    </w:p>
    <w:p w14:paraId="4F34E5DF">
      <w:pPr>
        <w:tabs>
          <w:tab w:val="left" w:pos="5760"/>
        </w:tabs>
        <w:autoSpaceDE w:val="0"/>
        <w:autoSpaceDN w:val="0"/>
        <w:adjustRightInd w:val="0"/>
        <w:spacing w:line="360" w:lineRule="auto"/>
        <w:ind w:firstLine="420" w:firstLineChars="200"/>
        <w:rPr>
          <w:rFonts w:ascii="宋体" w:hAnsi="宋体"/>
          <w:kern w:val="0"/>
          <w:highlight w:val="none"/>
        </w:rPr>
      </w:pPr>
    </w:p>
    <w:p w14:paraId="28EF721F">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14:paraId="71184B16">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highlight w:val="none"/>
        </w:rPr>
      </w:pPr>
      <w:r>
        <w:rPr>
          <w:rFonts w:hint="eastAsia" w:ascii="宋体" w:hAnsi="宋体"/>
          <w:kern w:val="0"/>
          <w:szCs w:val="21"/>
          <w:highlight w:val="none"/>
        </w:rPr>
        <w:t>2.</w:t>
      </w:r>
      <w:r>
        <w:rPr>
          <w:rFonts w:hint="eastAsia" w:ascii="宋体" w:hAnsi="宋体"/>
          <w:highlight w:val="none"/>
        </w:rPr>
        <w:t>授权委托书</w:t>
      </w:r>
      <w:r>
        <w:rPr>
          <w:rFonts w:ascii="宋体" w:hAnsi="宋体"/>
          <w:highlight w:val="none"/>
        </w:rPr>
        <w:t>需按上述格式填写完整，不可缺少内容。在此基础上增加内容的不影响其有效性。</w:t>
      </w:r>
    </w:p>
    <w:p w14:paraId="70E993DE">
      <w:pPr>
        <w:spacing w:line="360" w:lineRule="auto"/>
        <w:ind w:firstLine="420" w:firstLineChars="200"/>
        <w:rPr>
          <w:rFonts w:ascii="宋体" w:hAnsi="宋体"/>
          <w:highlight w:val="none"/>
        </w:rPr>
      </w:pPr>
      <w:r>
        <w:rPr>
          <w:rFonts w:ascii="宋体" w:hAnsi="宋体"/>
          <w:highlight w:val="none"/>
        </w:rPr>
        <w:br w:type="page"/>
      </w:r>
    </w:p>
    <w:p w14:paraId="4D88AA38">
      <w:pPr>
        <w:pStyle w:val="4"/>
        <w:spacing w:line="360" w:lineRule="auto"/>
        <w:jc w:val="center"/>
        <w:rPr>
          <w:rFonts w:ascii="宋体" w:hAnsi="宋体"/>
          <w:b w:val="0"/>
          <w:bCs w:val="0"/>
          <w:sz w:val="44"/>
          <w:szCs w:val="44"/>
          <w:highlight w:val="none"/>
        </w:rPr>
      </w:pPr>
      <w:bookmarkStart w:id="2259" w:name="_Toc18306"/>
      <w:bookmarkStart w:id="2260" w:name="_Toc224103500"/>
      <w:bookmarkStart w:id="2261" w:name="_Toc430530534"/>
      <w:bookmarkStart w:id="2262" w:name="_Toc11873"/>
      <w:bookmarkStart w:id="2263" w:name="_Toc287607872"/>
      <w:bookmarkStart w:id="2264" w:name="_Toc287620819"/>
      <w:r>
        <w:rPr>
          <w:rFonts w:hint="eastAsia" w:ascii="宋体" w:hAnsi="宋体"/>
          <w:b w:val="0"/>
          <w:bCs w:val="0"/>
          <w:sz w:val="44"/>
          <w:szCs w:val="44"/>
          <w:highlight w:val="none"/>
        </w:rPr>
        <w:t>二、</w:t>
      </w:r>
      <w:r>
        <w:rPr>
          <w:rFonts w:hint="eastAsia" w:ascii="宋体" w:hAnsi="宋体"/>
          <w:b w:val="0"/>
          <w:bCs w:val="0"/>
          <w:sz w:val="44"/>
          <w:szCs w:val="44"/>
          <w:highlight w:val="none"/>
          <w:lang w:val="en-US" w:eastAsia="zh-CN"/>
        </w:rPr>
        <w:t>报价</w:t>
      </w:r>
      <w:r>
        <w:rPr>
          <w:rFonts w:hint="eastAsia" w:ascii="宋体" w:hAnsi="宋体"/>
          <w:b w:val="0"/>
          <w:bCs w:val="0"/>
          <w:sz w:val="44"/>
          <w:szCs w:val="44"/>
          <w:highlight w:val="none"/>
        </w:rPr>
        <w:t>部分</w:t>
      </w:r>
      <w:bookmarkEnd w:id="2259"/>
      <w:bookmarkEnd w:id="2260"/>
      <w:bookmarkEnd w:id="2261"/>
      <w:bookmarkEnd w:id="2262"/>
      <w:bookmarkEnd w:id="2263"/>
      <w:bookmarkEnd w:id="2264"/>
    </w:p>
    <w:p w14:paraId="0425467E">
      <w:pPr>
        <w:spacing w:line="360" w:lineRule="auto"/>
        <w:jc w:val="center"/>
        <w:rPr>
          <w:rFonts w:ascii="宋体" w:hAnsi="宋体"/>
          <w:kern w:val="0"/>
          <w:sz w:val="32"/>
          <w:szCs w:val="32"/>
          <w:highlight w:val="none"/>
        </w:rPr>
      </w:pPr>
      <w:r>
        <w:rPr>
          <w:rFonts w:ascii="宋体" w:hAnsi="宋体"/>
          <w:kern w:val="0"/>
          <w:sz w:val="28"/>
          <w:szCs w:val="28"/>
          <w:highlight w:val="none"/>
        </w:rPr>
        <w:br w:type="page"/>
      </w:r>
      <w:r>
        <w:rPr>
          <w:rFonts w:hint="eastAsia" w:ascii="宋体" w:hAnsi="宋体"/>
          <w:kern w:val="0"/>
          <w:sz w:val="32"/>
          <w:szCs w:val="32"/>
          <w:highlight w:val="none"/>
          <w:u w:val="single"/>
        </w:rPr>
        <w:t xml:space="preserve">                   （项目名称）</w:t>
      </w:r>
    </w:p>
    <w:p w14:paraId="08F8F161">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393D4CDE">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22B9FC58">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61626DC5">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highlight w:val="none"/>
        </w:rPr>
      </w:pPr>
    </w:p>
    <w:p w14:paraId="4029119D">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highlight w:val="none"/>
        </w:rPr>
      </w:pPr>
      <w:r>
        <w:rPr>
          <w:rFonts w:hint="eastAsia" w:ascii="宋体" w:hAnsi="宋体"/>
          <w:kern w:val="0"/>
          <w:sz w:val="72"/>
          <w:szCs w:val="72"/>
          <w:highlight w:val="none"/>
          <w:lang w:val="en-US" w:eastAsia="zh-CN"/>
        </w:rPr>
        <w:t>比选申请</w:t>
      </w:r>
      <w:r>
        <w:rPr>
          <w:rFonts w:hint="eastAsia" w:ascii="宋体" w:hAnsi="宋体"/>
          <w:kern w:val="0"/>
          <w:sz w:val="72"/>
          <w:szCs w:val="72"/>
          <w:highlight w:val="none"/>
        </w:rPr>
        <w:t>文件</w:t>
      </w:r>
    </w:p>
    <w:p w14:paraId="246C7491">
      <w:pPr>
        <w:autoSpaceDE w:val="0"/>
        <w:autoSpaceDN w:val="0"/>
        <w:adjustRightInd w:val="0"/>
        <w:snapToGrid w:val="0"/>
        <w:spacing w:line="360" w:lineRule="auto"/>
        <w:jc w:val="left"/>
        <w:rPr>
          <w:rFonts w:ascii="宋体" w:hAnsi="宋体"/>
          <w:kern w:val="0"/>
          <w:sz w:val="16"/>
          <w:szCs w:val="16"/>
          <w:highlight w:val="none"/>
        </w:rPr>
      </w:pPr>
    </w:p>
    <w:p w14:paraId="52FC88C7">
      <w:pPr>
        <w:autoSpaceDE w:val="0"/>
        <w:autoSpaceDN w:val="0"/>
        <w:adjustRightInd w:val="0"/>
        <w:snapToGrid w:val="0"/>
        <w:spacing w:line="360" w:lineRule="auto"/>
        <w:jc w:val="center"/>
        <w:rPr>
          <w:rFonts w:ascii="宋体" w:hAnsi="宋体"/>
          <w:kern w:val="0"/>
          <w:sz w:val="36"/>
          <w:szCs w:val="36"/>
          <w:highlight w:val="none"/>
        </w:rPr>
      </w:pPr>
      <w:r>
        <w:rPr>
          <w:rFonts w:hint="eastAsia" w:ascii="宋体" w:hAnsi="宋体"/>
          <w:kern w:val="0"/>
          <w:sz w:val="36"/>
          <w:szCs w:val="36"/>
          <w:highlight w:val="none"/>
          <w:lang w:val="en-US" w:eastAsia="zh-CN"/>
        </w:rPr>
        <w:t>报价</w:t>
      </w:r>
      <w:r>
        <w:rPr>
          <w:rFonts w:hint="eastAsia" w:ascii="宋体" w:hAnsi="宋体"/>
          <w:kern w:val="0"/>
          <w:sz w:val="36"/>
          <w:szCs w:val="36"/>
          <w:highlight w:val="none"/>
        </w:rPr>
        <w:t>部分</w:t>
      </w:r>
    </w:p>
    <w:p w14:paraId="024323B8">
      <w:pPr>
        <w:autoSpaceDE w:val="0"/>
        <w:autoSpaceDN w:val="0"/>
        <w:adjustRightInd w:val="0"/>
        <w:snapToGrid w:val="0"/>
        <w:spacing w:line="360" w:lineRule="auto"/>
        <w:jc w:val="left"/>
        <w:rPr>
          <w:rFonts w:ascii="宋体" w:hAnsi="宋体"/>
          <w:b/>
          <w:kern w:val="0"/>
          <w:sz w:val="20"/>
          <w:szCs w:val="20"/>
          <w:highlight w:val="none"/>
        </w:rPr>
      </w:pPr>
    </w:p>
    <w:p w14:paraId="59007B3B">
      <w:pPr>
        <w:autoSpaceDE w:val="0"/>
        <w:autoSpaceDN w:val="0"/>
        <w:adjustRightInd w:val="0"/>
        <w:snapToGrid w:val="0"/>
        <w:spacing w:line="360" w:lineRule="auto"/>
        <w:jc w:val="left"/>
        <w:rPr>
          <w:rFonts w:ascii="宋体" w:hAnsi="宋体"/>
          <w:b/>
          <w:kern w:val="0"/>
          <w:sz w:val="20"/>
          <w:szCs w:val="20"/>
          <w:highlight w:val="none"/>
        </w:rPr>
      </w:pPr>
    </w:p>
    <w:p w14:paraId="77309980">
      <w:pPr>
        <w:autoSpaceDE w:val="0"/>
        <w:autoSpaceDN w:val="0"/>
        <w:adjustRightInd w:val="0"/>
        <w:snapToGrid w:val="0"/>
        <w:spacing w:line="360" w:lineRule="auto"/>
        <w:jc w:val="left"/>
        <w:rPr>
          <w:rFonts w:ascii="宋体" w:hAnsi="宋体"/>
          <w:b/>
          <w:kern w:val="0"/>
          <w:sz w:val="20"/>
          <w:szCs w:val="20"/>
          <w:highlight w:val="none"/>
        </w:rPr>
      </w:pPr>
    </w:p>
    <w:p w14:paraId="715374A1">
      <w:pPr>
        <w:autoSpaceDE w:val="0"/>
        <w:autoSpaceDN w:val="0"/>
        <w:adjustRightInd w:val="0"/>
        <w:snapToGrid w:val="0"/>
        <w:spacing w:line="360" w:lineRule="auto"/>
        <w:jc w:val="left"/>
        <w:rPr>
          <w:rFonts w:ascii="宋体" w:hAnsi="宋体"/>
          <w:b/>
          <w:kern w:val="0"/>
          <w:sz w:val="20"/>
          <w:szCs w:val="20"/>
          <w:highlight w:val="none"/>
        </w:rPr>
      </w:pPr>
    </w:p>
    <w:p w14:paraId="348D5148">
      <w:pPr>
        <w:autoSpaceDE w:val="0"/>
        <w:autoSpaceDN w:val="0"/>
        <w:adjustRightInd w:val="0"/>
        <w:snapToGrid w:val="0"/>
        <w:spacing w:line="360" w:lineRule="auto"/>
        <w:jc w:val="left"/>
        <w:rPr>
          <w:rFonts w:ascii="宋体" w:hAnsi="宋体"/>
          <w:b/>
          <w:kern w:val="0"/>
          <w:sz w:val="20"/>
          <w:szCs w:val="20"/>
          <w:highlight w:val="none"/>
        </w:rPr>
      </w:pPr>
    </w:p>
    <w:p w14:paraId="4E8959C4">
      <w:pPr>
        <w:autoSpaceDE w:val="0"/>
        <w:autoSpaceDN w:val="0"/>
        <w:adjustRightInd w:val="0"/>
        <w:snapToGrid w:val="0"/>
        <w:spacing w:line="360" w:lineRule="auto"/>
        <w:jc w:val="left"/>
        <w:rPr>
          <w:rFonts w:ascii="宋体" w:hAnsi="宋体"/>
          <w:b/>
          <w:kern w:val="0"/>
          <w:sz w:val="20"/>
          <w:szCs w:val="20"/>
          <w:highlight w:val="none"/>
        </w:rPr>
      </w:pPr>
    </w:p>
    <w:p w14:paraId="6135161B">
      <w:pPr>
        <w:autoSpaceDE w:val="0"/>
        <w:autoSpaceDN w:val="0"/>
        <w:adjustRightInd w:val="0"/>
        <w:snapToGrid w:val="0"/>
        <w:spacing w:line="360" w:lineRule="auto"/>
        <w:jc w:val="left"/>
        <w:rPr>
          <w:rFonts w:ascii="宋体" w:hAnsi="宋体"/>
          <w:b/>
          <w:kern w:val="0"/>
          <w:sz w:val="20"/>
          <w:szCs w:val="20"/>
          <w:highlight w:val="none"/>
        </w:rPr>
      </w:pPr>
    </w:p>
    <w:p w14:paraId="7FB5F264">
      <w:pPr>
        <w:autoSpaceDE w:val="0"/>
        <w:autoSpaceDN w:val="0"/>
        <w:adjustRightInd w:val="0"/>
        <w:snapToGrid w:val="0"/>
        <w:spacing w:line="360" w:lineRule="auto"/>
        <w:jc w:val="left"/>
        <w:rPr>
          <w:rFonts w:ascii="宋体" w:hAnsi="宋体"/>
          <w:b/>
          <w:kern w:val="0"/>
          <w:sz w:val="20"/>
          <w:szCs w:val="20"/>
          <w:highlight w:val="none"/>
        </w:rPr>
      </w:pPr>
    </w:p>
    <w:p w14:paraId="6AA48AC8">
      <w:pPr>
        <w:autoSpaceDE w:val="0"/>
        <w:autoSpaceDN w:val="0"/>
        <w:adjustRightInd w:val="0"/>
        <w:snapToGrid w:val="0"/>
        <w:spacing w:line="360" w:lineRule="auto"/>
        <w:jc w:val="left"/>
        <w:rPr>
          <w:rFonts w:ascii="宋体" w:hAnsi="宋体"/>
          <w:b/>
          <w:kern w:val="0"/>
          <w:sz w:val="20"/>
          <w:szCs w:val="20"/>
          <w:highlight w:val="none"/>
        </w:rPr>
      </w:pPr>
    </w:p>
    <w:p w14:paraId="01C04051">
      <w:pPr>
        <w:autoSpaceDE w:val="0"/>
        <w:autoSpaceDN w:val="0"/>
        <w:adjustRightInd w:val="0"/>
        <w:snapToGrid w:val="0"/>
        <w:spacing w:line="360" w:lineRule="auto"/>
        <w:jc w:val="left"/>
        <w:rPr>
          <w:rFonts w:ascii="宋体" w:hAnsi="宋体"/>
          <w:b/>
          <w:kern w:val="0"/>
          <w:sz w:val="20"/>
          <w:szCs w:val="20"/>
          <w:highlight w:val="none"/>
        </w:rPr>
      </w:pPr>
    </w:p>
    <w:p w14:paraId="0423C433">
      <w:pPr>
        <w:autoSpaceDE w:val="0"/>
        <w:autoSpaceDN w:val="0"/>
        <w:adjustRightInd w:val="0"/>
        <w:snapToGrid w:val="0"/>
        <w:spacing w:line="360" w:lineRule="auto"/>
        <w:jc w:val="left"/>
        <w:rPr>
          <w:rFonts w:ascii="宋体" w:hAnsi="宋体"/>
          <w:b/>
          <w:kern w:val="0"/>
          <w:sz w:val="20"/>
          <w:szCs w:val="20"/>
          <w:highlight w:val="none"/>
        </w:rPr>
      </w:pPr>
    </w:p>
    <w:p w14:paraId="5677F1A4">
      <w:pPr>
        <w:autoSpaceDE w:val="0"/>
        <w:autoSpaceDN w:val="0"/>
        <w:adjustRightInd w:val="0"/>
        <w:snapToGrid w:val="0"/>
        <w:spacing w:line="360" w:lineRule="auto"/>
        <w:jc w:val="left"/>
        <w:rPr>
          <w:rFonts w:ascii="宋体" w:hAnsi="宋体"/>
          <w:b/>
          <w:kern w:val="0"/>
          <w:sz w:val="20"/>
          <w:szCs w:val="20"/>
          <w:highlight w:val="none"/>
        </w:rPr>
      </w:pPr>
    </w:p>
    <w:p w14:paraId="15AF704D">
      <w:pPr>
        <w:autoSpaceDE w:val="0"/>
        <w:autoSpaceDN w:val="0"/>
        <w:adjustRightInd w:val="0"/>
        <w:snapToGrid w:val="0"/>
        <w:spacing w:line="360" w:lineRule="auto"/>
        <w:jc w:val="left"/>
        <w:rPr>
          <w:rFonts w:ascii="宋体" w:hAnsi="宋体"/>
          <w:b/>
          <w:kern w:val="0"/>
          <w:sz w:val="20"/>
          <w:szCs w:val="20"/>
          <w:highlight w:val="none"/>
        </w:rPr>
      </w:pPr>
    </w:p>
    <w:p w14:paraId="43D9B6A0">
      <w:pPr>
        <w:tabs>
          <w:tab w:val="left" w:pos="6080"/>
          <w:tab w:val="left" w:pos="6640"/>
        </w:tabs>
        <w:autoSpaceDE w:val="0"/>
        <w:autoSpaceDN w:val="0"/>
        <w:adjustRightInd w:val="0"/>
        <w:snapToGrid w:val="0"/>
        <w:spacing w:after="156" w:afterLines="50" w:line="360" w:lineRule="auto"/>
        <w:jc w:val="center"/>
        <w:rPr>
          <w:rFonts w:ascii="宋体" w:hAnsi="宋体"/>
          <w:w w:val="99"/>
          <w:kern w:val="0"/>
          <w:sz w:val="28"/>
          <w:szCs w:val="28"/>
          <w:highlight w:val="none"/>
        </w:rPr>
      </w:pPr>
      <w:r>
        <w:rPr>
          <w:rFonts w:hint="eastAsia" w:ascii="宋体" w:hAnsi="宋体"/>
          <w:w w:val="99"/>
          <w:kern w:val="0"/>
          <w:sz w:val="28"/>
          <w:szCs w:val="28"/>
          <w:highlight w:val="none"/>
          <w:lang w:eastAsia="zh-CN"/>
        </w:rPr>
        <w:t>比选申请人</w:t>
      </w:r>
      <w:r>
        <w:rPr>
          <w:rFonts w:ascii="宋体" w:hAnsi="宋体"/>
          <w:spacing w:val="1"/>
          <w:w w:val="99"/>
          <w:kern w:val="0"/>
          <w:sz w:val="28"/>
          <w:szCs w:val="28"/>
          <w:highlight w:val="none"/>
        </w:rPr>
        <w:t>：</w:t>
      </w:r>
      <w:r>
        <w:rPr>
          <w:rFonts w:ascii="宋体" w:hAnsi="宋体"/>
          <w:w w:val="198"/>
          <w:kern w:val="0"/>
          <w:sz w:val="28"/>
          <w:szCs w:val="28"/>
          <w:highlight w:val="none"/>
          <w:u w:val="single"/>
        </w:rPr>
        <w:t xml:space="preserve"> 　　　　 　　</w:t>
      </w:r>
      <w:r>
        <w:rPr>
          <w:rFonts w:ascii="宋体" w:hAnsi="宋体"/>
          <w:w w:val="99"/>
          <w:kern w:val="0"/>
          <w:sz w:val="28"/>
          <w:szCs w:val="28"/>
          <w:highlight w:val="none"/>
        </w:rPr>
        <w:t>（盖单位法人章）</w:t>
      </w:r>
    </w:p>
    <w:p w14:paraId="1E5CBD43">
      <w:pPr>
        <w:tabs>
          <w:tab w:val="left" w:pos="6080"/>
          <w:tab w:val="left" w:pos="6640"/>
        </w:tabs>
        <w:autoSpaceDE w:val="0"/>
        <w:autoSpaceDN w:val="0"/>
        <w:adjustRightInd w:val="0"/>
        <w:snapToGrid w:val="0"/>
        <w:spacing w:after="156" w:afterLines="50" w:line="360" w:lineRule="auto"/>
        <w:jc w:val="center"/>
        <w:rPr>
          <w:rFonts w:ascii="宋体" w:hAnsi="宋体"/>
          <w:b/>
          <w:kern w:val="0"/>
          <w:sz w:val="28"/>
          <w:szCs w:val="28"/>
          <w:highlight w:val="none"/>
        </w:rPr>
      </w:pPr>
      <w:r>
        <w:rPr>
          <w:rFonts w:ascii="宋体" w:hAnsi="宋体"/>
          <w:w w:val="99"/>
          <w:kern w:val="0"/>
          <w:sz w:val="28"/>
          <w:szCs w:val="28"/>
          <w:highlight w:val="none"/>
        </w:rPr>
        <w:t>法定代表人或其委托代理人：</w:t>
      </w:r>
      <w:r>
        <w:rPr>
          <w:rFonts w:ascii="宋体" w:hAnsi="宋体"/>
          <w:w w:val="198"/>
          <w:kern w:val="0"/>
          <w:sz w:val="28"/>
          <w:szCs w:val="28"/>
          <w:highlight w:val="none"/>
          <w:u w:val="single"/>
        </w:rPr>
        <w:t xml:space="preserve">  　　</w:t>
      </w:r>
      <w:r>
        <w:rPr>
          <w:rFonts w:ascii="宋体" w:hAnsi="宋体"/>
          <w:w w:val="99"/>
          <w:kern w:val="0"/>
          <w:sz w:val="28"/>
          <w:szCs w:val="28"/>
          <w:highlight w:val="none"/>
        </w:rPr>
        <w:t>（</w:t>
      </w:r>
      <w:r>
        <w:rPr>
          <w:rFonts w:hint="eastAsia" w:ascii="宋体" w:hAnsi="宋体"/>
          <w:w w:val="99"/>
          <w:kern w:val="0"/>
          <w:sz w:val="28"/>
          <w:szCs w:val="28"/>
          <w:highlight w:val="none"/>
        </w:rPr>
        <w:t>签名</w:t>
      </w:r>
      <w:r>
        <w:rPr>
          <w:rFonts w:ascii="宋体" w:hAnsi="宋体"/>
          <w:w w:val="99"/>
          <w:kern w:val="0"/>
          <w:sz w:val="28"/>
          <w:szCs w:val="28"/>
          <w:highlight w:val="none"/>
        </w:rPr>
        <w:t>或盖章）</w:t>
      </w:r>
    </w:p>
    <w:p w14:paraId="20BEC215">
      <w:pPr>
        <w:tabs>
          <w:tab w:val="left" w:pos="3280"/>
          <w:tab w:val="left" w:pos="4680"/>
          <w:tab w:val="left" w:pos="6080"/>
        </w:tabs>
        <w:autoSpaceDE w:val="0"/>
        <w:autoSpaceDN w:val="0"/>
        <w:adjustRightInd w:val="0"/>
        <w:snapToGrid w:val="0"/>
        <w:spacing w:after="156" w:afterLines="50" w:line="360" w:lineRule="auto"/>
        <w:jc w:val="center"/>
        <w:rPr>
          <w:rFonts w:ascii="宋体" w:hAnsi="宋体"/>
          <w:kern w:val="0"/>
          <w:sz w:val="28"/>
          <w:szCs w:val="28"/>
          <w:highlight w:val="none"/>
        </w:rPr>
      </w:pP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198"/>
          <w:kern w:val="0"/>
          <w:sz w:val="28"/>
          <w:szCs w:val="28"/>
          <w:highlight w:val="none"/>
          <w:u w:val="single"/>
        </w:rPr>
        <w:t xml:space="preserve"> </w:t>
      </w:r>
      <w:r>
        <w:rPr>
          <w:rFonts w:ascii="宋体" w:hAnsi="宋体"/>
          <w:w w:val="99"/>
          <w:kern w:val="0"/>
          <w:sz w:val="28"/>
          <w:szCs w:val="28"/>
          <w:highlight w:val="none"/>
        </w:rPr>
        <w:t>年</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198"/>
          <w:kern w:val="0"/>
          <w:sz w:val="28"/>
          <w:szCs w:val="28"/>
          <w:highlight w:val="none"/>
          <w:u w:val="single"/>
        </w:rPr>
        <w:t xml:space="preserve"> </w:t>
      </w:r>
      <w:r>
        <w:rPr>
          <w:rFonts w:ascii="宋体" w:hAnsi="宋体"/>
          <w:w w:val="99"/>
          <w:kern w:val="0"/>
          <w:sz w:val="28"/>
          <w:szCs w:val="28"/>
          <w:highlight w:val="none"/>
        </w:rPr>
        <w:t>月</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198"/>
          <w:kern w:val="0"/>
          <w:sz w:val="28"/>
          <w:szCs w:val="28"/>
          <w:highlight w:val="none"/>
          <w:u w:val="single"/>
        </w:rPr>
        <w:t xml:space="preserve"> </w:t>
      </w:r>
      <w:r>
        <w:rPr>
          <w:rFonts w:ascii="宋体" w:hAnsi="宋体"/>
          <w:w w:val="99"/>
          <w:kern w:val="0"/>
          <w:sz w:val="28"/>
          <w:szCs w:val="28"/>
          <w:highlight w:val="none"/>
        </w:rPr>
        <w:t>日</w:t>
      </w:r>
    </w:p>
    <w:p w14:paraId="2E9B3501">
      <w:pPr>
        <w:autoSpaceDE w:val="0"/>
        <w:autoSpaceDN w:val="0"/>
        <w:adjustRightInd w:val="0"/>
        <w:snapToGrid w:val="0"/>
        <w:spacing w:line="360" w:lineRule="auto"/>
        <w:jc w:val="left"/>
        <w:rPr>
          <w:rFonts w:ascii="宋体" w:hAnsi="宋体"/>
          <w:kern w:val="0"/>
          <w:sz w:val="24"/>
          <w:szCs w:val="21"/>
          <w:highlight w:val="none"/>
        </w:rPr>
      </w:pPr>
      <w:r>
        <w:rPr>
          <w:rFonts w:ascii="宋体" w:hAnsi="宋体"/>
          <w:kern w:val="0"/>
          <w:sz w:val="24"/>
          <w:szCs w:val="21"/>
          <w:highlight w:val="none"/>
        </w:rPr>
        <w:br w:type="page"/>
      </w:r>
    </w:p>
    <w:p w14:paraId="671BE0AE">
      <w:pPr>
        <w:autoSpaceDE w:val="0"/>
        <w:autoSpaceDN w:val="0"/>
        <w:adjustRightInd w:val="0"/>
        <w:snapToGrid w:val="0"/>
        <w:spacing w:line="360" w:lineRule="auto"/>
        <w:jc w:val="center"/>
        <w:rPr>
          <w:rFonts w:ascii="宋体" w:hAnsi="宋体"/>
          <w:kern w:val="0"/>
          <w:szCs w:val="21"/>
          <w:highlight w:val="none"/>
        </w:rPr>
      </w:pPr>
      <w:r>
        <w:rPr>
          <w:rFonts w:hint="eastAsia" w:ascii="宋体" w:hAnsi="宋体"/>
          <w:kern w:val="0"/>
          <w:sz w:val="36"/>
          <w:szCs w:val="36"/>
          <w:highlight w:val="none"/>
        </w:rPr>
        <w:t>目  录</w:t>
      </w:r>
    </w:p>
    <w:p w14:paraId="128228B3">
      <w:pPr>
        <w:autoSpaceDE w:val="0"/>
        <w:autoSpaceDN w:val="0"/>
        <w:adjustRightInd w:val="0"/>
        <w:snapToGrid w:val="0"/>
        <w:spacing w:line="360" w:lineRule="auto"/>
        <w:jc w:val="left"/>
        <w:rPr>
          <w:rFonts w:ascii="宋体" w:hAnsi="宋体"/>
          <w:kern w:val="0"/>
          <w:szCs w:val="21"/>
          <w:highlight w:val="none"/>
        </w:rPr>
      </w:pPr>
    </w:p>
    <w:p w14:paraId="3DA24B3A">
      <w:pPr>
        <w:autoSpaceDE w:val="0"/>
        <w:autoSpaceDN w:val="0"/>
        <w:adjustRightInd w:val="0"/>
        <w:snapToGrid w:val="0"/>
        <w:spacing w:line="360" w:lineRule="auto"/>
        <w:jc w:val="center"/>
        <w:rPr>
          <w:rFonts w:ascii="宋体" w:hAnsi="宋体"/>
          <w:i/>
          <w:iCs/>
          <w:kern w:val="0"/>
          <w:szCs w:val="21"/>
          <w:highlight w:val="none"/>
        </w:rPr>
      </w:pPr>
      <w:r>
        <w:rPr>
          <w:rFonts w:hint="eastAsia" w:ascii="宋体" w:hAnsi="宋体"/>
          <w:i w:val="0"/>
          <w:iCs w:val="0"/>
          <w:kern w:val="0"/>
          <w:szCs w:val="21"/>
          <w:highlight w:val="none"/>
          <w:lang w:eastAsia="zh-CN"/>
        </w:rPr>
        <w:t>（</w:t>
      </w:r>
      <w:r>
        <w:rPr>
          <w:rFonts w:hint="eastAsia" w:ascii="宋体" w:hAnsi="宋体"/>
          <w:i w:val="0"/>
          <w:iCs w:val="0"/>
          <w:kern w:val="0"/>
          <w:szCs w:val="21"/>
          <w:highlight w:val="none"/>
          <w:lang w:val="en-US" w:eastAsia="zh-CN"/>
        </w:rPr>
        <w:t>注</w:t>
      </w:r>
      <w:r>
        <w:rPr>
          <w:rFonts w:hint="eastAsia" w:ascii="宋体" w:hAnsi="宋体"/>
          <w:i w:val="0"/>
          <w:iCs w:val="0"/>
          <w:kern w:val="0"/>
          <w:szCs w:val="21"/>
          <w:highlight w:val="none"/>
        </w:rPr>
        <w:t>：</w:t>
      </w:r>
      <w:r>
        <w:rPr>
          <w:rFonts w:ascii="宋体" w:hAnsi="宋体"/>
          <w:i w:val="0"/>
          <w:iCs w:val="0"/>
          <w:kern w:val="0"/>
          <w:szCs w:val="21"/>
          <w:highlight w:val="none"/>
        </w:rPr>
        <w:t>目录由</w:t>
      </w:r>
      <w:r>
        <w:rPr>
          <w:rFonts w:hint="eastAsia" w:ascii="宋体" w:hAnsi="宋体"/>
          <w:i w:val="0"/>
          <w:iCs w:val="0"/>
          <w:kern w:val="0"/>
          <w:szCs w:val="21"/>
          <w:highlight w:val="none"/>
          <w:lang w:eastAsia="zh-CN"/>
        </w:rPr>
        <w:t>比选申请人</w:t>
      </w:r>
      <w:r>
        <w:rPr>
          <w:rFonts w:ascii="宋体" w:hAnsi="宋体"/>
          <w:i w:val="0"/>
          <w:iCs w:val="0"/>
          <w:kern w:val="0"/>
          <w:szCs w:val="21"/>
          <w:highlight w:val="none"/>
        </w:rPr>
        <w:t>自行编制</w:t>
      </w:r>
      <w:r>
        <w:rPr>
          <w:rFonts w:hint="eastAsia" w:ascii="宋体" w:hAnsi="宋体"/>
          <w:i w:val="0"/>
          <w:iCs w:val="0"/>
          <w:kern w:val="0"/>
          <w:szCs w:val="21"/>
          <w:highlight w:val="none"/>
          <w:lang w:eastAsia="zh-CN"/>
        </w:rPr>
        <w:t>）</w:t>
      </w:r>
    </w:p>
    <w:p w14:paraId="20ADFE0E">
      <w:pPr>
        <w:pStyle w:val="5"/>
        <w:spacing w:before="0" w:after="0" w:line="240" w:lineRule="auto"/>
        <w:jc w:val="center"/>
        <w:rPr>
          <w:rFonts w:ascii="宋体" w:hAnsi="宋体"/>
          <w:b w:val="0"/>
          <w:bCs w:val="0"/>
          <w:highlight w:val="none"/>
        </w:rPr>
      </w:pPr>
      <w:bookmarkStart w:id="2265" w:name="_Toc224103501"/>
      <w:bookmarkStart w:id="2266" w:name="_Toc287620820"/>
      <w:bookmarkStart w:id="2267" w:name="_Toc287607873"/>
      <w:bookmarkStart w:id="2268" w:name="_Toc430530535"/>
      <w:bookmarkStart w:id="2269" w:name="_Toc277082648"/>
      <w:r>
        <w:rPr>
          <w:rFonts w:ascii="宋体" w:hAnsi="宋体"/>
          <w:b w:val="0"/>
          <w:bCs w:val="0"/>
          <w:kern w:val="0"/>
          <w:sz w:val="21"/>
          <w:szCs w:val="21"/>
          <w:highlight w:val="none"/>
        </w:rPr>
        <w:br w:type="page"/>
      </w:r>
      <w:bookmarkStart w:id="2270" w:name="_Toc19002"/>
      <w:bookmarkStart w:id="2271" w:name="_Toc13284"/>
      <w:r>
        <w:rPr>
          <w:rFonts w:hint="eastAsia" w:ascii="宋体" w:hAnsi="宋体"/>
          <w:b w:val="0"/>
          <w:bCs w:val="0"/>
          <w:highlight w:val="none"/>
        </w:rPr>
        <w:t>（一）已标价工程量清单</w:t>
      </w:r>
      <w:bookmarkEnd w:id="2265"/>
      <w:bookmarkEnd w:id="2266"/>
      <w:bookmarkEnd w:id="2267"/>
      <w:bookmarkEnd w:id="2268"/>
      <w:bookmarkEnd w:id="2269"/>
      <w:bookmarkEnd w:id="2270"/>
      <w:bookmarkEnd w:id="2271"/>
    </w:p>
    <w:p w14:paraId="2670AD3D">
      <w:pPr>
        <w:tabs>
          <w:tab w:val="left" w:pos="2580"/>
          <w:tab w:val="left" w:pos="5940"/>
        </w:tabs>
        <w:autoSpaceDE w:val="0"/>
        <w:autoSpaceDN w:val="0"/>
        <w:adjustRightInd w:val="0"/>
        <w:snapToGrid w:val="0"/>
        <w:spacing w:line="360" w:lineRule="auto"/>
        <w:ind w:firstLine="2940"/>
        <w:jc w:val="left"/>
        <w:rPr>
          <w:rFonts w:ascii="宋体" w:hAnsi="宋体"/>
          <w:kern w:val="0"/>
          <w:sz w:val="28"/>
          <w:szCs w:val="28"/>
          <w:highlight w:val="none"/>
        </w:rPr>
      </w:pPr>
    </w:p>
    <w:p w14:paraId="30281DE5">
      <w:pPr>
        <w:pStyle w:val="4"/>
        <w:spacing w:line="360" w:lineRule="auto"/>
        <w:rPr>
          <w:rFonts w:ascii="宋体" w:hAnsi="宋体"/>
          <w:kern w:val="0"/>
          <w:sz w:val="24"/>
          <w:szCs w:val="21"/>
          <w:highlight w:val="none"/>
        </w:rPr>
      </w:pPr>
      <w:bookmarkStart w:id="2272" w:name="_Toc224103502"/>
      <w:bookmarkStart w:id="2273" w:name="_Toc430530536"/>
      <w:bookmarkStart w:id="2274" w:name="_Toc287607874"/>
      <w:bookmarkStart w:id="2275" w:name="_Toc287620821"/>
      <w:r>
        <w:rPr>
          <w:rFonts w:ascii="宋体" w:hAnsi="宋体"/>
          <w:highlight w:val="none"/>
        </w:rPr>
        <w:br w:type="page"/>
      </w:r>
    </w:p>
    <w:p w14:paraId="042DE669">
      <w:pPr>
        <w:pStyle w:val="4"/>
        <w:spacing w:line="360" w:lineRule="auto"/>
        <w:jc w:val="center"/>
        <w:rPr>
          <w:rFonts w:ascii="宋体" w:hAnsi="宋体"/>
          <w:b w:val="0"/>
          <w:bCs w:val="0"/>
          <w:sz w:val="44"/>
          <w:szCs w:val="44"/>
          <w:highlight w:val="none"/>
        </w:rPr>
      </w:pPr>
      <w:bookmarkStart w:id="2276" w:name="_Toc5944"/>
      <w:bookmarkStart w:id="2277" w:name="_Toc3267"/>
      <w:r>
        <w:rPr>
          <w:rFonts w:hint="eastAsia" w:ascii="宋体" w:hAnsi="宋体"/>
          <w:b w:val="0"/>
          <w:bCs w:val="0"/>
          <w:sz w:val="44"/>
          <w:szCs w:val="44"/>
          <w:highlight w:val="none"/>
          <w:lang w:val="en-US" w:eastAsia="zh-CN"/>
        </w:rPr>
        <w:t>四</w:t>
      </w:r>
      <w:r>
        <w:rPr>
          <w:rFonts w:hint="eastAsia" w:ascii="宋体" w:hAnsi="宋体"/>
          <w:b w:val="0"/>
          <w:bCs w:val="0"/>
          <w:sz w:val="44"/>
          <w:szCs w:val="44"/>
          <w:highlight w:val="none"/>
        </w:rPr>
        <w:t>、技术部分</w:t>
      </w:r>
      <w:bookmarkEnd w:id="2272"/>
      <w:bookmarkEnd w:id="2273"/>
      <w:bookmarkEnd w:id="2276"/>
      <w:bookmarkEnd w:id="2277"/>
    </w:p>
    <w:bookmarkEnd w:id="2274"/>
    <w:bookmarkEnd w:id="2275"/>
    <w:p w14:paraId="4F49DD0F">
      <w:pPr>
        <w:jc w:val="center"/>
        <w:rPr>
          <w:rFonts w:hint="eastAsia" w:eastAsia="宋体"/>
          <w:i w:val="0"/>
          <w:iCs w:val="0"/>
          <w:highlight w:val="none"/>
          <w:lang w:eastAsia="zh-CN"/>
        </w:rPr>
      </w:pPr>
      <w:r>
        <w:rPr>
          <w:rFonts w:hint="eastAsia" w:ascii="宋体" w:hAnsi="宋体"/>
          <w:i w:val="0"/>
          <w:iCs w:val="0"/>
          <w:kern w:val="0"/>
          <w:szCs w:val="21"/>
          <w:highlight w:val="none"/>
          <w:lang w:eastAsia="zh-CN"/>
        </w:rPr>
        <w:t>（</w:t>
      </w:r>
      <w:r>
        <w:rPr>
          <w:rFonts w:hint="eastAsia" w:ascii="宋体" w:hAnsi="宋体"/>
          <w:i w:val="0"/>
          <w:iCs w:val="0"/>
          <w:kern w:val="0"/>
          <w:szCs w:val="21"/>
          <w:highlight w:val="none"/>
          <w:lang w:val="en-US" w:eastAsia="zh-CN"/>
        </w:rPr>
        <w:t>注：</w:t>
      </w:r>
      <w:r>
        <w:rPr>
          <w:rFonts w:hint="eastAsia" w:ascii="宋体" w:hAnsi="宋体"/>
          <w:i w:val="0"/>
          <w:iCs w:val="0"/>
          <w:szCs w:val="21"/>
          <w:highlight w:val="none"/>
        </w:rPr>
        <w:t>电子</w:t>
      </w:r>
      <w:r>
        <w:rPr>
          <w:rFonts w:hint="eastAsia" w:ascii="宋体" w:hAnsi="宋体"/>
          <w:i w:val="0"/>
          <w:iCs w:val="0"/>
          <w:szCs w:val="21"/>
          <w:highlight w:val="none"/>
          <w:lang w:eastAsia="zh-CN"/>
        </w:rPr>
        <w:t>比选申请文件</w:t>
      </w:r>
      <w:r>
        <w:rPr>
          <w:rFonts w:hint="eastAsia" w:ascii="宋体" w:hAnsi="宋体"/>
          <w:i w:val="0"/>
          <w:iCs w:val="0"/>
          <w:szCs w:val="21"/>
          <w:highlight w:val="none"/>
        </w:rPr>
        <w:t>技术</w:t>
      </w:r>
      <w:r>
        <w:rPr>
          <w:rFonts w:hint="eastAsia" w:ascii="宋体" w:hAnsi="宋体"/>
          <w:i w:val="0"/>
          <w:iCs w:val="0"/>
          <w:szCs w:val="21"/>
          <w:highlight w:val="none"/>
          <w:lang w:val="en-US" w:eastAsia="zh-CN"/>
        </w:rPr>
        <w:t>部分</w:t>
      </w:r>
      <w:r>
        <w:rPr>
          <w:rFonts w:hint="eastAsia" w:ascii="宋体" w:hAnsi="宋体"/>
          <w:i w:val="0"/>
          <w:iCs w:val="0"/>
          <w:szCs w:val="21"/>
          <w:highlight w:val="none"/>
        </w:rPr>
        <w:t>不设封面</w:t>
      </w:r>
      <w:r>
        <w:rPr>
          <w:rFonts w:hint="eastAsia" w:ascii="宋体" w:hAnsi="宋体"/>
          <w:i w:val="0"/>
          <w:iCs w:val="0"/>
          <w:szCs w:val="21"/>
          <w:highlight w:val="none"/>
          <w:lang w:eastAsia="zh-CN"/>
        </w:rPr>
        <w:t>。比选申请人</w:t>
      </w:r>
      <w:r>
        <w:rPr>
          <w:rFonts w:hint="eastAsia" w:ascii="宋体" w:hAnsi="宋体"/>
          <w:i w:val="0"/>
          <w:iCs w:val="0"/>
          <w:szCs w:val="21"/>
          <w:highlight w:val="none"/>
        </w:rPr>
        <w:t>应根据</w:t>
      </w:r>
      <w:r>
        <w:rPr>
          <w:rFonts w:hint="eastAsia" w:ascii="宋体" w:hAnsi="宋体"/>
          <w:i w:val="0"/>
          <w:iCs w:val="0"/>
          <w:szCs w:val="21"/>
          <w:highlight w:val="none"/>
          <w:lang w:eastAsia="zh-CN"/>
        </w:rPr>
        <w:t>竞争性比选文件</w:t>
      </w:r>
      <w:r>
        <w:rPr>
          <w:rFonts w:hint="eastAsia" w:ascii="宋体" w:hAnsi="宋体"/>
          <w:i w:val="0"/>
          <w:iCs w:val="0"/>
          <w:szCs w:val="21"/>
          <w:highlight w:val="none"/>
        </w:rPr>
        <w:t>的要求编制技术方案</w:t>
      </w:r>
      <w:r>
        <w:rPr>
          <w:rFonts w:hint="eastAsia" w:ascii="宋体" w:hAnsi="宋体"/>
          <w:i w:val="0"/>
          <w:iCs w:val="0"/>
          <w:szCs w:val="21"/>
          <w:highlight w:val="none"/>
          <w:lang w:eastAsia="zh-CN"/>
        </w:rPr>
        <w:t>。</w:t>
      </w:r>
      <w:r>
        <w:rPr>
          <w:rFonts w:hint="eastAsia" w:ascii="宋体" w:hAnsi="宋体"/>
          <w:i w:val="0"/>
          <w:iCs w:val="0"/>
          <w:kern w:val="0"/>
          <w:szCs w:val="21"/>
          <w:highlight w:val="none"/>
          <w:lang w:eastAsia="zh-CN"/>
        </w:rPr>
        <w:t>）</w:t>
      </w:r>
    </w:p>
    <w:p w14:paraId="5F20AA58">
      <w:pPr>
        <w:autoSpaceDE w:val="0"/>
        <w:autoSpaceDN w:val="0"/>
        <w:adjustRightInd w:val="0"/>
        <w:snapToGrid w:val="0"/>
        <w:spacing w:line="360" w:lineRule="auto"/>
        <w:ind w:firstLine="472" w:firstLineChars="196"/>
        <w:rPr>
          <w:rFonts w:ascii="宋体" w:hAnsi="宋体"/>
          <w:b/>
          <w:snapToGrid w:val="0"/>
          <w:kern w:val="0"/>
          <w:sz w:val="24"/>
          <w:highlight w:val="none"/>
        </w:rPr>
      </w:pPr>
    </w:p>
    <w:p w14:paraId="0B495117">
      <w:pPr>
        <w:autoSpaceDE w:val="0"/>
        <w:autoSpaceDN w:val="0"/>
        <w:adjustRightInd w:val="0"/>
        <w:snapToGrid w:val="0"/>
        <w:spacing w:line="360" w:lineRule="auto"/>
        <w:jc w:val="center"/>
        <w:rPr>
          <w:rFonts w:ascii="宋体" w:hAnsi="宋体"/>
          <w:kern w:val="0"/>
          <w:sz w:val="24"/>
          <w:highlight w:val="none"/>
        </w:rPr>
      </w:pPr>
      <w:r>
        <w:rPr>
          <w:rFonts w:ascii="宋体" w:hAnsi="宋体"/>
          <w:kern w:val="0"/>
          <w:sz w:val="24"/>
          <w:highlight w:val="none"/>
        </w:rPr>
        <w:br w:type="page"/>
      </w:r>
    </w:p>
    <w:p w14:paraId="27771F67">
      <w:pPr>
        <w:autoSpaceDE w:val="0"/>
        <w:autoSpaceDN w:val="0"/>
        <w:adjustRightInd w:val="0"/>
        <w:snapToGrid w:val="0"/>
        <w:spacing w:line="360" w:lineRule="auto"/>
        <w:jc w:val="left"/>
        <w:rPr>
          <w:rFonts w:ascii="宋体" w:hAnsi="宋体"/>
          <w:kern w:val="0"/>
          <w:sz w:val="24"/>
          <w:szCs w:val="21"/>
          <w:highlight w:val="none"/>
        </w:rPr>
      </w:pPr>
    </w:p>
    <w:p w14:paraId="63869B78">
      <w:pPr>
        <w:autoSpaceDE w:val="0"/>
        <w:autoSpaceDN w:val="0"/>
        <w:adjustRightInd w:val="0"/>
        <w:snapToGrid w:val="0"/>
        <w:spacing w:line="360" w:lineRule="auto"/>
        <w:jc w:val="center"/>
        <w:rPr>
          <w:rFonts w:ascii="宋体" w:hAnsi="宋体"/>
          <w:kern w:val="0"/>
          <w:sz w:val="32"/>
          <w:szCs w:val="32"/>
          <w:highlight w:val="none"/>
        </w:rPr>
      </w:pPr>
      <w:r>
        <w:rPr>
          <w:rFonts w:hint="eastAsia" w:ascii="宋体" w:hAnsi="宋体"/>
          <w:kern w:val="0"/>
          <w:sz w:val="36"/>
          <w:szCs w:val="36"/>
          <w:highlight w:val="none"/>
        </w:rPr>
        <w:t>目  录</w:t>
      </w:r>
    </w:p>
    <w:p w14:paraId="3929D055">
      <w:pPr>
        <w:autoSpaceDE w:val="0"/>
        <w:autoSpaceDN w:val="0"/>
        <w:adjustRightInd w:val="0"/>
        <w:snapToGrid w:val="0"/>
        <w:spacing w:line="360" w:lineRule="auto"/>
        <w:jc w:val="left"/>
        <w:rPr>
          <w:rFonts w:ascii="宋体" w:hAnsi="宋体"/>
          <w:kern w:val="0"/>
          <w:sz w:val="32"/>
          <w:szCs w:val="32"/>
          <w:highlight w:val="none"/>
        </w:rPr>
      </w:pPr>
    </w:p>
    <w:p w14:paraId="3C8D5A32">
      <w:pPr>
        <w:autoSpaceDE w:val="0"/>
        <w:autoSpaceDN w:val="0"/>
        <w:adjustRightInd w:val="0"/>
        <w:snapToGrid w:val="0"/>
        <w:spacing w:line="360" w:lineRule="auto"/>
        <w:jc w:val="center"/>
        <w:rPr>
          <w:rFonts w:ascii="宋体" w:hAnsi="宋体"/>
          <w:i/>
          <w:iCs/>
          <w:kern w:val="0"/>
          <w:szCs w:val="21"/>
          <w:highlight w:val="none"/>
        </w:rPr>
      </w:pPr>
      <w:r>
        <w:rPr>
          <w:rFonts w:hint="eastAsia" w:ascii="宋体" w:hAnsi="宋体"/>
          <w:i w:val="0"/>
          <w:iCs w:val="0"/>
          <w:color w:val="auto"/>
          <w:kern w:val="0"/>
          <w:szCs w:val="21"/>
          <w:highlight w:val="none"/>
          <w:lang w:eastAsia="zh-CN"/>
        </w:rPr>
        <w:t>（</w:t>
      </w:r>
      <w:r>
        <w:rPr>
          <w:rFonts w:hint="eastAsia" w:ascii="宋体" w:hAnsi="宋体"/>
          <w:i w:val="0"/>
          <w:iCs w:val="0"/>
          <w:color w:val="auto"/>
          <w:kern w:val="0"/>
          <w:szCs w:val="21"/>
          <w:highlight w:val="none"/>
          <w:lang w:val="en-US" w:eastAsia="zh-CN"/>
        </w:rPr>
        <w:t>注</w:t>
      </w:r>
      <w:r>
        <w:rPr>
          <w:rFonts w:hint="eastAsia" w:ascii="宋体" w:hAnsi="宋体"/>
          <w:i w:val="0"/>
          <w:iCs w:val="0"/>
          <w:color w:val="auto"/>
          <w:kern w:val="0"/>
          <w:szCs w:val="21"/>
          <w:highlight w:val="none"/>
        </w:rPr>
        <w:t>：</w:t>
      </w:r>
      <w:r>
        <w:rPr>
          <w:rFonts w:ascii="宋体" w:hAnsi="宋体"/>
          <w:i w:val="0"/>
          <w:iCs w:val="0"/>
          <w:color w:val="auto"/>
          <w:kern w:val="0"/>
          <w:szCs w:val="21"/>
          <w:highlight w:val="none"/>
        </w:rPr>
        <w:t>目录由</w:t>
      </w:r>
      <w:r>
        <w:rPr>
          <w:rFonts w:hint="eastAsia" w:ascii="宋体" w:hAnsi="宋体"/>
          <w:i w:val="0"/>
          <w:iCs w:val="0"/>
          <w:color w:val="auto"/>
          <w:kern w:val="0"/>
          <w:szCs w:val="21"/>
          <w:highlight w:val="none"/>
          <w:lang w:eastAsia="zh-CN"/>
        </w:rPr>
        <w:t>比选申请人</w:t>
      </w:r>
      <w:r>
        <w:rPr>
          <w:rFonts w:ascii="宋体" w:hAnsi="宋体"/>
          <w:i w:val="0"/>
          <w:iCs w:val="0"/>
          <w:color w:val="auto"/>
          <w:kern w:val="0"/>
          <w:szCs w:val="21"/>
          <w:highlight w:val="none"/>
        </w:rPr>
        <w:t>自行编制</w:t>
      </w:r>
      <w:r>
        <w:rPr>
          <w:rFonts w:hint="eastAsia" w:ascii="宋体" w:hAnsi="宋体"/>
          <w:i w:val="0"/>
          <w:iCs w:val="0"/>
          <w:color w:val="auto"/>
          <w:kern w:val="0"/>
          <w:szCs w:val="21"/>
          <w:highlight w:val="none"/>
          <w:lang w:eastAsia="zh-CN"/>
        </w:rPr>
        <w:t>）</w:t>
      </w:r>
    </w:p>
    <w:p w14:paraId="57AD7985">
      <w:pPr>
        <w:autoSpaceDE w:val="0"/>
        <w:autoSpaceDN w:val="0"/>
        <w:adjustRightInd w:val="0"/>
        <w:snapToGrid w:val="0"/>
        <w:spacing w:line="360" w:lineRule="auto"/>
        <w:jc w:val="center"/>
        <w:rPr>
          <w:rFonts w:ascii="宋体" w:hAnsi="宋体"/>
          <w:sz w:val="36"/>
          <w:szCs w:val="36"/>
          <w:highlight w:val="none"/>
        </w:rPr>
      </w:pPr>
      <w:r>
        <w:rPr>
          <w:rFonts w:ascii="宋体" w:hAnsi="宋体"/>
          <w:highlight w:val="none"/>
        </w:rPr>
        <w:br w:type="page"/>
      </w:r>
    </w:p>
    <w:p w14:paraId="35B5AEEC">
      <w:pPr>
        <w:pStyle w:val="4"/>
        <w:spacing w:line="360" w:lineRule="auto"/>
        <w:jc w:val="center"/>
        <w:rPr>
          <w:rFonts w:ascii="宋体" w:hAnsi="宋体"/>
          <w:b w:val="0"/>
          <w:bCs w:val="0"/>
          <w:sz w:val="44"/>
          <w:szCs w:val="44"/>
          <w:highlight w:val="none"/>
        </w:rPr>
      </w:pPr>
      <w:bookmarkStart w:id="2278" w:name="_Toc224103510"/>
      <w:bookmarkStart w:id="2279" w:name="_Toc287607882"/>
      <w:bookmarkStart w:id="2280" w:name="_Toc277082656"/>
      <w:bookmarkStart w:id="2281" w:name="_Toc287620829"/>
      <w:bookmarkStart w:id="2282" w:name="_Toc430530545"/>
      <w:bookmarkStart w:id="2283" w:name="_Toc13949"/>
      <w:bookmarkStart w:id="2284" w:name="_Toc32055"/>
      <w:r>
        <w:rPr>
          <w:rFonts w:hint="eastAsia" w:ascii="宋体" w:hAnsi="宋体"/>
          <w:b w:val="0"/>
          <w:bCs w:val="0"/>
          <w:sz w:val="44"/>
          <w:szCs w:val="44"/>
          <w:highlight w:val="none"/>
          <w:lang w:val="en-US" w:eastAsia="zh-CN"/>
        </w:rPr>
        <w:t>五</w:t>
      </w:r>
      <w:r>
        <w:rPr>
          <w:rFonts w:hint="eastAsia" w:ascii="宋体" w:hAnsi="宋体"/>
          <w:b w:val="0"/>
          <w:bCs w:val="0"/>
          <w:sz w:val="44"/>
          <w:szCs w:val="44"/>
          <w:highlight w:val="none"/>
        </w:rPr>
        <w:t>、</w:t>
      </w:r>
      <w:bookmarkEnd w:id="2278"/>
      <w:bookmarkEnd w:id="2279"/>
      <w:bookmarkEnd w:id="2280"/>
      <w:bookmarkEnd w:id="2281"/>
      <w:bookmarkEnd w:id="2282"/>
      <w:r>
        <w:rPr>
          <w:rFonts w:hint="eastAsia" w:ascii="宋体" w:hAnsi="宋体"/>
          <w:b w:val="0"/>
          <w:bCs w:val="0"/>
          <w:sz w:val="44"/>
          <w:szCs w:val="44"/>
          <w:highlight w:val="none"/>
        </w:rPr>
        <w:t>资格审查部分</w:t>
      </w:r>
      <w:bookmarkEnd w:id="2283"/>
      <w:bookmarkEnd w:id="2284"/>
    </w:p>
    <w:p w14:paraId="66C19CF5">
      <w:pPr>
        <w:spacing w:line="360" w:lineRule="auto"/>
        <w:jc w:val="center"/>
        <w:rPr>
          <w:rFonts w:ascii="宋体" w:hAnsi="宋体"/>
          <w:kern w:val="0"/>
          <w:sz w:val="32"/>
          <w:szCs w:val="32"/>
          <w:highlight w:val="none"/>
        </w:rPr>
      </w:pPr>
      <w:r>
        <w:rPr>
          <w:rFonts w:ascii="宋体" w:hAnsi="宋体"/>
          <w:sz w:val="32"/>
          <w:szCs w:val="32"/>
          <w:highlight w:val="none"/>
        </w:rPr>
        <w:br w:type="page"/>
      </w:r>
      <w:r>
        <w:rPr>
          <w:rFonts w:hint="eastAsia" w:ascii="宋体" w:hAnsi="宋体"/>
          <w:kern w:val="0"/>
          <w:sz w:val="32"/>
          <w:szCs w:val="32"/>
          <w:highlight w:val="none"/>
          <w:u w:val="single"/>
        </w:rPr>
        <w:t xml:space="preserve">                   （项目名称）</w:t>
      </w:r>
    </w:p>
    <w:p w14:paraId="32D270A9">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highlight w:val="none"/>
        </w:rPr>
      </w:pPr>
    </w:p>
    <w:p w14:paraId="1AF2D16A">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highlight w:val="none"/>
        </w:rPr>
      </w:pPr>
    </w:p>
    <w:p w14:paraId="53D545B2">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highlight w:val="none"/>
        </w:rPr>
      </w:pPr>
    </w:p>
    <w:p w14:paraId="5B4915DA">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highlight w:val="none"/>
        </w:rPr>
      </w:pPr>
      <w:r>
        <w:rPr>
          <w:rFonts w:hint="eastAsia" w:ascii="宋体" w:hAnsi="宋体"/>
          <w:kern w:val="0"/>
          <w:sz w:val="72"/>
          <w:szCs w:val="72"/>
          <w:highlight w:val="none"/>
          <w:lang w:val="en-US" w:eastAsia="zh-CN"/>
        </w:rPr>
        <w:t>比选申请</w:t>
      </w:r>
      <w:r>
        <w:rPr>
          <w:rFonts w:hint="eastAsia" w:ascii="宋体" w:hAnsi="宋体"/>
          <w:kern w:val="0"/>
          <w:sz w:val="72"/>
          <w:szCs w:val="72"/>
          <w:highlight w:val="none"/>
        </w:rPr>
        <w:t>文件</w:t>
      </w:r>
    </w:p>
    <w:p w14:paraId="0E4E0018">
      <w:pPr>
        <w:autoSpaceDE w:val="0"/>
        <w:autoSpaceDN w:val="0"/>
        <w:adjustRightInd w:val="0"/>
        <w:snapToGrid w:val="0"/>
        <w:spacing w:line="360" w:lineRule="auto"/>
        <w:jc w:val="left"/>
        <w:rPr>
          <w:rFonts w:ascii="宋体" w:hAnsi="宋体"/>
          <w:kern w:val="0"/>
          <w:sz w:val="16"/>
          <w:szCs w:val="16"/>
          <w:highlight w:val="none"/>
        </w:rPr>
      </w:pPr>
    </w:p>
    <w:p w14:paraId="235B4B97">
      <w:pPr>
        <w:autoSpaceDE w:val="0"/>
        <w:autoSpaceDN w:val="0"/>
        <w:adjustRightInd w:val="0"/>
        <w:snapToGrid w:val="0"/>
        <w:spacing w:line="360" w:lineRule="auto"/>
        <w:jc w:val="center"/>
        <w:rPr>
          <w:rFonts w:ascii="宋体" w:hAnsi="宋体"/>
          <w:kern w:val="0"/>
          <w:sz w:val="36"/>
          <w:szCs w:val="36"/>
          <w:highlight w:val="none"/>
        </w:rPr>
      </w:pPr>
      <w:r>
        <w:rPr>
          <w:rFonts w:hint="eastAsia" w:ascii="宋体" w:hAnsi="宋体"/>
          <w:kern w:val="0"/>
          <w:sz w:val="36"/>
          <w:szCs w:val="36"/>
          <w:highlight w:val="none"/>
        </w:rPr>
        <w:t>资格审查部分</w:t>
      </w:r>
    </w:p>
    <w:p w14:paraId="0D9A2771">
      <w:pPr>
        <w:autoSpaceDE w:val="0"/>
        <w:autoSpaceDN w:val="0"/>
        <w:adjustRightInd w:val="0"/>
        <w:snapToGrid w:val="0"/>
        <w:spacing w:line="360" w:lineRule="auto"/>
        <w:jc w:val="left"/>
        <w:rPr>
          <w:rFonts w:ascii="宋体" w:hAnsi="宋体" w:cs="MingLiU"/>
          <w:kern w:val="0"/>
          <w:sz w:val="20"/>
          <w:szCs w:val="20"/>
          <w:highlight w:val="none"/>
        </w:rPr>
      </w:pPr>
    </w:p>
    <w:p w14:paraId="165D0522">
      <w:pPr>
        <w:adjustRightInd w:val="0"/>
        <w:snapToGrid w:val="0"/>
        <w:spacing w:line="264" w:lineRule="auto"/>
        <w:rPr>
          <w:rFonts w:ascii="宋体" w:hAnsi="宋体"/>
          <w:szCs w:val="21"/>
          <w:highlight w:val="none"/>
        </w:rPr>
      </w:pPr>
    </w:p>
    <w:p w14:paraId="6D9A55DA">
      <w:pPr>
        <w:autoSpaceDE w:val="0"/>
        <w:autoSpaceDN w:val="0"/>
        <w:adjustRightInd w:val="0"/>
        <w:snapToGrid w:val="0"/>
        <w:spacing w:line="360" w:lineRule="auto"/>
        <w:jc w:val="left"/>
        <w:rPr>
          <w:rFonts w:ascii="宋体" w:hAnsi="宋体" w:cs="MingLiU"/>
          <w:kern w:val="0"/>
          <w:sz w:val="20"/>
          <w:szCs w:val="20"/>
          <w:highlight w:val="none"/>
        </w:rPr>
      </w:pPr>
    </w:p>
    <w:p w14:paraId="4384B48B">
      <w:pPr>
        <w:autoSpaceDE w:val="0"/>
        <w:autoSpaceDN w:val="0"/>
        <w:adjustRightInd w:val="0"/>
        <w:snapToGrid w:val="0"/>
        <w:spacing w:line="360" w:lineRule="auto"/>
        <w:jc w:val="left"/>
        <w:rPr>
          <w:rFonts w:ascii="宋体" w:hAnsi="宋体" w:cs="MingLiU"/>
          <w:kern w:val="0"/>
          <w:sz w:val="20"/>
          <w:szCs w:val="20"/>
          <w:highlight w:val="none"/>
        </w:rPr>
      </w:pPr>
    </w:p>
    <w:p w14:paraId="0A3193A3">
      <w:pPr>
        <w:autoSpaceDE w:val="0"/>
        <w:autoSpaceDN w:val="0"/>
        <w:adjustRightInd w:val="0"/>
        <w:snapToGrid w:val="0"/>
        <w:spacing w:line="360" w:lineRule="auto"/>
        <w:jc w:val="left"/>
        <w:rPr>
          <w:rFonts w:ascii="宋体" w:hAnsi="宋体" w:cs="MingLiU"/>
          <w:kern w:val="0"/>
          <w:sz w:val="20"/>
          <w:szCs w:val="20"/>
          <w:highlight w:val="none"/>
        </w:rPr>
      </w:pPr>
    </w:p>
    <w:p w14:paraId="4B5ED8D7">
      <w:pPr>
        <w:autoSpaceDE w:val="0"/>
        <w:autoSpaceDN w:val="0"/>
        <w:adjustRightInd w:val="0"/>
        <w:snapToGrid w:val="0"/>
        <w:spacing w:line="360" w:lineRule="auto"/>
        <w:jc w:val="left"/>
        <w:rPr>
          <w:rFonts w:ascii="宋体" w:hAnsi="宋体" w:cs="MingLiU"/>
          <w:kern w:val="0"/>
          <w:sz w:val="20"/>
          <w:szCs w:val="20"/>
          <w:highlight w:val="none"/>
        </w:rPr>
      </w:pPr>
    </w:p>
    <w:p w14:paraId="2767D8EB">
      <w:pPr>
        <w:autoSpaceDE w:val="0"/>
        <w:autoSpaceDN w:val="0"/>
        <w:adjustRightInd w:val="0"/>
        <w:snapToGrid w:val="0"/>
        <w:spacing w:line="360" w:lineRule="auto"/>
        <w:jc w:val="left"/>
        <w:rPr>
          <w:rFonts w:ascii="宋体" w:hAnsi="宋体" w:cs="MingLiU"/>
          <w:kern w:val="0"/>
          <w:sz w:val="20"/>
          <w:szCs w:val="20"/>
          <w:highlight w:val="none"/>
        </w:rPr>
      </w:pPr>
    </w:p>
    <w:p w14:paraId="384AAF41">
      <w:pPr>
        <w:autoSpaceDE w:val="0"/>
        <w:autoSpaceDN w:val="0"/>
        <w:adjustRightInd w:val="0"/>
        <w:snapToGrid w:val="0"/>
        <w:spacing w:line="360" w:lineRule="auto"/>
        <w:jc w:val="left"/>
        <w:rPr>
          <w:rFonts w:ascii="宋体" w:hAnsi="宋体" w:cs="MingLiU"/>
          <w:kern w:val="0"/>
          <w:sz w:val="20"/>
          <w:szCs w:val="20"/>
          <w:highlight w:val="none"/>
        </w:rPr>
      </w:pPr>
    </w:p>
    <w:p w14:paraId="65C2C4FA">
      <w:pPr>
        <w:autoSpaceDE w:val="0"/>
        <w:autoSpaceDN w:val="0"/>
        <w:adjustRightInd w:val="0"/>
        <w:snapToGrid w:val="0"/>
        <w:spacing w:line="360" w:lineRule="auto"/>
        <w:jc w:val="left"/>
        <w:rPr>
          <w:rFonts w:ascii="宋体" w:hAnsi="宋体" w:cs="MingLiU"/>
          <w:kern w:val="0"/>
          <w:sz w:val="20"/>
          <w:szCs w:val="20"/>
          <w:highlight w:val="none"/>
        </w:rPr>
      </w:pPr>
    </w:p>
    <w:p w14:paraId="3337F6BF">
      <w:pPr>
        <w:autoSpaceDE w:val="0"/>
        <w:autoSpaceDN w:val="0"/>
        <w:adjustRightInd w:val="0"/>
        <w:snapToGrid w:val="0"/>
        <w:spacing w:line="360" w:lineRule="auto"/>
        <w:jc w:val="left"/>
        <w:rPr>
          <w:rFonts w:ascii="宋体" w:hAnsi="宋体" w:cs="MingLiU"/>
          <w:kern w:val="0"/>
          <w:sz w:val="20"/>
          <w:szCs w:val="20"/>
          <w:highlight w:val="none"/>
        </w:rPr>
      </w:pPr>
    </w:p>
    <w:p w14:paraId="3F0793FB">
      <w:pPr>
        <w:autoSpaceDE w:val="0"/>
        <w:autoSpaceDN w:val="0"/>
        <w:adjustRightInd w:val="0"/>
        <w:snapToGrid w:val="0"/>
        <w:spacing w:line="360" w:lineRule="auto"/>
        <w:jc w:val="left"/>
        <w:rPr>
          <w:rFonts w:ascii="宋体" w:hAnsi="宋体" w:cs="MingLiU"/>
          <w:kern w:val="0"/>
          <w:sz w:val="20"/>
          <w:szCs w:val="20"/>
          <w:highlight w:val="none"/>
        </w:rPr>
      </w:pPr>
    </w:p>
    <w:p w14:paraId="570E5856">
      <w:pPr>
        <w:autoSpaceDE w:val="0"/>
        <w:autoSpaceDN w:val="0"/>
        <w:adjustRightInd w:val="0"/>
        <w:snapToGrid w:val="0"/>
        <w:spacing w:line="360" w:lineRule="auto"/>
        <w:jc w:val="left"/>
        <w:rPr>
          <w:rFonts w:ascii="宋体" w:hAnsi="宋体" w:cs="MingLiU"/>
          <w:kern w:val="0"/>
          <w:sz w:val="20"/>
          <w:szCs w:val="20"/>
          <w:highlight w:val="none"/>
        </w:rPr>
      </w:pPr>
    </w:p>
    <w:p w14:paraId="4753AE5A">
      <w:pPr>
        <w:autoSpaceDE w:val="0"/>
        <w:autoSpaceDN w:val="0"/>
        <w:adjustRightInd w:val="0"/>
        <w:snapToGrid w:val="0"/>
        <w:spacing w:line="360" w:lineRule="auto"/>
        <w:jc w:val="left"/>
        <w:rPr>
          <w:rFonts w:ascii="宋体" w:hAnsi="宋体" w:cs="MingLiU"/>
          <w:kern w:val="0"/>
          <w:sz w:val="20"/>
          <w:szCs w:val="20"/>
          <w:highlight w:val="none"/>
        </w:rPr>
      </w:pPr>
    </w:p>
    <w:p w14:paraId="15087F5A">
      <w:pPr>
        <w:autoSpaceDE w:val="0"/>
        <w:autoSpaceDN w:val="0"/>
        <w:adjustRightInd w:val="0"/>
        <w:snapToGrid w:val="0"/>
        <w:spacing w:line="360" w:lineRule="auto"/>
        <w:jc w:val="left"/>
        <w:rPr>
          <w:rFonts w:ascii="宋体" w:hAnsi="宋体" w:cs="MingLiU"/>
          <w:kern w:val="0"/>
          <w:sz w:val="20"/>
          <w:szCs w:val="20"/>
          <w:highlight w:val="none"/>
        </w:rPr>
      </w:pPr>
    </w:p>
    <w:p w14:paraId="41D5A6C3">
      <w:pPr>
        <w:autoSpaceDE w:val="0"/>
        <w:autoSpaceDN w:val="0"/>
        <w:adjustRightInd w:val="0"/>
        <w:snapToGrid w:val="0"/>
        <w:spacing w:line="360" w:lineRule="auto"/>
        <w:jc w:val="left"/>
        <w:rPr>
          <w:rFonts w:ascii="宋体" w:hAnsi="宋体" w:cs="MingLiU"/>
          <w:kern w:val="0"/>
          <w:sz w:val="20"/>
          <w:szCs w:val="20"/>
          <w:highlight w:val="none"/>
        </w:rPr>
      </w:pPr>
    </w:p>
    <w:p w14:paraId="16FE86AF">
      <w:pPr>
        <w:tabs>
          <w:tab w:val="left" w:pos="6080"/>
          <w:tab w:val="left" w:pos="6640"/>
        </w:tabs>
        <w:autoSpaceDE w:val="0"/>
        <w:autoSpaceDN w:val="0"/>
        <w:adjustRightInd w:val="0"/>
        <w:snapToGrid w:val="0"/>
        <w:spacing w:line="480" w:lineRule="auto"/>
        <w:jc w:val="center"/>
        <w:rPr>
          <w:rFonts w:ascii="宋体" w:hAnsi="宋体"/>
          <w:w w:val="99"/>
          <w:kern w:val="0"/>
          <w:sz w:val="28"/>
          <w:szCs w:val="28"/>
          <w:highlight w:val="none"/>
        </w:rPr>
      </w:pPr>
      <w:r>
        <w:rPr>
          <w:rFonts w:hint="eastAsia" w:ascii="宋体" w:hAnsi="宋体"/>
          <w:w w:val="99"/>
          <w:kern w:val="0"/>
          <w:sz w:val="28"/>
          <w:szCs w:val="28"/>
          <w:highlight w:val="none"/>
          <w:lang w:eastAsia="zh-CN"/>
        </w:rPr>
        <w:t>比选申请人</w:t>
      </w:r>
      <w:r>
        <w:rPr>
          <w:rFonts w:ascii="宋体" w:hAnsi="宋体"/>
          <w:spacing w:val="1"/>
          <w:w w:val="99"/>
          <w:kern w:val="0"/>
          <w:sz w:val="28"/>
          <w:szCs w:val="28"/>
          <w:highlight w:val="none"/>
        </w:rPr>
        <w:t>：</w:t>
      </w:r>
      <w:r>
        <w:rPr>
          <w:rFonts w:ascii="宋体" w:hAnsi="宋体"/>
          <w:w w:val="198"/>
          <w:kern w:val="0"/>
          <w:sz w:val="28"/>
          <w:szCs w:val="28"/>
          <w:highlight w:val="none"/>
          <w:u w:val="single"/>
        </w:rPr>
        <w:t xml:space="preserve"> 　　 　　 　　</w:t>
      </w:r>
      <w:r>
        <w:rPr>
          <w:rFonts w:ascii="宋体" w:hAnsi="宋体"/>
          <w:w w:val="99"/>
          <w:kern w:val="0"/>
          <w:sz w:val="28"/>
          <w:szCs w:val="28"/>
          <w:highlight w:val="none"/>
        </w:rPr>
        <w:t>（盖单位法人章）</w:t>
      </w:r>
    </w:p>
    <w:p w14:paraId="0946743A">
      <w:pPr>
        <w:tabs>
          <w:tab w:val="left" w:pos="6080"/>
          <w:tab w:val="left" w:pos="6640"/>
        </w:tabs>
        <w:autoSpaceDE w:val="0"/>
        <w:autoSpaceDN w:val="0"/>
        <w:adjustRightInd w:val="0"/>
        <w:snapToGrid w:val="0"/>
        <w:spacing w:line="480" w:lineRule="auto"/>
        <w:jc w:val="center"/>
        <w:rPr>
          <w:rFonts w:ascii="宋体" w:hAnsi="宋体"/>
          <w:kern w:val="0"/>
          <w:sz w:val="28"/>
          <w:szCs w:val="28"/>
          <w:highlight w:val="none"/>
        </w:rPr>
      </w:pPr>
      <w:r>
        <w:rPr>
          <w:rFonts w:ascii="宋体" w:hAnsi="宋体"/>
          <w:w w:val="99"/>
          <w:kern w:val="0"/>
          <w:sz w:val="28"/>
          <w:szCs w:val="28"/>
          <w:highlight w:val="none"/>
        </w:rPr>
        <w:t>法定代表人或其委托代理人：</w:t>
      </w:r>
      <w:r>
        <w:rPr>
          <w:rFonts w:ascii="宋体" w:hAnsi="宋体"/>
          <w:w w:val="198"/>
          <w:kern w:val="0"/>
          <w:sz w:val="28"/>
          <w:szCs w:val="28"/>
          <w:highlight w:val="none"/>
          <w:u w:val="single"/>
        </w:rPr>
        <w:t xml:space="preserve"> 　 　</w:t>
      </w:r>
      <w:r>
        <w:rPr>
          <w:rFonts w:ascii="宋体" w:hAnsi="宋体"/>
          <w:w w:val="99"/>
          <w:kern w:val="0"/>
          <w:sz w:val="28"/>
          <w:szCs w:val="28"/>
          <w:highlight w:val="none"/>
        </w:rPr>
        <w:t>（</w:t>
      </w:r>
      <w:r>
        <w:rPr>
          <w:rFonts w:hint="eastAsia" w:ascii="宋体" w:hAnsi="宋体"/>
          <w:w w:val="99"/>
          <w:kern w:val="0"/>
          <w:sz w:val="28"/>
          <w:szCs w:val="28"/>
          <w:highlight w:val="none"/>
        </w:rPr>
        <w:t>签名</w:t>
      </w:r>
      <w:r>
        <w:rPr>
          <w:rFonts w:ascii="宋体" w:hAnsi="宋体"/>
          <w:w w:val="99"/>
          <w:kern w:val="0"/>
          <w:sz w:val="28"/>
          <w:szCs w:val="28"/>
          <w:highlight w:val="none"/>
        </w:rPr>
        <w:t>或盖章）</w:t>
      </w:r>
    </w:p>
    <w:p w14:paraId="55D079B0">
      <w:pPr>
        <w:tabs>
          <w:tab w:val="left" w:pos="3280"/>
          <w:tab w:val="left" w:pos="4680"/>
          <w:tab w:val="left" w:pos="6080"/>
        </w:tabs>
        <w:autoSpaceDE w:val="0"/>
        <w:autoSpaceDN w:val="0"/>
        <w:adjustRightInd w:val="0"/>
        <w:snapToGrid w:val="0"/>
        <w:spacing w:line="480" w:lineRule="auto"/>
        <w:jc w:val="center"/>
        <w:rPr>
          <w:rFonts w:ascii="宋体" w:hAnsi="宋体"/>
          <w:w w:val="99"/>
          <w:kern w:val="0"/>
          <w:sz w:val="28"/>
          <w:szCs w:val="28"/>
          <w:highlight w:val="none"/>
        </w:rPr>
      </w:pP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99"/>
          <w:kern w:val="0"/>
          <w:sz w:val="28"/>
          <w:szCs w:val="28"/>
          <w:highlight w:val="none"/>
        </w:rPr>
        <w:t>年</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99"/>
          <w:kern w:val="0"/>
          <w:sz w:val="28"/>
          <w:szCs w:val="28"/>
          <w:highlight w:val="none"/>
        </w:rPr>
        <w:t>月</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198"/>
          <w:kern w:val="0"/>
          <w:sz w:val="28"/>
          <w:szCs w:val="28"/>
          <w:highlight w:val="none"/>
          <w:u w:val="single"/>
        </w:rPr>
        <w:t xml:space="preserve"> </w:t>
      </w:r>
      <w:r>
        <w:rPr>
          <w:rFonts w:hint="eastAsia" w:ascii="宋体" w:hAnsi="宋体"/>
          <w:w w:val="198"/>
          <w:kern w:val="0"/>
          <w:sz w:val="28"/>
          <w:szCs w:val="28"/>
          <w:highlight w:val="none"/>
          <w:u w:val="single"/>
        </w:rPr>
        <w:t xml:space="preserve"> </w:t>
      </w:r>
      <w:r>
        <w:rPr>
          <w:rFonts w:ascii="宋体" w:hAnsi="宋体"/>
          <w:w w:val="99"/>
          <w:kern w:val="0"/>
          <w:sz w:val="28"/>
          <w:szCs w:val="28"/>
          <w:highlight w:val="none"/>
        </w:rPr>
        <w:t>日</w:t>
      </w:r>
    </w:p>
    <w:p w14:paraId="248BE788">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highlight w:val="none"/>
        </w:rPr>
      </w:pPr>
      <w:r>
        <w:rPr>
          <w:rFonts w:ascii="宋体" w:hAnsi="宋体"/>
          <w:w w:val="99"/>
          <w:kern w:val="0"/>
          <w:sz w:val="28"/>
          <w:szCs w:val="28"/>
          <w:highlight w:val="none"/>
        </w:rPr>
        <w:br w:type="page"/>
      </w:r>
    </w:p>
    <w:p w14:paraId="3E27E9DC">
      <w:pPr>
        <w:autoSpaceDE w:val="0"/>
        <w:autoSpaceDN w:val="0"/>
        <w:adjustRightInd w:val="0"/>
        <w:snapToGrid w:val="0"/>
        <w:jc w:val="center"/>
        <w:rPr>
          <w:rFonts w:ascii="宋体" w:hAnsi="宋体"/>
          <w:kern w:val="0"/>
          <w:sz w:val="36"/>
          <w:szCs w:val="36"/>
          <w:highlight w:val="none"/>
        </w:rPr>
      </w:pPr>
      <w:r>
        <w:rPr>
          <w:rFonts w:hint="eastAsia" w:ascii="宋体" w:hAnsi="宋体"/>
          <w:kern w:val="0"/>
          <w:sz w:val="36"/>
          <w:szCs w:val="36"/>
          <w:highlight w:val="none"/>
        </w:rPr>
        <w:t>目  录</w:t>
      </w:r>
    </w:p>
    <w:p w14:paraId="0D05B059">
      <w:pPr>
        <w:spacing w:line="360" w:lineRule="auto"/>
        <w:jc w:val="center"/>
        <w:rPr>
          <w:rFonts w:ascii="宋体" w:hAnsi="宋体"/>
          <w:b/>
          <w:kern w:val="0"/>
          <w:sz w:val="32"/>
          <w:szCs w:val="32"/>
          <w:highlight w:val="none"/>
        </w:rPr>
      </w:pPr>
    </w:p>
    <w:p w14:paraId="0078F9C8">
      <w:pPr>
        <w:spacing w:line="360" w:lineRule="auto"/>
        <w:ind w:firstLine="420" w:firstLineChars="200"/>
        <w:rPr>
          <w:rFonts w:ascii="宋体" w:hAnsi="宋体"/>
          <w:szCs w:val="21"/>
          <w:highlight w:val="none"/>
        </w:rPr>
      </w:pPr>
      <w:r>
        <w:rPr>
          <w:rFonts w:ascii="宋体" w:hAnsi="宋体"/>
          <w:szCs w:val="21"/>
          <w:highlight w:val="none"/>
        </w:rPr>
        <w:t>（一）</w:t>
      </w:r>
      <w:r>
        <w:rPr>
          <w:rFonts w:hint="eastAsia" w:ascii="宋体" w:hAnsi="宋体"/>
          <w:szCs w:val="21"/>
          <w:highlight w:val="none"/>
        </w:rPr>
        <w:t>法定代表人身份证明或授权委托书</w:t>
      </w:r>
    </w:p>
    <w:p w14:paraId="65B630DF">
      <w:pPr>
        <w:spacing w:line="360" w:lineRule="auto"/>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lang w:val="en-US" w:eastAsia="zh-CN"/>
        </w:rPr>
        <w:t>二</w:t>
      </w:r>
      <w:r>
        <w:rPr>
          <w:rFonts w:ascii="宋体" w:hAnsi="宋体"/>
          <w:szCs w:val="21"/>
          <w:highlight w:val="none"/>
        </w:rPr>
        <w:t>）</w:t>
      </w:r>
      <w:r>
        <w:rPr>
          <w:rFonts w:hint="eastAsia" w:ascii="宋体" w:hAnsi="宋体"/>
          <w:szCs w:val="21"/>
          <w:highlight w:val="none"/>
        </w:rPr>
        <w:t>承诺</w:t>
      </w:r>
    </w:p>
    <w:p w14:paraId="40D7DE32">
      <w:pPr>
        <w:spacing w:line="360" w:lineRule="auto"/>
        <w:ind w:firstLine="420" w:firstLineChars="200"/>
        <w:rPr>
          <w:rFonts w:ascii="宋体" w:hAnsi="宋体"/>
          <w:szCs w:val="21"/>
          <w:highlight w:val="none"/>
        </w:rPr>
      </w:pPr>
      <w:r>
        <w:rPr>
          <w:rFonts w:ascii="宋体" w:hAnsi="宋体"/>
          <w:szCs w:val="21"/>
          <w:highlight w:val="none"/>
        </w:rPr>
        <w:t>（</w:t>
      </w:r>
      <w:r>
        <w:rPr>
          <w:rFonts w:hint="eastAsia" w:ascii="宋体" w:hAnsi="宋体"/>
          <w:szCs w:val="21"/>
          <w:highlight w:val="none"/>
          <w:lang w:val="en-US" w:eastAsia="zh-CN"/>
        </w:rPr>
        <w:t>三</w:t>
      </w:r>
      <w:r>
        <w:rPr>
          <w:rFonts w:ascii="宋体" w:hAnsi="宋体"/>
          <w:szCs w:val="21"/>
          <w:highlight w:val="none"/>
        </w:rPr>
        <w:t>）其他资料</w:t>
      </w:r>
    </w:p>
    <w:p w14:paraId="13C64460">
      <w:pPr>
        <w:spacing w:line="360" w:lineRule="auto"/>
        <w:jc w:val="both"/>
        <w:rPr>
          <w:rFonts w:ascii="宋体" w:hAnsi="宋体"/>
          <w:b/>
          <w:kern w:val="0"/>
          <w:sz w:val="32"/>
          <w:szCs w:val="32"/>
          <w:highlight w:val="none"/>
        </w:rPr>
      </w:pPr>
    </w:p>
    <w:p w14:paraId="4FC03A9F">
      <w:pPr>
        <w:spacing w:line="360" w:lineRule="auto"/>
        <w:jc w:val="center"/>
        <w:rPr>
          <w:rFonts w:ascii="宋体" w:hAnsi="宋体"/>
          <w:b/>
          <w:kern w:val="0"/>
          <w:sz w:val="32"/>
          <w:szCs w:val="32"/>
          <w:highlight w:val="none"/>
        </w:rPr>
      </w:pPr>
    </w:p>
    <w:p w14:paraId="7ACAD82B">
      <w:pPr>
        <w:pStyle w:val="5"/>
        <w:spacing w:before="0" w:after="0" w:line="240" w:lineRule="auto"/>
        <w:jc w:val="center"/>
        <w:rPr>
          <w:rFonts w:ascii="宋体" w:hAnsi="宋体"/>
          <w:sz w:val="36"/>
          <w:szCs w:val="36"/>
          <w:highlight w:val="none"/>
        </w:rPr>
      </w:pPr>
      <w:r>
        <w:rPr>
          <w:rFonts w:ascii="宋体" w:hAnsi="宋体"/>
          <w:highlight w:val="none"/>
        </w:rPr>
        <w:br w:type="page"/>
      </w:r>
      <w:bookmarkStart w:id="2285" w:name="_Toc224103511"/>
      <w:bookmarkStart w:id="2286" w:name="_Toc287620830"/>
      <w:bookmarkStart w:id="2287" w:name="_Toc287607883"/>
      <w:bookmarkStart w:id="2288" w:name="_Toc3130"/>
      <w:bookmarkStart w:id="2289" w:name="_Toc277082657"/>
      <w:bookmarkStart w:id="2290" w:name="_Toc29922"/>
      <w:bookmarkStart w:id="2291" w:name="_Toc430530546"/>
      <w:r>
        <w:rPr>
          <w:rFonts w:hint="eastAsia" w:ascii="宋体" w:hAnsi="宋体"/>
          <w:b w:val="0"/>
          <w:bCs w:val="0"/>
          <w:highlight w:val="none"/>
        </w:rPr>
        <w:t>（一）法定代表人身份证明或授权委托书</w:t>
      </w:r>
      <w:bookmarkEnd w:id="2285"/>
      <w:bookmarkEnd w:id="2286"/>
      <w:bookmarkEnd w:id="2287"/>
      <w:bookmarkEnd w:id="2288"/>
      <w:bookmarkEnd w:id="2289"/>
      <w:bookmarkEnd w:id="2290"/>
      <w:bookmarkEnd w:id="2291"/>
    </w:p>
    <w:p w14:paraId="1DCA707B">
      <w:pPr>
        <w:spacing w:line="480" w:lineRule="auto"/>
        <w:jc w:val="center"/>
        <w:rPr>
          <w:rFonts w:ascii="宋体" w:hAnsi="宋体"/>
          <w:sz w:val="28"/>
          <w:highlight w:val="none"/>
        </w:rPr>
      </w:pPr>
      <w:r>
        <w:rPr>
          <w:rFonts w:hint="eastAsia" w:ascii="宋体" w:hAnsi="宋体"/>
          <w:sz w:val="28"/>
          <w:highlight w:val="none"/>
        </w:rPr>
        <w:t>法定代表人身份证明</w:t>
      </w:r>
    </w:p>
    <w:p w14:paraId="0F6900EC">
      <w:pPr>
        <w:spacing w:line="480" w:lineRule="auto"/>
        <w:jc w:val="center"/>
        <w:rPr>
          <w:rFonts w:ascii="宋体" w:hAnsi="宋体"/>
          <w:highlight w:val="none"/>
        </w:rPr>
      </w:pPr>
    </w:p>
    <w:p w14:paraId="296D5FF0">
      <w:pPr>
        <w:tabs>
          <w:tab w:val="left" w:pos="556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hint="eastAsia" w:ascii="宋体" w:hAnsi="宋体"/>
          <w:kern w:val="0"/>
          <w:szCs w:val="21"/>
          <w:highlight w:val="none"/>
          <w:lang w:eastAsia="zh-CN"/>
        </w:rPr>
        <w:t>比选申请人</w:t>
      </w:r>
      <w:r>
        <w:rPr>
          <w:rFonts w:ascii="宋体" w:hAnsi="宋体"/>
          <w:kern w:val="0"/>
          <w:szCs w:val="21"/>
          <w:highlight w:val="none"/>
        </w:rPr>
        <w:t>名称：</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50AEB0B7">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单位性质：</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29073B39">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地</w:t>
      </w:r>
      <w:r>
        <w:rPr>
          <w:rFonts w:hint="eastAsia" w:ascii="宋体" w:hAnsi="宋体"/>
          <w:kern w:val="0"/>
          <w:szCs w:val="21"/>
          <w:highlight w:val="none"/>
        </w:rPr>
        <w:t xml:space="preserve">    </w:t>
      </w:r>
      <w:r>
        <w:rPr>
          <w:rFonts w:ascii="宋体" w:hAnsi="宋体"/>
          <w:kern w:val="0"/>
          <w:szCs w:val="21"/>
          <w:highlight w:val="none"/>
        </w:rPr>
        <w:t>址：</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p>
    <w:p w14:paraId="3FF9C082">
      <w:pPr>
        <w:tabs>
          <w:tab w:val="left" w:pos="5475"/>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成立时间：</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年</w:t>
      </w:r>
      <w:r>
        <w:rPr>
          <w:rFonts w:ascii="宋体" w:hAnsi="宋体"/>
          <w:w w:val="200"/>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月</w:t>
      </w:r>
      <w:r>
        <w:rPr>
          <w:rFonts w:ascii="宋体" w:hAnsi="宋体"/>
          <w:w w:val="200"/>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日</w:t>
      </w:r>
    </w:p>
    <w:p w14:paraId="4BBFC847">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姓名：</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性别</w:t>
      </w:r>
      <w:r>
        <w:rPr>
          <w:rFonts w:ascii="宋体" w:hAnsi="宋体"/>
          <w:spacing w:val="-1"/>
          <w:kern w:val="0"/>
          <w:szCs w:val="21"/>
          <w:highlight w:val="none"/>
        </w:rPr>
        <w:t>：</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spacing w:val="-1"/>
          <w:kern w:val="0"/>
          <w:szCs w:val="21"/>
          <w:highlight w:val="none"/>
        </w:rPr>
        <w:t>年</w:t>
      </w:r>
      <w:r>
        <w:rPr>
          <w:rFonts w:ascii="宋体" w:hAnsi="宋体"/>
          <w:kern w:val="0"/>
          <w:szCs w:val="21"/>
          <w:highlight w:val="none"/>
        </w:rPr>
        <w:t>龄：</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职务：</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2D8CC04F">
      <w:pPr>
        <w:tabs>
          <w:tab w:val="left" w:pos="336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系</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lang w:eastAsia="zh-CN"/>
        </w:rPr>
        <w:t>比选申请人</w:t>
      </w:r>
      <w:r>
        <w:rPr>
          <w:rFonts w:ascii="宋体" w:hAnsi="宋体"/>
          <w:kern w:val="0"/>
          <w:szCs w:val="21"/>
          <w:highlight w:val="none"/>
          <w:u w:val="single"/>
        </w:rPr>
        <w:t>名称）</w:t>
      </w:r>
      <w:r>
        <w:rPr>
          <w:rFonts w:ascii="宋体" w:hAnsi="宋体"/>
          <w:kern w:val="0"/>
          <w:szCs w:val="21"/>
          <w:highlight w:val="none"/>
        </w:rPr>
        <w:t>的法定代表人。</w:t>
      </w:r>
    </w:p>
    <w:p w14:paraId="1BED4044">
      <w:pPr>
        <w:tabs>
          <w:tab w:val="left" w:pos="3360"/>
        </w:tabs>
        <w:autoSpaceDE w:val="0"/>
        <w:autoSpaceDN w:val="0"/>
        <w:adjustRightInd w:val="0"/>
        <w:snapToGrid w:val="0"/>
        <w:spacing w:line="480" w:lineRule="auto"/>
        <w:ind w:firstLine="390" w:firstLineChars="186"/>
        <w:jc w:val="left"/>
        <w:rPr>
          <w:rFonts w:ascii="宋体" w:hAnsi="宋体"/>
          <w:kern w:val="0"/>
          <w:szCs w:val="21"/>
          <w:highlight w:val="none"/>
        </w:rPr>
      </w:pPr>
      <w:r>
        <w:rPr>
          <w:rFonts w:ascii="宋体" w:hAnsi="宋体"/>
          <w:kern w:val="0"/>
          <w:szCs w:val="21"/>
          <w:highlight w:val="none"/>
        </w:rPr>
        <w:t>特此证明。</w:t>
      </w:r>
    </w:p>
    <w:p w14:paraId="7F6528D6">
      <w:pPr>
        <w:autoSpaceDE w:val="0"/>
        <w:autoSpaceDN w:val="0"/>
        <w:adjustRightInd w:val="0"/>
        <w:snapToGrid w:val="0"/>
        <w:spacing w:line="480" w:lineRule="auto"/>
        <w:ind w:firstLine="810" w:firstLineChars="386"/>
        <w:jc w:val="left"/>
        <w:rPr>
          <w:rFonts w:ascii="宋体" w:hAnsi="宋体"/>
          <w:kern w:val="0"/>
          <w:szCs w:val="21"/>
          <w:highlight w:val="none"/>
        </w:rPr>
      </w:pPr>
      <w:r>
        <w:rPr>
          <w:rFonts w:hint="eastAsia" w:ascii="宋体" w:hAnsi="宋体"/>
          <w:kern w:val="0"/>
          <w:szCs w:val="21"/>
          <w:highlight w:val="none"/>
        </w:rPr>
        <w:t>附：法定代表人身份证</w:t>
      </w:r>
      <w:r>
        <w:rPr>
          <w:rFonts w:hint="eastAsia" w:ascii="宋体" w:hAnsi="宋体"/>
          <w:kern w:val="0"/>
          <w:szCs w:val="21"/>
          <w:highlight w:val="none"/>
          <w:lang w:val="en-US" w:eastAsia="zh-CN"/>
        </w:rPr>
        <w:t>明</w:t>
      </w:r>
      <w:r>
        <w:rPr>
          <w:rFonts w:hint="eastAsia" w:ascii="宋体" w:hAnsi="宋体"/>
          <w:kern w:val="0"/>
          <w:szCs w:val="21"/>
          <w:highlight w:val="none"/>
        </w:rPr>
        <w:t>扫描件（双面）</w:t>
      </w:r>
    </w:p>
    <w:p w14:paraId="23766F06">
      <w:pPr>
        <w:autoSpaceDE w:val="0"/>
        <w:autoSpaceDN w:val="0"/>
        <w:adjustRightInd w:val="0"/>
        <w:snapToGrid w:val="0"/>
        <w:spacing w:line="360" w:lineRule="auto"/>
        <w:jc w:val="left"/>
        <w:rPr>
          <w:rFonts w:ascii="宋体" w:hAnsi="宋体"/>
          <w:szCs w:val="21"/>
          <w:highlight w:val="none"/>
        </w:rPr>
      </w:pPr>
    </w:p>
    <w:p w14:paraId="0363DF84">
      <w:pPr>
        <w:pStyle w:val="2"/>
        <w:spacing w:after="0" w:line="360" w:lineRule="auto"/>
        <w:rPr>
          <w:rFonts w:ascii="宋体" w:hAnsi="宋体"/>
          <w:szCs w:val="21"/>
          <w:highlight w:val="none"/>
        </w:rPr>
      </w:pPr>
    </w:p>
    <w:p w14:paraId="357BD577">
      <w:pPr>
        <w:pStyle w:val="2"/>
        <w:spacing w:after="0" w:line="360" w:lineRule="auto"/>
        <w:rPr>
          <w:rFonts w:ascii="宋体" w:hAnsi="宋体"/>
          <w:szCs w:val="21"/>
          <w:highlight w:val="none"/>
        </w:rPr>
      </w:pPr>
    </w:p>
    <w:p w14:paraId="520319B0">
      <w:pPr>
        <w:pStyle w:val="2"/>
        <w:spacing w:after="0" w:line="360" w:lineRule="auto"/>
        <w:rPr>
          <w:rFonts w:ascii="宋体" w:hAnsi="宋体"/>
          <w:szCs w:val="21"/>
          <w:highlight w:val="none"/>
        </w:rPr>
      </w:pPr>
    </w:p>
    <w:p w14:paraId="728EDB83">
      <w:pPr>
        <w:pStyle w:val="2"/>
        <w:spacing w:after="0" w:line="360" w:lineRule="auto"/>
        <w:rPr>
          <w:rFonts w:ascii="宋体" w:hAnsi="宋体"/>
          <w:szCs w:val="21"/>
          <w:highlight w:val="none"/>
        </w:rPr>
      </w:pPr>
    </w:p>
    <w:p w14:paraId="0B8D2A5B">
      <w:pPr>
        <w:pStyle w:val="2"/>
        <w:spacing w:after="0" w:line="360" w:lineRule="auto"/>
        <w:rPr>
          <w:rFonts w:ascii="宋体" w:hAnsi="宋体"/>
          <w:szCs w:val="21"/>
          <w:highlight w:val="none"/>
        </w:rPr>
      </w:pPr>
    </w:p>
    <w:p w14:paraId="1091632F">
      <w:pPr>
        <w:autoSpaceDE w:val="0"/>
        <w:autoSpaceDN w:val="0"/>
        <w:adjustRightInd w:val="0"/>
        <w:snapToGrid w:val="0"/>
        <w:spacing w:line="480" w:lineRule="auto"/>
        <w:ind w:firstLine="420" w:firstLineChars="200"/>
        <w:jc w:val="right"/>
        <w:rPr>
          <w:rFonts w:ascii="宋体" w:hAnsi="宋体"/>
          <w:kern w:val="0"/>
          <w:szCs w:val="21"/>
          <w:highlight w:val="none"/>
        </w:rPr>
      </w:pPr>
      <w:r>
        <w:rPr>
          <w:rFonts w:hint="eastAsia" w:ascii="宋体" w:hAnsi="宋体"/>
          <w:kern w:val="0"/>
          <w:szCs w:val="21"/>
          <w:highlight w:val="none"/>
          <w:lang w:eastAsia="zh-CN"/>
        </w:rPr>
        <w:t>比选申请人</w:t>
      </w:r>
      <w:r>
        <w:rPr>
          <w:rFonts w:ascii="宋体" w:hAnsi="宋体"/>
          <w:kern w:val="0"/>
          <w:szCs w:val="21"/>
          <w:highlight w:val="none"/>
        </w:rPr>
        <w:t>：</w:t>
      </w:r>
      <w:r>
        <w:rPr>
          <w:rFonts w:ascii="宋体" w:hAnsi="宋体"/>
          <w:w w:val="200"/>
          <w:kern w:val="0"/>
          <w:szCs w:val="21"/>
          <w:highlight w:val="none"/>
          <w:u w:val="single"/>
        </w:rPr>
        <w:t xml:space="preserve">              </w:t>
      </w:r>
      <w:r>
        <w:rPr>
          <w:rFonts w:ascii="宋体" w:hAnsi="宋体"/>
          <w:kern w:val="0"/>
          <w:szCs w:val="21"/>
          <w:highlight w:val="none"/>
          <w:u w:val="single"/>
        </w:rPr>
        <w:tab/>
      </w:r>
      <w:r>
        <w:rPr>
          <w:rFonts w:ascii="宋体" w:hAnsi="宋体"/>
          <w:spacing w:val="-1"/>
          <w:kern w:val="0"/>
          <w:szCs w:val="21"/>
          <w:highlight w:val="none"/>
        </w:rPr>
        <w:t>（</w:t>
      </w:r>
      <w:r>
        <w:rPr>
          <w:rFonts w:ascii="宋体" w:hAnsi="宋体"/>
          <w:kern w:val="0"/>
          <w:szCs w:val="21"/>
          <w:highlight w:val="none"/>
        </w:rPr>
        <w:t>盖单位法人章）</w:t>
      </w:r>
    </w:p>
    <w:p w14:paraId="635EA6EF">
      <w:pPr>
        <w:autoSpaceDE w:val="0"/>
        <w:autoSpaceDN w:val="0"/>
        <w:adjustRightInd w:val="0"/>
        <w:snapToGrid w:val="0"/>
        <w:spacing w:line="480" w:lineRule="auto"/>
        <w:jc w:val="left"/>
        <w:rPr>
          <w:rFonts w:ascii="宋体" w:hAnsi="宋体"/>
          <w:kern w:val="0"/>
          <w:sz w:val="20"/>
          <w:szCs w:val="20"/>
          <w:highlight w:val="none"/>
        </w:rPr>
      </w:pPr>
    </w:p>
    <w:p w14:paraId="4BFEAA99">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highlight w:val="none"/>
        </w:rPr>
      </w:pPr>
      <w:r>
        <w:rPr>
          <w:rFonts w:hint="eastAsia" w:ascii="宋体" w:hAnsi="宋体"/>
          <w:w w:val="200"/>
          <w:kern w:val="0"/>
          <w:szCs w:val="21"/>
          <w:highlight w:val="none"/>
          <w:u w:val="single"/>
        </w:rPr>
        <w:t xml:space="preserve">      </w:t>
      </w:r>
      <w:r>
        <w:rPr>
          <w:rFonts w:ascii="宋体" w:hAnsi="宋体"/>
          <w:kern w:val="0"/>
          <w:szCs w:val="21"/>
          <w:highlight w:val="none"/>
        </w:rPr>
        <w:t>年</w:t>
      </w:r>
      <w:r>
        <w:rPr>
          <w:rFonts w:ascii="宋体" w:hAnsi="宋体"/>
          <w:w w:val="200"/>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月</w:t>
      </w:r>
      <w:r>
        <w:rPr>
          <w:rFonts w:ascii="宋体" w:hAnsi="宋体"/>
          <w:w w:val="200"/>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日</w:t>
      </w:r>
      <w:r>
        <w:rPr>
          <w:rFonts w:hint="eastAsia" w:ascii="宋体" w:hAnsi="宋体"/>
          <w:kern w:val="0"/>
          <w:szCs w:val="21"/>
          <w:highlight w:val="none"/>
        </w:rPr>
        <w:t xml:space="preserve">  </w:t>
      </w:r>
    </w:p>
    <w:p w14:paraId="6D961DF8">
      <w:pPr>
        <w:autoSpaceDE w:val="0"/>
        <w:autoSpaceDN w:val="0"/>
        <w:adjustRightInd w:val="0"/>
        <w:snapToGrid w:val="0"/>
        <w:spacing w:line="360" w:lineRule="auto"/>
        <w:jc w:val="left"/>
        <w:rPr>
          <w:rFonts w:ascii="宋体" w:hAnsi="宋体"/>
          <w:kern w:val="0"/>
          <w:highlight w:val="none"/>
        </w:rPr>
      </w:pPr>
    </w:p>
    <w:p w14:paraId="7084C529">
      <w:pPr>
        <w:autoSpaceDE w:val="0"/>
        <w:autoSpaceDN w:val="0"/>
        <w:adjustRightInd w:val="0"/>
        <w:snapToGrid w:val="0"/>
        <w:spacing w:line="360" w:lineRule="auto"/>
        <w:jc w:val="left"/>
        <w:rPr>
          <w:rFonts w:ascii="宋体" w:hAnsi="宋体"/>
          <w:kern w:val="0"/>
          <w:highlight w:val="none"/>
        </w:rPr>
      </w:pPr>
    </w:p>
    <w:p w14:paraId="4FBB1C02">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highlight w:val="none"/>
        </w:rPr>
      </w:pPr>
      <w:r>
        <w:rPr>
          <w:rFonts w:ascii="宋体" w:hAnsi="宋体"/>
          <w:highlight w:val="none"/>
        </w:rPr>
        <w:t>注：法定代表人身份证明需按上述格式填写完整，不可缺少内容。在此基础上增加内容的不影响其有效性</w:t>
      </w:r>
      <w:r>
        <w:rPr>
          <w:rFonts w:hint="eastAsia" w:ascii="宋体" w:hAnsi="宋体"/>
          <w:kern w:val="0"/>
          <w:szCs w:val="21"/>
          <w:highlight w:val="none"/>
        </w:rPr>
        <w:t>。</w:t>
      </w:r>
    </w:p>
    <w:p w14:paraId="507B2DD1">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highlight w:val="none"/>
        </w:rPr>
      </w:pPr>
    </w:p>
    <w:p w14:paraId="47F62FDA">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highlight w:val="none"/>
        </w:rPr>
      </w:pPr>
      <w:r>
        <w:rPr>
          <w:rFonts w:ascii="宋体" w:hAnsi="宋体"/>
          <w:b/>
          <w:kern w:val="0"/>
          <w:sz w:val="28"/>
          <w:szCs w:val="28"/>
          <w:highlight w:val="none"/>
        </w:rPr>
        <w:br w:type="page"/>
      </w:r>
      <w:r>
        <w:rPr>
          <w:rFonts w:ascii="宋体" w:hAnsi="宋体"/>
          <w:snapToGrid w:val="0"/>
          <w:kern w:val="0"/>
          <w:sz w:val="32"/>
          <w:szCs w:val="32"/>
          <w:highlight w:val="none"/>
        </w:rPr>
        <w:t>授权委托书</w:t>
      </w:r>
    </w:p>
    <w:p w14:paraId="01E6499C">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highlight w:val="none"/>
        </w:rPr>
      </w:pPr>
      <w:r>
        <w:rPr>
          <w:rFonts w:ascii="宋体" w:hAnsi="宋体"/>
          <w:kern w:val="0"/>
          <w:szCs w:val="21"/>
          <w:highlight w:val="none"/>
        </w:rPr>
        <w:t>本人</w:t>
      </w:r>
      <w:r>
        <w:rPr>
          <w:rFonts w:hint="eastAsia" w:ascii="宋体" w:hAnsi="宋体"/>
          <w:w w:val="200"/>
          <w:kern w:val="0"/>
          <w:szCs w:val="21"/>
          <w:highlight w:val="none"/>
          <w:u w:val="single"/>
        </w:rPr>
        <w:t xml:space="preserve">    </w:t>
      </w:r>
      <w:r>
        <w:rPr>
          <w:rFonts w:ascii="宋体" w:hAnsi="宋体"/>
          <w:kern w:val="0"/>
          <w:szCs w:val="21"/>
          <w:highlight w:val="none"/>
          <w:u w:val="single"/>
        </w:rPr>
        <w:t>（姓名）</w:t>
      </w:r>
      <w:r>
        <w:rPr>
          <w:rFonts w:ascii="宋体" w:hAnsi="宋体"/>
          <w:kern w:val="0"/>
          <w:szCs w:val="21"/>
          <w:highlight w:val="none"/>
        </w:rPr>
        <w:t>系</w:t>
      </w:r>
      <w:r>
        <w:rPr>
          <w:rFonts w:hint="eastAsia" w:ascii="宋体" w:hAnsi="宋体"/>
          <w:w w:val="200"/>
          <w:kern w:val="0"/>
          <w:szCs w:val="21"/>
          <w:highlight w:val="none"/>
          <w:u w:val="single"/>
        </w:rPr>
        <w:t xml:space="preserve">        </w:t>
      </w:r>
      <w:r>
        <w:rPr>
          <w:rFonts w:ascii="宋体" w:hAnsi="宋体"/>
          <w:kern w:val="0"/>
          <w:szCs w:val="21"/>
          <w:highlight w:val="none"/>
          <w:u w:val="single"/>
        </w:rPr>
        <w:t>（</w:t>
      </w:r>
      <w:r>
        <w:rPr>
          <w:rFonts w:hint="eastAsia" w:ascii="宋体" w:hAnsi="宋体"/>
          <w:spacing w:val="-1"/>
          <w:kern w:val="0"/>
          <w:szCs w:val="21"/>
          <w:highlight w:val="none"/>
          <w:u w:val="single"/>
          <w:lang w:eastAsia="zh-CN"/>
        </w:rPr>
        <w:t>比选申请人</w:t>
      </w:r>
      <w:r>
        <w:rPr>
          <w:rFonts w:ascii="宋体" w:hAnsi="宋体"/>
          <w:kern w:val="0"/>
          <w:szCs w:val="21"/>
          <w:highlight w:val="none"/>
          <w:u w:val="single"/>
        </w:rPr>
        <w:t>名称</w:t>
      </w:r>
      <w:r>
        <w:rPr>
          <w:rFonts w:ascii="宋体" w:hAnsi="宋体"/>
          <w:spacing w:val="1"/>
          <w:kern w:val="0"/>
          <w:szCs w:val="21"/>
          <w:highlight w:val="none"/>
          <w:u w:val="single"/>
        </w:rPr>
        <w:t>）</w:t>
      </w:r>
      <w:r>
        <w:rPr>
          <w:rFonts w:ascii="宋体" w:hAnsi="宋体"/>
          <w:kern w:val="0"/>
          <w:szCs w:val="21"/>
          <w:highlight w:val="none"/>
        </w:rPr>
        <w:t>的法定代</w:t>
      </w:r>
      <w:r>
        <w:rPr>
          <w:rFonts w:ascii="宋体" w:hAnsi="宋体"/>
          <w:spacing w:val="1"/>
          <w:kern w:val="0"/>
          <w:szCs w:val="21"/>
          <w:highlight w:val="none"/>
        </w:rPr>
        <w:t>表</w:t>
      </w:r>
      <w:r>
        <w:rPr>
          <w:rFonts w:ascii="宋体" w:hAnsi="宋体"/>
          <w:kern w:val="0"/>
          <w:szCs w:val="21"/>
          <w:highlight w:val="none"/>
        </w:rPr>
        <w:t>人，现委托</w:t>
      </w:r>
      <w:r>
        <w:rPr>
          <w:rFonts w:hint="eastAsia" w:ascii="宋体" w:hAnsi="宋体"/>
          <w:w w:val="200"/>
          <w:kern w:val="0"/>
          <w:szCs w:val="21"/>
          <w:highlight w:val="none"/>
          <w:u w:val="single"/>
        </w:rPr>
        <w:t xml:space="preserve">    </w:t>
      </w:r>
      <w:r>
        <w:rPr>
          <w:rFonts w:ascii="宋体" w:hAnsi="宋体"/>
          <w:kern w:val="0"/>
          <w:szCs w:val="21"/>
          <w:highlight w:val="none"/>
          <w:u w:val="single"/>
        </w:rPr>
        <w:t>（姓名）</w:t>
      </w:r>
      <w:r>
        <w:rPr>
          <w:rFonts w:ascii="宋体" w:hAnsi="宋体"/>
          <w:kern w:val="0"/>
          <w:szCs w:val="21"/>
          <w:highlight w:val="none"/>
        </w:rPr>
        <w:t>为我方代理人。代理人根据授权，</w:t>
      </w:r>
      <w:r>
        <w:rPr>
          <w:rFonts w:hint="eastAsia" w:ascii="宋体" w:hAnsi="宋体"/>
          <w:kern w:val="0"/>
          <w:szCs w:val="21"/>
          <w:highlight w:val="none"/>
          <w:lang w:val="en-US" w:eastAsia="zh-CN"/>
        </w:rPr>
        <w:t>代表我方</w:t>
      </w:r>
      <w:r>
        <w:rPr>
          <w:rFonts w:ascii="宋体" w:hAnsi="宋体"/>
          <w:kern w:val="0"/>
          <w:szCs w:val="21"/>
          <w:highlight w:val="none"/>
        </w:rPr>
        <w:t>签署、澄清、说明、补正、递交、撤回、 修改</w:t>
      </w:r>
      <w:r>
        <w:rPr>
          <w:rFonts w:hint="eastAsia" w:ascii="宋体" w:hAnsi="宋体"/>
          <w:w w:val="200"/>
          <w:kern w:val="0"/>
          <w:szCs w:val="21"/>
          <w:highlight w:val="none"/>
          <w:u w:val="single"/>
        </w:rPr>
        <w:t xml:space="preserve">        </w:t>
      </w:r>
      <w:r>
        <w:rPr>
          <w:rFonts w:ascii="宋体" w:hAnsi="宋体"/>
          <w:kern w:val="0"/>
          <w:szCs w:val="21"/>
          <w:highlight w:val="none"/>
          <w:u w:val="single"/>
        </w:rPr>
        <w:t>（项</w:t>
      </w:r>
      <w:r>
        <w:rPr>
          <w:rFonts w:ascii="宋体" w:hAnsi="宋体"/>
          <w:spacing w:val="-1"/>
          <w:kern w:val="0"/>
          <w:szCs w:val="21"/>
          <w:highlight w:val="none"/>
          <w:u w:val="single"/>
        </w:rPr>
        <w:t>目</w:t>
      </w:r>
      <w:r>
        <w:rPr>
          <w:rFonts w:ascii="宋体" w:hAnsi="宋体"/>
          <w:kern w:val="0"/>
          <w:szCs w:val="21"/>
          <w:highlight w:val="none"/>
          <w:u w:val="single"/>
        </w:rPr>
        <w:t>名称）</w:t>
      </w:r>
      <w:r>
        <w:rPr>
          <w:rFonts w:hint="eastAsia" w:ascii="宋体" w:hAnsi="宋体"/>
          <w:kern w:val="0"/>
          <w:szCs w:val="21"/>
          <w:highlight w:val="none"/>
          <w:lang w:eastAsia="zh-CN"/>
        </w:rPr>
        <w:t>比选申请文件</w:t>
      </w:r>
      <w:r>
        <w:rPr>
          <w:rFonts w:ascii="宋体" w:hAnsi="宋体"/>
          <w:kern w:val="0"/>
          <w:szCs w:val="21"/>
          <w:highlight w:val="none"/>
        </w:rPr>
        <w:t>、签订合同和处理有关事宜， 其法律后果由我方承担。</w:t>
      </w:r>
    </w:p>
    <w:p w14:paraId="33972757">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委托</w:t>
      </w:r>
      <w:r>
        <w:rPr>
          <w:rFonts w:ascii="宋体" w:hAnsi="宋体"/>
          <w:spacing w:val="-1"/>
          <w:kern w:val="0"/>
          <w:szCs w:val="21"/>
          <w:highlight w:val="none"/>
        </w:rPr>
        <w:t>期</w:t>
      </w:r>
      <w:r>
        <w:rPr>
          <w:rFonts w:ascii="宋体" w:hAnsi="宋体"/>
          <w:kern w:val="0"/>
          <w:szCs w:val="21"/>
          <w:highlight w:val="none"/>
        </w:rPr>
        <w:t>限：</w:t>
      </w:r>
      <w:r>
        <w:rPr>
          <w:rFonts w:hint="eastAsia" w:ascii="宋体" w:hAnsi="宋体"/>
          <w:w w:val="200"/>
          <w:kern w:val="0"/>
          <w:szCs w:val="21"/>
          <w:highlight w:val="none"/>
          <w:u w:val="single"/>
        </w:rPr>
        <w:t xml:space="preserve">        </w:t>
      </w:r>
      <w:r>
        <w:rPr>
          <w:rFonts w:ascii="宋体" w:hAnsi="宋体"/>
          <w:kern w:val="0"/>
          <w:szCs w:val="21"/>
          <w:highlight w:val="none"/>
        </w:rPr>
        <w:t xml:space="preserve">。 </w:t>
      </w:r>
    </w:p>
    <w:p w14:paraId="1D3D3AF6">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代理人无转委托权。</w:t>
      </w:r>
    </w:p>
    <w:p w14:paraId="0050A3A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p>
    <w:p w14:paraId="6EF151B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highlight w:val="none"/>
        </w:rPr>
      </w:pPr>
      <w:r>
        <w:rPr>
          <w:rFonts w:ascii="宋体" w:hAnsi="宋体"/>
          <w:kern w:val="0"/>
          <w:szCs w:val="21"/>
          <w:highlight w:val="none"/>
        </w:rPr>
        <w:t>投  标  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ascii="宋体" w:hAnsi="宋体"/>
          <w:spacing w:val="-1"/>
          <w:kern w:val="0"/>
          <w:szCs w:val="21"/>
          <w:highlight w:val="none"/>
        </w:rPr>
        <w:t>盖单位法人章</w:t>
      </w:r>
      <w:r>
        <w:rPr>
          <w:rFonts w:ascii="宋体" w:hAnsi="宋体"/>
          <w:kern w:val="0"/>
          <w:szCs w:val="21"/>
          <w:highlight w:val="none"/>
        </w:rPr>
        <w:t>）</w:t>
      </w:r>
    </w:p>
    <w:p w14:paraId="342F826E">
      <w:pPr>
        <w:tabs>
          <w:tab w:val="left" w:pos="630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ascii="宋体" w:hAnsi="宋体"/>
          <w:kern w:val="0"/>
          <w:szCs w:val="21"/>
          <w:highlight w:val="none"/>
        </w:rPr>
        <w:t>法定代表人：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ascii="宋体" w:hAnsi="宋体"/>
          <w:kern w:val="0"/>
          <w:szCs w:val="21"/>
          <w:highlight w:val="none"/>
        </w:rPr>
        <w:t>或盖章）</w:t>
      </w:r>
    </w:p>
    <w:p w14:paraId="091EAAA2">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u w:val="single"/>
        </w:rPr>
      </w:pPr>
      <w:r>
        <w:rPr>
          <w:rFonts w:ascii="宋体" w:hAnsi="宋体"/>
          <w:kern w:val="0"/>
          <w:szCs w:val="21"/>
          <w:highlight w:val="none"/>
        </w:rPr>
        <w:t>身份证号码：</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p>
    <w:p w14:paraId="46DB94E6">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ascii="宋体" w:hAnsi="宋体"/>
          <w:kern w:val="0"/>
          <w:szCs w:val="21"/>
          <w:highlight w:val="none"/>
        </w:rPr>
        <w:t>委托代理人：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hint="eastAsia" w:ascii="宋体" w:hAnsi="宋体"/>
          <w:spacing w:val="-1"/>
          <w:kern w:val="0"/>
          <w:szCs w:val="21"/>
          <w:highlight w:val="none"/>
        </w:rPr>
        <w:t>）</w:t>
      </w:r>
    </w:p>
    <w:p w14:paraId="396D4DCA">
      <w:pPr>
        <w:tabs>
          <w:tab w:val="left" w:pos="6825"/>
        </w:tabs>
        <w:autoSpaceDE w:val="0"/>
        <w:autoSpaceDN w:val="0"/>
        <w:adjustRightInd w:val="0"/>
        <w:snapToGrid w:val="0"/>
        <w:spacing w:line="480" w:lineRule="auto"/>
        <w:ind w:firstLine="420" w:firstLineChars="200"/>
        <w:jc w:val="left"/>
        <w:rPr>
          <w:rFonts w:ascii="宋体" w:hAnsi="宋体"/>
          <w:w w:val="200"/>
          <w:kern w:val="0"/>
          <w:szCs w:val="21"/>
          <w:highlight w:val="none"/>
          <w:u w:val="single"/>
        </w:rPr>
      </w:pPr>
      <w:r>
        <w:rPr>
          <w:rFonts w:ascii="宋体" w:hAnsi="宋体"/>
          <w:kern w:val="0"/>
          <w:szCs w:val="21"/>
          <w:highlight w:val="none"/>
        </w:rPr>
        <w:t>身份证号码：</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p>
    <w:p w14:paraId="75F2A93F">
      <w:pPr>
        <w:tabs>
          <w:tab w:val="left" w:pos="6825"/>
        </w:tabs>
        <w:autoSpaceDE w:val="0"/>
        <w:autoSpaceDN w:val="0"/>
        <w:adjustRightInd w:val="0"/>
        <w:snapToGrid w:val="0"/>
        <w:spacing w:line="480" w:lineRule="auto"/>
        <w:ind w:firstLine="420" w:firstLineChars="200"/>
        <w:jc w:val="left"/>
        <w:rPr>
          <w:rFonts w:ascii="宋体" w:hAnsi="宋体"/>
          <w:kern w:val="0"/>
          <w:szCs w:val="21"/>
          <w:highlight w:val="none"/>
          <w:u w:val="single"/>
        </w:rPr>
      </w:pPr>
      <w:r>
        <w:rPr>
          <w:rFonts w:hint="eastAsia" w:ascii="宋体" w:hAnsi="宋体"/>
          <w:kern w:val="0"/>
          <w:szCs w:val="21"/>
          <w:highlight w:val="none"/>
        </w:rPr>
        <w:t>单位电话（座机）：</w:t>
      </w:r>
      <w:r>
        <w:rPr>
          <w:rFonts w:hint="eastAsia" w:ascii="宋体" w:hAnsi="宋体"/>
          <w:kern w:val="0"/>
          <w:szCs w:val="21"/>
          <w:highlight w:val="none"/>
          <w:u w:val="single"/>
        </w:rPr>
        <w:t xml:space="preserve">                              </w:t>
      </w:r>
    </w:p>
    <w:p w14:paraId="7BEB0C3A">
      <w:pPr>
        <w:tabs>
          <w:tab w:val="left" w:pos="5260"/>
        </w:tabs>
        <w:autoSpaceDE w:val="0"/>
        <w:autoSpaceDN w:val="0"/>
        <w:adjustRightInd w:val="0"/>
        <w:snapToGrid w:val="0"/>
        <w:spacing w:line="480" w:lineRule="auto"/>
        <w:ind w:firstLine="420" w:firstLineChars="200"/>
        <w:jc w:val="left"/>
        <w:rPr>
          <w:rFonts w:ascii="宋体" w:hAnsi="宋体"/>
          <w:kern w:val="0"/>
          <w:szCs w:val="21"/>
          <w:highlight w:val="none"/>
        </w:rPr>
      </w:pPr>
      <w:r>
        <w:rPr>
          <w:rFonts w:hint="eastAsia" w:ascii="宋体" w:hAnsi="宋体"/>
          <w:kern w:val="0"/>
          <w:szCs w:val="21"/>
          <w:highlight w:val="none"/>
        </w:rPr>
        <w:t xml:space="preserve">委托代理人电话（手机）：                                          </w:t>
      </w:r>
    </w:p>
    <w:p w14:paraId="6C864DE0">
      <w:pPr>
        <w:autoSpaceDE w:val="0"/>
        <w:autoSpaceDN w:val="0"/>
        <w:adjustRightInd w:val="0"/>
        <w:snapToGrid w:val="0"/>
        <w:spacing w:line="480" w:lineRule="auto"/>
        <w:ind w:firstLine="810" w:firstLineChars="386"/>
        <w:jc w:val="left"/>
        <w:rPr>
          <w:rFonts w:ascii="宋体" w:hAnsi="宋体"/>
          <w:kern w:val="0"/>
          <w:szCs w:val="21"/>
          <w:highlight w:val="none"/>
        </w:rPr>
      </w:pPr>
      <w:r>
        <w:rPr>
          <w:rFonts w:hint="eastAsia" w:ascii="宋体" w:hAnsi="宋体"/>
          <w:kern w:val="0"/>
          <w:szCs w:val="21"/>
          <w:highlight w:val="none"/>
        </w:rPr>
        <w:t>附：法定代表人和委托代理人身份证</w:t>
      </w:r>
      <w:r>
        <w:rPr>
          <w:rFonts w:hint="eastAsia" w:ascii="宋体" w:hAnsi="宋体"/>
          <w:kern w:val="0"/>
          <w:szCs w:val="21"/>
          <w:highlight w:val="none"/>
          <w:lang w:val="en-US" w:eastAsia="zh-CN"/>
        </w:rPr>
        <w:t>明</w:t>
      </w:r>
      <w:r>
        <w:rPr>
          <w:rFonts w:hint="eastAsia" w:ascii="宋体" w:hAnsi="宋体"/>
          <w:kern w:val="0"/>
          <w:szCs w:val="21"/>
          <w:highlight w:val="none"/>
        </w:rPr>
        <w:t>扫描件（双面）</w:t>
      </w:r>
    </w:p>
    <w:p w14:paraId="78D30760">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highlight w:val="none"/>
          <w:u w:val="single"/>
        </w:rPr>
      </w:pPr>
    </w:p>
    <w:p w14:paraId="3E9E1F0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19BD463D">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4828F938">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7EFEE660">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36399B0D">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highlight w:val="none"/>
          <w:u w:val="single"/>
        </w:rPr>
      </w:pPr>
    </w:p>
    <w:p w14:paraId="0261717D">
      <w:pPr>
        <w:tabs>
          <w:tab w:val="left" w:pos="6825"/>
        </w:tabs>
        <w:autoSpaceDE w:val="0"/>
        <w:autoSpaceDN w:val="0"/>
        <w:adjustRightInd w:val="0"/>
        <w:snapToGrid w:val="0"/>
        <w:spacing w:line="480" w:lineRule="auto"/>
        <w:ind w:firstLine="420" w:firstLineChars="200"/>
        <w:jc w:val="left"/>
        <w:rPr>
          <w:rFonts w:ascii="宋体" w:hAnsi="宋体"/>
          <w:kern w:val="0"/>
          <w:szCs w:val="21"/>
          <w:highlight w:val="none"/>
        </w:rPr>
      </w:pPr>
    </w:p>
    <w:p w14:paraId="3CF34461">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highlight w:val="none"/>
        </w:rPr>
      </w:pPr>
      <w:r>
        <w:rPr>
          <w:rFonts w:hint="eastAsia" w:ascii="宋体" w:hAnsi="宋体"/>
          <w:w w:val="200"/>
          <w:kern w:val="0"/>
          <w:szCs w:val="21"/>
          <w:highlight w:val="none"/>
          <w:u w:val="single"/>
        </w:rPr>
        <w:t xml:space="preserve">  </w:t>
      </w:r>
      <w:r>
        <w:rPr>
          <w:rFonts w:ascii="宋体" w:hAnsi="宋体"/>
          <w:kern w:val="0"/>
          <w:szCs w:val="21"/>
          <w:highlight w:val="none"/>
        </w:rPr>
        <w:t>年</w:t>
      </w:r>
      <w:r>
        <w:rPr>
          <w:rFonts w:hint="eastAsia" w:ascii="宋体" w:hAnsi="宋体"/>
          <w:w w:val="200"/>
          <w:kern w:val="0"/>
          <w:szCs w:val="21"/>
          <w:highlight w:val="none"/>
          <w:u w:val="single"/>
        </w:rPr>
        <w:t xml:space="preserve">  </w:t>
      </w:r>
      <w:r>
        <w:rPr>
          <w:rFonts w:ascii="宋体" w:hAnsi="宋体"/>
          <w:kern w:val="0"/>
          <w:szCs w:val="21"/>
          <w:highlight w:val="none"/>
        </w:rPr>
        <w:t>月</w:t>
      </w:r>
      <w:r>
        <w:rPr>
          <w:rFonts w:hint="eastAsia" w:ascii="宋体" w:hAnsi="宋体"/>
          <w:w w:val="200"/>
          <w:kern w:val="0"/>
          <w:szCs w:val="21"/>
          <w:highlight w:val="none"/>
          <w:u w:val="single"/>
        </w:rPr>
        <w:t xml:space="preserve">  </w:t>
      </w:r>
      <w:r>
        <w:rPr>
          <w:rFonts w:ascii="宋体" w:hAnsi="宋体"/>
          <w:kern w:val="0"/>
          <w:szCs w:val="21"/>
          <w:highlight w:val="none"/>
        </w:rPr>
        <w:t>日</w:t>
      </w:r>
      <w:r>
        <w:rPr>
          <w:rFonts w:hint="eastAsia" w:ascii="宋体" w:hAnsi="宋体"/>
          <w:kern w:val="0"/>
          <w:szCs w:val="21"/>
          <w:highlight w:val="none"/>
        </w:rPr>
        <w:t xml:space="preserve"> </w:t>
      </w:r>
    </w:p>
    <w:p w14:paraId="501FA3D8">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highlight w:val="none"/>
        </w:rPr>
      </w:pPr>
    </w:p>
    <w:p w14:paraId="2A8875FF">
      <w:pPr>
        <w:tabs>
          <w:tab w:val="left" w:pos="5760"/>
        </w:tabs>
        <w:autoSpaceDE w:val="0"/>
        <w:autoSpaceDN w:val="0"/>
        <w:adjustRightInd w:val="0"/>
        <w:spacing w:line="360" w:lineRule="auto"/>
        <w:ind w:firstLine="420" w:firstLineChars="200"/>
        <w:rPr>
          <w:rFonts w:ascii="宋体" w:hAnsi="宋体"/>
          <w:kern w:val="0"/>
          <w:highlight w:val="none"/>
        </w:rPr>
      </w:pPr>
    </w:p>
    <w:p w14:paraId="52550357">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highlight w:val="none"/>
        </w:rPr>
      </w:pPr>
      <w:r>
        <w:rPr>
          <w:rFonts w:ascii="宋体" w:hAnsi="宋体"/>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14:paraId="19778234">
      <w:pPr>
        <w:autoSpaceDE w:val="0"/>
        <w:autoSpaceDN w:val="0"/>
        <w:adjustRightInd w:val="0"/>
        <w:snapToGrid w:val="0"/>
        <w:spacing w:line="360" w:lineRule="auto"/>
        <w:ind w:firstLine="420" w:firstLineChars="200"/>
        <w:rPr>
          <w:rFonts w:ascii="宋体" w:hAnsi="宋体"/>
          <w:highlight w:val="none"/>
        </w:rPr>
      </w:pPr>
      <w:r>
        <w:rPr>
          <w:rFonts w:hint="eastAsia" w:ascii="宋体" w:hAnsi="宋体"/>
          <w:kern w:val="0"/>
          <w:szCs w:val="21"/>
          <w:highlight w:val="none"/>
        </w:rPr>
        <w:t>2.</w:t>
      </w:r>
      <w:r>
        <w:rPr>
          <w:rFonts w:hint="eastAsia" w:ascii="宋体" w:hAnsi="宋体"/>
          <w:highlight w:val="none"/>
        </w:rPr>
        <w:t>授权委托书</w:t>
      </w:r>
      <w:r>
        <w:rPr>
          <w:rFonts w:ascii="宋体" w:hAnsi="宋体"/>
          <w:highlight w:val="none"/>
        </w:rPr>
        <w:t>需按上述格式填写完整，不可缺少内容。在此基础上增加内容的不影响其有效性。</w:t>
      </w:r>
    </w:p>
    <w:p w14:paraId="53868CA7">
      <w:pPr>
        <w:autoSpaceDE w:val="0"/>
        <w:autoSpaceDN w:val="0"/>
        <w:adjustRightInd w:val="0"/>
        <w:snapToGrid w:val="0"/>
        <w:jc w:val="center"/>
        <w:rPr>
          <w:rFonts w:ascii="宋体" w:hAnsi="宋体"/>
          <w:highlight w:val="none"/>
        </w:rPr>
      </w:pPr>
      <w:r>
        <w:rPr>
          <w:rFonts w:ascii="宋体" w:hAnsi="宋体"/>
          <w:highlight w:val="none"/>
        </w:rPr>
        <w:br w:type="page"/>
      </w:r>
    </w:p>
    <w:p w14:paraId="3BE6AF26">
      <w:pPr>
        <w:pStyle w:val="5"/>
        <w:spacing w:before="0" w:after="0" w:line="240" w:lineRule="auto"/>
        <w:jc w:val="center"/>
        <w:rPr>
          <w:rFonts w:hint="default" w:ascii="宋体" w:hAnsi="宋体"/>
          <w:b w:val="0"/>
          <w:bCs w:val="0"/>
          <w:highlight w:val="none"/>
          <w:lang w:val="en-US" w:eastAsia="zh-CN"/>
        </w:rPr>
      </w:pPr>
      <w:bookmarkStart w:id="2292" w:name="_Toc6216"/>
      <w:bookmarkStart w:id="2293" w:name="_Toc24592"/>
      <w:bookmarkStart w:id="2294" w:name="_Toc23584"/>
      <w:r>
        <w:rPr>
          <w:rFonts w:hint="eastAsia" w:ascii="宋体" w:hAnsi="宋体"/>
          <w:b w:val="0"/>
          <w:bCs w:val="0"/>
          <w:highlight w:val="none"/>
          <w:lang w:eastAsia="zh-CN"/>
        </w:rPr>
        <w:t>（</w:t>
      </w:r>
      <w:r>
        <w:rPr>
          <w:rFonts w:hint="eastAsia" w:ascii="宋体" w:hAnsi="宋体"/>
          <w:b w:val="0"/>
          <w:bCs w:val="0"/>
          <w:highlight w:val="none"/>
          <w:lang w:val="en-US" w:eastAsia="zh-CN"/>
        </w:rPr>
        <w:t>二</w:t>
      </w:r>
      <w:r>
        <w:rPr>
          <w:rFonts w:hint="eastAsia" w:ascii="宋体" w:hAnsi="宋体"/>
          <w:b w:val="0"/>
          <w:bCs w:val="0"/>
          <w:highlight w:val="none"/>
          <w:lang w:eastAsia="zh-CN"/>
        </w:rPr>
        <w:t>）</w:t>
      </w:r>
      <w:r>
        <w:rPr>
          <w:rFonts w:hint="eastAsia" w:ascii="宋体" w:hAnsi="宋体"/>
          <w:b w:val="0"/>
          <w:bCs w:val="0"/>
          <w:highlight w:val="none"/>
          <w:lang w:val="en-US" w:eastAsia="zh-CN"/>
        </w:rPr>
        <w:t>承诺</w:t>
      </w:r>
      <w:bookmarkEnd w:id="2292"/>
      <w:bookmarkEnd w:id="2293"/>
    </w:p>
    <w:p w14:paraId="447BD564">
      <w:pPr>
        <w:snapToGrid w:val="0"/>
        <w:spacing w:line="380" w:lineRule="exact"/>
        <w:rPr>
          <w:rFonts w:ascii="宋体" w:hAnsi="宋体"/>
          <w:szCs w:val="21"/>
          <w:highlight w:val="none"/>
          <w:u w:val="single"/>
        </w:rPr>
      </w:pPr>
      <w:r>
        <w:rPr>
          <w:rFonts w:hint="eastAsia" w:ascii="宋体" w:hAnsi="宋体"/>
          <w:szCs w:val="21"/>
          <w:highlight w:val="none"/>
          <w:u w:val="single"/>
        </w:rPr>
        <w:t xml:space="preserve">        （</w:t>
      </w:r>
      <w:r>
        <w:rPr>
          <w:rFonts w:hint="eastAsia" w:ascii="宋体" w:hAnsi="宋体"/>
          <w:szCs w:val="21"/>
          <w:highlight w:val="none"/>
          <w:u w:val="single"/>
          <w:lang w:eastAsia="zh-CN"/>
        </w:rPr>
        <w:t>比选人</w:t>
      </w:r>
      <w:r>
        <w:rPr>
          <w:rFonts w:hint="eastAsia" w:ascii="宋体" w:hAnsi="宋体"/>
          <w:szCs w:val="21"/>
          <w:highlight w:val="none"/>
          <w:u w:val="single"/>
        </w:rPr>
        <w:t>名称</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有两个及以上</w:t>
      </w:r>
      <w:r>
        <w:rPr>
          <w:rFonts w:hint="eastAsia" w:ascii="宋体" w:hAnsi="宋体"/>
          <w:color w:val="auto"/>
          <w:szCs w:val="21"/>
          <w:highlight w:val="none"/>
          <w:u w:val="single"/>
          <w:lang w:eastAsia="zh-CN"/>
        </w:rPr>
        <w:t>比选人</w:t>
      </w:r>
      <w:r>
        <w:rPr>
          <w:rFonts w:hint="eastAsia" w:ascii="宋体" w:hAnsi="宋体"/>
          <w:color w:val="auto"/>
          <w:szCs w:val="21"/>
          <w:highlight w:val="none"/>
          <w:u w:val="single"/>
        </w:rPr>
        <w:t>的，请填写所有</w:t>
      </w:r>
      <w:r>
        <w:rPr>
          <w:rFonts w:hint="eastAsia" w:ascii="宋体" w:hAnsi="宋体"/>
          <w:color w:val="auto"/>
          <w:szCs w:val="21"/>
          <w:highlight w:val="none"/>
          <w:u w:val="single"/>
          <w:lang w:eastAsia="zh-CN"/>
        </w:rPr>
        <w:t>比选人名称</w:t>
      </w:r>
      <w:r>
        <w:rPr>
          <w:rFonts w:hint="eastAsia" w:ascii="宋体" w:hAnsi="宋体"/>
          <w:szCs w:val="21"/>
          <w:highlight w:val="none"/>
          <w:u w:val="single"/>
        </w:rPr>
        <w:t>）</w:t>
      </w:r>
      <w:r>
        <w:rPr>
          <w:rFonts w:hint="eastAsia" w:ascii="宋体" w:hAnsi="宋体"/>
          <w:szCs w:val="21"/>
          <w:highlight w:val="none"/>
        </w:rPr>
        <w:t>：</w:t>
      </w:r>
    </w:p>
    <w:p w14:paraId="56058D99">
      <w:pPr>
        <w:snapToGrid w:val="0"/>
        <w:spacing w:line="380" w:lineRule="exact"/>
        <w:ind w:firstLine="420" w:firstLineChars="200"/>
        <w:rPr>
          <w:rFonts w:ascii="宋体" w:hAnsi="宋体"/>
          <w:szCs w:val="21"/>
          <w:highlight w:val="none"/>
        </w:rPr>
      </w:pPr>
      <w:r>
        <w:rPr>
          <w:rFonts w:hint="eastAsia" w:ascii="宋体" w:hAnsi="宋体"/>
          <w:szCs w:val="21"/>
          <w:highlight w:val="none"/>
        </w:rPr>
        <w:t>我公司</w:t>
      </w:r>
      <w:r>
        <w:rPr>
          <w:rFonts w:hint="eastAsia" w:ascii="宋体" w:hAnsi="宋体"/>
          <w:szCs w:val="21"/>
          <w:highlight w:val="none"/>
          <w:u w:val="single"/>
        </w:rPr>
        <w:t xml:space="preserve">        （</w:t>
      </w:r>
      <w:r>
        <w:rPr>
          <w:rFonts w:hint="eastAsia" w:ascii="宋体" w:hAnsi="宋体"/>
          <w:szCs w:val="21"/>
          <w:highlight w:val="none"/>
          <w:u w:val="single"/>
          <w:lang w:eastAsia="zh-CN"/>
        </w:rPr>
        <w:t>比选申请人</w:t>
      </w:r>
      <w:r>
        <w:rPr>
          <w:rFonts w:hint="eastAsia" w:ascii="宋体" w:hAnsi="宋体"/>
          <w:szCs w:val="21"/>
          <w:highlight w:val="none"/>
          <w:u w:val="single"/>
        </w:rPr>
        <w:t>名称）</w:t>
      </w:r>
      <w:r>
        <w:rPr>
          <w:rFonts w:hint="eastAsia" w:ascii="宋体" w:hAnsi="宋体"/>
          <w:szCs w:val="21"/>
          <w:highlight w:val="none"/>
        </w:rPr>
        <w:t>参加了贵单位</w:t>
      </w:r>
      <w:r>
        <w:rPr>
          <w:rFonts w:hint="eastAsia" w:ascii="宋体" w:hAnsi="宋体"/>
          <w:szCs w:val="21"/>
          <w:highlight w:val="none"/>
          <w:u w:val="single"/>
        </w:rPr>
        <w:t xml:space="preserve">        （项目名称）</w:t>
      </w:r>
      <w:r>
        <w:rPr>
          <w:rFonts w:hint="eastAsia" w:ascii="宋体" w:hAnsi="宋体"/>
          <w:szCs w:val="21"/>
          <w:highlight w:val="none"/>
        </w:rPr>
        <w:t>的投标，自愿作出以下承诺：</w:t>
      </w:r>
    </w:p>
    <w:p w14:paraId="7CE6C089">
      <w:pPr>
        <w:snapToGrid w:val="0"/>
        <w:spacing w:line="380" w:lineRule="exact"/>
        <w:ind w:firstLine="420" w:firstLineChars="200"/>
        <w:rPr>
          <w:rFonts w:ascii="宋体" w:hAnsi="宋体"/>
          <w:szCs w:val="21"/>
          <w:highlight w:val="none"/>
        </w:rPr>
      </w:pPr>
      <w:r>
        <w:rPr>
          <w:rFonts w:hint="eastAsia" w:ascii="宋体" w:hAnsi="宋体"/>
          <w:szCs w:val="21"/>
          <w:highlight w:val="none"/>
        </w:rPr>
        <w:t>1、投标截止日投标资格情况不存在下列情形之一：</w:t>
      </w:r>
    </w:p>
    <w:p w14:paraId="3E51BE8E">
      <w:pPr>
        <w:snapToGrid w:val="0"/>
        <w:spacing w:line="380" w:lineRule="exact"/>
        <w:ind w:firstLine="420" w:firstLineChars="200"/>
        <w:rPr>
          <w:rFonts w:ascii="宋体" w:hAnsi="宋体"/>
          <w:szCs w:val="21"/>
          <w:highlight w:val="none"/>
        </w:rPr>
      </w:pPr>
      <w:r>
        <w:rPr>
          <w:rFonts w:hint="eastAsia" w:ascii="宋体" w:hAnsi="宋体"/>
          <w:szCs w:val="21"/>
          <w:highlight w:val="none"/>
        </w:rPr>
        <w:t>（1）被人民法院列入失信被执行人名单且在被执行期内；</w:t>
      </w:r>
    </w:p>
    <w:p w14:paraId="05101592">
      <w:pPr>
        <w:snapToGrid w:val="0"/>
        <w:spacing w:line="380" w:lineRule="exact"/>
        <w:ind w:firstLine="420" w:firstLineChars="200"/>
        <w:rPr>
          <w:rFonts w:hint="eastAsia" w:ascii="宋体" w:hAnsi="宋体"/>
          <w:szCs w:val="21"/>
          <w:highlight w:val="none"/>
          <w:lang w:val="en-US" w:eastAsia="zh-CN"/>
        </w:rPr>
      </w:pPr>
      <w:r>
        <w:rPr>
          <w:rFonts w:hint="eastAsia" w:ascii="宋体" w:hAnsi="宋体"/>
          <w:szCs w:val="21"/>
          <w:highlight w:val="none"/>
        </w:rPr>
        <w:t>（</w:t>
      </w:r>
      <w:r>
        <w:rPr>
          <w:rFonts w:hint="eastAsia" w:ascii="宋体" w:hAnsi="宋体"/>
          <w:szCs w:val="21"/>
          <w:highlight w:val="none"/>
          <w:lang w:val="en-US" w:eastAsia="zh-CN"/>
        </w:rPr>
        <w:t>2</w:t>
      </w:r>
      <w:r>
        <w:rPr>
          <w:rFonts w:hint="eastAsia" w:ascii="宋体" w:hAnsi="宋体"/>
          <w:szCs w:val="21"/>
          <w:highlight w:val="none"/>
        </w:rPr>
        <w:t>）被国家、重庆市（含市或任意区县）有关行政部门处以暂停投标资格行政处罚</w:t>
      </w:r>
      <w:r>
        <w:rPr>
          <w:rFonts w:hint="eastAsia" w:ascii="宋体" w:hAnsi="宋体" w:eastAsia="宋体" w:cs="Times New Roman"/>
          <w:color w:val="auto"/>
          <w:sz w:val="21"/>
          <w:szCs w:val="21"/>
          <w:highlight w:val="none"/>
          <w:lang w:val="en-US" w:eastAsia="zh-CN"/>
        </w:rPr>
        <w:t>或暂停在渝承揽新业务，且在暂停期限内</w:t>
      </w:r>
      <w:r>
        <w:rPr>
          <w:rFonts w:hint="eastAsia" w:ascii="宋体" w:hAnsi="宋体"/>
          <w:szCs w:val="21"/>
          <w:highlight w:val="none"/>
          <w:lang w:val="en-US" w:eastAsia="zh-CN"/>
        </w:rPr>
        <w:t>；</w:t>
      </w:r>
    </w:p>
    <w:p w14:paraId="1E07648F">
      <w:pPr>
        <w:snapToGrid w:val="0"/>
        <w:spacing w:line="380" w:lineRule="exact"/>
        <w:ind w:firstLine="420" w:firstLineChars="200"/>
        <w:rPr>
          <w:rFonts w:hint="default" w:ascii="宋体" w:hAnsi="宋体" w:eastAsia="宋体"/>
          <w:szCs w:val="21"/>
          <w:highlight w:val="none"/>
          <w:lang w:val="en-US" w:eastAsia="zh-CN"/>
        </w:rPr>
      </w:pPr>
      <w:r>
        <w:rPr>
          <w:rFonts w:hint="eastAsia" w:ascii="宋体" w:hAnsi="宋体"/>
          <w:szCs w:val="21"/>
          <w:highlight w:val="none"/>
          <w:lang w:val="en-US" w:eastAsia="zh-CN"/>
        </w:rPr>
        <w:t>（3）</w:t>
      </w:r>
      <w:r>
        <w:rPr>
          <w:rFonts w:hint="eastAsia" w:ascii="宋体" w:hAnsi="宋体" w:eastAsia="宋体" w:cs="宋体"/>
          <w:kern w:val="0"/>
          <w:highlight w:val="none"/>
        </w:rPr>
        <w:t>第二章“</w:t>
      </w:r>
      <w:r>
        <w:rPr>
          <w:rFonts w:hint="eastAsia" w:ascii="宋体" w:hAnsi="宋体" w:cs="宋体"/>
          <w:kern w:val="0"/>
          <w:highlight w:val="none"/>
          <w:lang w:eastAsia="zh-CN"/>
        </w:rPr>
        <w:t>比选申请人</w:t>
      </w:r>
      <w:r>
        <w:rPr>
          <w:rFonts w:hint="eastAsia" w:ascii="宋体" w:hAnsi="宋体" w:eastAsia="宋体" w:cs="宋体"/>
          <w:kern w:val="0"/>
          <w:highlight w:val="none"/>
        </w:rPr>
        <w:t>须知”第1.4.3项规定</w:t>
      </w:r>
      <w:r>
        <w:rPr>
          <w:rFonts w:hint="eastAsia" w:ascii="宋体" w:hAnsi="宋体" w:eastAsia="宋体" w:cs="宋体"/>
          <w:kern w:val="0"/>
          <w:highlight w:val="none"/>
          <w:lang w:val="en-US" w:eastAsia="zh-CN"/>
        </w:rPr>
        <w:t>的情形之一</w:t>
      </w:r>
      <w:r>
        <w:rPr>
          <w:rFonts w:hint="eastAsia" w:ascii="宋体" w:hAnsi="宋体" w:eastAsia="宋体" w:cs="宋体"/>
          <w:kern w:val="0"/>
          <w:highlight w:val="none"/>
          <w:lang w:eastAsia="zh-CN"/>
        </w:rPr>
        <w:t>；</w:t>
      </w:r>
      <w:r>
        <w:rPr>
          <w:rFonts w:hint="eastAsia" w:ascii="宋体" w:hAnsi="宋体" w:eastAsia="宋体" w:cs="宋体"/>
          <w:kern w:val="0"/>
          <w:highlight w:val="none"/>
          <w:lang w:val="en-US" w:eastAsia="zh-CN"/>
        </w:rPr>
        <w:t>第二章“</w:t>
      </w:r>
      <w:r>
        <w:rPr>
          <w:rFonts w:hint="eastAsia" w:ascii="宋体" w:hAnsi="宋体" w:cs="宋体"/>
          <w:kern w:val="0"/>
          <w:highlight w:val="none"/>
          <w:lang w:val="en-US" w:eastAsia="zh-CN"/>
        </w:rPr>
        <w:t>比选申请人</w:t>
      </w:r>
      <w:r>
        <w:rPr>
          <w:rFonts w:hint="eastAsia" w:ascii="宋体" w:hAnsi="宋体" w:eastAsia="宋体" w:cs="宋体"/>
          <w:kern w:val="0"/>
          <w:highlight w:val="none"/>
          <w:lang w:val="en-US" w:eastAsia="zh-CN"/>
        </w:rPr>
        <w:t>须知”第9.2款规定的情形之一</w:t>
      </w:r>
      <w:r>
        <w:rPr>
          <w:rFonts w:hint="eastAsia" w:ascii="宋体" w:hAnsi="宋体" w:cs="宋体"/>
          <w:kern w:val="0"/>
          <w:highlight w:val="none"/>
          <w:lang w:val="en-US" w:eastAsia="zh-CN"/>
        </w:rPr>
        <w:t>。</w:t>
      </w:r>
    </w:p>
    <w:p w14:paraId="1CBB5849">
      <w:pPr>
        <w:snapToGrid w:val="0"/>
        <w:spacing w:line="380" w:lineRule="exact"/>
        <w:ind w:firstLine="420" w:firstLineChars="200"/>
        <w:rPr>
          <w:rFonts w:ascii="宋体" w:hAnsi="宋体"/>
          <w:szCs w:val="21"/>
          <w:highlight w:val="none"/>
        </w:rPr>
      </w:pPr>
      <w:r>
        <w:rPr>
          <w:rFonts w:hint="eastAsia" w:ascii="宋体" w:hAnsi="宋体"/>
          <w:szCs w:val="21"/>
          <w:highlight w:val="none"/>
        </w:rPr>
        <w:t>2、我公司拟派的项目经理按注册建造师的相关规定到岗履职和未被禁止参与投标。</w:t>
      </w:r>
    </w:p>
    <w:p w14:paraId="7E0711EC">
      <w:pPr>
        <w:snapToGrid w:val="0"/>
        <w:spacing w:line="380" w:lineRule="exact"/>
        <w:ind w:firstLine="420" w:firstLineChars="200"/>
        <w:rPr>
          <w:rFonts w:ascii="宋体" w:hAnsi="宋体"/>
          <w:szCs w:val="21"/>
          <w:highlight w:val="none"/>
        </w:rPr>
      </w:pPr>
      <w:r>
        <w:rPr>
          <w:rFonts w:hint="eastAsia" w:ascii="宋体" w:hAnsi="宋体"/>
          <w:szCs w:val="21"/>
          <w:highlight w:val="none"/>
        </w:rPr>
        <w:t>2.1拟派的项目经理中标后在本项目任职，签订合同时拟派的项目经理必须与</w:t>
      </w:r>
      <w:r>
        <w:rPr>
          <w:rFonts w:hint="eastAsia" w:ascii="宋体" w:hAnsi="宋体"/>
          <w:szCs w:val="21"/>
          <w:highlight w:val="none"/>
          <w:lang w:eastAsia="zh-CN"/>
        </w:rPr>
        <w:t>比选申请文件</w:t>
      </w:r>
      <w:r>
        <w:rPr>
          <w:rFonts w:hint="eastAsia" w:ascii="宋体" w:hAnsi="宋体"/>
          <w:szCs w:val="21"/>
          <w:highlight w:val="none"/>
        </w:rPr>
        <w:t>中的项目经理一致，并满足办理施工许可手续的相关要求。不能按承诺到岗</w:t>
      </w:r>
      <w:r>
        <w:rPr>
          <w:rFonts w:hint="eastAsia" w:ascii="宋体" w:hAnsi="宋体"/>
          <w:szCs w:val="21"/>
          <w:highlight w:val="none"/>
          <w:lang w:val="en-US" w:eastAsia="zh-CN"/>
        </w:rPr>
        <w:t>履职</w:t>
      </w:r>
      <w:r>
        <w:rPr>
          <w:rFonts w:hint="eastAsia" w:ascii="宋体" w:hAnsi="宋体"/>
          <w:szCs w:val="21"/>
          <w:highlight w:val="none"/>
        </w:rPr>
        <w:t>的，</w:t>
      </w:r>
      <w:r>
        <w:rPr>
          <w:rFonts w:hint="eastAsia" w:ascii="宋体" w:hAnsi="宋体"/>
          <w:szCs w:val="21"/>
          <w:highlight w:val="none"/>
          <w:lang w:val="en-US" w:eastAsia="zh-CN"/>
        </w:rPr>
        <w:t>贵单位</w:t>
      </w:r>
      <w:r>
        <w:rPr>
          <w:rFonts w:hint="eastAsia" w:ascii="宋体" w:hAnsi="宋体"/>
          <w:szCs w:val="21"/>
          <w:highlight w:val="none"/>
        </w:rPr>
        <w:t>按合同相关条款</w:t>
      </w:r>
      <w:r>
        <w:rPr>
          <w:rFonts w:hint="eastAsia" w:ascii="宋体" w:hAnsi="宋体"/>
          <w:szCs w:val="21"/>
          <w:highlight w:val="none"/>
          <w:lang w:val="en-US" w:eastAsia="zh-CN"/>
        </w:rPr>
        <w:t>要求我公司承担责任</w:t>
      </w:r>
      <w:r>
        <w:rPr>
          <w:rFonts w:hint="eastAsia" w:ascii="宋体" w:hAnsi="宋体"/>
          <w:szCs w:val="21"/>
          <w:highlight w:val="none"/>
        </w:rPr>
        <w:t>并上报行政主管部门，给贵单位造成损失的，我公司依法承担赔偿责任</w:t>
      </w:r>
      <w:r>
        <w:rPr>
          <w:rFonts w:hint="eastAsia" w:ascii="宋体" w:hAnsi="宋体"/>
          <w:szCs w:val="21"/>
          <w:highlight w:val="none"/>
          <w:lang w:val="en-US" w:eastAsia="zh-CN"/>
        </w:rPr>
        <w:t>或违约责任</w:t>
      </w:r>
      <w:r>
        <w:rPr>
          <w:rFonts w:hint="eastAsia" w:ascii="宋体" w:hAnsi="宋体"/>
          <w:szCs w:val="21"/>
          <w:highlight w:val="none"/>
        </w:rPr>
        <w:t>。拟派的项目经理中标后不得随意更换。</w:t>
      </w:r>
    </w:p>
    <w:p w14:paraId="47B15EB5">
      <w:pPr>
        <w:snapToGrid w:val="0"/>
        <w:spacing w:line="380" w:lineRule="exact"/>
        <w:ind w:firstLine="420" w:firstLineChars="200"/>
        <w:rPr>
          <w:rFonts w:ascii="宋体" w:hAnsi="宋体"/>
          <w:szCs w:val="21"/>
          <w:highlight w:val="none"/>
        </w:rPr>
      </w:pPr>
      <w:r>
        <w:rPr>
          <w:rFonts w:hint="eastAsia" w:ascii="宋体" w:hAnsi="宋体"/>
          <w:szCs w:val="21"/>
          <w:highlight w:val="none"/>
        </w:rPr>
        <w:t>2.2拟派的项目经理未被</w:t>
      </w:r>
      <w:r>
        <w:rPr>
          <w:rFonts w:hint="eastAsia" w:ascii="宋体" w:hAnsi="宋体"/>
          <w:szCs w:val="21"/>
          <w:highlight w:val="none"/>
          <w:lang w:val="en-US" w:eastAsia="zh-CN"/>
        </w:rPr>
        <w:t>有关</w:t>
      </w:r>
      <w:r>
        <w:rPr>
          <w:rFonts w:hint="eastAsia" w:ascii="宋体" w:hAnsi="宋体"/>
          <w:szCs w:val="21"/>
          <w:highlight w:val="none"/>
        </w:rPr>
        <w:t>部门暂停</w:t>
      </w:r>
      <w:r>
        <w:rPr>
          <w:rFonts w:hint="eastAsia" w:ascii="宋体" w:hAnsi="宋体"/>
          <w:szCs w:val="21"/>
          <w:highlight w:val="none"/>
          <w:lang w:val="en-US" w:eastAsia="zh-CN"/>
        </w:rPr>
        <w:t>其</w:t>
      </w:r>
      <w:r>
        <w:rPr>
          <w:rFonts w:hint="eastAsia" w:ascii="宋体" w:hAnsi="宋体"/>
          <w:szCs w:val="21"/>
          <w:highlight w:val="none"/>
        </w:rPr>
        <w:t>在渝承揽</w:t>
      </w:r>
      <w:r>
        <w:rPr>
          <w:rFonts w:hint="eastAsia" w:ascii="宋体" w:hAnsi="宋体"/>
          <w:szCs w:val="21"/>
          <w:highlight w:val="none"/>
          <w:lang w:val="en-US" w:eastAsia="zh-CN"/>
        </w:rPr>
        <w:t>的</w:t>
      </w:r>
      <w:r>
        <w:rPr>
          <w:rFonts w:hint="eastAsia" w:ascii="宋体" w:hAnsi="宋体"/>
          <w:szCs w:val="21"/>
          <w:highlight w:val="none"/>
        </w:rPr>
        <w:t>新业务</w:t>
      </w:r>
      <w:r>
        <w:rPr>
          <w:rFonts w:hint="eastAsia" w:ascii="宋体" w:hAnsi="宋体"/>
          <w:szCs w:val="21"/>
          <w:highlight w:val="none"/>
          <w:lang w:val="en-US" w:eastAsia="zh-CN"/>
        </w:rPr>
        <w:t>中任职</w:t>
      </w:r>
      <w:r>
        <w:rPr>
          <w:rFonts w:hint="eastAsia" w:ascii="宋体" w:hAnsi="宋体"/>
          <w:szCs w:val="21"/>
          <w:highlight w:val="none"/>
        </w:rPr>
        <w:t>，若</w:t>
      </w:r>
      <w:r>
        <w:rPr>
          <w:rFonts w:hint="eastAsia" w:ascii="宋体" w:hAnsi="宋体"/>
          <w:szCs w:val="21"/>
          <w:highlight w:val="none"/>
          <w:lang w:val="en-US" w:eastAsia="zh-CN"/>
        </w:rPr>
        <w:t>其</w:t>
      </w:r>
      <w:r>
        <w:rPr>
          <w:rFonts w:hint="eastAsia" w:ascii="宋体" w:hAnsi="宋体"/>
          <w:szCs w:val="21"/>
          <w:highlight w:val="none"/>
        </w:rPr>
        <w:t>被暂停</w:t>
      </w:r>
      <w:r>
        <w:rPr>
          <w:rFonts w:hint="eastAsia" w:ascii="宋体" w:hAnsi="宋体"/>
          <w:szCs w:val="21"/>
          <w:highlight w:val="none"/>
          <w:lang w:val="en-US" w:eastAsia="zh-CN"/>
        </w:rPr>
        <w:t>在渝承揽的新业务中任职但仍参加投标，将被否决投标</w:t>
      </w:r>
      <w:r>
        <w:rPr>
          <w:rFonts w:hint="eastAsia" w:ascii="宋体" w:hAnsi="宋体"/>
          <w:szCs w:val="21"/>
          <w:highlight w:val="none"/>
        </w:rPr>
        <w:t>；已取得中标候选人资格或中标资格的，贵单位有权取消我公司中标候选人资格或中标资格；给贵单位造成损失的，我公司依法承担赔偿责任</w:t>
      </w:r>
      <w:r>
        <w:rPr>
          <w:rFonts w:hint="eastAsia" w:ascii="宋体" w:hAnsi="宋体"/>
          <w:szCs w:val="21"/>
          <w:highlight w:val="none"/>
          <w:lang w:val="en-US" w:eastAsia="zh-CN"/>
        </w:rPr>
        <w:t>或违约责任</w:t>
      </w:r>
      <w:r>
        <w:rPr>
          <w:rFonts w:hint="eastAsia" w:ascii="宋体" w:hAnsi="宋体"/>
          <w:szCs w:val="21"/>
          <w:highlight w:val="none"/>
        </w:rPr>
        <w:t>。</w:t>
      </w:r>
    </w:p>
    <w:p w14:paraId="566BEC7F">
      <w:pPr>
        <w:snapToGrid w:val="0"/>
        <w:spacing w:line="380" w:lineRule="exact"/>
        <w:ind w:firstLine="420" w:firstLineChars="200"/>
        <w:rPr>
          <w:rFonts w:ascii="宋体" w:hAnsi="宋体"/>
          <w:szCs w:val="21"/>
          <w:highlight w:val="none"/>
        </w:rPr>
      </w:pPr>
      <w:r>
        <w:rPr>
          <w:rFonts w:hint="eastAsia" w:ascii="宋体" w:hAnsi="宋体"/>
          <w:szCs w:val="21"/>
          <w:highlight w:val="none"/>
        </w:rPr>
        <w:t>2.3为保证我公司拟派的项目经理到本项目到岗履职，我公司还承诺：</w:t>
      </w:r>
    </w:p>
    <w:p w14:paraId="406F87B2">
      <w:pPr>
        <w:snapToGrid w:val="0"/>
        <w:spacing w:line="380" w:lineRule="exact"/>
        <w:ind w:firstLine="420" w:firstLineChars="200"/>
        <w:rPr>
          <w:rFonts w:ascii="宋体" w:hAnsi="宋体"/>
          <w:szCs w:val="21"/>
          <w:highlight w:val="none"/>
        </w:rPr>
      </w:pPr>
      <w:r>
        <w:rPr>
          <w:rFonts w:hint="eastAsia" w:ascii="宋体" w:hAnsi="宋体"/>
          <w:szCs w:val="21"/>
          <w:highlight w:val="none"/>
        </w:rPr>
        <w:t>若我公司拟派本项目的项目经理有在其他项目任职的情形的（或有在其他项目中标或拟中标的情形的），应在收到中标通知书后</w:t>
      </w:r>
      <w:r>
        <w:rPr>
          <w:rFonts w:hint="eastAsia" w:ascii="宋体" w:hAnsi="宋体"/>
          <w:szCs w:val="21"/>
          <w:highlight w:val="none"/>
          <w:u w:val="single"/>
        </w:rPr>
        <w:t xml:space="preserve"> 14 </w:t>
      </w:r>
      <w:r>
        <w:rPr>
          <w:rFonts w:hint="eastAsia" w:ascii="宋体" w:hAnsi="宋体"/>
          <w:szCs w:val="21"/>
          <w:highlight w:val="none"/>
        </w:rPr>
        <w:t>日内，办理完成放弃在其他项目任职的手续（或办理完成放弃在其他项目中标或拟中标的手续），贵单位在合同签订前有权对我公司拟派项目经理在其他项目的任职情形（或在其他项目的中标或拟中标情形）进行核查，若与我公司承诺内容不符或我公司未在上述时间内按照</w:t>
      </w:r>
      <w:r>
        <w:rPr>
          <w:rFonts w:hint="eastAsia" w:ascii="宋体" w:hAnsi="宋体"/>
          <w:szCs w:val="21"/>
          <w:highlight w:val="none"/>
          <w:lang w:eastAsia="zh-CN"/>
        </w:rPr>
        <w:t>竞争性比选文件</w:t>
      </w:r>
      <w:r>
        <w:rPr>
          <w:rFonts w:hint="eastAsia" w:ascii="宋体" w:hAnsi="宋体"/>
          <w:szCs w:val="21"/>
          <w:highlight w:val="none"/>
        </w:rPr>
        <w:t>规定递交放弃在其他项目任职、中标或拟中标的相关资料，我公司自愿放弃中标资格，贵单位不退还我公司的投标保证金。在合同签订时，我公司确保拟派项目经理符合《建筑施工企业项目经理资质管理办法》规定的项目经理任职条件，否则我公司自愿放弃中标资格，贵单位不退还我公司的投标保证金。</w:t>
      </w:r>
    </w:p>
    <w:p w14:paraId="05C9805A">
      <w:pPr>
        <w:snapToGrid w:val="0"/>
        <w:spacing w:line="380" w:lineRule="exact"/>
        <w:ind w:firstLine="420" w:firstLineChars="200"/>
        <w:rPr>
          <w:rFonts w:ascii="宋体" w:hAnsi="宋体"/>
          <w:szCs w:val="21"/>
          <w:highlight w:val="none"/>
        </w:rPr>
      </w:pPr>
      <w:r>
        <w:rPr>
          <w:rFonts w:hint="eastAsia" w:ascii="宋体" w:hAnsi="宋体"/>
          <w:szCs w:val="21"/>
          <w:highlight w:val="none"/>
        </w:rPr>
        <w:t>若我公司拟派项目经理放弃在其他项目任职的将提供：①经业主或建设单位同意任职变更的文件；②负责项目监管的行业行政主管部门出具同意任职变更的证明材料。</w:t>
      </w:r>
    </w:p>
    <w:p w14:paraId="69573622">
      <w:pPr>
        <w:snapToGrid w:val="0"/>
        <w:spacing w:line="380" w:lineRule="exact"/>
        <w:ind w:firstLine="420" w:firstLineChars="200"/>
        <w:rPr>
          <w:rFonts w:ascii="宋体" w:hAnsi="宋体"/>
          <w:szCs w:val="21"/>
          <w:highlight w:val="none"/>
        </w:rPr>
      </w:pPr>
      <w:r>
        <w:rPr>
          <w:rFonts w:hint="eastAsia" w:ascii="宋体" w:hAnsi="宋体"/>
          <w:szCs w:val="21"/>
          <w:highlight w:val="none"/>
        </w:rPr>
        <w:t>若我公司拟派项目经理放弃在其他项目中标或拟中标的将提供：①经中标或拟中标的其他项目建设单位同意的放弃中标函。</w:t>
      </w:r>
    </w:p>
    <w:p w14:paraId="5995F672">
      <w:pPr>
        <w:snapToGrid w:val="0"/>
        <w:spacing w:line="380" w:lineRule="exact"/>
        <w:ind w:firstLine="420" w:firstLineChars="200"/>
        <w:rPr>
          <w:rFonts w:ascii="宋体" w:hAnsi="宋体"/>
          <w:szCs w:val="21"/>
          <w:highlight w:val="none"/>
        </w:rPr>
      </w:pPr>
      <w:r>
        <w:rPr>
          <w:rFonts w:hint="eastAsia" w:ascii="宋体" w:hAnsi="宋体"/>
          <w:szCs w:val="21"/>
          <w:highlight w:val="none"/>
        </w:rPr>
        <w:t>3、我公司若中标，在签订合同之前，将按照建设行政主管部门的要求组建施工项目部，配置项目管理班子，出具任命文件。任命文件应当明确施工项目部的职责、岗位设置、人员配备，并书面通知</w:t>
      </w:r>
      <w:r>
        <w:rPr>
          <w:rFonts w:hint="eastAsia" w:ascii="宋体" w:hAnsi="宋体"/>
          <w:szCs w:val="21"/>
          <w:highlight w:val="none"/>
          <w:lang w:eastAsia="zh-CN"/>
        </w:rPr>
        <w:t>贵单位</w:t>
      </w:r>
      <w:r>
        <w:rPr>
          <w:rFonts w:hint="eastAsia" w:ascii="宋体" w:hAnsi="宋体"/>
          <w:szCs w:val="21"/>
          <w:highlight w:val="none"/>
        </w:rPr>
        <w:t>。相关岗位管理人员应持有建设行政主管部门要求的岗位证书，并提供我公司为其缴纳的养老保险证明材料。中标后不能满足该要求的，</w:t>
      </w:r>
      <w:r>
        <w:rPr>
          <w:rFonts w:hint="eastAsia" w:ascii="宋体" w:hAnsi="宋体"/>
          <w:szCs w:val="21"/>
          <w:highlight w:val="none"/>
          <w:lang w:val="en-US" w:eastAsia="zh-CN"/>
        </w:rPr>
        <w:t>贵单位可</w:t>
      </w:r>
      <w:r>
        <w:rPr>
          <w:rFonts w:hint="eastAsia" w:ascii="宋体" w:hAnsi="宋体"/>
          <w:szCs w:val="21"/>
          <w:highlight w:val="none"/>
        </w:rPr>
        <w:t>取消我公司中标资格</w:t>
      </w:r>
      <w:r>
        <w:rPr>
          <w:rFonts w:hint="eastAsia" w:asciiTheme="minorEastAsia" w:hAnsiTheme="minorEastAsia" w:eastAsiaTheme="minorEastAsia" w:cstheme="minorEastAsia"/>
          <w:color w:val="auto"/>
          <w:szCs w:val="21"/>
          <w:highlight w:val="none"/>
        </w:rPr>
        <w:t>；签订合同后不满足该要求的，</w:t>
      </w:r>
      <w:r>
        <w:rPr>
          <w:rFonts w:hint="eastAsia" w:asciiTheme="minorEastAsia" w:hAnsiTheme="minorEastAsia" w:eastAsiaTheme="minorEastAsia" w:cstheme="minorEastAsia"/>
          <w:color w:val="auto"/>
          <w:szCs w:val="21"/>
          <w:highlight w:val="none"/>
          <w:lang w:val="en-US" w:eastAsia="zh-CN"/>
        </w:rPr>
        <w:t>贵单位</w:t>
      </w:r>
      <w:r>
        <w:rPr>
          <w:rFonts w:hint="eastAsia" w:asciiTheme="minorEastAsia" w:hAnsiTheme="minorEastAsia" w:eastAsiaTheme="minorEastAsia" w:cstheme="minorEastAsia"/>
          <w:color w:val="auto"/>
          <w:szCs w:val="21"/>
          <w:highlight w:val="none"/>
        </w:rPr>
        <w:t>按合同相关条款</w:t>
      </w:r>
      <w:r>
        <w:rPr>
          <w:rFonts w:hint="eastAsia" w:asciiTheme="minorEastAsia" w:hAnsiTheme="minorEastAsia" w:eastAsiaTheme="minorEastAsia" w:cstheme="minorEastAsia"/>
          <w:color w:val="auto"/>
          <w:szCs w:val="21"/>
          <w:highlight w:val="none"/>
          <w:lang w:val="en-US" w:eastAsia="zh-CN"/>
        </w:rPr>
        <w:t>要求我公司承担责任</w:t>
      </w:r>
      <w:r>
        <w:rPr>
          <w:rFonts w:hint="eastAsia" w:asciiTheme="minorEastAsia" w:hAnsiTheme="minorEastAsia" w:eastAsiaTheme="minorEastAsia" w:cstheme="minorEastAsia"/>
          <w:color w:val="auto"/>
          <w:szCs w:val="21"/>
          <w:highlight w:val="none"/>
        </w:rPr>
        <w:t>并上报行政主管部门；</w:t>
      </w:r>
      <w:r>
        <w:rPr>
          <w:rFonts w:hint="eastAsia" w:ascii="宋体" w:hAnsi="宋体"/>
          <w:szCs w:val="21"/>
          <w:highlight w:val="none"/>
        </w:rPr>
        <w:t>给</w:t>
      </w:r>
      <w:r>
        <w:rPr>
          <w:rFonts w:hint="eastAsia" w:ascii="宋体" w:hAnsi="宋体"/>
          <w:szCs w:val="21"/>
          <w:highlight w:val="none"/>
          <w:lang w:eastAsia="zh-CN"/>
        </w:rPr>
        <w:t>贵单位</w:t>
      </w:r>
      <w:r>
        <w:rPr>
          <w:rFonts w:hint="eastAsia" w:ascii="宋体" w:hAnsi="宋体"/>
          <w:szCs w:val="21"/>
          <w:highlight w:val="none"/>
        </w:rPr>
        <w:t>造成损失的，我公司依法承担赔偿责任</w:t>
      </w:r>
      <w:r>
        <w:rPr>
          <w:rFonts w:hint="eastAsia" w:ascii="宋体" w:hAnsi="宋体"/>
          <w:szCs w:val="21"/>
          <w:highlight w:val="none"/>
          <w:lang w:val="en-US" w:eastAsia="zh-CN"/>
        </w:rPr>
        <w:t>或违约责任</w:t>
      </w:r>
      <w:r>
        <w:rPr>
          <w:rFonts w:hint="eastAsia" w:ascii="宋体" w:hAnsi="宋体"/>
          <w:szCs w:val="21"/>
          <w:highlight w:val="none"/>
        </w:rPr>
        <w:t>。</w:t>
      </w:r>
    </w:p>
    <w:p w14:paraId="1CC51995">
      <w:pPr>
        <w:snapToGrid w:val="0"/>
        <w:spacing w:line="380" w:lineRule="exact"/>
        <w:ind w:firstLine="420" w:firstLineChars="200"/>
        <w:rPr>
          <w:rFonts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本比选申请文件</w:t>
      </w:r>
      <w:r>
        <w:rPr>
          <w:rFonts w:hint="eastAsia" w:ascii="宋体" w:hAnsi="宋体"/>
          <w:szCs w:val="21"/>
          <w:highlight w:val="none"/>
        </w:rPr>
        <w:t>中</w:t>
      </w:r>
      <w:r>
        <w:rPr>
          <w:rFonts w:hint="eastAsia" w:ascii="宋体" w:hAnsi="宋体"/>
          <w:szCs w:val="21"/>
          <w:highlight w:val="none"/>
          <w:lang w:val="en-US" w:eastAsia="zh-CN"/>
        </w:rPr>
        <w:t>的所有内容</w:t>
      </w:r>
      <w:r>
        <w:rPr>
          <w:rFonts w:hint="eastAsia" w:ascii="宋体" w:hAnsi="宋体"/>
          <w:szCs w:val="21"/>
          <w:highlight w:val="none"/>
        </w:rPr>
        <w:t>真实有效，不存在弄虚作假情形。</w:t>
      </w:r>
      <w:r>
        <w:rPr>
          <w:rFonts w:hint="eastAsia" w:ascii="宋体" w:hAnsi="宋体"/>
          <w:szCs w:val="21"/>
          <w:highlight w:val="none"/>
          <w:u w:val="none"/>
          <w:lang w:eastAsia="zh-CN"/>
        </w:rPr>
        <w:t>贵单位</w:t>
      </w:r>
      <w:r>
        <w:rPr>
          <w:rFonts w:hint="eastAsia" w:ascii="宋体" w:hAnsi="宋体"/>
          <w:szCs w:val="21"/>
          <w:highlight w:val="none"/>
          <w:u w:val="none"/>
        </w:rPr>
        <w:t>有权对我</w:t>
      </w:r>
      <w:r>
        <w:rPr>
          <w:rFonts w:hint="eastAsia" w:ascii="宋体" w:hAnsi="宋体"/>
          <w:szCs w:val="21"/>
          <w:highlight w:val="none"/>
          <w:u w:val="none"/>
          <w:lang w:eastAsia="zh-CN"/>
        </w:rPr>
        <w:t>公</w:t>
      </w:r>
      <w:r>
        <w:rPr>
          <w:rFonts w:hint="eastAsia" w:ascii="宋体" w:hAnsi="宋体"/>
          <w:szCs w:val="21"/>
          <w:highlight w:val="none"/>
          <w:u w:val="none"/>
        </w:rPr>
        <w:t>司提供的资料进行核实，若发现弄虚作假，</w:t>
      </w:r>
      <w:r>
        <w:rPr>
          <w:rFonts w:hint="eastAsia" w:ascii="宋体" w:hAnsi="宋体"/>
          <w:szCs w:val="21"/>
          <w:highlight w:val="none"/>
          <w:u w:val="none"/>
          <w:lang w:eastAsia="zh-CN"/>
        </w:rPr>
        <w:t>按相关规定</w:t>
      </w:r>
      <w:r>
        <w:rPr>
          <w:rFonts w:hint="eastAsia" w:ascii="宋体" w:hAnsi="宋体"/>
          <w:szCs w:val="21"/>
          <w:highlight w:val="none"/>
          <w:u w:val="none"/>
        </w:rPr>
        <w:t>取消</w:t>
      </w:r>
      <w:r>
        <w:rPr>
          <w:rFonts w:hint="eastAsia" w:ascii="宋体" w:hAnsi="宋体"/>
          <w:szCs w:val="21"/>
          <w:highlight w:val="none"/>
          <w:u w:val="none"/>
          <w:lang w:eastAsia="zh-CN"/>
        </w:rPr>
        <w:t>我公司</w:t>
      </w:r>
      <w:r>
        <w:rPr>
          <w:rFonts w:hint="eastAsia" w:ascii="宋体" w:hAnsi="宋体"/>
          <w:szCs w:val="21"/>
          <w:highlight w:val="none"/>
          <w:u w:val="none"/>
        </w:rPr>
        <w:t>中标资格，并按相关法律法规报招标投标监督部门，投标保证金以现金形式交纳的不予退还，以保函形式交纳的由保函开立人支付保函担保的与投标保证金等额的款项，我</w:t>
      </w:r>
      <w:r>
        <w:rPr>
          <w:rFonts w:hint="eastAsia" w:ascii="宋体" w:hAnsi="宋体"/>
          <w:szCs w:val="21"/>
          <w:highlight w:val="none"/>
          <w:u w:val="none"/>
          <w:lang w:eastAsia="zh-CN"/>
        </w:rPr>
        <w:t>公</w:t>
      </w:r>
      <w:r>
        <w:rPr>
          <w:rFonts w:hint="eastAsia" w:ascii="宋体" w:hAnsi="宋体"/>
          <w:szCs w:val="21"/>
          <w:highlight w:val="none"/>
          <w:u w:val="none"/>
        </w:rPr>
        <w:t>司自愿承担因此造成的相关责任并赔偿相应损失</w:t>
      </w:r>
      <w:r>
        <w:rPr>
          <w:rFonts w:hint="eastAsia" w:ascii="宋体" w:hAnsi="宋体"/>
          <w:szCs w:val="21"/>
          <w:highlight w:val="none"/>
        </w:rPr>
        <w:t>。</w:t>
      </w:r>
    </w:p>
    <w:p w14:paraId="54F63357">
      <w:pPr>
        <w:snapToGrid w:val="0"/>
        <w:spacing w:line="380" w:lineRule="exact"/>
        <w:ind w:firstLine="420" w:firstLineChars="200"/>
        <w:rPr>
          <w:rFonts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、我公司的</w:t>
      </w:r>
      <w:r>
        <w:rPr>
          <w:rFonts w:hint="eastAsia" w:ascii="宋体" w:hAnsi="宋体"/>
          <w:szCs w:val="21"/>
          <w:highlight w:val="none"/>
          <w:lang w:eastAsia="zh-CN"/>
        </w:rPr>
        <w:t>比选申请文件</w:t>
      </w:r>
      <w:r>
        <w:rPr>
          <w:rFonts w:hint="eastAsia" w:ascii="宋体" w:hAnsi="宋体"/>
          <w:szCs w:val="21"/>
          <w:highlight w:val="none"/>
        </w:rPr>
        <w:t xml:space="preserve">符合第二章 </w:t>
      </w:r>
      <w:r>
        <w:rPr>
          <w:rFonts w:hint="eastAsia" w:ascii="宋体" w:hAnsi="宋体"/>
          <w:szCs w:val="21"/>
          <w:highlight w:val="none"/>
          <w:lang w:eastAsia="zh-CN"/>
        </w:rPr>
        <w:t>比选申请人</w:t>
      </w:r>
      <w:r>
        <w:rPr>
          <w:rFonts w:hint="eastAsia" w:ascii="宋体" w:hAnsi="宋体"/>
          <w:szCs w:val="21"/>
          <w:highlight w:val="none"/>
        </w:rPr>
        <w:t>须知第 1.3.1 项的规定。</w:t>
      </w:r>
    </w:p>
    <w:p w14:paraId="3E8E52E7">
      <w:pPr>
        <w:snapToGrid w:val="0"/>
        <w:spacing w:line="380" w:lineRule="exact"/>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、我公司的</w:t>
      </w:r>
      <w:r>
        <w:rPr>
          <w:rFonts w:hint="eastAsia" w:ascii="宋体" w:hAnsi="宋体"/>
          <w:szCs w:val="21"/>
          <w:highlight w:val="none"/>
          <w:lang w:eastAsia="zh-CN"/>
        </w:rPr>
        <w:t>比选申请文件</w:t>
      </w:r>
      <w:r>
        <w:rPr>
          <w:rFonts w:hint="eastAsia" w:ascii="宋体" w:hAnsi="宋体"/>
          <w:szCs w:val="21"/>
          <w:highlight w:val="none"/>
        </w:rPr>
        <w:t>符合第四章 合同条款及格式规定，</w:t>
      </w:r>
      <w:r>
        <w:rPr>
          <w:rFonts w:hint="eastAsia" w:ascii="宋体" w:hAnsi="宋体"/>
          <w:szCs w:val="21"/>
          <w:highlight w:val="none"/>
          <w:lang w:eastAsia="zh-CN"/>
        </w:rPr>
        <w:t>比选申请文件</w:t>
      </w:r>
      <w:r>
        <w:rPr>
          <w:rFonts w:hint="eastAsia" w:ascii="宋体" w:hAnsi="宋体"/>
          <w:szCs w:val="21"/>
          <w:highlight w:val="none"/>
        </w:rPr>
        <w:t>中没有</w:t>
      </w:r>
      <w:r>
        <w:rPr>
          <w:rFonts w:hint="eastAsia" w:ascii="宋体" w:hAnsi="宋体"/>
          <w:szCs w:val="21"/>
          <w:highlight w:val="none"/>
          <w:lang w:eastAsia="zh-CN"/>
        </w:rPr>
        <w:t>贵单位</w:t>
      </w:r>
      <w:r>
        <w:rPr>
          <w:rFonts w:hint="eastAsia" w:ascii="宋体" w:hAnsi="宋体"/>
          <w:szCs w:val="21"/>
          <w:highlight w:val="none"/>
        </w:rPr>
        <w:t>不能接受的条件。</w:t>
      </w:r>
    </w:p>
    <w:p w14:paraId="591FD8E6">
      <w:pPr>
        <w:snapToGrid w:val="0"/>
        <w:spacing w:line="380" w:lineRule="exact"/>
        <w:ind w:firstLine="420" w:firstLineChars="200"/>
        <w:rPr>
          <w:rFonts w:hint="eastAsia"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、我公司的</w:t>
      </w:r>
      <w:r>
        <w:rPr>
          <w:rFonts w:hint="eastAsia" w:ascii="宋体" w:hAnsi="宋体"/>
          <w:szCs w:val="21"/>
          <w:highlight w:val="none"/>
          <w:lang w:eastAsia="zh-CN"/>
        </w:rPr>
        <w:t>比选申请文件</w:t>
      </w:r>
      <w:r>
        <w:rPr>
          <w:rFonts w:hint="eastAsia" w:ascii="宋体" w:hAnsi="宋体"/>
          <w:szCs w:val="21"/>
          <w:highlight w:val="none"/>
        </w:rPr>
        <w:t>符合第七章 技术标准和要求（如有）。</w:t>
      </w:r>
    </w:p>
    <w:p w14:paraId="7DEFF5D4">
      <w:pPr>
        <w:snapToGrid w:val="0"/>
        <w:spacing w:line="380" w:lineRule="exact"/>
        <w:ind w:firstLine="420" w:firstLineChars="200"/>
        <w:rPr>
          <w:rFonts w:hint="eastAsia" w:ascii="宋体" w:hAnsi="宋体"/>
          <w:szCs w:val="21"/>
          <w:highlight w:val="none"/>
        </w:rPr>
      </w:pPr>
      <w:r>
        <w:rPr>
          <w:rFonts w:hint="eastAsia" w:ascii="宋体" w:hAnsi="宋体"/>
          <w:szCs w:val="21"/>
          <w:highlight w:val="none"/>
          <w:lang w:val="en-US" w:eastAsia="zh-CN"/>
        </w:rPr>
        <w:t>8</w:t>
      </w:r>
      <w:r>
        <w:rPr>
          <w:rFonts w:hint="eastAsia" w:ascii="宋体" w:hAnsi="宋体"/>
          <w:szCs w:val="21"/>
          <w:highlight w:val="none"/>
        </w:rPr>
        <w:t>、我公司接受</w:t>
      </w:r>
      <w:r>
        <w:rPr>
          <w:rFonts w:hint="eastAsia" w:ascii="宋体" w:hAnsi="宋体"/>
          <w:szCs w:val="21"/>
          <w:highlight w:val="none"/>
          <w:lang w:eastAsia="zh-CN"/>
        </w:rPr>
        <w:t>竞争性比选文件</w:t>
      </w:r>
      <w:r>
        <w:rPr>
          <w:rFonts w:hint="eastAsia" w:ascii="宋体" w:hAnsi="宋体"/>
          <w:szCs w:val="21"/>
          <w:highlight w:val="none"/>
        </w:rPr>
        <w:t>中关于“不平衡报价”的相关</w:t>
      </w:r>
      <w:r>
        <w:rPr>
          <w:rFonts w:hint="eastAsia" w:ascii="宋体" w:hAnsi="宋体"/>
          <w:szCs w:val="21"/>
          <w:highlight w:val="none"/>
          <w:lang w:val="en-US" w:eastAsia="zh-CN"/>
        </w:rPr>
        <w:t>要求</w:t>
      </w:r>
      <w:r>
        <w:rPr>
          <w:rFonts w:hint="eastAsia" w:ascii="宋体" w:hAnsi="宋体"/>
          <w:szCs w:val="21"/>
          <w:highlight w:val="none"/>
        </w:rPr>
        <w:t>（如有）。</w:t>
      </w:r>
    </w:p>
    <w:p w14:paraId="0A8CF084">
      <w:pPr>
        <w:snapToGrid w:val="0"/>
        <w:spacing w:line="380" w:lineRule="exact"/>
        <w:ind w:firstLine="420" w:firstLineChars="200"/>
        <w:rPr>
          <w:rFonts w:hint="eastAsia" w:ascii="宋体" w:hAnsi="宋体"/>
          <w:szCs w:val="21"/>
          <w:highlight w:val="none"/>
        </w:rPr>
      </w:pPr>
      <w:r>
        <w:rPr>
          <w:rFonts w:hint="eastAsia" w:ascii="宋体" w:hAnsi="宋体"/>
          <w:szCs w:val="21"/>
          <w:highlight w:val="none"/>
          <w:lang w:val="en-US" w:eastAsia="zh-CN"/>
        </w:rPr>
        <w:t>9</w:t>
      </w:r>
      <w:r>
        <w:rPr>
          <w:rFonts w:hint="eastAsia" w:ascii="宋体" w:hAnsi="宋体"/>
          <w:szCs w:val="21"/>
          <w:highlight w:val="none"/>
        </w:rPr>
        <w:t>、我公司接受</w:t>
      </w:r>
      <w:r>
        <w:rPr>
          <w:rFonts w:hint="eastAsia" w:ascii="宋体" w:hAnsi="宋体"/>
          <w:szCs w:val="21"/>
          <w:highlight w:val="none"/>
          <w:lang w:eastAsia="zh-CN"/>
        </w:rPr>
        <w:t>竞争性比选文件</w:t>
      </w:r>
      <w:r>
        <w:rPr>
          <w:rFonts w:hint="eastAsia" w:ascii="宋体" w:hAnsi="宋体"/>
          <w:szCs w:val="21"/>
          <w:highlight w:val="none"/>
        </w:rPr>
        <w:t>中关于“不允许负数报价”的相关要求（如有）。</w:t>
      </w:r>
    </w:p>
    <w:p w14:paraId="70ECFC1B">
      <w:pPr>
        <w:snapToGrid w:val="0"/>
        <w:spacing w:line="380" w:lineRule="exact"/>
        <w:ind w:firstLine="420" w:firstLineChars="200"/>
        <w:rPr>
          <w:rFonts w:hint="eastAsia" w:ascii="宋体" w:hAnsi="宋体"/>
          <w:szCs w:val="21"/>
          <w:highlight w:val="none"/>
        </w:rPr>
      </w:pPr>
      <w:r>
        <w:rPr>
          <w:rFonts w:hint="eastAsia" w:ascii="宋体" w:hAnsi="宋体"/>
          <w:szCs w:val="21"/>
          <w:highlight w:val="none"/>
          <w:lang w:val="en-US" w:eastAsia="zh-CN"/>
        </w:rPr>
        <w:t>10</w:t>
      </w:r>
      <w:r>
        <w:rPr>
          <w:rFonts w:hint="eastAsia" w:ascii="宋体" w:hAnsi="宋体"/>
          <w:szCs w:val="21"/>
          <w:highlight w:val="none"/>
        </w:rPr>
        <w:t>、我公司接受</w:t>
      </w:r>
      <w:r>
        <w:rPr>
          <w:rFonts w:hint="eastAsia" w:ascii="宋体" w:hAnsi="宋体"/>
          <w:szCs w:val="21"/>
          <w:highlight w:val="none"/>
          <w:lang w:eastAsia="zh-CN"/>
        </w:rPr>
        <w:t>竞争性比选文件</w:t>
      </w:r>
      <w:r>
        <w:rPr>
          <w:rFonts w:hint="eastAsia" w:ascii="宋体" w:hAnsi="宋体"/>
          <w:szCs w:val="21"/>
          <w:highlight w:val="none"/>
        </w:rPr>
        <w:t>中关于“不允许</w:t>
      </w:r>
      <w:r>
        <w:rPr>
          <w:rFonts w:hint="eastAsia" w:ascii="宋体" w:hAnsi="宋体"/>
          <w:szCs w:val="21"/>
          <w:highlight w:val="none"/>
          <w:lang w:val="en-US" w:eastAsia="zh-CN"/>
        </w:rPr>
        <w:t>零</w:t>
      </w:r>
      <w:r>
        <w:rPr>
          <w:rFonts w:hint="eastAsia" w:ascii="宋体" w:hAnsi="宋体"/>
          <w:szCs w:val="21"/>
          <w:highlight w:val="none"/>
        </w:rPr>
        <w:t>报价”的相关要求（如有）。</w:t>
      </w:r>
    </w:p>
    <w:p w14:paraId="2AAF1195">
      <w:pPr>
        <w:snapToGrid w:val="0"/>
        <w:spacing w:line="380" w:lineRule="exact"/>
        <w:ind w:firstLine="420" w:firstLineChars="200"/>
        <w:rPr>
          <w:rFonts w:hint="eastAsia" w:ascii="宋体" w:hAnsi="宋体"/>
          <w:szCs w:val="21"/>
          <w:highlight w:val="none"/>
        </w:rPr>
      </w:pPr>
      <w:r>
        <w:rPr>
          <w:rFonts w:hint="eastAsia" w:ascii="宋体" w:hAnsi="宋体" w:cs="宋体"/>
          <w:highlight w:val="none"/>
          <w:lang w:val="en-US" w:eastAsia="zh-CN"/>
        </w:rPr>
        <w:t>11</w:t>
      </w:r>
      <w:r>
        <w:rPr>
          <w:rFonts w:hint="eastAsia" w:ascii="宋体" w:hAnsi="宋体" w:cs="宋体"/>
          <w:highlight w:val="none"/>
        </w:rPr>
        <w:t>、</w:t>
      </w:r>
      <w:r>
        <w:rPr>
          <w:rFonts w:hint="eastAsia" w:ascii="宋体" w:hAnsi="宋体" w:cs="宋体"/>
          <w:szCs w:val="21"/>
          <w:highlight w:val="none"/>
        </w:rPr>
        <w:t>其他承诺事项：</w:t>
      </w:r>
      <w:r>
        <w:rPr>
          <w:rFonts w:hint="eastAsia" w:ascii="宋体" w:hAnsi="宋体" w:cs="宋体"/>
          <w:szCs w:val="21"/>
          <w:highlight w:val="none"/>
          <w:u w:val="single"/>
        </w:rPr>
        <w:t xml:space="preserve">         </w:t>
      </w:r>
      <w:r>
        <w:rPr>
          <w:rFonts w:hint="eastAsia" w:ascii="宋体" w:hAnsi="宋体" w:cs="宋体"/>
          <w:i/>
          <w:iCs/>
          <w:szCs w:val="21"/>
          <w:highlight w:val="none"/>
          <w:u w:val="single"/>
        </w:rPr>
        <w:t>[提示：</w:t>
      </w:r>
      <w:r>
        <w:rPr>
          <w:rFonts w:hint="eastAsia" w:ascii="宋体" w:hAnsi="宋体" w:cs="宋体"/>
          <w:i/>
          <w:iCs/>
          <w:szCs w:val="21"/>
          <w:highlight w:val="none"/>
          <w:u w:val="single"/>
          <w:lang w:eastAsia="zh-CN"/>
        </w:rPr>
        <w:t>竞争性比选文件</w:t>
      </w:r>
      <w:r>
        <w:rPr>
          <w:rFonts w:hint="eastAsia" w:ascii="宋体" w:hAnsi="宋体" w:cs="宋体"/>
          <w:i/>
          <w:iCs/>
          <w:szCs w:val="21"/>
          <w:highlight w:val="none"/>
          <w:u w:val="single"/>
        </w:rPr>
        <w:t>有具体要求的，可在此处增加对应的承诺内容。]</w:t>
      </w:r>
    </w:p>
    <w:p w14:paraId="6F9ADD71">
      <w:pPr>
        <w:snapToGrid w:val="0"/>
        <w:spacing w:line="380" w:lineRule="exact"/>
        <w:ind w:firstLine="420" w:firstLineChars="200"/>
        <w:rPr>
          <w:rFonts w:ascii="宋体" w:hAnsi="宋体"/>
          <w:szCs w:val="21"/>
          <w:highlight w:val="none"/>
        </w:rPr>
      </w:pPr>
    </w:p>
    <w:p w14:paraId="45C7614C">
      <w:pPr>
        <w:tabs>
          <w:tab w:val="left" w:pos="4200"/>
          <w:tab w:val="left" w:pos="4620"/>
        </w:tabs>
        <w:autoSpaceDE w:val="0"/>
        <w:autoSpaceDN w:val="0"/>
        <w:adjustRightInd w:val="0"/>
        <w:snapToGrid w:val="0"/>
        <w:spacing w:line="380" w:lineRule="exact"/>
        <w:ind w:firstLine="420" w:firstLineChars="200"/>
        <w:jc w:val="center"/>
        <w:rPr>
          <w:rFonts w:ascii="宋体" w:hAnsi="宋体"/>
          <w:kern w:val="0"/>
          <w:szCs w:val="21"/>
          <w:highlight w:val="none"/>
        </w:rPr>
      </w:pPr>
      <w:r>
        <w:rPr>
          <w:rFonts w:hint="eastAsia" w:ascii="宋体" w:hAnsi="宋体"/>
          <w:kern w:val="0"/>
          <w:szCs w:val="21"/>
          <w:highlight w:val="none"/>
          <w:lang w:val="en-US" w:eastAsia="zh-CN"/>
        </w:rPr>
        <w:t>比选申请</w:t>
      </w:r>
      <w:r>
        <w:rPr>
          <w:rFonts w:ascii="宋体" w:hAnsi="宋体"/>
          <w:kern w:val="0"/>
          <w:szCs w:val="21"/>
          <w:highlight w:val="none"/>
        </w:rPr>
        <w:t>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ascii="宋体" w:hAnsi="宋体"/>
          <w:kern w:val="0"/>
          <w:szCs w:val="21"/>
          <w:highlight w:val="none"/>
        </w:rPr>
        <w:t>（</w:t>
      </w:r>
      <w:r>
        <w:rPr>
          <w:rFonts w:ascii="宋体" w:hAnsi="宋体"/>
          <w:spacing w:val="-1"/>
          <w:kern w:val="0"/>
          <w:szCs w:val="21"/>
          <w:highlight w:val="none"/>
        </w:rPr>
        <w:t>盖单位法人章</w:t>
      </w:r>
      <w:r>
        <w:rPr>
          <w:rFonts w:ascii="宋体" w:hAnsi="宋体"/>
          <w:kern w:val="0"/>
          <w:szCs w:val="21"/>
          <w:highlight w:val="none"/>
        </w:rPr>
        <w:t>）</w:t>
      </w:r>
    </w:p>
    <w:p w14:paraId="2DA2390B">
      <w:pPr>
        <w:tabs>
          <w:tab w:val="left" w:pos="6300"/>
        </w:tabs>
        <w:autoSpaceDE w:val="0"/>
        <w:autoSpaceDN w:val="0"/>
        <w:adjustRightInd w:val="0"/>
        <w:snapToGrid w:val="0"/>
        <w:spacing w:line="380" w:lineRule="exact"/>
        <w:ind w:firstLine="420" w:firstLineChars="200"/>
        <w:jc w:val="center"/>
        <w:rPr>
          <w:rFonts w:ascii="宋体" w:hAnsi="宋体"/>
          <w:kern w:val="0"/>
          <w:szCs w:val="21"/>
          <w:highlight w:val="none"/>
        </w:rPr>
      </w:pPr>
      <w:r>
        <w:rPr>
          <w:rFonts w:ascii="宋体" w:hAnsi="宋体"/>
          <w:kern w:val="0"/>
          <w:szCs w:val="21"/>
          <w:highlight w:val="none"/>
        </w:rPr>
        <w:t>法定代表人：</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w w:val="200"/>
          <w:kern w:val="0"/>
          <w:szCs w:val="21"/>
          <w:highlight w:val="none"/>
          <w:u w:val="single"/>
        </w:rPr>
        <w:t xml:space="preserve">    </w:t>
      </w:r>
      <w:r>
        <w:rPr>
          <w:rFonts w:hint="eastAsia" w:ascii="宋体" w:hAnsi="宋体"/>
          <w:w w:val="200"/>
          <w:kern w:val="0"/>
          <w:szCs w:val="21"/>
          <w:highlight w:val="none"/>
          <w:u w:val="single"/>
        </w:rPr>
        <w:t xml:space="preserve"> </w:t>
      </w:r>
      <w:r>
        <w:rPr>
          <w:rFonts w:ascii="宋体" w:hAnsi="宋体"/>
          <w:kern w:val="0"/>
          <w:szCs w:val="21"/>
          <w:highlight w:val="none"/>
        </w:rPr>
        <w:t>（</w:t>
      </w:r>
      <w:r>
        <w:rPr>
          <w:rFonts w:hint="eastAsia" w:ascii="宋体" w:hAnsi="宋体"/>
          <w:kern w:val="0"/>
          <w:szCs w:val="21"/>
          <w:highlight w:val="none"/>
        </w:rPr>
        <w:t>签名</w:t>
      </w:r>
      <w:r>
        <w:rPr>
          <w:rFonts w:ascii="宋体" w:hAnsi="宋体"/>
          <w:kern w:val="0"/>
          <w:szCs w:val="21"/>
          <w:highlight w:val="none"/>
        </w:rPr>
        <w:t>或盖章）</w:t>
      </w:r>
    </w:p>
    <w:p w14:paraId="1D174235">
      <w:pPr>
        <w:snapToGrid w:val="0"/>
        <w:spacing w:line="380" w:lineRule="exact"/>
        <w:ind w:firstLine="420" w:firstLineChars="200"/>
        <w:jc w:val="right"/>
        <w:rPr>
          <w:rFonts w:ascii="宋体" w:hAnsi="宋体"/>
          <w:szCs w:val="21"/>
          <w:highlight w:val="none"/>
        </w:rPr>
      </w:pPr>
      <w:r>
        <w:rPr>
          <w:rFonts w:hint="eastAsia" w:ascii="宋体" w:hAnsi="宋体"/>
          <w:kern w:val="0"/>
          <w:szCs w:val="21"/>
          <w:highlight w:val="none"/>
          <w:u w:val="single"/>
        </w:rPr>
        <w:t xml:space="preserve">    </w:t>
      </w:r>
      <w:r>
        <w:rPr>
          <w:rFonts w:ascii="宋体" w:hAnsi="宋体"/>
          <w:kern w:val="0"/>
          <w:szCs w:val="21"/>
          <w:highlight w:val="none"/>
        </w:rPr>
        <w:t>年</w:t>
      </w:r>
      <w:r>
        <w:rPr>
          <w:rFonts w:hint="eastAsia" w:ascii="宋体" w:hAnsi="宋体"/>
          <w:kern w:val="0"/>
          <w:szCs w:val="21"/>
          <w:highlight w:val="none"/>
          <w:u w:val="single"/>
        </w:rPr>
        <w:t xml:space="preserve">    </w:t>
      </w:r>
      <w:r>
        <w:rPr>
          <w:rFonts w:ascii="宋体" w:hAnsi="宋体"/>
          <w:kern w:val="0"/>
          <w:szCs w:val="21"/>
          <w:highlight w:val="none"/>
        </w:rPr>
        <w:t>月</w:t>
      </w:r>
      <w:r>
        <w:rPr>
          <w:rFonts w:hint="eastAsia" w:ascii="宋体" w:hAnsi="宋体"/>
          <w:kern w:val="0"/>
          <w:szCs w:val="21"/>
          <w:highlight w:val="none"/>
          <w:u w:val="single"/>
        </w:rPr>
        <w:t xml:space="preserve">    </w:t>
      </w:r>
      <w:r>
        <w:rPr>
          <w:rFonts w:ascii="宋体" w:hAnsi="宋体"/>
          <w:kern w:val="0"/>
          <w:szCs w:val="21"/>
          <w:highlight w:val="none"/>
        </w:rPr>
        <w:t>日</w:t>
      </w:r>
    </w:p>
    <w:p w14:paraId="7BB450C3">
      <w:pPr>
        <w:rPr>
          <w:highlight w:val="none"/>
        </w:rPr>
      </w:pPr>
    </w:p>
    <w:p w14:paraId="42DE786F">
      <w:pPr>
        <w:rPr>
          <w:highlight w:val="none"/>
        </w:rPr>
      </w:pPr>
      <w:r>
        <w:rPr>
          <w:highlight w:val="none"/>
        </w:rPr>
        <w:br w:type="page"/>
      </w:r>
    </w:p>
    <w:p w14:paraId="1AD4F705">
      <w:pPr>
        <w:bidi w:val="0"/>
        <w:rPr>
          <w:rFonts w:hint="eastAsia"/>
          <w:highlight w:val="none"/>
        </w:rPr>
      </w:pPr>
    </w:p>
    <w:p w14:paraId="4737E539">
      <w:pPr>
        <w:pStyle w:val="16"/>
        <w:rPr>
          <w:rFonts w:hint="eastAsia"/>
          <w:highlight w:val="none"/>
        </w:rPr>
      </w:pPr>
    </w:p>
    <w:p w14:paraId="58D76113">
      <w:pPr>
        <w:pStyle w:val="5"/>
        <w:spacing w:before="0" w:line="360" w:lineRule="auto"/>
        <w:jc w:val="center"/>
        <w:rPr>
          <w:rFonts w:ascii="宋体" w:hAnsi="宋体"/>
          <w:highlight w:val="none"/>
        </w:rPr>
      </w:pPr>
      <w:bookmarkStart w:id="2295" w:name="_Toc14530"/>
      <w:r>
        <w:rPr>
          <w:rFonts w:hint="eastAsia" w:ascii="宋体" w:hAnsi="宋体"/>
          <w:b w:val="0"/>
          <w:highlight w:val="none"/>
        </w:rPr>
        <w:t>（</w:t>
      </w:r>
      <w:r>
        <w:rPr>
          <w:rFonts w:hint="eastAsia" w:ascii="宋体" w:hAnsi="宋体"/>
          <w:b w:val="0"/>
          <w:highlight w:val="none"/>
          <w:lang w:val="en-US" w:eastAsia="zh-CN"/>
        </w:rPr>
        <w:t>三</w:t>
      </w:r>
      <w:r>
        <w:rPr>
          <w:rFonts w:hint="eastAsia" w:ascii="宋体" w:hAnsi="宋体"/>
          <w:b w:val="0"/>
          <w:highlight w:val="none"/>
        </w:rPr>
        <w:t>）其他资料</w:t>
      </w:r>
      <w:bookmarkEnd w:id="2294"/>
      <w:bookmarkEnd w:id="2295"/>
    </w:p>
    <w:bookmarkEnd w:id="664"/>
    <w:bookmarkEnd w:id="665"/>
    <w:bookmarkEnd w:id="666"/>
    <w:p w14:paraId="332D10FB">
      <w:pPr>
        <w:tabs>
          <w:tab w:val="left" w:pos="6300"/>
        </w:tabs>
        <w:snapToGrid w:val="0"/>
        <w:spacing w:line="360" w:lineRule="auto"/>
        <w:ind w:firstLine="420" w:firstLineChars="200"/>
        <w:jc w:val="left"/>
        <w:rPr>
          <w:rFonts w:hint="eastAsia" w:ascii="宋体" w:hAnsi="宋体"/>
          <w:szCs w:val="21"/>
          <w:highlight w:val="none"/>
          <w:lang w:val="en-US" w:eastAsia="zh-CN"/>
        </w:rPr>
      </w:pPr>
    </w:p>
    <w:p w14:paraId="2A883B7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b w:val="0"/>
          <w:highlight w:val="none"/>
          <w:lang w:val="en-US" w:eastAsia="zh-CN"/>
        </w:rPr>
      </w:pPr>
      <w:r>
        <w:rPr>
          <w:rFonts w:hint="eastAsia" w:ascii="宋体" w:hAnsi="宋体"/>
          <w:b w:val="0"/>
          <w:highlight w:val="none"/>
          <w:lang w:val="en-US" w:eastAsia="zh-CN"/>
        </w:rPr>
        <w:t>1.按照竞争性比选文件第二章比选申请人须知前附表第1.4.1项、第3.4款要求提供的资料。</w:t>
      </w:r>
    </w:p>
    <w:p w14:paraId="3381552C">
      <w:pPr>
        <w:rPr>
          <w:rFonts w:ascii="宋体" w:hAnsi="宋体"/>
          <w:szCs w:val="21"/>
          <w:highlight w:val="none"/>
        </w:rPr>
      </w:pPr>
      <w:r>
        <w:rPr>
          <w:rFonts w:ascii="宋体" w:hAnsi="宋体"/>
          <w:szCs w:val="21"/>
          <w:highlight w:val="none"/>
        </w:rPr>
        <w:t>……</w:t>
      </w:r>
    </w:p>
    <w:p w14:paraId="22A15143">
      <w:pPr>
        <w:ind w:firstLine="420" w:firstLineChars="200"/>
        <w:rPr>
          <w:highlight w:val="none"/>
        </w:rPr>
      </w:pPr>
    </w:p>
    <w:p w14:paraId="0499931B">
      <w:pPr>
        <w:rPr>
          <w:highlight w:val="none"/>
        </w:rPr>
      </w:pPr>
    </w:p>
    <w:p w14:paraId="4151C207">
      <w:pPr>
        <w:rPr>
          <w:highlight w:val="none"/>
        </w:rPr>
      </w:pPr>
    </w:p>
    <w:p w14:paraId="1DFA01B2"/>
    <w:sectPr>
      <w:footerReference r:id="rId8" w:type="default"/>
      <w:pgSz w:w="11906" w:h="16838"/>
      <w:pgMar w:top="1304" w:right="1134" w:bottom="1304"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47971A93-AF4C-4181-95CF-FF2CB723F04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embedRegular r:id="rId2" w:fontKey="{C4BD9882-8076-4049-BE3C-3081E33CAC03}"/>
  </w:font>
  <w:font w:name="方正仿宋_GBK">
    <w:panose1 w:val="02000000000000000000"/>
    <w:charset w:val="86"/>
    <w:family w:val="auto"/>
    <w:pitch w:val="default"/>
    <w:sig w:usb0="A00002BF" w:usb1="38CF7CFA" w:usb2="00082016" w:usb3="00000000" w:csb0="00040001" w:csb1="00000000"/>
    <w:embedRegular r:id="rId3" w:fontKey="{D27397E9-292F-48A6-8B48-665082561CDB}"/>
  </w:font>
  <w:font w:name="MingLiU">
    <w:altName w:val="PMingLiU-ExtB"/>
    <w:panose1 w:val="02020509000000000000"/>
    <w:charset w:val="88"/>
    <w:family w:val="modern"/>
    <w:pitch w:val="default"/>
    <w:sig w:usb0="00000000" w:usb1="00000000" w:usb2="00000016" w:usb3="00000000" w:csb0="00100001" w:csb1="00000000"/>
    <w:embedRegular r:id="rId4" w:fontKey="{D24F7B36-56D2-487C-A31B-4DC1B7266A24}"/>
  </w:font>
  <w:font w:name="PMingLiU-ExtB">
    <w:panose1 w:val="02020500000000000000"/>
    <w:charset w:val="88"/>
    <w:family w:val="auto"/>
    <w:pitch w:val="default"/>
    <w:sig w:usb0="8000002F" w:usb1="02000008" w:usb2="00000000" w:usb3="00000000" w:csb0="00100001" w:csb1="00000000"/>
  </w:font>
  <w:font w:name="Microsoft Sans Serif">
    <w:panose1 w:val="020B0604020202020204"/>
    <w:charset w:val="00"/>
    <w:family w:val="swiss"/>
    <w:pitch w:val="default"/>
    <w:sig w:usb0="E5002EFF" w:usb1="C000605B" w:usb2="00000029" w:usb3="00000000" w:csb0="200101FF" w:csb1="20280000"/>
    <w:embedRegular r:id="rId5" w:fontKey="{23B6D15D-B3B3-4D96-AEE0-FA7F913DAE62}"/>
  </w:font>
  <w:font w:name="仿宋_GB2312">
    <w:altName w:val="仿宋"/>
    <w:panose1 w:val="02010609030101010101"/>
    <w:charset w:val="86"/>
    <w:family w:val="auto"/>
    <w:pitch w:val="default"/>
    <w:sig w:usb0="00000000" w:usb1="00000000" w:usb2="00000000" w:usb3="00000000" w:csb0="00040000" w:csb1="00000000"/>
    <w:embedRegular r:id="rId6" w:fontKey="{82E059F9-E4C5-4327-9C78-4E3237A36B8A}"/>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C8967">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334A6">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rPr>
      <w:t>- 3 -</w:t>
    </w:r>
    <w:r>
      <w:fldChar w:fldCharType="end"/>
    </w:r>
  </w:p>
  <w:p w14:paraId="5CB9E9D8">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7F1B4">
    <w:pPr>
      <w:pStyle w:val="10"/>
      <w:jc w:val="center"/>
    </w:pPr>
    <w:r>
      <w:t xml:space="preserve">- </w:t>
    </w:r>
    <w:r>
      <w:fldChar w:fldCharType="begin"/>
    </w:r>
    <w:r>
      <w:instrText xml:space="preserve"> PAGE </w:instrText>
    </w:r>
    <w:r>
      <w:fldChar w:fldCharType="separate"/>
    </w:r>
    <w:r>
      <w:t>63</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E1F58">
    <w:pPr>
      <w:pStyle w:val="10"/>
      <w:framePr w:wrap="around" w:vAnchor="text" w:hAnchor="margin" w:xAlign="center" w:y="1"/>
      <w:rPr>
        <w:rStyle w:val="20"/>
      </w:rPr>
    </w:pPr>
    <w:r>
      <w:fldChar w:fldCharType="begin"/>
    </w:r>
    <w:r>
      <w:rPr>
        <w:rStyle w:val="20"/>
      </w:rPr>
      <w:instrText xml:space="preserve">PAGE  </w:instrText>
    </w:r>
    <w:r>
      <w:fldChar w:fldCharType="separate"/>
    </w:r>
    <w:r>
      <w:rPr>
        <w:rStyle w:val="20"/>
      </w:rPr>
      <w:t>264</w:t>
    </w:r>
    <w:r>
      <w:fldChar w:fldCharType="end"/>
    </w:r>
  </w:p>
  <w:p w14:paraId="59578B8B">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B7B48">
    <w:pPr>
      <w:spacing w:line="179" w:lineRule="auto"/>
      <w:ind w:left="41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C232F4">
                          <w:pPr>
                            <w:pStyle w:val="10"/>
                          </w:pPr>
                          <w:r>
                            <w:fldChar w:fldCharType="begin"/>
                          </w:r>
                          <w:r>
                            <w:instrText xml:space="preserve"> PAGE  \* MERGEFORMAT </w:instrText>
                          </w:r>
                          <w:r>
                            <w:fldChar w:fldCharType="separate"/>
                          </w:r>
                          <w:r>
                            <w:t>- 51 -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21C232F4">
                    <w:pPr>
                      <w:pStyle w:val="10"/>
                    </w:pPr>
                    <w:r>
                      <w:fldChar w:fldCharType="begin"/>
                    </w:r>
                    <w:r>
                      <w:instrText xml:space="preserve"> PAGE  \* MERGEFORMAT </w:instrText>
                    </w:r>
                    <w:r>
                      <w:fldChar w:fldCharType="separate"/>
                    </w:r>
                    <w:r>
                      <w:t>- 51 -</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5E3F1D">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425E3F1D">
                    <w:pPr>
                      <w:pStyle w:val="1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A801C">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297B6"/>
    <w:multiLevelType w:val="singleLevel"/>
    <w:tmpl w:val="8E6297B6"/>
    <w:lvl w:ilvl="0" w:tentative="0">
      <w:start w:val="3"/>
      <w:numFmt w:val="decimal"/>
      <w:suff w:val="nothing"/>
      <w:lvlText w:val="（%1）"/>
      <w:lvlJc w:val="left"/>
    </w:lvl>
  </w:abstractNum>
  <w:abstractNum w:abstractNumId="1">
    <w:nsid w:val="00000006"/>
    <w:multiLevelType w:val="singleLevel"/>
    <w:tmpl w:val="00000006"/>
    <w:lvl w:ilvl="0" w:tentative="0">
      <w:start w:val="1"/>
      <w:numFmt w:val="decimal"/>
      <w:suff w:val="nothing"/>
      <w:lvlText w:val="（%1）"/>
      <w:lvlJc w:val="left"/>
    </w:lvl>
  </w:abstractNum>
  <w:abstractNum w:abstractNumId="2">
    <w:nsid w:val="61027DAC"/>
    <w:multiLevelType w:val="singleLevel"/>
    <w:tmpl w:val="61027DAC"/>
    <w:lvl w:ilvl="0" w:tentative="0">
      <w:start w:val="1"/>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DE6293"/>
    <w:rsid w:val="090441B5"/>
    <w:rsid w:val="0CC17C52"/>
    <w:rsid w:val="0DE6032D"/>
    <w:rsid w:val="0DE7226D"/>
    <w:rsid w:val="10321608"/>
    <w:rsid w:val="15284D87"/>
    <w:rsid w:val="158F6B4C"/>
    <w:rsid w:val="1C2B73EB"/>
    <w:rsid w:val="1CFF6D38"/>
    <w:rsid w:val="1EBF706E"/>
    <w:rsid w:val="2019376E"/>
    <w:rsid w:val="242515DF"/>
    <w:rsid w:val="38787C50"/>
    <w:rsid w:val="3BBB17DC"/>
    <w:rsid w:val="3CA32DC2"/>
    <w:rsid w:val="42401397"/>
    <w:rsid w:val="4B180837"/>
    <w:rsid w:val="4D1607C8"/>
    <w:rsid w:val="4E4C2032"/>
    <w:rsid w:val="4FDF015D"/>
    <w:rsid w:val="543C32FB"/>
    <w:rsid w:val="60BE791B"/>
    <w:rsid w:val="60EB178E"/>
    <w:rsid w:val="65DE6293"/>
    <w:rsid w:val="677B0314"/>
    <w:rsid w:val="69E441CA"/>
    <w:rsid w:val="6A252F56"/>
    <w:rsid w:val="6A254BD0"/>
    <w:rsid w:val="6B25410B"/>
    <w:rsid w:val="6E115760"/>
    <w:rsid w:val="771340C5"/>
    <w:rsid w:val="7B5353D8"/>
    <w:rsid w:val="7C336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widowControl/>
      <w:spacing w:before="100" w:beforeAutospacing="1" w:after="100" w:afterAutospacing="1"/>
      <w:jc w:val="left"/>
      <w:outlineLvl w:val="4"/>
    </w:pPr>
    <w:rPr>
      <w:rFonts w:ascii="宋体" w:hAnsi="宋体" w:cs="宋体"/>
      <w:b/>
      <w:bCs/>
      <w:kern w:val="0"/>
      <w:sz w:val="20"/>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8">
    <w:name w:val="Body Text Indent"/>
    <w:basedOn w:val="1"/>
    <w:qFormat/>
    <w:uiPriority w:val="0"/>
    <w:pPr>
      <w:ind w:firstLine="407" w:firstLineChars="200"/>
    </w:pPr>
  </w:style>
  <w:style w:type="paragraph" w:styleId="9">
    <w:name w:val="toc 3"/>
    <w:basedOn w:val="5"/>
    <w:next w:val="1"/>
    <w:qFormat/>
    <w:uiPriority w:val="39"/>
    <w:pPr>
      <w:keepNext w:val="0"/>
      <w:keepLines w:val="0"/>
      <w:spacing w:before="0" w:after="0" w:line="240" w:lineRule="auto"/>
      <w:ind w:left="420"/>
      <w:jc w:val="left"/>
      <w:outlineLvl w:val="9"/>
    </w:pPr>
    <w:rPr>
      <w:b w:val="0"/>
      <w:bCs w:val="0"/>
      <w:i/>
      <w:iCs/>
      <w:sz w:val="20"/>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3"/>
    <w:next w:val="1"/>
    <w:qFormat/>
    <w:uiPriority w:val="39"/>
    <w:pPr>
      <w:keepNext w:val="0"/>
      <w:keepLines w:val="0"/>
      <w:spacing w:before="120" w:after="120" w:line="240" w:lineRule="auto"/>
      <w:jc w:val="left"/>
      <w:outlineLvl w:val="9"/>
    </w:pPr>
    <w:rPr>
      <w:caps/>
      <w:kern w:val="2"/>
      <w:sz w:val="20"/>
      <w:szCs w:val="20"/>
    </w:rPr>
  </w:style>
  <w:style w:type="paragraph" w:styleId="13">
    <w:name w:val="Subtitle"/>
    <w:basedOn w:val="1"/>
    <w:qFormat/>
    <w:uiPriority w:val="0"/>
    <w:pPr>
      <w:widowControl/>
      <w:jc w:val="center"/>
    </w:pPr>
    <w:rPr>
      <w:kern w:val="0"/>
      <w:sz w:val="20"/>
      <w:u w:val="single"/>
      <w:lang w:eastAsia="en-US"/>
    </w:rPr>
  </w:style>
  <w:style w:type="paragraph" w:styleId="14">
    <w:name w:val="toc 2"/>
    <w:basedOn w:val="4"/>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1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8"/>
    <w:qFormat/>
    <w:uiPriority w:val="0"/>
    <w:pPr>
      <w:ind w:firstLine="42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annotation reference"/>
    <w:qFormat/>
    <w:uiPriority w:val="0"/>
    <w:rPr>
      <w:sz w:val="21"/>
      <w:szCs w:val="21"/>
    </w:rPr>
  </w:style>
  <w:style w:type="paragraph" w:customStyle="1" w:styleId="22">
    <w:name w:val="_Style 56"/>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3">
    <w:name w:val="pa-34"/>
    <w:basedOn w:val="1"/>
    <w:qFormat/>
    <w:uiPriority w:val="0"/>
    <w:pPr>
      <w:widowControl/>
      <w:spacing w:line="360" w:lineRule="atLeast"/>
      <w:ind w:firstLine="420"/>
      <w:jc w:val="left"/>
    </w:pPr>
    <w:rPr>
      <w:rFonts w:ascii="宋体" w:hAnsi="宋体" w:cs="宋体"/>
      <w:kern w:val="0"/>
      <w:sz w:val="24"/>
    </w:rPr>
  </w:style>
  <w:style w:type="paragraph" w:customStyle="1" w:styleId="24">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6">
    <w:name w:val="列出段落11"/>
    <w:basedOn w:val="1"/>
    <w:qFormat/>
    <w:uiPriority w:val="0"/>
    <w:pPr>
      <w:ind w:firstLine="420" w:firstLineChars="200"/>
    </w:pPr>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204</Pages>
  <Words>7595</Words>
  <Characters>8321</Characters>
  <Lines>0</Lines>
  <Paragraphs>0</Paragraphs>
  <TotalTime>0</TotalTime>
  <ScaleCrop>false</ScaleCrop>
  <LinksUpToDate>false</LinksUpToDate>
  <CharactersWithSpaces>8768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2026-07-21T06:07:00Z</dcterms:created>
  <dc:creator>彭爽</dc:creator>
  <cp:lastModifiedBy>彭爽</cp:lastModifiedBy>
  <dcterms:modified xsi:type="dcterms:W3CDTF">2026-07-27T04:03:55Z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02BEAA5A1F19430F93D76B812FA54EB2_11</vt:lpwstr>
  </property>
  <property fmtid="{D5CDD505-2E9C-101B-9397-08002B2CF9AE}" pid="4" name="KSOTemplateDocerSaveRecord">
    <vt:lpwstr>eyJoZGlkIjoiN2RkYzRiNTFhMTA3MjcwN2YxZGE5YzdhODc0ZDk4NjQiLCJ1c2VySWQiOiIxMjI4NDM5NSJ9</vt:lpwstr>
  </property>
</Properties>
</file>