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7BDB">
      <w:pPr>
        <w:jc w:val="center"/>
        <w:rPr>
          <w:rFonts w:hint="eastAsia" w:ascii="宋体" w:hAnsi="宋体" w:eastAsia="宋体" w:cs="宋体"/>
          <w:b/>
          <w:bCs/>
          <w:color w:val="auto"/>
          <w:sz w:val="32"/>
          <w:szCs w:val="32"/>
          <w:highlight w:val="none"/>
          <w:lang w:eastAsia="zh-CN"/>
        </w:rPr>
      </w:pPr>
      <w:bookmarkStart w:id="0" w:name="_Toc23975"/>
      <w:bookmarkStart w:id="1" w:name="_Toc75793506"/>
      <w:bookmarkStart w:id="2" w:name="_Toc28205"/>
      <w:bookmarkStart w:id="3" w:name="_Toc10143"/>
      <w:bookmarkStart w:id="4" w:name="_Toc7792"/>
      <w:bookmarkStart w:id="5" w:name="_Toc27067"/>
      <w:bookmarkStart w:id="6" w:name="_Toc695"/>
      <w:bookmarkStart w:id="7" w:name="_Toc5751"/>
      <w:bookmarkStart w:id="8" w:name="_Toc32262"/>
      <w:bookmarkStart w:id="9" w:name="_Toc12568"/>
      <w:bookmarkStart w:id="10" w:name="_Toc21817"/>
      <w:bookmarkStart w:id="11" w:name="_Toc18903"/>
      <w:bookmarkStart w:id="12" w:name="_Toc106030382"/>
      <w:bookmarkStart w:id="13" w:name="_Toc15696"/>
      <w:bookmarkStart w:id="14" w:name="_Toc18800"/>
      <w:bookmarkStart w:id="15" w:name="_Toc26453"/>
      <w:r>
        <w:rPr>
          <w:rFonts w:hint="eastAsia" w:ascii="宋体" w:hAnsi="宋体" w:cs="宋体"/>
          <w:b/>
          <w:bCs/>
          <w:color w:val="auto"/>
          <w:sz w:val="32"/>
          <w:szCs w:val="32"/>
          <w:highlight w:val="none"/>
          <w:lang w:eastAsia="zh-CN"/>
        </w:rPr>
        <w:t>重庆市王朴中学食堂大宗物资及配送服务项目</w:t>
      </w:r>
    </w:p>
    <w:p w14:paraId="51D030B5">
      <w:pPr>
        <w:pStyle w:val="4"/>
        <w:spacing w:line="400" w:lineRule="exact"/>
        <w:ind w:firstLine="3855" w:firstLineChars="12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更正</w:t>
      </w:r>
      <w:r>
        <w:rPr>
          <w:rFonts w:hint="eastAsia" w:ascii="宋体" w:hAnsi="宋体" w:eastAsia="宋体" w:cs="宋体"/>
          <w:b/>
          <w:bCs/>
          <w:color w:val="auto"/>
          <w:sz w:val="32"/>
          <w:szCs w:val="32"/>
          <w:highlight w:val="none"/>
          <w:lang w:eastAsia="zh-CN"/>
        </w:rPr>
        <w:t>文件（</w:t>
      </w:r>
      <w:r>
        <w:rPr>
          <w:rFonts w:hint="eastAsia"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eastAsia="zh-CN"/>
        </w:rPr>
        <w:t>）</w:t>
      </w:r>
    </w:p>
    <w:p w14:paraId="4B1F200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至各潜在投标人：</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AEC3BB4">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本项目招标文件第四篇 资格审查及评标办法 三、评标标准 评审因素部分修改如下：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57"/>
        <w:gridCol w:w="3646"/>
        <w:gridCol w:w="3647"/>
      </w:tblGrid>
      <w:tr w14:paraId="64E4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23263A36">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包号及名称</w:t>
            </w:r>
          </w:p>
        </w:tc>
        <w:tc>
          <w:tcPr>
            <w:tcW w:w="1457" w:type="dxa"/>
            <w:vAlign w:val="center"/>
          </w:tcPr>
          <w:p w14:paraId="1CA3D071">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条款号</w:t>
            </w:r>
          </w:p>
        </w:tc>
        <w:tc>
          <w:tcPr>
            <w:tcW w:w="0" w:type="auto"/>
            <w:vAlign w:val="center"/>
          </w:tcPr>
          <w:p w14:paraId="1A660872">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原招标文件</w:t>
            </w:r>
          </w:p>
        </w:tc>
        <w:tc>
          <w:tcPr>
            <w:tcW w:w="0" w:type="auto"/>
            <w:vAlign w:val="center"/>
          </w:tcPr>
          <w:p w14:paraId="5FC3DD53">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修改后招标文件</w:t>
            </w:r>
          </w:p>
        </w:tc>
      </w:tr>
      <w:tr w14:paraId="5690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restart"/>
            <w:vAlign w:val="center"/>
          </w:tcPr>
          <w:p w14:paraId="0830E1D9">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包2：干副类</w:t>
            </w:r>
          </w:p>
        </w:tc>
        <w:tc>
          <w:tcPr>
            <w:tcW w:w="1457" w:type="dxa"/>
            <w:vAlign w:val="center"/>
          </w:tcPr>
          <w:p w14:paraId="0278EB60">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 xml:space="preserve">第四章 资格审查及评标办法 三、评标标准 商务部分 </w:t>
            </w:r>
            <w:r>
              <w:rPr>
                <w:rFonts w:hint="eastAsia" w:ascii="宋体" w:hAnsi="宋体" w:eastAsia="宋体" w:cs="宋体"/>
                <w:color w:val="auto"/>
                <w:sz w:val="24"/>
                <w:szCs w:val="24"/>
                <w:highlight w:val="none"/>
              </w:rPr>
              <w:t>食品安全保障能力</w:t>
            </w:r>
          </w:p>
          <w:p w14:paraId="7194BC2F">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0" w:type="auto"/>
            <w:vAlign w:val="center"/>
          </w:tcPr>
          <w:p w14:paraId="658F773F">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2.投标人承诺中标后为本项目专门购买食品安全责任险且保险累计赔付金额6000万元（含）以上得3分，6000万元（不含）—3000万元（不含）得2分，3000万元（含）及以下得1分。</w:t>
            </w:r>
          </w:p>
        </w:tc>
        <w:tc>
          <w:tcPr>
            <w:tcW w:w="0" w:type="auto"/>
            <w:vAlign w:val="center"/>
          </w:tcPr>
          <w:p w14:paraId="1BE019EF">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2.投标人承诺中标后为本项目专门购买食品安全责任险且保险累计赔付金额6000万元（含）以上</w:t>
            </w:r>
            <w:r>
              <w:rPr>
                <w:rFonts w:hint="eastAsia" w:ascii="宋体" w:hAnsi="宋体" w:eastAsia="宋体" w:cs="宋体"/>
                <w:b/>
                <w:bCs/>
                <w:color w:val="auto"/>
                <w:kern w:val="2"/>
                <w:sz w:val="24"/>
                <w:szCs w:val="24"/>
                <w:highlight w:val="none"/>
                <w:lang w:val="en-US" w:eastAsia="zh-CN" w:bidi="ar-SA"/>
              </w:rPr>
              <w:t>得6分</w:t>
            </w:r>
            <w:r>
              <w:rPr>
                <w:rFonts w:hint="eastAsia" w:ascii="宋体" w:hAnsi="宋体" w:eastAsia="宋体" w:cs="宋体"/>
                <w:color w:val="auto"/>
                <w:kern w:val="2"/>
                <w:sz w:val="24"/>
                <w:szCs w:val="24"/>
                <w:highlight w:val="none"/>
                <w:lang w:val="en-US" w:eastAsia="zh-CN" w:bidi="ar-SA"/>
              </w:rPr>
              <w:t>，6000万元（不含）—3000万元（不含）</w:t>
            </w:r>
            <w:r>
              <w:rPr>
                <w:rFonts w:hint="eastAsia" w:ascii="宋体" w:hAnsi="宋体" w:eastAsia="宋体" w:cs="宋体"/>
                <w:b/>
                <w:bCs/>
                <w:color w:val="auto"/>
                <w:kern w:val="2"/>
                <w:sz w:val="24"/>
                <w:szCs w:val="24"/>
                <w:highlight w:val="none"/>
                <w:lang w:val="en-US" w:eastAsia="zh-CN" w:bidi="ar-SA"/>
              </w:rPr>
              <w:t>得4分</w:t>
            </w:r>
            <w:r>
              <w:rPr>
                <w:rFonts w:hint="eastAsia" w:ascii="宋体" w:hAnsi="宋体" w:eastAsia="宋体" w:cs="宋体"/>
                <w:color w:val="auto"/>
                <w:kern w:val="2"/>
                <w:sz w:val="24"/>
                <w:szCs w:val="24"/>
                <w:highlight w:val="none"/>
                <w:lang w:val="en-US" w:eastAsia="zh-CN" w:bidi="ar-SA"/>
              </w:rPr>
              <w:t>，3000万元（含）及以下</w:t>
            </w:r>
            <w:r>
              <w:rPr>
                <w:rFonts w:hint="eastAsia" w:ascii="宋体" w:hAnsi="宋体" w:eastAsia="宋体" w:cs="宋体"/>
                <w:b/>
                <w:bCs/>
                <w:color w:val="auto"/>
                <w:kern w:val="2"/>
                <w:sz w:val="24"/>
                <w:szCs w:val="24"/>
                <w:highlight w:val="none"/>
                <w:lang w:val="en-US" w:eastAsia="zh-CN" w:bidi="ar-SA"/>
              </w:rPr>
              <w:t>得2分。</w:t>
            </w:r>
          </w:p>
        </w:tc>
      </w:tr>
      <w:tr w14:paraId="281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Merge w:val="continue"/>
            <w:vAlign w:val="center"/>
          </w:tcPr>
          <w:p w14:paraId="69A7A271">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1457" w:type="dxa"/>
            <w:vAlign w:val="center"/>
          </w:tcPr>
          <w:p w14:paraId="0FB2069B">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第四章 资格审查及评标办法 三、评标标准 商务部分 供货实力</w:t>
            </w:r>
          </w:p>
        </w:tc>
        <w:tc>
          <w:tcPr>
            <w:tcW w:w="0" w:type="auto"/>
            <w:vAlign w:val="center"/>
          </w:tcPr>
          <w:p w14:paraId="345413B4">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投标人与干副调料</w:t>
            </w:r>
            <w:r>
              <w:rPr>
                <w:rFonts w:hint="eastAsia" w:ascii="宋体" w:hAnsi="宋体" w:eastAsia="宋体" w:cs="宋体"/>
                <w:color w:val="auto"/>
                <w:sz w:val="24"/>
                <w:szCs w:val="24"/>
                <w:highlight w:val="none"/>
                <w:lang w:val="en-US" w:eastAsia="zh-CN"/>
              </w:rPr>
              <w:t>授权代理商</w:t>
            </w:r>
            <w:r>
              <w:rPr>
                <w:rFonts w:hint="eastAsia" w:ascii="宋体" w:hAnsi="宋体" w:eastAsia="宋体" w:cs="宋体"/>
                <w:color w:val="auto"/>
                <w:sz w:val="24"/>
                <w:szCs w:val="24"/>
                <w:highlight w:val="none"/>
              </w:rPr>
              <w:t>或预包装食品类生产厂家有定期合作关系的，每提供一个得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.5分，最多得5分。</w:t>
            </w:r>
          </w:p>
        </w:tc>
        <w:tc>
          <w:tcPr>
            <w:tcW w:w="0" w:type="auto"/>
            <w:vAlign w:val="center"/>
          </w:tcPr>
          <w:p w14:paraId="76EBF342">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投标人与干副调料</w:t>
            </w:r>
            <w:r>
              <w:rPr>
                <w:rFonts w:hint="eastAsia" w:ascii="宋体" w:hAnsi="宋体" w:eastAsia="宋体" w:cs="宋体"/>
                <w:color w:val="auto"/>
                <w:sz w:val="24"/>
                <w:szCs w:val="24"/>
                <w:highlight w:val="none"/>
                <w:lang w:val="en-US" w:eastAsia="zh-CN"/>
              </w:rPr>
              <w:t>授权代理商</w:t>
            </w:r>
            <w:r>
              <w:rPr>
                <w:rFonts w:hint="eastAsia" w:ascii="宋体" w:hAnsi="宋体" w:eastAsia="宋体" w:cs="宋体"/>
                <w:color w:val="auto"/>
                <w:sz w:val="24"/>
                <w:szCs w:val="24"/>
                <w:highlight w:val="none"/>
              </w:rPr>
              <w:t>或预包装食品类生产厂家有定期合作关系的，每提供一个</w:t>
            </w:r>
            <w:r>
              <w:rPr>
                <w:rFonts w:hint="eastAsia" w:ascii="宋体" w:hAnsi="宋体" w:eastAsia="宋体" w:cs="宋体"/>
                <w:b/>
                <w:bCs/>
                <w:color w:val="auto"/>
                <w:sz w:val="24"/>
                <w:szCs w:val="24"/>
                <w:highlight w:val="none"/>
              </w:rPr>
              <w:t>得</w:t>
            </w:r>
            <w:r>
              <w:rPr>
                <w:rFonts w:hint="eastAsia" w:ascii="宋体" w:hAnsi="宋体" w:eastAsia="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最多得</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w:t>
            </w:r>
          </w:p>
        </w:tc>
      </w:tr>
    </w:tbl>
    <w:p w14:paraId="218CBC4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b w:val="0"/>
          <w:color w:val="auto"/>
          <w:kern w:val="2"/>
          <w:sz w:val="21"/>
          <w:szCs w:val="21"/>
          <w:highlight w:val="none"/>
          <w:lang w:val="en-US" w:eastAsia="zh-CN" w:bidi="ar-S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479"/>
        <w:gridCol w:w="3621"/>
        <w:gridCol w:w="3670"/>
      </w:tblGrid>
      <w:tr w14:paraId="1C74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1EE76BD4">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包号及名称</w:t>
            </w:r>
          </w:p>
        </w:tc>
        <w:tc>
          <w:tcPr>
            <w:tcW w:w="1479" w:type="dxa"/>
            <w:vAlign w:val="center"/>
          </w:tcPr>
          <w:p w14:paraId="0B97389C">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条款号</w:t>
            </w:r>
          </w:p>
        </w:tc>
        <w:tc>
          <w:tcPr>
            <w:tcW w:w="0" w:type="auto"/>
            <w:vAlign w:val="center"/>
          </w:tcPr>
          <w:p w14:paraId="25754A49">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原招标文件</w:t>
            </w:r>
          </w:p>
        </w:tc>
        <w:tc>
          <w:tcPr>
            <w:tcW w:w="0" w:type="auto"/>
            <w:vAlign w:val="center"/>
          </w:tcPr>
          <w:p w14:paraId="481AF138">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修改后招标文件</w:t>
            </w:r>
          </w:p>
        </w:tc>
      </w:tr>
      <w:tr w14:paraId="5EBD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vAlign w:val="center"/>
          </w:tcPr>
          <w:p w14:paraId="3969CEC6">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包3：</w:t>
            </w:r>
            <w:r>
              <w:rPr>
                <w:rFonts w:hint="eastAsia" w:ascii="宋体" w:hAnsi="宋体" w:eastAsia="宋体" w:cs="宋体"/>
                <w:b/>
                <w:bCs/>
                <w:color w:val="auto"/>
                <w:sz w:val="24"/>
                <w:szCs w:val="24"/>
                <w:highlight w:val="none"/>
                <w:lang w:val="en-US" w:eastAsia="zh-CN"/>
              </w:rPr>
              <w:t>面食类</w:t>
            </w:r>
          </w:p>
          <w:p w14:paraId="31854D6A">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1479" w:type="dxa"/>
            <w:vAlign w:val="center"/>
          </w:tcPr>
          <w:p w14:paraId="2469EBC3">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baseline"/>
                <w:lang w:val="en-US" w:eastAsia="zh-CN"/>
              </w:rPr>
              <w:t xml:space="preserve">第四章 资格审查及评标办法 三、评标标准 商务部分 </w:t>
            </w:r>
            <w:r>
              <w:rPr>
                <w:rFonts w:hint="eastAsia" w:ascii="宋体" w:hAnsi="宋体" w:eastAsia="宋体" w:cs="宋体"/>
                <w:color w:val="auto"/>
                <w:sz w:val="24"/>
                <w:szCs w:val="24"/>
                <w:highlight w:val="none"/>
              </w:rPr>
              <w:t>食品安全保障能力</w:t>
            </w:r>
          </w:p>
          <w:p w14:paraId="5DCA0F72">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0" w:type="auto"/>
            <w:vAlign w:val="center"/>
          </w:tcPr>
          <w:p w14:paraId="23E77B0B">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1.拟派驻本项目的配送人员在满足1人的基础上每增加1人得1分，最多得2分。</w:t>
            </w:r>
          </w:p>
        </w:tc>
        <w:tc>
          <w:tcPr>
            <w:tcW w:w="0" w:type="auto"/>
            <w:vAlign w:val="center"/>
          </w:tcPr>
          <w:p w14:paraId="5B45A526">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1.拟派驻本项目的配送人员在满足1人的基础上每增加1人得1分，</w:t>
            </w:r>
            <w:r>
              <w:rPr>
                <w:rFonts w:hint="eastAsia" w:ascii="宋体" w:hAnsi="宋体" w:eastAsia="宋体" w:cs="宋体"/>
                <w:b/>
                <w:bCs/>
                <w:color w:val="auto"/>
                <w:kern w:val="2"/>
                <w:sz w:val="24"/>
                <w:szCs w:val="24"/>
                <w:highlight w:val="none"/>
                <w:lang w:val="en-US" w:eastAsia="zh-CN" w:bidi="ar-SA"/>
              </w:rPr>
              <w:t>最多得4分</w:t>
            </w:r>
            <w:r>
              <w:rPr>
                <w:rFonts w:hint="eastAsia" w:ascii="宋体" w:hAnsi="宋体" w:eastAsia="宋体" w:cs="宋体"/>
                <w:color w:val="auto"/>
                <w:kern w:val="2"/>
                <w:sz w:val="24"/>
                <w:szCs w:val="24"/>
                <w:highlight w:val="none"/>
                <w:lang w:val="en-US" w:eastAsia="zh-CN" w:bidi="ar-SA"/>
              </w:rPr>
              <w:t>。</w:t>
            </w:r>
          </w:p>
        </w:tc>
      </w:tr>
      <w:tr w14:paraId="1A9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vAlign w:val="center"/>
          </w:tcPr>
          <w:p w14:paraId="6C3AE92D">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1479" w:type="dxa"/>
            <w:vAlign w:val="center"/>
          </w:tcPr>
          <w:p w14:paraId="6357A908">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第四章 资格审查及评标办法 三、评标标准 商务部分 </w:t>
            </w:r>
            <w:r>
              <w:rPr>
                <w:rFonts w:hint="eastAsia" w:ascii="宋体" w:hAnsi="宋体" w:eastAsia="宋体" w:cs="宋体"/>
                <w:color w:val="auto"/>
                <w:sz w:val="24"/>
                <w:szCs w:val="24"/>
                <w:highlight w:val="none"/>
              </w:rPr>
              <w:t>配送能力及保障</w:t>
            </w:r>
          </w:p>
        </w:tc>
        <w:tc>
          <w:tcPr>
            <w:tcW w:w="0" w:type="auto"/>
            <w:vAlign w:val="center"/>
          </w:tcPr>
          <w:p w14:paraId="266A5634">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.投标人为本项目配备的普通车辆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投标人为本项目配备的车辆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分，每增加1辆加</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分。本小项最高得分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分。未按要求提供不得分。</w:t>
            </w:r>
          </w:p>
        </w:tc>
        <w:tc>
          <w:tcPr>
            <w:tcW w:w="0" w:type="auto"/>
            <w:vAlign w:val="center"/>
          </w:tcPr>
          <w:p w14:paraId="22F4B516">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.投标人为本项目配备的普通车辆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投标人为本项目配备的车辆</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辆得</w:t>
            </w:r>
            <w:r>
              <w:rPr>
                <w:rFonts w:hint="eastAsia" w:ascii="宋体" w:hAnsi="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每增加1辆加</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。本小项最高得分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分。未按要求提供不得分。</w:t>
            </w:r>
          </w:p>
        </w:tc>
      </w:tr>
    </w:tbl>
    <w:p w14:paraId="3714EDBF">
      <w:pPr>
        <w:pStyle w:val="2"/>
        <w:pageBreakBefore w:val="0"/>
        <w:widowControl w:val="0"/>
        <w:kinsoku/>
        <w:wordWrap/>
        <w:overflowPunct/>
        <w:topLinePunct w:val="0"/>
        <w:autoSpaceDE/>
        <w:autoSpaceDN/>
        <w:bidi w:val="0"/>
        <w:spacing w:line="400" w:lineRule="exact"/>
        <w:textAlignment w:val="auto"/>
        <w:rPr>
          <w:rFonts w:hint="eastAsia"/>
          <w:highlight w:val="none"/>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479"/>
        <w:gridCol w:w="3620"/>
        <w:gridCol w:w="3671"/>
      </w:tblGrid>
      <w:tr w14:paraId="1622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496FB0A1">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包号及名称</w:t>
            </w:r>
          </w:p>
        </w:tc>
        <w:tc>
          <w:tcPr>
            <w:tcW w:w="1479" w:type="dxa"/>
            <w:vAlign w:val="center"/>
          </w:tcPr>
          <w:p w14:paraId="2CFD97B5">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条款号</w:t>
            </w:r>
          </w:p>
        </w:tc>
        <w:tc>
          <w:tcPr>
            <w:tcW w:w="0" w:type="auto"/>
            <w:vAlign w:val="center"/>
          </w:tcPr>
          <w:p w14:paraId="1A4C418B">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原招标文件</w:t>
            </w:r>
          </w:p>
        </w:tc>
        <w:tc>
          <w:tcPr>
            <w:tcW w:w="0" w:type="auto"/>
            <w:vAlign w:val="center"/>
          </w:tcPr>
          <w:p w14:paraId="292DE978">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修改后招标文件</w:t>
            </w:r>
          </w:p>
        </w:tc>
      </w:tr>
      <w:tr w14:paraId="3CC5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vAlign w:val="center"/>
          </w:tcPr>
          <w:p w14:paraId="07F8263B">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包</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水果</w:t>
            </w:r>
            <w:r>
              <w:rPr>
                <w:rFonts w:hint="eastAsia" w:ascii="宋体" w:hAnsi="宋体" w:eastAsia="宋体" w:cs="宋体"/>
                <w:b/>
                <w:bCs/>
                <w:color w:val="auto"/>
                <w:sz w:val="24"/>
                <w:szCs w:val="24"/>
                <w:highlight w:val="none"/>
              </w:rPr>
              <w:t>类</w:t>
            </w:r>
          </w:p>
          <w:p w14:paraId="7757F2C4">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1479" w:type="dxa"/>
            <w:vAlign w:val="center"/>
          </w:tcPr>
          <w:p w14:paraId="19A46296">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第四章 资格审查及评标办法 三、评标标准 </w:t>
            </w:r>
            <w:r>
              <w:rPr>
                <w:rFonts w:hint="eastAsia" w:ascii="宋体" w:hAnsi="宋体" w:eastAsia="宋体" w:cs="宋体"/>
                <w:color w:val="auto"/>
                <w:sz w:val="24"/>
                <w:szCs w:val="24"/>
                <w:highlight w:val="none"/>
              </w:rPr>
              <w:t>投标报价</w:t>
            </w:r>
          </w:p>
        </w:tc>
        <w:tc>
          <w:tcPr>
            <w:tcW w:w="0" w:type="auto"/>
            <w:vAlign w:val="center"/>
          </w:tcPr>
          <w:p w14:paraId="3D0BA374">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最终报价有效的投标折扣报价中的最低折扣报价为评审基准折扣，其价格分为满分。其他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的价格分统一按照下列公式计算：</w:t>
            </w:r>
          </w:p>
          <w:p w14:paraId="69E9F0BB">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投标折扣报价得分＝（评审基准折扣/报价折扣）×</w:t>
            </w:r>
            <w:r>
              <w:rPr>
                <w:rFonts w:hint="default" w:ascii="宋体" w:hAnsi="宋体" w:eastAsia="宋体" w:cs="宋体"/>
                <w:color w:val="auto"/>
                <w:sz w:val="24"/>
                <w:szCs w:val="24"/>
                <w:highlight w:val="none"/>
                <w:lang w:val="en-US"/>
              </w:rPr>
              <w:t>20</w:t>
            </w:r>
            <w:r>
              <w:rPr>
                <w:rFonts w:hint="eastAsia" w:ascii="宋体" w:hAnsi="宋体" w:eastAsia="宋体" w:cs="宋体"/>
                <w:color w:val="auto"/>
                <w:sz w:val="24"/>
                <w:szCs w:val="24"/>
                <w:highlight w:val="none"/>
              </w:rPr>
              <w:t>分</w:t>
            </w:r>
            <w:r>
              <w:rPr>
                <w:rFonts w:hint="eastAsia" w:ascii="宋体" w:hAnsi="宋体" w:eastAsia="宋体" w:cs="宋体"/>
                <w:color w:val="auto"/>
                <w:kern w:val="2"/>
                <w:sz w:val="24"/>
                <w:szCs w:val="24"/>
                <w:highlight w:val="none"/>
                <w:lang w:val="en-US" w:eastAsia="zh-CN" w:bidi="ar-SA"/>
              </w:rPr>
              <w:t>。</w:t>
            </w:r>
          </w:p>
        </w:tc>
        <w:tc>
          <w:tcPr>
            <w:tcW w:w="0" w:type="auto"/>
            <w:vAlign w:val="center"/>
          </w:tcPr>
          <w:p w14:paraId="0A87FF39">
            <w:pPr>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最终报价有效的投标折扣报价中的最低折扣报价为评审基准折扣，其价格分为满分。其他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的价格分统一按照下列公式计算：</w:t>
            </w:r>
          </w:p>
          <w:p w14:paraId="0CFBE55B">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投标折扣报价得分＝（评审基准折扣/报价折扣）</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r>
              <w:rPr>
                <w:rFonts w:hint="eastAsia" w:ascii="宋体" w:hAnsi="宋体" w:eastAsia="宋体" w:cs="宋体"/>
                <w:color w:val="auto"/>
                <w:kern w:val="2"/>
                <w:sz w:val="24"/>
                <w:szCs w:val="24"/>
                <w:highlight w:val="none"/>
                <w:lang w:val="en-US" w:eastAsia="zh-CN" w:bidi="ar-SA"/>
              </w:rPr>
              <w:t>。</w:t>
            </w:r>
          </w:p>
        </w:tc>
      </w:tr>
      <w:tr w14:paraId="060F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vAlign w:val="center"/>
          </w:tcPr>
          <w:p w14:paraId="33B3674B">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1479" w:type="dxa"/>
            <w:vAlign w:val="center"/>
          </w:tcPr>
          <w:p w14:paraId="4585BE64">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第四章 资格审查及评标办法 三、评标标准 商务部分 </w:t>
            </w:r>
            <w:r>
              <w:rPr>
                <w:rFonts w:hint="eastAsia" w:ascii="宋体" w:hAnsi="宋体" w:eastAsia="宋体" w:cs="宋体"/>
                <w:color w:val="auto"/>
                <w:sz w:val="24"/>
                <w:szCs w:val="24"/>
                <w:highlight w:val="none"/>
              </w:rPr>
              <w:t>食品安全保障能力</w:t>
            </w:r>
          </w:p>
        </w:tc>
        <w:tc>
          <w:tcPr>
            <w:tcW w:w="0" w:type="auto"/>
            <w:vAlign w:val="center"/>
          </w:tcPr>
          <w:p w14:paraId="59D78A9A">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1.拟派驻本项目的配送人员</w:t>
            </w:r>
            <w:r>
              <w:rPr>
                <w:rFonts w:hint="eastAsia" w:ascii="宋体" w:hAnsi="宋体" w:cs="宋体"/>
                <w:color w:val="auto"/>
                <w:sz w:val="24"/>
                <w:szCs w:val="24"/>
                <w:highlight w:val="none"/>
                <w:lang w:val="en-US" w:eastAsia="zh-CN"/>
              </w:rPr>
              <w:t>在满足1人的基础上</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增加</w:t>
            </w:r>
            <w:r>
              <w:rPr>
                <w:rFonts w:hint="eastAsia" w:ascii="宋体" w:hAnsi="宋体" w:eastAsia="宋体" w:cs="宋体"/>
                <w:color w:val="auto"/>
                <w:sz w:val="24"/>
                <w:szCs w:val="24"/>
                <w:highlight w:val="none"/>
              </w:rPr>
              <w:t>1人得1分，最多得2分。</w:t>
            </w:r>
          </w:p>
        </w:tc>
        <w:tc>
          <w:tcPr>
            <w:tcW w:w="0" w:type="auto"/>
            <w:vAlign w:val="center"/>
          </w:tcPr>
          <w:p w14:paraId="733AD8AE">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1.拟派驻本项目的配送人员</w:t>
            </w:r>
            <w:r>
              <w:rPr>
                <w:rFonts w:hint="eastAsia" w:ascii="宋体" w:hAnsi="宋体" w:cs="宋体"/>
                <w:color w:val="auto"/>
                <w:sz w:val="24"/>
                <w:szCs w:val="24"/>
                <w:highlight w:val="none"/>
                <w:lang w:val="en-US" w:eastAsia="zh-CN"/>
              </w:rPr>
              <w:t>在满足1人的基础上</w:t>
            </w: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val="en-US" w:eastAsia="zh-CN"/>
              </w:rPr>
              <w:t>增加</w:t>
            </w:r>
            <w:r>
              <w:rPr>
                <w:rFonts w:hint="eastAsia" w:ascii="宋体" w:hAnsi="宋体" w:eastAsia="宋体" w:cs="宋体"/>
                <w:color w:val="auto"/>
                <w:sz w:val="24"/>
                <w:szCs w:val="24"/>
                <w:highlight w:val="none"/>
              </w:rPr>
              <w:t>1人得1分，</w:t>
            </w:r>
            <w:r>
              <w:rPr>
                <w:rFonts w:hint="eastAsia" w:ascii="宋体" w:hAnsi="宋体" w:eastAsia="宋体" w:cs="宋体"/>
                <w:b/>
                <w:bCs/>
                <w:color w:val="auto"/>
                <w:sz w:val="24"/>
                <w:szCs w:val="24"/>
                <w:highlight w:val="none"/>
              </w:rPr>
              <w:t>最多得</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w:t>
            </w:r>
          </w:p>
        </w:tc>
      </w:tr>
      <w:tr w14:paraId="596C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vAlign w:val="center"/>
          </w:tcPr>
          <w:p w14:paraId="25F3E0F6">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both"/>
              <w:textAlignment w:val="auto"/>
              <w:rPr>
                <w:rFonts w:hint="eastAsia" w:ascii="宋体" w:hAnsi="宋体" w:eastAsia="宋体" w:cs="宋体"/>
                <w:color w:val="auto"/>
                <w:sz w:val="24"/>
                <w:szCs w:val="24"/>
                <w:highlight w:val="none"/>
                <w:vertAlign w:val="baseline"/>
                <w:lang w:val="en-US" w:eastAsia="zh-CN"/>
              </w:rPr>
            </w:pPr>
          </w:p>
        </w:tc>
        <w:tc>
          <w:tcPr>
            <w:tcW w:w="1479" w:type="dxa"/>
            <w:vAlign w:val="center"/>
          </w:tcPr>
          <w:p w14:paraId="7915FE70">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第四章 资格审查及评标办法 三、评标标准 商务部分 </w:t>
            </w:r>
            <w:r>
              <w:rPr>
                <w:rFonts w:hint="eastAsia" w:ascii="宋体" w:hAnsi="宋体" w:eastAsia="宋体" w:cs="宋体"/>
                <w:color w:val="auto"/>
                <w:sz w:val="24"/>
                <w:szCs w:val="24"/>
                <w:highlight w:val="none"/>
              </w:rPr>
              <w:t>食品安全保障能力配送能力及保障</w:t>
            </w:r>
          </w:p>
        </w:tc>
        <w:tc>
          <w:tcPr>
            <w:tcW w:w="0" w:type="auto"/>
            <w:vAlign w:val="center"/>
          </w:tcPr>
          <w:p w14:paraId="0B0C9942">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.投标人为本项目配备的普通车辆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投标人为本项目配备的车辆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分，每增加1辆加</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分。本小项最高得分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分。未按要求提供不得分</w:t>
            </w:r>
          </w:p>
        </w:tc>
        <w:tc>
          <w:tcPr>
            <w:tcW w:w="0" w:type="auto"/>
            <w:vAlign w:val="center"/>
          </w:tcPr>
          <w:p w14:paraId="59894C74">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.投标人为本项目配备的普通车辆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投标人为本项目配备的车辆</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辆</w:t>
            </w:r>
            <w:r>
              <w:rPr>
                <w:rFonts w:hint="eastAsia" w:ascii="宋体" w:hAnsi="宋体" w:eastAsia="宋体" w:cs="宋体"/>
                <w:b/>
                <w:bCs/>
                <w:color w:val="auto"/>
                <w:sz w:val="24"/>
                <w:szCs w:val="24"/>
                <w:highlight w:val="none"/>
              </w:rPr>
              <w:t>得</w:t>
            </w:r>
            <w:r>
              <w:rPr>
                <w:rFonts w:hint="eastAsia" w:ascii="宋体" w:hAnsi="宋体" w:cs="宋体"/>
                <w:b/>
                <w:bCs/>
                <w:color w:val="auto"/>
                <w:sz w:val="24"/>
                <w:szCs w:val="24"/>
                <w:highlight w:val="none"/>
                <w:lang w:val="en-US" w:eastAsia="zh-CN"/>
              </w:rPr>
              <w:t>3.5</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rPr>
              <w:t>每增加1辆加</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分。本小项最高得分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分。未按要求提供不得分</w:t>
            </w:r>
          </w:p>
        </w:tc>
      </w:tr>
      <w:tr w14:paraId="55FB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6" w:type="dxa"/>
            <w:gridSpan w:val="4"/>
            <w:vAlign w:val="center"/>
          </w:tcPr>
          <w:p w14:paraId="22523F2A">
            <w:pPr>
              <w:pageBreakBefore w:val="0"/>
              <w:widowControl w:val="0"/>
              <w:kinsoku/>
              <w:wordWrap/>
              <w:overflowPunct/>
              <w:topLinePunct w:val="0"/>
              <w:autoSpaceDE/>
              <w:autoSpaceDN/>
              <w:bidi w:val="0"/>
              <w:snapToGrid w:val="0"/>
              <w:spacing w:line="400" w:lineRule="exact"/>
              <w:jc w:val="both"/>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注：本包投标报价分值修改为15分；商务部分分值修改为20分。</w:t>
            </w:r>
          </w:p>
        </w:tc>
      </w:tr>
    </w:tbl>
    <w:p w14:paraId="3BF480DC">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4605D102">
      <w:pPr>
        <w:keepNext w:val="0"/>
        <w:keepLines w:val="0"/>
        <w:pageBreakBefore w:val="0"/>
        <w:widowControl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本项目招标文件</w:t>
      </w:r>
      <w:r>
        <w:rPr>
          <w:rFonts w:hint="eastAsia" w:ascii="宋体" w:hAnsi="宋体" w:cs="宋体"/>
          <w:b/>
          <w:bCs/>
          <w:color w:val="auto"/>
          <w:kern w:val="2"/>
          <w:sz w:val="24"/>
          <w:szCs w:val="24"/>
          <w:highlight w:val="none"/>
          <w:lang w:val="en-US" w:eastAsia="zh-CN" w:bidi="ar-SA"/>
        </w:rPr>
        <w:t>第六篇 合同主要条款和格式合同（样本）</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4129"/>
        <w:gridCol w:w="4129"/>
      </w:tblGrid>
      <w:tr w14:paraId="47D0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14:paraId="7B6B7F25">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条款号</w:t>
            </w:r>
          </w:p>
        </w:tc>
        <w:tc>
          <w:tcPr>
            <w:tcW w:w="0" w:type="auto"/>
            <w:vAlign w:val="center"/>
          </w:tcPr>
          <w:p w14:paraId="67F0F250">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原招标文件</w:t>
            </w:r>
          </w:p>
        </w:tc>
        <w:tc>
          <w:tcPr>
            <w:tcW w:w="0" w:type="auto"/>
            <w:vAlign w:val="center"/>
          </w:tcPr>
          <w:p w14:paraId="60DA5DC2">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修改后招标文件</w:t>
            </w:r>
          </w:p>
        </w:tc>
      </w:tr>
      <w:tr w14:paraId="5C2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14:paraId="493A6146">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b/>
                <w:bCs/>
                <w:color w:val="auto"/>
                <w:kern w:val="2"/>
                <w:sz w:val="24"/>
                <w:szCs w:val="24"/>
                <w:highlight w:val="none"/>
                <w:lang w:val="en-US" w:eastAsia="zh-CN" w:bidi="ar-SA"/>
              </w:rPr>
              <w:t>第六篇 合同主要条款和格式合同（样本）五、考核及违约责任</w:t>
            </w:r>
          </w:p>
        </w:tc>
        <w:tc>
          <w:tcPr>
            <w:tcW w:w="0" w:type="auto"/>
            <w:vAlign w:val="center"/>
          </w:tcPr>
          <w:p w14:paraId="1FDC8848">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第十九条签订合同前，乙方应向甲方缴纳履约保证金人民币壹万元整，用于食品安全、产品质量、准时送货、公司形象等方面的信誉保证</w:t>
            </w:r>
          </w:p>
        </w:tc>
        <w:tc>
          <w:tcPr>
            <w:tcW w:w="0" w:type="auto"/>
            <w:vAlign w:val="center"/>
          </w:tcPr>
          <w:p w14:paraId="7A03D987">
            <w:pPr>
              <w:pStyle w:val="5"/>
              <w:pageBreakBefore w:val="0"/>
              <w:widowControl w:val="0"/>
              <w:numPr>
                <w:ilvl w:val="0"/>
                <w:numId w:val="0"/>
              </w:numPr>
              <w:tabs>
                <w:tab w:val="clear" w:pos="720"/>
              </w:tabs>
              <w:kinsoku/>
              <w:wordWrap/>
              <w:overflowPunct/>
              <w:topLinePunct w:val="0"/>
              <w:autoSpaceDE/>
              <w:autoSpaceDN/>
              <w:bidi w:val="0"/>
              <w:spacing w:before="0" w:after="0" w:line="400" w:lineRule="exact"/>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第十九条签订合同前，</w:t>
            </w:r>
            <w:r>
              <w:rPr>
                <w:rFonts w:hint="eastAsia" w:ascii="宋体" w:hAnsi="宋体" w:eastAsia="宋体" w:cs="宋体"/>
                <w:b/>
                <w:bCs/>
                <w:color w:val="auto"/>
                <w:sz w:val="24"/>
                <w:highlight w:val="none"/>
                <w:lang w:val="en-US" w:eastAsia="zh-CN"/>
              </w:rPr>
              <w:t>乙方应按招标文件要求向甲方缴纳履约保证金人民币</w:t>
            </w:r>
            <w:r>
              <w:rPr>
                <w:rFonts w:hint="eastAsia" w:ascii="宋体" w:hAnsi="宋体" w:eastAsia="宋体" w:cs="宋体"/>
                <w:color w:val="auto"/>
                <w:sz w:val="24"/>
                <w:highlight w:val="none"/>
                <w:lang w:val="en-US" w:eastAsia="zh-CN"/>
              </w:rPr>
              <w:t>，用于食品安全、产品质量、准时送货、公司形象等方面的信誉保证</w:t>
            </w:r>
          </w:p>
        </w:tc>
      </w:tr>
      <w:tr w14:paraId="4B8F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14:paraId="0E4B32EE">
            <w:pPr>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b/>
                <w:bCs/>
                <w:color w:val="auto"/>
                <w:kern w:val="2"/>
                <w:sz w:val="24"/>
                <w:szCs w:val="24"/>
                <w:highlight w:val="none"/>
                <w:lang w:val="en-US" w:eastAsia="zh-CN" w:bidi="ar-SA"/>
              </w:rPr>
              <w:t>第六篇 合同主要条款和格式合同（样本）第二十五条付款方式</w:t>
            </w:r>
          </w:p>
        </w:tc>
        <w:tc>
          <w:tcPr>
            <w:tcW w:w="0" w:type="auto"/>
            <w:vAlign w:val="center"/>
          </w:tcPr>
          <w:p w14:paraId="4BD1A9FC">
            <w:pPr>
              <w:numPr>
                <w:ilvl w:val="0"/>
                <w:numId w:val="0"/>
              </w:numPr>
              <w:spacing w:line="560" w:lineRule="exact"/>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1．乙方须为一般纳税人。</w:t>
            </w:r>
          </w:p>
          <w:p w14:paraId="3A336FFA">
            <w:pPr>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2. 中标通知书领取后合同签订前中标人向招标人缴纳履约保证金（以支票、汇票、汇款、本票或者金融机构、担保机构出具的见索即付保函等非现金形式提交），履约完成后5个工作日内开始办理无息退还手续。包1缴纳履约保证金金额：伍万元整，包2、3、4缴纳履约保证金金额：壹万伍仟元整。履约完成后5个工作日内开始办理无息退还手续</w:t>
            </w:r>
          </w:p>
        </w:tc>
        <w:tc>
          <w:tcPr>
            <w:tcW w:w="0" w:type="auto"/>
            <w:vAlign w:val="center"/>
          </w:tcPr>
          <w:p w14:paraId="38B048B7">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kern w:val="0"/>
                <w:sz w:val="24"/>
                <w:szCs w:val="24"/>
                <w:highlight w:val="none"/>
                <w:lang w:val="en-US" w:eastAsia="zh-CN"/>
              </w:rPr>
              <w:t>中标通知书领取后</w:t>
            </w:r>
            <w:r>
              <w:rPr>
                <w:rFonts w:hint="eastAsia" w:ascii="宋体" w:hAnsi="宋体" w:eastAsia="宋体" w:cs="宋体"/>
                <w:color w:val="auto"/>
                <w:kern w:val="0"/>
                <w:sz w:val="24"/>
                <w:szCs w:val="24"/>
                <w:highlight w:val="none"/>
              </w:rPr>
              <w:t>合同签订</w:t>
            </w:r>
            <w:r>
              <w:rPr>
                <w:rFonts w:hint="eastAsia" w:ascii="宋体" w:hAnsi="宋体" w:eastAsia="宋体" w:cs="宋体"/>
                <w:color w:val="auto"/>
                <w:kern w:val="0"/>
                <w:sz w:val="24"/>
                <w:szCs w:val="24"/>
                <w:highlight w:val="none"/>
                <w:lang w:val="en-US" w:eastAsia="zh-CN"/>
              </w:rPr>
              <w:t>前</w:t>
            </w:r>
            <w:r>
              <w:rPr>
                <w:rFonts w:hint="eastAsia" w:ascii="宋体" w:hAnsi="宋体" w:eastAsia="宋体" w:cs="宋体"/>
                <w:color w:val="auto"/>
                <w:kern w:val="0"/>
                <w:sz w:val="24"/>
                <w:szCs w:val="24"/>
                <w:highlight w:val="none"/>
              </w:rPr>
              <w:t>中标人向</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缴纳履约保证金（以支票、汇票、汇款、本票或者金融机构、担保机构出具的</w:t>
            </w:r>
            <w:r>
              <w:rPr>
                <w:rFonts w:hint="eastAsia" w:ascii="宋体" w:hAnsi="宋体" w:eastAsia="宋体" w:cs="宋体"/>
                <w:color w:val="auto"/>
                <w:kern w:val="0"/>
                <w:sz w:val="24"/>
                <w:szCs w:val="24"/>
                <w:highlight w:val="none"/>
                <w:lang w:val="en-US" w:eastAsia="zh-CN"/>
              </w:rPr>
              <w:t>见索即付</w:t>
            </w:r>
            <w:r>
              <w:rPr>
                <w:rFonts w:hint="eastAsia" w:ascii="宋体" w:hAnsi="宋体" w:eastAsia="宋体" w:cs="宋体"/>
                <w:color w:val="auto"/>
                <w:kern w:val="0"/>
                <w:sz w:val="24"/>
                <w:szCs w:val="24"/>
                <w:highlight w:val="none"/>
              </w:rPr>
              <w:t>保函等非现金形式提交），履约完成后5个工作日内开始办理无息退还手续。</w:t>
            </w:r>
            <w:r>
              <w:rPr>
                <w:rFonts w:hint="eastAsia" w:ascii="宋体" w:hAnsi="宋体" w:eastAsia="宋体" w:cs="宋体"/>
                <w:b/>
                <w:bCs/>
                <w:color w:val="auto"/>
                <w:kern w:val="0"/>
                <w:sz w:val="24"/>
                <w:szCs w:val="24"/>
                <w:highlight w:val="none"/>
              </w:rPr>
              <w:t>包1缴纳履约保证金金额：5.775万元，包2缴纳履约保证金金额：1.903万元，包3缴纳履约保证金金额：2.508万元，包4缴纳履约保证金金额：1.54万元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highlight w:val="none"/>
                <w:lang w:val="en-US" w:eastAsia="zh-CN"/>
              </w:rPr>
              <w:t>履约完成后5个工作日内开始办理无息退还手续</w:t>
            </w:r>
          </w:p>
        </w:tc>
      </w:tr>
    </w:tbl>
    <w:p w14:paraId="450FD11B">
      <w:pPr>
        <w:keepNext w:val="0"/>
        <w:keepLines w:val="0"/>
        <w:pageBreakBefore w:val="0"/>
        <w:widowControl w:val="0"/>
        <w:numPr>
          <w:ilvl w:val="0"/>
          <w:numId w:val="2"/>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6E797155">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本项目招标文件第七篇 投标文件格式 三、商务部分 投标函（格式）修改如下：</w:t>
      </w:r>
    </w:p>
    <w:p w14:paraId="629D4130">
      <w:pPr>
        <w:keepNext w:val="0"/>
        <w:keepLines w:val="0"/>
        <w:pageBreakBefore w:val="0"/>
        <w:widowControl w:val="0"/>
        <w:kinsoku/>
        <w:wordWrap/>
        <w:overflowPunct/>
        <w:topLinePunct w:val="0"/>
        <w:autoSpaceDE/>
        <w:autoSpaceDN/>
        <w:bidi w:val="0"/>
        <w:adjustRightInd/>
        <w:snapToGrid w:val="0"/>
        <w:spacing w:before="120" w:beforeLines="50" w:line="400" w:lineRule="exact"/>
        <w:jc w:val="center"/>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（一）投标函（格式）</w:t>
      </w:r>
    </w:p>
    <w:p w14:paraId="6754DAF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8"/>
          <w:highlight w:val="none"/>
        </w:rPr>
      </w:pPr>
    </w:p>
    <w:p w14:paraId="6524298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招标项目名称：</w:t>
      </w:r>
      <w:r>
        <w:rPr>
          <w:rFonts w:hint="eastAsia" w:ascii="宋体" w:hAnsi="宋体" w:eastAsia="宋体" w:cs="宋体"/>
          <w:color w:val="auto"/>
          <w:sz w:val="24"/>
          <w:szCs w:val="28"/>
          <w:highlight w:val="none"/>
          <w:u w:val="single"/>
        </w:rPr>
        <w:t xml:space="preserve">                                             </w:t>
      </w:r>
    </w:p>
    <w:p w14:paraId="6436E8E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8"/>
          <w:highlight w:val="none"/>
        </w:rPr>
      </w:pPr>
    </w:p>
    <w:p w14:paraId="42404E87">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致：</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招标代理机构</w:t>
      </w:r>
      <w:r>
        <w:rPr>
          <w:rFonts w:hint="eastAsia" w:ascii="宋体" w:hAnsi="宋体" w:eastAsia="宋体" w:cs="宋体"/>
          <w:color w:val="auto"/>
          <w:sz w:val="24"/>
          <w:szCs w:val="28"/>
          <w:highlight w:val="none"/>
        </w:rPr>
        <w:t>名称）：</w:t>
      </w:r>
    </w:p>
    <w:p w14:paraId="25D6F2D9">
      <w:pPr>
        <w:keepNext w:val="0"/>
        <w:keepLines w:val="0"/>
        <w:pageBreakBefore w:val="0"/>
        <w:widowControl w:val="0"/>
        <w:kinsoku/>
        <w:wordWrap/>
        <w:overflowPunct/>
        <w:topLinePunct w:val="0"/>
        <w:autoSpaceDE/>
        <w:autoSpaceDN/>
        <w:bidi w:val="0"/>
        <w:adjustRightInd/>
        <w:snapToGrid w:val="0"/>
        <w:spacing w:before="120" w:beforeLines="50"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（投标人名称）系中华人民共和国合法企业，注册地址：</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。我方就参加本次投标有关事项郑重声明如下：</w:t>
      </w:r>
    </w:p>
    <w:p w14:paraId="47CC69B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一、我方完全理解并接受该项目招标文件所有要求。</w:t>
      </w:r>
    </w:p>
    <w:p w14:paraId="58C683A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二、我方提交的所有投标文件、资料都是准确和真实的，如有虚假或隐瞒，我方愿意承担一切法律责任。</w:t>
      </w:r>
    </w:p>
    <w:p w14:paraId="2ABA7C3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三、我方承诺按照招标文件要求，提供招标项目的技术服务。</w:t>
      </w:r>
    </w:p>
    <w:p w14:paraId="75C4622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四、我方按招标文件要求提交的投标文件为：投标文件正本1份，副本 2 份，电子文档 1 份。</w:t>
      </w:r>
    </w:p>
    <w:p w14:paraId="34C7BE6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五、我方承诺：本次投标的投标有效期为</w:t>
      </w:r>
      <w:r>
        <w:rPr>
          <w:rFonts w:hint="eastAsia" w:ascii="宋体" w:hAnsi="宋体" w:eastAsia="宋体" w:cs="宋体"/>
          <w:color w:val="auto"/>
          <w:sz w:val="24"/>
          <w:highlight w:val="none"/>
        </w:rPr>
        <w:t>投标截止时间</w:t>
      </w:r>
      <w:r>
        <w:rPr>
          <w:rFonts w:hint="eastAsia" w:ascii="宋体" w:hAnsi="宋体" w:eastAsia="宋体" w:cs="宋体"/>
          <w:color w:val="auto"/>
          <w:sz w:val="24"/>
          <w:szCs w:val="28"/>
          <w:highlight w:val="none"/>
        </w:rPr>
        <w:t>起90天。</w:t>
      </w:r>
    </w:p>
    <w:p w14:paraId="1DDF36F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六、我方投标报价为闭口价。即在投标有效期和合同有效期内，该报价固定不变。</w:t>
      </w:r>
    </w:p>
    <w:p w14:paraId="7871CD2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七、如果我方中标，我方将履行招标文件中规定的各项要求</w:t>
      </w:r>
      <w:bookmarkStart w:id="26" w:name="_GoBack"/>
      <w:bookmarkEnd w:id="26"/>
      <w:r>
        <w:rPr>
          <w:rFonts w:hint="eastAsia" w:ascii="宋体" w:hAnsi="宋体" w:eastAsia="宋体" w:cs="宋体"/>
          <w:color w:val="auto"/>
          <w:sz w:val="24"/>
          <w:szCs w:val="28"/>
          <w:highlight w:val="none"/>
        </w:rPr>
        <w:t>以及我方投标文件的各项承诺，按</w:t>
      </w:r>
      <w:r>
        <w:rPr>
          <w:rFonts w:hint="eastAsia" w:ascii="宋体" w:hAnsi="宋体" w:eastAsia="宋体" w:cs="宋体"/>
          <w:b/>
          <w:bCs/>
          <w:color w:val="auto"/>
          <w:sz w:val="24"/>
          <w:szCs w:val="28"/>
          <w:highlight w:val="none"/>
          <w:lang w:eastAsia="zh-CN"/>
        </w:rPr>
        <w:t>《</w:t>
      </w:r>
      <w:r>
        <w:rPr>
          <w:rFonts w:hint="eastAsia" w:ascii="宋体" w:hAnsi="宋体" w:eastAsia="宋体" w:cs="宋体"/>
          <w:b/>
          <w:bCs/>
          <w:color w:val="auto"/>
          <w:sz w:val="24"/>
          <w:szCs w:val="28"/>
          <w:highlight w:val="none"/>
        </w:rPr>
        <w:t>中华人民共和国民法典》</w:t>
      </w:r>
      <w:r>
        <w:rPr>
          <w:rFonts w:hint="eastAsia" w:ascii="宋体" w:hAnsi="宋体" w:eastAsia="宋体" w:cs="宋体"/>
          <w:color w:val="auto"/>
          <w:sz w:val="24"/>
          <w:szCs w:val="28"/>
          <w:highlight w:val="none"/>
        </w:rPr>
        <w:t>及合同约定条款承担我方责任。</w:t>
      </w:r>
    </w:p>
    <w:p w14:paraId="371FEAC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八、我方未</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项目提供整体设计、规范编制或者项目管理、监理、检测等服务。</w:t>
      </w:r>
    </w:p>
    <w:p w14:paraId="79C4A0D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九、我方理解，最低报价不是中标的唯一条件。</w:t>
      </w:r>
    </w:p>
    <w:p w14:paraId="2249D71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十、若我方中标，愿意按有关规定及招标文件要求缴纳招标代理服务费。</w:t>
      </w:r>
    </w:p>
    <w:p w14:paraId="6EC3F34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4"/>
          <w:szCs w:val="28"/>
          <w:highlight w:val="none"/>
        </w:rPr>
      </w:pPr>
    </w:p>
    <w:p w14:paraId="1DAE9C5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460" w:firstLineChars="227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（投标人公章或自然人签署）</w:t>
      </w:r>
    </w:p>
    <w:p w14:paraId="04F12208">
      <w:pPr>
        <w:pStyle w:val="2"/>
        <w:numPr>
          <w:ilvl w:val="0"/>
          <w:numId w:val="0"/>
        </w:numPr>
        <w:jc w:val="right"/>
        <w:rPr>
          <w:rFonts w:hint="eastAsia" w:ascii="宋体" w:hAnsi="宋体" w:eastAsia="宋体" w:cs="宋体"/>
          <w:color w:val="auto"/>
          <w:sz w:val="24"/>
          <w:szCs w:val="28"/>
          <w:highlight w:val="none"/>
        </w:rPr>
      </w:pPr>
    </w:p>
    <w:p w14:paraId="50C5D17A">
      <w:pPr>
        <w:pStyle w:val="2"/>
        <w:numPr>
          <w:ilvl w:val="0"/>
          <w:numId w:val="0"/>
        </w:numPr>
        <w:jc w:val="center"/>
        <w:rPr>
          <w:rFonts w:hint="default"/>
          <w:highlight w:val="none"/>
          <w:lang w:val="en-US" w:eastAsia="zh-CN"/>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年    月   日</w:t>
      </w:r>
    </w:p>
    <w:p w14:paraId="0E0150C0">
      <w:pPr>
        <w:pStyle w:val="5"/>
        <w:numPr>
          <w:ilvl w:val="0"/>
          <w:numId w:val="0"/>
        </w:numPr>
        <w:tabs>
          <w:tab w:val="clear" w:pos="720"/>
        </w:tabs>
        <w:spacing w:before="0" w:after="0" w:line="240" w:lineRule="auto"/>
        <w:ind w:leftChars="0"/>
        <w:jc w:val="right"/>
        <w:rPr>
          <w:rFonts w:hint="eastAsia" w:ascii="宋体" w:hAnsi="宋体" w:eastAsia="宋体" w:cs="宋体"/>
          <w:color w:val="auto"/>
          <w:sz w:val="24"/>
          <w:szCs w:val="24"/>
          <w:highlight w:val="none"/>
          <w:lang w:val="en-US" w:eastAsia="zh-CN"/>
        </w:rPr>
      </w:pPr>
    </w:p>
    <w:p w14:paraId="37E1AC3A">
      <w:pPr>
        <w:pStyle w:val="5"/>
        <w:numPr>
          <w:ilvl w:val="0"/>
          <w:numId w:val="0"/>
        </w:numPr>
        <w:tabs>
          <w:tab w:val="clear" w:pos="720"/>
        </w:tabs>
        <w:spacing w:before="0" w:after="0" w:line="240" w:lineRule="auto"/>
        <w:ind w:leftChars="0"/>
        <w:jc w:val="left"/>
        <w:rPr>
          <w:rFonts w:hint="eastAsia" w:ascii="宋体" w:hAnsi="宋体" w:eastAsia="宋体" w:cs="宋体"/>
          <w:color w:val="auto"/>
          <w:sz w:val="24"/>
          <w:szCs w:val="24"/>
          <w:highlight w:val="none"/>
          <w:lang w:val="en-US" w:eastAsia="zh-CN"/>
        </w:rPr>
      </w:pPr>
    </w:p>
    <w:p w14:paraId="20A40C69">
      <w:pPr>
        <w:pStyle w:val="5"/>
        <w:numPr>
          <w:ilvl w:val="0"/>
          <w:numId w:val="0"/>
        </w:numPr>
        <w:tabs>
          <w:tab w:val="clear" w:pos="720"/>
        </w:tabs>
        <w:spacing w:before="0" w:after="0" w:line="240" w:lineRule="auto"/>
        <w:ind w:leftChars="0"/>
        <w:jc w:val="right"/>
        <w:rPr>
          <w:rFonts w:hint="eastAsia" w:ascii="宋体" w:hAnsi="宋体" w:eastAsia="宋体" w:cs="宋体"/>
          <w:color w:val="auto"/>
          <w:sz w:val="24"/>
          <w:szCs w:val="24"/>
          <w:highlight w:val="none"/>
          <w:lang w:val="en-US" w:eastAsia="zh-CN"/>
        </w:rPr>
      </w:pPr>
    </w:p>
    <w:p w14:paraId="17ACCA3F">
      <w:pPr>
        <w:spacing w:line="500" w:lineRule="exact"/>
        <w:jc w:val="right"/>
        <w:outlineLvl w:val="0"/>
        <w:rPr>
          <w:rFonts w:hint="eastAsia" w:ascii="宋体" w:hAnsi="宋体" w:eastAsia="宋体" w:cs="宋体"/>
          <w:b w:val="0"/>
          <w:color w:val="auto"/>
          <w:kern w:val="2"/>
          <w:sz w:val="24"/>
          <w:szCs w:val="24"/>
          <w:highlight w:val="none"/>
          <w:lang w:val="en-US" w:eastAsia="zh-CN" w:bidi="ar-SA"/>
        </w:rPr>
      </w:pPr>
      <w:bookmarkStart w:id="16" w:name="_Toc32653"/>
      <w:bookmarkStart w:id="17" w:name="_Toc5799"/>
      <w:bookmarkStart w:id="18" w:name="_Toc22227"/>
      <w:bookmarkStart w:id="19" w:name="_Toc8510"/>
      <w:bookmarkStart w:id="20" w:name="_Toc13343"/>
    </w:p>
    <w:p w14:paraId="22E751C1">
      <w:pPr>
        <w:spacing w:line="500" w:lineRule="exact"/>
        <w:jc w:val="right"/>
        <w:outlineLvl w:val="0"/>
        <w:rPr>
          <w:rFonts w:hint="eastAsia" w:ascii="宋体" w:hAnsi="宋体" w:eastAsia="宋体" w:cs="宋体"/>
          <w:b w:val="0"/>
          <w:color w:val="auto"/>
          <w:kern w:val="2"/>
          <w:sz w:val="24"/>
          <w:szCs w:val="24"/>
          <w:highlight w:val="none"/>
          <w:lang w:val="en-US" w:eastAsia="zh-CN" w:bidi="ar-SA"/>
        </w:rPr>
      </w:pPr>
    </w:p>
    <w:p w14:paraId="18C49D6A">
      <w:pPr>
        <w:spacing w:line="500" w:lineRule="exact"/>
        <w:jc w:val="right"/>
        <w:outlineLvl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招标人：</w:t>
      </w:r>
      <w:bookmarkEnd w:id="16"/>
      <w:bookmarkEnd w:id="17"/>
      <w:bookmarkEnd w:id="18"/>
      <w:bookmarkEnd w:id="19"/>
      <w:bookmarkEnd w:id="20"/>
      <w:r>
        <w:rPr>
          <w:rFonts w:hint="eastAsia" w:ascii="宋体" w:hAnsi="宋体" w:eastAsia="宋体" w:cs="宋体"/>
          <w:b w:val="0"/>
          <w:color w:val="auto"/>
          <w:kern w:val="2"/>
          <w:sz w:val="24"/>
          <w:szCs w:val="24"/>
          <w:highlight w:val="none"/>
          <w:lang w:val="en-US" w:eastAsia="zh-CN" w:bidi="ar-SA"/>
        </w:rPr>
        <w:t>重庆市北碚区王朴中学校</w:t>
      </w:r>
    </w:p>
    <w:p w14:paraId="750383C2">
      <w:pPr>
        <w:pStyle w:val="5"/>
        <w:numPr>
          <w:ilvl w:val="0"/>
          <w:numId w:val="0"/>
        </w:numPr>
        <w:tabs>
          <w:tab w:val="clear" w:pos="720"/>
        </w:tabs>
        <w:spacing w:before="0" w:after="0" w:line="240" w:lineRule="auto"/>
        <w:ind w:leftChars="0"/>
        <w:jc w:val="right"/>
        <w:rPr>
          <w:rFonts w:hint="eastAsia" w:ascii="宋体" w:hAnsi="宋体" w:eastAsia="宋体" w:cs="宋体"/>
          <w:b w:val="0"/>
          <w:color w:val="auto"/>
          <w:kern w:val="2"/>
          <w:sz w:val="24"/>
          <w:szCs w:val="24"/>
          <w:highlight w:val="none"/>
          <w:lang w:val="en-US" w:eastAsia="zh-CN" w:bidi="ar-SA"/>
        </w:rPr>
      </w:pPr>
      <w:bookmarkStart w:id="21" w:name="_Toc23438"/>
      <w:bookmarkStart w:id="22" w:name="_Toc30136"/>
      <w:bookmarkStart w:id="23" w:name="_Toc30441"/>
      <w:bookmarkStart w:id="24" w:name="_Toc24593"/>
      <w:bookmarkStart w:id="25" w:name="_Toc16646"/>
    </w:p>
    <w:p w14:paraId="42B23DE0">
      <w:pPr>
        <w:pStyle w:val="5"/>
        <w:numPr>
          <w:ilvl w:val="0"/>
          <w:numId w:val="0"/>
        </w:numPr>
        <w:tabs>
          <w:tab w:val="clear" w:pos="720"/>
        </w:tabs>
        <w:spacing w:before="0" w:after="0" w:line="240" w:lineRule="auto"/>
        <w:ind w:leftChars="0"/>
        <w:jc w:val="righ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招标代理机构：</w:t>
      </w:r>
      <w:bookmarkEnd w:id="21"/>
      <w:bookmarkEnd w:id="22"/>
      <w:bookmarkEnd w:id="23"/>
      <w:bookmarkEnd w:id="24"/>
      <w:bookmarkEnd w:id="25"/>
      <w:r>
        <w:rPr>
          <w:rFonts w:hint="eastAsia" w:ascii="宋体" w:hAnsi="宋体" w:eastAsia="宋体" w:cs="宋体"/>
          <w:b w:val="0"/>
          <w:color w:val="auto"/>
          <w:kern w:val="2"/>
          <w:sz w:val="24"/>
          <w:szCs w:val="24"/>
          <w:highlight w:val="none"/>
          <w:lang w:val="en-US" w:eastAsia="zh-CN" w:bidi="ar-SA"/>
        </w:rPr>
        <w:t>重庆昕笛枫建设工程咨询有限公司</w:t>
      </w:r>
    </w:p>
    <w:p w14:paraId="38AA4AE7">
      <w:pPr>
        <w:pStyle w:val="5"/>
        <w:numPr>
          <w:ilvl w:val="0"/>
          <w:numId w:val="0"/>
        </w:numPr>
        <w:tabs>
          <w:tab w:val="clear" w:pos="720"/>
        </w:tabs>
        <w:spacing w:before="0" w:after="0" w:line="240" w:lineRule="auto"/>
        <w:ind w:leftChars="0"/>
        <w:jc w:val="right"/>
        <w:rPr>
          <w:rFonts w:hint="eastAsia" w:ascii="宋体" w:hAnsi="宋体" w:eastAsia="宋体" w:cs="宋体"/>
          <w:color w:val="auto"/>
          <w:sz w:val="24"/>
          <w:szCs w:val="24"/>
          <w:highlight w:val="none"/>
          <w:lang w:val="en-US" w:eastAsia="zh-CN"/>
        </w:rPr>
      </w:pPr>
    </w:p>
    <w:p w14:paraId="587EFF20">
      <w:pPr>
        <w:pStyle w:val="5"/>
        <w:numPr>
          <w:ilvl w:val="0"/>
          <w:numId w:val="0"/>
        </w:numPr>
        <w:tabs>
          <w:tab w:val="clear" w:pos="720"/>
        </w:tabs>
        <w:spacing w:before="0" w:after="0" w:line="240" w:lineRule="auto"/>
        <w:ind w:leftChars="0"/>
        <w:jc w:val="right"/>
        <w:rPr>
          <w:rFonts w:hint="eastAsia" w:ascii="宋体" w:hAnsi="宋体" w:eastAsia="宋体" w:cs="宋体"/>
          <w:sz w:val="28"/>
          <w:szCs w:val="20"/>
          <w:highlight w:val="none"/>
          <w:lang w:val="en-US" w:eastAsia="zh-CN"/>
        </w:rPr>
      </w:pPr>
      <w:r>
        <w:rPr>
          <w:rFonts w:hint="eastAsia" w:ascii="宋体" w:hAnsi="宋体" w:eastAsia="宋体" w:cs="宋体"/>
          <w:color w:val="auto"/>
          <w:sz w:val="24"/>
          <w:szCs w:val="24"/>
          <w:highlight w:val="none"/>
          <w:lang w:val="en-US" w:eastAsia="zh-CN"/>
        </w:rPr>
        <w:t>2025年8月13日</w:t>
      </w:r>
    </w:p>
    <w:sectPr>
      <w:footerReference r:id="rId3" w:type="default"/>
      <w:pgSz w:w="11906" w:h="16838"/>
      <w:pgMar w:top="1440" w:right="1146" w:bottom="1440"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86D8">
    <w:pPr>
      <w:pStyle w:val="7"/>
      <w:ind w:right="360"/>
      <w:jc w:val="center"/>
    </w:pPr>
    <w:r>
      <w:fldChar w:fldCharType="begin"/>
    </w:r>
    <w:r>
      <w:rPr>
        <w:rStyle w:val="11"/>
      </w:rPr>
      <w:instrText xml:space="preserve"> PAGE </w:instrText>
    </w:r>
    <w:r>
      <w:fldChar w:fldCharType="separate"/>
    </w:r>
    <w:r>
      <w:rPr>
        <w:rStyle w:val="11"/>
      </w:rPr>
      <w:t>- 23 -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2CFC00"/>
    <w:multiLevelType w:val="singleLevel"/>
    <w:tmpl w:val="422CFC0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NzM0MjRiYzc5MGNmZWJkZmFhODk0ZGVmMTBkY2EifQ=="/>
  </w:docVars>
  <w:rsids>
    <w:rsidRoot w:val="00000000"/>
    <w:rsid w:val="05884C00"/>
    <w:rsid w:val="06FF462F"/>
    <w:rsid w:val="084E7A84"/>
    <w:rsid w:val="0BE4681D"/>
    <w:rsid w:val="0E3F7147"/>
    <w:rsid w:val="11592BC4"/>
    <w:rsid w:val="11E34372"/>
    <w:rsid w:val="13C1765E"/>
    <w:rsid w:val="15CB51F8"/>
    <w:rsid w:val="183C6DBE"/>
    <w:rsid w:val="1E6F0C29"/>
    <w:rsid w:val="1F020069"/>
    <w:rsid w:val="1F1E0EF5"/>
    <w:rsid w:val="220F28E3"/>
    <w:rsid w:val="22DA188C"/>
    <w:rsid w:val="2D4E65E3"/>
    <w:rsid w:val="2DA02579"/>
    <w:rsid w:val="2DAF3E40"/>
    <w:rsid w:val="30C365CE"/>
    <w:rsid w:val="31905788"/>
    <w:rsid w:val="32217518"/>
    <w:rsid w:val="324D3B01"/>
    <w:rsid w:val="35BC55B5"/>
    <w:rsid w:val="36CA5204"/>
    <w:rsid w:val="38371BD5"/>
    <w:rsid w:val="38F11DB8"/>
    <w:rsid w:val="39925CD1"/>
    <w:rsid w:val="3F6D344A"/>
    <w:rsid w:val="40C50B4F"/>
    <w:rsid w:val="425F5912"/>
    <w:rsid w:val="45D002A4"/>
    <w:rsid w:val="462C5BD6"/>
    <w:rsid w:val="4A4A0D3C"/>
    <w:rsid w:val="4A566B50"/>
    <w:rsid w:val="4F306909"/>
    <w:rsid w:val="4F605C7C"/>
    <w:rsid w:val="51541882"/>
    <w:rsid w:val="51CD27C8"/>
    <w:rsid w:val="52C61F98"/>
    <w:rsid w:val="53A748E3"/>
    <w:rsid w:val="540B7CC0"/>
    <w:rsid w:val="543755E9"/>
    <w:rsid w:val="54C558E0"/>
    <w:rsid w:val="56523B38"/>
    <w:rsid w:val="57FD6CDE"/>
    <w:rsid w:val="5B2555BE"/>
    <w:rsid w:val="5B456E93"/>
    <w:rsid w:val="63CB6460"/>
    <w:rsid w:val="63CE1E52"/>
    <w:rsid w:val="647E5F21"/>
    <w:rsid w:val="67EE6D37"/>
    <w:rsid w:val="6B8F7527"/>
    <w:rsid w:val="6DB73DB9"/>
    <w:rsid w:val="72FA21B3"/>
    <w:rsid w:val="763C431C"/>
    <w:rsid w:val="76F31C74"/>
    <w:rsid w:val="784E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4"/>
    <w:basedOn w:val="4"/>
    <w:next w:val="1"/>
    <w:qFormat/>
    <w:uiPriority w:val="0"/>
    <w:pPr>
      <w:keepNext/>
      <w:keepLines/>
      <w:numPr>
        <w:ilvl w:val="0"/>
        <w:numId w:val="1"/>
      </w:numPr>
      <w:spacing w:before="560" w:beforeLines="0" w:after="290" w:afterLines="0" w:line="377" w:lineRule="auto"/>
      <w:outlineLvl w:val="3"/>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2"/>
      <w:sz w:val="32"/>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footer"/>
    <w:basedOn w:val="1"/>
    <w:qFormat/>
    <w:uiPriority w:val="0"/>
    <w:pPr>
      <w:tabs>
        <w:tab w:val="center" w:pos="4153"/>
        <w:tab w:val="right" w:pos="8306"/>
      </w:tabs>
      <w:snapToGrid w:val="0"/>
      <w:jc w:val="left"/>
    </w:pPr>
    <w:rPr>
      <w:rFonts w:eastAsia="宋体"/>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2360</Characters>
  <Lines>0</Lines>
  <Paragraphs>0</Paragraphs>
  <TotalTime>16</TotalTime>
  <ScaleCrop>false</ScaleCrop>
  <LinksUpToDate>false</LinksUpToDate>
  <CharactersWithSpaces>2574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2022-09-14T02:44:00Z</dcterms:created>
  <dc:creator>Administrator</dc:creator>
  <cp:lastModifiedBy>Zero</cp:lastModifiedBy>
  <dcterms:modified xsi:type="dcterms:W3CDTF">2025-08-13T03:23:14Z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1A2B214A82A44AECB6643D2176E8A221_13</vt:lpwstr>
  </property>
  <property fmtid="{D5CDD505-2E9C-101B-9397-08002B2CF9AE}" pid="4" name="KSOTemplateDocerSaveRecord">
    <vt:lpwstr>eyJoZGlkIjoiZDc1OTgyZjQ5ZDI2MGU0NGRhOGQ1MTUwZTAzNTIyMzUiLCJ1c2VySWQiOiIxNTI5NzkyMDA4In0=</vt:lpwstr>
  </property>
</Properties>
</file>