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C0918">
      <w:pPr>
        <w:jc w:val="center"/>
        <w:rPr>
          <w:rFonts w:ascii="宋体" w:hAnsi="宋体"/>
          <w:b/>
          <w:color w:val="auto"/>
          <w:sz w:val="44"/>
          <w:szCs w:val="44"/>
          <w:highlight w:val="none"/>
        </w:rPr>
      </w:pPr>
      <w:bookmarkStart w:id="0" w:name="_Toc287620665"/>
    </w:p>
    <w:p w14:paraId="3FD377CF">
      <w:pPr>
        <w:spacing w:line="360" w:lineRule="auto"/>
        <w:jc w:val="center"/>
        <w:rPr>
          <w:rFonts w:ascii="宋体" w:hAnsi="宋体"/>
          <w:color w:val="auto"/>
          <w:kern w:val="0"/>
          <w:sz w:val="36"/>
          <w:szCs w:val="36"/>
          <w:highlight w:val="none"/>
        </w:rPr>
      </w:pPr>
      <w:r>
        <w:rPr>
          <w:rFonts w:hint="eastAsia" w:ascii="宋体" w:hAnsi="宋体"/>
          <w:color w:val="auto"/>
          <w:kern w:val="0"/>
          <w:sz w:val="40"/>
          <w:szCs w:val="40"/>
          <w:highlight w:val="none"/>
          <w:u w:val="none"/>
          <w:lang w:eastAsia="zh-CN"/>
        </w:rPr>
        <w:t>重庆市铜梁区虎峰小学空调安装线路改造项目</w:t>
      </w:r>
    </w:p>
    <w:p w14:paraId="0F2B056C">
      <w:pPr>
        <w:autoSpaceDE w:val="0"/>
        <w:autoSpaceDN w:val="0"/>
        <w:adjustRightInd w:val="0"/>
        <w:snapToGrid w:val="0"/>
        <w:spacing w:line="360" w:lineRule="auto"/>
        <w:jc w:val="left"/>
        <w:rPr>
          <w:rFonts w:ascii="宋体" w:hAnsi="宋体"/>
          <w:color w:val="auto"/>
          <w:kern w:val="0"/>
          <w:sz w:val="20"/>
          <w:szCs w:val="20"/>
          <w:highlight w:val="none"/>
        </w:rPr>
      </w:pPr>
    </w:p>
    <w:p w14:paraId="20CDABCC">
      <w:pPr>
        <w:autoSpaceDE w:val="0"/>
        <w:autoSpaceDN w:val="0"/>
        <w:adjustRightInd w:val="0"/>
        <w:snapToGrid w:val="0"/>
        <w:spacing w:line="360" w:lineRule="auto"/>
        <w:jc w:val="left"/>
        <w:rPr>
          <w:rFonts w:ascii="宋体" w:hAnsi="宋体"/>
          <w:color w:val="auto"/>
          <w:kern w:val="0"/>
          <w:sz w:val="20"/>
          <w:szCs w:val="20"/>
          <w:highlight w:val="none"/>
        </w:rPr>
      </w:pPr>
    </w:p>
    <w:p w14:paraId="1B428911">
      <w:pPr>
        <w:autoSpaceDE w:val="0"/>
        <w:autoSpaceDN w:val="0"/>
        <w:adjustRightInd w:val="0"/>
        <w:snapToGrid w:val="0"/>
        <w:spacing w:line="360" w:lineRule="auto"/>
        <w:jc w:val="left"/>
        <w:rPr>
          <w:rFonts w:ascii="宋体" w:hAnsi="宋体"/>
          <w:color w:val="auto"/>
          <w:kern w:val="0"/>
          <w:sz w:val="20"/>
          <w:szCs w:val="20"/>
          <w:highlight w:val="none"/>
        </w:rPr>
      </w:pPr>
    </w:p>
    <w:p w14:paraId="041D71D4">
      <w:pPr>
        <w:autoSpaceDE w:val="0"/>
        <w:autoSpaceDN w:val="0"/>
        <w:adjustRightInd w:val="0"/>
        <w:snapToGrid w:val="0"/>
        <w:spacing w:line="360" w:lineRule="auto"/>
        <w:jc w:val="left"/>
        <w:rPr>
          <w:rFonts w:ascii="宋体" w:hAnsi="宋体"/>
          <w:color w:val="auto"/>
          <w:kern w:val="0"/>
          <w:sz w:val="20"/>
          <w:szCs w:val="20"/>
          <w:highlight w:val="none"/>
        </w:rPr>
      </w:pPr>
    </w:p>
    <w:p w14:paraId="008AE733">
      <w:pPr>
        <w:pStyle w:val="2"/>
        <w:rPr>
          <w:color w:val="auto"/>
          <w:highlight w:val="none"/>
        </w:rPr>
      </w:pPr>
    </w:p>
    <w:p w14:paraId="5D2376BB">
      <w:pPr>
        <w:autoSpaceDE w:val="0"/>
        <w:autoSpaceDN w:val="0"/>
        <w:adjustRightInd w:val="0"/>
        <w:snapToGrid w:val="0"/>
        <w:spacing w:line="360" w:lineRule="auto"/>
        <w:jc w:val="left"/>
        <w:rPr>
          <w:rFonts w:ascii="宋体" w:hAnsi="宋体"/>
          <w:color w:val="auto"/>
          <w:kern w:val="0"/>
          <w:sz w:val="20"/>
          <w:szCs w:val="20"/>
          <w:highlight w:val="none"/>
        </w:rPr>
      </w:pPr>
    </w:p>
    <w:p w14:paraId="384784E0">
      <w:pPr>
        <w:pStyle w:val="2"/>
        <w:rPr>
          <w:rFonts w:ascii="宋体" w:hAnsi="宋体"/>
          <w:color w:val="auto"/>
          <w:kern w:val="0"/>
          <w:sz w:val="20"/>
          <w:szCs w:val="20"/>
          <w:highlight w:val="none"/>
        </w:rPr>
      </w:pPr>
    </w:p>
    <w:p w14:paraId="36E75104">
      <w:pPr>
        <w:rPr>
          <w:rFonts w:ascii="宋体" w:hAnsi="宋体"/>
          <w:color w:val="auto"/>
          <w:kern w:val="0"/>
          <w:sz w:val="20"/>
          <w:szCs w:val="20"/>
          <w:highlight w:val="none"/>
        </w:rPr>
      </w:pPr>
    </w:p>
    <w:p w14:paraId="5DFBB034">
      <w:pPr>
        <w:pStyle w:val="2"/>
        <w:rPr>
          <w:color w:val="auto"/>
          <w:highlight w:val="none"/>
        </w:rPr>
      </w:pPr>
    </w:p>
    <w:p w14:paraId="051489DD">
      <w:pPr>
        <w:rPr>
          <w:color w:val="auto"/>
          <w:highlight w:val="none"/>
        </w:rPr>
      </w:pPr>
    </w:p>
    <w:p w14:paraId="7D924DFF">
      <w:pPr>
        <w:autoSpaceDE w:val="0"/>
        <w:autoSpaceDN w:val="0"/>
        <w:adjustRightInd w:val="0"/>
        <w:snapToGrid w:val="0"/>
        <w:spacing w:line="360" w:lineRule="auto"/>
        <w:jc w:val="left"/>
        <w:rPr>
          <w:rFonts w:ascii="宋体" w:hAnsi="宋体"/>
          <w:color w:val="auto"/>
          <w:kern w:val="0"/>
          <w:sz w:val="20"/>
          <w:szCs w:val="20"/>
          <w:highlight w:val="none"/>
        </w:rPr>
      </w:pPr>
    </w:p>
    <w:p w14:paraId="319AC4DA">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b/>
          <w:bCs/>
          <w:color w:val="auto"/>
          <w:kern w:val="0"/>
          <w:sz w:val="72"/>
          <w:szCs w:val="72"/>
          <w:highlight w:val="none"/>
          <w:lang w:eastAsia="zh-CN"/>
        </w:rPr>
        <w:t>竞争性比选</w:t>
      </w:r>
      <w:r>
        <w:rPr>
          <w:rFonts w:ascii="宋体" w:hAnsi="宋体"/>
          <w:b/>
          <w:bCs/>
          <w:color w:val="auto"/>
          <w:kern w:val="0"/>
          <w:sz w:val="72"/>
          <w:szCs w:val="72"/>
          <w:highlight w:val="none"/>
        </w:rPr>
        <w:t>文件</w:t>
      </w:r>
    </w:p>
    <w:p w14:paraId="1D6116E2">
      <w:pPr>
        <w:autoSpaceDE w:val="0"/>
        <w:autoSpaceDN w:val="0"/>
        <w:adjustRightInd w:val="0"/>
        <w:snapToGrid w:val="0"/>
        <w:spacing w:line="360" w:lineRule="auto"/>
        <w:jc w:val="left"/>
        <w:rPr>
          <w:rFonts w:ascii="宋体" w:hAnsi="宋体"/>
          <w:color w:val="auto"/>
          <w:kern w:val="0"/>
          <w:sz w:val="10"/>
          <w:szCs w:val="10"/>
          <w:highlight w:val="none"/>
        </w:rPr>
      </w:pPr>
    </w:p>
    <w:p w14:paraId="7C4FACA0">
      <w:pPr>
        <w:autoSpaceDE w:val="0"/>
        <w:autoSpaceDN w:val="0"/>
        <w:adjustRightInd w:val="0"/>
        <w:snapToGrid w:val="0"/>
        <w:spacing w:line="360" w:lineRule="auto"/>
        <w:jc w:val="left"/>
        <w:rPr>
          <w:rFonts w:ascii="宋体" w:hAnsi="宋体"/>
          <w:color w:val="auto"/>
          <w:kern w:val="0"/>
          <w:sz w:val="20"/>
          <w:szCs w:val="20"/>
          <w:highlight w:val="none"/>
        </w:rPr>
      </w:pPr>
    </w:p>
    <w:p w14:paraId="558D0FF1">
      <w:pPr>
        <w:autoSpaceDE w:val="0"/>
        <w:autoSpaceDN w:val="0"/>
        <w:adjustRightInd w:val="0"/>
        <w:snapToGrid w:val="0"/>
        <w:spacing w:line="360" w:lineRule="auto"/>
        <w:jc w:val="left"/>
        <w:rPr>
          <w:rFonts w:ascii="宋体" w:hAnsi="宋体"/>
          <w:color w:val="auto"/>
          <w:kern w:val="0"/>
          <w:sz w:val="20"/>
          <w:szCs w:val="20"/>
          <w:highlight w:val="none"/>
        </w:rPr>
      </w:pPr>
    </w:p>
    <w:p w14:paraId="53AEBF7C">
      <w:pPr>
        <w:autoSpaceDE w:val="0"/>
        <w:autoSpaceDN w:val="0"/>
        <w:adjustRightInd w:val="0"/>
        <w:snapToGrid w:val="0"/>
        <w:spacing w:line="360" w:lineRule="auto"/>
        <w:jc w:val="left"/>
        <w:rPr>
          <w:rFonts w:ascii="宋体" w:hAnsi="宋体"/>
          <w:color w:val="auto"/>
          <w:kern w:val="0"/>
          <w:sz w:val="20"/>
          <w:szCs w:val="20"/>
          <w:highlight w:val="none"/>
        </w:rPr>
      </w:pPr>
    </w:p>
    <w:p w14:paraId="3EB9A66E">
      <w:pPr>
        <w:autoSpaceDE w:val="0"/>
        <w:autoSpaceDN w:val="0"/>
        <w:adjustRightInd w:val="0"/>
        <w:snapToGrid w:val="0"/>
        <w:spacing w:line="360" w:lineRule="auto"/>
        <w:jc w:val="left"/>
        <w:rPr>
          <w:rFonts w:ascii="宋体" w:hAnsi="宋体"/>
          <w:color w:val="auto"/>
          <w:kern w:val="0"/>
          <w:sz w:val="20"/>
          <w:szCs w:val="20"/>
          <w:highlight w:val="none"/>
        </w:rPr>
      </w:pPr>
    </w:p>
    <w:p w14:paraId="700F1D87">
      <w:pPr>
        <w:autoSpaceDE w:val="0"/>
        <w:autoSpaceDN w:val="0"/>
        <w:adjustRightInd w:val="0"/>
        <w:snapToGrid w:val="0"/>
        <w:spacing w:line="360" w:lineRule="auto"/>
        <w:jc w:val="left"/>
        <w:rPr>
          <w:rFonts w:ascii="宋体" w:hAnsi="宋体"/>
          <w:color w:val="auto"/>
          <w:kern w:val="0"/>
          <w:sz w:val="20"/>
          <w:szCs w:val="20"/>
          <w:highlight w:val="none"/>
        </w:rPr>
      </w:pPr>
    </w:p>
    <w:p w14:paraId="54C9E367">
      <w:pPr>
        <w:autoSpaceDE w:val="0"/>
        <w:autoSpaceDN w:val="0"/>
        <w:adjustRightInd w:val="0"/>
        <w:snapToGrid w:val="0"/>
        <w:spacing w:line="360" w:lineRule="auto"/>
        <w:jc w:val="left"/>
        <w:rPr>
          <w:rFonts w:ascii="宋体" w:hAnsi="宋体"/>
          <w:color w:val="auto"/>
          <w:kern w:val="0"/>
          <w:sz w:val="20"/>
          <w:szCs w:val="20"/>
          <w:highlight w:val="none"/>
        </w:rPr>
      </w:pPr>
    </w:p>
    <w:p w14:paraId="4D1EB7B6">
      <w:pPr>
        <w:autoSpaceDE w:val="0"/>
        <w:autoSpaceDN w:val="0"/>
        <w:adjustRightInd w:val="0"/>
        <w:snapToGrid w:val="0"/>
        <w:spacing w:line="360" w:lineRule="auto"/>
        <w:jc w:val="left"/>
        <w:rPr>
          <w:rFonts w:ascii="宋体" w:hAnsi="宋体"/>
          <w:color w:val="auto"/>
          <w:kern w:val="0"/>
          <w:sz w:val="20"/>
          <w:szCs w:val="20"/>
          <w:highlight w:val="none"/>
        </w:rPr>
      </w:pPr>
    </w:p>
    <w:p w14:paraId="29A1BEDF">
      <w:pPr>
        <w:autoSpaceDE w:val="0"/>
        <w:autoSpaceDN w:val="0"/>
        <w:adjustRightInd w:val="0"/>
        <w:snapToGrid w:val="0"/>
        <w:spacing w:line="360" w:lineRule="auto"/>
        <w:rPr>
          <w:rFonts w:ascii="宋体" w:hAnsi="宋体"/>
          <w:color w:val="auto"/>
          <w:kern w:val="0"/>
          <w:sz w:val="20"/>
          <w:szCs w:val="20"/>
          <w:highlight w:val="none"/>
        </w:rPr>
      </w:pPr>
    </w:p>
    <w:p w14:paraId="49C505FA">
      <w:pPr>
        <w:autoSpaceDE w:val="0"/>
        <w:autoSpaceDN w:val="0"/>
        <w:adjustRightInd w:val="0"/>
        <w:snapToGrid w:val="0"/>
        <w:spacing w:line="360" w:lineRule="auto"/>
        <w:rPr>
          <w:rFonts w:ascii="宋体" w:hAnsi="宋体"/>
          <w:color w:val="auto"/>
          <w:kern w:val="0"/>
          <w:sz w:val="20"/>
          <w:szCs w:val="20"/>
          <w:highlight w:val="none"/>
        </w:rPr>
      </w:pPr>
    </w:p>
    <w:p w14:paraId="0D61AC14">
      <w:pPr>
        <w:keepNext w:val="0"/>
        <w:keepLines w:val="0"/>
        <w:pageBreakBefore w:val="0"/>
        <w:widowControl w:val="0"/>
        <w:tabs>
          <w:tab w:val="left" w:pos="6219"/>
        </w:tabs>
        <w:kinsoku/>
        <w:wordWrap/>
        <w:overflowPunct/>
        <w:topLinePunct w:val="0"/>
        <w:autoSpaceDE w:val="0"/>
        <w:autoSpaceDN w:val="0"/>
        <w:bidi w:val="0"/>
        <w:adjustRightInd w:val="0"/>
        <w:snapToGrid w:val="0"/>
        <w:spacing w:line="700" w:lineRule="exact"/>
        <w:ind w:left="0" w:leftChars="0" w:firstLine="0" w:firstLineChars="0"/>
        <w:jc w:val="center"/>
        <w:textAlignment w:val="auto"/>
        <w:rPr>
          <w:rFonts w:ascii="宋体" w:hAnsi="宋体"/>
          <w:b/>
          <w:color w:val="auto"/>
          <w:w w:val="99"/>
          <w:kern w:val="0"/>
          <w:sz w:val="28"/>
          <w:szCs w:val="28"/>
          <w:highlight w:val="none"/>
        </w:rPr>
      </w:pPr>
      <w:r>
        <w:rPr>
          <w:rFonts w:hint="eastAsia" w:ascii="宋体" w:hAnsi="宋体"/>
          <w:b/>
          <w:color w:val="auto"/>
          <w:w w:val="99"/>
          <w:kern w:val="0"/>
          <w:sz w:val="28"/>
          <w:szCs w:val="28"/>
          <w:highlight w:val="none"/>
          <w:lang w:val="en-US" w:eastAsia="zh-CN"/>
        </w:rPr>
        <w:t xml:space="preserve"> </w:t>
      </w:r>
      <w:r>
        <w:rPr>
          <w:rFonts w:hint="eastAsia" w:ascii="宋体" w:hAnsi="宋体"/>
          <w:b/>
          <w:color w:val="auto"/>
          <w:w w:val="99"/>
          <w:kern w:val="0"/>
          <w:sz w:val="28"/>
          <w:szCs w:val="28"/>
          <w:highlight w:val="none"/>
          <w:lang w:eastAsia="zh-CN"/>
        </w:rPr>
        <w:t>比</w:t>
      </w:r>
      <w:r>
        <w:rPr>
          <w:rFonts w:hint="eastAsia" w:ascii="宋体" w:hAnsi="宋体"/>
          <w:b/>
          <w:color w:val="auto"/>
          <w:w w:val="99"/>
          <w:kern w:val="0"/>
          <w:sz w:val="28"/>
          <w:szCs w:val="28"/>
          <w:highlight w:val="none"/>
          <w:lang w:val="en-US" w:eastAsia="zh-CN"/>
        </w:rPr>
        <w:t xml:space="preserve">   </w:t>
      </w:r>
      <w:r>
        <w:rPr>
          <w:rFonts w:hint="eastAsia" w:ascii="宋体" w:hAnsi="宋体"/>
          <w:b/>
          <w:color w:val="auto"/>
          <w:w w:val="99"/>
          <w:kern w:val="0"/>
          <w:sz w:val="28"/>
          <w:szCs w:val="28"/>
          <w:highlight w:val="none"/>
          <w:lang w:eastAsia="zh-CN"/>
        </w:rPr>
        <w:t>选</w:t>
      </w:r>
      <w:r>
        <w:rPr>
          <w:rFonts w:hint="eastAsia" w:ascii="宋体" w:hAnsi="宋体"/>
          <w:b/>
          <w:color w:val="auto"/>
          <w:w w:val="99"/>
          <w:kern w:val="0"/>
          <w:sz w:val="28"/>
          <w:szCs w:val="28"/>
          <w:highlight w:val="none"/>
          <w:lang w:val="en-US" w:eastAsia="zh-CN"/>
        </w:rPr>
        <w:t xml:space="preserve">   </w:t>
      </w:r>
      <w:r>
        <w:rPr>
          <w:rFonts w:ascii="宋体" w:hAnsi="宋体"/>
          <w:b/>
          <w:color w:val="auto"/>
          <w:w w:val="99"/>
          <w:kern w:val="0"/>
          <w:sz w:val="28"/>
          <w:szCs w:val="28"/>
          <w:highlight w:val="none"/>
        </w:rPr>
        <w:t>人：</w:t>
      </w:r>
      <w:r>
        <w:rPr>
          <w:rFonts w:hint="eastAsia" w:ascii="宋体" w:hAnsi="宋体"/>
          <w:b/>
          <w:color w:val="auto"/>
          <w:w w:val="99"/>
          <w:kern w:val="0"/>
          <w:sz w:val="28"/>
          <w:szCs w:val="28"/>
          <w:highlight w:val="none"/>
          <w:lang w:val="en-US" w:eastAsia="zh-CN"/>
        </w:rPr>
        <w:t xml:space="preserve"> </w:t>
      </w:r>
      <w:r>
        <w:rPr>
          <w:rFonts w:hint="eastAsia" w:ascii="宋体" w:hAnsi="宋体"/>
          <w:color w:val="auto"/>
          <w:kern w:val="0"/>
          <w:sz w:val="28"/>
          <w:szCs w:val="28"/>
          <w:highlight w:val="none"/>
          <w:u w:val="single"/>
          <w:lang w:eastAsia="zh-CN"/>
        </w:rPr>
        <w:t>重庆市铜梁区虎峰小学</w:t>
      </w:r>
      <w:r>
        <w:rPr>
          <w:rFonts w:hint="eastAsia" w:ascii="宋体" w:hAnsi="宋体"/>
          <w:color w:val="auto"/>
          <w:kern w:val="0"/>
          <w:sz w:val="28"/>
          <w:szCs w:val="28"/>
          <w:highlight w:val="none"/>
          <w:u w:val="single"/>
          <w:lang w:val="en-US" w:eastAsia="zh-CN"/>
        </w:rPr>
        <w:t xml:space="preserve"> </w:t>
      </w:r>
      <w:r>
        <w:rPr>
          <w:rFonts w:ascii="宋体" w:hAnsi="宋体"/>
          <w:b/>
          <w:color w:val="auto"/>
          <w:w w:val="99"/>
          <w:kern w:val="0"/>
          <w:sz w:val="28"/>
          <w:szCs w:val="28"/>
          <w:highlight w:val="none"/>
        </w:rPr>
        <w:t>（盖单位法人章）</w:t>
      </w:r>
    </w:p>
    <w:p w14:paraId="12D84316">
      <w:pPr>
        <w:keepNext w:val="0"/>
        <w:keepLines w:val="0"/>
        <w:pageBreakBefore w:val="0"/>
        <w:widowControl w:val="0"/>
        <w:tabs>
          <w:tab w:val="left" w:pos="6252"/>
        </w:tabs>
        <w:kinsoku/>
        <w:wordWrap/>
        <w:overflowPunct/>
        <w:topLinePunct w:val="0"/>
        <w:autoSpaceDE w:val="0"/>
        <w:autoSpaceDN w:val="0"/>
        <w:bidi w:val="0"/>
        <w:adjustRightInd w:val="0"/>
        <w:snapToGrid w:val="0"/>
        <w:spacing w:line="700" w:lineRule="exact"/>
        <w:jc w:val="center"/>
        <w:textAlignment w:val="auto"/>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lang w:val="en-US" w:eastAsia="zh-CN"/>
        </w:rPr>
        <w:t xml:space="preserve">       </w:t>
      </w:r>
      <w:r>
        <w:rPr>
          <w:rFonts w:hint="eastAsia" w:ascii="宋体" w:hAnsi="宋体"/>
          <w:b/>
          <w:color w:val="auto"/>
          <w:spacing w:val="8"/>
          <w:kern w:val="0"/>
          <w:sz w:val="28"/>
          <w:szCs w:val="28"/>
          <w:highlight w:val="none"/>
          <w:lang w:eastAsia="zh-CN"/>
        </w:rPr>
        <w:t>比选</w:t>
      </w:r>
      <w:r>
        <w:rPr>
          <w:rFonts w:ascii="宋体" w:hAnsi="宋体"/>
          <w:b/>
          <w:color w:val="auto"/>
          <w:spacing w:val="8"/>
          <w:kern w:val="0"/>
          <w:sz w:val="28"/>
          <w:szCs w:val="28"/>
          <w:highlight w:val="none"/>
        </w:rPr>
        <w:t>代理机构：</w:t>
      </w:r>
      <w:r>
        <w:rPr>
          <w:rFonts w:hint="eastAsia" w:ascii="宋体" w:hAnsi="宋体"/>
          <w:color w:val="auto"/>
          <w:kern w:val="0"/>
          <w:sz w:val="28"/>
          <w:szCs w:val="28"/>
          <w:highlight w:val="none"/>
          <w:u w:val="single"/>
          <w:lang w:eastAsia="zh-CN"/>
        </w:rPr>
        <w:t>重庆骋顺工程项目管理有限公司</w:t>
      </w:r>
      <w:r>
        <w:rPr>
          <w:rFonts w:ascii="宋体" w:hAnsi="宋体"/>
          <w:b/>
          <w:color w:val="auto"/>
          <w:w w:val="99"/>
          <w:kern w:val="0"/>
          <w:sz w:val="28"/>
          <w:szCs w:val="28"/>
          <w:highlight w:val="none"/>
        </w:rPr>
        <w:t>（盖单位法人章）</w:t>
      </w:r>
    </w:p>
    <w:p w14:paraId="51187506">
      <w:pPr>
        <w:autoSpaceDE w:val="0"/>
        <w:autoSpaceDN w:val="0"/>
        <w:adjustRightInd w:val="0"/>
        <w:snapToGrid w:val="0"/>
        <w:spacing w:line="360" w:lineRule="auto"/>
        <w:jc w:val="center"/>
        <w:rPr>
          <w:rFonts w:ascii="宋体" w:hAnsi="宋体"/>
          <w:b/>
          <w:color w:val="auto"/>
          <w:kern w:val="0"/>
          <w:sz w:val="20"/>
          <w:szCs w:val="20"/>
          <w:highlight w:val="none"/>
        </w:rPr>
      </w:pPr>
    </w:p>
    <w:p w14:paraId="1D1B57CE">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宋体" w:hAnsi="宋体"/>
          <w:b/>
          <w:sz w:val="30"/>
          <w:szCs w:val="30"/>
        </w:rPr>
      </w:pPr>
      <w:r>
        <w:rPr>
          <w:rFonts w:hint="eastAsia" w:ascii="宋体" w:hAnsi="宋体"/>
          <w:b/>
          <w:sz w:val="30"/>
          <w:szCs w:val="30"/>
        </w:rPr>
        <w:t>二〇二</w:t>
      </w:r>
      <w:r>
        <w:rPr>
          <w:rFonts w:hint="eastAsia" w:ascii="宋体" w:hAnsi="宋体"/>
          <w:b/>
          <w:sz w:val="30"/>
          <w:szCs w:val="30"/>
          <w:lang w:val="en-US" w:eastAsia="zh-CN"/>
        </w:rPr>
        <w:t>五</w:t>
      </w:r>
      <w:r>
        <w:rPr>
          <w:rFonts w:hint="eastAsia" w:ascii="宋体" w:hAnsi="宋体"/>
          <w:b/>
          <w:sz w:val="30"/>
          <w:szCs w:val="30"/>
        </w:rPr>
        <w:t>年</w:t>
      </w:r>
      <w:r>
        <w:rPr>
          <w:rFonts w:hint="eastAsia" w:ascii="宋体" w:hAnsi="宋体"/>
          <w:b/>
          <w:sz w:val="30"/>
          <w:szCs w:val="30"/>
          <w:lang w:val="en-US" w:eastAsia="zh-CN"/>
        </w:rPr>
        <w:t>七</w:t>
      </w:r>
      <w:r>
        <w:rPr>
          <w:rFonts w:hint="eastAsia" w:ascii="宋体" w:hAnsi="宋体"/>
          <w:b/>
          <w:sz w:val="30"/>
          <w:szCs w:val="30"/>
        </w:rPr>
        <w:t>月</w:t>
      </w:r>
    </w:p>
    <w:p w14:paraId="65D41D2A">
      <w:pPr>
        <w:pStyle w:val="4"/>
        <w:spacing w:line="360" w:lineRule="auto"/>
        <w:jc w:val="center"/>
        <w:rPr>
          <w:rFonts w:ascii="宋体" w:hAnsi="宋体"/>
          <w:color w:val="auto"/>
          <w:w w:val="99"/>
          <w:kern w:val="0"/>
          <w:sz w:val="24"/>
          <w:highlight w:val="none"/>
        </w:rPr>
        <w:sectPr>
          <w:headerReference r:id="rId4" w:type="default"/>
          <w:pgSz w:w="11907" w:h="16840"/>
          <w:pgMar w:top="1304" w:right="1134" w:bottom="1304" w:left="1304" w:header="851" w:footer="992" w:gutter="0"/>
          <w:pgNumType w:fmt="numberInDash" w:start="1"/>
          <w:cols w:space="720" w:num="1"/>
          <w:docGrid w:linePitch="312" w:charSpace="0"/>
        </w:sectPr>
      </w:pPr>
    </w:p>
    <w:p w14:paraId="2733A02D">
      <w:pPr>
        <w:pStyle w:val="119"/>
        <w:jc w:val="center"/>
        <w:rPr>
          <w:rFonts w:ascii="宋体" w:hAnsi="宋体"/>
          <w:color w:val="auto"/>
          <w:sz w:val="32"/>
          <w:szCs w:val="32"/>
          <w:highlight w:val="none"/>
        </w:rPr>
      </w:pPr>
      <w:bookmarkStart w:id="1" w:name="_Toc28843"/>
      <w:bookmarkStart w:id="2" w:name="_Toc5767"/>
      <w:r>
        <w:rPr>
          <w:rFonts w:ascii="宋体" w:hAnsi="宋体"/>
          <w:color w:val="auto"/>
          <w:sz w:val="32"/>
          <w:szCs w:val="32"/>
          <w:highlight w:val="none"/>
          <w:lang w:val="zh-CN"/>
        </w:rPr>
        <w:t>目</w:t>
      </w:r>
      <w:r>
        <w:rPr>
          <w:rFonts w:hint="eastAsia" w:ascii="宋体" w:hAnsi="宋体"/>
          <w:color w:val="auto"/>
          <w:sz w:val="32"/>
          <w:szCs w:val="32"/>
          <w:highlight w:val="none"/>
          <w:lang w:val="zh-CN"/>
        </w:rPr>
        <w:t xml:space="preserve"> </w:t>
      </w:r>
      <w:r>
        <w:rPr>
          <w:rFonts w:hint="eastAsia" w:ascii="宋体" w:hAnsi="宋体"/>
          <w:color w:val="auto"/>
          <w:sz w:val="32"/>
          <w:szCs w:val="32"/>
          <w:highlight w:val="none"/>
          <w:lang w:val="en-US" w:eastAsia="zh-CN"/>
        </w:rPr>
        <w:t xml:space="preserve"> </w:t>
      </w:r>
      <w:r>
        <w:rPr>
          <w:rFonts w:ascii="宋体" w:hAnsi="宋体"/>
          <w:color w:val="auto"/>
          <w:sz w:val="32"/>
          <w:szCs w:val="32"/>
          <w:highlight w:val="none"/>
          <w:lang w:val="zh-CN"/>
        </w:rPr>
        <w:t>录</w:t>
      </w:r>
      <w:bookmarkEnd w:id="1"/>
      <w:bookmarkEnd w:id="2"/>
    </w:p>
    <w:p w14:paraId="4AA3B52A">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eastAsia="宋体"/>
          <w:i w:val="0"/>
          <w:iCs w:val="0"/>
          <w:sz w:val="28"/>
          <w:szCs w:val="28"/>
        </w:rPr>
      </w:pPr>
      <w:r>
        <w:rPr>
          <w:rFonts w:ascii="宋体" w:hAnsi="宋体"/>
          <w:i w:val="0"/>
          <w:iCs w:val="0"/>
          <w:color w:val="auto"/>
          <w:highlight w:val="none"/>
        </w:rPr>
        <w:fldChar w:fldCharType="begin"/>
      </w:r>
      <w:r>
        <w:rPr>
          <w:rFonts w:ascii="宋体" w:hAnsi="宋体"/>
          <w:i w:val="0"/>
          <w:iCs w:val="0"/>
          <w:color w:val="auto"/>
          <w:highlight w:val="none"/>
        </w:rPr>
        <w:instrText xml:space="preserve"> TOC \o "1-3" \h \z \u </w:instrText>
      </w:r>
      <w:r>
        <w:rPr>
          <w:rFonts w:ascii="宋体" w:hAnsi="宋体"/>
          <w:i w:val="0"/>
          <w:iCs w:val="0"/>
          <w:color w:val="auto"/>
          <w:highlight w:val="none"/>
        </w:rPr>
        <w:fldChar w:fldCharType="separate"/>
      </w:r>
      <w:r>
        <w:rPr>
          <w:rFonts w:eastAsia="宋体"/>
          <w:i w:val="0"/>
          <w:iCs w:val="0"/>
          <w:sz w:val="28"/>
          <w:szCs w:val="28"/>
        </w:rPr>
        <w:fldChar w:fldCharType="begin"/>
      </w:r>
      <w:r>
        <w:rPr>
          <w:rFonts w:eastAsia="宋体"/>
          <w:i w:val="0"/>
          <w:iCs w:val="0"/>
          <w:sz w:val="28"/>
          <w:szCs w:val="28"/>
        </w:rPr>
        <w:instrText xml:space="preserve"> HYPERLINK \l _Toc26627 </w:instrText>
      </w:r>
      <w:r>
        <w:rPr>
          <w:rFonts w:eastAsia="宋体"/>
          <w:i w:val="0"/>
          <w:iCs w:val="0"/>
          <w:sz w:val="28"/>
          <w:szCs w:val="28"/>
        </w:rPr>
        <w:fldChar w:fldCharType="separate"/>
      </w:r>
      <w:r>
        <w:rPr>
          <w:rFonts w:eastAsia="宋体"/>
          <w:i w:val="0"/>
          <w:iCs w:val="0"/>
          <w:sz w:val="28"/>
          <w:szCs w:val="28"/>
        </w:rPr>
        <w:t xml:space="preserve">第一章  </w:t>
      </w:r>
      <w:r>
        <w:rPr>
          <w:rFonts w:hint="eastAsia" w:eastAsia="宋体"/>
          <w:i w:val="0"/>
          <w:iCs w:val="0"/>
          <w:sz w:val="28"/>
          <w:szCs w:val="28"/>
          <w:lang w:eastAsia="zh-CN"/>
        </w:rPr>
        <w:t>竞争性比选</w:t>
      </w:r>
      <w:r>
        <w:rPr>
          <w:rFonts w:eastAsia="宋体"/>
          <w:i w:val="0"/>
          <w:iCs w:val="0"/>
          <w:sz w:val="28"/>
          <w:szCs w:val="28"/>
        </w:rPr>
        <w:t>公告</w:t>
      </w:r>
      <w:r>
        <w:rPr>
          <w:rFonts w:eastAsia="宋体"/>
          <w:i w:val="0"/>
          <w:iCs w:val="0"/>
          <w:sz w:val="28"/>
          <w:szCs w:val="28"/>
        </w:rPr>
        <w:tab/>
      </w:r>
      <w:r>
        <w:rPr>
          <w:rFonts w:eastAsia="宋体"/>
          <w:i w:val="0"/>
          <w:iCs w:val="0"/>
          <w:sz w:val="28"/>
          <w:szCs w:val="28"/>
        </w:rPr>
        <w:fldChar w:fldCharType="begin"/>
      </w:r>
      <w:r>
        <w:rPr>
          <w:rFonts w:eastAsia="宋体"/>
          <w:i w:val="0"/>
          <w:iCs w:val="0"/>
          <w:sz w:val="28"/>
          <w:szCs w:val="28"/>
        </w:rPr>
        <w:instrText xml:space="preserve"> PAGEREF _Toc26627 \h </w:instrText>
      </w:r>
      <w:r>
        <w:rPr>
          <w:rFonts w:eastAsia="宋体"/>
          <w:i w:val="0"/>
          <w:iCs w:val="0"/>
          <w:sz w:val="28"/>
          <w:szCs w:val="28"/>
        </w:rPr>
        <w:fldChar w:fldCharType="separate"/>
      </w:r>
      <w:r>
        <w:rPr>
          <w:rFonts w:eastAsia="宋体"/>
          <w:i w:val="0"/>
          <w:iCs w:val="0"/>
          <w:sz w:val="28"/>
          <w:szCs w:val="28"/>
        </w:rPr>
        <w:t>2</w:t>
      </w:r>
      <w:r>
        <w:rPr>
          <w:rFonts w:eastAsia="宋体"/>
          <w:i w:val="0"/>
          <w:iCs w:val="0"/>
          <w:sz w:val="28"/>
          <w:szCs w:val="28"/>
        </w:rPr>
        <w:fldChar w:fldCharType="end"/>
      </w:r>
      <w:r>
        <w:rPr>
          <w:rFonts w:eastAsia="宋体"/>
          <w:i w:val="0"/>
          <w:iCs w:val="0"/>
          <w:sz w:val="28"/>
          <w:szCs w:val="28"/>
        </w:rPr>
        <w:fldChar w:fldCharType="end"/>
      </w:r>
    </w:p>
    <w:p w14:paraId="69667F00">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eastAsia="宋体"/>
          <w:i w:val="0"/>
          <w:iCs w:val="0"/>
          <w:sz w:val="28"/>
          <w:szCs w:val="28"/>
        </w:rPr>
      </w:pPr>
      <w:r>
        <w:rPr>
          <w:rFonts w:eastAsia="宋体"/>
          <w:i w:val="0"/>
          <w:iCs w:val="0"/>
          <w:sz w:val="28"/>
          <w:szCs w:val="28"/>
          <w:lang w:val="zh-CN"/>
        </w:rPr>
        <w:fldChar w:fldCharType="begin"/>
      </w:r>
      <w:r>
        <w:rPr>
          <w:rFonts w:eastAsia="宋体"/>
          <w:i w:val="0"/>
          <w:iCs w:val="0"/>
          <w:sz w:val="28"/>
          <w:szCs w:val="28"/>
          <w:lang w:val="zh-CN"/>
        </w:rPr>
        <w:instrText xml:space="preserve"> HYPERLINK \l _Toc21596 </w:instrText>
      </w:r>
      <w:r>
        <w:rPr>
          <w:rFonts w:eastAsia="宋体"/>
          <w:i w:val="0"/>
          <w:iCs w:val="0"/>
          <w:sz w:val="28"/>
          <w:szCs w:val="28"/>
          <w:lang w:val="zh-CN"/>
        </w:rPr>
        <w:fldChar w:fldCharType="separate"/>
      </w:r>
      <w:r>
        <w:rPr>
          <w:rFonts w:eastAsia="宋体"/>
          <w:i w:val="0"/>
          <w:iCs w:val="0"/>
          <w:sz w:val="28"/>
          <w:szCs w:val="28"/>
        </w:rPr>
        <w:t>第二章  投标人须知</w:t>
      </w:r>
      <w:r>
        <w:rPr>
          <w:rFonts w:eastAsia="宋体"/>
          <w:i w:val="0"/>
          <w:iCs w:val="0"/>
          <w:sz w:val="28"/>
          <w:szCs w:val="28"/>
        </w:rPr>
        <w:tab/>
      </w:r>
      <w:r>
        <w:rPr>
          <w:rFonts w:eastAsia="宋体"/>
          <w:i w:val="0"/>
          <w:iCs w:val="0"/>
          <w:sz w:val="28"/>
          <w:szCs w:val="28"/>
        </w:rPr>
        <w:fldChar w:fldCharType="begin"/>
      </w:r>
      <w:r>
        <w:rPr>
          <w:rFonts w:eastAsia="宋体"/>
          <w:i w:val="0"/>
          <w:iCs w:val="0"/>
          <w:sz w:val="28"/>
          <w:szCs w:val="28"/>
        </w:rPr>
        <w:instrText xml:space="preserve"> PAGEREF _Toc21596 \h </w:instrText>
      </w:r>
      <w:r>
        <w:rPr>
          <w:rFonts w:eastAsia="宋体"/>
          <w:i w:val="0"/>
          <w:iCs w:val="0"/>
          <w:sz w:val="28"/>
          <w:szCs w:val="28"/>
        </w:rPr>
        <w:fldChar w:fldCharType="separate"/>
      </w:r>
      <w:r>
        <w:rPr>
          <w:rFonts w:eastAsia="宋体"/>
          <w:i w:val="0"/>
          <w:iCs w:val="0"/>
          <w:sz w:val="28"/>
          <w:szCs w:val="28"/>
        </w:rPr>
        <w:t>4</w:t>
      </w:r>
      <w:r>
        <w:rPr>
          <w:rFonts w:eastAsia="宋体"/>
          <w:i w:val="0"/>
          <w:iCs w:val="0"/>
          <w:sz w:val="28"/>
          <w:szCs w:val="28"/>
        </w:rPr>
        <w:fldChar w:fldCharType="end"/>
      </w:r>
      <w:r>
        <w:rPr>
          <w:rFonts w:eastAsia="宋体"/>
          <w:i w:val="0"/>
          <w:iCs w:val="0"/>
          <w:sz w:val="28"/>
          <w:szCs w:val="28"/>
          <w:lang w:val="zh-CN"/>
        </w:rPr>
        <w:fldChar w:fldCharType="end"/>
      </w:r>
    </w:p>
    <w:p w14:paraId="2C090B81">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_Toc3173 </w:instrText>
      </w:r>
      <w:r>
        <w:rPr>
          <w:rFonts w:eastAsia="宋体"/>
          <w:i w:val="0"/>
          <w:iCs w:val="0"/>
          <w:sz w:val="28"/>
          <w:szCs w:val="28"/>
          <w:lang w:val="zh-CN"/>
        </w:rPr>
        <w:fldChar w:fldCharType="separate"/>
      </w:r>
      <w:r>
        <w:rPr>
          <w:rFonts w:eastAsia="宋体"/>
          <w:i w:val="0"/>
          <w:iCs w:val="0"/>
          <w:sz w:val="28"/>
          <w:szCs w:val="28"/>
        </w:rPr>
        <w:t xml:space="preserve">第三章 </w:t>
      </w:r>
      <w:r>
        <w:rPr>
          <w:rFonts w:hint="eastAsia" w:eastAsia="宋体"/>
          <w:i w:val="0"/>
          <w:iCs w:val="0"/>
          <w:sz w:val="28"/>
          <w:szCs w:val="28"/>
        </w:rPr>
        <w:t xml:space="preserve"> </w:t>
      </w:r>
      <w:r>
        <w:rPr>
          <w:rFonts w:eastAsia="宋体"/>
          <w:i w:val="0"/>
          <w:iCs w:val="0"/>
          <w:sz w:val="28"/>
          <w:szCs w:val="28"/>
        </w:rPr>
        <w:t>评标办法（</w:t>
      </w:r>
      <w:r>
        <w:rPr>
          <w:rFonts w:hint="eastAsia" w:eastAsia="宋体"/>
          <w:i w:val="0"/>
          <w:iCs w:val="0"/>
          <w:sz w:val="28"/>
          <w:szCs w:val="28"/>
        </w:rPr>
        <w:t>经评审的最低投标价法</w:t>
      </w:r>
      <w:r>
        <w:rPr>
          <w:rFonts w:eastAsia="宋体"/>
          <w:i w:val="0"/>
          <w:iCs w:val="0"/>
          <w:sz w:val="28"/>
          <w:szCs w:val="28"/>
        </w:rPr>
        <w:t>）</w:t>
      </w:r>
      <w:r>
        <w:rPr>
          <w:rFonts w:eastAsia="宋体"/>
          <w:i w:val="0"/>
          <w:iCs w:val="0"/>
          <w:sz w:val="28"/>
          <w:szCs w:val="28"/>
        </w:rPr>
        <w:tab/>
      </w:r>
      <w:r>
        <w:rPr>
          <w:rFonts w:hint="eastAsia" w:eastAsia="宋体"/>
          <w:i w:val="0"/>
          <w:iCs w:val="0"/>
          <w:sz w:val="28"/>
          <w:szCs w:val="28"/>
          <w:lang w:val="en-US" w:eastAsia="zh-CN"/>
        </w:rPr>
        <w:t>2</w:t>
      </w:r>
      <w:r>
        <w:rPr>
          <w:rFonts w:eastAsia="宋体"/>
          <w:i w:val="0"/>
          <w:iCs w:val="0"/>
          <w:sz w:val="28"/>
          <w:szCs w:val="28"/>
          <w:lang w:val="zh-CN"/>
        </w:rPr>
        <w:fldChar w:fldCharType="end"/>
      </w:r>
      <w:r>
        <w:rPr>
          <w:rFonts w:hint="eastAsia" w:eastAsia="宋体"/>
          <w:i w:val="0"/>
          <w:iCs w:val="0"/>
          <w:sz w:val="28"/>
          <w:szCs w:val="28"/>
          <w:lang w:val="en-US" w:eastAsia="zh-CN"/>
        </w:rPr>
        <w:t>1</w:t>
      </w:r>
    </w:p>
    <w:p w14:paraId="7DD38A95">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_Toc14106 </w:instrText>
      </w:r>
      <w:r>
        <w:rPr>
          <w:rFonts w:eastAsia="宋体"/>
          <w:i w:val="0"/>
          <w:iCs w:val="0"/>
          <w:sz w:val="28"/>
          <w:szCs w:val="28"/>
          <w:lang w:val="zh-CN"/>
        </w:rPr>
        <w:fldChar w:fldCharType="separate"/>
      </w:r>
      <w:r>
        <w:rPr>
          <w:rFonts w:hint="eastAsia" w:eastAsia="宋体"/>
          <w:i w:val="0"/>
          <w:iCs w:val="0"/>
          <w:sz w:val="28"/>
          <w:szCs w:val="28"/>
        </w:rPr>
        <w:t>第四章  合同条款及格式</w:t>
      </w:r>
      <w:r>
        <w:rPr>
          <w:rFonts w:eastAsia="宋体"/>
          <w:i w:val="0"/>
          <w:iCs w:val="0"/>
          <w:sz w:val="28"/>
          <w:szCs w:val="28"/>
        </w:rPr>
        <w:tab/>
      </w:r>
      <w:r>
        <w:rPr>
          <w:rFonts w:hint="eastAsia" w:eastAsia="宋体"/>
          <w:i w:val="0"/>
          <w:iCs w:val="0"/>
          <w:sz w:val="28"/>
          <w:szCs w:val="28"/>
          <w:lang w:val="en-US" w:eastAsia="zh-CN"/>
        </w:rPr>
        <w:t>2</w:t>
      </w:r>
      <w:r>
        <w:rPr>
          <w:rFonts w:eastAsia="宋体"/>
          <w:i w:val="0"/>
          <w:iCs w:val="0"/>
          <w:sz w:val="28"/>
          <w:szCs w:val="28"/>
          <w:lang w:val="zh-CN"/>
        </w:rPr>
        <w:fldChar w:fldCharType="end"/>
      </w:r>
      <w:r>
        <w:rPr>
          <w:rFonts w:hint="eastAsia" w:eastAsia="宋体"/>
          <w:i w:val="0"/>
          <w:iCs w:val="0"/>
          <w:sz w:val="28"/>
          <w:szCs w:val="28"/>
          <w:lang w:val="en-US" w:eastAsia="zh-CN"/>
        </w:rPr>
        <w:t>8</w:t>
      </w:r>
    </w:p>
    <w:p w14:paraId="242700C8">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_Toc29526 </w:instrText>
      </w:r>
      <w:r>
        <w:rPr>
          <w:rFonts w:eastAsia="宋体"/>
          <w:i w:val="0"/>
          <w:iCs w:val="0"/>
          <w:sz w:val="28"/>
          <w:szCs w:val="28"/>
          <w:lang w:val="zh-CN"/>
        </w:rPr>
        <w:fldChar w:fldCharType="separate"/>
      </w:r>
      <w:r>
        <w:rPr>
          <w:rFonts w:hint="eastAsia" w:eastAsia="宋体"/>
          <w:i w:val="0"/>
          <w:iCs w:val="0"/>
          <w:sz w:val="28"/>
          <w:szCs w:val="28"/>
        </w:rPr>
        <w:t>第五章  工程量清单</w:t>
      </w:r>
      <w:r>
        <w:rPr>
          <w:rFonts w:eastAsia="宋体"/>
          <w:i w:val="0"/>
          <w:iCs w:val="0"/>
          <w:sz w:val="28"/>
          <w:szCs w:val="28"/>
        </w:rPr>
        <w:tab/>
      </w:r>
      <w:r>
        <w:rPr>
          <w:rFonts w:hint="eastAsia" w:eastAsia="宋体"/>
          <w:i w:val="0"/>
          <w:iCs w:val="0"/>
          <w:sz w:val="28"/>
          <w:szCs w:val="28"/>
          <w:lang w:val="en-US" w:eastAsia="zh-CN"/>
        </w:rPr>
        <w:t>4</w:t>
      </w:r>
      <w:r>
        <w:rPr>
          <w:rFonts w:eastAsia="宋体"/>
          <w:i w:val="0"/>
          <w:iCs w:val="0"/>
          <w:sz w:val="28"/>
          <w:szCs w:val="28"/>
          <w:lang w:val="zh-CN"/>
        </w:rPr>
        <w:fldChar w:fldCharType="end"/>
      </w:r>
      <w:r>
        <w:rPr>
          <w:rFonts w:hint="eastAsia" w:eastAsia="宋体"/>
          <w:i w:val="0"/>
          <w:iCs w:val="0"/>
          <w:sz w:val="28"/>
          <w:szCs w:val="28"/>
          <w:lang w:val="en-US" w:eastAsia="zh-CN"/>
        </w:rPr>
        <w:t>7</w:t>
      </w:r>
    </w:p>
    <w:p w14:paraId="166BEF49">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_Toc20092 </w:instrText>
      </w:r>
      <w:r>
        <w:rPr>
          <w:rFonts w:eastAsia="宋体"/>
          <w:i w:val="0"/>
          <w:iCs w:val="0"/>
          <w:sz w:val="28"/>
          <w:szCs w:val="28"/>
          <w:lang w:val="zh-CN"/>
        </w:rPr>
        <w:fldChar w:fldCharType="separate"/>
      </w:r>
      <w:r>
        <w:rPr>
          <w:rFonts w:hint="eastAsia" w:eastAsia="宋体"/>
          <w:i w:val="0"/>
          <w:iCs w:val="0"/>
          <w:sz w:val="28"/>
          <w:szCs w:val="28"/>
        </w:rPr>
        <w:t>第六章  图纸</w:t>
      </w:r>
      <w:r>
        <w:rPr>
          <w:rFonts w:eastAsia="宋体"/>
          <w:i w:val="0"/>
          <w:iCs w:val="0"/>
          <w:sz w:val="28"/>
          <w:szCs w:val="28"/>
        </w:rPr>
        <w:tab/>
      </w:r>
      <w:r>
        <w:rPr>
          <w:rFonts w:hint="eastAsia" w:eastAsia="宋体"/>
          <w:i w:val="0"/>
          <w:iCs w:val="0"/>
          <w:sz w:val="28"/>
          <w:szCs w:val="28"/>
          <w:lang w:val="en-US" w:eastAsia="zh-CN"/>
        </w:rPr>
        <w:t>4</w:t>
      </w:r>
      <w:r>
        <w:rPr>
          <w:rFonts w:eastAsia="宋体"/>
          <w:i w:val="0"/>
          <w:iCs w:val="0"/>
          <w:sz w:val="28"/>
          <w:szCs w:val="28"/>
          <w:lang w:val="zh-CN"/>
        </w:rPr>
        <w:fldChar w:fldCharType="end"/>
      </w:r>
      <w:r>
        <w:rPr>
          <w:rFonts w:hint="eastAsia" w:eastAsia="宋体"/>
          <w:i w:val="0"/>
          <w:iCs w:val="0"/>
          <w:sz w:val="28"/>
          <w:szCs w:val="28"/>
          <w:lang w:val="en-US" w:eastAsia="zh-CN"/>
        </w:rPr>
        <w:t>8</w:t>
      </w:r>
    </w:p>
    <w:p w14:paraId="69A78E8D">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_Toc12 </w:instrText>
      </w:r>
      <w:r>
        <w:rPr>
          <w:rFonts w:eastAsia="宋体"/>
          <w:i w:val="0"/>
          <w:iCs w:val="0"/>
          <w:sz w:val="28"/>
          <w:szCs w:val="28"/>
          <w:lang w:val="zh-CN"/>
        </w:rPr>
        <w:fldChar w:fldCharType="separate"/>
      </w:r>
      <w:r>
        <w:rPr>
          <w:rFonts w:eastAsia="宋体"/>
          <w:i w:val="0"/>
          <w:iCs w:val="0"/>
          <w:sz w:val="28"/>
          <w:szCs w:val="28"/>
        </w:rPr>
        <w:t>第七章</w:t>
      </w:r>
      <w:r>
        <w:rPr>
          <w:rFonts w:hint="eastAsia" w:eastAsia="宋体"/>
          <w:i w:val="0"/>
          <w:iCs w:val="0"/>
          <w:sz w:val="28"/>
          <w:szCs w:val="28"/>
        </w:rPr>
        <w:t xml:space="preserve">  </w:t>
      </w:r>
      <w:r>
        <w:rPr>
          <w:rFonts w:eastAsia="宋体"/>
          <w:i w:val="0"/>
          <w:iCs w:val="0"/>
          <w:sz w:val="28"/>
          <w:szCs w:val="28"/>
        </w:rPr>
        <w:t>技术标准和要求</w:t>
      </w:r>
      <w:r>
        <w:rPr>
          <w:rFonts w:eastAsia="宋体"/>
          <w:i w:val="0"/>
          <w:iCs w:val="0"/>
          <w:sz w:val="28"/>
          <w:szCs w:val="28"/>
        </w:rPr>
        <w:tab/>
      </w:r>
      <w:r>
        <w:rPr>
          <w:rFonts w:hint="eastAsia" w:eastAsia="宋体"/>
          <w:i w:val="0"/>
          <w:iCs w:val="0"/>
          <w:sz w:val="28"/>
          <w:szCs w:val="28"/>
          <w:lang w:val="en-US" w:eastAsia="zh-CN"/>
        </w:rPr>
        <w:t>4</w:t>
      </w:r>
      <w:r>
        <w:rPr>
          <w:rFonts w:eastAsia="宋体"/>
          <w:i w:val="0"/>
          <w:iCs w:val="0"/>
          <w:sz w:val="28"/>
          <w:szCs w:val="28"/>
          <w:lang w:val="zh-CN"/>
        </w:rPr>
        <w:fldChar w:fldCharType="end"/>
      </w:r>
      <w:r>
        <w:rPr>
          <w:rFonts w:hint="eastAsia" w:eastAsia="宋体"/>
          <w:i w:val="0"/>
          <w:iCs w:val="0"/>
          <w:sz w:val="28"/>
          <w:szCs w:val="28"/>
          <w:lang w:val="en-US" w:eastAsia="zh-CN"/>
        </w:rPr>
        <w:t>9</w:t>
      </w:r>
    </w:p>
    <w:p w14:paraId="2B43FE0C">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_Toc13509 </w:instrText>
      </w:r>
      <w:r>
        <w:rPr>
          <w:rFonts w:eastAsia="宋体"/>
          <w:i w:val="0"/>
          <w:iCs w:val="0"/>
          <w:sz w:val="28"/>
          <w:szCs w:val="28"/>
          <w:lang w:val="zh-CN"/>
        </w:rPr>
        <w:fldChar w:fldCharType="separate"/>
      </w:r>
      <w:r>
        <w:rPr>
          <w:rFonts w:hint="eastAsia" w:eastAsia="宋体"/>
          <w:i w:val="0"/>
          <w:iCs w:val="0"/>
          <w:sz w:val="28"/>
          <w:szCs w:val="28"/>
        </w:rPr>
        <w:t>第八章  投标文件格式</w:t>
      </w:r>
      <w:r>
        <w:rPr>
          <w:rFonts w:eastAsia="宋体"/>
          <w:i w:val="0"/>
          <w:iCs w:val="0"/>
          <w:sz w:val="28"/>
          <w:szCs w:val="28"/>
        </w:rPr>
        <w:tab/>
      </w:r>
      <w:r>
        <w:rPr>
          <w:rFonts w:hint="eastAsia" w:eastAsia="宋体"/>
          <w:i w:val="0"/>
          <w:iCs w:val="0"/>
          <w:sz w:val="28"/>
          <w:szCs w:val="28"/>
          <w:lang w:val="en-US" w:eastAsia="zh-CN"/>
        </w:rPr>
        <w:t>5</w:t>
      </w:r>
      <w:r>
        <w:rPr>
          <w:rFonts w:eastAsia="宋体"/>
          <w:i w:val="0"/>
          <w:iCs w:val="0"/>
          <w:sz w:val="28"/>
          <w:szCs w:val="28"/>
          <w:lang w:val="zh-CN"/>
        </w:rPr>
        <w:fldChar w:fldCharType="end"/>
      </w:r>
      <w:r>
        <w:rPr>
          <w:rFonts w:hint="eastAsia" w:eastAsia="宋体"/>
          <w:i w:val="0"/>
          <w:iCs w:val="0"/>
          <w:sz w:val="28"/>
          <w:szCs w:val="28"/>
          <w:lang w:val="en-US" w:eastAsia="zh-CN"/>
        </w:rPr>
        <w:t>0</w:t>
      </w:r>
    </w:p>
    <w:p w14:paraId="43C74BDC">
      <w:pPr>
        <w:pStyle w:val="23"/>
        <w:tabs>
          <w:tab w:val="right" w:leader="dot" w:pos="9469"/>
        </w:tabs>
        <w:rPr>
          <w:i w:val="0"/>
          <w:iCs w:val="0"/>
          <w:color w:val="auto"/>
          <w:highlight w:val="none"/>
        </w:rPr>
      </w:pPr>
    </w:p>
    <w:p w14:paraId="09B16321">
      <w:pPr>
        <w:rPr>
          <w:rFonts w:ascii="宋体" w:hAnsi="宋体"/>
          <w:color w:val="auto"/>
          <w:highlight w:val="none"/>
        </w:rPr>
      </w:pPr>
      <w:r>
        <w:rPr>
          <w:rFonts w:ascii="宋体" w:hAnsi="宋体"/>
          <w:bCs/>
          <w:i w:val="0"/>
          <w:iCs w:val="0"/>
          <w:color w:val="auto"/>
          <w:szCs w:val="20"/>
          <w:highlight w:val="none"/>
          <w:lang w:val="zh-CN"/>
        </w:rPr>
        <w:fldChar w:fldCharType="end"/>
      </w:r>
    </w:p>
    <w:bookmarkEnd w:id="0"/>
    <w:p w14:paraId="489EF56E">
      <w:pPr>
        <w:spacing w:line="20" w:lineRule="exact"/>
        <w:rPr>
          <w:rFonts w:ascii="宋体" w:hAnsi="宋体"/>
          <w:color w:val="auto"/>
          <w:highlight w:val="none"/>
        </w:rPr>
      </w:pPr>
      <w:bookmarkStart w:id="3" w:name="_Toc430530414"/>
    </w:p>
    <w:p w14:paraId="7EDBB2ED">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3"/>
    <w:p w14:paraId="1C8F02C1">
      <w:pPr>
        <w:pStyle w:val="4"/>
        <w:spacing w:line="360" w:lineRule="auto"/>
        <w:jc w:val="center"/>
        <w:rPr>
          <w:rFonts w:ascii="宋体" w:hAnsi="宋体"/>
          <w:snapToGrid w:val="0"/>
          <w:color w:val="auto"/>
          <w:kern w:val="0"/>
          <w:highlight w:val="none"/>
        </w:rPr>
      </w:pPr>
      <w:bookmarkStart w:id="4" w:name="_Toc430530415"/>
      <w:bookmarkStart w:id="5" w:name="_Toc509218691"/>
      <w:bookmarkStart w:id="6" w:name="_Toc287620666"/>
      <w:bookmarkStart w:id="7" w:name="_Toc287607727"/>
      <w:bookmarkStart w:id="8" w:name="_Toc26627"/>
      <w:bookmarkStart w:id="9" w:name="_Toc277082535"/>
      <w:bookmarkStart w:id="10" w:name="_Toc224103298"/>
      <w:bookmarkStart w:id="11" w:name="_Toc12819"/>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竞争性比选</w:t>
      </w:r>
      <w:r>
        <w:rPr>
          <w:rFonts w:ascii="宋体" w:hAnsi="宋体"/>
          <w:snapToGrid w:val="0"/>
          <w:color w:val="auto"/>
          <w:kern w:val="0"/>
          <w:highlight w:val="none"/>
        </w:rPr>
        <w:t>公告</w:t>
      </w:r>
      <w:bookmarkEnd w:id="4"/>
      <w:bookmarkEnd w:id="5"/>
      <w:bookmarkEnd w:id="6"/>
      <w:bookmarkEnd w:id="7"/>
      <w:bookmarkEnd w:id="8"/>
      <w:bookmarkEnd w:id="9"/>
      <w:bookmarkEnd w:id="10"/>
      <w:bookmarkEnd w:id="11"/>
    </w:p>
    <w:p w14:paraId="2269CCB7">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kern w:val="0"/>
          <w:sz w:val="28"/>
          <w:szCs w:val="28"/>
          <w:highlight w:val="none"/>
          <w:u w:val="single"/>
          <w:lang w:eastAsia="zh-CN"/>
        </w:rPr>
        <w:t>重庆市铜梁区虎峰小学空调安装线路改造项目</w:t>
      </w:r>
      <w:r>
        <w:rPr>
          <w:rFonts w:hint="eastAsia" w:ascii="宋体" w:hAnsi="宋体"/>
          <w:snapToGrid w:val="0"/>
          <w:color w:val="auto"/>
          <w:w w:val="99"/>
          <w:kern w:val="0"/>
          <w:sz w:val="28"/>
          <w:szCs w:val="28"/>
          <w:highlight w:val="none"/>
          <w:lang w:eastAsia="zh-CN"/>
        </w:rPr>
        <w:t>比选</w:t>
      </w:r>
      <w:r>
        <w:rPr>
          <w:rFonts w:ascii="宋体" w:hAnsi="宋体"/>
          <w:snapToGrid w:val="0"/>
          <w:color w:val="auto"/>
          <w:w w:val="99"/>
          <w:kern w:val="0"/>
          <w:sz w:val="28"/>
          <w:szCs w:val="28"/>
          <w:highlight w:val="none"/>
        </w:rPr>
        <w:t>公告</w:t>
      </w:r>
    </w:p>
    <w:p w14:paraId="284AD70D">
      <w:pPr>
        <w:pStyle w:val="5"/>
        <w:spacing w:before="100" w:after="100" w:line="460" w:lineRule="exact"/>
        <w:rPr>
          <w:rFonts w:ascii="宋体" w:hAnsi="宋体"/>
          <w:snapToGrid w:val="0"/>
          <w:color w:val="auto"/>
          <w:sz w:val="28"/>
          <w:szCs w:val="28"/>
          <w:highlight w:val="none"/>
        </w:rPr>
      </w:pPr>
      <w:bookmarkStart w:id="12" w:name="_Toc430530416"/>
      <w:bookmarkStart w:id="13" w:name="_Toc277082536"/>
      <w:bookmarkStart w:id="14" w:name="_Toc287620667"/>
      <w:bookmarkStart w:id="15" w:name="_Toc224103299"/>
      <w:bookmarkStart w:id="16" w:name="_Toc200359427"/>
      <w:bookmarkStart w:id="17" w:name="_Toc30134"/>
      <w:bookmarkStart w:id="18" w:name="_Toc287607728"/>
      <w:bookmarkStart w:id="19" w:name="_Toc509218692"/>
      <w:bookmarkStart w:id="20" w:name="_Toc200359238"/>
      <w:bookmarkStart w:id="21" w:name="_Toc27491"/>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lang w:eastAsia="zh-CN"/>
        </w:rPr>
        <w:t>竞争性比选</w:t>
      </w:r>
      <w:r>
        <w:rPr>
          <w:rFonts w:ascii="宋体" w:hAnsi="宋体"/>
          <w:snapToGrid w:val="0"/>
          <w:color w:val="auto"/>
          <w:sz w:val="28"/>
          <w:szCs w:val="28"/>
          <w:highlight w:val="none"/>
        </w:rPr>
        <w:t>条件</w:t>
      </w:r>
      <w:bookmarkEnd w:id="12"/>
      <w:bookmarkEnd w:id="13"/>
      <w:bookmarkEnd w:id="14"/>
      <w:bookmarkEnd w:id="15"/>
      <w:bookmarkEnd w:id="16"/>
      <w:bookmarkEnd w:id="17"/>
      <w:bookmarkEnd w:id="18"/>
      <w:bookmarkEnd w:id="19"/>
      <w:bookmarkEnd w:id="20"/>
      <w:bookmarkEnd w:id="21"/>
    </w:p>
    <w:p w14:paraId="05F567BE">
      <w:pPr>
        <w:tabs>
          <w:tab w:val="left" w:pos="3315"/>
          <w:tab w:val="left" w:pos="3390"/>
          <w:tab w:val="left" w:pos="6120"/>
          <w:tab w:val="left" w:pos="8850"/>
        </w:tabs>
        <w:autoSpaceDE w:val="0"/>
        <w:autoSpaceDN w:val="0"/>
        <w:adjustRightInd w:val="0"/>
        <w:snapToGrid w:val="0"/>
        <w:spacing w:line="460" w:lineRule="exact"/>
        <w:ind w:firstLine="420"/>
        <w:jc w:val="both"/>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重庆市铜梁区虎峰小学空调安装线路改造项目</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重庆市铜梁区虎峰小学</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区财政资金</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重庆市铜梁区虎峰小学</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eastAsia="zh-CN"/>
        </w:rPr>
        <w:t>竞争性比选</w:t>
      </w:r>
      <w:r>
        <w:rPr>
          <w:rFonts w:ascii="宋体" w:hAnsi="宋体"/>
          <w:snapToGrid w:val="0"/>
          <w:color w:val="auto"/>
          <w:kern w:val="0"/>
          <w:position w:val="-2"/>
          <w:szCs w:val="21"/>
          <w:highlight w:val="none"/>
        </w:rPr>
        <w:t>。</w:t>
      </w:r>
    </w:p>
    <w:p w14:paraId="27B6D750">
      <w:pPr>
        <w:pStyle w:val="5"/>
        <w:spacing w:before="100" w:after="100" w:line="460" w:lineRule="exact"/>
        <w:rPr>
          <w:rFonts w:ascii="宋体" w:hAnsi="宋体"/>
          <w:snapToGrid w:val="0"/>
          <w:color w:val="auto"/>
          <w:sz w:val="28"/>
          <w:szCs w:val="28"/>
          <w:highlight w:val="none"/>
        </w:rPr>
      </w:pPr>
      <w:bookmarkStart w:id="22" w:name="_Toc430530417"/>
      <w:bookmarkStart w:id="23" w:name="_Toc287620668"/>
      <w:bookmarkStart w:id="24" w:name="_Toc16344"/>
      <w:bookmarkStart w:id="25" w:name="_Toc287607729"/>
      <w:bookmarkStart w:id="26" w:name="_Toc224103300"/>
      <w:bookmarkStart w:id="27" w:name="_Toc200359239"/>
      <w:bookmarkStart w:id="28" w:name="_Toc277082537"/>
      <w:bookmarkStart w:id="29" w:name="_Toc20699"/>
      <w:bookmarkStart w:id="30" w:name="_Toc200359428"/>
      <w:bookmarkStart w:id="31" w:name="_Toc509218693"/>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项目概况与</w:t>
      </w:r>
      <w:r>
        <w:rPr>
          <w:rFonts w:hint="eastAsia" w:ascii="宋体" w:hAnsi="宋体"/>
          <w:snapToGrid w:val="0"/>
          <w:color w:val="auto"/>
          <w:sz w:val="28"/>
          <w:szCs w:val="28"/>
          <w:highlight w:val="none"/>
          <w:lang w:eastAsia="zh-CN"/>
        </w:rPr>
        <w:t>比选</w:t>
      </w:r>
      <w:r>
        <w:rPr>
          <w:rFonts w:ascii="宋体" w:hAnsi="宋体"/>
          <w:snapToGrid w:val="0"/>
          <w:color w:val="auto"/>
          <w:sz w:val="28"/>
          <w:szCs w:val="28"/>
          <w:highlight w:val="none"/>
        </w:rPr>
        <w:t>范围</w:t>
      </w:r>
      <w:bookmarkEnd w:id="22"/>
      <w:bookmarkEnd w:id="23"/>
      <w:bookmarkEnd w:id="24"/>
      <w:bookmarkEnd w:id="25"/>
      <w:bookmarkEnd w:id="26"/>
      <w:bookmarkEnd w:id="27"/>
      <w:bookmarkEnd w:id="28"/>
      <w:bookmarkEnd w:id="29"/>
      <w:bookmarkEnd w:id="30"/>
      <w:bookmarkEnd w:id="31"/>
    </w:p>
    <w:p w14:paraId="1A8A57C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lang w:eastAsia="zh-CN"/>
        </w:rPr>
        <w:t>铜梁区虎峰小学。</w:t>
      </w:r>
    </w:p>
    <w:p w14:paraId="62BA34C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eastAsia="zh-CN"/>
        </w:rPr>
        <w:t>主要建设内容包含校区内空调线路安装、空开安装、配电箱安装、线槽安装等，具体内容详见工程量清单。</w:t>
      </w:r>
    </w:p>
    <w:p w14:paraId="7EF53861">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本</w:t>
      </w:r>
      <w:r>
        <w:rPr>
          <w:rFonts w:ascii="宋体" w:hAnsi="宋体" w:cs="宋体"/>
          <w:snapToGrid w:val="0"/>
          <w:kern w:val="0"/>
          <w:szCs w:val="21"/>
        </w:rPr>
        <w:t>次</w:t>
      </w:r>
      <w:r>
        <w:rPr>
          <w:rFonts w:hint="eastAsia" w:ascii="宋体" w:hAnsi="宋体" w:cs="宋体"/>
          <w:snapToGrid w:val="0"/>
          <w:kern w:val="0"/>
          <w:szCs w:val="21"/>
        </w:rPr>
        <w:t>比选</w:t>
      </w:r>
      <w:r>
        <w:rPr>
          <w:rFonts w:ascii="宋体" w:hAnsi="宋体" w:cs="宋体"/>
          <w:snapToGrid w:val="0"/>
          <w:kern w:val="0"/>
          <w:szCs w:val="21"/>
        </w:rPr>
        <w:t>项目</w:t>
      </w:r>
      <w:r>
        <w:rPr>
          <w:rFonts w:hint="eastAsia" w:ascii="宋体" w:hAnsi="宋体" w:cs="宋体"/>
          <w:snapToGrid w:val="0"/>
          <w:kern w:val="0"/>
          <w:szCs w:val="21"/>
        </w:rPr>
        <w:t>合同估算金</w:t>
      </w:r>
      <w:r>
        <w:rPr>
          <w:rFonts w:hint="eastAsia" w:ascii="宋体" w:hAnsi="宋体" w:cs="宋体"/>
          <w:snapToGrid w:val="0"/>
          <w:color w:val="auto"/>
          <w:kern w:val="0"/>
          <w:szCs w:val="21"/>
        </w:rPr>
        <w:t>额</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lang w:eastAsia="zh-CN"/>
        </w:rPr>
        <w:t>127,726.68</w:t>
      </w:r>
      <w:r>
        <w:rPr>
          <w:rFonts w:hint="eastAsia" w:ascii="宋体" w:hAnsi="宋体"/>
          <w:snapToGrid w:val="0"/>
          <w:color w:val="auto"/>
          <w:kern w:val="0"/>
          <w:szCs w:val="21"/>
          <w:highlight w:val="none"/>
          <w:u w:val="single"/>
          <w:lang w:val="en-US" w:eastAsia="zh-CN"/>
        </w:rPr>
        <w:t>元</w:t>
      </w:r>
    </w:p>
    <w:p w14:paraId="6CE15A5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eastAsia="zh-CN"/>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lang w:eastAsia="zh-CN"/>
        </w:rPr>
        <w:t>详见本工程工程量清单。</w:t>
      </w:r>
    </w:p>
    <w:p w14:paraId="47A0303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20日历天</w:t>
      </w:r>
      <w:r>
        <w:rPr>
          <w:rFonts w:hint="eastAsia" w:ascii="宋体" w:hAnsi="宋体"/>
          <w:snapToGrid w:val="0"/>
          <w:color w:val="auto"/>
          <w:kern w:val="0"/>
          <w:szCs w:val="21"/>
          <w:highlight w:val="none"/>
          <w:u w:val="none"/>
          <w:lang w:val="en-US" w:eastAsia="zh-CN"/>
        </w:rPr>
        <w:t xml:space="preserve">   </w:t>
      </w:r>
      <w:r>
        <w:rPr>
          <w:rFonts w:hint="eastAsia" w:ascii="宋体" w:hAnsi="宋体"/>
          <w:snapToGrid w:val="0"/>
          <w:color w:val="auto"/>
          <w:kern w:val="0"/>
          <w:szCs w:val="21"/>
          <w:highlight w:val="none"/>
        </w:rPr>
        <w:t>缺陷责任期要求：</w:t>
      </w:r>
      <w:r>
        <w:rPr>
          <w:rFonts w:hint="eastAsia" w:ascii="宋体" w:hAnsi="宋体"/>
          <w:snapToGrid w:val="0"/>
          <w:color w:val="auto"/>
          <w:kern w:val="0"/>
          <w:szCs w:val="21"/>
          <w:highlight w:val="none"/>
          <w:u w:val="single"/>
          <w:lang w:val="en-US" w:eastAsia="zh-CN"/>
        </w:rPr>
        <w:t>12</w:t>
      </w:r>
      <w:r>
        <w:rPr>
          <w:rFonts w:hint="eastAsia" w:ascii="宋体" w:hAnsi="宋体"/>
          <w:snapToGrid w:val="0"/>
          <w:color w:val="auto"/>
          <w:kern w:val="0"/>
          <w:szCs w:val="21"/>
          <w:highlight w:val="none"/>
          <w:u w:val="single"/>
        </w:rPr>
        <w:t>个月</w:t>
      </w:r>
    </w:p>
    <w:p w14:paraId="438295BA">
      <w:pPr>
        <w:pStyle w:val="5"/>
        <w:spacing w:before="100" w:after="100" w:line="460" w:lineRule="exact"/>
        <w:rPr>
          <w:rFonts w:ascii="宋体" w:hAnsi="宋体"/>
          <w:snapToGrid w:val="0"/>
          <w:color w:val="auto"/>
          <w:sz w:val="28"/>
          <w:szCs w:val="28"/>
          <w:highlight w:val="none"/>
        </w:rPr>
      </w:pPr>
      <w:bookmarkStart w:id="32" w:name="_Toc224103301"/>
      <w:bookmarkStart w:id="33" w:name="_Toc509218694"/>
      <w:bookmarkStart w:id="34" w:name="_Toc277082538"/>
      <w:bookmarkStart w:id="35" w:name="_Toc200359429"/>
      <w:bookmarkStart w:id="36" w:name="_Toc19513"/>
      <w:bookmarkStart w:id="37" w:name="_Toc200359240"/>
      <w:bookmarkStart w:id="38" w:name="_Toc287620669"/>
      <w:bookmarkStart w:id="39" w:name="_Toc430530418"/>
      <w:bookmarkStart w:id="40" w:name="_Toc27677"/>
      <w:bookmarkStart w:id="41" w:name="_Toc287607730"/>
      <w:r>
        <w:rPr>
          <w:rFonts w:ascii="宋体" w:hAnsi="宋体"/>
          <w:snapToGrid w:val="0"/>
          <w:color w:val="auto"/>
          <w:sz w:val="28"/>
          <w:szCs w:val="28"/>
          <w:highlight w:val="none"/>
        </w:rPr>
        <w:t>3. 投标人资格要求</w:t>
      </w:r>
      <w:bookmarkEnd w:id="32"/>
      <w:bookmarkEnd w:id="33"/>
      <w:bookmarkEnd w:id="34"/>
      <w:bookmarkEnd w:id="35"/>
      <w:bookmarkEnd w:id="36"/>
      <w:bookmarkEnd w:id="37"/>
      <w:bookmarkEnd w:id="38"/>
      <w:bookmarkEnd w:id="39"/>
      <w:bookmarkEnd w:id="40"/>
      <w:bookmarkEnd w:id="41"/>
    </w:p>
    <w:p w14:paraId="54ED43B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要求投标人须具备</w:t>
      </w:r>
      <w:r>
        <w:rPr>
          <w:rFonts w:hint="eastAsia" w:ascii="宋体" w:hAnsi="宋体"/>
          <w:snapToGrid w:val="0"/>
          <w:color w:val="auto"/>
          <w:kern w:val="0"/>
          <w:szCs w:val="21"/>
          <w:highlight w:val="none"/>
        </w:rPr>
        <w:t>以下条件：</w:t>
      </w:r>
    </w:p>
    <w:p w14:paraId="1CE9CA5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要求投标人具备的资质条件：</w:t>
      </w:r>
      <w:r>
        <w:rPr>
          <w:rFonts w:hint="eastAsia" w:ascii="宋体" w:hAnsi="宋体" w:eastAsia="宋体" w:cs="宋体"/>
          <w:b/>
          <w:bCs/>
          <w:i w:val="0"/>
          <w:iCs w:val="0"/>
          <w:caps w:val="0"/>
          <w:color w:val="auto"/>
          <w:spacing w:val="0"/>
          <w:kern w:val="0"/>
          <w:sz w:val="21"/>
          <w:szCs w:val="21"/>
          <w:highlight w:val="none"/>
          <w:u w:val="single"/>
          <w:shd w:val="clear" w:color="auto" w:fill="FFFFFF"/>
          <w:lang w:val="en-US" w:eastAsia="zh-CN" w:bidi="ar"/>
        </w:rPr>
        <w:t>具备建设行政主管部门颁发的</w:t>
      </w:r>
      <w:r>
        <w:rPr>
          <w:rFonts w:hint="eastAsia" w:ascii="宋体" w:hAnsi="宋体" w:cs="宋体"/>
          <w:b/>
          <w:bCs/>
          <w:i w:val="0"/>
          <w:iCs w:val="0"/>
          <w:caps w:val="0"/>
          <w:color w:val="auto"/>
          <w:spacing w:val="0"/>
          <w:kern w:val="0"/>
          <w:sz w:val="21"/>
          <w:szCs w:val="21"/>
          <w:highlight w:val="none"/>
          <w:u w:val="single"/>
          <w:shd w:val="clear" w:color="auto" w:fill="FFFFFF"/>
          <w:lang w:val="en-US" w:eastAsia="zh-CN" w:bidi="ar"/>
        </w:rPr>
        <w:t>有效的建筑工程施工总承包叁级</w:t>
      </w:r>
      <w:r>
        <w:rPr>
          <w:rFonts w:hint="eastAsia" w:ascii="宋体" w:hAnsi="宋体" w:eastAsia="宋体" w:cs="宋体"/>
          <w:b/>
          <w:bCs/>
          <w:i w:val="0"/>
          <w:iCs w:val="0"/>
          <w:caps w:val="0"/>
          <w:color w:val="auto"/>
          <w:spacing w:val="0"/>
          <w:kern w:val="0"/>
          <w:sz w:val="21"/>
          <w:szCs w:val="21"/>
          <w:highlight w:val="none"/>
          <w:u w:val="single"/>
          <w:shd w:val="clear" w:color="auto" w:fill="FFFFFF"/>
          <w:lang w:val="en-US" w:eastAsia="zh-CN" w:bidi="ar"/>
        </w:rPr>
        <w:t>及以上</w:t>
      </w:r>
      <w:r>
        <w:rPr>
          <w:rFonts w:hint="eastAsia" w:ascii="宋体" w:hAnsi="宋体" w:cs="宋体"/>
          <w:b/>
          <w:bCs/>
          <w:i w:val="0"/>
          <w:iCs w:val="0"/>
          <w:caps w:val="0"/>
          <w:color w:val="auto"/>
          <w:spacing w:val="0"/>
          <w:kern w:val="0"/>
          <w:sz w:val="21"/>
          <w:szCs w:val="21"/>
          <w:highlight w:val="none"/>
          <w:u w:val="single"/>
          <w:shd w:val="clear" w:color="auto" w:fill="FFFFFF"/>
          <w:lang w:val="en-US" w:eastAsia="zh-CN" w:bidi="ar"/>
        </w:rPr>
        <w:t>资质</w:t>
      </w:r>
      <w:r>
        <w:rPr>
          <w:rFonts w:hint="eastAsia" w:ascii="宋体" w:hAnsi="宋体"/>
          <w:snapToGrid w:val="0"/>
          <w:color w:val="auto"/>
          <w:kern w:val="0"/>
          <w:szCs w:val="21"/>
          <w:highlight w:val="none"/>
        </w:rPr>
        <w:t>；</w:t>
      </w:r>
    </w:p>
    <w:p w14:paraId="6E989BBA">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投标人还应在人员、设备、资金等方面具有相应的施工能力，详见</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第二章投标人须知前附表第1.4.1项内容。</w:t>
      </w:r>
    </w:p>
    <w:p w14:paraId="0C7540D7">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14:paraId="2A9460B6">
      <w:pPr>
        <w:pStyle w:val="5"/>
        <w:spacing w:before="100" w:after="100" w:line="460" w:lineRule="exact"/>
        <w:rPr>
          <w:rFonts w:ascii="宋体" w:hAnsi="宋体"/>
          <w:snapToGrid w:val="0"/>
          <w:color w:val="auto"/>
          <w:sz w:val="28"/>
          <w:szCs w:val="28"/>
          <w:highlight w:val="none"/>
        </w:rPr>
      </w:pPr>
      <w:bookmarkStart w:id="42" w:name="_Toc224103302"/>
      <w:bookmarkStart w:id="43" w:name="_Toc287620670"/>
      <w:bookmarkStart w:id="44" w:name="_Toc287607731"/>
      <w:bookmarkStart w:id="45" w:name="_Toc430530419"/>
      <w:bookmarkStart w:id="46" w:name="_Toc509218695"/>
      <w:bookmarkStart w:id="47" w:name="_Toc10508"/>
      <w:bookmarkStart w:id="48" w:name="_Toc277082539"/>
      <w:bookmarkStart w:id="49" w:name="_Toc200359430"/>
      <w:bookmarkStart w:id="50" w:name="_Toc200359241"/>
      <w:bookmarkStart w:id="51" w:name="_Toc10229"/>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lang w:eastAsia="zh-CN"/>
        </w:rPr>
        <w:t>比选</w:t>
      </w:r>
      <w:bookmarkEnd w:id="42"/>
      <w:bookmarkEnd w:id="43"/>
      <w:bookmarkEnd w:id="44"/>
      <w:bookmarkEnd w:id="45"/>
      <w:bookmarkEnd w:id="46"/>
      <w:bookmarkEnd w:id="47"/>
      <w:bookmarkEnd w:id="48"/>
      <w:bookmarkEnd w:id="49"/>
      <w:bookmarkEnd w:id="50"/>
      <w:bookmarkEnd w:id="51"/>
      <w:r>
        <w:rPr>
          <w:rFonts w:hint="eastAsia" w:ascii="宋体" w:hAnsi="宋体"/>
          <w:snapToGrid w:val="0"/>
          <w:color w:val="auto"/>
          <w:sz w:val="28"/>
          <w:szCs w:val="28"/>
          <w:highlight w:val="none"/>
          <w:lang w:eastAsia="zh-CN"/>
        </w:rPr>
        <w:t>有关说明</w:t>
      </w:r>
    </w:p>
    <w:p w14:paraId="0E308BD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4.1  投标人应通过“行采家”（www.gec123.com）登记加入“供应商库”。</w:t>
      </w:r>
    </w:p>
    <w:p w14:paraId="4CEDC6B9">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4.2  </w:t>
      </w:r>
      <w:r>
        <w:rPr>
          <w:rFonts w:hint="eastAsia" w:ascii="宋体" w:hAnsi="宋体" w:cs="宋体"/>
          <w:color w:val="auto"/>
          <w:kern w:val="2"/>
          <w:sz w:val="21"/>
          <w:szCs w:val="21"/>
          <w:highlight w:val="none"/>
        </w:rPr>
        <w:t>凡有意参加</w:t>
      </w:r>
      <w:r>
        <w:rPr>
          <w:rFonts w:hint="eastAsia" w:ascii="宋体" w:hAnsi="宋体" w:cs="宋体"/>
          <w:color w:val="auto"/>
          <w:kern w:val="2"/>
          <w:sz w:val="21"/>
          <w:szCs w:val="21"/>
          <w:highlight w:val="none"/>
          <w:lang w:eastAsia="zh-CN"/>
        </w:rPr>
        <w:t>投标</w:t>
      </w:r>
      <w:r>
        <w:rPr>
          <w:rFonts w:hint="eastAsia" w:ascii="宋体" w:hAnsi="宋体" w:cs="宋体"/>
          <w:color w:val="auto"/>
          <w:kern w:val="2"/>
          <w:sz w:val="21"/>
          <w:szCs w:val="21"/>
          <w:highlight w:val="none"/>
        </w:rPr>
        <w:t>者</w:t>
      </w:r>
      <w:r>
        <w:rPr>
          <w:rFonts w:hint="eastAsia" w:ascii="宋体" w:hAnsi="宋体"/>
          <w:snapToGrid w:val="0"/>
          <w:color w:val="auto"/>
          <w:kern w:val="0"/>
          <w:szCs w:val="21"/>
          <w:highlight w:val="none"/>
          <w:lang w:val="en-US" w:eastAsia="zh-CN"/>
        </w:rPr>
        <w:t>，请在“行采家”（www.gec123.com）上下载或到比选代理机构处领取本项目竞争性比选文件、工程量清单以及变更等比选前公布的所有项目资料，无论投标人下载或领取与否，均视为已知晓所有比选实质性要求内容。</w:t>
      </w:r>
    </w:p>
    <w:p w14:paraId="3C7604A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4.3  报名方式</w:t>
      </w:r>
    </w:p>
    <w:p w14:paraId="1AB851F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4.3.1 竞争性比选文件发售期：</w:t>
      </w:r>
      <w:r>
        <w:rPr>
          <w:rFonts w:hint="eastAsia" w:ascii="宋体" w:hAnsi="宋体" w:cs="宋体"/>
          <w:color w:val="auto"/>
          <w:kern w:val="2"/>
          <w:sz w:val="21"/>
          <w:szCs w:val="21"/>
          <w:highlight w:val="none"/>
          <w:u w:val="none"/>
          <w:lang w:val="en-US" w:eastAsia="zh-CN"/>
        </w:rPr>
        <w:t>2025年7</w:t>
      </w:r>
      <w:r>
        <w:rPr>
          <w:rFonts w:hint="eastAsia" w:ascii="宋体" w:hAnsi="宋体" w:cs="宋体"/>
          <w:color w:val="auto"/>
          <w:kern w:val="2"/>
          <w:sz w:val="21"/>
          <w:szCs w:val="21"/>
          <w:highlight w:val="none"/>
          <w:u w:val="none"/>
        </w:rPr>
        <w:t>月</w:t>
      </w:r>
      <w:r>
        <w:rPr>
          <w:rFonts w:hint="eastAsia" w:ascii="宋体" w:hAnsi="宋体" w:cs="宋体"/>
          <w:color w:val="auto"/>
          <w:kern w:val="2"/>
          <w:sz w:val="21"/>
          <w:szCs w:val="21"/>
          <w:highlight w:val="none"/>
          <w:u w:val="none"/>
          <w:lang w:val="en-US" w:eastAsia="zh-CN"/>
        </w:rPr>
        <w:t>7</w:t>
      </w:r>
      <w:r>
        <w:rPr>
          <w:rFonts w:hint="eastAsia" w:ascii="宋体" w:hAnsi="宋体" w:cs="宋体"/>
          <w:color w:val="auto"/>
          <w:kern w:val="2"/>
          <w:sz w:val="21"/>
          <w:szCs w:val="21"/>
          <w:highlight w:val="none"/>
          <w:u w:val="none"/>
        </w:rPr>
        <w:t>日</w:t>
      </w:r>
      <w:r>
        <w:rPr>
          <w:rFonts w:hint="eastAsia" w:ascii="宋体" w:hAnsi="宋体" w:cs="宋体"/>
          <w:color w:val="auto"/>
          <w:kern w:val="2"/>
          <w:sz w:val="21"/>
          <w:szCs w:val="21"/>
          <w:highlight w:val="none"/>
          <w:u w:val="none"/>
          <w:lang w:eastAsia="zh-CN"/>
        </w:rPr>
        <w:t>至2025年</w:t>
      </w:r>
      <w:r>
        <w:rPr>
          <w:rFonts w:hint="eastAsia" w:ascii="宋体" w:hAnsi="宋体" w:cs="宋体"/>
          <w:color w:val="auto"/>
          <w:kern w:val="2"/>
          <w:sz w:val="21"/>
          <w:szCs w:val="21"/>
          <w:highlight w:val="none"/>
          <w:u w:val="none"/>
          <w:lang w:val="en-US" w:eastAsia="zh-CN"/>
        </w:rPr>
        <w:t>7月11日18</w:t>
      </w:r>
      <w:r>
        <w:rPr>
          <w:rFonts w:hint="eastAsia" w:ascii="宋体" w:hAnsi="宋体" w:cs="宋体"/>
          <w:color w:val="auto"/>
          <w:kern w:val="2"/>
          <w:sz w:val="21"/>
          <w:szCs w:val="21"/>
          <w:highlight w:val="none"/>
          <w:u w:val="none"/>
        </w:rPr>
        <w:t>时</w:t>
      </w:r>
      <w:r>
        <w:rPr>
          <w:rFonts w:hint="eastAsia" w:ascii="宋体" w:hAnsi="宋体" w:cs="宋体"/>
          <w:color w:val="auto"/>
          <w:kern w:val="2"/>
          <w:sz w:val="21"/>
          <w:szCs w:val="21"/>
          <w:highlight w:val="none"/>
          <w:u w:val="none"/>
          <w:lang w:val="en-US" w:eastAsia="zh-CN"/>
        </w:rPr>
        <w:t>00</w:t>
      </w:r>
      <w:r>
        <w:rPr>
          <w:rFonts w:hint="eastAsia" w:ascii="宋体" w:hAnsi="宋体" w:cs="宋体"/>
          <w:color w:val="auto"/>
          <w:kern w:val="2"/>
          <w:sz w:val="21"/>
          <w:szCs w:val="21"/>
          <w:highlight w:val="none"/>
          <w:u w:val="none"/>
        </w:rPr>
        <w:t>分</w:t>
      </w:r>
      <w:r>
        <w:rPr>
          <w:rFonts w:hint="eastAsia" w:ascii="宋体" w:hAnsi="宋体"/>
          <w:snapToGrid w:val="0"/>
          <w:color w:val="auto"/>
          <w:kern w:val="0"/>
          <w:szCs w:val="21"/>
          <w:highlight w:val="none"/>
          <w:lang w:val="en-US" w:eastAsia="zh-CN"/>
        </w:rPr>
        <w:t>。</w:t>
      </w:r>
    </w:p>
    <w:p w14:paraId="6331AF6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4.3.2 报名方式：凡有意参加投标者，请于竞争性比选文件发售期内，持单位介绍信、经办人身份证到采购代理机构处进行报名。</w:t>
      </w:r>
      <w:r>
        <w:rPr>
          <w:rFonts w:hint="eastAsia" w:ascii="宋体" w:hAnsi="宋体" w:cs="宋体"/>
          <w:color w:val="auto"/>
          <w:kern w:val="2"/>
          <w:sz w:val="21"/>
          <w:szCs w:val="21"/>
          <w:highlight w:val="none"/>
        </w:rPr>
        <w:t>未在规定时间</w:t>
      </w:r>
      <w:r>
        <w:rPr>
          <w:rFonts w:hint="eastAsia" w:ascii="宋体" w:hAnsi="宋体" w:cs="宋体"/>
          <w:color w:val="auto"/>
          <w:kern w:val="2"/>
          <w:sz w:val="21"/>
          <w:szCs w:val="21"/>
          <w:highlight w:val="none"/>
          <w:lang w:eastAsia="zh-CN"/>
        </w:rPr>
        <w:t>报名</w:t>
      </w:r>
      <w:r>
        <w:rPr>
          <w:rFonts w:hint="eastAsia" w:ascii="宋体" w:hAnsi="宋体" w:cs="宋体"/>
          <w:color w:val="auto"/>
          <w:kern w:val="2"/>
          <w:sz w:val="21"/>
          <w:szCs w:val="21"/>
          <w:highlight w:val="none"/>
        </w:rPr>
        <w:t>的投标人，比选人和比选代理机构不接受其投标文件</w:t>
      </w:r>
      <w:r>
        <w:rPr>
          <w:rFonts w:hint="eastAsia" w:ascii="宋体" w:hAnsi="宋体" w:cs="宋体"/>
          <w:color w:val="auto"/>
          <w:kern w:val="2"/>
          <w:sz w:val="21"/>
          <w:szCs w:val="21"/>
          <w:highlight w:val="none"/>
          <w:lang w:eastAsia="zh-CN"/>
        </w:rPr>
        <w:t>。</w:t>
      </w:r>
    </w:p>
    <w:p w14:paraId="0878E03E">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投标人可</w:t>
      </w:r>
      <w:r>
        <w:rPr>
          <w:rFonts w:hint="eastAsia" w:ascii="宋体" w:hAnsi="宋体"/>
          <w:snapToGrid w:val="0"/>
          <w:color w:val="auto"/>
          <w:kern w:val="0"/>
          <w:szCs w:val="21"/>
          <w:highlight w:val="none"/>
          <w:lang w:eastAsia="zh-CN"/>
        </w:rPr>
        <w:t>向比选人和比选代理机构提出疑问</w:t>
      </w:r>
      <w:r>
        <w:rPr>
          <w:rFonts w:hint="eastAsia" w:ascii="宋体" w:hAnsi="宋体"/>
          <w:snapToGrid w:val="0"/>
          <w:color w:val="auto"/>
          <w:kern w:val="0"/>
          <w:szCs w:val="21"/>
          <w:highlight w:val="none"/>
        </w:rPr>
        <w:t>，提问时间从本公告发布至</w:t>
      </w:r>
      <w:r>
        <w:rPr>
          <w:rFonts w:hint="eastAsia" w:ascii="宋体" w:hAnsi="宋体" w:cs="宋体"/>
          <w:color w:val="auto"/>
          <w:kern w:val="0"/>
          <w:szCs w:val="21"/>
          <w:highlight w:val="none"/>
          <w:u w:val="singl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8</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12</w:t>
      </w:r>
      <w:r>
        <w:rPr>
          <w:rFonts w:hint="eastAsia" w:ascii="宋体" w:hAnsi="宋体" w:cs="宋体"/>
          <w:color w:val="auto"/>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w:t>
      </w:r>
    </w:p>
    <w:p w14:paraId="71741F1B">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4.</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应于</w:t>
      </w:r>
      <w:r>
        <w:rPr>
          <w:rFonts w:hint="eastAsia" w:ascii="宋体" w:hAnsi="宋体" w:cs="宋体"/>
          <w:color w:val="auto"/>
          <w:kern w:val="0"/>
          <w:szCs w:val="21"/>
          <w:highlight w:val="none"/>
          <w:u w:val="singl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9</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18</w:t>
      </w:r>
      <w:r>
        <w:rPr>
          <w:rFonts w:hint="eastAsia" w:ascii="宋体" w:hAnsi="宋体" w:cs="宋体"/>
          <w:color w:val="auto"/>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（北京时间）前在</w:t>
      </w:r>
      <w:r>
        <w:rPr>
          <w:rFonts w:hint="eastAsia" w:ascii="宋体" w:hAnsi="宋体"/>
          <w:snapToGrid w:val="0"/>
          <w:color w:val="auto"/>
          <w:kern w:val="0"/>
          <w:szCs w:val="21"/>
          <w:highlight w:val="none"/>
          <w:u w:val="single"/>
          <w:lang w:eastAsia="zh-CN"/>
        </w:rPr>
        <w:t>“行采家”（www.gec123.com）</w:t>
      </w:r>
      <w:r>
        <w:rPr>
          <w:rFonts w:hint="eastAsia" w:ascii="宋体" w:hAnsi="宋体"/>
          <w:snapToGrid w:val="0"/>
          <w:color w:val="auto"/>
          <w:kern w:val="0"/>
          <w:szCs w:val="21"/>
          <w:highlight w:val="none"/>
        </w:rPr>
        <w:t>发布澄清</w:t>
      </w:r>
      <w:r>
        <w:rPr>
          <w:rFonts w:hint="eastAsia" w:ascii="宋体" w:hAnsi="宋体"/>
          <w:snapToGrid w:val="0"/>
          <w:color w:val="auto"/>
          <w:kern w:val="0"/>
          <w:szCs w:val="21"/>
          <w:highlight w:val="none"/>
          <w:lang w:val="en-US" w:eastAsia="zh-CN"/>
        </w:rPr>
        <w:t>或修改</w:t>
      </w:r>
      <w:r>
        <w:rPr>
          <w:rFonts w:hint="eastAsia" w:ascii="宋体" w:hAnsi="宋体"/>
          <w:snapToGrid w:val="0"/>
          <w:color w:val="auto"/>
          <w:kern w:val="0"/>
          <w:szCs w:val="21"/>
          <w:highlight w:val="none"/>
        </w:rPr>
        <w:t>。</w:t>
      </w:r>
    </w:p>
    <w:p w14:paraId="032CFAB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4.6  线上报价</w:t>
      </w:r>
    </w:p>
    <w:p w14:paraId="501EAF1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4.6.1 线上报价时间：2025年7月12日9:00-11:00。</w:t>
      </w:r>
      <w:bookmarkStart w:id="736" w:name="_GoBack"/>
      <w:bookmarkEnd w:id="736"/>
    </w:p>
    <w:p w14:paraId="529C3F4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4.6.2 线上报价要求：按本项目规定的时间在“行采家-电子竞采平台”（https://www.gec123.com/xe/）进行网上报价并</w:t>
      </w:r>
      <w:r>
        <w:rPr>
          <w:rFonts w:hint="eastAsia" w:ascii="宋体" w:hAnsi="宋体"/>
          <w:snapToGrid w:val="0"/>
          <w:color w:val="auto"/>
          <w:kern w:val="0"/>
          <w:szCs w:val="21"/>
          <w:highlight w:val="none"/>
        </w:rPr>
        <w:t>上传签字盖章完毕的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文件电子档（PDF格式）</w:t>
      </w:r>
      <w:r>
        <w:rPr>
          <w:rFonts w:hint="eastAsia" w:ascii="宋体" w:hAnsi="宋体"/>
          <w:snapToGrid w:val="0"/>
          <w:color w:val="auto"/>
          <w:kern w:val="0"/>
          <w:szCs w:val="21"/>
          <w:highlight w:val="none"/>
          <w:lang w:val="en-US" w:eastAsia="zh-CN"/>
        </w:rPr>
        <w:t>。</w:t>
      </w:r>
    </w:p>
    <w:p w14:paraId="2AE29D4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4.7  本项目不举行现场开标仪式，评标委员会将以投标人在线上平台上传的投标文件电子文档作为评审依据。</w:t>
      </w:r>
    </w:p>
    <w:p w14:paraId="0F33F1B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4.8  </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上传的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文件应按照</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文件格式要求制作，规定签字、盖章的地方必须按</w:t>
      </w:r>
      <w:r>
        <w:rPr>
          <w:rFonts w:hint="eastAsia" w:ascii="宋体" w:hAnsi="宋体"/>
          <w:snapToGrid w:val="0"/>
          <w:color w:val="auto"/>
          <w:kern w:val="0"/>
          <w:szCs w:val="21"/>
          <w:highlight w:val="none"/>
          <w:lang w:eastAsia="zh-CN"/>
        </w:rPr>
        <w:t>其</w:t>
      </w:r>
      <w:r>
        <w:rPr>
          <w:rFonts w:hint="eastAsia" w:ascii="宋体" w:hAnsi="宋体"/>
          <w:snapToGrid w:val="0"/>
          <w:color w:val="auto"/>
          <w:kern w:val="0"/>
          <w:szCs w:val="21"/>
          <w:highlight w:val="none"/>
        </w:rPr>
        <w:t>规定签字、盖章，未按要求制作</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文件的</w:t>
      </w:r>
      <w:r>
        <w:rPr>
          <w:rFonts w:hint="eastAsia" w:ascii="宋体" w:hAnsi="宋体"/>
          <w:color w:val="auto"/>
          <w:szCs w:val="21"/>
          <w:highlight w:val="none"/>
        </w:rPr>
        <w:t>由评标委员会作否决投标处理</w:t>
      </w:r>
      <w:r>
        <w:rPr>
          <w:rFonts w:hint="eastAsia" w:ascii="宋体" w:hAnsi="宋体"/>
          <w:color w:val="auto"/>
          <w:szCs w:val="21"/>
          <w:highlight w:val="none"/>
          <w:lang w:eastAsia="zh-CN"/>
        </w:rPr>
        <w:t>。</w:t>
      </w:r>
    </w:p>
    <w:p w14:paraId="00E6BAE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4.9  </w:t>
      </w:r>
      <w:r>
        <w:rPr>
          <w:rFonts w:hint="eastAsia" w:ascii="宋体" w:hAnsi="宋体"/>
          <w:snapToGrid w:val="0"/>
          <w:color w:val="auto"/>
          <w:kern w:val="0"/>
          <w:szCs w:val="21"/>
          <w:highlight w:val="none"/>
        </w:rPr>
        <w:t>网上报价应与</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文件报价一致，</w:t>
      </w:r>
      <w:r>
        <w:rPr>
          <w:rFonts w:hint="eastAsia" w:ascii="宋体" w:hAnsi="宋体"/>
          <w:color w:val="auto"/>
          <w:szCs w:val="21"/>
          <w:highlight w:val="none"/>
        </w:rPr>
        <w:t>否则由评标委员会作否决投标处理</w:t>
      </w:r>
      <w:r>
        <w:rPr>
          <w:rFonts w:hint="eastAsia" w:ascii="宋体" w:hAnsi="宋体"/>
          <w:color w:val="auto"/>
          <w:szCs w:val="21"/>
          <w:highlight w:val="none"/>
          <w:lang w:eastAsia="zh-CN"/>
        </w:rPr>
        <w:t>。</w:t>
      </w:r>
    </w:p>
    <w:p w14:paraId="192E5F3B">
      <w:pPr>
        <w:pStyle w:val="5"/>
        <w:spacing w:before="100" w:after="100" w:line="460" w:lineRule="exact"/>
        <w:rPr>
          <w:rFonts w:ascii="宋体" w:hAnsi="宋体"/>
          <w:snapToGrid w:val="0"/>
          <w:color w:val="auto"/>
          <w:sz w:val="28"/>
          <w:szCs w:val="28"/>
          <w:highlight w:val="none"/>
        </w:rPr>
      </w:pPr>
      <w:bookmarkStart w:id="52" w:name="_Toc200359431"/>
      <w:bookmarkStart w:id="53" w:name="_Toc509218696"/>
      <w:bookmarkStart w:id="54" w:name="_Toc287607732"/>
      <w:bookmarkStart w:id="55" w:name="_Toc20615"/>
      <w:bookmarkStart w:id="56" w:name="_Toc287620671"/>
      <w:bookmarkStart w:id="57" w:name="_Toc28449"/>
      <w:bookmarkStart w:id="58" w:name="_Toc277082540"/>
      <w:bookmarkStart w:id="59" w:name="_Toc430530420"/>
      <w:bookmarkStart w:id="60" w:name="_Toc224103303"/>
      <w:bookmarkStart w:id="61" w:name="_Toc200359242"/>
      <w:r>
        <w:rPr>
          <w:rFonts w:ascii="宋体" w:hAnsi="宋体"/>
          <w:snapToGrid w:val="0"/>
          <w:color w:val="auto"/>
          <w:sz w:val="28"/>
          <w:szCs w:val="28"/>
          <w:highlight w:val="none"/>
        </w:rPr>
        <w:t>5. 投标文件的递交</w:t>
      </w:r>
      <w:bookmarkEnd w:id="52"/>
      <w:bookmarkEnd w:id="53"/>
      <w:bookmarkEnd w:id="54"/>
      <w:bookmarkEnd w:id="55"/>
      <w:bookmarkEnd w:id="56"/>
      <w:bookmarkEnd w:id="57"/>
      <w:bookmarkEnd w:id="58"/>
      <w:bookmarkEnd w:id="59"/>
      <w:bookmarkEnd w:id="60"/>
      <w:bookmarkEnd w:id="61"/>
    </w:p>
    <w:p w14:paraId="4C14209F">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本项目采用线上报价线下评审的方式，投标人按网上公告规定的报价时间内在行采家-电子竞采平台进行线上报价，并上传</w:t>
      </w:r>
      <w:r>
        <w:rPr>
          <w:rFonts w:hint="eastAsia" w:ascii="宋体" w:hAnsi="宋体"/>
          <w:snapToGrid w:val="0"/>
          <w:color w:val="auto"/>
          <w:kern w:val="0"/>
          <w:szCs w:val="21"/>
          <w:highlight w:val="none"/>
        </w:rPr>
        <w:t>签字盖章完毕的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文件电子档（PDF格式）</w:t>
      </w:r>
      <w:r>
        <w:rPr>
          <w:rFonts w:hint="eastAsia" w:ascii="宋体" w:hAnsi="宋体"/>
          <w:snapToGrid w:val="0"/>
          <w:color w:val="auto"/>
          <w:kern w:val="0"/>
          <w:szCs w:val="21"/>
          <w:highlight w:val="none"/>
          <w:lang w:eastAsia="zh-CN"/>
        </w:rPr>
        <w:t>一份</w:t>
      </w:r>
      <w:r>
        <w:rPr>
          <w:rFonts w:hint="eastAsia" w:ascii="宋体" w:hAnsi="宋体"/>
          <w:snapToGrid w:val="0"/>
          <w:color w:val="auto"/>
          <w:kern w:val="0"/>
          <w:szCs w:val="21"/>
          <w:highlight w:val="none"/>
          <w:lang w:val="en-US" w:eastAsia="zh-CN"/>
        </w:rPr>
        <w:t>。投标文件内容应清晰、无涂改，若因文件内容模糊、无法打开、不完整等导致无法进行评审，由此造成的后果由投标人自行承担。</w:t>
      </w:r>
    </w:p>
    <w:p w14:paraId="33E0A7C7">
      <w:pPr>
        <w:pStyle w:val="5"/>
        <w:spacing w:before="100" w:after="100" w:line="460" w:lineRule="exact"/>
        <w:rPr>
          <w:rFonts w:ascii="宋体" w:hAnsi="宋体"/>
          <w:snapToGrid w:val="0"/>
          <w:color w:val="auto"/>
          <w:sz w:val="28"/>
          <w:szCs w:val="28"/>
          <w:highlight w:val="none"/>
        </w:rPr>
      </w:pPr>
      <w:bookmarkStart w:id="62" w:name="_Toc509218697"/>
      <w:bookmarkStart w:id="63" w:name="_Toc277082541"/>
      <w:bookmarkStart w:id="64" w:name="_Toc29618"/>
      <w:bookmarkStart w:id="65" w:name="_Toc200359432"/>
      <w:bookmarkStart w:id="66" w:name="_Toc200359243"/>
      <w:bookmarkStart w:id="67" w:name="_Toc8166"/>
      <w:bookmarkStart w:id="68" w:name="_Toc287620672"/>
      <w:bookmarkStart w:id="69" w:name="_Toc430530421"/>
      <w:bookmarkStart w:id="70" w:name="_Toc224103304"/>
      <w:bookmarkStart w:id="71" w:name="_Toc287607733"/>
      <w:r>
        <w:rPr>
          <w:rFonts w:ascii="宋体" w:hAnsi="宋体"/>
          <w:snapToGrid w:val="0"/>
          <w:color w:val="auto"/>
          <w:sz w:val="28"/>
          <w:szCs w:val="28"/>
          <w:highlight w:val="none"/>
        </w:rPr>
        <w:t>6. 发布公告的媒介</w:t>
      </w:r>
      <w:bookmarkEnd w:id="62"/>
      <w:bookmarkEnd w:id="63"/>
      <w:bookmarkEnd w:id="64"/>
      <w:bookmarkEnd w:id="65"/>
      <w:bookmarkEnd w:id="66"/>
      <w:bookmarkEnd w:id="67"/>
      <w:bookmarkEnd w:id="68"/>
      <w:bookmarkEnd w:id="69"/>
      <w:bookmarkEnd w:id="70"/>
      <w:bookmarkEnd w:id="71"/>
    </w:p>
    <w:p w14:paraId="6198E360">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“行采家”（www.gec123.com）</w:t>
      </w:r>
      <w:r>
        <w:rPr>
          <w:rFonts w:ascii="宋体" w:hAnsi="宋体"/>
          <w:snapToGrid w:val="0"/>
          <w:color w:val="auto"/>
          <w:kern w:val="0"/>
          <w:szCs w:val="21"/>
          <w:highlight w:val="none"/>
        </w:rPr>
        <w:t>上发布。</w:t>
      </w:r>
    </w:p>
    <w:p w14:paraId="458D26DB">
      <w:pPr>
        <w:pStyle w:val="5"/>
        <w:spacing w:before="100" w:after="100" w:line="460" w:lineRule="exact"/>
        <w:rPr>
          <w:rFonts w:ascii="宋体" w:hAnsi="宋体"/>
          <w:snapToGrid w:val="0"/>
          <w:color w:val="auto"/>
          <w:sz w:val="28"/>
          <w:szCs w:val="28"/>
          <w:highlight w:val="none"/>
        </w:rPr>
      </w:pPr>
      <w:bookmarkStart w:id="72" w:name="_Toc14240"/>
      <w:bookmarkStart w:id="73" w:name="_Toc31352"/>
      <w:bookmarkStart w:id="74" w:name="_Toc509218698"/>
      <w:bookmarkStart w:id="75" w:name="_Toc24575"/>
      <w:bookmarkStart w:id="76" w:name="_Toc430530422"/>
      <w:bookmarkStart w:id="77" w:name="_Toc277082542"/>
      <w:bookmarkStart w:id="78" w:name="_Toc287620673"/>
      <w:bookmarkStart w:id="79" w:name="_Toc287607734"/>
      <w:bookmarkStart w:id="80" w:name="_Toc224103305"/>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72"/>
      <w:bookmarkEnd w:id="73"/>
      <w:bookmarkStart w:id="81" w:name="_Toc589"/>
      <w:r>
        <w:rPr>
          <w:rFonts w:ascii="宋体" w:hAnsi="宋体"/>
          <w:snapToGrid w:val="0"/>
          <w:color w:val="auto"/>
          <w:sz w:val="28"/>
          <w:szCs w:val="28"/>
          <w:highlight w:val="none"/>
        </w:rPr>
        <w:t>联系方式</w:t>
      </w:r>
      <w:bookmarkEnd w:id="74"/>
      <w:bookmarkEnd w:id="75"/>
      <w:bookmarkEnd w:id="76"/>
      <w:bookmarkEnd w:id="77"/>
      <w:bookmarkEnd w:id="78"/>
      <w:bookmarkEnd w:id="79"/>
      <w:bookmarkEnd w:id="80"/>
      <w:bookmarkEnd w:id="81"/>
    </w:p>
    <w:p w14:paraId="43069986">
      <w:pPr>
        <w:tabs>
          <w:tab w:val="left" w:pos="5140"/>
          <w:tab w:val="left" w:pos="8520"/>
        </w:tabs>
        <w:autoSpaceDE w:val="0"/>
        <w:autoSpaceDN w:val="0"/>
        <w:adjustRightInd w:val="0"/>
        <w:snapToGrid w:val="0"/>
        <w:spacing w:line="450" w:lineRule="exact"/>
        <w:ind w:firstLine="420" w:firstLineChars="200"/>
        <w:jc w:val="left"/>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lang w:eastAsia="zh-CN"/>
        </w:rPr>
        <w:t>比</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lang w:eastAsia="zh-CN"/>
        </w:rPr>
        <w:t>选</w:t>
      </w:r>
      <w:r>
        <w:rPr>
          <w:rFonts w:ascii="宋体" w:hAnsi="宋体"/>
          <w:snapToGrid w:val="0"/>
          <w:color w:val="auto"/>
          <w:kern w:val="0"/>
          <w:szCs w:val="21"/>
          <w:highlight w:val="none"/>
        </w:rPr>
        <w:t xml:space="preserve"> 人：</w:t>
      </w:r>
      <w:r>
        <w:rPr>
          <w:rFonts w:hint="eastAsia" w:ascii="宋体" w:hAnsi="宋体"/>
          <w:snapToGrid w:val="0"/>
          <w:color w:val="auto"/>
          <w:kern w:val="0"/>
          <w:szCs w:val="21"/>
          <w:highlight w:val="none"/>
          <w:u w:val="single"/>
          <w:lang w:eastAsia="zh-CN"/>
        </w:rPr>
        <w:t>重庆市铜梁区虎峰小学</w:t>
      </w:r>
      <w:r>
        <w:rPr>
          <w:rFonts w:hint="eastAsia" w:ascii="宋体" w:hAnsi="宋体"/>
          <w:snapToGrid w:val="0"/>
          <w:color w:val="auto"/>
          <w:kern w:val="0"/>
          <w:szCs w:val="21"/>
          <w:highlight w:val="none"/>
          <w:u w:val="single"/>
          <w:lang w:val="en-US" w:eastAsia="zh-CN"/>
        </w:rPr>
        <w:t xml:space="preserve">        </w:t>
      </w:r>
    </w:p>
    <w:p w14:paraId="618C0A8C">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color w:val="auto"/>
          <w:kern w:val="0"/>
          <w:position w:val="-3"/>
          <w:szCs w:val="21"/>
          <w:highlight w:val="none"/>
          <w:u w:val="single"/>
        </w:rPr>
      </w:pPr>
      <w:r>
        <w:rPr>
          <w:rFonts w:ascii="宋体" w:hAnsi="宋体"/>
          <w:snapToGrid w:val="0"/>
          <w:color w:val="auto"/>
          <w:kern w:val="0"/>
          <w:szCs w:val="21"/>
          <w:highlight w:val="none"/>
        </w:rPr>
        <w:t>地    址：</w:t>
      </w:r>
      <w:r>
        <w:rPr>
          <w:rFonts w:hint="eastAsia" w:ascii="宋体" w:hAnsi="宋体" w:eastAsia="宋体"/>
          <w:snapToGrid w:val="0"/>
          <w:color w:val="auto"/>
          <w:kern w:val="0"/>
          <w:szCs w:val="21"/>
          <w:highlight w:val="none"/>
          <w:u w:val="single"/>
          <w:lang w:eastAsia="zh-CN"/>
        </w:rPr>
        <w:t>重庆市铜梁区虎峰镇八仙街96号</w:t>
      </w:r>
    </w:p>
    <w:p w14:paraId="16DC6CC6">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侯</w:t>
      </w:r>
      <w:r>
        <w:rPr>
          <w:rFonts w:hint="eastAsia" w:ascii="宋体" w:hAnsi="宋体"/>
          <w:snapToGrid w:val="0"/>
          <w:color w:val="auto"/>
          <w:kern w:val="0"/>
          <w:szCs w:val="21"/>
          <w:highlight w:val="none"/>
          <w:u w:val="single"/>
          <w:lang w:eastAsia="zh-CN"/>
        </w:rPr>
        <w:t>老师</w:t>
      </w:r>
      <w:r>
        <w:rPr>
          <w:rFonts w:ascii="宋体" w:hAnsi="宋体"/>
          <w:snapToGrid w:val="0"/>
          <w:color w:val="auto"/>
          <w:kern w:val="0"/>
          <w:szCs w:val="21"/>
          <w:highlight w:val="none"/>
          <w:u w:val="single"/>
        </w:rPr>
        <w:t xml:space="preserve">                       </w:t>
      </w:r>
    </w:p>
    <w:p w14:paraId="0D644A3A">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eastAsia="zh-CN"/>
        </w:rPr>
        <w:t>1</w:t>
      </w:r>
      <w:r>
        <w:rPr>
          <w:rFonts w:hint="eastAsia" w:ascii="宋体" w:hAnsi="宋体"/>
          <w:snapToGrid w:val="0"/>
          <w:color w:val="auto"/>
          <w:kern w:val="0"/>
          <w:szCs w:val="21"/>
          <w:highlight w:val="none"/>
          <w:u w:val="single"/>
          <w:lang w:val="en-US" w:eastAsia="zh-CN"/>
        </w:rPr>
        <w:t>7702345997</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p>
    <w:p w14:paraId="74931CE1">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u w:val="single"/>
          <w:lang w:eastAsia="zh-CN"/>
        </w:rPr>
        <w:t>重庆骋顺工程项目管理有限公司</w:t>
      </w:r>
      <w:r>
        <w:rPr>
          <w:rFonts w:ascii="宋体" w:hAnsi="宋体"/>
          <w:snapToGrid w:val="0"/>
          <w:color w:val="auto"/>
          <w:kern w:val="0"/>
          <w:szCs w:val="21"/>
          <w:highlight w:val="none"/>
          <w:u w:val="single"/>
        </w:rPr>
        <w:t xml:space="preserve"> </w:t>
      </w:r>
    </w:p>
    <w:p w14:paraId="25A0FB03">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position w:val="-3"/>
          <w:szCs w:val="21"/>
          <w:highlight w:val="none"/>
          <w:u w:val="single"/>
          <w:lang w:val="en-US" w:eastAsia="zh-CN"/>
        </w:rPr>
      </w:pPr>
      <w:r>
        <w:rPr>
          <w:rFonts w:ascii="宋体" w:hAnsi="宋体"/>
          <w:snapToGrid w:val="0"/>
          <w:color w:val="auto"/>
          <w:kern w:val="0"/>
          <w:szCs w:val="21"/>
          <w:highlight w:val="none"/>
        </w:rPr>
        <w:t>地    址：</w:t>
      </w:r>
      <w:r>
        <w:rPr>
          <w:rFonts w:hint="eastAsia" w:ascii="宋体" w:hAnsi="宋体"/>
          <w:snapToGrid w:val="0"/>
          <w:color w:val="auto"/>
          <w:kern w:val="0"/>
          <w:position w:val="-3"/>
          <w:szCs w:val="21"/>
          <w:highlight w:val="none"/>
          <w:u w:val="single"/>
          <w:lang w:eastAsia="zh-CN"/>
        </w:rPr>
        <w:t>铜梁区巴川街道法建东路302号</w:t>
      </w:r>
    </w:p>
    <w:p w14:paraId="256E5A7B">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陈</w:t>
      </w:r>
      <w:r>
        <w:rPr>
          <w:rFonts w:hint="eastAsia" w:ascii="宋体" w:hAnsi="宋体"/>
          <w:snapToGrid w:val="0"/>
          <w:color w:val="auto"/>
          <w:kern w:val="0"/>
          <w:szCs w:val="21"/>
          <w:highlight w:val="none"/>
          <w:u w:val="single"/>
          <w:lang w:eastAsia="zh-CN"/>
        </w:rPr>
        <w:t>老师</w:t>
      </w:r>
      <w:r>
        <w:rPr>
          <w:rFonts w:ascii="宋体" w:hAnsi="宋体"/>
          <w:snapToGrid w:val="0"/>
          <w:color w:val="auto"/>
          <w:kern w:val="0"/>
          <w:szCs w:val="21"/>
          <w:highlight w:val="none"/>
          <w:u w:val="single"/>
        </w:rPr>
        <w:t xml:space="preserve">                     </w:t>
      </w:r>
    </w:p>
    <w:p w14:paraId="3AE1A02B">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 xml:space="preserve">19332292480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7</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7</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67BA02F7">
      <w:pPr>
        <w:pStyle w:val="4"/>
        <w:keepNext/>
        <w:keepLines/>
        <w:pageBreakBefore w:val="0"/>
        <w:widowControl w:val="0"/>
        <w:kinsoku/>
        <w:wordWrap/>
        <w:overflowPunct/>
        <w:topLinePunct w:val="0"/>
        <w:autoSpaceDE/>
        <w:autoSpaceDN/>
        <w:bidi w:val="0"/>
        <w:adjustRightInd/>
        <w:snapToGrid/>
        <w:spacing w:before="340" w:after="330" w:line="360" w:lineRule="auto"/>
        <w:jc w:val="center"/>
        <w:textAlignment w:val="auto"/>
        <w:rPr>
          <w:rFonts w:ascii="宋体" w:hAnsi="宋体"/>
          <w:snapToGrid w:val="0"/>
          <w:color w:val="auto"/>
          <w:kern w:val="0"/>
          <w:highlight w:val="none"/>
        </w:rPr>
      </w:pPr>
      <w:r>
        <w:rPr>
          <w:rFonts w:ascii="宋体" w:hAnsi="宋体"/>
          <w:snapToGrid w:val="0"/>
          <w:color w:val="auto"/>
          <w:kern w:val="0"/>
          <w:szCs w:val="21"/>
          <w:highlight w:val="none"/>
        </w:rPr>
        <w:br w:type="page"/>
      </w:r>
      <w:bookmarkStart w:id="82" w:name="_Toc287607744"/>
      <w:bookmarkStart w:id="83" w:name="_Toc32148"/>
      <w:bookmarkStart w:id="84" w:name="_Toc224103315"/>
      <w:bookmarkStart w:id="85" w:name="_Toc21596"/>
      <w:bookmarkStart w:id="86" w:name="_Toc287620683"/>
      <w:bookmarkStart w:id="87" w:name="_Toc430530432"/>
      <w:r>
        <w:rPr>
          <w:rFonts w:ascii="宋体" w:hAnsi="宋体"/>
          <w:snapToGrid w:val="0"/>
          <w:color w:val="auto"/>
          <w:kern w:val="0"/>
          <w:highlight w:val="none"/>
        </w:rPr>
        <w:t>第二章  投标人须知</w:t>
      </w:r>
      <w:bookmarkEnd w:id="82"/>
      <w:bookmarkEnd w:id="83"/>
      <w:bookmarkEnd w:id="84"/>
      <w:bookmarkEnd w:id="85"/>
      <w:bookmarkEnd w:id="86"/>
      <w:bookmarkEnd w:id="87"/>
      <w:bookmarkStart w:id="88" w:name="_Toc430530433"/>
      <w:bookmarkStart w:id="89" w:name="_Toc287620684"/>
      <w:bookmarkStart w:id="90" w:name="_Toc224103316"/>
      <w:bookmarkStart w:id="91" w:name="_Toc287607745"/>
      <w:bookmarkStart w:id="92" w:name="_Toc277082551"/>
    </w:p>
    <w:p w14:paraId="2CB4C472">
      <w:pPr>
        <w:pStyle w:val="5"/>
        <w:spacing w:before="100" w:after="100" w:line="360" w:lineRule="auto"/>
        <w:rPr>
          <w:rFonts w:ascii="宋体" w:hAnsi="宋体"/>
          <w:color w:val="auto"/>
          <w:highlight w:val="none"/>
        </w:rPr>
      </w:pPr>
      <w:bookmarkStart w:id="93" w:name="_Toc8005"/>
      <w:bookmarkStart w:id="94" w:name="_Toc509218708"/>
      <w:bookmarkStart w:id="95" w:name="_Toc23402"/>
      <w:r>
        <w:rPr>
          <w:rFonts w:hint="eastAsia" w:ascii="宋体" w:hAnsi="宋体"/>
          <w:color w:val="auto"/>
          <w:highlight w:val="none"/>
        </w:rPr>
        <w:t>投标人须知前附表</w:t>
      </w:r>
      <w:bookmarkEnd w:id="88"/>
      <w:bookmarkEnd w:id="89"/>
      <w:bookmarkEnd w:id="90"/>
      <w:bookmarkEnd w:id="91"/>
      <w:bookmarkEnd w:id="92"/>
      <w:bookmarkEnd w:id="93"/>
      <w:bookmarkEnd w:id="94"/>
      <w:bookmarkEnd w:id="95"/>
    </w:p>
    <w:p w14:paraId="18E9C226">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26751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501793B4">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1D0F3BBD">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2D4EE164">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4C105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102B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24BEA7ED">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07D5EF18">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名称：重庆市铜梁区虎峰小学</w:t>
            </w:r>
          </w:p>
          <w:p w14:paraId="5012FD54">
            <w:pPr>
              <w:snapToGrid w:val="0"/>
              <w:spacing w:line="400" w:lineRule="exact"/>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地址：重庆市铜梁区虎峰镇八仙街96号</w:t>
            </w:r>
          </w:p>
          <w:p w14:paraId="28ED88C6">
            <w:pPr>
              <w:snapToGrid w:val="0"/>
              <w:spacing w:line="400" w:lineRule="exact"/>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联系人：</w:t>
            </w:r>
            <w:r>
              <w:rPr>
                <w:rFonts w:hint="eastAsia" w:ascii="宋体" w:hAnsi="宋体" w:eastAsia="宋体"/>
                <w:color w:val="auto"/>
                <w:szCs w:val="21"/>
                <w:highlight w:val="none"/>
                <w:lang w:val="en-US" w:eastAsia="zh-CN"/>
              </w:rPr>
              <w:t>侯</w:t>
            </w:r>
            <w:r>
              <w:rPr>
                <w:rFonts w:hint="eastAsia" w:ascii="宋体" w:hAnsi="宋体" w:eastAsia="宋体"/>
                <w:color w:val="auto"/>
                <w:szCs w:val="21"/>
                <w:highlight w:val="none"/>
                <w:lang w:eastAsia="zh-CN"/>
              </w:rPr>
              <w:t>老师</w:t>
            </w:r>
          </w:p>
          <w:p w14:paraId="26AD159B">
            <w:pPr>
              <w:snapToGrid w:val="0"/>
              <w:spacing w:line="400" w:lineRule="exact"/>
              <w:jc w:val="left"/>
              <w:rPr>
                <w:rFonts w:hint="default" w:ascii="宋体" w:hAnsi="宋体" w:eastAsia="宋体"/>
                <w:color w:val="auto"/>
                <w:kern w:val="0"/>
                <w:szCs w:val="21"/>
                <w:highlight w:val="none"/>
                <w:lang w:val="en-US" w:eastAsia="zh-CN"/>
              </w:rPr>
            </w:pPr>
            <w:r>
              <w:rPr>
                <w:rFonts w:hint="eastAsia" w:ascii="宋体" w:hAnsi="宋体" w:eastAsia="宋体"/>
                <w:color w:val="auto"/>
                <w:szCs w:val="21"/>
                <w:highlight w:val="none"/>
                <w:lang w:eastAsia="zh-CN"/>
              </w:rPr>
              <w:t>电话：1</w:t>
            </w:r>
            <w:r>
              <w:rPr>
                <w:rFonts w:hint="eastAsia" w:ascii="宋体" w:hAnsi="宋体" w:eastAsia="宋体"/>
                <w:color w:val="auto"/>
                <w:szCs w:val="21"/>
                <w:highlight w:val="none"/>
                <w:lang w:val="en-US" w:eastAsia="zh-CN"/>
              </w:rPr>
              <w:t>7702345997</w:t>
            </w:r>
          </w:p>
        </w:tc>
      </w:tr>
      <w:tr w14:paraId="57D24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6F0F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18EA910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代理机构</w:t>
            </w:r>
          </w:p>
        </w:tc>
        <w:tc>
          <w:tcPr>
            <w:tcW w:w="6490" w:type="dxa"/>
            <w:vAlign w:val="center"/>
          </w:tcPr>
          <w:p w14:paraId="7F5225DB">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名称：重庆骋顺工程项目管理有限公司</w:t>
            </w:r>
          </w:p>
          <w:p w14:paraId="6A852E26">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地址：铜梁区巴川街道法建东路302号</w:t>
            </w:r>
          </w:p>
          <w:p w14:paraId="7D4AE805">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联系人：</w:t>
            </w:r>
            <w:r>
              <w:rPr>
                <w:rFonts w:hint="eastAsia" w:ascii="宋体" w:hAnsi="宋体"/>
                <w:color w:val="auto"/>
                <w:szCs w:val="21"/>
                <w:highlight w:val="none"/>
                <w:lang w:val="en-US" w:eastAsia="zh-CN"/>
              </w:rPr>
              <w:t>陈</w:t>
            </w:r>
            <w:r>
              <w:rPr>
                <w:rFonts w:hint="eastAsia" w:ascii="宋体" w:hAnsi="宋体"/>
                <w:color w:val="auto"/>
                <w:szCs w:val="21"/>
                <w:highlight w:val="none"/>
                <w:lang w:eastAsia="zh-CN"/>
              </w:rPr>
              <w:t>老师</w:t>
            </w:r>
          </w:p>
          <w:p w14:paraId="52430FD5">
            <w:pPr>
              <w:snapToGrid w:val="0"/>
              <w:spacing w:line="400" w:lineRule="exact"/>
              <w:jc w:val="left"/>
              <w:rPr>
                <w:rFonts w:hint="default" w:ascii="宋体" w:hAnsi="宋体" w:eastAsia="宋体"/>
                <w:color w:val="auto"/>
                <w:kern w:val="0"/>
                <w:szCs w:val="21"/>
                <w:highlight w:val="none"/>
                <w:lang w:val="en-US" w:eastAsia="zh-CN"/>
              </w:rPr>
            </w:pPr>
            <w:r>
              <w:rPr>
                <w:rFonts w:hint="eastAsia" w:ascii="宋体" w:hAnsi="宋体"/>
                <w:color w:val="auto"/>
                <w:szCs w:val="21"/>
                <w:highlight w:val="none"/>
                <w:lang w:eastAsia="zh-CN"/>
              </w:rPr>
              <w:t>电话：</w:t>
            </w:r>
            <w:r>
              <w:rPr>
                <w:rFonts w:hint="eastAsia" w:ascii="宋体" w:hAnsi="宋体" w:eastAsia="宋体"/>
                <w:color w:val="auto"/>
                <w:szCs w:val="21"/>
                <w:highlight w:val="none"/>
                <w:lang w:val="en-US" w:eastAsia="zh-CN"/>
              </w:rPr>
              <w:t>19332292480</w:t>
            </w:r>
          </w:p>
        </w:tc>
      </w:tr>
      <w:tr w14:paraId="0B549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29BE4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6EB742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27893FF0">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重庆市铜梁区虎峰小学空调安装线路改造项目</w:t>
            </w:r>
          </w:p>
        </w:tc>
      </w:tr>
      <w:tr w14:paraId="5C1C5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B71CA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5EBC4BC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170AC5A1">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铜梁区虎峰小学</w:t>
            </w:r>
          </w:p>
        </w:tc>
      </w:tr>
      <w:tr w14:paraId="55C89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F6841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96EF5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204EFC89">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i/>
                <w:snapToGrid w:val="0"/>
                <w:color w:val="auto"/>
                <w:kern w:val="0"/>
                <w:szCs w:val="21"/>
                <w:highlight w:val="none"/>
                <w:lang w:eastAsia="zh-CN"/>
              </w:rPr>
            </w:pPr>
            <w:r>
              <w:rPr>
                <w:rFonts w:hint="eastAsia" w:ascii="宋体" w:hAnsi="宋体"/>
                <w:color w:val="auto"/>
                <w:szCs w:val="21"/>
                <w:highlight w:val="none"/>
                <w:lang w:eastAsia="zh-CN"/>
              </w:rPr>
              <w:t>主要建设内容包含校区内空调线路安装、空开安装、配电箱安装、线槽安装等，具体内容详见工程量清单。</w:t>
            </w:r>
          </w:p>
        </w:tc>
      </w:tr>
      <w:tr w14:paraId="01DCE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A905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2B6D175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11EA235E">
            <w:pPr>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区财政资金</w:t>
            </w:r>
          </w:p>
        </w:tc>
      </w:tr>
      <w:tr w14:paraId="5F59C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C528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4324763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4DBE7A9D">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none"/>
              </w:rPr>
              <w:t>100%</w:t>
            </w:r>
          </w:p>
        </w:tc>
      </w:tr>
      <w:tr w14:paraId="71A36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26E6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5FDA424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40881153">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none"/>
              </w:rPr>
              <w:t>已落实</w:t>
            </w:r>
          </w:p>
        </w:tc>
      </w:tr>
      <w:tr w14:paraId="43863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6BC43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3C6BB96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范围</w:t>
            </w:r>
          </w:p>
        </w:tc>
        <w:tc>
          <w:tcPr>
            <w:tcW w:w="6490" w:type="dxa"/>
            <w:vAlign w:val="center"/>
          </w:tcPr>
          <w:p w14:paraId="14193812">
            <w:pPr>
              <w:snapToGrid w:val="0"/>
              <w:spacing w:line="400" w:lineRule="exact"/>
              <w:rPr>
                <w:rFonts w:hint="eastAsia" w:ascii="宋体" w:hAnsi="宋体" w:eastAsia="宋体"/>
                <w:i/>
                <w:color w:val="auto"/>
                <w:szCs w:val="21"/>
                <w:highlight w:val="none"/>
                <w:lang w:eastAsia="zh-CN"/>
              </w:rPr>
            </w:pPr>
            <w:r>
              <w:rPr>
                <w:rFonts w:hint="eastAsia" w:ascii="宋体" w:hAnsi="宋体"/>
                <w:i w:val="0"/>
                <w:iCs/>
                <w:color w:val="auto"/>
                <w:szCs w:val="21"/>
                <w:highlight w:val="none"/>
                <w:lang w:eastAsia="zh-CN"/>
              </w:rPr>
              <w:t>详见本工程工程量清单。</w:t>
            </w:r>
          </w:p>
        </w:tc>
      </w:tr>
      <w:tr w14:paraId="4921B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0127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38F29E6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54516A1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21778467">
            <w:pPr>
              <w:snapToGrid w:val="0"/>
              <w:spacing w:line="400" w:lineRule="exact"/>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20日历天</w:t>
            </w:r>
          </w:p>
          <w:p w14:paraId="5512ECB3">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lang w:val="en-US" w:eastAsia="zh-CN"/>
              </w:rPr>
              <w:t>12</w:t>
            </w:r>
            <w:r>
              <w:rPr>
                <w:rFonts w:hint="eastAsia" w:ascii="宋体" w:hAnsi="宋体"/>
                <w:snapToGrid w:val="0"/>
                <w:color w:val="auto"/>
                <w:kern w:val="0"/>
                <w:szCs w:val="21"/>
                <w:highlight w:val="none"/>
                <w:u w:val="single"/>
              </w:rPr>
              <w:t>个月</w:t>
            </w:r>
          </w:p>
        </w:tc>
      </w:tr>
      <w:tr w14:paraId="01F35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730CE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2CF348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0F224A8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45852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35" w:type="dxa"/>
            <w:vAlign w:val="center"/>
          </w:tcPr>
          <w:p w14:paraId="0298AEDB">
            <w:pPr>
              <w:snapToGrid w:val="0"/>
              <w:spacing w:line="400" w:lineRule="exact"/>
              <w:jc w:val="center"/>
              <w:rPr>
                <w:rFonts w:ascii="宋体" w:hAnsi="宋体"/>
                <w:color w:val="auto"/>
                <w:kern w:val="0"/>
                <w:szCs w:val="21"/>
                <w:highlight w:val="none"/>
              </w:rPr>
            </w:pPr>
          </w:p>
          <w:p w14:paraId="31DEBCFE">
            <w:pPr>
              <w:snapToGrid w:val="0"/>
              <w:spacing w:line="400" w:lineRule="exact"/>
              <w:jc w:val="center"/>
              <w:rPr>
                <w:rFonts w:ascii="宋体" w:hAnsi="宋体"/>
                <w:color w:val="auto"/>
                <w:kern w:val="0"/>
                <w:szCs w:val="21"/>
                <w:highlight w:val="none"/>
              </w:rPr>
            </w:pPr>
          </w:p>
          <w:p w14:paraId="4FA328CC">
            <w:pPr>
              <w:snapToGrid w:val="0"/>
              <w:spacing w:line="400" w:lineRule="exact"/>
              <w:jc w:val="center"/>
              <w:rPr>
                <w:rFonts w:ascii="宋体" w:hAnsi="宋体"/>
                <w:color w:val="auto"/>
                <w:kern w:val="0"/>
                <w:szCs w:val="21"/>
                <w:highlight w:val="none"/>
              </w:rPr>
            </w:pPr>
          </w:p>
          <w:p w14:paraId="1CC9A84E">
            <w:pPr>
              <w:snapToGrid w:val="0"/>
              <w:spacing w:line="400" w:lineRule="exact"/>
              <w:jc w:val="center"/>
              <w:rPr>
                <w:rFonts w:ascii="宋体" w:hAnsi="宋体"/>
                <w:color w:val="auto"/>
                <w:kern w:val="0"/>
                <w:szCs w:val="21"/>
                <w:highlight w:val="none"/>
              </w:rPr>
            </w:pPr>
          </w:p>
          <w:p w14:paraId="124B6464">
            <w:pPr>
              <w:snapToGrid w:val="0"/>
              <w:spacing w:line="400" w:lineRule="exact"/>
              <w:jc w:val="center"/>
              <w:rPr>
                <w:rFonts w:ascii="宋体" w:hAnsi="宋体"/>
                <w:color w:val="auto"/>
                <w:kern w:val="0"/>
                <w:szCs w:val="21"/>
                <w:highlight w:val="none"/>
              </w:rPr>
            </w:pPr>
          </w:p>
          <w:p w14:paraId="62687A56">
            <w:pPr>
              <w:snapToGrid w:val="0"/>
              <w:spacing w:line="400" w:lineRule="exact"/>
              <w:jc w:val="center"/>
              <w:rPr>
                <w:rFonts w:ascii="宋体" w:hAnsi="宋体"/>
                <w:color w:val="auto"/>
                <w:kern w:val="0"/>
                <w:szCs w:val="21"/>
                <w:highlight w:val="none"/>
              </w:rPr>
            </w:pPr>
          </w:p>
          <w:p w14:paraId="3AB910A8">
            <w:pPr>
              <w:snapToGrid w:val="0"/>
              <w:spacing w:line="400" w:lineRule="exact"/>
              <w:jc w:val="center"/>
              <w:rPr>
                <w:rFonts w:ascii="宋体" w:hAnsi="宋体"/>
                <w:color w:val="auto"/>
                <w:kern w:val="0"/>
                <w:szCs w:val="21"/>
                <w:highlight w:val="none"/>
              </w:rPr>
            </w:pPr>
          </w:p>
          <w:p w14:paraId="0A75FF6B">
            <w:pPr>
              <w:snapToGrid w:val="0"/>
              <w:spacing w:line="400" w:lineRule="exact"/>
              <w:jc w:val="center"/>
              <w:rPr>
                <w:rFonts w:ascii="宋体" w:hAnsi="宋体"/>
                <w:color w:val="auto"/>
                <w:kern w:val="0"/>
                <w:szCs w:val="21"/>
                <w:highlight w:val="none"/>
              </w:rPr>
            </w:pPr>
          </w:p>
          <w:p w14:paraId="2C12D29E">
            <w:pPr>
              <w:snapToGrid w:val="0"/>
              <w:spacing w:line="400" w:lineRule="exact"/>
              <w:jc w:val="center"/>
              <w:rPr>
                <w:rFonts w:ascii="宋体" w:hAnsi="宋体"/>
                <w:color w:val="auto"/>
                <w:kern w:val="0"/>
                <w:szCs w:val="21"/>
                <w:highlight w:val="none"/>
              </w:rPr>
            </w:pPr>
          </w:p>
          <w:p w14:paraId="5D3FF135">
            <w:pPr>
              <w:snapToGrid w:val="0"/>
              <w:spacing w:line="400" w:lineRule="exact"/>
              <w:jc w:val="center"/>
              <w:rPr>
                <w:rFonts w:ascii="宋体" w:hAnsi="宋体"/>
                <w:color w:val="auto"/>
                <w:kern w:val="0"/>
                <w:szCs w:val="21"/>
                <w:highlight w:val="none"/>
              </w:rPr>
            </w:pPr>
          </w:p>
          <w:p w14:paraId="34FDEFBB">
            <w:pPr>
              <w:snapToGrid w:val="0"/>
              <w:spacing w:line="400" w:lineRule="exact"/>
              <w:jc w:val="center"/>
              <w:rPr>
                <w:rFonts w:ascii="宋体" w:hAnsi="宋体"/>
                <w:color w:val="auto"/>
                <w:kern w:val="0"/>
                <w:szCs w:val="21"/>
                <w:highlight w:val="none"/>
              </w:rPr>
            </w:pPr>
          </w:p>
          <w:p w14:paraId="39D41EF3">
            <w:pPr>
              <w:snapToGrid w:val="0"/>
              <w:spacing w:line="400" w:lineRule="exact"/>
              <w:jc w:val="center"/>
              <w:rPr>
                <w:rFonts w:ascii="宋体" w:hAnsi="宋体"/>
                <w:color w:val="auto"/>
                <w:kern w:val="0"/>
                <w:szCs w:val="21"/>
                <w:highlight w:val="none"/>
              </w:rPr>
            </w:pPr>
          </w:p>
          <w:p w14:paraId="7BB29EF2">
            <w:pPr>
              <w:snapToGrid w:val="0"/>
              <w:spacing w:line="400" w:lineRule="exact"/>
              <w:jc w:val="center"/>
              <w:rPr>
                <w:rFonts w:ascii="宋体" w:hAnsi="宋体"/>
                <w:color w:val="auto"/>
                <w:kern w:val="0"/>
                <w:szCs w:val="21"/>
                <w:highlight w:val="none"/>
              </w:rPr>
            </w:pPr>
          </w:p>
          <w:p w14:paraId="4FDC04E6">
            <w:pPr>
              <w:snapToGrid w:val="0"/>
              <w:spacing w:line="400" w:lineRule="exact"/>
              <w:jc w:val="center"/>
              <w:rPr>
                <w:rFonts w:ascii="宋体" w:hAnsi="宋体"/>
                <w:color w:val="auto"/>
                <w:kern w:val="0"/>
                <w:szCs w:val="21"/>
                <w:highlight w:val="none"/>
              </w:rPr>
            </w:pPr>
          </w:p>
          <w:p w14:paraId="46A8BE40">
            <w:pPr>
              <w:snapToGrid w:val="0"/>
              <w:spacing w:line="400" w:lineRule="exact"/>
              <w:jc w:val="center"/>
              <w:rPr>
                <w:rFonts w:ascii="宋体" w:hAnsi="宋体"/>
                <w:color w:val="auto"/>
                <w:kern w:val="0"/>
                <w:szCs w:val="21"/>
                <w:highlight w:val="none"/>
              </w:rPr>
            </w:pPr>
          </w:p>
          <w:p w14:paraId="1FECA4C8">
            <w:pPr>
              <w:snapToGrid w:val="0"/>
              <w:spacing w:line="400" w:lineRule="exact"/>
              <w:jc w:val="center"/>
              <w:rPr>
                <w:rFonts w:ascii="宋体" w:hAnsi="宋体"/>
                <w:color w:val="auto"/>
                <w:kern w:val="0"/>
                <w:szCs w:val="21"/>
                <w:highlight w:val="none"/>
              </w:rPr>
            </w:pPr>
          </w:p>
          <w:p w14:paraId="7F1B93AC">
            <w:pPr>
              <w:snapToGrid w:val="0"/>
              <w:spacing w:line="400" w:lineRule="exact"/>
              <w:jc w:val="center"/>
              <w:rPr>
                <w:rFonts w:ascii="宋体" w:hAnsi="宋体"/>
                <w:color w:val="auto"/>
                <w:kern w:val="0"/>
                <w:szCs w:val="21"/>
                <w:highlight w:val="none"/>
              </w:rPr>
            </w:pPr>
          </w:p>
          <w:p w14:paraId="4BC668B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69E97C1">
            <w:pPr>
              <w:snapToGrid w:val="0"/>
              <w:spacing w:line="400" w:lineRule="exact"/>
              <w:jc w:val="center"/>
              <w:rPr>
                <w:rFonts w:ascii="宋体" w:hAnsi="宋体"/>
                <w:color w:val="auto"/>
                <w:kern w:val="0"/>
                <w:szCs w:val="21"/>
                <w:highlight w:val="none"/>
              </w:rPr>
            </w:pPr>
          </w:p>
          <w:p w14:paraId="60C5F92F">
            <w:pPr>
              <w:snapToGrid w:val="0"/>
              <w:spacing w:line="400" w:lineRule="exact"/>
              <w:jc w:val="center"/>
              <w:rPr>
                <w:rFonts w:ascii="宋体" w:hAnsi="宋体"/>
                <w:color w:val="auto"/>
                <w:kern w:val="0"/>
                <w:szCs w:val="21"/>
                <w:highlight w:val="none"/>
              </w:rPr>
            </w:pPr>
          </w:p>
          <w:p w14:paraId="789BE5B7">
            <w:pPr>
              <w:snapToGrid w:val="0"/>
              <w:spacing w:line="400" w:lineRule="exact"/>
              <w:jc w:val="center"/>
              <w:rPr>
                <w:rFonts w:ascii="宋体" w:hAnsi="宋体"/>
                <w:color w:val="auto"/>
                <w:kern w:val="0"/>
                <w:szCs w:val="21"/>
                <w:highlight w:val="none"/>
              </w:rPr>
            </w:pPr>
          </w:p>
          <w:p w14:paraId="4179D4BE">
            <w:pPr>
              <w:snapToGrid w:val="0"/>
              <w:spacing w:line="400" w:lineRule="exact"/>
              <w:jc w:val="center"/>
              <w:rPr>
                <w:rFonts w:ascii="宋体" w:hAnsi="宋体"/>
                <w:color w:val="auto"/>
                <w:kern w:val="0"/>
                <w:szCs w:val="21"/>
                <w:highlight w:val="none"/>
              </w:rPr>
            </w:pPr>
          </w:p>
          <w:p w14:paraId="4D5EB7D0">
            <w:pPr>
              <w:snapToGrid w:val="0"/>
              <w:spacing w:line="400" w:lineRule="exact"/>
              <w:jc w:val="center"/>
              <w:rPr>
                <w:rFonts w:ascii="宋体" w:hAnsi="宋体"/>
                <w:color w:val="auto"/>
                <w:kern w:val="0"/>
                <w:szCs w:val="21"/>
                <w:highlight w:val="none"/>
              </w:rPr>
            </w:pPr>
          </w:p>
          <w:p w14:paraId="659D2C74">
            <w:pPr>
              <w:snapToGrid w:val="0"/>
              <w:spacing w:line="400" w:lineRule="exact"/>
              <w:jc w:val="center"/>
              <w:rPr>
                <w:rFonts w:ascii="宋体" w:hAnsi="宋体"/>
                <w:color w:val="auto"/>
                <w:kern w:val="0"/>
                <w:szCs w:val="21"/>
                <w:highlight w:val="none"/>
              </w:rPr>
            </w:pPr>
          </w:p>
          <w:p w14:paraId="321518FA">
            <w:pPr>
              <w:snapToGrid w:val="0"/>
              <w:spacing w:line="400" w:lineRule="exact"/>
              <w:jc w:val="center"/>
              <w:rPr>
                <w:rFonts w:ascii="宋体" w:hAnsi="宋体"/>
                <w:color w:val="auto"/>
                <w:kern w:val="0"/>
                <w:szCs w:val="21"/>
                <w:highlight w:val="none"/>
              </w:rPr>
            </w:pPr>
          </w:p>
          <w:p w14:paraId="1C546C8B">
            <w:pPr>
              <w:snapToGrid w:val="0"/>
              <w:spacing w:line="400" w:lineRule="exact"/>
              <w:jc w:val="center"/>
              <w:rPr>
                <w:rFonts w:ascii="宋体" w:hAnsi="宋体"/>
                <w:color w:val="auto"/>
                <w:kern w:val="0"/>
                <w:szCs w:val="21"/>
                <w:highlight w:val="none"/>
              </w:rPr>
            </w:pPr>
          </w:p>
          <w:p w14:paraId="1C4D6E5C">
            <w:pPr>
              <w:snapToGrid w:val="0"/>
              <w:spacing w:line="400" w:lineRule="exact"/>
              <w:jc w:val="center"/>
              <w:rPr>
                <w:rFonts w:ascii="宋体" w:hAnsi="宋体"/>
                <w:color w:val="auto"/>
                <w:kern w:val="0"/>
                <w:szCs w:val="21"/>
                <w:highlight w:val="none"/>
              </w:rPr>
            </w:pPr>
          </w:p>
          <w:p w14:paraId="73994D4A">
            <w:pPr>
              <w:snapToGrid w:val="0"/>
              <w:spacing w:line="400" w:lineRule="exact"/>
              <w:jc w:val="center"/>
              <w:rPr>
                <w:rFonts w:ascii="宋体" w:hAnsi="宋体"/>
                <w:color w:val="auto"/>
                <w:kern w:val="0"/>
                <w:szCs w:val="21"/>
                <w:highlight w:val="none"/>
              </w:rPr>
            </w:pPr>
          </w:p>
          <w:p w14:paraId="078A51C0">
            <w:pPr>
              <w:snapToGrid w:val="0"/>
              <w:spacing w:line="400" w:lineRule="exact"/>
              <w:jc w:val="center"/>
              <w:rPr>
                <w:rFonts w:ascii="宋体" w:hAnsi="宋体"/>
                <w:color w:val="auto"/>
                <w:kern w:val="0"/>
                <w:szCs w:val="21"/>
                <w:highlight w:val="none"/>
              </w:rPr>
            </w:pPr>
          </w:p>
          <w:p w14:paraId="1DA0B4C9">
            <w:pPr>
              <w:snapToGrid w:val="0"/>
              <w:spacing w:line="400" w:lineRule="exact"/>
              <w:jc w:val="center"/>
              <w:rPr>
                <w:rFonts w:ascii="宋体" w:hAnsi="宋体"/>
                <w:color w:val="auto"/>
                <w:kern w:val="0"/>
                <w:szCs w:val="21"/>
                <w:highlight w:val="none"/>
              </w:rPr>
            </w:pPr>
          </w:p>
          <w:p w14:paraId="46367B32">
            <w:pPr>
              <w:snapToGrid w:val="0"/>
              <w:spacing w:line="400" w:lineRule="exact"/>
              <w:jc w:val="center"/>
              <w:rPr>
                <w:rFonts w:ascii="宋体" w:hAnsi="宋体"/>
                <w:color w:val="auto"/>
                <w:kern w:val="0"/>
                <w:szCs w:val="21"/>
                <w:highlight w:val="none"/>
              </w:rPr>
            </w:pPr>
          </w:p>
          <w:p w14:paraId="28F65F8D">
            <w:pPr>
              <w:snapToGrid w:val="0"/>
              <w:spacing w:line="400" w:lineRule="exact"/>
              <w:jc w:val="center"/>
              <w:rPr>
                <w:rFonts w:ascii="宋体" w:hAnsi="宋体"/>
                <w:color w:val="auto"/>
                <w:kern w:val="0"/>
                <w:szCs w:val="21"/>
                <w:highlight w:val="none"/>
              </w:rPr>
            </w:pPr>
          </w:p>
          <w:p w14:paraId="27757F0A">
            <w:pPr>
              <w:snapToGrid w:val="0"/>
              <w:spacing w:line="400" w:lineRule="exact"/>
              <w:jc w:val="center"/>
              <w:rPr>
                <w:rFonts w:ascii="宋体" w:hAnsi="宋体"/>
                <w:color w:val="auto"/>
                <w:kern w:val="0"/>
                <w:szCs w:val="21"/>
                <w:highlight w:val="none"/>
              </w:rPr>
            </w:pPr>
          </w:p>
          <w:p w14:paraId="57F07CE9">
            <w:pPr>
              <w:snapToGrid w:val="0"/>
              <w:spacing w:line="400" w:lineRule="exact"/>
              <w:jc w:val="center"/>
              <w:rPr>
                <w:rFonts w:ascii="宋体" w:hAnsi="宋体"/>
                <w:color w:val="auto"/>
                <w:kern w:val="0"/>
                <w:szCs w:val="21"/>
                <w:highlight w:val="none"/>
              </w:rPr>
            </w:pPr>
          </w:p>
          <w:p w14:paraId="3026D5A5">
            <w:pPr>
              <w:snapToGrid w:val="0"/>
              <w:spacing w:line="400" w:lineRule="exact"/>
              <w:jc w:val="center"/>
              <w:rPr>
                <w:rFonts w:ascii="宋体" w:hAnsi="宋体"/>
                <w:color w:val="auto"/>
                <w:kern w:val="0"/>
                <w:szCs w:val="21"/>
                <w:highlight w:val="none"/>
              </w:rPr>
            </w:pPr>
          </w:p>
          <w:p w14:paraId="45FE1FAE">
            <w:pPr>
              <w:snapToGrid w:val="0"/>
              <w:spacing w:line="400" w:lineRule="exact"/>
              <w:jc w:val="center"/>
              <w:rPr>
                <w:rFonts w:ascii="宋体" w:hAnsi="宋体"/>
                <w:color w:val="auto"/>
                <w:kern w:val="0"/>
                <w:szCs w:val="21"/>
                <w:highlight w:val="none"/>
              </w:rPr>
            </w:pPr>
          </w:p>
          <w:p w14:paraId="40567022">
            <w:pPr>
              <w:snapToGrid w:val="0"/>
              <w:spacing w:line="400" w:lineRule="exact"/>
              <w:jc w:val="center"/>
              <w:rPr>
                <w:rFonts w:ascii="宋体" w:hAnsi="宋体"/>
                <w:color w:val="auto"/>
                <w:kern w:val="0"/>
                <w:szCs w:val="21"/>
                <w:highlight w:val="none"/>
              </w:rPr>
            </w:pPr>
          </w:p>
          <w:p w14:paraId="285F52A7">
            <w:pPr>
              <w:snapToGrid w:val="0"/>
              <w:spacing w:line="400" w:lineRule="exact"/>
              <w:jc w:val="center"/>
              <w:rPr>
                <w:rFonts w:ascii="宋体" w:hAnsi="宋体"/>
                <w:color w:val="auto"/>
                <w:kern w:val="0"/>
                <w:szCs w:val="21"/>
                <w:highlight w:val="none"/>
              </w:rPr>
            </w:pPr>
          </w:p>
          <w:p w14:paraId="369149B0">
            <w:pPr>
              <w:snapToGrid w:val="0"/>
              <w:spacing w:line="400" w:lineRule="exact"/>
              <w:jc w:val="center"/>
              <w:rPr>
                <w:rFonts w:ascii="宋体" w:hAnsi="宋体"/>
                <w:color w:val="auto"/>
                <w:kern w:val="0"/>
                <w:szCs w:val="21"/>
                <w:highlight w:val="none"/>
              </w:rPr>
            </w:pPr>
          </w:p>
          <w:p w14:paraId="53B8C537">
            <w:pPr>
              <w:snapToGrid w:val="0"/>
              <w:spacing w:line="400" w:lineRule="exact"/>
              <w:jc w:val="center"/>
              <w:rPr>
                <w:rFonts w:ascii="宋体" w:hAnsi="宋体"/>
                <w:color w:val="auto"/>
                <w:kern w:val="0"/>
                <w:szCs w:val="21"/>
                <w:highlight w:val="none"/>
              </w:rPr>
            </w:pPr>
          </w:p>
          <w:p w14:paraId="030E04A3">
            <w:pPr>
              <w:snapToGrid w:val="0"/>
              <w:spacing w:line="400" w:lineRule="exact"/>
              <w:jc w:val="center"/>
              <w:rPr>
                <w:rFonts w:ascii="宋体" w:hAnsi="宋体"/>
                <w:color w:val="auto"/>
                <w:kern w:val="0"/>
                <w:szCs w:val="21"/>
                <w:highlight w:val="none"/>
              </w:rPr>
            </w:pPr>
          </w:p>
          <w:p w14:paraId="4D60D917">
            <w:pPr>
              <w:snapToGrid w:val="0"/>
              <w:spacing w:line="400" w:lineRule="exact"/>
              <w:jc w:val="center"/>
              <w:rPr>
                <w:rFonts w:ascii="宋体" w:hAnsi="宋体"/>
                <w:color w:val="auto"/>
                <w:kern w:val="0"/>
                <w:szCs w:val="21"/>
                <w:highlight w:val="none"/>
              </w:rPr>
            </w:pPr>
          </w:p>
          <w:p w14:paraId="77D2ADC2">
            <w:pPr>
              <w:snapToGrid w:val="0"/>
              <w:spacing w:line="400" w:lineRule="exact"/>
              <w:jc w:val="center"/>
              <w:rPr>
                <w:rFonts w:ascii="宋体" w:hAnsi="宋体"/>
                <w:color w:val="auto"/>
                <w:kern w:val="0"/>
                <w:szCs w:val="21"/>
                <w:highlight w:val="none"/>
              </w:rPr>
            </w:pPr>
          </w:p>
          <w:p w14:paraId="4DC45D8C">
            <w:pPr>
              <w:snapToGrid w:val="0"/>
              <w:spacing w:line="400" w:lineRule="exact"/>
              <w:jc w:val="center"/>
              <w:rPr>
                <w:rFonts w:ascii="宋体" w:hAnsi="宋体"/>
                <w:color w:val="auto"/>
                <w:kern w:val="0"/>
                <w:szCs w:val="21"/>
                <w:highlight w:val="none"/>
              </w:rPr>
            </w:pPr>
          </w:p>
          <w:p w14:paraId="0A49325D">
            <w:pPr>
              <w:snapToGrid w:val="0"/>
              <w:spacing w:line="400" w:lineRule="exact"/>
              <w:jc w:val="center"/>
              <w:rPr>
                <w:rFonts w:ascii="宋体" w:hAnsi="宋体"/>
                <w:color w:val="auto"/>
                <w:kern w:val="0"/>
                <w:szCs w:val="21"/>
                <w:highlight w:val="none"/>
              </w:rPr>
            </w:pPr>
          </w:p>
          <w:p w14:paraId="7CBE4435">
            <w:pPr>
              <w:snapToGrid w:val="0"/>
              <w:spacing w:line="400" w:lineRule="exact"/>
              <w:jc w:val="center"/>
              <w:rPr>
                <w:rFonts w:ascii="宋体" w:hAnsi="宋体"/>
                <w:color w:val="auto"/>
                <w:kern w:val="0"/>
                <w:szCs w:val="21"/>
                <w:highlight w:val="none"/>
              </w:rPr>
            </w:pPr>
          </w:p>
          <w:p w14:paraId="3A808D08">
            <w:pPr>
              <w:snapToGrid w:val="0"/>
              <w:spacing w:line="400" w:lineRule="exact"/>
              <w:jc w:val="center"/>
              <w:rPr>
                <w:rFonts w:ascii="宋体" w:hAnsi="宋体"/>
                <w:color w:val="auto"/>
                <w:kern w:val="0"/>
                <w:szCs w:val="21"/>
                <w:highlight w:val="none"/>
              </w:rPr>
            </w:pPr>
          </w:p>
          <w:p w14:paraId="39EF74FB">
            <w:pPr>
              <w:snapToGrid w:val="0"/>
              <w:spacing w:line="400" w:lineRule="exact"/>
              <w:jc w:val="center"/>
              <w:rPr>
                <w:rFonts w:ascii="宋体" w:hAnsi="宋体"/>
                <w:color w:val="auto"/>
                <w:kern w:val="0"/>
                <w:szCs w:val="21"/>
                <w:highlight w:val="none"/>
              </w:rPr>
            </w:pPr>
          </w:p>
          <w:p w14:paraId="6C531640">
            <w:pPr>
              <w:snapToGrid w:val="0"/>
              <w:spacing w:line="400" w:lineRule="exact"/>
              <w:jc w:val="center"/>
              <w:rPr>
                <w:rFonts w:ascii="宋体" w:hAnsi="宋体"/>
                <w:color w:val="auto"/>
                <w:kern w:val="0"/>
                <w:szCs w:val="21"/>
                <w:highlight w:val="none"/>
              </w:rPr>
            </w:pPr>
          </w:p>
          <w:p w14:paraId="66F442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B67F87B">
            <w:pPr>
              <w:snapToGrid w:val="0"/>
              <w:spacing w:line="400" w:lineRule="exact"/>
              <w:jc w:val="center"/>
              <w:rPr>
                <w:rFonts w:ascii="宋体" w:hAnsi="宋体"/>
                <w:color w:val="auto"/>
                <w:kern w:val="0"/>
                <w:szCs w:val="21"/>
                <w:highlight w:val="none"/>
              </w:rPr>
            </w:pPr>
          </w:p>
          <w:p w14:paraId="18DB8F6E">
            <w:pPr>
              <w:snapToGrid w:val="0"/>
              <w:spacing w:line="400" w:lineRule="exact"/>
              <w:jc w:val="center"/>
              <w:rPr>
                <w:rFonts w:ascii="宋体" w:hAnsi="宋体"/>
                <w:color w:val="auto"/>
                <w:kern w:val="0"/>
                <w:szCs w:val="21"/>
                <w:highlight w:val="none"/>
              </w:rPr>
            </w:pPr>
          </w:p>
          <w:p w14:paraId="095FA43B">
            <w:pPr>
              <w:snapToGrid w:val="0"/>
              <w:spacing w:line="400" w:lineRule="exact"/>
              <w:jc w:val="center"/>
              <w:rPr>
                <w:rFonts w:ascii="宋体" w:hAnsi="宋体"/>
                <w:color w:val="auto"/>
                <w:kern w:val="0"/>
                <w:szCs w:val="21"/>
                <w:highlight w:val="none"/>
              </w:rPr>
            </w:pPr>
          </w:p>
          <w:p w14:paraId="7E0BC7DC">
            <w:pPr>
              <w:snapToGrid w:val="0"/>
              <w:spacing w:line="400" w:lineRule="exact"/>
              <w:jc w:val="center"/>
              <w:rPr>
                <w:rFonts w:ascii="宋体" w:hAnsi="宋体"/>
                <w:color w:val="auto"/>
                <w:kern w:val="0"/>
                <w:szCs w:val="21"/>
                <w:highlight w:val="none"/>
              </w:rPr>
            </w:pPr>
          </w:p>
          <w:p w14:paraId="0CAF080E">
            <w:pPr>
              <w:snapToGrid w:val="0"/>
              <w:spacing w:line="400" w:lineRule="exact"/>
              <w:jc w:val="center"/>
              <w:rPr>
                <w:rFonts w:ascii="宋体" w:hAnsi="宋体"/>
                <w:color w:val="auto"/>
                <w:kern w:val="0"/>
                <w:szCs w:val="21"/>
                <w:highlight w:val="none"/>
              </w:rPr>
            </w:pPr>
          </w:p>
          <w:p w14:paraId="608FDCF6">
            <w:pPr>
              <w:snapToGrid w:val="0"/>
              <w:spacing w:line="400" w:lineRule="exact"/>
              <w:jc w:val="center"/>
              <w:rPr>
                <w:rFonts w:ascii="宋体" w:hAnsi="宋体"/>
                <w:color w:val="auto"/>
                <w:kern w:val="0"/>
                <w:szCs w:val="21"/>
                <w:highlight w:val="none"/>
              </w:rPr>
            </w:pPr>
          </w:p>
          <w:p w14:paraId="676FA8DF">
            <w:pPr>
              <w:snapToGrid w:val="0"/>
              <w:spacing w:line="400" w:lineRule="exact"/>
              <w:jc w:val="center"/>
              <w:rPr>
                <w:rFonts w:ascii="宋体" w:hAnsi="宋体"/>
                <w:color w:val="auto"/>
                <w:kern w:val="0"/>
                <w:szCs w:val="21"/>
                <w:highlight w:val="none"/>
              </w:rPr>
            </w:pPr>
          </w:p>
          <w:p w14:paraId="30DD19D1">
            <w:pPr>
              <w:snapToGrid w:val="0"/>
              <w:spacing w:line="400" w:lineRule="exact"/>
              <w:jc w:val="center"/>
              <w:rPr>
                <w:rFonts w:ascii="宋体" w:hAnsi="宋体"/>
                <w:color w:val="auto"/>
                <w:kern w:val="0"/>
                <w:szCs w:val="21"/>
                <w:highlight w:val="none"/>
              </w:rPr>
            </w:pPr>
          </w:p>
          <w:p w14:paraId="14B48E11">
            <w:pPr>
              <w:snapToGrid w:val="0"/>
              <w:spacing w:line="400" w:lineRule="exact"/>
              <w:jc w:val="center"/>
              <w:rPr>
                <w:rFonts w:ascii="宋体" w:hAnsi="宋体"/>
                <w:color w:val="auto"/>
                <w:kern w:val="0"/>
                <w:szCs w:val="21"/>
                <w:highlight w:val="none"/>
              </w:rPr>
            </w:pPr>
          </w:p>
          <w:p w14:paraId="7BD9E9D0">
            <w:pPr>
              <w:snapToGrid w:val="0"/>
              <w:spacing w:line="400" w:lineRule="exact"/>
              <w:jc w:val="center"/>
              <w:rPr>
                <w:rFonts w:ascii="宋体" w:hAnsi="宋体"/>
                <w:color w:val="auto"/>
                <w:kern w:val="0"/>
                <w:szCs w:val="21"/>
                <w:highlight w:val="none"/>
              </w:rPr>
            </w:pPr>
          </w:p>
          <w:p w14:paraId="0E5B26B9">
            <w:pPr>
              <w:snapToGrid w:val="0"/>
              <w:spacing w:line="400" w:lineRule="exact"/>
              <w:jc w:val="center"/>
              <w:rPr>
                <w:rFonts w:ascii="宋体" w:hAnsi="宋体"/>
                <w:color w:val="auto"/>
                <w:kern w:val="0"/>
                <w:szCs w:val="21"/>
                <w:highlight w:val="none"/>
              </w:rPr>
            </w:pPr>
          </w:p>
          <w:p w14:paraId="2A7847BC">
            <w:pPr>
              <w:snapToGrid w:val="0"/>
              <w:spacing w:line="400" w:lineRule="exact"/>
              <w:jc w:val="center"/>
              <w:rPr>
                <w:rFonts w:ascii="宋体" w:hAnsi="宋体"/>
                <w:color w:val="auto"/>
                <w:kern w:val="0"/>
                <w:szCs w:val="21"/>
                <w:highlight w:val="none"/>
              </w:rPr>
            </w:pPr>
          </w:p>
          <w:p w14:paraId="2EAB0A4D">
            <w:pPr>
              <w:snapToGrid w:val="0"/>
              <w:spacing w:line="400" w:lineRule="exact"/>
              <w:jc w:val="center"/>
              <w:rPr>
                <w:rFonts w:ascii="宋体" w:hAnsi="宋体"/>
                <w:color w:val="auto"/>
                <w:kern w:val="0"/>
                <w:szCs w:val="21"/>
                <w:highlight w:val="none"/>
              </w:rPr>
            </w:pPr>
          </w:p>
          <w:p w14:paraId="1904A436">
            <w:pPr>
              <w:snapToGrid w:val="0"/>
              <w:spacing w:line="400" w:lineRule="exact"/>
              <w:jc w:val="center"/>
              <w:rPr>
                <w:rFonts w:ascii="宋体" w:hAnsi="宋体"/>
                <w:color w:val="auto"/>
                <w:kern w:val="0"/>
                <w:szCs w:val="21"/>
                <w:highlight w:val="none"/>
              </w:rPr>
            </w:pPr>
          </w:p>
          <w:p w14:paraId="67CC568B">
            <w:pPr>
              <w:snapToGrid w:val="0"/>
              <w:spacing w:line="400" w:lineRule="exact"/>
              <w:jc w:val="center"/>
              <w:rPr>
                <w:rFonts w:ascii="宋体" w:hAnsi="宋体"/>
                <w:color w:val="auto"/>
                <w:kern w:val="0"/>
                <w:szCs w:val="21"/>
                <w:highlight w:val="none"/>
              </w:rPr>
            </w:pPr>
          </w:p>
          <w:p w14:paraId="62A374F0">
            <w:pPr>
              <w:snapToGrid w:val="0"/>
              <w:spacing w:line="400" w:lineRule="exact"/>
              <w:jc w:val="center"/>
              <w:rPr>
                <w:rFonts w:ascii="宋体" w:hAnsi="宋体"/>
                <w:color w:val="auto"/>
                <w:kern w:val="0"/>
                <w:szCs w:val="21"/>
                <w:highlight w:val="none"/>
              </w:rPr>
            </w:pPr>
          </w:p>
          <w:p w14:paraId="5DE4E690">
            <w:pPr>
              <w:snapToGrid w:val="0"/>
              <w:spacing w:line="400" w:lineRule="exact"/>
              <w:jc w:val="center"/>
              <w:rPr>
                <w:rFonts w:ascii="宋体" w:hAnsi="宋体"/>
                <w:color w:val="auto"/>
                <w:kern w:val="0"/>
                <w:szCs w:val="21"/>
                <w:highlight w:val="none"/>
              </w:rPr>
            </w:pPr>
          </w:p>
          <w:p w14:paraId="033F22E4">
            <w:pPr>
              <w:snapToGrid w:val="0"/>
              <w:spacing w:line="400" w:lineRule="exact"/>
              <w:jc w:val="center"/>
              <w:rPr>
                <w:rFonts w:ascii="宋体" w:hAnsi="宋体"/>
                <w:color w:val="auto"/>
                <w:kern w:val="0"/>
                <w:szCs w:val="21"/>
                <w:highlight w:val="none"/>
              </w:rPr>
            </w:pPr>
          </w:p>
          <w:p w14:paraId="4081907F">
            <w:pPr>
              <w:snapToGrid w:val="0"/>
              <w:spacing w:line="400" w:lineRule="exact"/>
              <w:jc w:val="center"/>
              <w:rPr>
                <w:rFonts w:ascii="宋体" w:hAnsi="宋体"/>
                <w:color w:val="auto"/>
                <w:kern w:val="0"/>
                <w:szCs w:val="21"/>
                <w:highlight w:val="none"/>
              </w:rPr>
            </w:pPr>
          </w:p>
          <w:p w14:paraId="5F53B728">
            <w:pPr>
              <w:snapToGrid w:val="0"/>
              <w:spacing w:line="400" w:lineRule="exact"/>
              <w:jc w:val="center"/>
              <w:rPr>
                <w:rFonts w:ascii="宋体" w:hAnsi="宋体"/>
                <w:color w:val="auto"/>
                <w:kern w:val="0"/>
                <w:szCs w:val="21"/>
                <w:highlight w:val="none"/>
              </w:rPr>
            </w:pPr>
          </w:p>
          <w:p w14:paraId="1DC73843">
            <w:pPr>
              <w:snapToGrid w:val="0"/>
              <w:spacing w:line="400" w:lineRule="exact"/>
              <w:jc w:val="center"/>
              <w:rPr>
                <w:rFonts w:ascii="宋体" w:hAnsi="宋体"/>
                <w:color w:val="auto"/>
                <w:kern w:val="0"/>
                <w:szCs w:val="21"/>
                <w:highlight w:val="none"/>
              </w:rPr>
            </w:pPr>
          </w:p>
          <w:p w14:paraId="2A7D4150">
            <w:pPr>
              <w:snapToGrid w:val="0"/>
              <w:spacing w:line="400" w:lineRule="exact"/>
              <w:jc w:val="center"/>
              <w:rPr>
                <w:rFonts w:ascii="宋体" w:hAnsi="宋体"/>
                <w:color w:val="auto"/>
                <w:kern w:val="0"/>
                <w:szCs w:val="21"/>
                <w:highlight w:val="none"/>
              </w:rPr>
            </w:pPr>
          </w:p>
          <w:p w14:paraId="15A4F27C">
            <w:pPr>
              <w:snapToGrid w:val="0"/>
              <w:spacing w:line="400" w:lineRule="exact"/>
              <w:jc w:val="center"/>
              <w:rPr>
                <w:rFonts w:ascii="宋体" w:hAnsi="宋体"/>
                <w:color w:val="auto"/>
                <w:kern w:val="0"/>
                <w:szCs w:val="21"/>
                <w:highlight w:val="none"/>
              </w:rPr>
            </w:pPr>
          </w:p>
          <w:p w14:paraId="1BF18B1B">
            <w:pPr>
              <w:snapToGrid w:val="0"/>
              <w:spacing w:line="400" w:lineRule="exact"/>
              <w:jc w:val="center"/>
              <w:rPr>
                <w:rFonts w:ascii="宋体" w:hAnsi="宋体"/>
                <w:color w:val="auto"/>
                <w:kern w:val="0"/>
                <w:szCs w:val="21"/>
                <w:highlight w:val="none"/>
              </w:rPr>
            </w:pPr>
          </w:p>
          <w:p w14:paraId="7BFAE7A1">
            <w:pPr>
              <w:snapToGrid w:val="0"/>
              <w:spacing w:line="400" w:lineRule="exact"/>
              <w:jc w:val="center"/>
              <w:rPr>
                <w:rFonts w:ascii="宋体" w:hAnsi="宋体"/>
                <w:color w:val="auto"/>
                <w:kern w:val="0"/>
                <w:szCs w:val="21"/>
                <w:highlight w:val="none"/>
              </w:rPr>
            </w:pPr>
          </w:p>
          <w:p w14:paraId="3DD0F13E">
            <w:pPr>
              <w:snapToGrid w:val="0"/>
              <w:spacing w:line="400" w:lineRule="exact"/>
              <w:jc w:val="center"/>
              <w:rPr>
                <w:rFonts w:ascii="宋体" w:hAnsi="宋体"/>
                <w:color w:val="auto"/>
                <w:kern w:val="0"/>
                <w:szCs w:val="21"/>
                <w:highlight w:val="none"/>
              </w:rPr>
            </w:pPr>
          </w:p>
          <w:p w14:paraId="62C76AF1">
            <w:pPr>
              <w:snapToGrid w:val="0"/>
              <w:spacing w:line="400" w:lineRule="exact"/>
              <w:jc w:val="center"/>
              <w:rPr>
                <w:rFonts w:ascii="宋体" w:hAnsi="宋体"/>
                <w:color w:val="auto"/>
                <w:kern w:val="0"/>
                <w:szCs w:val="21"/>
                <w:highlight w:val="none"/>
              </w:rPr>
            </w:pPr>
          </w:p>
          <w:p w14:paraId="79CFE47A">
            <w:pPr>
              <w:snapToGrid w:val="0"/>
              <w:spacing w:line="400" w:lineRule="exact"/>
              <w:jc w:val="center"/>
              <w:rPr>
                <w:rFonts w:ascii="宋体" w:hAnsi="宋体"/>
                <w:color w:val="auto"/>
                <w:kern w:val="0"/>
                <w:szCs w:val="21"/>
                <w:highlight w:val="none"/>
              </w:rPr>
            </w:pPr>
          </w:p>
          <w:p w14:paraId="4426CA84">
            <w:pPr>
              <w:snapToGrid w:val="0"/>
              <w:spacing w:line="400" w:lineRule="exact"/>
              <w:jc w:val="center"/>
              <w:rPr>
                <w:rFonts w:ascii="宋体" w:hAnsi="宋体"/>
                <w:color w:val="auto"/>
                <w:kern w:val="0"/>
                <w:szCs w:val="21"/>
                <w:highlight w:val="none"/>
              </w:rPr>
            </w:pPr>
          </w:p>
          <w:p w14:paraId="4C51377B">
            <w:pPr>
              <w:snapToGrid w:val="0"/>
              <w:spacing w:line="400" w:lineRule="exact"/>
              <w:jc w:val="center"/>
              <w:rPr>
                <w:rFonts w:ascii="宋体" w:hAnsi="宋体"/>
                <w:color w:val="auto"/>
                <w:kern w:val="0"/>
                <w:szCs w:val="21"/>
                <w:highlight w:val="none"/>
              </w:rPr>
            </w:pPr>
          </w:p>
          <w:p w14:paraId="31F19B7A">
            <w:pPr>
              <w:snapToGrid w:val="0"/>
              <w:spacing w:line="400" w:lineRule="exact"/>
              <w:jc w:val="center"/>
              <w:rPr>
                <w:rFonts w:ascii="宋体" w:hAnsi="宋体"/>
                <w:color w:val="auto"/>
                <w:kern w:val="0"/>
                <w:szCs w:val="21"/>
                <w:highlight w:val="none"/>
              </w:rPr>
            </w:pPr>
          </w:p>
          <w:p w14:paraId="247C34D4">
            <w:pPr>
              <w:snapToGrid w:val="0"/>
              <w:spacing w:line="400" w:lineRule="exact"/>
              <w:jc w:val="center"/>
              <w:rPr>
                <w:rFonts w:ascii="宋体" w:hAnsi="宋体"/>
                <w:color w:val="auto"/>
                <w:kern w:val="0"/>
                <w:szCs w:val="21"/>
                <w:highlight w:val="none"/>
              </w:rPr>
            </w:pPr>
          </w:p>
          <w:p w14:paraId="43650E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032FCF69">
            <w:pPr>
              <w:snapToGrid w:val="0"/>
              <w:spacing w:line="400" w:lineRule="exact"/>
              <w:jc w:val="center"/>
              <w:rPr>
                <w:rFonts w:ascii="宋体" w:hAnsi="宋体"/>
                <w:color w:val="auto"/>
                <w:kern w:val="0"/>
                <w:szCs w:val="21"/>
                <w:highlight w:val="none"/>
              </w:rPr>
            </w:pPr>
          </w:p>
          <w:p w14:paraId="27A7B77D">
            <w:pPr>
              <w:snapToGrid w:val="0"/>
              <w:spacing w:line="400" w:lineRule="exact"/>
              <w:jc w:val="center"/>
              <w:rPr>
                <w:rFonts w:ascii="宋体" w:hAnsi="宋体"/>
                <w:color w:val="auto"/>
                <w:kern w:val="0"/>
                <w:szCs w:val="21"/>
                <w:highlight w:val="none"/>
              </w:rPr>
            </w:pPr>
          </w:p>
          <w:p w14:paraId="7BC97260">
            <w:pPr>
              <w:snapToGrid w:val="0"/>
              <w:spacing w:line="400" w:lineRule="exact"/>
              <w:jc w:val="center"/>
              <w:rPr>
                <w:rFonts w:ascii="宋体" w:hAnsi="宋体"/>
                <w:color w:val="auto"/>
                <w:kern w:val="0"/>
                <w:szCs w:val="21"/>
                <w:highlight w:val="none"/>
              </w:rPr>
            </w:pPr>
          </w:p>
          <w:p w14:paraId="5076256F">
            <w:pPr>
              <w:snapToGrid w:val="0"/>
              <w:spacing w:line="400" w:lineRule="exact"/>
              <w:jc w:val="center"/>
              <w:rPr>
                <w:rFonts w:ascii="宋体" w:hAnsi="宋体"/>
                <w:color w:val="auto"/>
                <w:kern w:val="0"/>
                <w:szCs w:val="21"/>
                <w:highlight w:val="none"/>
              </w:rPr>
            </w:pPr>
          </w:p>
          <w:p w14:paraId="5F482E91">
            <w:pPr>
              <w:snapToGrid w:val="0"/>
              <w:spacing w:line="400" w:lineRule="exact"/>
              <w:jc w:val="center"/>
              <w:rPr>
                <w:rFonts w:ascii="宋体" w:hAnsi="宋体"/>
                <w:color w:val="auto"/>
                <w:kern w:val="0"/>
                <w:szCs w:val="21"/>
                <w:highlight w:val="none"/>
              </w:rPr>
            </w:pPr>
          </w:p>
          <w:p w14:paraId="296E46F4">
            <w:pPr>
              <w:snapToGrid w:val="0"/>
              <w:spacing w:line="400" w:lineRule="exact"/>
              <w:jc w:val="center"/>
              <w:rPr>
                <w:rFonts w:ascii="宋体" w:hAnsi="宋体"/>
                <w:color w:val="auto"/>
                <w:kern w:val="0"/>
                <w:szCs w:val="21"/>
                <w:highlight w:val="none"/>
              </w:rPr>
            </w:pPr>
          </w:p>
          <w:p w14:paraId="1B1ADDA0">
            <w:pPr>
              <w:snapToGrid w:val="0"/>
              <w:spacing w:line="400" w:lineRule="exact"/>
              <w:jc w:val="center"/>
              <w:rPr>
                <w:rFonts w:ascii="宋体" w:hAnsi="宋体"/>
                <w:color w:val="auto"/>
                <w:kern w:val="0"/>
                <w:szCs w:val="21"/>
                <w:highlight w:val="none"/>
              </w:rPr>
            </w:pPr>
          </w:p>
          <w:p w14:paraId="41C84EAE">
            <w:pPr>
              <w:snapToGrid w:val="0"/>
              <w:spacing w:line="400" w:lineRule="exact"/>
              <w:jc w:val="center"/>
              <w:rPr>
                <w:rFonts w:ascii="宋体" w:hAnsi="宋体"/>
                <w:color w:val="auto"/>
                <w:kern w:val="0"/>
                <w:szCs w:val="21"/>
                <w:highlight w:val="none"/>
              </w:rPr>
            </w:pPr>
          </w:p>
          <w:p w14:paraId="3B44584B">
            <w:pPr>
              <w:snapToGrid w:val="0"/>
              <w:spacing w:line="400" w:lineRule="exact"/>
              <w:jc w:val="center"/>
              <w:rPr>
                <w:rFonts w:ascii="宋体" w:hAnsi="宋体"/>
                <w:color w:val="auto"/>
                <w:kern w:val="0"/>
                <w:szCs w:val="21"/>
                <w:highlight w:val="none"/>
              </w:rPr>
            </w:pPr>
          </w:p>
          <w:p w14:paraId="09BABA88">
            <w:pPr>
              <w:snapToGrid w:val="0"/>
              <w:spacing w:line="400" w:lineRule="exact"/>
              <w:jc w:val="center"/>
              <w:rPr>
                <w:rFonts w:ascii="宋体" w:hAnsi="宋体"/>
                <w:color w:val="auto"/>
                <w:kern w:val="0"/>
                <w:szCs w:val="21"/>
                <w:highlight w:val="none"/>
              </w:rPr>
            </w:pPr>
          </w:p>
          <w:p w14:paraId="7EDEDF6A">
            <w:pPr>
              <w:snapToGrid w:val="0"/>
              <w:spacing w:line="400" w:lineRule="exact"/>
              <w:jc w:val="center"/>
              <w:rPr>
                <w:rFonts w:ascii="宋体" w:hAnsi="宋体"/>
                <w:color w:val="auto"/>
                <w:kern w:val="0"/>
                <w:szCs w:val="21"/>
                <w:highlight w:val="none"/>
              </w:rPr>
            </w:pPr>
          </w:p>
          <w:p w14:paraId="79CD0074">
            <w:pPr>
              <w:snapToGrid w:val="0"/>
              <w:spacing w:line="400" w:lineRule="exact"/>
              <w:jc w:val="center"/>
              <w:rPr>
                <w:rFonts w:ascii="宋体" w:hAnsi="宋体"/>
                <w:color w:val="auto"/>
                <w:kern w:val="0"/>
                <w:szCs w:val="21"/>
                <w:highlight w:val="none"/>
              </w:rPr>
            </w:pPr>
          </w:p>
          <w:p w14:paraId="77FD85D7">
            <w:pPr>
              <w:snapToGrid w:val="0"/>
              <w:spacing w:line="400" w:lineRule="exact"/>
              <w:jc w:val="center"/>
              <w:rPr>
                <w:rFonts w:ascii="宋体" w:hAnsi="宋体"/>
                <w:color w:val="auto"/>
                <w:kern w:val="0"/>
                <w:szCs w:val="21"/>
                <w:highlight w:val="none"/>
              </w:rPr>
            </w:pPr>
          </w:p>
          <w:p w14:paraId="72E63FA5">
            <w:pPr>
              <w:snapToGrid w:val="0"/>
              <w:spacing w:line="400" w:lineRule="exact"/>
              <w:jc w:val="center"/>
              <w:rPr>
                <w:rFonts w:ascii="宋体" w:hAnsi="宋体"/>
                <w:color w:val="auto"/>
                <w:kern w:val="0"/>
                <w:szCs w:val="21"/>
                <w:highlight w:val="none"/>
              </w:rPr>
            </w:pPr>
          </w:p>
          <w:p w14:paraId="466FBE41">
            <w:pPr>
              <w:snapToGrid w:val="0"/>
              <w:spacing w:line="400" w:lineRule="exact"/>
              <w:jc w:val="center"/>
              <w:rPr>
                <w:rFonts w:ascii="宋体" w:hAnsi="宋体"/>
                <w:color w:val="auto"/>
                <w:kern w:val="0"/>
                <w:szCs w:val="21"/>
                <w:highlight w:val="none"/>
              </w:rPr>
            </w:pPr>
          </w:p>
          <w:p w14:paraId="3F9F9C38">
            <w:pPr>
              <w:snapToGrid w:val="0"/>
              <w:spacing w:line="400" w:lineRule="exact"/>
              <w:jc w:val="center"/>
              <w:rPr>
                <w:rFonts w:ascii="宋体" w:hAnsi="宋体"/>
                <w:color w:val="auto"/>
                <w:kern w:val="0"/>
                <w:szCs w:val="21"/>
                <w:highlight w:val="none"/>
              </w:rPr>
            </w:pPr>
          </w:p>
          <w:p w14:paraId="4F89F2DD">
            <w:pPr>
              <w:snapToGrid w:val="0"/>
              <w:spacing w:line="400" w:lineRule="exact"/>
              <w:jc w:val="center"/>
              <w:rPr>
                <w:rFonts w:ascii="宋体" w:hAnsi="宋体"/>
                <w:color w:val="auto"/>
                <w:kern w:val="0"/>
                <w:szCs w:val="21"/>
                <w:highlight w:val="none"/>
              </w:rPr>
            </w:pPr>
          </w:p>
          <w:p w14:paraId="1DEAA394">
            <w:pPr>
              <w:snapToGrid w:val="0"/>
              <w:spacing w:line="400" w:lineRule="exact"/>
              <w:jc w:val="center"/>
              <w:rPr>
                <w:rFonts w:ascii="宋体" w:hAnsi="宋体"/>
                <w:color w:val="auto"/>
                <w:kern w:val="0"/>
                <w:szCs w:val="21"/>
                <w:highlight w:val="none"/>
              </w:rPr>
            </w:pPr>
          </w:p>
          <w:p w14:paraId="5AC74D65">
            <w:pPr>
              <w:snapToGrid w:val="0"/>
              <w:spacing w:line="400" w:lineRule="exact"/>
              <w:jc w:val="center"/>
              <w:rPr>
                <w:rFonts w:ascii="宋体" w:hAnsi="宋体"/>
                <w:color w:val="auto"/>
                <w:kern w:val="0"/>
                <w:szCs w:val="21"/>
                <w:highlight w:val="none"/>
              </w:rPr>
            </w:pPr>
          </w:p>
          <w:p w14:paraId="1DD4E04B">
            <w:pPr>
              <w:snapToGrid w:val="0"/>
              <w:spacing w:line="400" w:lineRule="exact"/>
              <w:jc w:val="center"/>
              <w:rPr>
                <w:rFonts w:ascii="宋体" w:hAnsi="宋体"/>
                <w:color w:val="auto"/>
                <w:kern w:val="0"/>
                <w:szCs w:val="21"/>
                <w:highlight w:val="none"/>
              </w:rPr>
            </w:pPr>
          </w:p>
          <w:p w14:paraId="5BC0FE0F">
            <w:pPr>
              <w:snapToGrid w:val="0"/>
              <w:spacing w:line="400" w:lineRule="exact"/>
              <w:jc w:val="center"/>
              <w:rPr>
                <w:rFonts w:ascii="宋体" w:hAnsi="宋体"/>
                <w:color w:val="auto"/>
                <w:kern w:val="0"/>
                <w:szCs w:val="21"/>
                <w:highlight w:val="none"/>
              </w:rPr>
            </w:pPr>
          </w:p>
          <w:p w14:paraId="2A160583">
            <w:pPr>
              <w:snapToGrid w:val="0"/>
              <w:spacing w:line="400" w:lineRule="exact"/>
              <w:jc w:val="center"/>
              <w:rPr>
                <w:rFonts w:ascii="宋体" w:hAnsi="宋体"/>
                <w:color w:val="auto"/>
                <w:kern w:val="0"/>
                <w:szCs w:val="21"/>
                <w:highlight w:val="none"/>
              </w:rPr>
            </w:pPr>
          </w:p>
          <w:p w14:paraId="7E450FAF">
            <w:pPr>
              <w:snapToGrid w:val="0"/>
              <w:spacing w:line="400" w:lineRule="exact"/>
              <w:jc w:val="center"/>
              <w:rPr>
                <w:rFonts w:ascii="宋体" w:hAnsi="宋体"/>
                <w:color w:val="auto"/>
                <w:kern w:val="0"/>
                <w:szCs w:val="21"/>
                <w:highlight w:val="none"/>
              </w:rPr>
            </w:pPr>
          </w:p>
          <w:p w14:paraId="3C4C4092">
            <w:pPr>
              <w:snapToGrid w:val="0"/>
              <w:spacing w:line="400" w:lineRule="exact"/>
              <w:jc w:val="center"/>
              <w:rPr>
                <w:rFonts w:ascii="宋体" w:hAnsi="宋体"/>
                <w:color w:val="auto"/>
                <w:kern w:val="0"/>
                <w:szCs w:val="21"/>
                <w:highlight w:val="none"/>
              </w:rPr>
            </w:pPr>
          </w:p>
          <w:p w14:paraId="2FEB8824">
            <w:pPr>
              <w:snapToGrid w:val="0"/>
              <w:spacing w:line="400" w:lineRule="exact"/>
              <w:jc w:val="center"/>
              <w:rPr>
                <w:rFonts w:ascii="宋体" w:hAnsi="宋体"/>
                <w:color w:val="auto"/>
                <w:kern w:val="0"/>
                <w:szCs w:val="21"/>
                <w:highlight w:val="none"/>
              </w:rPr>
            </w:pPr>
          </w:p>
          <w:p w14:paraId="4F4E7E59">
            <w:pPr>
              <w:snapToGrid w:val="0"/>
              <w:spacing w:line="400" w:lineRule="exact"/>
              <w:jc w:val="center"/>
              <w:rPr>
                <w:rFonts w:ascii="宋体" w:hAnsi="宋体"/>
                <w:color w:val="auto"/>
                <w:kern w:val="0"/>
                <w:szCs w:val="21"/>
                <w:highlight w:val="none"/>
              </w:rPr>
            </w:pPr>
          </w:p>
          <w:p w14:paraId="6A92AB7E">
            <w:pPr>
              <w:snapToGrid w:val="0"/>
              <w:spacing w:line="400" w:lineRule="exact"/>
              <w:jc w:val="center"/>
              <w:rPr>
                <w:rFonts w:ascii="宋体" w:hAnsi="宋体"/>
                <w:color w:val="auto"/>
                <w:kern w:val="0"/>
                <w:szCs w:val="21"/>
                <w:highlight w:val="none"/>
              </w:rPr>
            </w:pPr>
          </w:p>
          <w:p w14:paraId="0E7514A7">
            <w:pPr>
              <w:snapToGrid w:val="0"/>
              <w:spacing w:line="400" w:lineRule="exact"/>
              <w:jc w:val="center"/>
              <w:rPr>
                <w:rFonts w:ascii="宋体" w:hAnsi="宋体"/>
                <w:color w:val="auto"/>
                <w:kern w:val="0"/>
                <w:szCs w:val="21"/>
                <w:highlight w:val="none"/>
              </w:rPr>
            </w:pPr>
          </w:p>
          <w:p w14:paraId="0B5B0754">
            <w:pPr>
              <w:snapToGrid w:val="0"/>
              <w:spacing w:line="400" w:lineRule="exact"/>
              <w:jc w:val="both"/>
              <w:rPr>
                <w:rFonts w:ascii="宋体" w:hAnsi="宋体"/>
                <w:color w:val="auto"/>
                <w:kern w:val="0"/>
                <w:szCs w:val="21"/>
                <w:highlight w:val="none"/>
              </w:rPr>
            </w:pPr>
          </w:p>
          <w:p w14:paraId="05D6ABEC">
            <w:pPr>
              <w:snapToGrid w:val="0"/>
              <w:spacing w:line="400" w:lineRule="exact"/>
              <w:jc w:val="center"/>
              <w:rPr>
                <w:rFonts w:ascii="宋体" w:hAnsi="宋体"/>
                <w:color w:val="auto"/>
                <w:kern w:val="0"/>
                <w:szCs w:val="21"/>
                <w:highlight w:val="none"/>
              </w:rPr>
            </w:pPr>
          </w:p>
        </w:tc>
        <w:tc>
          <w:tcPr>
            <w:tcW w:w="1644" w:type="dxa"/>
            <w:vAlign w:val="center"/>
          </w:tcPr>
          <w:p w14:paraId="4DE508A5">
            <w:pPr>
              <w:snapToGrid w:val="0"/>
              <w:spacing w:line="400" w:lineRule="exact"/>
              <w:jc w:val="center"/>
              <w:rPr>
                <w:rFonts w:ascii="宋体" w:hAnsi="宋体"/>
                <w:color w:val="auto"/>
                <w:kern w:val="0"/>
                <w:szCs w:val="21"/>
                <w:highlight w:val="none"/>
              </w:rPr>
            </w:pPr>
          </w:p>
          <w:p w14:paraId="48F04835">
            <w:pPr>
              <w:snapToGrid w:val="0"/>
              <w:spacing w:line="400" w:lineRule="exact"/>
              <w:jc w:val="center"/>
              <w:rPr>
                <w:rFonts w:ascii="宋体" w:hAnsi="宋体"/>
                <w:color w:val="auto"/>
                <w:kern w:val="0"/>
                <w:szCs w:val="21"/>
                <w:highlight w:val="none"/>
              </w:rPr>
            </w:pPr>
          </w:p>
          <w:p w14:paraId="7A2EA2DB">
            <w:pPr>
              <w:snapToGrid w:val="0"/>
              <w:spacing w:line="400" w:lineRule="exact"/>
              <w:jc w:val="center"/>
              <w:rPr>
                <w:rFonts w:ascii="宋体" w:hAnsi="宋体"/>
                <w:color w:val="auto"/>
                <w:kern w:val="0"/>
                <w:szCs w:val="21"/>
                <w:highlight w:val="none"/>
              </w:rPr>
            </w:pPr>
          </w:p>
          <w:p w14:paraId="7F8D09AE">
            <w:pPr>
              <w:snapToGrid w:val="0"/>
              <w:spacing w:line="400" w:lineRule="exact"/>
              <w:jc w:val="center"/>
              <w:rPr>
                <w:rFonts w:ascii="宋体" w:hAnsi="宋体"/>
                <w:color w:val="auto"/>
                <w:kern w:val="0"/>
                <w:szCs w:val="21"/>
                <w:highlight w:val="none"/>
              </w:rPr>
            </w:pPr>
          </w:p>
          <w:p w14:paraId="2F9A47AF">
            <w:pPr>
              <w:snapToGrid w:val="0"/>
              <w:spacing w:line="400" w:lineRule="exact"/>
              <w:jc w:val="center"/>
              <w:rPr>
                <w:rFonts w:ascii="宋体" w:hAnsi="宋体"/>
                <w:color w:val="auto"/>
                <w:kern w:val="0"/>
                <w:szCs w:val="21"/>
                <w:highlight w:val="none"/>
              </w:rPr>
            </w:pPr>
          </w:p>
          <w:p w14:paraId="64B358C5">
            <w:pPr>
              <w:snapToGrid w:val="0"/>
              <w:spacing w:line="400" w:lineRule="exact"/>
              <w:jc w:val="center"/>
              <w:rPr>
                <w:rFonts w:ascii="宋体" w:hAnsi="宋体"/>
                <w:color w:val="auto"/>
                <w:kern w:val="0"/>
                <w:szCs w:val="21"/>
                <w:highlight w:val="none"/>
              </w:rPr>
            </w:pPr>
          </w:p>
          <w:p w14:paraId="673698B4">
            <w:pPr>
              <w:snapToGrid w:val="0"/>
              <w:spacing w:line="400" w:lineRule="exact"/>
              <w:jc w:val="center"/>
              <w:rPr>
                <w:rFonts w:ascii="宋体" w:hAnsi="宋体"/>
                <w:color w:val="auto"/>
                <w:kern w:val="0"/>
                <w:szCs w:val="21"/>
                <w:highlight w:val="none"/>
              </w:rPr>
            </w:pPr>
          </w:p>
          <w:p w14:paraId="6E080111">
            <w:pPr>
              <w:snapToGrid w:val="0"/>
              <w:spacing w:line="400" w:lineRule="exact"/>
              <w:jc w:val="center"/>
              <w:rPr>
                <w:rFonts w:ascii="宋体" w:hAnsi="宋体"/>
                <w:color w:val="auto"/>
                <w:kern w:val="0"/>
                <w:szCs w:val="21"/>
                <w:highlight w:val="none"/>
              </w:rPr>
            </w:pPr>
          </w:p>
          <w:p w14:paraId="072B32F1">
            <w:pPr>
              <w:snapToGrid w:val="0"/>
              <w:spacing w:line="400" w:lineRule="exact"/>
              <w:jc w:val="center"/>
              <w:rPr>
                <w:rFonts w:ascii="宋体" w:hAnsi="宋体"/>
                <w:color w:val="auto"/>
                <w:kern w:val="0"/>
                <w:szCs w:val="21"/>
                <w:highlight w:val="none"/>
              </w:rPr>
            </w:pPr>
          </w:p>
          <w:p w14:paraId="2E3B0524">
            <w:pPr>
              <w:snapToGrid w:val="0"/>
              <w:spacing w:line="400" w:lineRule="exact"/>
              <w:jc w:val="center"/>
              <w:rPr>
                <w:rFonts w:ascii="宋体" w:hAnsi="宋体"/>
                <w:color w:val="auto"/>
                <w:kern w:val="0"/>
                <w:szCs w:val="21"/>
                <w:highlight w:val="none"/>
              </w:rPr>
            </w:pPr>
          </w:p>
          <w:p w14:paraId="66B2D362">
            <w:pPr>
              <w:snapToGrid w:val="0"/>
              <w:spacing w:line="400" w:lineRule="exact"/>
              <w:jc w:val="center"/>
              <w:rPr>
                <w:rFonts w:ascii="宋体" w:hAnsi="宋体"/>
                <w:color w:val="auto"/>
                <w:kern w:val="0"/>
                <w:szCs w:val="21"/>
                <w:highlight w:val="none"/>
              </w:rPr>
            </w:pPr>
          </w:p>
          <w:p w14:paraId="57C12247">
            <w:pPr>
              <w:snapToGrid w:val="0"/>
              <w:spacing w:line="400" w:lineRule="exact"/>
              <w:jc w:val="center"/>
              <w:rPr>
                <w:rFonts w:ascii="宋体" w:hAnsi="宋体"/>
                <w:color w:val="auto"/>
                <w:kern w:val="0"/>
                <w:szCs w:val="21"/>
                <w:highlight w:val="none"/>
              </w:rPr>
            </w:pPr>
          </w:p>
          <w:p w14:paraId="4871BE1B">
            <w:pPr>
              <w:snapToGrid w:val="0"/>
              <w:spacing w:line="400" w:lineRule="exact"/>
              <w:jc w:val="center"/>
              <w:rPr>
                <w:rFonts w:ascii="宋体" w:hAnsi="宋体"/>
                <w:color w:val="auto"/>
                <w:kern w:val="0"/>
                <w:szCs w:val="21"/>
                <w:highlight w:val="none"/>
              </w:rPr>
            </w:pPr>
          </w:p>
          <w:p w14:paraId="2AF6682C">
            <w:pPr>
              <w:snapToGrid w:val="0"/>
              <w:spacing w:line="400" w:lineRule="exact"/>
              <w:jc w:val="center"/>
              <w:rPr>
                <w:rFonts w:ascii="宋体" w:hAnsi="宋体"/>
                <w:color w:val="auto"/>
                <w:kern w:val="0"/>
                <w:szCs w:val="21"/>
                <w:highlight w:val="none"/>
              </w:rPr>
            </w:pPr>
          </w:p>
          <w:p w14:paraId="20455924">
            <w:pPr>
              <w:snapToGrid w:val="0"/>
              <w:spacing w:line="400" w:lineRule="exact"/>
              <w:jc w:val="center"/>
              <w:rPr>
                <w:rFonts w:ascii="宋体" w:hAnsi="宋体"/>
                <w:color w:val="auto"/>
                <w:kern w:val="0"/>
                <w:szCs w:val="21"/>
                <w:highlight w:val="none"/>
              </w:rPr>
            </w:pPr>
          </w:p>
          <w:p w14:paraId="3882AAA9">
            <w:pPr>
              <w:snapToGrid w:val="0"/>
              <w:spacing w:line="400" w:lineRule="exact"/>
              <w:jc w:val="center"/>
              <w:rPr>
                <w:rFonts w:ascii="宋体" w:hAnsi="宋体"/>
                <w:color w:val="auto"/>
                <w:kern w:val="0"/>
                <w:szCs w:val="21"/>
                <w:highlight w:val="none"/>
              </w:rPr>
            </w:pPr>
          </w:p>
          <w:p w14:paraId="3410AF34">
            <w:pPr>
              <w:snapToGrid w:val="0"/>
              <w:spacing w:line="400" w:lineRule="exact"/>
              <w:jc w:val="center"/>
              <w:rPr>
                <w:rFonts w:ascii="宋体" w:hAnsi="宋体"/>
                <w:color w:val="auto"/>
                <w:kern w:val="0"/>
                <w:szCs w:val="21"/>
                <w:highlight w:val="none"/>
              </w:rPr>
            </w:pPr>
          </w:p>
          <w:p w14:paraId="433DDD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5850ED94">
            <w:pPr>
              <w:snapToGrid w:val="0"/>
              <w:spacing w:line="400" w:lineRule="exact"/>
              <w:jc w:val="center"/>
              <w:rPr>
                <w:rFonts w:ascii="宋体" w:hAnsi="宋体"/>
                <w:color w:val="auto"/>
                <w:kern w:val="0"/>
                <w:szCs w:val="21"/>
                <w:highlight w:val="none"/>
              </w:rPr>
            </w:pPr>
          </w:p>
          <w:p w14:paraId="475E83C3">
            <w:pPr>
              <w:snapToGrid w:val="0"/>
              <w:spacing w:line="400" w:lineRule="exact"/>
              <w:jc w:val="center"/>
              <w:rPr>
                <w:rFonts w:ascii="宋体" w:hAnsi="宋体"/>
                <w:color w:val="auto"/>
                <w:kern w:val="0"/>
                <w:szCs w:val="21"/>
                <w:highlight w:val="none"/>
              </w:rPr>
            </w:pPr>
          </w:p>
          <w:p w14:paraId="594A09AC">
            <w:pPr>
              <w:snapToGrid w:val="0"/>
              <w:spacing w:line="400" w:lineRule="exact"/>
              <w:jc w:val="center"/>
              <w:rPr>
                <w:rFonts w:ascii="宋体" w:hAnsi="宋体"/>
                <w:color w:val="auto"/>
                <w:kern w:val="0"/>
                <w:szCs w:val="21"/>
                <w:highlight w:val="none"/>
              </w:rPr>
            </w:pPr>
          </w:p>
          <w:p w14:paraId="01A24C6C">
            <w:pPr>
              <w:snapToGrid w:val="0"/>
              <w:spacing w:line="400" w:lineRule="exact"/>
              <w:jc w:val="center"/>
              <w:rPr>
                <w:rFonts w:ascii="宋体" w:hAnsi="宋体"/>
                <w:color w:val="auto"/>
                <w:kern w:val="0"/>
                <w:szCs w:val="21"/>
                <w:highlight w:val="none"/>
              </w:rPr>
            </w:pPr>
          </w:p>
          <w:p w14:paraId="4A1D7DB5">
            <w:pPr>
              <w:snapToGrid w:val="0"/>
              <w:spacing w:line="400" w:lineRule="exact"/>
              <w:jc w:val="center"/>
              <w:rPr>
                <w:rFonts w:ascii="宋体" w:hAnsi="宋体"/>
                <w:color w:val="auto"/>
                <w:kern w:val="0"/>
                <w:szCs w:val="21"/>
                <w:highlight w:val="none"/>
              </w:rPr>
            </w:pPr>
          </w:p>
          <w:p w14:paraId="6C941733">
            <w:pPr>
              <w:snapToGrid w:val="0"/>
              <w:spacing w:line="400" w:lineRule="exact"/>
              <w:jc w:val="center"/>
              <w:rPr>
                <w:rFonts w:ascii="宋体" w:hAnsi="宋体"/>
                <w:color w:val="auto"/>
                <w:kern w:val="0"/>
                <w:szCs w:val="21"/>
                <w:highlight w:val="none"/>
              </w:rPr>
            </w:pPr>
          </w:p>
          <w:p w14:paraId="09B9705B">
            <w:pPr>
              <w:snapToGrid w:val="0"/>
              <w:spacing w:line="400" w:lineRule="exact"/>
              <w:jc w:val="center"/>
              <w:rPr>
                <w:rFonts w:ascii="宋体" w:hAnsi="宋体"/>
                <w:color w:val="auto"/>
                <w:kern w:val="0"/>
                <w:szCs w:val="21"/>
                <w:highlight w:val="none"/>
              </w:rPr>
            </w:pPr>
          </w:p>
          <w:p w14:paraId="14559F5E">
            <w:pPr>
              <w:snapToGrid w:val="0"/>
              <w:spacing w:line="400" w:lineRule="exact"/>
              <w:jc w:val="center"/>
              <w:rPr>
                <w:rFonts w:ascii="宋体" w:hAnsi="宋体"/>
                <w:color w:val="auto"/>
                <w:kern w:val="0"/>
                <w:szCs w:val="21"/>
                <w:highlight w:val="none"/>
              </w:rPr>
            </w:pPr>
          </w:p>
          <w:p w14:paraId="706BD600">
            <w:pPr>
              <w:snapToGrid w:val="0"/>
              <w:spacing w:line="400" w:lineRule="exact"/>
              <w:jc w:val="center"/>
              <w:rPr>
                <w:rFonts w:ascii="宋体" w:hAnsi="宋体"/>
                <w:color w:val="auto"/>
                <w:kern w:val="0"/>
                <w:szCs w:val="21"/>
                <w:highlight w:val="none"/>
              </w:rPr>
            </w:pPr>
          </w:p>
          <w:p w14:paraId="29B314BD">
            <w:pPr>
              <w:snapToGrid w:val="0"/>
              <w:spacing w:line="400" w:lineRule="exact"/>
              <w:jc w:val="center"/>
              <w:rPr>
                <w:rFonts w:ascii="宋体" w:hAnsi="宋体"/>
                <w:color w:val="auto"/>
                <w:kern w:val="0"/>
                <w:szCs w:val="21"/>
                <w:highlight w:val="none"/>
              </w:rPr>
            </w:pPr>
          </w:p>
          <w:p w14:paraId="6C265E9B">
            <w:pPr>
              <w:snapToGrid w:val="0"/>
              <w:spacing w:line="400" w:lineRule="exact"/>
              <w:jc w:val="center"/>
              <w:rPr>
                <w:rFonts w:ascii="宋体" w:hAnsi="宋体"/>
                <w:color w:val="auto"/>
                <w:kern w:val="0"/>
                <w:szCs w:val="21"/>
                <w:highlight w:val="none"/>
              </w:rPr>
            </w:pPr>
          </w:p>
          <w:p w14:paraId="2BA6FAB1">
            <w:pPr>
              <w:snapToGrid w:val="0"/>
              <w:spacing w:line="400" w:lineRule="exact"/>
              <w:jc w:val="center"/>
              <w:rPr>
                <w:rFonts w:ascii="宋体" w:hAnsi="宋体"/>
                <w:color w:val="auto"/>
                <w:kern w:val="0"/>
                <w:szCs w:val="21"/>
                <w:highlight w:val="none"/>
              </w:rPr>
            </w:pPr>
          </w:p>
          <w:p w14:paraId="02327EB1">
            <w:pPr>
              <w:snapToGrid w:val="0"/>
              <w:spacing w:line="400" w:lineRule="exact"/>
              <w:jc w:val="center"/>
              <w:rPr>
                <w:rFonts w:ascii="宋体" w:hAnsi="宋体"/>
                <w:color w:val="auto"/>
                <w:kern w:val="0"/>
                <w:szCs w:val="21"/>
                <w:highlight w:val="none"/>
              </w:rPr>
            </w:pPr>
          </w:p>
          <w:p w14:paraId="3300A08B">
            <w:pPr>
              <w:snapToGrid w:val="0"/>
              <w:spacing w:line="400" w:lineRule="exact"/>
              <w:jc w:val="center"/>
              <w:rPr>
                <w:rFonts w:ascii="宋体" w:hAnsi="宋体"/>
                <w:color w:val="auto"/>
                <w:kern w:val="0"/>
                <w:szCs w:val="21"/>
                <w:highlight w:val="none"/>
              </w:rPr>
            </w:pPr>
          </w:p>
          <w:p w14:paraId="0A587369">
            <w:pPr>
              <w:snapToGrid w:val="0"/>
              <w:spacing w:line="400" w:lineRule="exact"/>
              <w:jc w:val="center"/>
              <w:rPr>
                <w:rFonts w:ascii="宋体" w:hAnsi="宋体"/>
                <w:color w:val="auto"/>
                <w:kern w:val="0"/>
                <w:szCs w:val="21"/>
                <w:highlight w:val="none"/>
              </w:rPr>
            </w:pPr>
          </w:p>
          <w:p w14:paraId="3624B196">
            <w:pPr>
              <w:snapToGrid w:val="0"/>
              <w:spacing w:line="400" w:lineRule="exact"/>
              <w:jc w:val="center"/>
              <w:rPr>
                <w:rFonts w:ascii="宋体" w:hAnsi="宋体"/>
                <w:color w:val="auto"/>
                <w:kern w:val="0"/>
                <w:szCs w:val="21"/>
                <w:highlight w:val="none"/>
              </w:rPr>
            </w:pPr>
          </w:p>
          <w:p w14:paraId="662B07D0">
            <w:pPr>
              <w:snapToGrid w:val="0"/>
              <w:spacing w:line="400" w:lineRule="exact"/>
              <w:jc w:val="center"/>
              <w:rPr>
                <w:rFonts w:ascii="宋体" w:hAnsi="宋体"/>
                <w:color w:val="auto"/>
                <w:kern w:val="0"/>
                <w:szCs w:val="21"/>
                <w:highlight w:val="none"/>
              </w:rPr>
            </w:pPr>
          </w:p>
          <w:p w14:paraId="2B104DA5">
            <w:pPr>
              <w:snapToGrid w:val="0"/>
              <w:spacing w:line="400" w:lineRule="exact"/>
              <w:jc w:val="center"/>
              <w:rPr>
                <w:rFonts w:ascii="宋体" w:hAnsi="宋体"/>
                <w:color w:val="auto"/>
                <w:kern w:val="0"/>
                <w:szCs w:val="21"/>
                <w:highlight w:val="none"/>
              </w:rPr>
            </w:pPr>
          </w:p>
          <w:p w14:paraId="526C31B8">
            <w:pPr>
              <w:snapToGrid w:val="0"/>
              <w:spacing w:line="400" w:lineRule="exact"/>
              <w:jc w:val="center"/>
              <w:rPr>
                <w:rFonts w:ascii="宋体" w:hAnsi="宋体"/>
                <w:color w:val="auto"/>
                <w:kern w:val="0"/>
                <w:szCs w:val="21"/>
                <w:highlight w:val="none"/>
              </w:rPr>
            </w:pPr>
          </w:p>
          <w:p w14:paraId="5B721F64">
            <w:pPr>
              <w:snapToGrid w:val="0"/>
              <w:spacing w:line="400" w:lineRule="exact"/>
              <w:jc w:val="center"/>
              <w:rPr>
                <w:rFonts w:ascii="宋体" w:hAnsi="宋体"/>
                <w:color w:val="auto"/>
                <w:kern w:val="0"/>
                <w:szCs w:val="21"/>
                <w:highlight w:val="none"/>
              </w:rPr>
            </w:pPr>
          </w:p>
          <w:p w14:paraId="0FA089CA">
            <w:pPr>
              <w:snapToGrid w:val="0"/>
              <w:spacing w:line="400" w:lineRule="exact"/>
              <w:jc w:val="center"/>
              <w:rPr>
                <w:rFonts w:ascii="宋体" w:hAnsi="宋体"/>
                <w:color w:val="auto"/>
                <w:kern w:val="0"/>
                <w:szCs w:val="21"/>
                <w:highlight w:val="none"/>
              </w:rPr>
            </w:pPr>
          </w:p>
          <w:p w14:paraId="1A6FBF2E">
            <w:pPr>
              <w:snapToGrid w:val="0"/>
              <w:spacing w:line="400" w:lineRule="exact"/>
              <w:jc w:val="center"/>
              <w:rPr>
                <w:rFonts w:ascii="宋体" w:hAnsi="宋体"/>
                <w:color w:val="auto"/>
                <w:kern w:val="0"/>
                <w:szCs w:val="21"/>
                <w:highlight w:val="none"/>
              </w:rPr>
            </w:pPr>
          </w:p>
          <w:p w14:paraId="2B2D9525">
            <w:pPr>
              <w:snapToGrid w:val="0"/>
              <w:spacing w:line="400" w:lineRule="exact"/>
              <w:jc w:val="center"/>
              <w:rPr>
                <w:rFonts w:ascii="宋体" w:hAnsi="宋体"/>
                <w:color w:val="auto"/>
                <w:kern w:val="0"/>
                <w:szCs w:val="21"/>
                <w:highlight w:val="none"/>
              </w:rPr>
            </w:pPr>
          </w:p>
          <w:p w14:paraId="6D63A7BB">
            <w:pPr>
              <w:snapToGrid w:val="0"/>
              <w:spacing w:line="400" w:lineRule="exact"/>
              <w:jc w:val="center"/>
              <w:rPr>
                <w:rFonts w:ascii="宋体" w:hAnsi="宋体"/>
                <w:color w:val="auto"/>
                <w:kern w:val="0"/>
                <w:szCs w:val="21"/>
                <w:highlight w:val="none"/>
              </w:rPr>
            </w:pPr>
          </w:p>
          <w:p w14:paraId="27B3C798">
            <w:pPr>
              <w:snapToGrid w:val="0"/>
              <w:spacing w:line="400" w:lineRule="exact"/>
              <w:jc w:val="center"/>
              <w:rPr>
                <w:rFonts w:ascii="宋体" w:hAnsi="宋体"/>
                <w:color w:val="auto"/>
                <w:kern w:val="0"/>
                <w:szCs w:val="21"/>
                <w:highlight w:val="none"/>
              </w:rPr>
            </w:pPr>
          </w:p>
          <w:p w14:paraId="39D2E796">
            <w:pPr>
              <w:snapToGrid w:val="0"/>
              <w:spacing w:line="400" w:lineRule="exact"/>
              <w:jc w:val="center"/>
              <w:rPr>
                <w:rFonts w:ascii="宋体" w:hAnsi="宋体"/>
                <w:color w:val="auto"/>
                <w:kern w:val="0"/>
                <w:szCs w:val="21"/>
                <w:highlight w:val="none"/>
              </w:rPr>
            </w:pPr>
          </w:p>
          <w:p w14:paraId="7DFFB52B">
            <w:pPr>
              <w:snapToGrid w:val="0"/>
              <w:spacing w:line="400" w:lineRule="exact"/>
              <w:jc w:val="center"/>
              <w:rPr>
                <w:rFonts w:ascii="宋体" w:hAnsi="宋体"/>
                <w:color w:val="auto"/>
                <w:kern w:val="0"/>
                <w:szCs w:val="21"/>
                <w:highlight w:val="none"/>
              </w:rPr>
            </w:pPr>
          </w:p>
          <w:p w14:paraId="0DCF58AF">
            <w:pPr>
              <w:snapToGrid w:val="0"/>
              <w:spacing w:line="400" w:lineRule="exact"/>
              <w:jc w:val="center"/>
              <w:rPr>
                <w:rFonts w:ascii="宋体" w:hAnsi="宋体"/>
                <w:color w:val="auto"/>
                <w:kern w:val="0"/>
                <w:szCs w:val="21"/>
                <w:highlight w:val="none"/>
              </w:rPr>
            </w:pPr>
          </w:p>
          <w:p w14:paraId="416A9C2F">
            <w:pPr>
              <w:snapToGrid w:val="0"/>
              <w:spacing w:line="400" w:lineRule="exact"/>
              <w:jc w:val="center"/>
              <w:rPr>
                <w:rFonts w:ascii="宋体" w:hAnsi="宋体"/>
                <w:color w:val="auto"/>
                <w:kern w:val="0"/>
                <w:szCs w:val="21"/>
                <w:highlight w:val="none"/>
              </w:rPr>
            </w:pPr>
          </w:p>
          <w:p w14:paraId="675621BB">
            <w:pPr>
              <w:snapToGrid w:val="0"/>
              <w:spacing w:line="400" w:lineRule="exact"/>
              <w:jc w:val="center"/>
              <w:rPr>
                <w:rFonts w:ascii="宋体" w:hAnsi="宋体"/>
                <w:color w:val="auto"/>
                <w:kern w:val="0"/>
                <w:szCs w:val="21"/>
                <w:highlight w:val="none"/>
              </w:rPr>
            </w:pPr>
          </w:p>
          <w:p w14:paraId="283761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33498308">
            <w:pPr>
              <w:snapToGrid w:val="0"/>
              <w:spacing w:line="400" w:lineRule="exact"/>
              <w:jc w:val="center"/>
              <w:rPr>
                <w:rFonts w:ascii="宋体" w:hAnsi="宋体"/>
                <w:color w:val="auto"/>
                <w:kern w:val="0"/>
                <w:szCs w:val="21"/>
                <w:highlight w:val="none"/>
              </w:rPr>
            </w:pPr>
          </w:p>
          <w:p w14:paraId="0B65C555">
            <w:pPr>
              <w:snapToGrid w:val="0"/>
              <w:spacing w:line="400" w:lineRule="exact"/>
              <w:jc w:val="center"/>
              <w:rPr>
                <w:rFonts w:ascii="宋体" w:hAnsi="宋体"/>
                <w:color w:val="auto"/>
                <w:kern w:val="0"/>
                <w:szCs w:val="21"/>
                <w:highlight w:val="none"/>
              </w:rPr>
            </w:pPr>
          </w:p>
          <w:p w14:paraId="4FFDA64E">
            <w:pPr>
              <w:snapToGrid w:val="0"/>
              <w:spacing w:line="400" w:lineRule="exact"/>
              <w:jc w:val="center"/>
              <w:rPr>
                <w:rFonts w:ascii="宋体" w:hAnsi="宋体"/>
                <w:color w:val="auto"/>
                <w:kern w:val="0"/>
                <w:szCs w:val="21"/>
                <w:highlight w:val="none"/>
              </w:rPr>
            </w:pPr>
          </w:p>
          <w:p w14:paraId="325A824D">
            <w:pPr>
              <w:snapToGrid w:val="0"/>
              <w:spacing w:line="400" w:lineRule="exact"/>
              <w:jc w:val="center"/>
              <w:rPr>
                <w:rFonts w:ascii="宋体" w:hAnsi="宋体"/>
                <w:color w:val="auto"/>
                <w:kern w:val="0"/>
                <w:szCs w:val="21"/>
                <w:highlight w:val="none"/>
              </w:rPr>
            </w:pPr>
          </w:p>
          <w:p w14:paraId="1039C735">
            <w:pPr>
              <w:snapToGrid w:val="0"/>
              <w:spacing w:line="400" w:lineRule="exact"/>
              <w:jc w:val="center"/>
              <w:rPr>
                <w:rFonts w:ascii="宋体" w:hAnsi="宋体"/>
                <w:color w:val="auto"/>
                <w:kern w:val="0"/>
                <w:szCs w:val="21"/>
                <w:highlight w:val="none"/>
              </w:rPr>
            </w:pPr>
          </w:p>
          <w:p w14:paraId="7E2CD32A">
            <w:pPr>
              <w:snapToGrid w:val="0"/>
              <w:spacing w:line="400" w:lineRule="exact"/>
              <w:jc w:val="center"/>
              <w:rPr>
                <w:rFonts w:ascii="宋体" w:hAnsi="宋体"/>
                <w:color w:val="auto"/>
                <w:kern w:val="0"/>
                <w:szCs w:val="21"/>
                <w:highlight w:val="none"/>
              </w:rPr>
            </w:pPr>
          </w:p>
          <w:p w14:paraId="7AD5D13C">
            <w:pPr>
              <w:snapToGrid w:val="0"/>
              <w:spacing w:line="400" w:lineRule="exact"/>
              <w:jc w:val="center"/>
              <w:rPr>
                <w:rFonts w:ascii="宋体" w:hAnsi="宋体"/>
                <w:color w:val="auto"/>
                <w:kern w:val="0"/>
                <w:szCs w:val="21"/>
                <w:highlight w:val="none"/>
              </w:rPr>
            </w:pPr>
          </w:p>
          <w:p w14:paraId="03D30391">
            <w:pPr>
              <w:snapToGrid w:val="0"/>
              <w:spacing w:line="400" w:lineRule="exact"/>
              <w:jc w:val="center"/>
              <w:rPr>
                <w:rFonts w:ascii="宋体" w:hAnsi="宋体"/>
                <w:color w:val="auto"/>
                <w:kern w:val="0"/>
                <w:szCs w:val="21"/>
                <w:highlight w:val="none"/>
              </w:rPr>
            </w:pPr>
          </w:p>
          <w:p w14:paraId="717A834F">
            <w:pPr>
              <w:snapToGrid w:val="0"/>
              <w:spacing w:line="400" w:lineRule="exact"/>
              <w:jc w:val="center"/>
              <w:rPr>
                <w:rFonts w:ascii="宋体" w:hAnsi="宋体"/>
                <w:color w:val="auto"/>
                <w:kern w:val="0"/>
                <w:szCs w:val="21"/>
                <w:highlight w:val="none"/>
              </w:rPr>
            </w:pPr>
          </w:p>
          <w:p w14:paraId="6DC21755">
            <w:pPr>
              <w:snapToGrid w:val="0"/>
              <w:spacing w:line="400" w:lineRule="exact"/>
              <w:jc w:val="center"/>
              <w:rPr>
                <w:rFonts w:ascii="宋体" w:hAnsi="宋体"/>
                <w:color w:val="auto"/>
                <w:kern w:val="0"/>
                <w:szCs w:val="21"/>
                <w:highlight w:val="none"/>
              </w:rPr>
            </w:pPr>
          </w:p>
          <w:p w14:paraId="4E6150B4">
            <w:pPr>
              <w:snapToGrid w:val="0"/>
              <w:spacing w:line="400" w:lineRule="exact"/>
              <w:jc w:val="center"/>
              <w:rPr>
                <w:rFonts w:ascii="宋体" w:hAnsi="宋体"/>
                <w:color w:val="auto"/>
                <w:kern w:val="0"/>
                <w:szCs w:val="21"/>
                <w:highlight w:val="none"/>
              </w:rPr>
            </w:pPr>
          </w:p>
          <w:p w14:paraId="01844A48">
            <w:pPr>
              <w:snapToGrid w:val="0"/>
              <w:spacing w:line="400" w:lineRule="exact"/>
              <w:jc w:val="center"/>
              <w:rPr>
                <w:rFonts w:ascii="宋体" w:hAnsi="宋体"/>
                <w:color w:val="auto"/>
                <w:kern w:val="0"/>
                <w:szCs w:val="21"/>
                <w:highlight w:val="none"/>
              </w:rPr>
            </w:pPr>
          </w:p>
          <w:p w14:paraId="0B03DDF9">
            <w:pPr>
              <w:snapToGrid w:val="0"/>
              <w:spacing w:line="400" w:lineRule="exact"/>
              <w:jc w:val="center"/>
              <w:rPr>
                <w:rFonts w:ascii="宋体" w:hAnsi="宋体"/>
                <w:color w:val="auto"/>
                <w:kern w:val="0"/>
                <w:szCs w:val="21"/>
                <w:highlight w:val="none"/>
              </w:rPr>
            </w:pPr>
          </w:p>
          <w:p w14:paraId="69FAB93F">
            <w:pPr>
              <w:snapToGrid w:val="0"/>
              <w:spacing w:line="400" w:lineRule="exact"/>
              <w:jc w:val="center"/>
              <w:rPr>
                <w:rFonts w:ascii="宋体" w:hAnsi="宋体"/>
                <w:color w:val="auto"/>
                <w:kern w:val="0"/>
                <w:szCs w:val="21"/>
                <w:highlight w:val="none"/>
              </w:rPr>
            </w:pPr>
          </w:p>
          <w:p w14:paraId="535F5DC3">
            <w:pPr>
              <w:snapToGrid w:val="0"/>
              <w:spacing w:line="400" w:lineRule="exact"/>
              <w:jc w:val="center"/>
              <w:rPr>
                <w:rFonts w:ascii="宋体" w:hAnsi="宋体"/>
                <w:color w:val="auto"/>
                <w:kern w:val="0"/>
                <w:szCs w:val="21"/>
                <w:highlight w:val="none"/>
              </w:rPr>
            </w:pPr>
          </w:p>
          <w:p w14:paraId="3B18A659">
            <w:pPr>
              <w:snapToGrid w:val="0"/>
              <w:spacing w:line="400" w:lineRule="exact"/>
              <w:jc w:val="center"/>
              <w:rPr>
                <w:rFonts w:ascii="宋体" w:hAnsi="宋体"/>
                <w:color w:val="auto"/>
                <w:kern w:val="0"/>
                <w:szCs w:val="21"/>
                <w:highlight w:val="none"/>
              </w:rPr>
            </w:pPr>
          </w:p>
          <w:p w14:paraId="3AD3994D">
            <w:pPr>
              <w:snapToGrid w:val="0"/>
              <w:spacing w:line="400" w:lineRule="exact"/>
              <w:jc w:val="center"/>
              <w:rPr>
                <w:rFonts w:ascii="宋体" w:hAnsi="宋体"/>
                <w:color w:val="auto"/>
                <w:kern w:val="0"/>
                <w:szCs w:val="21"/>
                <w:highlight w:val="none"/>
              </w:rPr>
            </w:pPr>
          </w:p>
          <w:p w14:paraId="533D642B">
            <w:pPr>
              <w:snapToGrid w:val="0"/>
              <w:spacing w:line="400" w:lineRule="exact"/>
              <w:jc w:val="center"/>
              <w:rPr>
                <w:rFonts w:ascii="宋体" w:hAnsi="宋体"/>
                <w:color w:val="auto"/>
                <w:kern w:val="0"/>
                <w:szCs w:val="21"/>
                <w:highlight w:val="none"/>
              </w:rPr>
            </w:pPr>
          </w:p>
          <w:p w14:paraId="2CD4466C">
            <w:pPr>
              <w:snapToGrid w:val="0"/>
              <w:spacing w:line="400" w:lineRule="exact"/>
              <w:jc w:val="center"/>
              <w:rPr>
                <w:rFonts w:ascii="宋体" w:hAnsi="宋体"/>
                <w:color w:val="auto"/>
                <w:kern w:val="0"/>
                <w:szCs w:val="21"/>
                <w:highlight w:val="none"/>
              </w:rPr>
            </w:pPr>
          </w:p>
          <w:p w14:paraId="05ADCA7A">
            <w:pPr>
              <w:snapToGrid w:val="0"/>
              <w:spacing w:line="400" w:lineRule="exact"/>
              <w:jc w:val="center"/>
              <w:rPr>
                <w:rFonts w:ascii="宋体" w:hAnsi="宋体"/>
                <w:color w:val="auto"/>
                <w:kern w:val="0"/>
                <w:szCs w:val="21"/>
                <w:highlight w:val="none"/>
              </w:rPr>
            </w:pPr>
          </w:p>
          <w:p w14:paraId="74997569">
            <w:pPr>
              <w:snapToGrid w:val="0"/>
              <w:spacing w:line="400" w:lineRule="exact"/>
              <w:jc w:val="center"/>
              <w:rPr>
                <w:rFonts w:ascii="宋体" w:hAnsi="宋体"/>
                <w:color w:val="auto"/>
                <w:kern w:val="0"/>
                <w:szCs w:val="21"/>
                <w:highlight w:val="none"/>
              </w:rPr>
            </w:pPr>
          </w:p>
          <w:p w14:paraId="5342AEB9">
            <w:pPr>
              <w:snapToGrid w:val="0"/>
              <w:spacing w:line="400" w:lineRule="exact"/>
              <w:jc w:val="center"/>
              <w:rPr>
                <w:rFonts w:ascii="宋体" w:hAnsi="宋体"/>
                <w:color w:val="auto"/>
                <w:kern w:val="0"/>
                <w:szCs w:val="21"/>
                <w:highlight w:val="none"/>
              </w:rPr>
            </w:pPr>
          </w:p>
          <w:p w14:paraId="2085E7F8">
            <w:pPr>
              <w:snapToGrid w:val="0"/>
              <w:spacing w:line="400" w:lineRule="exact"/>
              <w:jc w:val="center"/>
              <w:rPr>
                <w:rFonts w:ascii="宋体" w:hAnsi="宋体"/>
                <w:color w:val="auto"/>
                <w:kern w:val="0"/>
                <w:szCs w:val="21"/>
                <w:highlight w:val="none"/>
              </w:rPr>
            </w:pPr>
          </w:p>
          <w:p w14:paraId="6334C341">
            <w:pPr>
              <w:snapToGrid w:val="0"/>
              <w:spacing w:line="400" w:lineRule="exact"/>
              <w:jc w:val="center"/>
              <w:rPr>
                <w:rFonts w:ascii="宋体" w:hAnsi="宋体"/>
                <w:color w:val="auto"/>
                <w:kern w:val="0"/>
                <w:szCs w:val="21"/>
                <w:highlight w:val="none"/>
              </w:rPr>
            </w:pPr>
          </w:p>
          <w:p w14:paraId="17231214">
            <w:pPr>
              <w:snapToGrid w:val="0"/>
              <w:spacing w:line="400" w:lineRule="exact"/>
              <w:jc w:val="center"/>
              <w:rPr>
                <w:rFonts w:ascii="宋体" w:hAnsi="宋体"/>
                <w:color w:val="auto"/>
                <w:kern w:val="0"/>
                <w:szCs w:val="21"/>
                <w:highlight w:val="none"/>
              </w:rPr>
            </w:pPr>
          </w:p>
          <w:p w14:paraId="63F93B5E">
            <w:pPr>
              <w:snapToGrid w:val="0"/>
              <w:spacing w:line="400" w:lineRule="exact"/>
              <w:jc w:val="center"/>
              <w:rPr>
                <w:rFonts w:ascii="宋体" w:hAnsi="宋体"/>
                <w:color w:val="auto"/>
                <w:kern w:val="0"/>
                <w:szCs w:val="21"/>
                <w:highlight w:val="none"/>
              </w:rPr>
            </w:pPr>
          </w:p>
          <w:p w14:paraId="06722060">
            <w:pPr>
              <w:snapToGrid w:val="0"/>
              <w:spacing w:line="400" w:lineRule="exact"/>
              <w:jc w:val="center"/>
              <w:rPr>
                <w:rFonts w:ascii="宋体" w:hAnsi="宋体"/>
                <w:color w:val="auto"/>
                <w:kern w:val="0"/>
                <w:szCs w:val="21"/>
                <w:highlight w:val="none"/>
              </w:rPr>
            </w:pPr>
          </w:p>
          <w:p w14:paraId="69C548DC">
            <w:pPr>
              <w:snapToGrid w:val="0"/>
              <w:spacing w:line="400" w:lineRule="exact"/>
              <w:jc w:val="center"/>
              <w:rPr>
                <w:rFonts w:ascii="宋体" w:hAnsi="宋体"/>
                <w:color w:val="auto"/>
                <w:kern w:val="0"/>
                <w:szCs w:val="21"/>
                <w:highlight w:val="none"/>
              </w:rPr>
            </w:pPr>
          </w:p>
          <w:p w14:paraId="1F4A4B6A">
            <w:pPr>
              <w:snapToGrid w:val="0"/>
              <w:spacing w:line="400" w:lineRule="exact"/>
              <w:jc w:val="center"/>
              <w:rPr>
                <w:rFonts w:ascii="宋体" w:hAnsi="宋体"/>
                <w:color w:val="auto"/>
                <w:kern w:val="0"/>
                <w:szCs w:val="21"/>
                <w:highlight w:val="none"/>
              </w:rPr>
            </w:pPr>
          </w:p>
          <w:p w14:paraId="54291CEE">
            <w:pPr>
              <w:snapToGrid w:val="0"/>
              <w:spacing w:line="400" w:lineRule="exact"/>
              <w:jc w:val="center"/>
              <w:rPr>
                <w:rFonts w:ascii="宋体" w:hAnsi="宋体"/>
                <w:color w:val="auto"/>
                <w:kern w:val="0"/>
                <w:szCs w:val="21"/>
                <w:highlight w:val="none"/>
              </w:rPr>
            </w:pPr>
          </w:p>
          <w:p w14:paraId="213E8DAC">
            <w:pPr>
              <w:snapToGrid w:val="0"/>
              <w:spacing w:line="400" w:lineRule="exact"/>
              <w:jc w:val="center"/>
              <w:rPr>
                <w:rFonts w:ascii="宋体" w:hAnsi="宋体"/>
                <w:color w:val="auto"/>
                <w:kern w:val="0"/>
                <w:szCs w:val="21"/>
                <w:highlight w:val="none"/>
              </w:rPr>
            </w:pPr>
          </w:p>
          <w:p w14:paraId="741086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506C3464">
            <w:pPr>
              <w:snapToGrid w:val="0"/>
              <w:spacing w:line="400" w:lineRule="exact"/>
              <w:jc w:val="center"/>
              <w:rPr>
                <w:rFonts w:ascii="宋体" w:hAnsi="宋体"/>
                <w:color w:val="auto"/>
                <w:kern w:val="0"/>
                <w:szCs w:val="21"/>
                <w:highlight w:val="none"/>
              </w:rPr>
            </w:pPr>
          </w:p>
          <w:p w14:paraId="476945CC">
            <w:pPr>
              <w:snapToGrid w:val="0"/>
              <w:spacing w:line="400" w:lineRule="exact"/>
              <w:jc w:val="center"/>
              <w:rPr>
                <w:rFonts w:ascii="宋体" w:hAnsi="宋体"/>
                <w:color w:val="auto"/>
                <w:kern w:val="0"/>
                <w:szCs w:val="21"/>
                <w:highlight w:val="none"/>
              </w:rPr>
            </w:pPr>
          </w:p>
          <w:p w14:paraId="36E6BD8A">
            <w:pPr>
              <w:snapToGrid w:val="0"/>
              <w:spacing w:line="400" w:lineRule="exact"/>
              <w:jc w:val="center"/>
              <w:rPr>
                <w:rFonts w:ascii="宋体" w:hAnsi="宋体"/>
                <w:color w:val="auto"/>
                <w:kern w:val="0"/>
                <w:szCs w:val="21"/>
                <w:highlight w:val="none"/>
              </w:rPr>
            </w:pPr>
          </w:p>
          <w:p w14:paraId="74B64256">
            <w:pPr>
              <w:snapToGrid w:val="0"/>
              <w:spacing w:line="400" w:lineRule="exact"/>
              <w:jc w:val="center"/>
              <w:rPr>
                <w:rFonts w:ascii="宋体" w:hAnsi="宋体"/>
                <w:color w:val="auto"/>
                <w:kern w:val="0"/>
                <w:szCs w:val="21"/>
                <w:highlight w:val="none"/>
              </w:rPr>
            </w:pPr>
          </w:p>
          <w:p w14:paraId="5CC7A0D5">
            <w:pPr>
              <w:snapToGrid w:val="0"/>
              <w:spacing w:line="400" w:lineRule="exact"/>
              <w:jc w:val="center"/>
              <w:rPr>
                <w:rFonts w:ascii="宋体" w:hAnsi="宋体"/>
                <w:color w:val="auto"/>
                <w:kern w:val="0"/>
                <w:szCs w:val="21"/>
                <w:highlight w:val="none"/>
              </w:rPr>
            </w:pPr>
          </w:p>
          <w:p w14:paraId="43360A6E">
            <w:pPr>
              <w:snapToGrid w:val="0"/>
              <w:spacing w:line="400" w:lineRule="exact"/>
              <w:jc w:val="center"/>
              <w:rPr>
                <w:rFonts w:ascii="宋体" w:hAnsi="宋体"/>
                <w:color w:val="auto"/>
                <w:kern w:val="0"/>
                <w:szCs w:val="21"/>
                <w:highlight w:val="none"/>
              </w:rPr>
            </w:pPr>
          </w:p>
          <w:p w14:paraId="3FE08D91">
            <w:pPr>
              <w:snapToGrid w:val="0"/>
              <w:spacing w:line="400" w:lineRule="exact"/>
              <w:jc w:val="center"/>
              <w:rPr>
                <w:rFonts w:ascii="宋体" w:hAnsi="宋体"/>
                <w:color w:val="auto"/>
                <w:kern w:val="0"/>
                <w:szCs w:val="21"/>
                <w:highlight w:val="none"/>
              </w:rPr>
            </w:pPr>
          </w:p>
          <w:p w14:paraId="77134984">
            <w:pPr>
              <w:snapToGrid w:val="0"/>
              <w:spacing w:line="400" w:lineRule="exact"/>
              <w:jc w:val="center"/>
              <w:rPr>
                <w:rFonts w:ascii="宋体" w:hAnsi="宋体"/>
                <w:color w:val="auto"/>
                <w:kern w:val="0"/>
                <w:szCs w:val="21"/>
                <w:highlight w:val="none"/>
              </w:rPr>
            </w:pPr>
          </w:p>
          <w:p w14:paraId="1ADE00FD">
            <w:pPr>
              <w:snapToGrid w:val="0"/>
              <w:spacing w:line="400" w:lineRule="exact"/>
              <w:jc w:val="center"/>
              <w:rPr>
                <w:rFonts w:ascii="宋体" w:hAnsi="宋体"/>
                <w:color w:val="auto"/>
                <w:kern w:val="0"/>
                <w:szCs w:val="21"/>
                <w:highlight w:val="none"/>
              </w:rPr>
            </w:pPr>
          </w:p>
          <w:p w14:paraId="02FB39E8">
            <w:pPr>
              <w:snapToGrid w:val="0"/>
              <w:spacing w:line="400" w:lineRule="exact"/>
              <w:jc w:val="center"/>
              <w:rPr>
                <w:rFonts w:ascii="宋体" w:hAnsi="宋体"/>
                <w:color w:val="auto"/>
                <w:kern w:val="0"/>
                <w:szCs w:val="21"/>
                <w:highlight w:val="none"/>
              </w:rPr>
            </w:pPr>
          </w:p>
          <w:p w14:paraId="1EE9996E">
            <w:pPr>
              <w:snapToGrid w:val="0"/>
              <w:spacing w:line="400" w:lineRule="exact"/>
              <w:jc w:val="center"/>
              <w:rPr>
                <w:rFonts w:ascii="宋体" w:hAnsi="宋体"/>
                <w:color w:val="auto"/>
                <w:kern w:val="0"/>
                <w:szCs w:val="21"/>
                <w:highlight w:val="none"/>
              </w:rPr>
            </w:pPr>
          </w:p>
          <w:p w14:paraId="430E78CF">
            <w:pPr>
              <w:snapToGrid w:val="0"/>
              <w:spacing w:line="400" w:lineRule="exact"/>
              <w:jc w:val="center"/>
              <w:rPr>
                <w:rFonts w:ascii="宋体" w:hAnsi="宋体"/>
                <w:color w:val="auto"/>
                <w:kern w:val="0"/>
                <w:szCs w:val="21"/>
                <w:highlight w:val="none"/>
              </w:rPr>
            </w:pPr>
          </w:p>
          <w:p w14:paraId="4CE74B91">
            <w:pPr>
              <w:snapToGrid w:val="0"/>
              <w:spacing w:line="400" w:lineRule="exact"/>
              <w:jc w:val="center"/>
              <w:rPr>
                <w:rFonts w:ascii="宋体" w:hAnsi="宋体"/>
                <w:color w:val="auto"/>
                <w:kern w:val="0"/>
                <w:szCs w:val="21"/>
                <w:highlight w:val="none"/>
              </w:rPr>
            </w:pPr>
          </w:p>
          <w:p w14:paraId="47250D05">
            <w:pPr>
              <w:snapToGrid w:val="0"/>
              <w:spacing w:line="400" w:lineRule="exact"/>
              <w:jc w:val="center"/>
              <w:rPr>
                <w:rFonts w:ascii="宋体" w:hAnsi="宋体"/>
                <w:color w:val="auto"/>
                <w:kern w:val="0"/>
                <w:szCs w:val="21"/>
                <w:highlight w:val="none"/>
              </w:rPr>
            </w:pPr>
          </w:p>
          <w:p w14:paraId="35FB9175">
            <w:pPr>
              <w:snapToGrid w:val="0"/>
              <w:spacing w:line="400" w:lineRule="exact"/>
              <w:jc w:val="center"/>
              <w:rPr>
                <w:rFonts w:ascii="宋体" w:hAnsi="宋体"/>
                <w:color w:val="auto"/>
                <w:kern w:val="0"/>
                <w:szCs w:val="21"/>
                <w:highlight w:val="none"/>
              </w:rPr>
            </w:pPr>
          </w:p>
          <w:p w14:paraId="187249CE">
            <w:pPr>
              <w:snapToGrid w:val="0"/>
              <w:spacing w:line="400" w:lineRule="exact"/>
              <w:jc w:val="center"/>
              <w:rPr>
                <w:rFonts w:ascii="宋体" w:hAnsi="宋体"/>
                <w:color w:val="auto"/>
                <w:kern w:val="0"/>
                <w:szCs w:val="21"/>
                <w:highlight w:val="none"/>
              </w:rPr>
            </w:pPr>
          </w:p>
          <w:p w14:paraId="24B42D75">
            <w:pPr>
              <w:snapToGrid w:val="0"/>
              <w:spacing w:line="400" w:lineRule="exact"/>
              <w:jc w:val="center"/>
              <w:rPr>
                <w:rFonts w:ascii="宋体" w:hAnsi="宋体"/>
                <w:color w:val="auto"/>
                <w:kern w:val="0"/>
                <w:szCs w:val="21"/>
                <w:highlight w:val="none"/>
              </w:rPr>
            </w:pPr>
          </w:p>
          <w:p w14:paraId="2E104F3E">
            <w:pPr>
              <w:snapToGrid w:val="0"/>
              <w:spacing w:line="400" w:lineRule="exact"/>
              <w:jc w:val="center"/>
              <w:rPr>
                <w:rFonts w:ascii="宋体" w:hAnsi="宋体"/>
                <w:color w:val="auto"/>
                <w:kern w:val="0"/>
                <w:szCs w:val="21"/>
                <w:highlight w:val="none"/>
              </w:rPr>
            </w:pPr>
          </w:p>
          <w:p w14:paraId="432B1849">
            <w:pPr>
              <w:snapToGrid w:val="0"/>
              <w:spacing w:line="400" w:lineRule="exact"/>
              <w:jc w:val="center"/>
              <w:rPr>
                <w:rFonts w:ascii="宋体" w:hAnsi="宋体"/>
                <w:color w:val="auto"/>
                <w:kern w:val="0"/>
                <w:szCs w:val="21"/>
                <w:highlight w:val="none"/>
              </w:rPr>
            </w:pPr>
          </w:p>
          <w:p w14:paraId="78E1EADB">
            <w:pPr>
              <w:snapToGrid w:val="0"/>
              <w:spacing w:line="400" w:lineRule="exact"/>
              <w:jc w:val="center"/>
              <w:rPr>
                <w:rFonts w:ascii="宋体" w:hAnsi="宋体"/>
                <w:color w:val="auto"/>
                <w:kern w:val="0"/>
                <w:szCs w:val="21"/>
                <w:highlight w:val="none"/>
              </w:rPr>
            </w:pPr>
          </w:p>
          <w:p w14:paraId="033BDF08">
            <w:pPr>
              <w:snapToGrid w:val="0"/>
              <w:spacing w:line="400" w:lineRule="exact"/>
              <w:jc w:val="center"/>
              <w:rPr>
                <w:rFonts w:ascii="宋体" w:hAnsi="宋体"/>
                <w:color w:val="auto"/>
                <w:kern w:val="0"/>
                <w:szCs w:val="21"/>
                <w:highlight w:val="none"/>
              </w:rPr>
            </w:pPr>
          </w:p>
          <w:p w14:paraId="2B0CFCA1">
            <w:pPr>
              <w:snapToGrid w:val="0"/>
              <w:spacing w:line="400" w:lineRule="exact"/>
              <w:jc w:val="center"/>
              <w:rPr>
                <w:rFonts w:ascii="宋体" w:hAnsi="宋体"/>
                <w:color w:val="auto"/>
                <w:kern w:val="0"/>
                <w:szCs w:val="21"/>
                <w:highlight w:val="none"/>
              </w:rPr>
            </w:pPr>
          </w:p>
          <w:p w14:paraId="5CA69F4B">
            <w:pPr>
              <w:snapToGrid w:val="0"/>
              <w:spacing w:line="400" w:lineRule="exact"/>
              <w:jc w:val="center"/>
              <w:rPr>
                <w:rFonts w:ascii="宋体" w:hAnsi="宋体"/>
                <w:color w:val="auto"/>
                <w:kern w:val="0"/>
                <w:szCs w:val="21"/>
                <w:highlight w:val="none"/>
              </w:rPr>
            </w:pPr>
          </w:p>
          <w:p w14:paraId="12D9519E">
            <w:pPr>
              <w:snapToGrid w:val="0"/>
              <w:spacing w:line="400" w:lineRule="exact"/>
              <w:jc w:val="center"/>
              <w:rPr>
                <w:rFonts w:ascii="宋体" w:hAnsi="宋体"/>
                <w:color w:val="auto"/>
                <w:kern w:val="0"/>
                <w:szCs w:val="21"/>
                <w:highlight w:val="none"/>
              </w:rPr>
            </w:pPr>
          </w:p>
          <w:p w14:paraId="255DD5AE">
            <w:pPr>
              <w:snapToGrid w:val="0"/>
              <w:spacing w:line="400" w:lineRule="exact"/>
              <w:jc w:val="center"/>
              <w:rPr>
                <w:rFonts w:ascii="宋体" w:hAnsi="宋体"/>
                <w:color w:val="auto"/>
                <w:kern w:val="0"/>
                <w:szCs w:val="21"/>
                <w:highlight w:val="none"/>
              </w:rPr>
            </w:pPr>
          </w:p>
          <w:p w14:paraId="1EC936DC">
            <w:pPr>
              <w:snapToGrid w:val="0"/>
              <w:spacing w:line="400" w:lineRule="exact"/>
              <w:jc w:val="center"/>
              <w:rPr>
                <w:rFonts w:ascii="宋体" w:hAnsi="宋体"/>
                <w:color w:val="auto"/>
                <w:kern w:val="0"/>
                <w:szCs w:val="21"/>
                <w:highlight w:val="none"/>
              </w:rPr>
            </w:pPr>
          </w:p>
          <w:p w14:paraId="0078D621">
            <w:pPr>
              <w:snapToGrid w:val="0"/>
              <w:spacing w:line="400" w:lineRule="exact"/>
              <w:jc w:val="both"/>
              <w:rPr>
                <w:rFonts w:ascii="宋体" w:hAnsi="宋体"/>
                <w:color w:val="auto"/>
                <w:kern w:val="0"/>
                <w:szCs w:val="21"/>
                <w:highlight w:val="none"/>
              </w:rPr>
            </w:pPr>
          </w:p>
        </w:tc>
        <w:tc>
          <w:tcPr>
            <w:tcW w:w="6490" w:type="dxa"/>
            <w:vAlign w:val="center"/>
          </w:tcPr>
          <w:p w14:paraId="1C5551C9">
            <w:pPr>
              <w:autoSpaceDE w:val="0"/>
              <w:autoSpaceDN w:val="0"/>
              <w:adjustRightInd w:val="0"/>
              <w:snapToGrid w:val="0"/>
              <w:spacing w:line="400" w:lineRule="exact"/>
              <w:ind w:firstLine="420" w:firstLineChars="200"/>
              <w:rPr>
                <w:rFonts w:ascii="宋体" w:hAnsi="宋体"/>
                <w:color w:val="auto"/>
                <w:szCs w:val="21"/>
                <w:highlight w:val="none"/>
              </w:rPr>
            </w:pPr>
            <w:bookmarkStart w:id="96" w:name="OLE_LINK1"/>
            <w:r>
              <w:rPr>
                <w:rFonts w:ascii="宋体" w:hAnsi="宋体"/>
                <w:color w:val="auto"/>
                <w:szCs w:val="21"/>
                <w:highlight w:val="none"/>
              </w:rPr>
              <w:t>本工程施工</w:t>
            </w:r>
            <w:r>
              <w:rPr>
                <w:rFonts w:hint="eastAsia" w:ascii="宋体" w:hAnsi="宋体"/>
                <w:color w:val="auto"/>
                <w:szCs w:val="21"/>
                <w:highlight w:val="none"/>
                <w:lang w:eastAsia="zh-CN"/>
              </w:rPr>
              <w:t>比选</w:t>
            </w:r>
            <w:r>
              <w:rPr>
                <w:rFonts w:ascii="宋体" w:hAnsi="宋体"/>
                <w:color w:val="auto"/>
                <w:szCs w:val="21"/>
                <w:highlight w:val="none"/>
              </w:rPr>
              <w:t>实行资格后审，投标人应</w:t>
            </w:r>
            <w:bookmarkStart w:id="97" w:name="一是"/>
            <w:bookmarkEnd w:id="97"/>
            <w:r>
              <w:rPr>
                <w:rFonts w:ascii="宋体" w:hAnsi="宋体"/>
                <w:color w:val="auto"/>
                <w:szCs w:val="21"/>
                <w:highlight w:val="none"/>
              </w:rPr>
              <w:t>具备以下资格条件：</w:t>
            </w:r>
          </w:p>
          <w:bookmarkEnd w:id="96"/>
          <w:p w14:paraId="6EE0A19E">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39253DA2">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u w:val="single"/>
                <w:lang w:eastAsia="zh-CN"/>
              </w:rPr>
              <w:t>建筑工程施工总承包叁级</w:t>
            </w:r>
            <w:r>
              <w:rPr>
                <w:rFonts w:ascii="宋体" w:hAnsi="宋体"/>
                <w:color w:val="auto"/>
                <w:szCs w:val="21"/>
                <w:highlight w:val="none"/>
                <w:u w:val="single"/>
              </w:rPr>
              <w:t>及以上</w:t>
            </w:r>
            <w:r>
              <w:rPr>
                <w:rFonts w:hint="eastAsia" w:ascii="宋体" w:hAnsi="宋体"/>
                <w:color w:val="auto"/>
                <w:szCs w:val="21"/>
                <w:highlight w:val="none"/>
              </w:rPr>
              <w:t>资质</w:t>
            </w:r>
            <w:r>
              <w:rPr>
                <w:rFonts w:ascii="宋体" w:hAnsi="宋体"/>
                <w:color w:val="auto"/>
                <w:szCs w:val="21"/>
                <w:highlight w:val="none"/>
              </w:rPr>
              <w:t>。</w:t>
            </w:r>
          </w:p>
          <w:p w14:paraId="7911E8D1">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14:paraId="4F40442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40EBFA7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提供有效的营业执照复印件。</w:t>
            </w:r>
          </w:p>
          <w:p w14:paraId="7079DF2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25E45D9D">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投标人须在投标文件资格审查部分提供有效的安全生产许可证</w:t>
            </w:r>
            <w:r>
              <w:rPr>
                <w:rFonts w:ascii="宋体" w:hAnsi="宋体"/>
                <w:color w:val="auto"/>
                <w:szCs w:val="21"/>
                <w:highlight w:val="none"/>
              </w:rPr>
              <w:t>及安全生产考核合格证书复印件。</w:t>
            </w:r>
          </w:p>
          <w:p w14:paraId="6AE6F708">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2</w:t>
            </w:r>
            <w:r>
              <w:rPr>
                <w:rFonts w:ascii="宋体" w:hAnsi="宋体"/>
                <w:b/>
                <w:color w:val="auto"/>
                <w:szCs w:val="21"/>
                <w:highlight w:val="none"/>
              </w:rPr>
              <w:t>.投标截止日投标资格情况</w:t>
            </w:r>
          </w:p>
          <w:p w14:paraId="6C105E7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14:paraId="1E9DFF9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506F1D6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32720A1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5EF216A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0044D1D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6768D9DE">
            <w:pPr>
              <w:spacing w:line="400" w:lineRule="exact"/>
              <w:ind w:firstLine="420" w:firstLineChars="200"/>
              <w:rPr>
                <w:color w:val="FF0000"/>
                <w:highlight w:val="none"/>
              </w:rPr>
            </w:pPr>
            <w:r>
              <w:rPr>
                <w:rFonts w:hint="eastAsia"/>
                <w:color w:val="FF0000"/>
                <w:highlight w:val="none"/>
              </w:rPr>
              <w:t>投标人须在投标文件资格审查部分提供承诺。</w:t>
            </w:r>
          </w:p>
          <w:p w14:paraId="3DAFBEED">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ascii="宋体" w:hAnsi="宋体"/>
                <w:b/>
                <w:color w:val="auto"/>
                <w:szCs w:val="21"/>
                <w:highlight w:val="none"/>
              </w:rPr>
              <w:t>.项目经理资格要求</w:t>
            </w:r>
          </w:p>
          <w:p w14:paraId="0D1E8EA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hint="eastAsia"/>
                <w:color w:val="auto"/>
                <w:szCs w:val="21"/>
                <w:highlight w:val="none"/>
              </w:rPr>
              <w:t>投标人拟派的</w:t>
            </w:r>
            <w:r>
              <w:rPr>
                <w:color w:val="auto"/>
                <w:szCs w:val="21"/>
                <w:highlight w:val="none"/>
              </w:rPr>
              <w:t>项目经理必须已在</w:t>
            </w:r>
            <w:r>
              <w:rPr>
                <w:rFonts w:hint="eastAsia"/>
                <w:color w:val="auto"/>
                <w:szCs w:val="21"/>
                <w:highlight w:val="none"/>
              </w:rPr>
              <w:t>投标人本</w:t>
            </w:r>
            <w:r>
              <w:rPr>
                <w:color w:val="auto"/>
                <w:szCs w:val="21"/>
                <w:highlight w:val="none"/>
              </w:rPr>
              <w:t>单位注册并应具有</w:t>
            </w:r>
            <w:r>
              <w:rPr>
                <w:color w:val="auto"/>
                <w:szCs w:val="21"/>
                <w:highlight w:val="none"/>
                <w:u w:val="single"/>
              </w:rPr>
              <w:t xml:space="preserve"> </w:t>
            </w:r>
            <w:r>
              <w:rPr>
                <w:rFonts w:hint="eastAsia"/>
                <w:color w:val="auto"/>
                <w:szCs w:val="21"/>
                <w:highlight w:val="none"/>
                <w:u w:val="single"/>
              </w:rPr>
              <w:t xml:space="preserve">   </w:t>
            </w:r>
            <w:r>
              <w:rPr>
                <w:rFonts w:hint="eastAsia"/>
                <w:i w:val="0"/>
                <w:iCs/>
                <w:color w:val="auto"/>
                <w:szCs w:val="21"/>
                <w:highlight w:val="none"/>
                <w:u w:val="single"/>
                <w:lang w:eastAsia="zh-CN"/>
              </w:rPr>
              <w:t>建筑工程</w:t>
            </w:r>
            <w:r>
              <w:rPr>
                <w:rFonts w:hint="eastAsia"/>
                <w:i/>
                <w:color w:val="auto"/>
                <w:szCs w:val="21"/>
                <w:highlight w:val="none"/>
                <w:u w:val="single"/>
              </w:rPr>
              <w:t xml:space="preserve"> </w:t>
            </w:r>
            <w:r>
              <w:rPr>
                <w:rFonts w:hint="eastAsia"/>
                <w:color w:val="auto"/>
                <w:szCs w:val="21"/>
                <w:highlight w:val="none"/>
              </w:rPr>
              <w:t>专业</w:t>
            </w:r>
            <w:r>
              <w:rPr>
                <w:color w:val="auto"/>
                <w:szCs w:val="21"/>
                <w:highlight w:val="none"/>
                <w:u w:val="single"/>
              </w:rPr>
              <w:t xml:space="preserve"> </w:t>
            </w:r>
            <w:r>
              <w:rPr>
                <w:rFonts w:hint="eastAsia"/>
                <w:color w:val="auto"/>
                <w:szCs w:val="21"/>
                <w:highlight w:val="none"/>
                <w:u w:val="single"/>
                <w:lang w:eastAsia="zh-CN"/>
              </w:rPr>
              <w:t>二</w:t>
            </w:r>
            <w:r>
              <w:rPr>
                <w:color w:val="auto"/>
                <w:szCs w:val="21"/>
                <w:highlight w:val="none"/>
                <w:u w:val="single"/>
              </w:rPr>
              <w:t>级及以上</w:t>
            </w:r>
            <w:r>
              <w:rPr>
                <w:rFonts w:hint="eastAsia"/>
                <w:color w:val="auto"/>
                <w:szCs w:val="21"/>
                <w:highlight w:val="none"/>
                <w:u w:val="single"/>
                <w:lang w:val="en-US" w:eastAsia="zh-CN"/>
              </w:rPr>
              <w:t xml:space="preserve"> </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rPr>
              <w:t>。</w:t>
            </w:r>
          </w:p>
          <w:p w14:paraId="7F2E518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.2项目经理承诺要求：投标人须承诺拟派项目经理按注册建造师的相关规定到岗履职和未被禁止参与投标。</w:t>
            </w:r>
          </w:p>
          <w:p w14:paraId="2567513C">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auto"/>
                <w:highlight w:val="none"/>
                <w:lang w:eastAsia="zh-CN"/>
              </w:rPr>
              <w:t>比选人</w:t>
            </w:r>
            <w:r>
              <w:rPr>
                <w:rFonts w:ascii="宋体" w:hAnsi="宋体"/>
                <w:color w:val="auto"/>
                <w:highlight w:val="none"/>
              </w:rPr>
              <w:t>造成损失的，投标人依法承担违约赔偿责任。拟派项目经理中标后不得随意更换。</w:t>
            </w:r>
          </w:p>
          <w:p w14:paraId="5D728C5A">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.2.2未被禁止参与投标承诺要求：承诺拟派项目经理未被重庆市</w:t>
            </w:r>
            <w:r>
              <w:rPr>
                <w:rFonts w:hint="eastAsia" w:ascii="宋体" w:hAnsi="宋体"/>
                <w:color w:val="auto"/>
                <w:highlight w:val="none"/>
                <w:lang w:val="en-US" w:eastAsia="zh-CN"/>
              </w:rPr>
              <w:t>市级有关行业</w:t>
            </w:r>
            <w:r>
              <w:rPr>
                <w:rFonts w:ascii="宋体" w:hAnsi="宋体"/>
                <w:color w:val="auto"/>
                <w:highlight w:val="none"/>
              </w:rPr>
              <w:t>主管部门暂停在渝承揽新业务。若被暂停在渝承揽新业务但仍参加投标，将被否决投标；已取得中标候选人资格或中标资格的，</w:t>
            </w:r>
            <w:r>
              <w:rPr>
                <w:rFonts w:hint="eastAsia" w:ascii="宋体" w:hAnsi="宋体"/>
                <w:color w:val="auto"/>
                <w:highlight w:val="none"/>
                <w:lang w:eastAsia="zh-CN"/>
              </w:rPr>
              <w:t>比选人</w:t>
            </w:r>
            <w:r>
              <w:rPr>
                <w:rFonts w:ascii="宋体" w:hAnsi="宋体"/>
                <w:color w:val="auto"/>
                <w:highlight w:val="none"/>
              </w:rPr>
              <w:t>有权取消其中标候选人资格或中标资格；给</w:t>
            </w:r>
            <w:r>
              <w:rPr>
                <w:rFonts w:hint="eastAsia" w:ascii="宋体" w:hAnsi="宋体"/>
                <w:color w:val="auto"/>
                <w:highlight w:val="none"/>
                <w:lang w:eastAsia="zh-CN"/>
              </w:rPr>
              <w:t>比选人</w:t>
            </w:r>
            <w:r>
              <w:rPr>
                <w:rFonts w:ascii="宋体" w:hAnsi="宋体"/>
                <w:color w:val="auto"/>
                <w:highlight w:val="none"/>
              </w:rPr>
              <w:t>造成损失的，投标人依法承担违约赔偿责任。</w:t>
            </w:r>
          </w:p>
          <w:p w14:paraId="3EA5F805">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.2.3项目经理的其它承诺要求：为保证</w:t>
            </w:r>
            <w:r>
              <w:rPr>
                <w:rFonts w:hint="eastAsia" w:ascii="宋体" w:hAnsi="宋体"/>
                <w:color w:val="auto"/>
                <w:highlight w:val="none"/>
              </w:rPr>
              <w:t>投标人</w:t>
            </w:r>
            <w:r>
              <w:rPr>
                <w:rFonts w:ascii="宋体" w:hAnsi="宋体"/>
                <w:color w:val="auto"/>
                <w:highlight w:val="none"/>
              </w:rPr>
              <w:t>拟派的项目经理到本项目到岗履职，</w:t>
            </w:r>
            <w:r>
              <w:rPr>
                <w:rFonts w:hint="eastAsia" w:ascii="宋体" w:hAnsi="宋体"/>
                <w:color w:val="auto"/>
                <w:highlight w:val="none"/>
              </w:rPr>
              <w:t>投标人</w:t>
            </w:r>
            <w:r>
              <w:rPr>
                <w:rFonts w:ascii="宋体" w:hAnsi="宋体"/>
                <w:color w:val="auto"/>
                <w:highlight w:val="none"/>
              </w:rPr>
              <w:t>还需承诺：</w:t>
            </w:r>
          </w:p>
          <w:p w14:paraId="69E6EEEA">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rPr>
              <w:t>投标人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日（7～30日）内，办理完成放弃在其他项目任职的手续（或办理完成放弃在其他项目中标或拟中标的手续），</w:t>
            </w:r>
            <w:r>
              <w:rPr>
                <w:rFonts w:hint="eastAsia" w:ascii="宋体" w:hAnsi="宋体"/>
                <w:color w:val="auto"/>
                <w:highlight w:val="none"/>
                <w:lang w:eastAsia="zh-CN"/>
              </w:rPr>
              <w:t>比选人</w:t>
            </w:r>
            <w:r>
              <w:rPr>
                <w:rFonts w:ascii="宋体" w:hAnsi="宋体"/>
                <w:color w:val="auto"/>
                <w:highlight w:val="none"/>
              </w:rPr>
              <w:t>在合同签订前有权对</w:t>
            </w:r>
            <w:r>
              <w:rPr>
                <w:rFonts w:hint="eastAsia" w:ascii="宋体" w:hAnsi="宋体"/>
                <w:color w:val="auto"/>
                <w:highlight w:val="none"/>
              </w:rPr>
              <w:t>投标人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rPr>
              <w:t>投标人</w:t>
            </w:r>
            <w:r>
              <w:rPr>
                <w:rFonts w:ascii="宋体" w:hAnsi="宋体"/>
                <w:color w:val="auto"/>
                <w:highlight w:val="none"/>
              </w:rPr>
              <w:t>承诺内容不符或</w:t>
            </w:r>
            <w:r>
              <w:rPr>
                <w:rFonts w:hint="eastAsia" w:ascii="宋体" w:hAnsi="宋体"/>
                <w:color w:val="auto"/>
                <w:highlight w:val="none"/>
              </w:rPr>
              <w:t>投标人</w:t>
            </w:r>
            <w:r>
              <w:rPr>
                <w:rFonts w:ascii="宋体" w:hAnsi="宋体"/>
                <w:color w:val="auto"/>
                <w:highlight w:val="none"/>
              </w:rPr>
              <w:t>未在上述时间内按照</w:t>
            </w:r>
            <w:r>
              <w:rPr>
                <w:rFonts w:hint="eastAsia" w:ascii="宋体" w:hAnsi="宋体"/>
                <w:color w:val="auto"/>
                <w:highlight w:val="none"/>
                <w:lang w:eastAsia="zh-CN"/>
              </w:rPr>
              <w:t>比选文件</w:t>
            </w:r>
            <w:r>
              <w:rPr>
                <w:rFonts w:ascii="宋体" w:hAnsi="宋体"/>
                <w:color w:val="auto"/>
                <w:highlight w:val="none"/>
              </w:rPr>
              <w:t>规定递交放弃在其他项目任职、中标或拟中标的相关资料，视为</w:t>
            </w:r>
            <w:r>
              <w:rPr>
                <w:rFonts w:hint="eastAsia" w:ascii="宋体" w:hAnsi="宋体"/>
                <w:color w:val="auto"/>
                <w:highlight w:val="none"/>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不退还其投标保证金。在合同签订时，</w:t>
            </w:r>
            <w:r>
              <w:rPr>
                <w:rFonts w:hint="eastAsia" w:ascii="宋体" w:hAnsi="宋体"/>
                <w:color w:val="auto"/>
                <w:highlight w:val="none"/>
              </w:rPr>
              <w:t>投标人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w:t>
            </w:r>
          </w:p>
          <w:p w14:paraId="7F98204F">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放弃在其他项目任职的需提供：①经业主或建设单位同意任职变更的文件；②负责项目监管的行业行政主管部门出具同意任职变更的证明材料。</w:t>
            </w:r>
          </w:p>
          <w:p w14:paraId="73D96510">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放弃在其他项目中标或拟中标的需提供：①经中标或拟中标的其他项目建设单位同意的放弃中标函</w:t>
            </w:r>
            <w:r>
              <w:rPr>
                <w:rFonts w:hint="eastAsia" w:ascii="宋体" w:hAnsi="宋体"/>
                <w:color w:val="auto"/>
                <w:highlight w:val="none"/>
              </w:rPr>
              <w:t>。</w:t>
            </w:r>
          </w:p>
          <w:p w14:paraId="249F59F6">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lang w:val="en-US" w:eastAsia="zh-CN"/>
              </w:rPr>
              <w:t>3</w:t>
            </w:r>
            <w:r>
              <w:rPr>
                <w:rFonts w:hint="eastAsia" w:ascii="宋体" w:hAnsi="宋体"/>
                <w:color w:val="auto"/>
                <w:highlight w:val="none"/>
              </w:rPr>
              <w:t>.2.4未提供上述承诺或承诺内容不符合要求的，由评标委员会作否决投标处理</w:t>
            </w:r>
            <w:r>
              <w:rPr>
                <w:rFonts w:ascii="宋体" w:hAnsi="宋体"/>
                <w:color w:val="auto"/>
                <w:highlight w:val="none"/>
              </w:rPr>
              <w:t>。</w:t>
            </w:r>
          </w:p>
          <w:p w14:paraId="2EC82B2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人须在投标文件资格审查部分提供有效的拟派项目经理建造师注册证、身份证、投标人为其缴纳的养老保险证明材料复印件，拟派项目经理到岗履职和未被禁止参与投标的承诺原件（承诺格式见第八章投标文件格式）。</w:t>
            </w:r>
          </w:p>
          <w:p w14:paraId="5355920B">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7C9AE225">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5BB70E4B">
            <w:pPr>
              <w:autoSpaceDE w:val="0"/>
              <w:autoSpaceDN w:val="0"/>
              <w:adjustRightInd w:val="0"/>
              <w:snapToGrid w:val="0"/>
              <w:spacing w:line="400" w:lineRule="exact"/>
              <w:ind w:firstLine="420" w:firstLineChars="200"/>
              <w:rPr>
                <w:rFonts w:ascii="宋体" w:hAnsi="宋体"/>
                <w:color w:val="auto"/>
                <w:spacing w:val="-24"/>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14:paraId="2D3711AA">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4</w:t>
            </w:r>
            <w:r>
              <w:rPr>
                <w:rFonts w:ascii="宋体" w:hAnsi="宋体"/>
                <w:b/>
                <w:color w:val="auto"/>
                <w:szCs w:val="21"/>
                <w:highlight w:val="none"/>
              </w:rPr>
              <w:t>.其他要求</w:t>
            </w:r>
          </w:p>
          <w:p w14:paraId="0CCB8D3E">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041CC89D">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 xml:space="preserve">工程类 </w:t>
            </w:r>
            <w:r>
              <w:rPr>
                <w:rFonts w:hint="eastAsia" w:ascii="宋体" w:hAnsi="宋体"/>
                <w:color w:val="auto"/>
                <w:szCs w:val="21"/>
                <w:highlight w:val="none"/>
                <w:u w:val="single"/>
                <w:lang w:eastAsia="zh-CN"/>
              </w:rPr>
              <w:t>中</w:t>
            </w:r>
            <w:r>
              <w:rPr>
                <w:rFonts w:hint="eastAsia" w:ascii="宋体" w:hAnsi="宋体"/>
                <w:color w:val="auto"/>
                <w:szCs w:val="21"/>
                <w:highlight w:val="none"/>
                <w:u w:val="single"/>
              </w:rPr>
              <w:t xml:space="preserve"> </w:t>
            </w:r>
            <w:r>
              <w:rPr>
                <w:rFonts w:ascii="宋体" w:hAnsi="宋体"/>
                <w:color w:val="auto"/>
                <w:szCs w:val="21"/>
                <w:highlight w:val="none"/>
                <w:u w:val="single"/>
              </w:rPr>
              <w:t>级及以上</w:t>
            </w:r>
            <w:r>
              <w:rPr>
                <w:rFonts w:ascii="宋体" w:hAnsi="宋体"/>
                <w:color w:val="auto"/>
                <w:szCs w:val="21"/>
                <w:highlight w:val="none"/>
              </w:rPr>
              <w:t>职称；</w:t>
            </w:r>
          </w:p>
          <w:p w14:paraId="2CF7072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投标人须在投标文件资格审查部分提供拟派技术负责人身份证、职称证及投标人本单位为其缴纳的养老保险证明材料复印件。</w:t>
            </w:r>
          </w:p>
          <w:p w14:paraId="0E9ADF6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14D7365C">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w:t>
            </w:r>
            <w:r>
              <w:rPr>
                <w:rFonts w:hint="eastAsia" w:ascii="宋体" w:hAnsi="宋体"/>
                <w:color w:val="auto"/>
                <w:szCs w:val="21"/>
                <w:highlight w:val="none"/>
                <w:lang w:eastAsia="zh-CN"/>
              </w:rPr>
              <w:t>比选人</w:t>
            </w:r>
            <w:r>
              <w:rPr>
                <w:rFonts w:hint="eastAsia" w:ascii="宋体" w:hAnsi="宋体"/>
                <w:color w:val="auto"/>
                <w:szCs w:val="21"/>
                <w:highlight w:val="none"/>
              </w:rPr>
              <w:t>可取消其中标资格，给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w:t>
            </w:r>
          </w:p>
          <w:p w14:paraId="43BB8C69">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投标人须在投标文件资格审查部分提供承诺（承诺格式见第八章投标文件格式）。</w:t>
            </w:r>
          </w:p>
          <w:p w14:paraId="590BDC3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33A0774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p>
          <w:p w14:paraId="1F8341E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7C73CCA6">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27340151">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投标单位法人章并装入投标文件资格审查部分中。投标时投标人的委托代理人须随身携带以上所有复印件的原件（营业执照、资质证书、带二维码的证件、身份证、网页打印件、截图、承诺书、声明除外），在递交投标文件时一次性递交，不得补交，原件袋必须密封。评标委员会审查时必须对有关证明和证件的原件核查，若经审查复印件与原件不一致，或未提交原件的，则投标文件由评标委员会作否决投标处理。上述要求</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45C32B31">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（2）投标人须自行承诺其提供的上述相关证明材料真实有效，不存在弄虚作假情形（格式见第八章投标文件格式）。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p w14:paraId="4EE3F19F">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01C6BDCE">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5870D1D3">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w:t>
            </w:r>
            <w:r>
              <w:rPr>
                <w:rFonts w:hint="eastAsia" w:ascii="宋体" w:hAnsi="宋体"/>
                <w:bCs/>
                <w:snapToGrid w:val="0"/>
                <w:color w:val="auto"/>
                <w:kern w:val="0"/>
                <w:szCs w:val="21"/>
                <w:highlight w:val="none"/>
                <w:lang w:eastAsia="zh-CN"/>
              </w:rPr>
              <w:t>和委托代理人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lang w:val="en-US" w:eastAsia="zh-CN"/>
              </w:rPr>
              <w:t>个人</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w:t>
            </w:r>
            <w:r>
              <w:rPr>
                <w:rFonts w:hint="eastAsia" w:ascii="宋体" w:hAnsi="宋体"/>
                <w:bCs/>
                <w:snapToGrid w:val="0"/>
                <w:color w:val="auto"/>
                <w:kern w:val="0"/>
                <w:szCs w:val="21"/>
                <w:highlight w:val="none"/>
                <w:u w:val="single"/>
                <w:lang w:val="en-US" w:eastAsia="zh-CN"/>
              </w:rPr>
              <w:t>2025</w:t>
            </w:r>
            <w:r>
              <w:rPr>
                <w:rFonts w:hint="eastAsia" w:ascii="宋体" w:hAnsi="宋体"/>
                <w:bCs/>
                <w:snapToGrid w:val="0"/>
                <w:color w:val="auto"/>
                <w:kern w:val="0"/>
                <w:szCs w:val="21"/>
                <w:highlight w:val="none"/>
                <w:u w:val="none"/>
                <w:lang w:val="en-US" w:eastAsia="zh-CN"/>
              </w:rPr>
              <w:t>年</w:t>
            </w:r>
            <w:r>
              <w:rPr>
                <w:rFonts w:hint="eastAsia" w:ascii="宋体" w:hAnsi="宋体"/>
                <w:bCs/>
                <w:snapToGrid w:val="0"/>
                <w:color w:val="auto"/>
                <w:kern w:val="0"/>
                <w:szCs w:val="21"/>
                <w:highlight w:val="none"/>
                <w:u w:val="single"/>
                <w:lang w:val="en-US" w:eastAsia="zh-CN"/>
              </w:rPr>
              <w:t xml:space="preserve"> 1</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lang w:val="en-US" w:eastAsia="zh-CN"/>
              </w:rPr>
              <w:t>2025</w:t>
            </w:r>
            <w:r>
              <w:rPr>
                <w:rFonts w:hint="eastAsia" w:ascii="宋体" w:hAnsi="宋体"/>
                <w:bCs/>
                <w:snapToGrid w:val="0"/>
                <w:color w:val="auto"/>
                <w:kern w:val="0"/>
                <w:szCs w:val="21"/>
                <w:highlight w:val="none"/>
                <w:u w:val="none"/>
                <w:lang w:val="en-US" w:eastAsia="zh-CN"/>
              </w:rPr>
              <w:t>年</w:t>
            </w:r>
            <w:r>
              <w:rPr>
                <w:rFonts w:hint="eastAsia" w:ascii="宋体" w:hAnsi="宋体"/>
                <w:bCs/>
                <w:snapToGrid w:val="0"/>
                <w:color w:val="auto"/>
                <w:kern w:val="0"/>
                <w:szCs w:val="21"/>
                <w:highlight w:val="none"/>
                <w:u w:val="single"/>
                <w:lang w:val="en-US" w:eastAsia="zh-CN"/>
              </w:rPr>
              <w:t xml:space="preserve"> 6</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75362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F438F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6F0116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27D2FEA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tc>
      </w:tr>
      <w:tr w14:paraId="47DE0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FC87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6CB1A47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67C433F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tc>
      </w:tr>
      <w:tr w14:paraId="73349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BD7C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0AACB1B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203CE7B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tc>
      </w:tr>
      <w:tr w14:paraId="071E1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47B90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13012D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38BA02E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不允许</w:t>
            </w:r>
          </w:p>
        </w:tc>
      </w:tr>
      <w:tr w14:paraId="6EA7E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ACE58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0E6A1D5C">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的其他材料</w:t>
            </w:r>
          </w:p>
        </w:tc>
        <w:tc>
          <w:tcPr>
            <w:tcW w:w="6490" w:type="dxa"/>
            <w:vAlign w:val="center"/>
          </w:tcPr>
          <w:p w14:paraId="4EE1E47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1F3B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934F5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79D8496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0E7BB82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比选公告</w:t>
            </w:r>
            <w:r>
              <w:rPr>
                <w:rFonts w:hint="eastAsia" w:ascii="宋体" w:hAnsi="宋体" w:cs="宋体"/>
                <w:color w:val="auto"/>
                <w:kern w:val="0"/>
                <w:szCs w:val="21"/>
                <w:highlight w:val="none"/>
              </w:rPr>
              <w:t>规定的时间</w:t>
            </w:r>
            <w:r>
              <w:rPr>
                <w:rFonts w:ascii="宋体" w:hAnsi="宋体"/>
                <w:color w:val="auto"/>
                <w:kern w:val="0"/>
                <w:szCs w:val="21"/>
                <w:highlight w:val="none"/>
              </w:rPr>
              <w:t>前</w:t>
            </w:r>
            <w:r>
              <w:rPr>
                <w:rFonts w:hint="eastAsia" w:ascii="宋体" w:hAnsi="宋体"/>
                <w:color w:val="auto"/>
                <w:kern w:val="0"/>
                <w:szCs w:val="21"/>
                <w:highlight w:val="none"/>
                <w:lang w:eastAsia="zh-CN"/>
              </w:rPr>
              <w:t>提出</w:t>
            </w:r>
            <w:r>
              <w:rPr>
                <w:rFonts w:ascii="宋体" w:hAnsi="宋体"/>
                <w:color w:val="auto"/>
                <w:kern w:val="0"/>
                <w:szCs w:val="21"/>
                <w:highlight w:val="none"/>
              </w:rPr>
              <w:t>。</w:t>
            </w:r>
          </w:p>
        </w:tc>
      </w:tr>
      <w:tr w14:paraId="590F6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E6B8B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668F03D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1B013539">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lang w:eastAsia="zh-CN"/>
              </w:rPr>
              <w:t>比选人</w:t>
            </w:r>
            <w:r>
              <w:rPr>
                <w:rFonts w:hint="eastAsia" w:ascii="宋体" w:hAnsi="宋体"/>
                <w:color w:val="auto"/>
                <w:szCs w:val="21"/>
                <w:highlight w:val="none"/>
              </w:rPr>
              <w:t>应在</w:t>
            </w:r>
            <w:r>
              <w:rPr>
                <w:rFonts w:hint="eastAsia" w:ascii="宋体" w:hAnsi="宋体"/>
                <w:color w:val="auto"/>
                <w:szCs w:val="21"/>
                <w:highlight w:val="none"/>
                <w:lang w:eastAsia="zh-CN"/>
              </w:rPr>
              <w:t>比选公告</w:t>
            </w:r>
            <w:r>
              <w:rPr>
                <w:rFonts w:hint="eastAsia" w:ascii="宋体" w:hAnsi="宋体"/>
                <w:color w:val="auto"/>
                <w:szCs w:val="21"/>
                <w:highlight w:val="none"/>
              </w:rPr>
              <w:t>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lang w:eastAsia="zh-CN"/>
              </w:rPr>
              <w:t>“行采家”（www.gec123.com）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0F5C8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09FA2041">
            <w:pPr>
              <w:snapToGrid w:val="0"/>
              <w:spacing w:line="400" w:lineRule="exact"/>
              <w:jc w:val="center"/>
              <w:rPr>
                <w:rFonts w:ascii="宋体" w:hAnsi="宋体"/>
                <w:color w:val="auto"/>
                <w:kern w:val="0"/>
                <w:szCs w:val="21"/>
                <w:highlight w:val="none"/>
              </w:rPr>
            </w:pPr>
          </w:p>
        </w:tc>
        <w:tc>
          <w:tcPr>
            <w:tcW w:w="1644" w:type="dxa"/>
            <w:vAlign w:val="center"/>
          </w:tcPr>
          <w:p w14:paraId="1486F85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5DA24CF4">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eastAsia="zh-CN"/>
              </w:rPr>
              <w:t>比选公告</w:t>
            </w:r>
            <w:r>
              <w:rPr>
                <w:rFonts w:hint="eastAsia" w:ascii="宋体" w:hAnsi="宋体"/>
                <w:color w:val="auto"/>
                <w:szCs w:val="21"/>
                <w:highlight w:val="none"/>
              </w:rPr>
              <w:t>规定的投标截止时间。</w:t>
            </w:r>
          </w:p>
        </w:tc>
      </w:tr>
      <w:tr w14:paraId="56455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C2B9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076900CF">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30EBD655">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tc>
      </w:tr>
      <w:tr w14:paraId="6847C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48839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14:paraId="7D5FBB9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及澄清修改提出异议的截止时间</w:t>
            </w:r>
          </w:p>
        </w:tc>
        <w:tc>
          <w:tcPr>
            <w:tcW w:w="6490" w:type="dxa"/>
            <w:vAlign w:val="center"/>
          </w:tcPr>
          <w:p w14:paraId="0F070EE3">
            <w:pPr>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w:t>
            </w:r>
            <w:r>
              <w:rPr>
                <w:rFonts w:hint="eastAsia" w:ascii="宋体" w:hAnsi="宋体"/>
                <w:snapToGrid w:val="0"/>
                <w:color w:val="auto"/>
                <w:kern w:val="0"/>
                <w:szCs w:val="21"/>
                <w:highlight w:val="none"/>
              </w:rPr>
              <w:t>以书面形式通知</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应当自收到异议之日起3日内做出答复，</w:t>
            </w:r>
            <w:r>
              <w:rPr>
                <w:rFonts w:hint="eastAsia" w:ascii="宋体" w:hAnsi="宋体"/>
                <w:snapToGrid w:val="0"/>
                <w:color w:val="auto"/>
                <w:kern w:val="0"/>
                <w:szCs w:val="21"/>
                <w:highlight w:val="none"/>
              </w:rPr>
              <w:t>答复内容可能影响投标文件编制的，将以修改的形式于投标截止时间</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日前在</w:t>
            </w:r>
            <w:r>
              <w:rPr>
                <w:rFonts w:hint="eastAsia" w:ascii="宋体" w:hAnsi="宋体"/>
                <w:snapToGrid w:val="0"/>
                <w:color w:val="auto"/>
                <w:kern w:val="0"/>
                <w:szCs w:val="21"/>
                <w:highlight w:val="none"/>
                <w:u w:val="single"/>
                <w:lang w:eastAsia="zh-CN"/>
              </w:rPr>
              <w:t>“行采家”（www.gec123.com）</w:t>
            </w:r>
            <w:r>
              <w:rPr>
                <w:rFonts w:hint="eastAsia" w:ascii="宋体" w:hAnsi="宋体"/>
                <w:snapToGrid w:val="0"/>
                <w:color w:val="auto"/>
                <w:kern w:val="0"/>
                <w:szCs w:val="21"/>
                <w:highlight w:val="none"/>
              </w:rPr>
              <w:t>澄清修改区发布。发布时间至投标截止时间不足</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日的，须相应延后投标截止时间</w:t>
            </w:r>
            <w:r>
              <w:rPr>
                <w:rFonts w:ascii="宋体" w:hAnsi="宋体"/>
                <w:snapToGrid w:val="0"/>
                <w:color w:val="auto"/>
                <w:kern w:val="0"/>
                <w:szCs w:val="21"/>
                <w:highlight w:val="none"/>
              </w:rPr>
              <w:t>。</w:t>
            </w:r>
          </w:p>
        </w:tc>
      </w:tr>
      <w:tr w14:paraId="11FA8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53368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2931D0E9">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14:paraId="50F8736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54B0B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62DCD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774F9EF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6C45D248">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14:paraId="69A01E5D">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 w:val="28"/>
                <w:szCs w:val="28"/>
                <w:highlight w:val="none"/>
                <w:vertAlign w:val="superscript"/>
              </w:rPr>
              <w:footnoteReference w:id="0"/>
            </w:r>
            <w:r>
              <w:rPr>
                <w:rFonts w:hint="eastAsia" w:ascii="宋体" w:hAnsi="宋体" w:cs="宋体"/>
                <w:color w:val="auto"/>
                <w:szCs w:val="21"/>
                <w:highlight w:val="none"/>
              </w:rPr>
              <w:t>为依据。</w:t>
            </w:r>
          </w:p>
          <w:p w14:paraId="48BAF805">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认为该子目的价款已包括在工程量清单其他子目的单价和总价中。投标人必须按招标工程量清单填报价格。项目编码、项目名称、项目特征、计量单位、工程量必须与招标工程量清单一致。否则交由评标委员会作</w:t>
            </w:r>
            <w:r>
              <w:rPr>
                <w:rFonts w:hint="eastAsia" w:ascii="宋体" w:hAnsi="宋体"/>
                <w:color w:val="auto"/>
                <w:szCs w:val="21"/>
                <w:highlight w:val="none"/>
              </w:rPr>
              <w:t>否决投标处理。</w:t>
            </w:r>
          </w:p>
          <w:p w14:paraId="58C182B1">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投标函中的总报价必须与已标价工程量清单总报价一致。否则由评标委员会作否决投标处理。</w:t>
            </w:r>
          </w:p>
          <w:p w14:paraId="5D402469">
            <w:pPr>
              <w:pStyle w:val="2"/>
              <w:tabs>
                <w:tab w:val="left" w:pos="546"/>
                <w:tab w:val="left" w:pos="711"/>
              </w:tabs>
              <w:snapToGrid w:val="0"/>
              <w:spacing w:after="0" w:line="400" w:lineRule="exact"/>
              <w:ind w:left="6" w:leftChars="3"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5.</w:t>
            </w:r>
            <w:r>
              <w:rPr>
                <w:rFonts w:hint="eastAsia" w:ascii="宋体" w:hAnsi="宋体" w:cs="宋体"/>
                <w:color w:val="auto"/>
                <w:szCs w:val="21"/>
                <w:highlight w:val="none"/>
              </w:rPr>
              <w:t>增值税计税方法由</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依据国家税法规定选择：一般计税法</w:t>
            </w:r>
            <w:r>
              <w:rPr>
                <w:rFonts w:hint="eastAsia" w:ascii="宋体" w:hAnsi="宋体" w:cs="宋体"/>
                <w:color w:val="auto"/>
                <w:szCs w:val="21"/>
                <w:highlight w:val="none"/>
                <w:lang w:eastAsia="zh-CN"/>
              </w:rPr>
              <w:t>。</w:t>
            </w:r>
          </w:p>
          <w:p w14:paraId="18BD1B3F">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核查，除非</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以修改的形式予以更正，否则，应以工程量清单中列出的数量为准。</w:t>
            </w:r>
          </w:p>
          <w:p w14:paraId="03C39691">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在工程量清单中所列出的暂列金额、暂估价等</w:t>
            </w:r>
            <w:r>
              <w:rPr>
                <w:rFonts w:hint="eastAsia" w:ascii="宋体" w:hAnsi="宋体" w:cs="宋体"/>
                <w:color w:val="auto"/>
                <w:szCs w:val="21"/>
                <w:highlight w:val="none"/>
                <w:lang w:eastAsia="zh-CN"/>
              </w:rPr>
              <w:t>暂定金额</w:t>
            </w:r>
            <w:r>
              <w:rPr>
                <w:rFonts w:hint="eastAsia" w:ascii="宋体" w:hAnsi="宋体" w:cs="宋体"/>
                <w:color w:val="auto"/>
                <w:szCs w:val="21"/>
                <w:highlight w:val="none"/>
              </w:rPr>
              <w:t>，投标人不得修改</w:t>
            </w:r>
            <w:r>
              <w:rPr>
                <w:rFonts w:hint="eastAsia" w:ascii="宋体" w:hAnsi="宋体"/>
                <w:color w:val="auto"/>
                <w:szCs w:val="21"/>
                <w:highlight w:val="none"/>
              </w:rPr>
              <w:t>。</w:t>
            </w:r>
          </w:p>
          <w:p w14:paraId="4B35DC33">
            <w:pPr>
              <w:tabs>
                <w:tab w:val="left" w:pos="546"/>
                <w:tab w:val="left" w:pos="711"/>
              </w:tabs>
              <w:snapToGrid w:val="0"/>
              <w:spacing w:line="400" w:lineRule="exact"/>
              <w:ind w:firstLine="420" w:firstLineChars="200"/>
              <w:rPr>
                <w:rFonts w:hint="eastAsia" w:ascii="宋体" w:hAnsi="宋体" w:eastAsia="宋体"/>
                <w:color w:val="auto"/>
                <w:szCs w:val="21"/>
                <w:highlight w:val="none"/>
                <w:lang w:eastAsia="zh-CN"/>
              </w:rPr>
            </w:pPr>
            <w:r>
              <w:rPr>
                <w:rFonts w:ascii="宋体" w:hAnsi="宋体" w:cs="宋体"/>
                <w:color w:val="auto"/>
                <w:szCs w:val="21"/>
                <w:highlight w:val="none"/>
              </w:rPr>
              <w:t>8.</w:t>
            </w:r>
            <w:r>
              <w:rPr>
                <w:rFonts w:hint="eastAsia" w:ascii="宋体" w:hAnsi="宋体" w:cs="宋体"/>
                <w:color w:val="auto"/>
                <w:szCs w:val="21"/>
                <w:highlight w:val="none"/>
              </w:rPr>
              <w:t>本工程招标将设置投标总报价最高限价，投标总报价最高限价</w:t>
            </w:r>
            <w:r>
              <w:rPr>
                <w:rFonts w:hint="eastAsia" w:ascii="宋体" w:hAnsi="宋体" w:cs="宋体"/>
                <w:color w:val="auto"/>
                <w:szCs w:val="21"/>
                <w:highlight w:val="none"/>
                <w:lang w:eastAsia="zh-CN"/>
              </w:rPr>
              <w:t>为</w:t>
            </w:r>
            <w:r>
              <w:rPr>
                <w:rFonts w:hint="eastAsia" w:ascii="宋体" w:hAnsi="宋体" w:cs="宋体"/>
                <w:color w:val="auto"/>
                <w:szCs w:val="21"/>
                <w:highlight w:val="none"/>
                <w:u w:val="single"/>
                <w:lang w:val="en-US" w:eastAsia="zh-CN"/>
              </w:rPr>
              <w:t>127,726.68</w:t>
            </w:r>
            <w:r>
              <w:rPr>
                <w:rFonts w:hint="eastAsia" w:ascii="宋体" w:hAnsi="宋体" w:cs="宋体"/>
                <w:color w:val="auto"/>
                <w:szCs w:val="21"/>
                <w:highlight w:val="none"/>
                <w:lang w:val="en-US" w:eastAsia="zh-CN"/>
              </w:rPr>
              <w:t>元（大写：</w:t>
            </w:r>
            <w:r>
              <w:rPr>
                <w:rFonts w:hint="eastAsia" w:ascii="宋体" w:hAnsi="宋体" w:cs="宋体"/>
                <w:color w:val="auto"/>
                <w:szCs w:val="21"/>
                <w:highlight w:val="none"/>
                <w:u w:val="single"/>
                <w:lang w:val="en-US" w:eastAsia="zh-CN"/>
              </w:rPr>
              <w:t>壹拾贰万柒仟柒佰贰拾陆元陆角捌分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，投标人的投标总报价不得超过投标总报价最高限价，否则由评标委员会作</w:t>
            </w:r>
            <w:r>
              <w:rPr>
                <w:rFonts w:hint="eastAsia" w:ascii="宋体" w:hAnsi="宋体"/>
                <w:color w:val="auto"/>
                <w:szCs w:val="21"/>
                <w:highlight w:val="none"/>
              </w:rPr>
              <w:t>否决投标处理。</w:t>
            </w:r>
          </w:p>
          <w:p w14:paraId="0B85F8FE">
            <w:pPr>
              <w:tabs>
                <w:tab w:val="left" w:pos="546"/>
                <w:tab w:val="left" w:pos="711"/>
              </w:tabs>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本工程招标将设置全部工程量清单综合单价最高限价，全部清单综合单价最高限价</w:t>
            </w:r>
            <w:r>
              <w:rPr>
                <w:rFonts w:hint="eastAsia" w:ascii="宋体" w:hAnsi="宋体" w:cs="宋体"/>
                <w:color w:val="auto"/>
                <w:szCs w:val="21"/>
                <w:highlight w:val="none"/>
                <w:lang w:eastAsia="zh-CN"/>
              </w:rPr>
              <w:t>详见附件工程量清单</w:t>
            </w:r>
            <w:r>
              <w:rPr>
                <w:rFonts w:hint="eastAsia" w:ascii="宋体" w:hAnsi="宋体" w:cs="宋体"/>
                <w:color w:val="auto"/>
                <w:szCs w:val="21"/>
                <w:highlight w:val="none"/>
              </w:rPr>
              <w:t>，投标人的每项清单综合单价报价不得超过每项清单综合单价最高限价，否则由评标委员会作否决投标处理</w:t>
            </w:r>
            <w:r>
              <w:rPr>
                <w:rFonts w:hint="eastAsia" w:ascii="宋体" w:hAnsi="宋体" w:cs="宋体"/>
                <w:color w:val="auto"/>
                <w:szCs w:val="21"/>
                <w:highlight w:val="none"/>
                <w:lang w:eastAsia="zh-CN"/>
              </w:rPr>
              <w:t>。</w:t>
            </w:r>
          </w:p>
          <w:p w14:paraId="54383E3D">
            <w:pPr>
              <w:pStyle w:val="2"/>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14:paraId="232B588B">
            <w:pPr>
              <w:pStyle w:val="2"/>
              <w:tabs>
                <w:tab w:val="left" w:pos="546"/>
                <w:tab w:val="left" w:pos="711"/>
              </w:tabs>
              <w:snapToGrid w:val="0"/>
              <w:spacing w:after="0"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《重庆市住房和城乡建设委员会关于修订发布&lt;重庆市建设工程安全文明施工费计取及使用管理规定&gt;的通知》（渝建管〔2024〕38号）</w:t>
            </w:r>
            <w:r>
              <w:rPr>
                <w:rFonts w:hint="eastAsia" w:ascii="宋体" w:hAnsi="宋体" w:cs="宋体"/>
                <w:color w:val="auto"/>
                <w:szCs w:val="21"/>
                <w:highlight w:val="none"/>
              </w:rPr>
              <w:t>规定，安全文明施工费由安全施工费、文明施工费、环境保护费及临时设施费组成。</w:t>
            </w:r>
          </w:p>
          <w:p w14:paraId="587B163D">
            <w:pPr>
              <w:pStyle w:val="2"/>
              <w:tabs>
                <w:tab w:val="left" w:pos="546"/>
                <w:tab w:val="left" w:pos="711"/>
              </w:tabs>
              <w:snapToGrid w:val="0"/>
              <w:spacing w:after="0"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9.2</w:t>
            </w:r>
            <w:r>
              <w:rPr>
                <w:color w:val="auto"/>
                <w:sz w:val="21"/>
                <w:szCs w:val="21"/>
                <w:highlight w:val="none"/>
              </w:rPr>
              <w:t>本工程安全文明施工费由</w:t>
            </w:r>
            <w:r>
              <w:rPr>
                <w:rFonts w:hint="eastAsia"/>
                <w:color w:val="auto"/>
                <w:sz w:val="21"/>
                <w:szCs w:val="21"/>
                <w:highlight w:val="none"/>
                <w:lang w:eastAsia="zh-CN"/>
              </w:rPr>
              <w:t>比选人</w:t>
            </w:r>
            <w:r>
              <w:rPr>
                <w:color w:val="auto"/>
                <w:sz w:val="21"/>
                <w:szCs w:val="21"/>
                <w:highlight w:val="none"/>
              </w:rPr>
              <w:t>根据《建设工程工程量清单计价规范》（GB50500-2013）、《重庆市建设工程工程量清单计价规则》（CQJJGZ-2013）、</w:t>
            </w:r>
            <w:r>
              <w:rPr>
                <w:rFonts w:hint="eastAsia" w:ascii="宋体" w:hAnsi="宋体" w:cs="宋体"/>
                <w:color w:val="auto"/>
                <w:szCs w:val="21"/>
                <w:highlight w:val="none"/>
                <w:lang w:eastAsia="zh-CN"/>
              </w:rPr>
              <w:t>《重庆市住房和城乡建设委员会关于修订发布&lt;重庆市建设工程安全文明施工费计取及使用管理规定&gt;的通知》（渝建管〔2024〕38号）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w:t>
            </w:r>
            <w:r>
              <w:rPr>
                <w:rFonts w:hint="eastAsia"/>
                <w:color w:val="auto"/>
                <w:sz w:val="21"/>
                <w:szCs w:val="21"/>
                <w:highlight w:val="none"/>
                <w:lang w:val="en-US" w:eastAsia="zh-CN"/>
              </w:rPr>
              <w:t>未</w:t>
            </w:r>
            <w:r>
              <w:rPr>
                <w:color w:val="auto"/>
                <w:sz w:val="21"/>
                <w:szCs w:val="21"/>
                <w:highlight w:val="none"/>
              </w:rPr>
              <w:t>单列计算</w:t>
            </w:r>
            <w:r>
              <w:rPr>
                <w:rFonts w:hint="eastAsia"/>
                <w:color w:val="auto"/>
                <w:sz w:val="21"/>
                <w:szCs w:val="21"/>
                <w:highlight w:val="none"/>
                <w:lang w:val="en-US" w:eastAsia="zh-CN"/>
              </w:rPr>
              <w:t>,已包含在综合单价内。</w:t>
            </w:r>
          </w:p>
          <w:p w14:paraId="2F740523">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第5期</w:t>
            </w:r>
            <w:r>
              <w:rPr>
                <w:rFonts w:hint="eastAsia" w:ascii="宋体" w:hAnsi="宋体" w:cs="宋体"/>
                <w:color w:val="auto"/>
                <w:szCs w:val="21"/>
                <w:highlight w:val="none"/>
              </w:rPr>
              <w:t>《重庆工程造价信息》并结合市场行情及自身实力进行自主报价。</w:t>
            </w:r>
          </w:p>
          <w:p w14:paraId="28707CBE">
            <w:pPr>
              <w:pStyle w:val="2"/>
              <w:tabs>
                <w:tab w:val="left" w:pos="546"/>
                <w:tab w:val="left" w:pos="711"/>
              </w:tabs>
              <w:snapToGrid w:val="0"/>
              <w:spacing w:after="0" w:line="400" w:lineRule="exact"/>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不调整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w:t>
            </w:r>
          </w:p>
          <w:p w14:paraId="11D83EA2">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4A193EC4">
            <w:pPr>
              <w:pStyle w:val="2"/>
              <w:tabs>
                <w:tab w:val="left" w:pos="546"/>
                <w:tab w:val="left" w:pos="711"/>
              </w:tabs>
              <w:snapToGrid w:val="0"/>
              <w:spacing w:after="0" w:line="400" w:lineRule="exact"/>
              <w:ind w:firstLine="420" w:firstLineChars="200"/>
              <w:rPr>
                <w:rFonts w:ascii="宋体" w:hAnsi="宋体"/>
                <w:color w:val="auto"/>
                <w:szCs w:val="21"/>
                <w:highlight w:val="none"/>
              </w:rPr>
            </w:pPr>
            <w:r>
              <w:rPr>
                <w:rFonts w:hint="eastAsia" w:ascii="宋体" w:hAnsi="宋体" w:cs="宋体"/>
                <w:color w:val="auto"/>
                <w:szCs w:val="21"/>
                <w:highlight w:val="none"/>
                <w:lang w:val="en-US" w:eastAsia="zh-CN"/>
              </w:rPr>
              <w:t>13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14:paraId="7EF04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DC1C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66E042F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5357AF8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90</w:t>
            </w:r>
            <w:r>
              <w:rPr>
                <w:rFonts w:ascii="宋体" w:hAnsi="宋体"/>
                <w:color w:val="auto"/>
                <w:szCs w:val="21"/>
                <w:highlight w:val="none"/>
              </w:rPr>
              <w:t>日历天（从提交投标文件截止日起计算）</w:t>
            </w:r>
          </w:p>
        </w:tc>
      </w:tr>
      <w:tr w14:paraId="0890A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F8564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09A184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17FE7B0F">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无</w:t>
            </w:r>
          </w:p>
        </w:tc>
      </w:tr>
      <w:tr w14:paraId="25FA0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D1109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05ED88A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0B38334C">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5C0CA98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3F32D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476B2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26DFD63E">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0590955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485FD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5C8D1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0C3F18F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2B500AF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w:t>
            </w:r>
            <w:r>
              <w:rPr>
                <w:rFonts w:hint="eastAsia" w:ascii="宋体" w:hAnsi="宋体"/>
                <w:color w:val="auto"/>
                <w:szCs w:val="21"/>
                <w:highlight w:val="none"/>
                <w:lang w:eastAsia="zh-CN"/>
              </w:rPr>
              <w:t>比选文件</w:t>
            </w:r>
            <w:r>
              <w:rPr>
                <w:rFonts w:hint="eastAsia" w:ascii="宋体" w:hAnsi="宋体"/>
                <w:color w:val="auto"/>
                <w:szCs w:val="21"/>
                <w:highlight w:val="none"/>
              </w:rPr>
              <w:t>规定的位置按</w:t>
            </w:r>
            <w:r>
              <w:rPr>
                <w:rFonts w:hint="eastAsia" w:ascii="宋体" w:hAnsi="宋体"/>
                <w:color w:val="auto"/>
                <w:szCs w:val="21"/>
                <w:highlight w:val="none"/>
                <w:lang w:eastAsia="zh-CN"/>
              </w:rPr>
              <w:t>比选文件</w:t>
            </w:r>
            <w:r>
              <w:rPr>
                <w:rFonts w:hint="eastAsia" w:ascii="宋体" w:hAnsi="宋体"/>
                <w:color w:val="auto"/>
                <w:szCs w:val="21"/>
                <w:highlight w:val="none"/>
              </w:rPr>
              <w:t>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46754F8B">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6A388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1FBC7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43F5040A">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04590B58">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投标文件电子档（PDF格式）一份</w:t>
            </w:r>
          </w:p>
        </w:tc>
      </w:tr>
      <w:tr w14:paraId="35436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962E3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5675813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2B585B2D">
            <w:pPr>
              <w:snapToGrid w:val="0"/>
              <w:spacing w:line="400" w:lineRule="exact"/>
              <w:ind w:firstLine="420" w:firstLineChars="200"/>
              <w:rPr>
                <w:rFonts w:hint="default" w:ascii="宋体" w:hAnsi="宋体" w:eastAsia="宋体"/>
                <w:bCs/>
                <w:i/>
                <w:color w:val="auto"/>
                <w:szCs w:val="21"/>
                <w:highlight w:val="none"/>
                <w:lang w:val="en-US" w:eastAsia="zh-CN"/>
              </w:rPr>
            </w:pPr>
            <w:r>
              <w:rPr>
                <w:rFonts w:hint="eastAsia" w:ascii="宋体" w:hAnsi="宋体"/>
                <w:bCs/>
                <w:color w:val="auto"/>
                <w:szCs w:val="21"/>
                <w:highlight w:val="none"/>
                <w:u w:val="single"/>
                <w:lang w:val="en-US" w:eastAsia="zh-CN"/>
              </w:rPr>
              <w:t>行采家-电子竞采平台</w:t>
            </w:r>
          </w:p>
        </w:tc>
      </w:tr>
      <w:tr w14:paraId="2FF95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8BFD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781BB8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75EA0A5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42C4ED6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14:paraId="01F4DDF8">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bCs/>
                <w:color w:val="auto"/>
                <w:szCs w:val="21"/>
                <w:highlight w:val="none"/>
                <w:u w:val="single"/>
                <w:lang w:val="en-US" w:eastAsia="zh-CN"/>
              </w:rPr>
              <w:t>行采家-电子竞采平台</w:t>
            </w:r>
          </w:p>
        </w:tc>
      </w:tr>
      <w:tr w14:paraId="52CD0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137F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71737EB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3CEF06F6">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49487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9154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08DE7ECF">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7F526D9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14:paraId="478FA01E">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14:paraId="06043C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AE8B9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5C1B01A3">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061FEC0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“行采家”（www.gec123.com）</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上进行公示，公示期为3日。</w:t>
            </w:r>
          </w:p>
        </w:tc>
      </w:tr>
      <w:tr w14:paraId="79B2B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92CE6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0B928E8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7DCD86A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1.担保形式：</w:t>
            </w:r>
            <w:r>
              <w:rPr>
                <w:rFonts w:hint="eastAsia" w:ascii="宋体" w:hAnsi="宋体"/>
                <w:color w:val="auto"/>
                <w:kern w:val="0"/>
                <w:szCs w:val="21"/>
                <w:highlight w:val="none"/>
                <w:lang w:val="en-US" w:eastAsia="zh-CN"/>
              </w:rPr>
              <w:t>银行转账</w:t>
            </w:r>
            <w:r>
              <w:rPr>
                <w:rFonts w:hint="eastAsia" w:ascii="宋体" w:hAnsi="宋体"/>
                <w:color w:val="auto"/>
                <w:kern w:val="0"/>
                <w:szCs w:val="21"/>
                <w:highlight w:val="none"/>
              </w:rPr>
              <w:t>。</w:t>
            </w:r>
          </w:p>
          <w:p w14:paraId="3E9C98F9">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2.金额：</w:t>
            </w:r>
            <w:r>
              <w:rPr>
                <w:rFonts w:hint="eastAsia" w:ascii="宋体" w:hAnsi="宋体"/>
                <w:color w:val="auto"/>
                <w:kern w:val="0"/>
                <w:szCs w:val="21"/>
                <w:highlight w:val="none"/>
                <w:lang w:eastAsia="zh-CN"/>
              </w:rPr>
              <w:t>履约保证金为</w:t>
            </w:r>
            <w:r>
              <w:rPr>
                <w:rFonts w:hint="eastAsia" w:ascii="宋体" w:hAnsi="宋体"/>
                <w:color w:val="auto"/>
                <w:kern w:val="0"/>
                <w:szCs w:val="21"/>
                <w:highlight w:val="none"/>
                <w:lang w:val="en-US" w:eastAsia="zh-CN"/>
              </w:rPr>
              <w:t>中标金额的10%</w:t>
            </w:r>
            <w:r>
              <w:rPr>
                <w:rFonts w:hint="eastAsia" w:ascii="宋体" w:hAnsi="宋体"/>
                <w:color w:val="auto"/>
                <w:kern w:val="0"/>
                <w:szCs w:val="21"/>
                <w:highlight w:val="none"/>
                <w:lang w:eastAsia="zh-CN"/>
              </w:rPr>
              <w:t>，农民工工资保证金为中标金额的</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w:t>
            </w:r>
          </w:p>
          <w:p w14:paraId="43F19CAE">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3.递交时间：中标人应在收到中标通知书后</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日内，施工合同签订前提交，若未按时提交，则视为中标人放弃中标，其投标保证金不予退还，给比选人造成的损失超过投标保证金数额的，中标人还应当对超过部分予以赔偿。</w:t>
            </w:r>
          </w:p>
          <w:p w14:paraId="42B06BE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4.履约保证金</w:t>
            </w:r>
            <w:r>
              <w:rPr>
                <w:rFonts w:hint="eastAsia" w:ascii="宋体" w:hAnsi="宋体"/>
                <w:color w:val="auto"/>
                <w:kern w:val="0"/>
                <w:szCs w:val="21"/>
                <w:highlight w:val="none"/>
                <w:lang w:eastAsia="zh-CN"/>
              </w:rPr>
              <w:t>和农民工工资保证金</w:t>
            </w:r>
            <w:r>
              <w:rPr>
                <w:rFonts w:hint="eastAsia" w:ascii="宋体" w:hAnsi="宋体"/>
                <w:color w:val="auto"/>
                <w:kern w:val="0"/>
                <w:szCs w:val="21"/>
                <w:highlight w:val="none"/>
              </w:rPr>
              <w:t>的退还：工程竣工验收合格后28日内一次性返还（不计息）。</w:t>
            </w:r>
          </w:p>
        </w:tc>
      </w:tr>
      <w:tr w14:paraId="7F3A0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7731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74938A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2E530BA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6D49092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649DEBA7">
            <w:pPr>
              <w:widowControl/>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5A8341DE">
            <w:pPr>
              <w:widowControl/>
              <w:spacing w:line="400" w:lineRule="exact"/>
              <w:ind w:firstLine="420" w:firstLineChars="200"/>
              <w:rPr>
                <w:rFonts w:hint="eastAsia"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600BAEEC">
            <w:pPr>
              <w:widowControl/>
              <w:spacing w:after="62" w:afterLines="20"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注：本款只适用于首次招标</w:t>
            </w:r>
            <w:r>
              <w:rPr>
                <w:rFonts w:hint="eastAsia" w:ascii="宋体" w:hAnsi="宋体"/>
                <w:color w:val="auto"/>
                <w:kern w:val="0"/>
                <w:szCs w:val="21"/>
                <w:highlight w:val="none"/>
                <w:lang w:eastAsia="zh-CN"/>
              </w:rPr>
              <w:t>。</w:t>
            </w:r>
          </w:p>
        </w:tc>
      </w:tr>
      <w:tr w14:paraId="2081A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813E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12D0EF08">
            <w:pPr>
              <w:snapToGrid w:val="0"/>
              <w:spacing w:line="400" w:lineRule="exact"/>
              <w:jc w:val="center"/>
              <w:rPr>
                <w:color w:val="auto"/>
                <w:highlight w:val="none"/>
              </w:rPr>
            </w:pPr>
            <w:bookmarkStart w:id="98" w:name="_Toc509218709"/>
            <w:bookmarkStart w:id="99" w:name="_Toc430530434"/>
            <w:bookmarkStart w:id="100" w:name="_Toc16930431"/>
            <w:bookmarkStart w:id="101" w:name="_Toc13210670"/>
            <w:bookmarkStart w:id="102" w:name="_Toc536628250"/>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98"/>
            <w:bookmarkEnd w:id="99"/>
            <w:bookmarkEnd w:id="100"/>
            <w:bookmarkEnd w:id="101"/>
            <w:bookmarkEnd w:id="102"/>
          </w:p>
        </w:tc>
        <w:tc>
          <w:tcPr>
            <w:tcW w:w="6490" w:type="dxa"/>
            <w:vAlign w:val="center"/>
          </w:tcPr>
          <w:p w14:paraId="1840D122">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7DF60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9BCD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2B66D3D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0D6B3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E572F0">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color w:val="auto"/>
                <w:kern w:val="0"/>
                <w:szCs w:val="21"/>
                <w:highlight w:val="none"/>
                <w:lang w:val="en-US"/>
              </w:rPr>
            </w:pPr>
            <w:r>
              <w:rPr>
                <w:rFonts w:hint="eastAsia" w:ascii="宋体" w:hAnsi="宋体" w:eastAsia="宋体" w:cs="宋体"/>
                <w:color w:val="auto"/>
                <w:sz w:val="21"/>
                <w:szCs w:val="21"/>
                <w:highlight w:val="none"/>
                <w:lang w:eastAsia="zh-CN"/>
              </w:rPr>
              <w:t>10.</w:t>
            </w:r>
            <w:r>
              <w:rPr>
                <w:rFonts w:hint="eastAsia" w:ascii="宋体" w:hAnsi="宋体" w:cs="宋体"/>
                <w:color w:val="auto"/>
                <w:sz w:val="21"/>
                <w:szCs w:val="21"/>
                <w:highlight w:val="none"/>
                <w:lang w:val="en-US" w:eastAsia="zh-CN"/>
              </w:rPr>
              <w:t>1</w:t>
            </w:r>
          </w:p>
        </w:tc>
        <w:tc>
          <w:tcPr>
            <w:tcW w:w="1644" w:type="dxa"/>
            <w:vAlign w:val="center"/>
          </w:tcPr>
          <w:p w14:paraId="5033B242">
            <w:pPr>
              <w:widowControl/>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lang w:eastAsia="zh-CN"/>
              </w:rPr>
              <w:t>工程款支付</w:t>
            </w:r>
          </w:p>
        </w:tc>
        <w:tc>
          <w:tcPr>
            <w:tcW w:w="6490" w:type="dxa"/>
            <w:vAlign w:val="center"/>
          </w:tcPr>
          <w:p w14:paraId="3B8E266F">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本项目无预付款，工程竣工验收合格且待财政拨款后支付至合同金额的60%，完成竣工结算审核并出具结算审核报告后一年内支付至审定金额的97%，余审定金额3%的工程款作为工程质保金，在工程缺陷责任期结束后一次性支付（缺陷责任期1年，质保金不计息）。</w:t>
            </w:r>
          </w:p>
        </w:tc>
      </w:tr>
      <w:tr w14:paraId="59852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55C0C4">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eastAsia="宋体"/>
                <w:color w:val="auto"/>
                <w:kern w:val="0"/>
                <w:szCs w:val="21"/>
                <w:highlight w:val="none"/>
                <w:lang w:val="en-US" w:eastAsia="zh-CN"/>
              </w:rPr>
            </w:pPr>
            <w:r>
              <w:rPr>
                <w:rFonts w:hint="eastAsia" w:ascii="宋体" w:hAnsi="宋体" w:eastAsia="宋体" w:cs="宋体"/>
                <w:color w:val="auto"/>
                <w:sz w:val="21"/>
                <w:szCs w:val="21"/>
                <w:highlight w:val="none"/>
                <w:lang w:eastAsia="zh-CN"/>
              </w:rPr>
              <w:t>10.</w:t>
            </w:r>
            <w:r>
              <w:rPr>
                <w:rFonts w:hint="eastAsia" w:ascii="宋体" w:hAnsi="宋体" w:cs="宋体"/>
                <w:color w:val="auto"/>
                <w:sz w:val="21"/>
                <w:szCs w:val="21"/>
                <w:highlight w:val="none"/>
                <w:lang w:val="en-US" w:eastAsia="zh-CN"/>
              </w:rPr>
              <w:t>2</w:t>
            </w:r>
          </w:p>
        </w:tc>
        <w:tc>
          <w:tcPr>
            <w:tcW w:w="1644" w:type="dxa"/>
            <w:vAlign w:val="center"/>
          </w:tcPr>
          <w:p w14:paraId="02FAB0D2">
            <w:pPr>
              <w:widowControl/>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lang w:eastAsia="zh-CN"/>
              </w:rPr>
              <w:t>比选代理服务费</w:t>
            </w:r>
          </w:p>
        </w:tc>
        <w:tc>
          <w:tcPr>
            <w:tcW w:w="6490" w:type="dxa"/>
            <w:vAlign w:val="center"/>
          </w:tcPr>
          <w:p w14:paraId="22632B6B">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本项目比选代理服务费金额为</w:t>
            </w:r>
            <w:r>
              <w:rPr>
                <w:rFonts w:hint="eastAsia" w:ascii="宋体" w:hAnsi="宋体"/>
                <w:color w:val="auto"/>
                <w:kern w:val="0"/>
                <w:szCs w:val="21"/>
                <w:highlight w:val="none"/>
                <w:lang w:val="en-US" w:eastAsia="zh-CN"/>
              </w:rPr>
              <w:t>3000</w:t>
            </w:r>
            <w:r>
              <w:rPr>
                <w:rFonts w:hint="eastAsia" w:ascii="宋体" w:hAnsi="宋体"/>
                <w:color w:val="auto"/>
                <w:kern w:val="0"/>
                <w:szCs w:val="21"/>
                <w:highlight w:val="none"/>
                <w:lang w:eastAsia="zh-CN"/>
              </w:rPr>
              <w:t>元，由中标人在领中标通知书时一次性支付给比选代理机构。</w:t>
            </w:r>
          </w:p>
        </w:tc>
      </w:tr>
    </w:tbl>
    <w:p w14:paraId="7F7DDAB6">
      <w:pPr>
        <w:pStyle w:val="5"/>
        <w:spacing w:before="0" w:after="0" w:line="360" w:lineRule="auto"/>
        <w:rPr>
          <w:rFonts w:ascii="宋体" w:hAnsi="宋体" w:eastAsia="宋体"/>
          <w:b w:val="0"/>
          <w:snapToGrid w:val="0"/>
          <w:color w:val="auto"/>
          <w:highlight w:val="none"/>
        </w:rPr>
      </w:pPr>
      <w:bookmarkStart w:id="103" w:name="_Toc509218710"/>
      <w:bookmarkStart w:id="104" w:name="_Toc224103317"/>
      <w:bookmarkStart w:id="105" w:name="_Toc287620685"/>
      <w:bookmarkStart w:id="106" w:name="_Toc200513126"/>
      <w:bookmarkStart w:id="107" w:name="_Toc277082552"/>
      <w:bookmarkStart w:id="108" w:name="_Toc287607746"/>
      <w:bookmarkStart w:id="109" w:name="_Toc10749"/>
      <w:bookmarkStart w:id="110" w:name="_Toc840"/>
      <w:bookmarkStart w:id="111" w:name="_Toc430530435"/>
      <w:r>
        <w:rPr>
          <w:rFonts w:ascii="宋体" w:hAnsi="宋体" w:eastAsia="宋体"/>
          <w:b w:val="0"/>
          <w:snapToGrid w:val="0"/>
          <w:color w:val="auto"/>
          <w:highlight w:val="none"/>
        </w:rPr>
        <w:t>1. 总则</w:t>
      </w:r>
      <w:bookmarkEnd w:id="103"/>
      <w:bookmarkEnd w:id="104"/>
      <w:bookmarkEnd w:id="105"/>
      <w:bookmarkEnd w:id="106"/>
      <w:bookmarkEnd w:id="107"/>
      <w:bookmarkEnd w:id="108"/>
      <w:bookmarkEnd w:id="109"/>
      <w:bookmarkEnd w:id="110"/>
      <w:bookmarkEnd w:id="111"/>
    </w:p>
    <w:p w14:paraId="5A66D4E3">
      <w:pPr>
        <w:pStyle w:val="6"/>
        <w:snapToGrid w:val="0"/>
        <w:spacing w:before="0" w:after="0" w:line="360" w:lineRule="auto"/>
        <w:rPr>
          <w:rFonts w:ascii="宋体" w:hAnsi="宋体"/>
          <w:b w:val="0"/>
          <w:snapToGrid w:val="0"/>
          <w:color w:val="auto"/>
          <w:sz w:val="24"/>
          <w:szCs w:val="24"/>
          <w:highlight w:val="none"/>
        </w:rPr>
      </w:pPr>
      <w:bookmarkStart w:id="112" w:name="_Toc200513127"/>
      <w:bookmarkStart w:id="113" w:name="_Toc32232"/>
      <w:bookmarkStart w:id="114" w:name="_Toc509218711"/>
      <w:bookmarkStart w:id="115" w:name="_Toc287607747"/>
      <w:bookmarkStart w:id="116" w:name="_Toc430530436"/>
      <w:bookmarkStart w:id="117" w:name="_Toc277082553"/>
      <w:bookmarkStart w:id="118" w:name="_Toc224103318"/>
      <w:bookmarkStart w:id="119" w:name="_Toc8830"/>
      <w:bookmarkStart w:id="120" w:name="_Toc287620686"/>
      <w:r>
        <w:rPr>
          <w:rFonts w:ascii="宋体" w:hAnsi="宋体"/>
          <w:b w:val="0"/>
          <w:snapToGrid w:val="0"/>
          <w:color w:val="auto"/>
          <w:sz w:val="24"/>
          <w:szCs w:val="24"/>
          <w:highlight w:val="none"/>
        </w:rPr>
        <w:t>1.1  项目概况</w:t>
      </w:r>
      <w:bookmarkEnd w:id="112"/>
      <w:bookmarkEnd w:id="113"/>
      <w:bookmarkEnd w:id="114"/>
      <w:bookmarkEnd w:id="115"/>
      <w:bookmarkEnd w:id="116"/>
      <w:bookmarkEnd w:id="117"/>
      <w:bookmarkEnd w:id="118"/>
      <w:bookmarkEnd w:id="119"/>
      <w:bookmarkEnd w:id="120"/>
    </w:p>
    <w:p w14:paraId="12A79197">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2952E4E6">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lang w:eastAsia="zh-CN"/>
        </w:rPr>
        <w:t>比选项目比选人</w:t>
      </w:r>
      <w:r>
        <w:rPr>
          <w:rFonts w:ascii="宋体" w:hAnsi="宋体"/>
          <w:snapToGrid w:val="0"/>
          <w:color w:val="auto"/>
          <w:kern w:val="0"/>
          <w:szCs w:val="21"/>
          <w:highlight w:val="none"/>
        </w:rPr>
        <w:t>：见投标人须知前附表。</w:t>
      </w:r>
    </w:p>
    <w:p w14:paraId="24A03A3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lang w:eastAsia="zh-CN"/>
        </w:rPr>
        <w:t>比选项目比选代理机构</w:t>
      </w:r>
      <w:r>
        <w:rPr>
          <w:rFonts w:ascii="宋体" w:hAnsi="宋体"/>
          <w:snapToGrid w:val="0"/>
          <w:color w:val="auto"/>
          <w:kern w:val="0"/>
          <w:szCs w:val="21"/>
          <w:highlight w:val="none"/>
        </w:rPr>
        <w:t>：见投标人须知前附表。</w:t>
      </w:r>
    </w:p>
    <w:p w14:paraId="66BEBD9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名称：见投标人须知前附表。</w:t>
      </w:r>
    </w:p>
    <w:p w14:paraId="1A93FA1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建设地点：见投标人须知前附表。</w:t>
      </w:r>
    </w:p>
    <w:p w14:paraId="0EBCFAF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建设规模：见投标人须知前附表。</w:t>
      </w:r>
    </w:p>
    <w:p w14:paraId="2055512B">
      <w:pPr>
        <w:pStyle w:val="6"/>
        <w:snapToGrid w:val="0"/>
        <w:spacing w:before="0" w:after="0" w:line="360" w:lineRule="auto"/>
        <w:rPr>
          <w:rFonts w:ascii="宋体" w:hAnsi="宋体"/>
          <w:b w:val="0"/>
          <w:snapToGrid w:val="0"/>
          <w:color w:val="auto"/>
          <w:sz w:val="24"/>
          <w:szCs w:val="24"/>
          <w:highlight w:val="none"/>
        </w:rPr>
      </w:pPr>
      <w:bookmarkStart w:id="121" w:name="_Toc224103319"/>
      <w:bookmarkStart w:id="122" w:name="_Toc200513128"/>
      <w:bookmarkStart w:id="123" w:name="_Toc21567"/>
      <w:bookmarkStart w:id="124" w:name="_Toc277082554"/>
      <w:bookmarkStart w:id="125" w:name="_Toc287607748"/>
      <w:bookmarkStart w:id="126" w:name="_Toc287620687"/>
      <w:bookmarkStart w:id="127" w:name="_Toc509218712"/>
      <w:bookmarkStart w:id="128" w:name="_Toc7680"/>
      <w:bookmarkStart w:id="129" w:name="_Toc430530437"/>
      <w:r>
        <w:rPr>
          <w:rFonts w:ascii="宋体" w:hAnsi="宋体"/>
          <w:b w:val="0"/>
          <w:snapToGrid w:val="0"/>
          <w:color w:val="auto"/>
          <w:sz w:val="24"/>
          <w:szCs w:val="24"/>
          <w:highlight w:val="none"/>
        </w:rPr>
        <w:t>1.2  资金来源和落实情况</w:t>
      </w:r>
      <w:bookmarkEnd w:id="121"/>
      <w:bookmarkEnd w:id="122"/>
      <w:bookmarkEnd w:id="123"/>
      <w:bookmarkEnd w:id="124"/>
      <w:bookmarkEnd w:id="125"/>
      <w:bookmarkEnd w:id="126"/>
      <w:bookmarkEnd w:id="127"/>
      <w:bookmarkEnd w:id="128"/>
      <w:bookmarkEnd w:id="129"/>
    </w:p>
    <w:p w14:paraId="36A2E21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的资金来源：见投标人须知前附表。</w:t>
      </w:r>
    </w:p>
    <w:p w14:paraId="320FA5A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的出资比例：见投标人须知前附表。</w:t>
      </w:r>
    </w:p>
    <w:p w14:paraId="31BCCA5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的资金落实情况：见投标人须知前附表。</w:t>
      </w:r>
    </w:p>
    <w:p w14:paraId="33B68AD4">
      <w:pPr>
        <w:pStyle w:val="6"/>
        <w:snapToGrid w:val="0"/>
        <w:spacing w:before="0" w:after="0" w:line="360" w:lineRule="auto"/>
        <w:rPr>
          <w:rFonts w:ascii="宋体" w:hAnsi="宋体"/>
          <w:b w:val="0"/>
          <w:snapToGrid w:val="0"/>
          <w:color w:val="auto"/>
          <w:sz w:val="24"/>
          <w:szCs w:val="24"/>
          <w:highlight w:val="none"/>
        </w:rPr>
      </w:pPr>
      <w:bookmarkStart w:id="130" w:name="_Toc224103320"/>
      <w:bookmarkStart w:id="131" w:name="_Toc4104"/>
      <w:bookmarkStart w:id="132" w:name="_Toc430530438"/>
      <w:bookmarkStart w:id="133" w:name="_Toc287607749"/>
      <w:bookmarkStart w:id="134" w:name="_Toc287620688"/>
      <w:bookmarkStart w:id="135" w:name="_Toc1879"/>
      <w:bookmarkStart w:id="136" w:name="_Toc509218713"/>
      <w:bookmarkStart w:id="137" w:name="_Toc277082555"/>
      <w:bookmarkStart w:id="138" w:name="_Toc200513129"/>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范围、计划工期和质量要求</w:t>
      </w:r>
      <w:bookmarkEnd w:id="130"/>
      <w:bookmarkEnd w:id="131"/>
      <w:bookmarkEnd w:id="132"/>
      <w:bookmarkEnd w:id="133"/>
      <w:bookmarkEnd w:id="134"/>
      <w:bookmarkEnd w:id="135"/>
      <w:bookmarkEnd w:id="136"/>
      <w:bookmarkEnd w:id="137"/>
      <w:bookmarkEnd w:id="138"/>
    </w:p>
    <w:p w14:paraId="58103A5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范围：见投标人须知前附表。</w:t>
      </w:r>
    </w:p>
    <w:p w14:paraId="468A5C8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14:paraId="0433347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14:paraId="163E5B7A">
      <w:pPr>
        <w:pStyle w:val="6"/>
        <w:snapToGrid w:val="0"/>
        <w:spacing w:before="0" w:after="0" w:line="360" w:lineRule="auto"/>
        <w:rPr>
          <w:rFonts w:ascii="宋体" w:hAnsi="宋体"/>
          <w:b w:val="0"/>
          <w:snapToGrid w:val="0"/>
          <w:color w:val="auto"/>
          <w:sz w:val="24"/>
          <w:szCs w:val="24"/>
          <w:highlight w:val="none"/>
        </w:rPr>
      </w:pPr>
      <w:bookmarkStart w:id="139" w:name="_Toc22249"/>
      <w:bookmarkStart w:id="140" w:name="_Toc277082557"/>
      <w:bookmarkStart w:id="141" w:name="_Toc224103322"/>
      <w:bookmarkStart w:id="142" w:name="_Toc509218715"/>
      <w:bookmarkStart w:id="143" w:name="_Toc287620690"/>
      <w:bookmarkStart w:id="144" w:name="_Toc430530440"/>
      <w:bookmarkStart w:id="145" w:name="_Toc200513131"/>
      <w:bookmarkStart w:id="146" w:name="_Toc1894"/>
      <w:bookmarkStart w:id="147" w:name="_Toc287607751"/>
      <w:r>
        <w:rPr>
          <w:rFonts w:ascii="宋体" w:hAnsi="宋体"/>
          <w:b w:val="0"/>
          <w:snapToGrid w:val="0"/>
          <w:color w:val="auto"/>
          <w:sz w:val="24"/>
          <w:szCs w:val="24"/>
          <w:highlight w:val="none"/>
        </w:rPr>
        <w:t>1.4  投标人资格要求</w:t>
      </w:r>
      <w:bookmarkEnd w:id="139"/>
      <w:bookmarkEnd w:id="140"/>
      <w:bookmarkEnd w:id="141"/>
      <w:bookmarkEnd w:id="142"/>
      <w:bookmarkEnd w:id="143"/>
      <w:bookmarkEnd w:id="144"/>
      <w:bookmarkEnd w:id="145"/>
      <w:bookmarkEnd w:id="146"/>
      <w:bookmarkEnd w:id="147"/>
    </w:p>
    <w:p w14:paraId="6FAC4E6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14:paraId="3B4209B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14:paraId="0B344AC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71E10E2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6D6605E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）其他要求：见投标人须知前附表。</w:t>
      </w:r>
    </w:p>
    <w:p w14:paraId="19BA50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14:paraId="0B87DFCF">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lang w:val="en-US" w:eastAsia="zh-CN"/>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不接受联合体投标</w:t>
      </w:r>
    </w:p>
    <w:p w14:paraId="3A28622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727D037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存在利害关系可能影响招标公正性的法人、其他组织或者个人；</w:t>
      </w:r>
    </w:p>
    <w:p w14:paraId="3713939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053E9F6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3939CF7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5A4E6C8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0A961D4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同为一个法定代表人的；</w:t>
      </w:r>
    </w:p>
    <w:p w14:paraId="3D55547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lang w:eastAsia="zh-CN"/>
        </w:rPr>
        <w:t>比选代理机构</w:t>
      </w:r>
      <w:r>
        <w:rPr>
          <w:rFonts w:hint="eastAsia" w:ascii="宋体" w:hAnsi="宋体"/>
          <w:snapToGrid w:val="0"/>
          <w:color w:val="auto"/>
          <w:kern w:val="0"/>
          <w:szCs w:val="21"/>
          <w:highlight w:val="none"/>
          <w:lang w:val="en-US" w:eastAsia="zh-CN"/>
        </w:rPr>
        <w:t>存在</w:t>
      </w:r>
      <w:r>
        <w:rPr>
          <w:rFonts w:ascii="宋体" w:hAnsi="宋体"/>
          <w:snapToGrid w:val="0"/>
          <w:color w:val="auto"/>
          <w:kern w:val="0"/>
          <w:szCs w:val="21"/>
          <w:highlight w:val="none"/>
        </w:rPr>
        <w:t>控股或参股的；</w:t>
      </w:r>
    </w:p>
    <w:p w14:paraId="473C246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lang w:eastAsia="zh-CN"/>
        </w:rPr>
        <w:t>比选代理机构</w:t>
      </w:r>
      <w:r>
        <w:rPr>
          <w:rFonts w:hint="default" w:ascii="宋体" w:hAnsi="宋体"/>
          <w:snapToGrid w:val="0"/>
          <w:color w:val="auto"/>
          <w:kern w:val="0"/>
          <w:szCs w:val="21"/>
          <w:highlight w:val="none"/>
          <w:lang w:val="en-US"/>
        </w:rPr>
        <w:t>相互</w:t>
      </w:r>
      <w:r>
        <w:rPr>
          <w:rFonts w:ascii="宋体" w:hAnsi="宋体"/>
          <w:snapToGrid w:val="0"/>
          <w:color w:val="auto"/>
          <w:kern w:val="0"/>
          <w:szCs w:val="21"/>
          <w:highlight w:val="none"/>
        </w:rPr>
        <w:t>任职或工作的；</w:t>
      </w:r>
    </w:p>
    <w:p w14:paraId="17A9243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（9）被责令停业的；</w:t>
      </w:r>
    </w:p>
    <w:p w14:paraId="482F4EE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563A24A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（11）财产被接管或冻结的；</w:t>
      </w:r>
    </w:p>
    <w:p w14:paraId="564EA9AE">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2CABF7FA">
      <w:pPr>
        <w:pStyle w:val="6"/>
        <w:snapToGrid w:val="0"/>
        <w:spacing w:before="0" w:after="0" w:line="360" w:lineRule="auto"/>
        <w:rPr>
          <w:rFonts w:ascii="宋体" w:hAnsi="宋体"/>
          <w:b w:val="0"/>
          <w:snapToGrid w:val="0"/>
          <w:color w:val="auto"/>
          <w:sz w:val="24"/>
          <w:szCs w:val="24"/>
          <w:highlight w:val="none"/>
        </w:rPr>
      </w:pPr>
      <w:bookmarkStart w:id="148" w:name="_Toc277082558"/>
      <w:bookmarkStart w:id="149" w:name="_Toc287620691"/>
      <w:bookmarkStart w:id="150" w:name="_Toc20662"/>
      <w:bookmarkStart w:id="151" w:name="_Toc200513132"/>
      <w:bookmarkStart w:id="152" w:name="_Toc287607752"/>
      <w:bookmarkStart w:id="153" w:name="_Toc430530441"/>
      <w:bookmarkStart w:id="154" w:name="_Toc10211"/>
      <w:bookmarkStart w:id="155" w:name="_Toc509218716"/>
      <w:bookmarkStart w:id="156" w:name="_Toc224103323"/>
      <w:r>
        <w:rPr>
          <w:rFonts w:ascii="宋体" w:hAnsi="宋体"/>
          <w:b w:val="0"/>
          <w:snapToGrid w:val="0"/>
          <w:color w:val="auto"/>
          <w:sz w:val="24"/>
          <w:szCs w:val="24"/>
          <w:highlight w:val="none"/>
        </w:rPr>
        <w:t>1.5  费用承担</w:t>
      </w:r>
      <w:bookmarkEnd w:id="148"/>
      <w:bookmarkEnd w:id="149"/>
      <w:bookmarkEnd w:id="150"/>
      <w:bookmarkEnd w:id="151"/>
      <w:bookmarkEnd w:id="152"/>
      <w:bookmarkEnd w:id="153"/>
      <w:bookmarkEnd w:id="154"/>
      <w:bookmarkEnd w:id="155"/>
      <w:bookmarkEnd w:id="156"/>
    </w:p>
    <w:p w14:paraId="0D06E7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68AA62E2">
      <w:pPr>
        <w:pStyle w:val="6"/>
        <w:snapToGrid w:val="0"/>
        <w:spacing w:before="0" w:after="0" w:line="360" w:lineRule="auto"/>
        <w:rPr>
          <w:rFonts w:ascii="宋体" w:hAnsi="宋体"/>
          <w:b w:val="0"/>
          <w:snapToGrid w:val="0"/>
          <w:color w:val="auto"/>
          <w:sz w:val="24"/>
          <w:szCs w:val="24"/>
          <w:highlight w:val="none"/>
        </w:rPr>
      </w:pPr>
      <w:bookmarkStart w:id="157" w:name="_Toc287620692"/>
      <w:bookmarkStart w:id="158" w:name="_Toc277082559"/>
      <w:bookmarkStart w:id="159" w:name="_Toc287607753"/>
      <w:bookmarkStart w:id="160" w:name="_Toc3737"/>
      <w:bookmarkStart w:id="161" w:name="_Toc200513133"/>
      <w:bookmarkStart w:id="162" w:name="_Toc430530442"/>
      <w:bookmarkStart w:id="163" w:name="_Toc26130"/>
      <w:bookmarkStart w:id="164" w:name="_Toc224103324"/>
      <w:bookmarkStart w:id="165" w:name="_Toc509218717"/>
      <w:r>
        <w:rPr>
          <w:rFonts w:ascii="宋体" w:hAnsi="宋体"/>
          <w:b w:val="0"/>
          <w:snapToGrid w:val="0"/>
          <w:color w:val="auto"/>
          <w:sz w:val="24"/>
          <w:szCs w:val="24"/>
          <w:highlight w:val="none"/>
        </w:rPr>
        <w:t>1.6  保密</w:t>
      </w:r>
      <w:bookmarkEnd w:id="157"/>
      <w:bookmarkEnd w:id="158"/>
      <w:bookmarkEnd w:id="159"/>
      <w:bookmarkEnd w:id="160"/>
      <w:bookmarkEnd w:id="161"/>
      <w:bookmarkEnd w:id="162"/>
      <w:bookmarkEnd w:id="163"/>
      <w:bookmarkEnd w:id="164"/>
      <w:bookmarkEnd w:id="165"/>
    </w:p>
    <w:p w14:paraId="0346966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和投标文件中的商业和技术等秘密保密，违者应对由此造成的后果承担法律责任。</w:t>
      </w:r>
    </w:p>
    <w:p w14:paraId="41761626">
      <w:pPr>
        <w:pStyle w:val="6"/>
        <w:snapToGrid w:val="0"/>
        <w:spacing w:before="0" w:after="0" w:line="360" w:lineRule="auto"/>
        <w:rPr>
          <w:rFonts w:ascii="宋体" w:hAnsi="宋体"/>
          <w:b w:val="0"/>
          <w:snapToGrid w:val="0"/>
          <w:color w:val="auto"/>
          <w:sz w:val="24"/>
          <w:szCs w:val="24"/>
          <w:highlight w:val="none"/>
        </w:rPr>
      </w:pPr>
      <w:bookmarkStart w:id="166" w:name="_Toc224103325"/>
      <w:bookmarkStart w:id="167" w:name="_Toc1222"/>
      <w:bookmarkStart w:id="168" w:name="_Toc17273"/>
      <w:bookmarkStart w:id="169" w:name="_Toc200513134"/>
      <w:bookmarkStart w:id="170" w:name="_Toc277082560"/>
      <w:bookmarkStart w:id="171" w:name="_Toc287620693"/>
      <w:bookmarkStart w:id="172" w:name="_Toc509218718"/>
      <w:bookmarkStart w:id="173" w:name="_Toc287607754"/>
      <w:bookmarkStart w:id="174" w:name="_Toc430530443"/>
      <w:r>
        <w:rPr>
          <w:rFonts w:ascii="宋体" w:hAnsi="宋体"/>
          <w:b w:val="0"/>
          <w:snapToGrid w:val="0"/>
          <w:color w:val="auto"/>
          <w:sz w:val="24"/>
          <w:szCs w:val="24"/>
          <w:highlight w:val="none"/>
        </w:rPr>
        <w:t>1.7  语言文字</w:t>
      </w:r>
      <w:bookmarkEnd w:id="166"/>
      <w:bookmarkEnd w:id="167"/>
      <w:bookmarkEnd w:id="168"/>
      <w:bookmarkEnd w:id="169"/>
      <w:bookmarkEnd w:id="170"/>
      <w:bookmarkEnd w:id="171"/>
      <w:bookmarkEnd w:id="172"/>
      <w:bookmarkEnd w:id="173"/>
      <w:bookmarkEnd w:id="174"/>
    </w:p>
    <w:p w14:paraId="4F73F4D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4F0FE6D7">
      <w:pPr>
        <w:pStyle w:val="6"/>
        <w:snapToGrid w:val="0"/>
        <w:spacing w:before="0" w:after="0" w:line="360" w:lineRule="auto"/>
        <w:rPr>
          <w:rFonts w:ascii="宋体" w:hAnsi="宋体"/>
          <w:b w:val="0"/>
          <w:snapToGrid w:val="0"/>
          <w:color w:val="auto"/>
          <w:sz w:val="24"/>
          <w:szCs w:val="24"/>
          <w:highlight w:val="none"/>
        </w:rPr>
      </w:pPr>
      <w:bookmarkStart w:id="175" w:name="_Toc18435"/>
      <w:bookmarkStart w:id="176" w:name="_Toc509218719"/>
      <w:bookmarkStart w:id="177" w:name="_Toc287620694"/>
      <w:bookmarkStart w:id="178" w:name="_Toc430530444"/>
      <w:bookmarkStart w:id="179" w:name="_Toc277082561"/>
      <w:bookmarkStart w:id="180" w:name="_Toc224103326"/>
      <w:bookmarkStart w:id="181" w:name="_Toc287607755"/>
      <w:bookmarkStart w:id="182" w:name="_Toc200513135"/>
      <w:bookmarkStart w:id="183" w:name="_Toc13374"/>
      <w:r>
        <w:rPr>
          <w:rFonts w:ascii="宋体" w:hAnsi="宋体"/>
          <w:b w:val="0"/>
          <w:snapToGrid w:val="0"/>
          <w:color w:val="auto"/>
          <w:sz w:val="24"/>
          <w:szCs w:val="24"/>
          <w:highlight w:val="none"/>
        </w:rPr>
        <w:t>1.8  计量单位</w:t>
      </w:r>
      <w:bookmarkEnd w:id="175"/>
      <w:bookmarkEnd w:id="176"/>
      <w:bookmarkEnd w:id="177"/>
      <w:bookmarkEnd w:id="178"/>
      <w:bookmarkEnd w:id="179"/>
      <w:bookmarkEnd w:id="180"/>
      <w:bookmarkEnd w:id="181"/>
      <w:bookmarkEnd w:id="182"/>
      <w:bookmarkEnd w:id="183"/>
    </w:p>
    <w:p w14:paraId="24695216">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7BD3362F">
      <w:pPr>
        <w:pStyle w:val="6"/>
        <w:snapToGrid w:val="0"/>
        <w:spacing w:before="0" w:after="0" w:line="360" w:lineRule="auto"/>
        <w:rPr>
          <w:rFonts w:ascii="宋体" w:hAnsi="宋体"/>
          <w:b w:val="0"/>
          <w:snapToGrid w:val="0"/>
          <w:color w:val="auto"/>
          <w:sz w:val="24"/>
          <w:szCs w:val="24"/>
          <w:highlight w:val="none"/>
        </w:rPr>
      </w:pPr>
      <w:bookmarkStart w:id="184" w:name="_Toc287620695"/>
      <w:bookmarkStart w:id="185" w:name="_Toc287607756"/>
      <w:bookmarkStart w:id="186" w:name="_Toc19275"/>
      <w:bookmarkStart w:id="187" w:name="_Toc509218720"/>
      <w:bookmarkStart w:id="188" w:name="_Toc200513136"/>
      <w:bookmarkStart w:id="189" w:name="_Toc224103327"/>
      <w:bookmarkStart w:id="190" w:name="_Toc277082562"/>
      <w:bookmarkStart w:id="191" w:name="_Toc430530445"/>
      <w:bookmarkStart w:id="192" w:name="_Toc30293"/>
      <w:r>
        <w:rPr>
          <w:rFonts w:ascii="宋体" w:hAnsi="宋体"/>
          <w:b w:val="0"/>
          <w:snapToGrid w:val="0"/>
          <w:color w:val="auto"/>
          <w:sz w:val="24"/>
          <w:szCs w:val="24"/>
          <w:highlight w:val="none"/>
        </w:rPr>
        <w:t>1.9  踏勘现场</w:t>
      </w:r>
      <w:bookmarkEnd w:id="184"/>
      <w:bookmarkEnd w:id="185"/>
      <w:bookmarkEnd w:id="186"/>
      <w:bookmarkEnd w:id="187"/>
      <w:bookmarkEnd w:id="188"/>
      <w:bookmarkEnd w:id="189"/>
      <w:bookmarkEnd w:id="190"/>
      <w:bookmarkEnd w:id="191"/>
      <w:bookmarkEnd w:id="192"/>
    </w:p>
    <w:p w14:paraId="17487B8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按投标人须知前附表规定的时间、地点组织投标人踏勘项目现场。</w:t>
      </w:r>
    </w:p>
    <w:p w14:paraId="269BA9F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3391B1C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的原因外，投标人自行负责在踏勘现场中所发生的人员伤亡和财产损失。</w:t>
      </w:r>
    </w:p>
    <w:p w14:paraId="7E6EC0F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在踏勘现场中介绍的工程场地和相关的周边环境情况，供投标人在编制投标文件时参考，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不对投标人据此做出的判断和决策负责。</w:t>
      </w:r>
    </w:p>
    <w:p w14:paraId="3BBADB5C">
      <w:pPr>
        <w:pStyle w:val="6"/>
        <w:snapToGrid w:val="0"/>
        <w:spacing w:before="0" w:after="0" w:line="360" w:lineRule="auto"/>
        <w:rPr>
          <w:rFonts w:ascii="宋体" w:hAnsi="宋体"/>
          <w:b w:val="0"/>
          <w:snapToGrid w:val="0"/>
          <w:color w:val="auto"/>
          <w:sz w:val="24"/>
          <w:szCs w:val="24"/>
          <w:highlight w:val="none"/>
        </w:rPr>
      </w:pPr>
      <w:bookmarkStart w:id="193" w:name="_Toc277082563"/>
      <w:bookmarkStart w:id="194" w:name="_Toc32057"/>
      <w:bookmarkStart w:id="195" w:name="_Toc509218721"/>
      <w:bookmarkStart w:id="196" w:name="_Toc287620696"/>
      <w:bookmarkStart w:id="197" w:name="_Toc1854"/>
      <w:bookmarkStart w:id="198" w:name="_Toc200513137"/>
      <w:bookmarkStart w:id="199" w:name="_Toc287607757"/>
      <w:bookmarkStart w:id="200" w:name="_Toc224103328"/>
      <w:bookmarkStart w:id="201" w:name="_Toc430530446"/>
      <w:r>
        <w:rPr>
          <w:rFonts w:ascii="宋体" w:hAnsi="宋体"/>
          <w:b w:val="0"/>
          <w:snapToGrid w:val="0"/>
          <w:color w:val="auto"/>
          <w:sz w:val="24"/>
          <w:szCs w:val="24"/>
          <w:highlight w:val="none"/>
        </w:rPr>
        <w:t>1.10  投标预备会</w:t>
      </w:r>
      <w:bookmarkEnd w:id="193"/>
      <w:bookmarkEnd w:id="194"/>
      <w:bookmarkEnd w:id="195"/>
      <w:bookmarkEnd w:id="196"/>
      <w:bookmarkEnd w:id="197"/>
      <w:bookmarkEnd w:id="198"/>
      <w:bookmarkEnd w:id="199"/>
      <w:bookmarkEnd w:id="200"/>
      <w:bookmarkEnd w:id="201"/>
    </w:p>
    <w:p w14:paraId="36AB0B1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按投标人须知前附表规定的时间和地点召开投标预备会，澄清投标人提出的问题。</w:t>
      </w:r>
    </w:p>
    <w:p w14:paraId="2C9A902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澄清。</w:t>
      </w:r>
    </w:p>
    <w:p w14:paraId="1A6552B8">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lang w:eastAsia="zh-CN"/>
        </w:rPr>
        <w:t>比选文件</w:t>
      </w:r>
      <w:r>
        <w:rPr>
          <w:rFonts w:ascii="宋体" w:hAnsi="宋体"/>
          <w:snapToGrid w:val="0"/>
          <w:color w:val="auto"/>
          <w:kern w:val="0"/>
          <w:position w:val="-2"/>
          <w:szCs w:val="21"/>
          <w:highlight w:val="none"/>
        </w:rPr>
        <w:t>的组成部分。</w:t>
      </w:r>
    </w:p>
    <w:p w14:paraId="1805FD90">
      <w:pPr>
        <w:pStyle w:val="6"/>
        <w:snapToGrid w:val="0"/>
        <w:spacing w:before="0" w:after="0" w:line="360" w:lineRule="auto"/>
        <w:rPr>
          <w:rFonts w:ascii="宋体" w:hAnsi="宋体"/>
          <w:b w:val="0"/>
          <w:snapToGrid w:val="0"/>
          <w:color w:val="auto"/>
          <w:sz w:val="24"/>
          <w:szCs w:val="24"/>
          <w:highlight w:val="none"/>
        </w:rPr>
      </w:pPr>
      <w:bookmarkStart w:id="202" w:name="_Toc3036"/>
      <w:bookmarkStart w:id="203" w:name="_Toc224103329"/>
      <w:bookmarkStart w:id="204" w:name="_Toc200513138"/>
      <w:bookmarkStart w:id="205" w:name="_Toc509218722"/>
      <w:bookmarkStart w:id="206" w:name="_Toc277082564"/>
      <w:bookmarkStart w:id="207" w:name="_Toc287620697"/>
      <w:bookmarkStart w:id="208" w:name="_Toc430530447"/>
      <w:bookmarkStart w:id="209" w:name="_Toc20948"/>
      <w:bookmarkStart w:id="210" w:name="_Toc287607758"/>
      <w:r>
        <w:rPr>
          <w:rFonts w:ascii="宋体" w:hAnsi="宋体"/>
          <w:b w:val="0"/>
          <w:snapToGrid w:val="0"/>
          <w:color w:val="auto"/>
          <w:sz w:val="24"/>
          <w:szCs w:val="24"/>
          <w:highlight w:val="none"/>
        </w:rPr>
        <w:t>1.11  分包</w:t>
      </w:r>
      <w:bookmarkEnd w:id="202"/>
      <w:bookmarkEnd w:id="203"/>
      <w:bookmarkEnd w:id="204"/>
      <w:bookmarkEnd w:id="205"/>
      <w:bookmarkEnd w:id="206"/>
      <w:bookmarkEnd w:id="207"/>
      <w:bookmarkEnd w:id="208"/>
      <w:bookmarkEnd w:id="209"/>
      <w:bookmarkEnd w:id="210"/>
    </w:p>
    <w:p w14:paraId="0C3210AB">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14:paraId="5FD79822">
      <w:pPr>
        <w:pStyle w:val="6"/>
        <w:snapToGrid w:val="0"/>
        <w:spacing w:before="0" w:after="0" w:line="360" w:lineRule="auto"/>
        <w:rPr>
          <w:rFonts w:ascii="宋体" w:hAnsi="宋体"/>
          <w:b w:val="0"/>
          <w:snapToGrid w:val="0"/>
          <w:color w:val="auto"/>
          <w:sz w:val="24"/>
          <w:szCs w:val="24"/>
          <w:highlight w:val="none"/>
        </w:rPr>
      </w:pPr>
      <w:bookmarkStart w:id="211" w:name="_Toc224103330"/>
      <w:bookmarkStart w:id="212" w:name="_Toc287620698"/>
      <w:bookmarkStart w:id="213" w:name="_Toc277082565"/>
      <w:bookmarkStart w:id="214" w:name="_Toc200513139"/>
      <w:bookmarkStart w:id="215" w:name="_Toc18254"/>
      <w:bookmarkStart w:id="216" w:name="_Toc287607759"/>
      <w:bookmarkStart w:id="217" w:name="_Toc430530448"/>
      <w:bookmarkStart w:id="218" w:name="_Toc5536"/>
      <w:bookmarkStart w:id="219" w:name="_Toc509218723"/>
      <w:r>
        <w:rPr>
          <w:rFonts w:ascii="宋体" w:hAnsi="宋体"/>
          <w:b w:val="0"/>
          <w:snapToGrid w:val="0"/>
          <w:color w:val="auto"/>
          <w:sz w:val="24"/>
          <w:szCs w:val="24"/>
          <w:highlight w:val="none"/>
        </w:rPr>
        <w:t>1.12  偏离</w:t>
      </w:r>
      <w:bookmarkEnd w:id="211"/>
      <w:bookmarkEnd w:id="212"/>
      <w:bookmarkEnd w:id="213"/>
      <w:bookmarkEnd w:id="214"/>
      <w:bookmarkEnd w:id="215"/>
      <w:bookmarkEnd w:id="216"/>
      <w:bookmarkEnd w:id="217"/>
      <w:bookmarkEnd w:id="218"/>
      <w:bookmarkEnd w:id="219"/>
    </w:p>
    <w:p w14:paraId="735BF3A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规定的偏离范围和幅度。</w:t>
      </w:r>
    </w:p>
    <w:p w14:paraId="566B5A4E">
      <w:pPr>
        <w:pStyle w:val="5"/>
        <w:spacing w:before="0" w:after="0" w:line="360" w:lineRule="auto"/>
        <w:rPr>
          <w:rFonts w:hint="eastAsia" w:ascii="宋体" w:hAnsi="宋体" w:eastAsia="宋体"/>
          <w:b w:val="0"/>
          <w:snapToGrid w:val="0"/>
          <w:color w:val="auto"/>
          <w:highlight w:val="none"/>
          <w:lang w:eastAsia="zh-CN"/>
        </w:rPr>
      </w:pPr>
      <w:bookmarkStart w:id="220" w:name="_Toc11902"/>
      <w:bookmarkStart w:id="221" w:name="_Toc287620699"/>
      <w:bookmarkStart w:id="222" w:name="_Toc224103331"/>
      <w:bookmarkStart w:id="223" w:name="_Toc509218724"/>
      <w:bookmarkStart w:id="224" w:name="_Toc277082566"/>
      <w:bookmarkStart w:id="225" w:name="_Toc200513140"/>
      <w:bookmarkStart w:id="226" w:name="_Toc430530449"/>
      <w:bookmarkStart w:id="227" w:name="_Toc287607760"/>
      <w:bookmarkStart w:id="228" w:name="_Toc16287"/>
      <w:r>
        <w:rPr>
          <w:rFonts w:ascii="宋体" w:hAnsi="宋体"/>
          <w:b w:val="0"/>
          <w:snapToGrid w:val="0"/>
          <w:color w:val="auto"/>
          <w:highlight w:val="none"/>
        </w:rPr>
        <w:t xml:space="preserve">2. </w:t>
      </w:r>
      <w:bookmarkEnd w:id="220"/>
      <w:bookmarkEnd w:id="221"/>
      <w:bookmarkEnd w:id="222"/>
      <w:bookmarkEnd w:id="223"/>
      <w:bookmarkEnd w:id="224"/>
      <w:bookmarkEnd w:id="225"/>
      <w:bookmarkEnd w:id="226"/>
      <w:bookmarkEnd w:id="227"/>
      <w:r>
        <w:rPr>
          <w:rFonts w:hint="eastAsia" w:ascii="宋体" w:hAnsi="宋体"/>
          <w:b w:val="0"/>
          <w:snapToGrid w:val="0"/>
          <w:color w:val="auto"/>
          <w:highlight w:val="none"/>
          <w:lang w:eastAsia="zh-CN"/>
        </w:rPr>
        <w:t>比选文件</w:t>
      </w:r>
      <w:bookmarkEnd w:id="228"/>
    </w:p>
    <w:p w14:paraId="0563E445">
      <w:pPr>
        <w:pStyle w:val="6"/>
        <w:snapToGrid w:val="0"/>
        <w:spacing w:before="0" w:after="0" w:line="360" w:lineRule="auto"/>
        <w:rPr>
          <w:rFonts w:ascii="宋体" w:hAnsi="宋体"/>
          <w:b w:val="0"/>
          <w:snapToGrid w:val="0"/>
          <w:color w:val="auto"/>
          <w:sz w:val="24"/>
          <w:szCs w:val="24"/>
          <w:highlight w:val="none"/>
        </w:rPr>
      </w:pPr>
      <w:bookmarkStart w:id="229" w:name="_Toc224103332"/>
      <w:bookmarkStart w:id="230" w:name="_Toc277082567"/>
      <w:bookmarkStart w:id="231" w:name="_Toc31696"/>
      <w:bookmarkStart w:id="232" w:name="_Toc509218725"/>
      <w:bookmarkStart w:id="233" w:name="_Toc287620700"/>
      <w:bookmarkStart w:id="234" w:name="_Toc200513141"/>
      <w:bookmarkStart w:id="235" w:name="_Toc430530450"/>
      <w:bookmarkStart w:id="236" w:name="_Toc800"/>
      <w:bookmarkStart w:id="237" w:name="_Toc287607761"/>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的组成</w:t>
      </w:r>
      <w:bookmarkEnd w:id="229"/>
      <w:bookmarkEnd w:id="230"/>
      <w:bookmarkEnd w:id="231"/>
      <w:bookmarkEnd w:id="232"/>
      <w:bookmarkEnd w:id="233"/>
      <w:bookmarkEnd w:id="234"/>
      <w:bookmarkEnd w:id="235"/>
      <w:bookmarkEnd w:id="236"/>
      <w:bookmarkEnd w:id="237"/>
    </w:p>
    <w:p w14:paraId="35633DE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包括：</w:t>
      </w:r>
    </w:p>
    <w:p w14:paraId="3296E3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w:t>
      </w:r>
    </w:p>
    <w:p w14:paraId="34A9D0A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202AE49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2993E5D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1623A50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7E66E19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）技术标准和要求；</w:t>
      </w:r>
    </w:p>
    <w:p w14:paraId="1ABC362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7</w:t>
      </w:r>
      <w:r>
        <w:rPr>
          <w:rFonts w:ascii="宋体" w:hAnsi="宋体"/>
          <w:snapToGrid w:val="0"/>
          <w:color w:val="auto"/>
          <w:kern w:val="0"/>
          <w:szCs w:val="21"/>
          <w:highlight w:val="none"/>
        </w:rPr>
        <w:t>）投标文件格式；</w:t>
      </w:r>
    </w:p>
    <w:p w14:paraId="28FD3F6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8</w:t>
      </w:r>
      <w:r>
        <w:rPr>
          <w:rFonts w:ascii="宋体" w:hAnsi="宋体"/>
          <w:snapToGrid w:val="0"/>
          <w:color w:val="auto"/>
          <w:kern w:val="0"/>
          <w:szCs w:val="21"/>
          <w:highlight w:val="none"/>
        </w:rPr>
        <w:t>）投标人须知前附表规定的其他材料。</w:t>
      </w:r>
    </w:p>
    <w:p w14:paraId="1C34460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4CCDD21F">
      <w:pPr>
        <w:pStyle w:val="6"/>
        <w:snapToGrid w:val="0"/>
        <w:spacing w:before="0" w:after="0" w:line="360" w:lineRule="auto"/>
        <w:rPr>
          <w:rFonts w:ascii="宋体" w:hAnsi="宋体"/>
          <w:b w:val="0"/>
          <w:snapToGrid w:val="0"/>
          <w:color w:val="auto"/>
          <w:sz w:val="24"/>
          <w:szCs w:val="24"/>
          <w:highlight w:val="none"/>
        </w:rPr>
      </w:pPr>
      <w:bookmarkStart w:id="238" w:name="_Toc20267"/>
      <w:bookmarkStart w:id="239" w:name="_Toc430530451"/>
      <w:bookmarkStart w:id="240" w:name="_Toc23750"/>
      <w:bookmarkStart w:id="241" w:name="_Toc509218726"/>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的澄清</w:t>
      </w:r>
      <w:bookmarkEnd w:id="238"/>
      <w:bookmarkEnd w:id="239"/>
      <w:bookmarkEnd w:id="240"/>
      <w:bookmarkEnd w:id="241"/>
    </w:p>
    <w:p w14:paraId="49AAE7F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提出，以便补齐。如有疑问，应在投标人须知前附表规定的时间前</w:t>
      </w:r>
      <w:r>
        <w:rPr>
          <w:rFonts w:hint="eastAsia" w:ascii="宋体" w:hAnsi="宋体"/>
          <w:color w:val="auto"/>
          <w:kern w:val="0"/>
          <w:szCs w:val="21"/>
          <w:highlight w:val="none"/>
        </w:rPr>
        <w:t>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予以澄清。</w:t>
      </w:r>
    </w:p>
    <w:p w14:paraId="41F2314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的澄清将在投标人须知前附表规定的投标截止时间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天，相应延长投标截止时间。</w:t>
      </w:r>
    </w:p>
    <w:p w14:paraId="03389BC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4BEB80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w:t>
      </w:r>
      <w:r>
        <w:rPr>
          <w:rFonts w:hint="eastAsia" w:ascii="宋体" w:hAnsi="宋体"/>
          <w:snapToGrid w:val="0"/>
          <w:color w:val="auto"/>
          <w:kern w:val="0"/>
          <w:position w:val="-2"/>
          <w:szCs w:val="21"/>
          <w:highlight w:val="none"/>
          <w:lang w:eastAsia="zh-CN"/>
        </w:rPr>
        <w:t>比选文件</w:t>
      </w:r>
      <w:r>
        <w:rPr>
          <w:rFonts w:ascii="宋体" w:hAnsi="宋体"/>
          <w:snapToGrid w:val="0"/>
          <w:color w:val="auto"/>
          <w:kern w:val="0"/>
          <w:position w:val="-2"/>
          <w:szCs w:val="21"/>
          <w:highlight w:val="none"/>
        </w:rPr>
        <w:t>和澄清修改仍有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w:t>
      </w:r>
      <w:r>
        <w:rPr>
          <w:rFonts w:hint="eastAsia" w:ascii="宋体" w:hAnsi="宋体"/>
          <w:snapToGrid w:val="0"/>
          <w:color w:val="auto"/>
          <w:kern w:val="0"/>
          <w:position w:val="-2"/>
          <w:szCs w:val="21"/>
          <w:highlight w:val="none"/>
          <w:lang w:val="en-US" w:eastAsia="zh-CN"/>
        </w:rPr>
        <w:t>3</w:t>
      </w:r>
      <w:r>
        <w:rPr>
          <w:rFonts w:ascii="宋体" w:hAnsi="宋体"/>
          <w:snapToGrid w:val="0"/>
          <w:color w:val="auto"/>
          <w:kern w:val="0"/>
          <w:position w:val="-2"/>
          <w:szCs w:val="21"/>
          <w:highlight w:val="none"/>
        </w:rPr>
        <w:t>日前，以书面形式通知</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3DAA59CF">
      <w:pPr>
        <w:pStyle w:val="6"/>
        <w:snapToGrid w:val="0"/>
        <w:spacing w:before="0" w:after="0" w:line="360" w:lineRule="auto"/>
        <w:rPr>
          <w:rFonts w:ascii="宋体" w:hAnsi="宋体"/>
          <w:b w:val="0"/>
          <w:snapToGrid w:val="0"/>
          <w:color w:val="auto"/>
          <w:sz w:val="24"/>
          <w:szCs w:val="24"/>
          <w:highlight w:val="none"/>
        </w:rPr>
      </w:pPr>
      <w:bookmarkStart w:id="242" w:name="_Toc277082569"/>
      <w:bookmarkStart w:id="243" w:name="_Toc27922"/>
      <w:bookmarkStart w:id="244" w:name="_Toc287607763"/>
      <w:bookmarkStart w:id="245" w:name="_Toc509218727"/>
      <w:bookmarkStart w:id="246" w:name="_Toc287620702"/>
      <w:bookmarkStart w:id="247" w:name="_Toc5010"/>
      <w:bookmarkStart w:id="248" w:name="_Toc224103334"/>
      <w:bookmarkStart w:id="249" w:name="_Toc200513143"/>
      <w:bookmarkStart w:id="250" w:name="_Toc43053045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的修改</w:t>
      </w:r>
      <w:bookmarkEnd w:id="242"/>
      <w:bookmarkEnd w:id="243"/>
      <w:bookmarkEnd w:id="244"/>
      <w:bookmarkEnd w:id="245"/>
      <w:bookmarkEnd w:id="246"/>
      <w:bookmarkEnd w:id="247"/>
      <w:bookmarkEnd w:id="248"/>
      <w:bookmarkEnd w:id="249"/>
      <w:bookmarkEnd w:id="250"/>
    </w:p>
    <w:p w14:paraId="6F53516A">
      <w:pPr>
        <w:autoSpaceDE w:val="0"/>
        <w:autoSpaceDN w:val="0"/>
        <w:adjustRightInd w:val="0"/>
        <w:snapToGrid w:val="0"/>
        <w:spacing w:line="360" w:lineRule="auto"/>
        <w:ind w:firstLine="420"/>
        <w:rPr>
          <w:rFonts w:ascii="宋体" w:hAnsi="宋体"/>
          <w:snapToGrid w:val="0"/>
          <w:color w:val="auto"/>
          <w:highlight w:val="none"/>
        </w:rPr>
      </w:pPr>
      <w:bookmarkStart w:id="251" w:name="_Toc200513144"/>
      <w:bookmarkStart w:id="252" w:name="_Toc287620703"/>
      <w:bookmarkStart w:id="253" w:name="_Toc287607764"/>
      <w:bookmarkStart w:id="254" w:name="_Toc277082570"/>
      <w:bookmarkStart w:id="255" w:name="_Toc224103335"/>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w:t>
      </w:r>
      <w:r>
        <w:rPr>
          <w:rFonts w:hint="eastAsia" w:ascii="宋体" w:hAnsi="宋体"/>
          <w:snapToGrid w:val="0"/>
          <w:color w:val="auto"/>
          <w:highlight w:val="none"/>
          <w:lang w:eastAsia="zh-CN"/>
        </w:rPr>
        <w:t>比选文件</w:t>
      </w:r>
      <w:r>
        <w:rPr>
          <w:rFonts w:ascii="宋体" w:hAnsi="宋体"/>
          <w:snapToGrid w:val="0"/>
          <w:color w:val="auto"/>
          <w:highlight w:val="none"/>
        </w:rPr>
        <w:t>的澄清相关内容及方式执行。</w:t>
      </w:r>
    </w:p>
    <w:p w14:paraId="73EF6C20">
      <w:pPr>
        <w:pStyle w:val="5"/>
        <w:spacing w:before="0" w:after="0" w:line="360" w:lineRule="auto"/>
        <w:rPr>
          <w:rFonts w:ascii="宋体" w:hAnsi="宋体"/>
          <w:b w:val="0"/>
          <w:snapToGrid w:val="0"/>
          <w:color w:val="auto"/>
          <w:highlight w:val="none"/>
        </w:rPr>
      </w:pPr>
      <w:bookmarkStart w:id="256" w:name="_Toc509218728"/>
      <w:bookmarkStart w:id="257" w:name="_Toc14543"/>
      <w:bookmarkStart w:id="258" w:name="_Toc18484"/>
      <w:bookmarkStart w:id="259" w:name="_Toc430530453"/>
      <w:r>
        <w:rPr>
          <w:rFonts w:ascii="宋体" w:hAnsi="宋体"/>
          <w:b w:val="0"/>
          <w:snapToGrid w:val="0"/>
          <w:color w:val="auto"/>
          <w:highlight w:val="none"/>
        </w:rPr>
        <w:t>3. 投标文件</w:t>
      </w:r>
      <w:bookmarkEnd w:id="251"/>
      <w:bookmarkEnd w:id="252"/>
      <w:bookmarkEnd w:id="253"/>
      <w:bookmarkEnd w:id="254"/>
      <w:bookmarkEnd w:id="255"/>
      <w:bookmarkEnd w:id="256"/>
      <w:bookmarkEnd w:id="257"/>
      <w:bookmarkEnd w:id="258"/>
      <w:bookmarkEnd w:id="259"/>
    </w:p>
    <w:p w14:paraId="226647AB">
      <w:pPr>
        <w:pStyle w:val="6"/>
        <w:snapToGrid w:val="0"/>
        <w:spacing w:before="0" w:after="0" w:line="360" w:lineRule="auto"/>
        <w:rPr>
          <w:rFonts w:ascii="宋体" w:hAnsi="宋体"/>
          <w:b w:val="0"/>
          <w:snapToGrid w:val="0"/>
          <w:color w:val="auto"/>
          <w:sz w:val="24"/>
          <w:szCs w:val="24"/>
          <w:highlight w:val="none"/>
        </w:rPr>
      </w:pPr>
      <w:bookmarkStart w:id="260" w:name="_Toc509218729"/>
      <w:bookmarkStart w:id="261" w:name="_Toc29304"/>
      <w:bookmarkStart w:id="262" w:name="_Toc8482"/>
      <w:bookmarkStart w:id="263" w:name="_Toc287607765"/>
      <w:bookmarkStart w:id="264" w:name="_Toc430530454"/>
      <w:bookmarkStart w:id="265" w:name="_Toc277082571"/>
      <w:bookmarkStart w:id="266" w:name="_Toc224103336"/>
      <w:bookmarkStart w:id="267" w:name="_Toc200513145"/>
      <w:bookmarkStart w:id="268" w:name="_Toc287620704"/>
      <w:r>
        <w:rPr>
          <w:rFonts w:ascii="宋体" w:hAnsi="宋体"/>
          <w:b w:val="0"/>
          <w:snapToGrid w:val="0"/>
          <w:color w:val="auto"/>
          <w:sz w:val="24"/>
          <w:szCs w:val="24"/>
          <w:highlight w:val="none"/>
        </w:rPr>
        <w:t>3.1  投标文件的组成</w:t>
      </w:r>
      <w:bookmarkEnd w:id="260"/>
      <w:bookmarkEnd w:id="261"/>
      <w:bookmarkEnd w:id="262"/>
      <w:bookmarkEnd w:id="263"/>
      <w:bookmarkEnd w:id="264"/>
      <w:bookmarkEnd w:id="265"/>
      <w:bookmarkEnd w:id="266"/>
      <w:bookmarkEnd w:id="267"/>
      <w:bookmarkEnd w:id="268"/>
    </w:p>
    <w:p w14:paraId="02B6F00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snapToGrid w:val="0"/>
          <w:color w:val="auto"/>
          <w:kern w:val="0"/>
          <w:szCs w:val="21"/>
          <w:highlight w:val="none"/>
        </w:rPr>
        <w:t>3.1.1 投标文件应包括下列内容：</w:t>
      </w:r>
    </w:p>
    <w:p w14:paraId="5D366CD2">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1</w:t>
      </w:r>
      <w:r>
        <w:rPr>
          <w:rFonts w:hint="eastAsia" w:ascii="宋体" w:hAnsi="宋体"/>
          <w:color w:val="auto"/>
          <w:highlight w:val="none"/>
        </w:rPr>
        <w:t>投标函部分</w:t>
      </w:r>
    </w:p>
    <w:p w14:paraId="224837BA">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14:paraId="18A3AA96">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14:paraId="039B86D6">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1EC88066">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2</w:t>
      </w:r>
      <w:r>
        <w:rPr>
          <w:rFonts w:hint="eastAsia" w:ascii="宋体" w:hAnsi="宋体"/>
          <w:color w:val="auto"/>
          <w:highlight w:val="none"/>
        </w:rPr>
        <w:t>经济部分</w:t>
      </w:r>
    </w:p>
    <w:p w14:paraId="7647B10B">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49858A62">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3</w:t>
      </w:r>
      <w:r>
        <w:rPr>
          <w:rFonts w:hint="eastAsia" w:ascii="宋体" w:hAnsi="宋体"/>
          <w:color w:val="auto"/>
          <w:highlight w:val="none"/>
        </w:rPr>
        <w:t>资格审查部分</w:t>
      </w:r>
    </w:p>
    <w:p w14:paraId="2816921C">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42266D8A">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）投标人基本情况表</w:t>
      </w:r>
    </w:p>
    <w:p w14:paraId="1832BB7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）项目管理机构</w:t>
      </w:r>
    </w:p>
    <w:p w14:paraId="030F0D24">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）承诺</w:t>
      </w:r>
    </w:p>
    <w:p w14:paraId="016A71A2">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）其他资料</w:t>
      </w:r>
    </w:p>
    <w:p w14:paraId="5C7AA85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14:paraId="11404981">
      <w:pPr>
        <w:pStyle w:val="6"/>
        <w:snapToGrid w:val="0"/>
        <w:spacing w:before="0" w:after="0" w:line="360" w:lineRule="auto"/>
        <w:rPr>
          <w:rFonts w:ascii="宋体" w:hAnsi="宋体"/>
          <w:b w:val="0"/>
          <w:snapToGrid w:val="0"/>
          <w:color w:val="auto"/>
          <w:sz w:val="24"/>
          <w:szCs w:val="24"/>
          <w:highlight w:val="none"/>
        </w:rPr>
      </w:pPr>
      <w:bookmarkStart w:id="269" w:name="_Toc277082572"/>
      <w:bookmarkStart w:id="270" w:name="_Toc287607766"/>
      <w:bookmarkStart w:id="271" w:name="_Toc224103337"/>
      <w:bookmarkStart w:id="272" w:name="_Toc430530455"/>
      <w:bookmarkStart w:id="273" w:name="_Toc509218730"/>
      <w:bookmarkStart w:id="274" w:name="_Toc287620705"/>
      <w:bookmarkStart w:id="275" w:name="_Toc200513146"/>
      <w:bookmarkStart w:id="276" w:name="_Toc29217"/>
      <w:bookmarkStart w:id="277" w:name="_Toc11028"/>
      <w:r>
        <w:rPr>
          <w:rFonts w:ascii="宋体" w:hAnsi="宋体"/>
          <w:b w:val="0"/>
          <w:snapToGrid w:val="0"/>
          <w:color w:val="auto"/>
          <w:sz w:val="24"/>
          <w:szCs w:val="24"/>
          <w:highlight w:val="none"/>
        </w:rPr>
        <w:t>3.2  投标报价</w:t>
      </w:r>
      <w:bookmarkEnd w:id="269"/>
      <w:bookmarkEnd w:id="270"/>
      <w:bookmarkEnd w:id="271"/>
      <w:bookmarkEnd w:id="272"/>
      <w:bookmarkEnd w:id="273"/>
      <w:bookmarkEnd w:id="274"/>
      <w:bookmarkEnd w:id="275"/>
      <w:bookmarkEnd w:id="276"/>
      <w:bookmarkEnd w:id="277"/>
    </w:p>
    <w:p w14:paraId="75C3F6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14:paraId="61BFC7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14:paraId="6110942C">
      <w:pPr>
        <w:pStyle w:val="6"/>
        <w:snapToGrid w:val="0"/>
        <w:spacing w:before="0" w:after="0" w:line="360" w:lineRule="auto"/>
        <w:rPr>
          <w:rFonts w:ascii="宋体" w:hAnsi="宋体"/>
          <w:b w:val="0"/>
          <w:snapToGrid w:val="0"/>
          <w:color w:val="auto"/>
          <w:sz w:val="24"/>
          <w:szCs w:val="24"/>
          <w:highlight w:val="none"/>
        </w:rPr>
      </w:pPr>
      <w:bookmarkStart w:id="278" w:name="_Toc430530456"/>
      <w:bookmarkStart w:id="279" w:name="_Toc4304"/>
      <w:bookmarkStart w:id="280" w:name="_Toc277082573"/>
      <w:bookmarkStart w:id="281" w:name="_Toc509218731"/>
      <w:bookmarkStart w:id="282" w:name="_Toc200513147"/>
      <w:bookmarkStart w:id="283" w:name="_Toc13048"/>
      <w:bookmarkStart w:id="284" w:name="_Toc287620706"/>
      <w:bookmarkStart w:id="285" w:name="_Toc287607767"/>
      <w:bookmarkStart w:id="286" w:name="_Toc224103338"/>
      <w:r>
        <w:rPr>
          <w:rFonts w:ascii="宋体" w:hAnsi="宋体"/>
          <w:b w:val="0"/>
          <w:snapToGrid w:val="0"/>
          <w:color w:val="auto"/>
          <w:sz w:val="24"/>
          <w:szCs w:val="24"/>
          <w:highlight w:val="none"/>
        </w:rPr>
        <w:t>3.3  投标有效期</w:t>
      </w:r>
      <w:bookmarkEnd w:id="278"/>
      <w:bookmarkEnd w:id="279"/>
      <w:bookmarkEnd w:id="280"/>
      <w:bookmarkEnd w:id="281"/>
      <w:bookmarkEnd w:id="282"/>
      <w:bookmarkEnd w:id="283"/>
      <w:bookmarkEnd w:id="284"/>
      <w:bookmarkEnd w:id="285"/>
      <w:bookmarkEnd w:id="286"/>
    </w:p>
    <w:p w14:paraId="6C41BC7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14:paraId="1C0BD0E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14:paraId="1E1CD84F">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5116FB17">
      <w:pPr>
        <w:pStyle w:val="6"/>
        <w:keepNext w:val="0"/>
        <w:keepLines w:val="0"/>
        <w:snapToGrid w:val="0"/>
        <w:spacing w:before="0" w:after="0" w:line="360" w:lineRule="auto"/>
        <w:rPr>
          <w:rFonts w:ascii="宋体" w:hAnsi="宋体"/>
          <w:b w:val="0"/>
          <w:snapToGrid w:val="0"/>
          <w:color w:val="auto"/>
          <w:sz w:val="24"/>
          <w:szCs w:val="24"/>
          <w:highlight w:val="none"/>
        </w:rPr>
      </w:pPr>
      <w:bookmarkStart w:id="287" w:name="_Toc224103339"/>
      <w:bookmarkStart w:id="288" w:name="_Toc287620707"/>
      <w:bookmarkStart w:id="289" w:name="_Toc200513148"/>
      <w:bookmarkStart w:id="290" w:name="_Toc287607768"/>
      <w:bookmarkStart w:id="291" w:name="_Toc277082574"/>
      <w:bookmarkStart w:id="292" w:name="_Toc509218732"/>
      <w:bookmarkStart w:id="293" w:name="_Toc430530457"/>
      <w:bookmarkStart w:id="294" w:name="_Toc1366"/>
      <w:bookmarkStart w:id="295" w:name="_Toc16240"/>
      <w:r>
        <w:rPr>
          <w:rFonts w:ascii="宋体" w:hAnsi="宋体"/>
          <w:b w:val="0"/>
          <w:snapToGrid w:val="0"/>
          <w:color w:val="auto"/>
          <w:sz w:val="24"/>
          <w:szCs w:val="24"/>
          <w:highlight w:val="none"/>
        </w:rPr>
        <w:t xml:space="preserve">3.4  </w:t>
      </w:r>
      <w:bookmarkEnd w:id="287"/>
      <w:bookmarkEnd w:id="288"/>
      <w:bookmarkEnd w:id="289"/>
      <w:bookmarkEnd w:id="290"/>
      <w:bookmarkEnd w:id="291"/>
      <w:bookmarkEnd w:id="292"/>
      <w:bookmarkEnd w:id="293"/>
      <w:r>
        <w:rPr>
          <w:rFonts w:ascii="宋体" w:hAnsi="宋体"/>
          <w:b w:val="0"/>
          <w:snapToGrid w:val="0"/>
          <w:color w:val="auto"/>
          <w:sz w:val="24"/>
          <w:szCs w:val="24"/>
          <w:highlight w:val="none"/>
        </w:rPr>
        <w:t>投标</w:t>
      </w:r>
      <w:bookmarkEnd w:id="294"/>
      <w:r>
        <w:rPr>
          <w:rFonts w:hint="eastAsia" w:ascii="宋体" w:hAnsi="宋体"/>
          <w:b w:val="0"/>
          <w:snapToGrid w:val="0"/>
          <w:color w:val="auto"/>
          <w:sz w:val="24"/>
          <w:szCs w:val="24"/>
          <w:highlight w:val="none"/>
        </w:rPr>
        <w:t>保证金</w:t>
      </w:r>
      <w:bookmarkEnd w:id="295"/>
    </w:p>
    <w:p w14:paraId="6EE532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14:paraId="3117B24B">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14:paraId="1183FE57">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14:paraId="04F72D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711BA2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1E5F050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14:paraId="655311D8">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5BA10B2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5B446EB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05469B20">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16059B15">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lang w:eastAsia="zh-CN"/>
        </w:rPr>
        <w:t>比选人</w:t>
      </w:r>
      <w:r>
        <w:rPr>
          <w:rFonts w:hint="eastAsia" w:ascii="宋体" w:hAnsi="宋体"/>
          <w:color w:val="auto"/>
          <w:kern w:val="0"/>
          <w:highlight w:val="none"/>
        </w:rPr>
        <w:t>。</w:t>
      </w:r>
    </w:p>
    <w:p w14:paraId="2367AD26">
      <w:pPr>
        <w:pStyle w:val="6"/>
        <w:keepNext w:val="0"/>
        <w:keepLines w:val="0"/>
        <w:snapToGrid w:val="0"/>
        <w:spacing w:before="0" w:after="0" w:line="360" w:lineRule="auto"/>
        <w:rPr>
          <w:rFonts w:ascii="宋体" w:hAnsi="宋体"/>
          <w:b w:val="0"/>
          <w:snapToGrid w:val="0"/>
          <w:color w:val="auto"/>
          <w:sz w:val="24"/>
          <w:szCs w:val="24"/>
          <w:highlight w:val="none"/>
        </w:rPr>
      </w:pPr>
      <w:bookmarkStart w:id="296" w:name="_Toc224103341"/>
      <w:bookmarkStart w:id="297" w:name="_Toc16639"/>
      <w:bookmarkStart w:id="298" w:name="_Toc509218734"/>
      <w:bookmarkStart w:id="299" w:name="_Toc200513150"/>
      <w:bookmarkStart w:id="300" w:name="_Toc287620709"/>
      <w:bookmarkStart w:id="301" w:name="_Toc430530459"/>
      <w:bookmarkStart w:id="302" w:name="_Toc287607770"/>
      <w:bookmarkStart w:id="303" w:name="_Toc277082576"/>
      <w:bookmarkStart w:id="304" w:name="_Toc16830"/>
      <w:r>
        <w:rPr>
          <w:rFonts w:ascii="宋体" w:hAnsi="宋体"/>
          <w:b w:val="0"/>
          <w:snapToGrid w:val="0"/>
          <w:color w:val="auto"/>
          <w:sz w:val="24"/>
          <w:szCs w:val="24"/>
          <w:highlight w:val="none"/>
        </w:rPr>
        <w:t>3.5  资格审查资料</w:t>
      </w:r>
      <w:bookmarkEnd w:id="296"/>
      <w:bookmarkEnd w:id="297"/>
      <w:bookmarkEnd w:id="298"/>
      <w:bookmarkEnd w:id="299"/>
      <w:bookmarkEnd w:id="300"/>
      <w:bookmarkEnd w:id="301"/>
      <w:bookmarkEnd w:id="302"/>
      <w:bookmarkEnd w:id="303"/>
      <w:bookmarkEnd w:id="304"/>
    </w:p>
    <w:p w14:paraId="0492F806">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26294EAB">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0247ED9D">
      <w:pPr>
        <w:pStyle w:val="6"/>
        <w:snapToGrid w:val="0"/>
        <w:spacing w:before="0" w:after="0" w:line="360" w:lineRule="auto"/>
        <w:rPr>
          <w:rFonts w:ascii="宋体" w:hAnsi="宋体"/>
          <w:b w:val="0"/>
          <w:snapToGrid w:val="0"/>
          <w:color w:val="auto"/>
          <w:sz w:val="24"/>
          <w:szCs w:val="24"/>
          <w:highlight w:val="none"/>
        </w:rPr>
      </w:pPr>
      <w:bookmarkStart w:id="305" w:name="_Toc17822"/>
      <w:bookmarkStart w:id="306" w:name="_Toc287607771"/>
      <w:bookmarkStart w:id="307" w:name="_Toc24446"/>
      <w:bookmarkStart w:id="308" w:name="_Toc509218735"/>
      <w:bookmarkStart w:id="309" w:name="_Toc430530460"/>
      <w:bookmarkStart w:id="310" w:name="_Toc224103342"/>
      <w:bookmarkStart w:id="311" w:name="_Toc200513151"/>
      <w:bookmarkStart w:id="312" w:name="_Toc287620710"/>
      <w:bookmarkStart w:id="313" w:name="_Toc277082577"/>
      <w:r>
        <w:rPr>
          <w:rFonts w:ascii="宋体" w:hAnsi="宋体"/>
          <w:b w:val="0"/>
          <w:snapToGrid w:val="0"/>
          <w:color w:val="auto"/>
          <w:sz w:val="24"/>
          <w:szCs w:val="24"/>
          <w:highlight w:val="none"/>
        </w:rPr>
        <w:t>3.6  备选投标方案</w:t>
      </w:r>
      <w:bookmarkEnd w:id="305"/>
      <w:bookmarkEnd w:id="306"/>
      <w:bookmarkEnd w:id="307"/>
      <w:bookmarkEnd w:id="308"/>
      <w:bookmarkEnd w:id="309"/>
      <w:bookmarkEnd w:id="310"/>
      <w:bookmarkEnd w:id="311"/>
      <w:bookmarkEnd w:id="312"/>
      <w:bookmarkEnd w:id="313"/>
    </w:p>
    <w:p w14:paraId="5BE0E2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可以接受该备选投标方案。</w:t>
      </w:r>
    </w:p>
    <w:p w14:paraId="16E70A24">
      <w:pPr>
        <w:pStyle w:val="6"/>
        <w:snapToGrid w:val="0"/>
        <w:spacing w:before="0" w:after="0" w:line="360" w:lineRule="auto"/>
        <w:rPr>
          <w:rFonts w:ascii="宋体" w:hAnsi="宋体"/>
          <w:b w:val="0"/>
          <w:snapToGrid w:val="0"/>
          <w:color w:val="auto"/>
          <w:sz w:val="24"/>
          <w:szCs w:val="24"/>
          <w:highlight w:val="none"/>
        </w:rPr>
      </w:pPr>
      <w:bookmarkStart w:id="314" w:name="_Toc224103343"/>
      <w:bookmarkStart w:id="315" w:name="_Toc200513152"/>
      <w:bookmarkStart w:id="316" w:name="_Toc509218736"/>
      <w:bookmarkStart w:id="317" w:name="_Toc430530461"/>
      <w:bookmarkStart w:id="318" w:name="_Toc16951"/>
      <w:bookmarkStart w:id="319" w:name="_Toc287607772"/>
      <w:bookmarkStart w:id="320" w:name="_Toc287620711"/>
      <w:bookmarkStart w:id="321" w:name="_Toc21460"/>
      <w:bookmarkStart w:id="322" w:name="_Toc277082578"/>
      <w:r>
        <w:rPr>
          <w:rFonts w:ascii="宋体" w:hAnsi="宋体"/>
          <w:b w:val="0"/>
          <w:snapToGrid w:val="0"/>
          <w:color w:val="auto"/>
          <w:sz w:val="24"/>
          <w:szCs w:val="24"/>
          <w:highlight w:val="none"/>
        </w:rPr>
        <w:t>3.7  投标文件的编制</w:t>
      </w:r>
      <w:bookmarkEnd w:id="314"/>
      <w:bookmarkEnd w:id="315"/>
      <w:bookmarkEnd w:id="316"/>
      <w:bookmarkEnd w:id="317"/>
      <w:bookmarkEnd w:id="318"/>
      <w:bookmarkEnd w:id="319"/>
      <w:bookmarkEnd w:id="320"/>
      <w:bookmarkEnd w:id="321"/>
      <w:bookmarkEnd w:id="322"/>
    </w:p>
    <w:p w14:paraId="331CEC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14:paraId="47DCDB6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范围等实质性内容做出响应。</w:t>
      </w:r>
    </w:p>
    <w:p w14:paraId="426576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54891643">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3.7.4  投标文件的份数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p>
    <w:p w14:paraId="08B90439">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14:paraId="64B2A7B0">
      <w:pPr>
        <w:pStyle w:val="5"/>
        <w:keepNext w:val="0"/>
        <w:keepLines w:val="0"/>
        <w:spacing w:before="0" w:after="0" w:line="360" w:lineRule="auto"/>
        <w:rPr>
          <w:rFonts w:ascii="宋体" w:hAnsi="宋体"/>
          <w:b w:val="0"/>
          <w:snapToGrid w:val="0"/>
          <w:color w:val="auto"/>
          <w:highlight w:val="none"/>
        </w:rPr>
      </w:pPr>
      <w:bookmarkStart w:id="323" w:name="_Toc224103344"/>
      <w:bookmarkStart w:id="324" w:name="_Toc27937"/>
      <w:bookmarkStart w:id="325" w:name="_Toc430530462"/>
      <w:bookmarkStart w:id="326" w:name="_Toc287620712"/>
      <w:bookmarkStart w:id="327" w:name="_Toc509218737"/>
      <w:bookmarkStart w:id="328" w:name="_Toc287607773"/>
      <w:bookmarkStart w:id="329" w:name="_Toc9499"/>
      <w:bookmarkStart w:id="330" w:name="_Toc200513153"/>
      <w:bookmarkStart w:id="331" w:name="_Toc277082579"/>
      <w:r>
        <w:rPr>
          <w:rFonts w:ascii="宋体" w:hAnsi="宋体"/>
          <w:b w:val="0"/>
          <w:snapToGrid w:val="0"/>
          <w:color w:val="auto"/>
          <w:highlight w:val="none"/>
        </w:rPr>
        <w:t>4. 投标</w:t>
      </w:r>
      <w:bookmarkEnd w:id="323"/>
      <w:bookmarkEnd w:id="324"/>
      <w:bookmarkEnd w:id="325"/>
      <w:bookmarkEnd w:id="326"/>
      <w:bookmarkEnd w:id="327"/>
      <w:bookmarkEnd w:id="328"/>
      <w:bookmarkEnd w:id="329"/>
      <w:bookmarkEnd w:id="330"/>
      <w:bookmarkEnd w:id="331"/>
    </w:p>
    <w:p w14:paraId="7D9EAEF9">
      <w:pPr>
        <w:pStyle w:val="6"/>
        <w:keepNext w:val="0"/>
        <w:keepLines w:val="0"/>
        <w:snapToGrid w:val="0"/>
        <w:spacing w:before="0" w:after="0" w:line="360" w:lineRule="auto"/>
        <w:rPr>
          <w:rFonts w:ascii="宋体" w:hAnsi="宋体"/>
          <w:b w:val="0"/>
          <w:snapToGrid w:val="0"/>
          <w:color w:val="auto"/>
          <w:sz w:val="24"/>
          <w:szCs w:val="24"/>
          <w:highlight w:val="none"/>
        </w:rPr>
      </w:pPr>
      <w:bookmarkStart w:id="332" w:name="_Toc277082580"/>
      <w:bookmarkStart w:id="333" w:name="_Toc18995"/>
      <w:bookmarkStart w:id="334" w:name="_Toc509218738"/>
      <w:bookmarkStart w:id="335" w:name="_Toc287620713"/>
      <w:bookmarkStart w:id="336" w:name="_Toc200513154"/>
      <w:bookmarkStart w:id="337" w:name="_Toc24860"/>
      <w:bookmarkStart w:id="338" w:name="_Toc224103345"/>
      <w:bookmarkStart w:id="339" w:name="_Toc287607774"/>
      <w:bookmarkStart w:id="340" w:name="_Toc430530463"/>
      <w:r>
        <w:rPr>
          <w:rFonts w:ascii="宋体" w:hAnsi="宋体"/>
          <w:b w:val="0"/>
          <w:snapToGrid w:val="0"/>
          <w:color w:val="auto"/>
          <w:sz w:val="24"/>
          <w:szCs w:val="24"/>
          <w:highlight w:val="none"/>
        </w:rPr>
        <w:t>4.1  投标文件的密封和标记</w:t>
      </w:r>
      <w:bookmarkEnd w:id="332"/>
      <w:bookmarkEnd w:id="333"/>
      <w:bookmarkEnd w:id="334"/>
      <w:bookmarkEnd w:id="335"/>
      <w:bookmarkEnd w:id="336"/>
      <w:bookmarkEnd w:id="337"/>
      <w:bookmarkEnd w:id="338"/>
      <w:bookmarkEnd w:id="339"/>
      <w:bookmarkEnd w:id="340"/>
    </w:p>
    <w:p w14:paraId="2323B96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41" w:name="_Toc200513155"/>
      <w:r>
        <w:rPr>
          <w:rFonts w:ascii="宋体" w:hAnsi="宋体"/>
          <w:snapToGrid w:val="0"/>
          <w:color w:val="auto"/>
          <w:kern w:val="0"/>
          <w:szCs w:val="21"/>
          <w:highlight w:val="none"/>
        </w:rPr>
        <w:t>4.1.1  投标文件的正本与副本密封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0E0D22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688C4B99">
      <w:pPr>
        <w:pStyle w:val="6"/>
        <w:keepNext w:val="0"/>
        <w:keepLines w:val="0"/>
        <w:snapToGrid w:val="0"/>
        <w:spacing w:before="0" w:after="0" w:line="360" w:lineRule="auto"/>
        <w:rPr>
          <w:rFonts w:ascii="宋体" w:hAnsi="宋体"/>
          <w:b w:val="0"/>
          <w:snapToGrid w:val="0"/>
          <w:color w:val="auto"/>
          <w:sz w:val="24"/>
          <w:szCs w:val="24"/>
          <w:highlight w:val="none"/>
        </w:rPr>
      </w:pPr>
      <w:bookmarkStart w:id="342" w:name="_Toc287607775"/>
      <w:bookmarkStart w:id="343" w:name="_Toc25809"/>
      <w:bookmarkStart w:id="344" w:name="_Toc25204"/>
      <w:bookmarkStart w:id="345" w:name="_Toc509218739"/>
      <w:bookmarkStart w:id="346" w:name="_Toc430530464"/>
      <w:bookmarkStart w:id="347" w:name="_Toc277082581"/>
      <w:bookmarkStart w:id="348" w:name="_Toc224103346"/>
      <w:bookmarkStart w:id="349" w:name="_Toc287620714"/>
      <w:r>
        <w:rPr>
          <w:rFonts w:ascii="宋体" w:hAnsi="宋体"/>
          <w:b w:val="0"/>
          <w:snapToGrid w:val="0"/>
          <w:color w:val="auto"/>
          <w:sz w:val="24"/>
          <w:szCs w:val="24"/>
          <w:highlight w:val="none"/>
        </w:rPr>
        <w:t>4.2  投标文件的递交</w:t>
      </w:r>
      <w:bookmarkEnd w:id="341"/>
      <w:bookmarkEnd w:id="342"/>
      <w:bookmarkEnd w:id="343"/>
      <w:bookmarkEnd w:id="344"/>
      <w:bookmarkEnd w:id="345"/>
      <w:bookmarkEnd w:id="346"/>
      <w:bookmarkEnd w:id="347"/>
      <w:bookmarkEnd w:id="348"/>
      <w:bookmarkEnd w:id="349"/>
    </w:p>
    <w:p w14:paraId="0921F4F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14:paraId="7CDEDF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798E65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56976BF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收到投标文件后，向投标人出具签收凭证。</w:t>
      </w:r>
    </w:p>
    <w:p w14:paraId="450CF24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14:paraId="4CE15BF1">
      <w:pPr>
        <w:pStyle w:val="6"/>
        <w:keepNext w:val="0"/>
        <w:keepLines w:val="0"/>
        <w:snapToGrid w:val="0"/>
        <w:spacing w:before="0" w:after="0" w:line="360" w:lineRule="auto"/>
        <w:rPr>
          <w:rFonts w:ascii="宋体" w:hAnsi="宋体"/>
          <w:b w:val="0"/>
          <w:snapToGrid w:val="0"/>
          <w:color w:val="auto"/>
          <w:sz w:val="24"/>
          <w:szCs w:val="24"/>
          <w:highlight w:val="none"/>
        </w:rPr>
      </w:pPr>
      <w:bookmarkStart w:id="350" w:name="_Toc200513156"/>
      <w:bookmarkStart w:id="351" w:name="_Toc287620715"/>
      <w:bookmarkStart w:id="352" w:name="_Toc287607776"/>
      <w:bookmarkStart w:id="353" w:name="_Toc12226"/>
      <w:bookmarkStart w:id="354" w:name="_Toc224103347"/>
      <w:bookmarkStart w:id="355" w:name="_Toc509218740"/>
      <w:bookmarkStart w:id="356" w:name="_Toc430530465"/>
      <w:bookmarkStart w:id="357" w:name="_Toc277082582"/>
      <w:bookmarkStart w:id="358" w:name="_Toc23986"/>
      <w:r>
        <w:rPr>
          <w:rFonts w:ascii="宋体" w:hAnsi="宋体"/>
          <w:b w:val="0"/>
          <w:snapToGrid w:val="0"/>
          <w:color w:val="auto"/>
          <w:sz w:val="24"/>
          <w:szCs w:val="24"/>
          <w:highlight w:val="none"/>
        </w:rPr>
        <w:t>4.3  投标文件的修改与撤回</w:t>
      </w:r>
      <w:bookmarkEnd w:id="350"/>
      <w:bookmarkEnd w:id="351"/>
      <w:bookmarkEnd w:id="352"/>
      <w:bookmarkEnd w:id="353"/>
      <w:bookmarkEnd w:id="354"/>
      <w:bookmarkEnd w:id="355"/>
      <w:bookmarkEnd w:id="356"/>
      <w:bookmarkEnd w:id="357"/>
      <w:bookmarkEnd w:id="358"/>
    </w:p>
    <w:p w14:paraId="520740A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1A26BC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收到书面通知后，向投标人出具签收凭证。</w:t>
      </w:r>
    </w:p>
    <w:p w14:paraId="084561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09AC4CCD">
      <w:pPr>
        <w:pStyle w:val="5"/>
        <w:keepNext w:val="0"/>
        <w:keepLines w:val="0"/>
        <w:spacing w:before="0" w:after="0" w:line="360" w:lineRule="auto"/>
        <w:rPr>
          <w:rFonts w:ascii="宋体" w:hAnsi="宋体"/>
          <w:b w:val="0"/>
          <w:snapToGrid w:val="0"/>
          <w:color w:val="auto"/>
          <w:highlight w:val="none"/>
        </w:rPr>
      </w:pPr>
      <w:bookmarkStart w:id="359" w:name="_Toc287607777"/>
      <w:bookmarkStart w:id="360" w:name="_Toc287620716"/>
      <w:bookmarkStart w:id="361" w:name="_Toc430530466"/>
      <w:bookmarkStart w:id="362" w:name="_Toc277082583"/>
      <w:bookmarkStart w:id="363" w:name="_Toc200513157"/>
      <w:bookmarkStart w:id="364" w:name="_Toc22598"/>
      <w:bookmarkStart w:id="365" w:name="_Toc509218741"/>
      <w:bookmarkStart w:id="366" w:name="_Toc224103348"/>
      <w:bookmarkStart w:id="367" w:name="_Toc9614"/>
      <w:r>
        <w:rPr>
          <w:rFonts w:ascii="宋体" w:hAnsi="宋体"/>
          <w:b w:val="0"/>
          <w:snapToGrid w:val="0"/>
          <w:color w:val="auto"/>
          <w:highlight w:val="none"/>
        </w:rPr>
        <w:t>5. 开标</w:t>
      </w:r>
      <w:bookmarkEnd w:id="359"/>
      <w:bookmarkEnd w:id="360"/>
      <w:bookmarkEnd w:id="361"/>
      <w:bookmarkEnd w:id="362"/>
      <w:bookmarkEnd w:id="363"/>
      <w:bookmarkEnd w:id="364"/>
      <w:bookmarkEnd w:id="365"/>
      <w:bookmarkEnd w:id="366"/>
      <w:bookmarkEnd w:id="367"/>
    </w:p>
    <w:p w14:paraId="44AE7AEF">
      <w:pPr>
        <w:pStyle w:val="6"/>
        <w:keepNext w:val="0"/>
        <w:keepLines w:val="0"/>
        <w:snapToGrid w:val="0"/>
        <w:spacing w:before="0" w:after="0" w:line="360" w:lineRule="auto"/>
        <w:rPr>
          <w:rFonts w:ascii="宋体" w:hAnsi="宋体"/>
          <w:b w:val="0"/>
          <w:snapToGrid w:val="0"/>
          <w:color w:val="auto"/>
          <w:sz w:val="24"/>
          <w:szCs w:val="24"/>
          <w:highlight w:val="none"/>
        </w:rPr>
      </w:pPr>
      <w:bookmarkStart w:id="368" w:name="_Toc277082584"/>
      <w:bookmarkStart w:id="369" w:name="_Toc20593"/>
      <w:bookmarkStart w:id="370" w:name="_Toc287620717"/>
      <w:bookmarkStart w:id="371" w:name="_Toc200513158"/>
      <w:bookmarkStart w:id="372" w:name="_Toc224103349"/>
      <w:bookmarkStart w:id="373" w:name="_Toc430530467"/>
      <w:bookmarkStart w:id="374" w:name="_Toc509218742"/>
      <w:bookmarkStart w:id="375" w:name="_Toc287607778"/>
      <w:bookmarkStart w:id="376" w:name="_Toc24610"/>
      <w:r>
        <w:rPr>
          <w:rFonts w:ascii="宋体" w:hAnsi="宋体"/>
          <w:b w:val="0"/>
          <w:snapToGrid w:val="0"/>
          <w:color w:val="auto"/>
          <w:sz w:val="24"/>
          <w:szCs w:val="24"/>
          <w:highlight w:val="none"/>
        </w:rPr>
        <w:t>5.1  开标时间和地点</w:t>
      </w:r>
      <w:bookmarkEnd w:id="368"/>
      <w:bookmarkEnd w:id="369"/>
      <w:bookmarkEnd w:id="370"/>
      <w:bookmarkEnd w:id="371"/>
      <w:bookmarkEnd w:id="372"/>
      <w:bookmarkEnd w:id="373"/>
      <w:bookmarkEnd w:id="374"/>
      <w:bookmarkEnd w:id="375"/>
      <w:bookmarkEnd w:id="376"/>
    </w:p>
    <w:p w14:paraId="0E7B01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在投标人须知前附表第 2.2.2 项规定的投标截止时间（开标时间）和投标人须知前附表规定的地点公开开标，并邀请所有投标人的法定代表人或其委托代理人准时参加。</w:t>
      </w:r>
    </w:p>
    <w:p w14:paraId="605C84F3">
      <w:pPr>
        <w:pStyle w:val="6"/>
        <w:keepNext w:val="0"/>
        <w:keepLines w:val="0"/>
        <w:snapToGrid w:val="0"/>
        <w:spacing w:before="0" w:after="0" w:line="360" w:lineRule="auto"/>
        <w:rPr>
          <w:rFonts w:ascii="宋体" w:hAnsi="宋体"/>
          <w:b w:val="0"/>
          <w:snapToGrid w:val="0"/>
          <w:color w:val="auto"/>
          <w:sz w:val="24"/>
          <w:szCs w:val="24"/>
          <w:highlight w:val="none"/>
        </w:rPr>
      </w:pPr>
      <w:bookmarkStart w:id="377" w:name="_Toc430530468"/>
      <w:bookmarkStart w:id="378" w:name="_Toc200513159"/>
      <w:bookmarkStart w:id="379" w:name="_Toc27715"/>
      <w:bookmarkStart w:id="380" w:name="_Toc277082585"/>
      <w:bookmarkStart w:id="381" w:name="_Toc287620718"/>
      <w:bookmarkStart w:id="382" w:name="_Toc14994"/>
      <w:bookmarkStart w:id="383" w:name="_Toc224103350"/>
      <w:bookmarkStart w:id="384" w:name="_Toc509218743"/>
      <w:bookmarkStart w:id="385" w:name="_Toc287607779"/>
      <w:r>
        <w:rPr>
          <w:rFonts w:ascii="宋体" w:hAnsi="宋体"/>
          <w:b w:val="0"/>
          <w:snapToGrid w:val="0"/>
          <w:color w:val="auto"/>
          <w:sz w:val="24"/>
          <w:szCs w:val="24"/>
          <w:highlight w:val="none"/>
        </w:rPr>
        <w:t>5.2  开标程序</w:t>
      </w:r>
      <w:bookmarkEnd w:id="377"/>
      <w:bookmarkEnd w:id="378"/>
      <w:bookmarkEnd w:id="379"/>
      <w:bookmarkEnd w:id="380"/>
      <w:bookmarkEnd w:id="381"/>
      <w:bookmarkEnd w:id="382"/>
      <w:bookmarkEnd w:id="383"/>
      <w:bookmarkEnd w:id="384"/>
      <w:bookmarkEnd w:id="385"/>
    </w:p>
    <w:p w14:paraId="3FA6F2A5">
      <w:pPr>
        <w:autoSpaceDE w:val="0"/>
        <w:autoSpaceDN w:val="0"/>
        <w:adjustRightInd w:val="0"/>
        <w:snapToGrid w:val="0"/>
        <w:spacing w:line="360" w:lineRule="auto"/>
        <w:ind w:firstLine="420" w:firstLineChars="200"/>
        <w:rPr>
          <w:rFonts w:ascii="宋体" w:hAnsi="宋体"/>
          <w:color w:val="auto"/>
          <w:szCs w:val="21"/>
          <w:highlight w:val="none"/>
        </w:rPr>
      </w:pPr>
      <w:bookmarkStart w:id="386" w:name="_Toc287620719"/>
      <w:bookmarkStart w:id="387" w:name="_Toc200513160"/>
      <w:bookmarkStart w:id="388" w:name="_Toc277082586"/>
      <w:bookmarkStart w:id="389" w:name="_Toc224103351"/>
      <w:bookmarkStart w:id="390" w:name="_Toc287607780"/>
      <w:r>
        <w:rPr>
          <w:rFonts w:ascii="宋体" w:hAnsi="宋体"/>
          <w:color w:val="auto"/>
          <w:szCs w:val="21"/>
          <w:highlight w:val="none"/>
        </w:rPr>
        <w:t>详见投标人须知前附表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323DA1A7">
      <w:pPr>
        <w:pStyle w:val="6"/>
        <w:keepNext w:val="0"/>
        <w:keepLines w:val="0"/>
        <w:snapToGrid w:val="0"/>
        <w:spacing w:before="0" w:after="0" w:line="360" w:lineRule="auto"/>
        <w:rPr>
          <w:rFonts w:ascii="宋体" w:hAnsi="宋体"/>
          <w:b w:val="0"/>
          <w:snapToGrid w:val="0"/>
          <w:color w:val="auto"/>
          <w:sz w:val="24"/>
          <w:szCs w:val="24"/>
          <w:highlight w:val="none"/>
        </w:rPr>
      </w:pPr>
      <w:bookmarkStart w:id="391" w:name="_Toc9460"/>
      <w:bookmarkStart w:id="392" w:name="_Toc5782059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91"/>
      <w:bookmarkEnd w:id="392"/>
    </w:p>
    <w:p w14:paraId="110FC2AE">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比选人</w:t>
      </w:r>
      <w:r>
        <w:rPr>
          <w:rFonts w:hint="eastAsia" w:ascii="宋体" w:hAnsi="宋体"/>
          <w:color w:val="auto"/>
          <w:szCs w:val="21"/>
          <w:highlight w:val="none"/>
        </w:rPr>
        <w:t>当场作出答复，并制作记录，有异议的投标人代表、</w:t>
      </w:r>
      <w:r>
        <w:rPr>
          <w:rFonts w:hint="eastAsia" w:ascii="宋体" w:hAnsi="宋体"/>
          <w:color w:val="auto"/>
          <w:szCs w:val="21"/>
          <w:highlight w:val="none"/>
          <w:lang w:eastAsia="zh-CN"/>
        </w:rPr>
        <w:t>比选人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14:paraId="32417527">
      <w:pPr>
        <w:pStyle w:val="5"/>
        <w:keepNext w:val="0"/>
        <w:keepLines w:val="0"/>
        <w:spacing w:before="0" w:after="0" w:line="360" w:lineRule="auto"/>
        <w:rPr>
          <w:rFonts w:ascii="宋体" w:hAnsi="宋体"/>
          <w:b w:val="0"/>
          <w:snapToGrid w:val="0"/>
          <w:color w:val="auto"/>
          <w:highlight w:val="none"/>
        </w:rPr>
      </w:pPr>
      <w:bookmarkStart w:id="393" w:name="_Toc19223"/>
      <w:bookmarkStart w:id="394" w:name="_Toc9533"/>
      <w:bookmarkStart w:id="395" w:name="_Toc509218744"/>
      <w:bookmarkStart w:id="396" w:name="_Toc430530469"/>
      <w:r>
        <w:rPr>
          <w:rFonts w:ascii="宋体" w:hAnsi="宋体"/>
          <w:b w:val="0"/>
          <w:snapToGrid w:val="0"/>
          <w:color w:val="auto"/>
          <w:highlight w:val="none"/>
        </w:rPr>
        <w:t>6. 评标</w:t>
      </w:r>
      <w:bookmarkEnd w:id="386"/>
      <w:bookmarkEnd w:id="387"/>
      <w:bookmarkEnd w:id="388"/>
      <w:bookmarkEnd w:id="389"/>
      <w:bookmarkEnd w:id="390"/>
      <w:bookmarkEnd w:id="393"/>
      <w:bookmarkEnd w:id="394"/>
      <w:bookmarkEnd w:id="395"/>
      <w:bookmarkEnd w:id="396"/>
    </w:p>
    <w:p w14:paraId="5F5BE996">
      <w:pPr>
        <w:pStyle w:val="6"/>
        <w:keepNext w:val="0"/>
        <w:keepLines w:val="0"/>
        <w:snapToGrid w:val="0"/>
        <w:spacing w:before="0" w:after="0" w:line="360" w:lineRule="auto"/>
        <w:rPr>
          <w:rFonts w:ascii="宋体" w:hAnsi="宋体"/>
          <w:b w:val="0"/>
          <w:snapToGrid w:val="0"/>
          <w:color w:val="auto"/>
          <w:sz w:val="24"/>
          <w:szCs w:val="24"/>
          <w:highlight w:val="none"/>
        </w:rPr>
      </w:pPr>
      <w:bookmarkStart w:id="397" w:name="_Toc509218745"/>
      <w:bookmarkStart w:id="398" w:name="_Toc287620720"/>
      <w:bookmarkStart w:id="399" w:name="_Toc430530470"/>
      <w:bookmarkStart w:id="400" w:name="_Toc277082587"/>
      <w:bookmarkStart w:id="401" w:name="_Toc29115"/>
      <w:bookmarkStart w:id="402" w:name="_Toc287607781"/>
      <w:bookmarkStart w:id="403" w:name="_Toc200513161"/>
      <w:bookmarkStart w:id="404" w:name="_Toc28100"/>
      <w:bookmarkStart w:id="405" w:name="_Toc224103352"/>
      <w:r>
        <w:rPr>
          <w:rFonts w:ascii="宋体" w:hAnsi="宋体"/>
          <w:b w:val="0"/>
          <w:snapToGrid w:val="0"/>
          <w:color w:val="auto"/>
          <w:sz w:val="24"/>
          <w:szCs w:val="24"/>
          <w:highlight w:val="none"/>
        </w:rPr>
        <w:t>6.1  评标委员会</w:t>
      </w:r>
      <w:bookmarkEnd w:id="397"/>
      <w:bookmarkEnd w:id="398"/>
      <w:bookmarkEnd w:id="399"/>
      <w:bookmarkEnd w:id="400"/>
      <w:bookmarkEnd w:id="401"/>
      <w:bookmarkEnd w:id="402"/>
      <w:bookmarkEnd w:id="403"/>
      <w:bookmarkEnd w:id="404"/>
      <w:bookmarkEnd w:id="405"/>
    </w:p>
    <w:p w14:paraId="3772E728">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14:paraId="034FA21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3CBA85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14:paraId="6180C92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52380A7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14:paraId="1B9008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353AE44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3E07054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0150A97F">
      <w:pPr>
        <w:pStyle w:val="6"/>
        <w:snapToGrid w:val="0"/>
        <w:spacing w:before="0" w:after="0" w:line="360" w:lineRule="auto"/>
        <w:rPr>
          <w:rFonts w:ascii="宋体" w:hAnsi="宋体"/>
          <w:b w:val="0"/>
          <w:snapToGrid w:val="0"/>
          <w:color w:val="auto"/>
          <w:sz w:val="24"/>
          <w:szCs w:val="24"/>
          <w:highlight w:val="none"/>
        </w:rPr>
      </w:pPr>
      <w:bookmarkStart w:id="406" w:name="_Toc224103353"/>
      <w:bookmarkStart w:id="407" w:name="_Toc287607782"/>
      <w:bookmarkStart w:id="408" w:name="_Toc430530471"/>
      <w:bookmarkStart w:id="409" w:name="_Toc200513162"/>
      <w:bookmarkStart w:id="410" w:name="_Toc509218746"/>
      <w:bookmarkStart w:id="411" w:name="_Toc287620721"/>
      <w:bookmarkStart w:id="412" w:name="_Toc21914"/>
      <w:bookmarkStart w:id="413" w:name="_Toc12166"/>
      <w:bookmarkStart w:id="414" w:name="_Toc277082588"/>
      <w:r>
        <w:rPr>
          <w:rFonts w:ascii="宋体" w:hAnsi="宋体"/>
          <w:b w:val="0"/>
          <w:snapToGrid w:val="0"/>
          <w:color w:val="auto"/>
          <w:sz w:val="24"/>
          <w:szCs w:val="24"/>
          <w:highlight w:val="none"/>
        </w:rPr>
        <w:t>6.2  评标原则</w:t>
      </w:r>
      <w:bookmarkEnd w:id="406"/>
      <w:bookmarkEnd w:id="407"/>
      <w:bookmarkEnd w:id="408"/>
      <w:bookmarkEnd w:id="409"/>
      <w:bookmarkEnd w:id="410"/>
      <w:bookmarkEnd w:id="411"/>
      <w:bookmarkEnd w:id="412"/>
      <w:bookmarkEnd w:id="413"/>
      <w:bookmarkEnd w:id="414"/>
    </w:p>
    <w:p w14:paraId="336F46A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6A2D271A">
      <w:pPr>
        <w:pStyle w:val="6"/>
        <w:snapToGrid w:val="0"/>
        <w:spacing w:before="0" w:after="0" w:line="360" w:lineRule="auto"/>
        <w:rPr>
          <w:rFonts w:ascii="宋体" w:hAnsi="宋体"/>
          <w:b w:val="0"/>
          <w:snapToGrid w:val="0"/>
          <w:color w:val="auto"/>
          <w:sz w:val="24"/>
          <w:szCs w:val="24"/>
          <w:highlight w:val="none"/>
        </w:rPr>
      </w:pPr>
      <w:bookmarkStart w:id="415" w:name="_Toc430530472"/>
      <w:bookmarkStart w:id="416" w:name="_Toc287607783"/>
      <w:bookmarkStart w:id="417" w:name="_Toc14701"/>
      <w:bookmarkStart w:id="418" w:name="_Toc509218747"/>
      <w:bookmarkStart w:id="419" w:name="_Toc200513163"/>
      <w:bookmarkStart w:id="420" w:name="_Toc31178"/>
      <w:bookmarkStart w:id="421" w:name="_Toc287620722"/>
      <w:bookmarkStart w:id="422" w:name="_Toc224103354"/>
      <w:bookmarkStart w:id="423" w:name="_Toc277082589"/>
      <w:r>
        <w:rPr>
          <w:rFonts w:ascii="宋体" w:hAnsi="宋体"/>
          <w:b w:val="0"/>
          <w:snapToGrid w:val="0"/>
          <w:color w:val="auto"/>
          <w:sz w:val="24"/>
          <w:szCs w:val="24"/>
          <w:highlight w:val="none"/>
        </w:rPr>
        <w:t>6.3  评标</w:t>
      </w:r>
      <w:bookmarkEnd w:id="415"/>
      <w:bookmarkEnd w:id="416"/>
      <w:bookmarkEnd w:id="417"/>
      <w:bookmarkEnd w:id="418"/>
      <w:bookmarkEnd w:id="419"/>
      <w:bookmarkEnd w:id="420"/>
      <w:bookmarkEnd w:id="421"/>
      <w:bookmarkEnd w:id="422"/>
      <w:bookmarkEnd w:id="423"/>
    </w:p>
    <w:p w14:paraId="5EDD0E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14:paraId="245FA5C6">
      <w:pPr>
        <w:pStyle w:val="5"/>
        <w:spacing w:before="0" w:after="0" w:line="360" w:lineRule="auto"/>
        <w:rPr>
          <w:rFonts w:ascii="宋体" w:hAnsi="宋体"/>
          <w:b w:val="0"/>
          <w:snapToGrid w:val="0"/>
          <w:color w:val="auto"/>
          <w:highlight w:val="none"/>
        </w:rPr>
      </w:pPr>
      <w:bookmarkStart w:id="424" w:name="_Toc430530473"/>
      <w:bookmarkStart w:id="425" w:name="_Toc287607784"/>
      <w:bookmarkStart w:id="426" w:name="_Toc2723"/>
      <w:bookmarkStart w:id="427" w:name="_Toc22597"/>
      <w:bookmarkStart w:id="428" w:name="_Toc509218748"/>
      <w:bookmarkStart w:id="429" w:name="_Toc200513164"/>
      <w:bookmarkStart w:id="430" w:name="_Toc287620723"/>
      <w:bookmarkStart w:id="431" w:name="_Toc277082590"/>
      <w:bookmarkStart w:id="432" w:name="_Toc224103355"/>
      <w:r>
        <w:rPr>
          <w:rFonts w:ascii="宋体" w:hAnsi="宋体"/>
          <w:b w:val="0"/>
          <w:snapToGrid w:val="0"/>
          <w:color w:val="auto"/>
          <w:highlight w:val="none"/>
        </w:rPr>
        <w:t>7. 合同授予</w:t>
      </w:r>
      <w:bookmarkEnd w:id="424"/>
      <w:bookmarkEnd w:id="425"/>
      <w:bookmarkEnd w:id="426"/>
      <w:bookmarkEnd w:id="427"/>
      <w:bookmarkEnd w:id="428"/>
      <w:bookmarkEnd w:id="429"/>
      <w:bookmarkEnd w:id="430"/>
      <w:bookmarkEnd w:id="431"/>
      <w:bookmarkEnd w:id="432"/>
    </w:p>
    <w:p w14:paraId="0B55F664">
      <w:pPr>
        <w:pStyle w:val="6"/>
        <w:snapToGrid w:val="0"/>
        <w:spacing w:before="0" w:after="0" w:line="360" w:lineRule="auto"/>
        <w:rPr>
          <w:rFonts w:ascii="宋体" w:hAnsi="宋体"/>
          <w:b w:val="0"/>
          <w:snapToGrid w:val="0"/>
          <w:color w:val="auto"/>
          <w:sz w:val="24"/>
          <w:szCs w:val="24"/>
          <w:highlight w:val="none"/>
        </w:rPr>
      </w:pPr>
      <w:bookmarkStart w:id="433" w:name="_Toc287620724"/>
      <w:bookmarkStart w:id="434" w:name="_Toc200513165"/>
      <w:bookmarkStart w:id="435" w:name="_Toc224103356"/>
      <w:bookmarkStart w:id="436" w:name="_Toc29937"/>
      <w:bookmarkStart w:id="437" w:name="_Toc287607785"/>
      <w:bookmarkStart w:id="438" w:name="_Toc277082591"/>
      <w:bookmarkStart w:id="439" w:name="_Toc27744"/>
      <w:bookmarkStart w:id="440" w:name="_Toc430530474"/>
      <w:bookmarkStart w:id="441" w:name="_Toc509218749"/>
      <w:r>
        <w:rPr>
          <w:rFonts w:ascii="宋体" w:hAnsi="宋体"/>
          <w:b w:val="0"/>
          <w:snapToGrid w:val="0"/>
          <w:color w:val="auto"/>
          <w:sz w:val="24"/>
          <w:szCs w:val="24"/>
          <w:highlight w:val="none"/>
        </w:rPr>
        <w:t>7.1  定标方式</w:t>
      </w:r>
      <w:bookmarkEnd w:id="433"/>
      <w:bookmarkEnd w:id="434"/>
      <w:bookmarkEnd w:id="435"/>
      <w:bookmarkEnd w:id="436"/>
      <w:bookmarkEnd w:id="437"/>
      <w:bookmarkEnd w:id="438"/>
      <w:bookmarkEnd w:id="439"/>
      <w:bookmarkEnd w:id="440"/>
      <w:bookmarkEnd w:id="441"/>
    </w:p>
    <w:p w14:paraId="6C760E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应当确定排名第一的中标候选人为中标人。排名第一的中标候选人放弃中标、因不可抗力不能履行合同、不按照</w:t>
      </w:r>
      <w:r>
        <w:rPr>
          <w:rFonts w:hint="eastAsia" w:ascii="宋体" w:hAnsi="宋体"/>
          <w:color w:val="auto"/>
          <w:szCs w:val="21"/>
          <w:highlight w:val="none"/>
          <w:lang w:eastAsia="zh-CN"/>
        </w:rPr>
        <w:t>比选文件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lang w:eastAsia="zh-CN"/>
        </w:rPr>
        <w:t>比选人</w:t>
      </w:r>
      <w:r>
        <w:rPr>
          <w:rFonts w:ascii="宋体" w:hAnsi="宋体"/>
          <w:color w:val="auto"/>
          <w:szCs w:val="21"/>
          <w:highlight w:val="none"/>
        </w:rPr>
        <w:t>可以按照评标委员会提出的中标候选人名单排序依次确定其他中标候选人为中标人，也可以重新招标。</w:t>
      </w:r>
    </w:p>
    <w:p w14:paraId="3B0F9C60">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25B617CB">
      <w:pPr>
        <w:pStyle w:val="6"/>
        <w:snapToGrid w:val="0"/>
        <w:spacing w:before="0" w:after="0" w:line="360" w:lineRule="auto"/>
        <w:rPr>
          <w:rFonts w:ascii="宋体" w:hAnsi="宋体"/>
          <w:b w:val="0"/>
          <w:snapToGrid w:val="0"/>
          <w:color w:val="auto"/>
          <w:sz w:val="24"/>
          <w:szCs w:val="24"/>
          <w:highlight w:val="none"/>
        </w:rPr>
      </w:pPr>
      <w:bookmarkStart w:id="442" w:name="_Toc12126"/>
      <w:bookmarkStart w:id="443" w:name="_Toc23594"/>
      <w:bookmarkStart w:id="444" w:name="_Toc430530475"/>
      <w:bookmarkStart w:id="445" w:name="_Toc509218750"/>
      <w:r>
        <w:rPr>
          <w:rFonts w:ascii="宋体" w:hAnsi="宋体"/>
          <w:b w:val="0"/>
          <w:snapToGrid w:val="0"/>
          <w:color w:val="auto"/>
          <w:sz w:val="24"/>
          <w:szCs w:val="24"/>
          <w:highlight w:val="none"/>
        </w:rPr>
        <w:t>7.2  中标公示及中标通知</w:t>
      </w:r>
      <w:bookmarkEnd w:id="442"/>
      <w:bookmarkEnd w:id="443"/>
      <w:bookmarkEnd w:id="444"/>
      <w:bookmarkEnd w:id="445"/>
    </w:p>
    <w:p w14:paraId="4001D2FC">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在收到评标报告之日起3日内公示中标候选人，公示期不得少于3日</w:t>
      </w:r>
      <w:r>
        <w:rPr>
          <w:rFonts w:hint="eastAsia" w:ascii="宋体" w:hAnsi="宋体"/>
          <w:color w:val="auto"/>
          <w:szCs w:val="21"/>
          <w:highlight w:val="none"/>
        </w:rPr>
        <w:t>。</w:t>
      </w:r>
    </w:p>
    <w:p w14:paraId="04342D0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以书面形式向中标人发出中标通知书。</w:t>
      </w:r>
    </w:p>
    <w:p w14:paraId="20DDCE45">
      <w:pPr>
        <w:pStyle w:val="6"/>
        <w:snapToGrid w:val="0"/>
        <w:spacing w:before="0" w:after="0" w:line="360" w:lineRule="auto"/>
        <w:rPr>
          <w:rFonts w:ascii="宋体" w:hAnsi="宋体"/>
          <w:b w:val="0"/>
          <w:snapToGrid w:val="0"/>
          <w:color w:val="auto"/>
          <w:sz w:val="24"/>
          <w:szCs w:val="24"/>
          <w:highlight w:val="none"/>
        </w:rPr>
      </w:pPr>
      <w:bookmarkStart w:id="446" w:name="_Toc287607787"/>
      <w:bookmarkStart w:id="447" w:name="_Toc200513167"/>
      <w:bookmarkStart w:id="448" w:name="_Toc277082593"/>
      <w:bookmarkStart w:id="449" w:name="_Toc509218751"/>
      <w:bookmarkStart w:id="450" w:name="_Toc287620726"/>
      <w:bookmarkStart w:id="451" w:name="_Toc13383"/>
      <w:bookmarkStart w:id="452" w:name="_Toc32419"/>
      <w:bookmarkStart w:id="453" w:name="_Toc430530476"/>
      <w:bookmarkStart w:id="454" w:name="_Toc224103358"/>
      <w:r>
        <w:rPr>
          <w:rFonts w:ascii="宋体" w:hAnsi="宋体"/>
          <w:b w:val="0"/>
          <w:snapToGrid w:val="0"/>
          <w:color w:val="auto"/>
          <w:sz w:val="24"/>
          <w:szCs w:val="24"/>
          <w:highlight w:val="none"/>
        </w:rPr>
        <w:t>7.3  履约担保</w:t>
      </w:r>
      <w:bookmarkEnd w:id="446"/>
      <w:bookmarkEnd w:id="447"/>
      <w:bookmarkEnd w:id="448"/>
      <w:bookmarkEnd w:id="449"/>
      <w:bookmarkEnd w:id="450"/>
      <w:bookmarkEnd w:id="451"/>
      <w:bookmarkEnd w:id="452"/>
      <w:bookmarkEnd w:id="453"/>
      <w:bookmarkEnd w:id="454"/>
    </w:p>
    <w:p w14:paraId="5B2B37E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提交履约担保。联合体中标的，其履约担保由牵头人递交，并应符合投标人须知前附表规定的金额、担保形式和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第四章“合同条款及格式”规定的履约担保格式要求。</w:t>
      </w:r>
    </w:p>
    <w:p w14:paraId="532E79F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1E7931E3">
      <w:pPr>
        <w:pStyle w:val="6"/>
        <w:snapToGrid w:val="0"/>
        <w:spacing w:before="0" w:after="0" w:line="360" w:lineRule="auto"/>
        <w:rPr>
          <w:rFonts w:ascii="宋体" w:hAnsi="宋体"/>
          <w:b w:val="0"/>
          <w:snapToGrid w:val="0"/>
          <w:color w:val="auto"/>
          <w:sz w:val="24"/>
          <w:szCs w:val="24"/>
          <w:highlight w:val="none"/>
        </w:rPr>
      </w:pPr>
      <w:bookmarkStart w:id="455" w:name="_Toc17794"/>
      <w:bookmarkStart w:id="456" w:name="_Toc430530477"/>
      <w:bookmarkStart w:id="457" w:name="_Toc509218752"/>
      <w:bookmarkStart w:id="458" w:name="_Toc16900"/>
      <w:bookmarkStart w:id="459" w:name="_Toc277082594"/>
      <w:bookmarkStart w:id="460" w:name="_Toc287620727"/>
      <w:bookmarkStart w:id="461" w:name="_Toc224103359"/>
      <w:bookmarkStart w:id="462" w:name="_Toc200513168"/>
      <w:bookmarkStart w:id="463" w:name="_Toc287607788"/>
      <w:r>
        <w:rPr>
          <w:rFonts w:ascii="宋体" w:hAnsi="宋体"/>
          <w:b w:val="0"/>
          <w:snapToGrid w:val="0"/>
          <w:color w:val="auto"/>
          <w:sz w:val="24"/>
          <w:szCs w:val="24"/>
          <w:highlight w:val="none"/>
        </w:rPr>
        <w:t>7.4  签订合同</w:t>
      </w:r>
      <w:bookmarkEnd w:id="455"/>
      <w:bookmarkEnd w:id="456"/>
      <w:bookmarkEnd w:id="457"/>
      <w:bookmarkEnd w:id="458"/>
      <w:bookmarkEnd w:id="459"/>
      <w:bookmarkEnd w:id="460"/>
      <w:bookmarkEnd w:id="461"/>
      <w:bookmarkEnd w:id="462"/>
      <w:bookmarkEnd w:id="463"/>
    </w:p>
    <w:p w14:paraId="54A3027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和中标人应当自中标通知书发出之日起</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天内，根据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要求提交低价风险担保（适用于经评审最低投标价法）或履约保证金的，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3155394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向中标人退还投标保证金；给中标人造成损失的，还应当赔偿损失。</w:t>
      </w:r>
    </w:p>
    <w:p w14:paraId="2D5AB359">
      <w:pPr>
        <w:pStyle w:val="5"/>
        <w:spacing w:before="0" w:after="0" w:line="360" w:lineRule="auto"/>
        <w:rPr>
          <w:rFonts w:ascii="宋体" w:hAnsi="宋体"/>
          <w:b w:val="0"/>
          <w:snapToGrid w:val="0"/>
          <w:color w:val="auto"/>
          <w:highlight w:val="none"/>
        </w:rPr>
      </w:pPr>
      <w:bookmarkStart w:id="464" w:name="_Toc224103360"/>
      <w:bookmarkStart w:id="465" w:name="_Toc200513169"/>
      <w:bookmarkStart w:id="466" w:name="_Toc509218753"/>
      <w:bookmarkStart w:id="467" w:name="_Toc277082595"/>
      <w:bookmarkStart w:id="468" w:name="_Toc22591"/>
      <w:bookmarkStart w:id="469" w:name="_Toc287620728"/>
      <w:bookmarkStart w:id="470" w:name="_Toc430530478"/>
      <w:bookmarkStart w:id="471" w:name="_Toc6795"/>
      <w:bookmarkStart w:id="472" w:name="_Toc287607789"/>
      <w:r>
        <w:rPr>
          <w:rFonts w:ascii="宋体" w:hAnsi="宋体"/>
          <w:b w:val="0"/>
          <w:snapToGrid w:val="0"/>
          <w:color w:val="auto"/>
          <w:highlight w:val="none"/>
        </w:rPr>
        <w:t>8. 重新招标和不再招标</w:t>
      </w:r>
      <w:bookmarkEnd w:id="464"/>
      <w:bookmarkEnd w:id="465"/>
      <w:bookmarkEnd w:id="466"/>
      <w:bookmarkEnd w:id="467"/>
      <w:bookmarkEnd w:id="468"/>
      <w:bookmarkEnd w:id="469"/>
      <w:bookmarkEnd w:id="470"/>
      <w:bookmarkEnd w:id="471"/>
      <w:bookmarkEnd w:id="472"/>
    </w:p>
    <w:p w14:paraId="1A9E4B68">
      <w:pPr>
        <w:pStyle w:val="6"/>
        <w:snapToGrid w:val="0"/>
        <w:spacing w:before="0" w:after="0" w:line="360" w:lineRule="auto"/>
        <w:rPr>
          <w:rFonts w:ascii="宋体" w:hAnsi="宋体"/>
          <w:b w:val="0"/>
          <w:snapToGrid w:val="0"/>
          <w:color w:val="auto"/>
          <w:sz w:val="24"/>
          <w:szCs w:val="24"/>
          <w:highlight w:val="none"/>
        </w:rPr>
      </w:pPr>
      <w:bookmarkStart w:id="473" w:name="_Toc509218754"/>
      <w:bookmarkStart w:id="474" w:name="_Toc200513170"/>
      <w:bookmarkStart w:id="475" w:name="_Toc4647"/>
      <w:bookmarkStart w:id="476" w:name="_Toc430530479"/>
      <w:bookmarkStart w:id="477" w:name="_Toc277082596"/>
      <w:bookmarkStart w:id="478" w:name="_Toc287607790"/>
      <w:bookmarkStart w:id="479" w:name="_Toc224103361"/>
      <w:bookmarkStart w:id="480" w:name="_Toc287620729"/>
      <w:bookmarkStart w:id="481" w:name="_Toc1904"/>
      <w:r>
        <w:rPr>
          <w:rFonts w:ascii="宋体" w:hAnsi="宋体"/>
          <w:b w:val="0"/>
          <w:snapToGrid w:val="0"/>
          <w:color w:val="auto"/>
          <w:sz w:val="24"/>
          <w:szCs w:val="24"/>
          <w:highlight w:val="none"/>
        </w:rPr>
        <w:t>8.1  重新招标</w:t>
      </w:r>
      <w:bookmarkEnd w:id="473"/>
      <w:bookmarkEnd w:id="474"/>
      <w:bookmarkEnd w:id="475"/>
      <w:bookmarkEnd w:id="476"/>
      <w:bookmarkEnd w:id="477"/>
      <w:bookmarkEnd w:id="478"/>
      <w:bookmarkEnd w:id="479"/>
      <w:bookmarkEnd w:id="480"/>
      <w:r>
        <w:rPr>
          <w:rFonts w:hint="eastAsia" w:ascii="宋体" w:hAnsi="宋体"/>
          <w:b w:val="0"/>
          <w:snapToGrid w:val="0"/>
          <w:color w:val="auto"/>
          <w:sz w:val="24"/>
          <w:szCs w:val="24"/>
          <w:highlight w:val="none"/>
        </w:rPr>
        <w:t>的情形</w:t>
      </w:r>
      <w:bookmarkEnd w:id="481"/>
    </w:p>
    <w:p w14:paraId="76D791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将重新招标：</w:t>
      </w:r>
    </w:p>
    <w:p w14:paraId="544890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2642AC5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481F66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要求的，评标委员会可以继续评标并确定中标候选人；</w:t>
      </w:r>
    </w:p>
    <w:p w14:paraId="3DC0B7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0B9976DE">
      <w:pPr>
        <w:pStyle w:val="6"/>
        <w:snapToGrid w:val="0"/>
        <w:spacing w:before="0" w:after="0" w:line="360" w:lineRule="auto"/>
        <w:rPr>
          <w:rFonts w:ascii="宋体" w:hAnsi="宋体"/>
          <w:b w:val="0"/>
          <w:snapToGrid w:val="0"/>
          <w:color w:val="auto"/>
          <w:sz w:val="24"/>
          <w:szCs w:val="24"/>
          <w:highlight w:val="none"/>
        </w:rPr>
      </w:pPr>
      <w:bookmarkStart w:id="482" w:name="_Toc430530480"/>
      <w:bookmarkStart w:id="483" w:name="_Toc287620730"/>
      <w:bookmarkStart w:id="484" w:name="_Toc500"/>
      <w:bookmarkStart w:id="485" w:name="_Toc200513171"/>
      <w:bookmarkStart w:id="486" w:name="_Toc224103362"/>
      <w:bookmarkStart w:id="487" w:name="_Toc277082597"/>
      <w:bookmarkStart w:id="488" w:name="_Toc32210"/>
      <w:bookmarkStart w:id="489" w:name="_Toc509218755"/>
      <w:bookmarkStart w:id="490" w:name="_Toc287607791"/>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82"/>
      <w:bookmarkEnd w:id="483"/>
      <w:bookmarkEnd w:id="484"/>
      <w:bookmarkEnd w:id="485"/>
      <w:bookmarkEnd w:id="486"/>
      <w:bookmarkEnd w:id="487"/>
      <w:bookmarkEnd w:id="488"/>
      <w:bookmarkEnd w:id="489"/>
      <w:bookmarkEnd w:id="490"/>
    </w:p>
    <w:p w14:paraId="125DE54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2E43B98F">
      <w:pPr>
        <w:pStyle w:val="5"/>
        <w:spacing w:before="0" w:after="0" w:line="360" w:lineRule="auto"/>
        <w:rPr>
          <w:rFonts w:ascii="宋体" w:hAnsi="宋体"/>
          <w:b w:val="0"/>
          <w:snapToGrid w:val="0"/>
          <w:color w:val="auto"/>
          <w:highlight w:val="none"/>
        </w:rPr>
      </w:pPr>
      <w:bookmarkStart w:id="491" w:name="_Toc285"/>
      <w:bookmarkStart w:id="492" w:name="_Toc509218756"/>
      <w:bookmarkStart w:id="493" w:name="_Toc200513172"/>
      <w:bookmarkStart w:id="494" w:name="_Toc287607792"/>
      <w:bookmarkStart w:id="495" w:name="_Toc430530481"/>
      <w:bookmarkStart w:id="496" w:name="_Toc277082598"/>
      <w:bookmarkStart w:id="497" w:name="_Toc287620731"/>
      <w:bookmarkStart w:id="498" w:name="_Toc224103363"/>
      <w:bookmarkStart w:id="499" w:name="_Toc32580"/>
      <w:r>
        <w:rPr>
          <w:rFonts w:ascii="宋体" w:hAnsi="宋体"/>
          <w:b w:val="0"/>
          <w:snapToGrid w:val="0"/>
          <w:color w:val="auto"/>
          <w:highlight w:val="none"/>
        </w:rPr>
        <w:t>9. 纪律和监督</w:t>
      </w:r>
      <w:bookmarkEnd w:id="491"/>
      <w:bookmarkEnd w:id="492"/>
      <w:bookmarkEnd w:id="493"/>
      <w:bookmarkEnd w:id="494"/>
      <w:bookmarkEnd w:id="495"/>
      <w:bookmarkEnd w:id="496"/>
      <w:bookmarkEnd w:id="497"/>
      <w:bookmarkEnd w:id="498"/>
      <w:bookmarkEnd w:id="499"/>
    </w:p>
    <w:p w14:paraId="13EDE4A9">
      <w:pPr>
        <w:pStyle w:val="6"/>
        <w:snapToGrid w:val="0"/>
        <w:spacing w:before="0" w:after="0" w:line="360" w:lineRule="auto"/>
        <w:rPr>
          <w:rFonts w:ascii="宋体" w:hAnsi="宋体"/>
          <w:b w:val="0"/>
          <w:snapToGrid w:val="0"/>
          <w:color w:val="auto"/>
          <w:sz w:val="24"/>
          <w:szCs w:val="24"/>
          <w:highlight w:val="none"/>
        </w:rPr>
      </w:pPr>
      <w:bookmarkStart w:id="500" w:name="_Toc277082599"/>
      <w:bookmarkStart w:id="501" w:name="_Toc224103364"/>
      <w:bookmarkStart w:id="502" w:name="_Toc509218757"/>
      <w:bookmarkStart w:id="503" w:name="_Toc287620732"/>
      <w:bookmarkStart w:id="504" w:name="_Toc28527"/>
      <w:bookmarkStart w:id="505" w:name="_Toc200513173"/>
      <w:bookmarkStart w:id="506" w:name="_Toc11532"/>
      <w:bookmarkStart w:id="507" w:name="_Toc430530482"/>
      <w:bookmarkStart w:id="508" w:name="_Toc287607793"/>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500"/>
      <w:bookmarkEnd w:id="501"/>
      <w:bookmarkEnd w:id="502"/>
      <w:bookmarkEnd w:id="503"/>
      <w:bookmarkEnd w:id="504"/>
      <w:bookmarkEnd w:id="505"/>
      <w:bookmarkEnd w:id="506"/>
      <w:bookmarkEnd w:id="507"/>
      <w:bookmarkEnd w:id="508"/>
    </w:p>
    <w:p w14:paraId="779ABDAD">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不得泄漏招标投标活动中应当保密的情况和资料，不得与投标人串通损害国家利 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与投标人串通投标。</w:t>
      </w:r>
    </w:p>
    <w:p w14:paraId="06EDA81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与投标人串通投标：</w:t>
      </w:r>
    </w:p>
    <w:p w14:paraId="2B0B88A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在开标前开启投标文件并将有关信息泄露给其他投标人</w:t>
      </w:r>
      <w:r>
        <w:rPr>
          <w:rFonts w:hint="eastAsia" w:ascii="宋体" w:hAnsi="宋体"/>
          <w:color w:val="auto"/>
          <w:highlight w:val="none"/>
        </w:rPr>
        <w:t>；</w:t>
      </w:r>
    </w:p>
    <w:p w14:paraId="3CC367A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直接或者间接向投标人泄露标底、评标委员会成员等信息；</w:t>
      </w:r>
    </w:p>
    <w:p w14:paraId="42E64B7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明示或者暗示投标人压低或者抬高投标报价；</w:t>
      </w:r>
    </w:p>
    <w:p w14:paraId="31B7EEA5">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授意投标人撤换、修改投标文件；</w:t>
      </w:r>
    </w:p>
    <w:p w14:paraId="6EF8B674">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明示或者暗示投标人为特定投标人中标提供方便；</w:t>
      </w:r>
    </w:p>
    <w:p w14:paraId="4DD33D2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与投标人为谋求特定投标人中标而采取的其他串通行为。</w:t>
      </w:r>
    </w:p>
    <w:p w14:paraId="685EE5AF">
      <w:pPr>
        <w:pStyle w:val="6"/>
        <w:snapToGrid w:val="0"/>
        <w:spacing w:before="0" w:after="0" w:line="360" w:lineRule="auto"/>
        <w:rPr>
          <w:rFonts w:ascii="宋体" w:hAnsi="宋体"/>
          <w:b w:val="0"/>
          <w:snapToGrid w:val="0"/>
          <w:color w:val="auto"/>
          <w:sz w:val="24"/>
          <w:szCs w:val="24"/>
          <w:highlight w:val="none"/>
        </w:rPr>
      </w:pPr>
      <w:bookmarkStart w:id="509" w:name="_Toc430530483"/>
      <w:bookmarkStart w:id="510" w:name="_Toc509218758"/>
      <w:bookmarkStart w:id="511" w:name="_Toc200513174"/>
      <w:bookmarkStart w:id="512" w:name="_Toc277082600"/>
      <w:bookmarkStart w:id="513" w:name="_Toc224103365"/>
      <w:bookmarkStart w:id="514" w:name="_Toc287620733"/>
      <w:bookmarkStart w:id="515" w:name="_Toc6794"/>
      <w:bookmarkStart w:id="516" w:name="_Toc11710"/>
      <w:bookmarkStart w:id="517" w:name="_Toc287607794"/>
      <w:r>
        <w:rPr>
          <w:rFonts w:ascii="宋体" w:hAnsi="宋体"/>
          <w:b w:val="0"/>
          <w:snapToGrid w:val="0"/>
          <w:color w:val="auto"/>
          <w:sz w:val="24"/>
          <w:szCs w:val="24"/>
          <w:highlight w:val="none"/>
        </w:rPr>
        <w:t>9.2  对投标人的纪律要求</w:t>
      </w:r>
      <w:bookmarkEnd w:id="509"/>
      <w:bookmarkEnd w:id="510"/>
      <w:bookmarkEnd w:id="511"/>
      <w:bookmarkEnd w:id="512"/>
      <w:bookmarkEnd w:id="513"/>
      <w:bookmarkEnd w:id="514"/>
      <w:bookmarkEnd w:id="515"/>
      <w:bookmarkEnd w:id="516"/>
      <w:bookmarkEnd w:id="517"/>
    </w:p>
    <w:p w14:paraId="61767AC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highlight w:val="none"/>
        </w:rPr>
        <w:t>。</w:t>
      </w:r>
    </w:p>
    <w:p w14:paraId="3DC9AE6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有下列情形之一的，属于投标人相互串通投标：</w:t>
      </w:r>
    </w:p>
    <w:p w14:paraId="230ED89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71A435A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02784FB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26C76E0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1AED9E6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47ADEC3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7C62786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31214C6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0022D96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6CDDBF5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6F79412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33777E7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p>
    <w:p w14:paraId="60D4A41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0D2F001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67DF459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3279F92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48D7941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58F3F85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37785D7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0BAF0AF8">
      <w:pPr>
        <w:pStyle w:val="6"/>
        <w:snapToGrid w:val="0"/>
        <w:spacing w:before="0" w:after="0" w:line="360" w:lineRule="auto"/>
        <w:rPr>
          <w:rFonts w:ascii="宋体" w:hAnsi="宋体"/>
          <w:b w:val="0"/>
          <w:snapToGrid w:val="0"/>
          <w:color w:val="auto"/>
          <w:sz w:val="24"/>
          <w:szCs w:val="24"/>
          <w:highlight w:val="none"/>
        </w:rPr>
      </w:pPr>
      <w:bookmarkStart w:id="518" w:name="_Toc277082601"/>
      <w:bookmarkStart w:id="519" w:name="_Toc430530484"/>
      <w:bookmarkStart w:id="520" w:name="_Toc224103366"/>
      <w:bookmarkStart w:id="521" w:name="_Toc27742"/>
      <w:bookmarkStart w:id="522" w:name="_Toc200513175"/>
      <w:bookmarkStart w:id="523" w:name="_Toc287607795"/>
      <w:bookmarkStart w:id="524" w:name="_Toc287620734"/>
      <w:bookmarkStart w:id="525" w:name="_Toc19095"/>
      <w:bookmarkStart w:id="526" w:name="_Toc509218759"/>
      <w:r>
        <w:rPr>
          <w:rFonts w:ascii="宋体" w:hAnsi="宋体"/>
          <w:b w:val="0"/>
          <w:snapToGrid w:val="0"/>
          <w:color w:val="auto"/>
          <w:sz w:val="24"/>
          <w:szCs w:val="24"/>
          <w:highlight w:val="none"/>
        </w:rPr>
        <w:t>9.3  对评标委员会成员的纪律要求</w:t>
      </w:r>
      <w:bookmarkEnd w:id="518"/>
      <w:bookmarkEnd w:id="519"/>
      <w:bookmarkEnd w:id="520"/>
      <w:bookmarkEnd w:id="521"/>
      <w:bookmarkEnd w:id="522"/>
      <w:bookmarkEnd w:id="523"/>
      <w:bookmarkEnd w:id="524"/>
      <w:bookmarkEnd w:id="525"/>
      <w:bookmarkEnd w:id="526"/>
    </w:p>
    <w:p w14:paraId="23243EB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1A52F43E">
      <w:pPr>
        <w:pStyle w:val="6"/>
        <w:snapToGrid w:val="0"/>
        <w:spacing w:before="0" w:after="0" w:line="360" w:lineRule="auto"/>
        <w:rPr>
          <w:rFonts w:ascii="宋体" w:hAnsi="宋体"/>
          <w:b w:val="0"/>
          <w:snapToGrid w:val="0"/>
          <w:color w:val="auto"/>
          <w:sz w:val="24"/>
          <w:szCs w:val="24"/>
          <w:highlight w:val="none"/>
        </w:rPr>
      </w:pPr>
      <w:bookmarkStart w:id="527" w:name="_Toc17353"/>
      <w:bookmarkStart w:id="528" w:name="_Toc31174"/>
      <w:bookmarkStart w:id="529" w:name="_Toc200513176"/>
      <w:bookmarkStart w:id="530" w:name="_Toc287620735"/>
      <w:bookmarkStart w:id="531" w:name="_Toc224103367"/>
      <w:bookmarkStart w:id="532" w:name="_Toc287607796"/>
      <w:bookmarkStart w:id="533" w:name="_Toc509218760"/>
      <w:bookmarkStart w:id="534" w:name="_Toc430530485"/>
      <w:bookmarkStart w:id="535" w:name="_Toc277082602"/>
      <w:r>
        <w:rPr>
          <w:rFonts w:ascii="宋体" w:hAnsi="宋体"/>
          <w:b w:val="0"/>
          <w:snapToGrid w:val="0"/>
          <w:color w:val="auto"/>
          <w:sz w:val="24"/>
          <w:szCs w:val="24"/>
          <w:highlight w:val="none"/>
        </w:rPr>
        <w:t>9.4  对与评标活动有关的工作人员的纪律要求</w:t>
      </w:r>
      <w:bookmarkEnd w:id="527"/>
      <w:bookmarkEnd w:id="528"/>
      <w:bookmarkEnd w:id="529"/>
      <w:bookmarkEnd w:id="530"/>
      <w:bookmarkEnd w:id="531"/>
      <w:bookmarkEnd w:id="532"/>
      <w:bookmarkEnd w:id="533"/>
      <w:bookmarkEnd w:id="534"/>
      <w:bookmarkEnd w:id="535"/>
    </w:p>
    <w:p w14:paraId="25EEB99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16B56208">
      <w:pPr>
        <w:pStyle w:val="6"/>
        <w:snapToGrid w:val="0"/>
        <w:spacing w:before="0" w:after="0" w:line="360" w:lineRule="auto"/>
        <w:rPr>
          <w:rFonts w:ascii="宋体" w:hAnsi="宋体"/>
          <w:b w:val="0"/>
          <w:snapToGrid w:val="0"/>
          <w:color w:val="auto"/>
          <w:sz w:val="24"/>
          <w:szCs w:val="24"/>
          <w:highlight w:val="none"/>
        </w:rPr>
      </w:pPr>
      <w:bookmarkStart w:id="536" w:name="_Toc287620736"/>
      <w:bookmarkStart w:id="537" w:name="_Toc224103368"/>
      <w:bookmarkStart w:id="538" w:name="_Toc29670"/>
      <w:bookmarkStart w:id="539" w:name="_Toc430530486"/>
      <w:bookmarkStart w:id="540" w:name="_Toc277082603"/>
      <w:bookmarkStart w:id="541" w:name="_Toc287607797"/>
      <w:bookmarkStart w:id="542" w:name="_Toc17234"/>
      <w:bookmarkStart w:id="543" w:name="_Toc200513177"/>
      <w:bookmarkStart w:id="544" w:name="_Toc509218761"/>
      <w:r>
        <w:rPr>
          <w:rFonts w:ascii="宋体" w:hAnsi="宋体"/>
          <w:b w:val="0"/>
          <w:snapToGrid w:val="0"/>
          <w:color w:val="auto"/>
          <w:sz w:val="24"/>
          <w:szCs w:val="24"/>
          <w:highlight w:val="none"/>
        </w:rPr>
        <w:t>9.5  投诉</w:t>
      </w:r>
      <w:bookmarkEnd w:id="536"/>
      <w:bookmarkEnd w:id="537"/>
      <w:bookmarkEnd w:id="538"/>
      <w:bookmarkEnd w:id="539"/>
      <w:bookmarkEnd w:id="540"/>
      <w:bookmarkEnd w:id="541"/>
      <w:bookmarkEnd w:id="542"/>
      <w:bookmarkEnd w:id="543"/>
      <w:bookmarkEnd w:id="544"/>
    </w:p>
    <w:p w14:paraId="330162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14:paraId="43D54E09">
      <w:pPr>
        <w:pStyle w:val="5"/>
        <w:spacing w:before="0" w:after="0" w:line="360" w:lineRule="auto"/>
        <w:rPr>
          <w:rFonts w:ascii="宋体" w:hAnsi="宋体"/>
          <w:b w:val="0"/>
          <w:snapToGrid w:val="0"/>
          <w:color w:val="auto"/>
          <w:highlight w:val="none"/>
        </w:rPr>
      </w:pPr>
      <w:bookmarkStart w:id="545" w:name="_Toc23914"/>
      <w:bookmarkStart w:id="546" w:name="_Toc287620737"/>
      <w:bookmarkStart w:id="547" w:name="_Toc287607798"/>
      <w:bookmarkStart w:id="548" w:name="_Toc277082604"/>
      <w:bookmarkStart w:id="549" w:name="_Toc509218762"/>
      <w:bookmarkStart w:id="550" w:name="_Toc224103369"/>
      <w:bookmarkStart w:id="551" w:name="_Toc200513178"/>
      <w:bookmarkStart w:id="552" w:name="_Toc430530487"/>
      <w:bookmarkStart w:id="553" w:name="_Toc13382"/>
      <w:r>
        <w:rPr>
          <w:rFonts w:ascii="宋体" w:hAnsi="宋体"/>
          <w:b w:val="0"/>
          <w:snapToGrid w:val="0"/>
          <w:color w:val="auto"/>
          <w:highlight w:val="none"/>
        </w:rPr>
        <w:t>10. 需要补充的其他内容</w:t>
      </w:r>
      <w:bookmarkEnd w:id="545"/>
      <w:bookmarkEnd w:id="546"/>
      <w:bookmarkEnd w:id="547"/>
      <w:bookmarkEnd w:id="548"/>
      <w:bookmarkEnd w:id="549"/>
      <w:bookmarkEnd w:id="550"/>
      <w:bookmarkEnd w:id="551"/>
      <w:bookmarkEnd w:id="552"/>
      <w:bookmarkEnd w:id="553"/>
    </w:p>
    <w:p w14:paraId="7918D47B">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6" w:h="16838"/>
          <w:pgMar w:top="9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14:paraId="3D8F638C">
      <w:pPr>
        <w:pStyle w:val="4"/>
        <w:spacing w:line="360" w:lineRule="auto"/>
        <w:jc w:val="center"/>
        <w:rPr>
          <w:rFonts w:ascii="宋体" w:hAnsi="宋体"/>
          <w:snapToGrid w:val="0"/>
          <w:color w:val="auto"/>
          <w:kern w:val="0"/>
          <w:highlight w:val="none"/>
        </w:rPr>
      </w:pPr>
      <w:bookmarkStart w:id="554" w:name="_Toc20466"/>
      <w:bookmarkStart w:id="555" w:name="_Toc3173"/>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54"/>
      <w:bookmarkEnd w:id="555"/>
    </w:p>
    <w:p w14:paraId="07AD140F">
      <w:pPr>
        <w:keepNext/>
        <w:keepLines/>
        <w:spacing w:before="100" w:after="100" w:line="360" w:lineRule="auto"/>
        <w:outlineLvl w:val="1"/>
        <w:rPr>
          <w:rFonts w:ascii="宋体" w:hAnsi="宋体"/>
          <w:b/>
          <w:color w:val="auto"/>
          <w:sz w:val="32"/>
          <w:szCs w:val="32"/>
          <w:highlight w:val="none"/>
        </w:rPr>
      </w:pPr>
      <w:bookmarkStart w:id="556" w:name="_Toc9040"/>
      <w:bookmarkStart w:id="557" w:name="_Toc14792"/>
      <w:r>
        <w:rPr>
          <w:rFonts w:hint="eastAsia" w:ascii="宋体" w:hAnsi="宋体"/>
          <w:b/>
          <w:color w:val="auto"/>
          <w:sz w:val="32"/>
          <w:szCs w:val="32"/>
          <w:highlight w:val="none"/>
        </w:rPr>
        <w:t>评标办法前附表</w:t>
      </w:r>
      <w:bookmarkEnd w:id="556"/>
      <w:bookmarkEnd w:id="557"/>
    </w:p>
    <w:p w14:paraId="0266CE66">
      <w:pPr>
        <w:spacing w:line="400" w:lineRule="exact"/>
        <w:ind w:firstLine="427" w:firstLineChars="196"/>
        <w:rPr>
          <w:rFonts w:ascii="宋体" w:hAnsi="宋体"/>
          <w:color w:val="auto"/>
          <w:spacing w:val="4"/>
          <w:kern w:val="0"/>
          <w:szCs w:val="21"/>
          <w:highlight w:val="none"/>
        </w:rPr>
      </w:pPr>
      <w:bookmarkStart w:id="558" w:name="_Toc13210726"/>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558"/>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6837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04F60687">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14:paraId="3F824DD7">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14:paraId="1DE502F5">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5A61C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64336EEB">
            <w:pPr>
              <w:pStyle w:val="86"/>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14:paraId="0BB24514">
            <w:pPr>
              <w:pStyle w:val="86"/>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14:paraId="4A378139">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若出现投标人投标报价相同的，由评标委员会</w:t>
            </w:r>
            <w:r>
              <w:rPr>
                <w:rFonts w:hint="eastAsia" w:ascii="宋体" w:hAnsi="宋体"/>
                <w:color w:val="auto"/>
                <w:spacing w:val="4"/>
                <w:kern w:val="0"/>
                <w:szCs w:val="21"/>
                <w:highlight w:val="none"/>
                <w:u w:val="single"/>
              </w:rPr>
              <w:t xml:space="preserve"> </w:t>
            </w:r>
            <w:r>
              <w:rPr>
                <w:rFonts w:hint="eastAsia" w:ascii="宋体" w:hAnsi="宋体" w:cs="宋体"/>
                <w:color w:val="auto"/>
                <w:spacing w:val="-7"/>
                <w:highlight w:val="none"/>
                <w:u w:val="single"/>
              </w:rPr>
              <w:t>全体成员投票，并按简单多数</w:t>
            </w:r>
            <w:r>
              <w:rPr>
                <w:rFonts w:hint="eastAsia" w:ascii="宋体" w:hAnsi="宋体" w:cs="宋体"/>
                <w:color w:val="auto"/>
                <w:highlight w:val="none"/>
                <w:u w:val="single"/>
                <w:lang w:val="en-US" w:eastAsia="zh-CN"/>
              </w:rPr>
              <w:t>的</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4110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2C8E0891">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14:paraId="07A5E4BD">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14:paraId="1071739F">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对报价不高于最高限价的所有投标人的投标文件，按照报价由低到高的顺序排列。</w:t>
            </w:r>
          </w:p>
        </w:tc>
      </w:tr>
      <w:tr w14:paraId="3F8E0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1C75BD43">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14:paraId="53C46558">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14:paraId="5DFFD014">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合格的投标人中，报价最低的成为第一中标候选人，报价次低的成为第二中标候选人，依次类推。</w:t>
            </w:r>
          </w:p>
        </w:tc>
      </w:tr>
      <w:tr w14:paraId="55DFA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6DEC779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14:paraId="41661B5C">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7679EC6A">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14:paraId="5F0DBAE6">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7432E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EF8C2F4">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2918BEC3">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664F1B1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14:paraId="22E869C2">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6CAA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6FC0F4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4D7504E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149371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14:paraId="63334AF2">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0F08C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5AE68E5">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624E0E7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FC359F6">
            <w:pPr>
              <w:snapToGrid w:val="0"/>
              <w:spacing w:after="78" w:afterLines="25"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14:paraId="6D8B55EB">
            <w:pPr>
              <w:snapToGrid w:val="0"/>
              <w:spacing w:line="400" w:lineRule="exact"/>
              <w:ind w:firstLine="420" w:firstLineChars="200"/>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符合第二章“投标人须知”第1.4.1项规定</w:t>
            </w:r>
          </w:p>
        </w:tc>
      </w:tr>
      <w:tr w14:paraId="2506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631435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04790CE2">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0A829812">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14:paraId="4A97626A">
            <w:pPr>
              <w:snapToGrid w:val="0"/>
              <w:spacing w:line="400" w:lineRule="exact"/>
              <w:ind w:firstLine="420" w:firstLineChars="200"/>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符合第二章“投标人须知”第1.4.1项规定</w:t>
            </w:r>
          </w:p>
        </w:tc>
      </w:tr>
      <w:tr w14:paraId="1DFCB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243" w:type="dxa"/>
            <w:vMerge w:val="continue"/>
            <w:tcBorders>
              <w:right w:val="single" w:color="auto" w:sz="4" w:space="0"/>
            </w:tcBorders>
            <w:vAlign w:val="center"/>
          </w:tcPr>
          <w:p w14:paraId="6773E229">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62DCD0C8">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7CE326D1">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14:paraId="54593FD7">
            <w:pPr>
              <w:snapToGrid w:val="0"/>
              <w:spacing w:line="400" w:lineRule="exact"/>
              <w:ind w:firstLine="420" w:firstLineChars="200"/>
              <w:rPr>
                <w:rFonts w:ascii="宋体" w:hAnsi="宋体" w:eastAsia="宋体" w:cs="宋体"/>
                <w:color w:val="auto"/>
                <w:kern w:val="0"/>
                <w:sz w:val="21"/>
                <w:szCs w:val="24"/>
                <w:highlight w:val="none"/>
                <w:u w:val="single"/>
                <w:lang w:val="en-US" w:eastAsia="zh-CN" w:bidi="ar-SA"/>
              </w:rPr>
            </w:pPr>
            <w:r>
              <w:rPr>
                <w:rFonts w:hint="eastAsia" w:ascii="宋体" w:hAnsi="宋体" w:cs="宋体"/>
                <w:color w:val="auto"/>
                <w:kern w:val="0"/>
                <w:highlight w:val="none"/>
              </w:rPr>
              <w:t>符合第二章“投标人须知”第1.4.1项规定</w:t>
            </w:r>
          </w:p>
        </w:tc>
      </w:tr>
      <w:tr w14:paraId="417D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49659EBE">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14:paraId="50DF9D89">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14:paraId="79D7EE24">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5" w:type="dxa"/>
            <w:tcBorders>
              <w:left w:val="single" w:color="auto" w:sz="4" w:space="0"/>
            </w:tcBorders>
            <w:vAlign w:val="center"/>
          </w:tcPr>
          <w:p w14:paraId="6A039CA0">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6E240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9221E9A">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0F3F75C">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55FB60FC">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14:paraId="4F8BB33E">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14:paraId="7A16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A7E80B5">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EBD7880">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3057260">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14:paraId="4D1ED6CB">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w:t>
            </w:r>
          </w:p>
        </w:tc>
      </w:tr>
      <w:tr w14:paraId="649D6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97DB84B">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B8DC927">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44A71EB">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14:paraId="1EFBAEEC">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符合第二章“投标人须知”第3.7.4项规定。</w:t>
            </w:r>
          </w:p>
        </w:tc>
      </w:tr>
      <w:tr w14:paraId="6B810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1F6CD3C">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F45DAB2">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2520F592">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14:paraId="5A2955A8">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没有规定的情况下，不得提交选择性报价。</w:t>
            </w:r>
          </w:p>
        </w:tc>
      </w:tr>
      <w:tr w14:paraId="49306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CBBAC10">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B6BAE1F">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1623BB11">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14:paraId="0B7EAFC0">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tc>
      </w:tr>
      <w:tr w14:paraId="4AD0D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243" w:type="dxa"/>
            <w:vMerge w:val="continue"/>
            <w:tcBorders>
              <w:right w:val="single" w:color="auto" w:sz="4" w:space="0"/>
            </w:tcBorders>
            <w:vAlign w:val="center"/>
          </w:tcPr>
          <w:p w14:paraId="234C5BEF">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4BA02538">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48362370">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14:paraId="0772EBE3">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14:paraId="73D57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153EA755">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14:paraId="101EC004">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14:paraId="4E9DECFB">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14:paraId="4D80796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14:paraId="72C104DD">
            <w:pPr>
              <w:snapToGrid w:val="0"/>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公布的投标总报价最高限价。</w:t>
            </w:r>
          </w:p>
        </w:tc>
      </w:tr>
      <w:tr w14:paraId="3D025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4CD550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1941509">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C862462">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14:paraId="0ACD56B0">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给定的金额填报。</w:t>
            </w:r>
          </w:p>
        </w:tc>
      </w:tr>
      <w:tr w14:paraId="701D8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1629B79">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C05D36B">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15796F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14:paraId="223B8E4F">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符合第二章“投标人须知”第1.3.1项规定</w:t>
            </w:r>
          </w:p>
        </w:tc>
      </w:tr>
      <w:tr w14:paraId="41A0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C37F5C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ABE9897">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6B2E0E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14:paraId="08D45F33">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符合第二章“投标人须知”第1.3.2项规定</w:t>
            </w:r>
          </w:p>
        </w:tc>
      </w:tr>
      <w:tr w14:paraId="5DF14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D4B254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E8E0F3A">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5B53F0D">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14:paraId="5D918654">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符合第二章“投标人须知”第1.3.3项规定</w:t>
            </w:r>
          </w:p>
        </w:tc>
      </w:tr>
      <w:tr w14:paraId="5EE3B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E924263">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4926E01E">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467D8F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14:paraId="0E0ECB82">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符合第二章“投标人须知”第3.3.1项规定</w:t>
            </w:r>
          </w:p>
        </w:tc>
      </w:tr>
      <w:tr w14:paraId="2353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F3E33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6BF92AC3">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4E6F5E6">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14:paraId="20BC874C">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符合第二章“投标人须知前附表”第3.4项规定。</w:t>
            </w:r>
          </w:p>
        </w:tc>
      </w:tr>
      <w:tr w14:paraId="1F508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74510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3CB3261">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5838F4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14:paraId="0CE69C75">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不能接受的条件。（由投标人承诺，承诺书格式详见第八章投标文件格式。）</w:t>
            </w:r>
          </w:p>
        </w:tc>
      </w:tr>
      <w:tr w14:paraId="1F15B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F57D24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21035F4">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EF8C61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14:paraId="48F5DF5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符合第七章“技术标准和要求”规定。（由投标人承诺，承诺书格式详见第八章投标文件格式。）</w:t>
            </w:r>
          </w:p>
        </w:tc>
      </w:tr>
      <w:tr w14:paraId="6B587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B2EF96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07518E2">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94A363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14:paraId="616B580C">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投标人</w:t>
            </w:r>
            <w:r>
              <w:rPr>
                <w:rFonts w:hint="eastAsia" w:ascii="宋体" w:hAnsi="宋体"/>
                <w:color w:val="auto"/>
                <w:szCs w:val="21"/>
                <w:highlight w:val="none"/>
                <w:lang w:val="en-US" w:eastAsia="zh-CN"/>
              </w:rPr>
              <w:t>应当</w:t>
            </w:r>
            <w:r>
              <w:rPr>
                <w:rFonts w:hint="eastAsia" w:ascii="宋体" w:hAnsi="宋体"/>
                <w:color w:val="auto"/>
                <w:szCs w:val="21"/>
                <w:highlight w:val="none"/>
              </w:rPr>
              <w:t>按招标工程量清单填报价格。项目编码、项目名称、项目特征、计量单位、工程量</w:t>
            </w:r>
            <w:r>
              <w:rPr>
                <w:rFonts w:hint="eastAsia" w:ascii="宋体" w:hAnsi="宋体"/>
                <w:color w:val="auto"/>
                <w:szCs w:val="21"/>
                <w:highlight w:val="none"/>
                <w:lang w:val="en-US" w:eastAsia="zh-CN"/>
              </w:rPr>
              <w:t>应当</w:t>
            </w:r>
            <w:r>
              <w:rPr>
                <w:rFonts w:hint="eastAsia" w:ascii="宋体" w:hAnsi="宋体"/>
                <w:color w:val="auto"/>
                <w:szCs w:val="21"/>
                <w:highlight w:val="none"/>
              </w:rPr>
              <w:t>与招标工程量清单一致</w:t>
            </w:r>
            <w:r>
              <w:rPr>
                <w:rFonts w:hint="eastAsia" w:ascii="宋体" w:hAnsi="宋体" w:cs="宋体"/>
                <w:color w:val="auto"/>
                <w:kern w:val="0"/>
                <w:highlight w:val="none"/>
              </w:rPr>
              <w:t>。</w:t>
            </w:r>
          </w:p>
          <w:p w14:paraId="6A7670B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2.每项清单综合单价报价不得高于每项清单综合单价最高限价。</w:t>
            </w:r>
          </w:p>
        </w:tc>
      </w:tr>
      <w:tr w14:paraId="3F64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5DF6B06">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BF5723C">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C1409B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14:paraId="672E825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14:paraId="1B592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1D8E5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1D88990">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0C184D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14:paraId="4ED1CC2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14:paraId="573D92C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14:paraId="1799111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00F4F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744D94F3">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14:paraId="26E49984">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14:paraId="0BB26A2F">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14:paraId="2F947EF1">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14:paraId="3296CEC7">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14:paraId="5CEAB2C0">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要求的，评标委员会可以继续评标并确定中标候选人。</w:t>
            </w:r>
          </w:p>
          <w:p w14:paraId="747C8A6A">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w:t>
            </w:r>
            <w:r>
              <w:rPr>
                <w:rFonts w:hint="eastAsia" w:ascii="宋体" w:hAnsi="宋体"/>
                <w:color w:val="auto"/>
                <w:spacing w:val="4"/>
                <w:kern w:val="0"/>
                <w:szCs w:val="21"/>
                <w:highlight w:val="none"/>
                <w:u w:val="single"/>
              </w:rPr>
              <w:t xml:space="preserve"> </w:t>
            </w:r>
            <w:r>
              <w:rPr>
                <w:rFonts w:hint="eastAsia" w:ascii="宋体" w:hAnsi="宋体" w:cs="宋体"/>
                <w:color w:val="auto"/>
                <w:spacing w:val="-7"/>
                <w:highlight w:val="none"/>
                <w:u w:val="single"/>
              </w:rPr>
              <w:t>全体成员投票，并按简单多数</w:t>
            </w:r>
            <w:r>
              <w:rPr>
                <w:rFonts w:hint="eastAsia" w:ascii="宋体" w:hAnsi="宋体" w:cs="宋体"/>
                <w:color w:val="auto"/>
                <w:highlight w:val="none"/>
                <w:u w:val="single"/>
                <w:lang w:val="en-US" w:eastAsia="zh-CN"/>
              </w:rPr>
              <w:t>的</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3503C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4A709BF8">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14:paraId="3E76813B">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14:paraId="067F774D">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14:paraId="5E3BBC91">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14:paraId="1FBD4796">
      <w:pPr>
        <w:pStyle w:val="5"/>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59" w:name="_Toc32683"/>
      <w:bookmarkStart w:id="560" w:name="_Toc27750"/>
      <w:r>
        <w:rPr>
          <w:rFonts w:ascii="宋体" w:hAnsi="宋体"/>
          <w:b w:val="0"/>
          <w:snapToGrid w:val="0"/>
          <w:color w:val="auto"/>
          <w:highlight w:val="none"/>
        </w:rPr>
        <w:t>1. 评标方法</w:t>
      </w:r>
      <w:bookmarkEnd w:id="559"/>
      <w:bookmarkEnd w:id="560"/>
    </w:p>
    <w:p w14:paraId="78C27116">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授权直接确定中标人。若出现投标人投标报价相同的，以评标办法前附表约定的原则确定排序。</w:t>
      </w:r>
    </w:p>
    <w:p w14:paraId="3C7DB60F">
      <w:pPr>
        <w:pStyle w:val="5"/>
        <w:spacing w:before="0" w:after="0" w:line="360" w:lineRule="auto"/>
        <w:rPr>
          <w:rFonts w:ascii="宋体" w:hAnsi="宋体"/>
          <w:b w:val="0"/>
          <w:snapToGrid w:val="0"/>
          <w:color w:val="auto"/>
          <w:highlight w:val="none"/>
        </w:rPr>
      </w:pPr>
      <w:bookmarkStart w:id="561" w:name="_Toc8499"/>
      <w:bookmarkStart w:id="562" w:name="_Toc20502"/>
      <w:r>
        <w:rPr>
          <w:rFonts w:ascii="宋体" w:hAnsi="宋体"/>
          <w:b w:val="0"/>
          <w:snapToGrid w:val="0"/>
          <w:color w:val="auto"/>
          <w:highlight w:val="none"/>
        </w:rPr>
        <w:t>2. 评审标准</w:t>
      </w:r>
      <w:bookmarkEnd w:id="561"/>
      <w:bookmarkEnd w:id="562"/>
    </w:p>
    <w:p w14:paraId="09C96EAE">
      <w:pPr>
        <w:pStyle w:val="6"/>
        <w:spacing w:before="0" w:after="0" w:line="360" w:lineRule="auto"/>
        <w:rPr>
          <w:rFonts w:ascii="宋体" w:hAnsi="宋体" w:cs="宋体"/>
          <w:color w:val="auto"/>
          <w:sz w:val="21"/>
          <w:szCs w:val="21"/>
          <w:highlight w:val="none"/>
        </w:rPr>
      </w:pPr>
      <w:bookmarkStart w:id="563" w:name="_Toc3739"/>
      <w:bookmarkStart w:id="564" w:name="_Toc2822"/>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63"/>
      <w:r>
        <w:rPr>
          <w:rFonts w:hint="eastAsia" w:ascii="宋体" w:hAnsi="宋体" w:cs="宋体"/>
          <w:color w:val="auto"/>
          <w:sz w:val="21"/>
          <w:szCs w:val="21"/>
          <w:highlight w:val="none"/>
        </w:rPr>
        <w:t>标准</w:t>
      </w:r>
      <w:bookmarkEnd w:id="564"/>
    </w:p>
    <w:p w14:paraId="5ED0CFE8">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14175BC8">
      <w:pPr>
        <w:pStyle w:val="6"/>
        <w:spacing w:before="0" w:after="0" w:line="360" w:lineRule="auto"/>
        <w:rPr>
          <w:rFonts w:ascii="宋体" w:hAnsi="宋体" w:cs="宋体"/>
          <w:color w:val="auto"/>
          <w:sz w:val="21"/>
          <w:szCs w:val="21"/>
          <w:highlight w:val="none"/>
        </w:rPr>
      </w:pPr>
      <w:bookmarkStart w:id="565" w:name="_Toc16832"/>
      <w:bookmarkStart w:id="566" w:name="_Toc19385"/>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65"/>
      <w:r>
        <w:rPr>
          <w:rFonts w:hint="eastAsia" w:ascii="宋体" w:hAnsi="宋体" w:cs="宋体"/>
          <w:color w:val="auto"/>
          <w:sz w:val="21"/>
          <w:szCs w:val="21"/>
          <w:highlight w:val="none"/>
        </w:rPr>
        <w:t>标准</w:t>
      </w:r>
      <w:bookmarkEnd w:id="566"/>
    </w:p>
    <w:p w14:paraId="6252FABC">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。符合性审查内容：资格评审、形式评审、响应性评审。</w:t>
      </w:r>
    </w:p>
    <w:p w14:paraId="71F47BB4">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14:paraId="552F85E9">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017676E9">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1D782E6F">
      <w:pPr>
        <w:pStyle w:val="5"/>
        <w:spacing w:before="0" w:after="0" w:line="360" w:lineRule="auto"/>
        <w:rPr>
          <w:rFonts w:ascii="宋体" w:hAnsi="宋体"/>
          <w:b w:val="0"/>
          <w:snapToGrid w:val="0"/>
          <w:color w:val="auto"/>
          <w:highlight w:val="none"/>
        </w:rPr>
      </w:pPr>
      <w:bookmarkStart w:id="567" w:name="_Toc6630"/>
      <w:bookmarkStart w:id="568" w:name="_Toc4809"/>
      <w:r>
        <w:rPr>
          <w:rFonts w:ascii="宋体" w:hAnsi="宋体"/>
          <w:b w:val="0"/>
          <w:snapToGrid w:val="0"/>
          <w:color w:val="auto"/>
          <w:highlight w:val="none"/>
        </w:rPr>
        <w:t>3. 评标程序</w:t>
      </w:r>
      <w:bookmarkEnd w:id="567"/>
      <w:bookmarkEnd w:id="568"/>
    </w:p>
    <w:p w14:paraId="127BAEFD">
      <w:pPr>
        <w:pStyle w:val="6"/>
        <w:spacing w:before="0" w:after="0" w:line="360" w:lineRule="auto"/>
        <w:rPr>
          <w:rFonts w:ascii="宋体" w:hAnsi="宋体" w:cs="宋体"/>
          <w:color w:val="auto"/>
          <w:sz w:val="21"/>
          <w:szCs w:val="21"/>
          <w:highlight w:val="none"/>
        </w:rPr>
      </w:pPr>
      <w:bookmarkStart w:id="569" w:name="_Toc22288"/>
      <w:bookmarkStart w:id="570" w:name="_Toc17317"/>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69"/>
      <w:bookmarkEnd w:id="570"/>
    </w:p>
    <w:p w14:paraId="6E22299C">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14:paraId="14295216">
      <w:pPr>
        <w:pStyle w:val="6"/>
        <w:spacing w:before="0" w:after="0" w:line="360" w:lineRule="auto"/>
        <w:rPr>
          <w:rFonts w:ascii="宋体" w:hAnsi="宋体" w:cs="宋体"/>
          <w:color w:val="auto"/>
          <w:sz w:val="21"/>
          <w:szCs w:val="21"/>
          <w:highlight w:val="none"/>
        </w:rPr>
      </w:pPr>
      <w:bookmarkStart w:id="571" w:name="_Toc24328"/>
      <w:bookmarkStart w:id="572" w:name="_Toc2330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71"/>
      <w:bookmarkEnd w:id="572"/>
    </w:p>
    <w:p w14:paraId="559D84BB">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款规定的标准对投标文件进行符合性审查。符合性审查顺序：资格评审、形式评审、响应性评审。</w:t>
      </w:r>
    </w:p>
    <w:p w14:paraId="3118983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14:paraId="725B24FF">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017DEA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14:paraId="6DEBF1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3CC696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14:paraId="167F58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075411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（2）投标函中的总报价与已标价工程量清单总报价不一致的，由评标委员会作否决投标处理。</w:t>
      </w:r>
    </w:p>
    <w:p w14:paraId="4D187775">
      <w:pPr>
        <w:pStyle w:val="6"/>
        <w:spacing w:before="0" w:after="0" w:line="360" w:lineRule="auto"/>
        <w:rPr>
          <w:rFonts w:ascii="宋体" w:hAnsi="宋体" w:cs="宋体"/>
          <w:color w:val="auto"/>
          <w:sz w:val="21"/>
          <w:szCs w:val="21"/>
          <w:highlight w:val="none"/>
        </w:rPr>
      </w:pPr>
      <w:bookmarkStart w:id="573" w:name="_Toc5505"/>
      <w:bookmarkStart w:id="574" w:name="_Toc9514"/>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573"/>
      <w:bookmarkEnd w:id="574"/>
    </w:p>
    <w:p w14:paraId="1EE896A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1169B2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14:paraId="4FD2840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14:paraId="1965FFA1">
      <w:pPr>
        <w:pStyle w:val="6"/>
        <w:spacing w:before="0" w:after="0" w:line="360" w:lineRule="auto"/>
        <w:rPr>
          <w:rFonts w:ascii="宋体" w:hAnsi="宋体" w:cs="宋体"/>
          <w:color w:val="auto"/>
          <w:sz w:val="21"/>
          <w:szCs w:val="21"/>
          <w:highlight w:val="none"/>
        </w:rPr>
      </w:pPr>
      <w:bookmarkStart w:id="575" w:name="_Toc25427"/>
      <w:bookmarkStart w:id="576" w:name="_Toc26860"/>
      <w:bookmarkStart w:id="577" w:name="_Toc479262406"/>
      <w:bookmarkStart w:id="578" w:name="_Toc484465184"/>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75"/>
      <w:bookmarkEnd w:id="576"/>
      <w:bookmarkEnd w:id="577"/>
      <w:bookmarkEnd w:id="578"/>
    </w:p>
    <w:p w14:paraId="56C9A891">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除第二章“投标人须知”前附表授权直接确定中标人外，评标委员会按经评审的最低投标价法推荐中标候选人。</w:t>
      </w:r>
    </w:p>
    <w:p w14:paraId="29AFBFD0">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14:paraId="4CEC080D">
      <w:pPr>
        <w:pStyle w:val="34"/>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14:paraId="27E99D94">
      <w:pPr>
        <w:pStyle w:val="34"/>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3E2EC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B9AEB55">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49AD6110">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1B5A3D09">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550B8D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95" w:hRule="atLeast"/>
          <w:tblHeader/>
          <w:jc w:val="center"/>
        </w:trPr>
        <w:tc>
          <w:tcPr>
            <w:tcW w:w="1237" w:type="dxa"/>
            <w:vMerge w:val="restart"/>
            <w:vAlign w:val="center"/>
          </w:tcPr>
          <w:p w14:paraId="406E2E43">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Merge w:val="restart"/>
            <w:vAlign w:val="center"/>
          </w:tcPr>
          <w:p w14:paraId="7C9ABC9A">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7E8EF6B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w:t>
            </w:r>
            <w:r>
              <w:rPr>
                <w:rFonts w:hint="eastAsia" w:ascii="宋体" w:hAnsi="宋体"/>
                <w:color w:val="auto"/>
                <w:szCs w:val="21"/>
                <w:highlight w:val="none"/>
              </w:rPr>
              <w:t>投标人的资质条件、营业执照及安全生产条件须满足投标人须知前附表第1.4.1项的要求，否则由评标委员会作否决投标处理。</w:t>
            </w:r>
          </w:p>
        </w:tc>
      </w:tr>
      <w:tr w14:paraId="4CC24C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FB53023">
            <w:pPr>
              <w:spacing w:line="400" w:lineRule="exact"/>
              <w:jc w:val="center"/>
              <w:rPr>
                <w:rFonts w:ascii="宋体" w:hAnsi="宋体"/>
                <w:color w:val="auto"/>
                <w:szCs w:val="21"/>
                <w:highlight w:val="none"/>
              </w:rPr>
            </w:pPr>
          </w:p>
        </w:tc>
        <w:tc>
          <w:tcPr>
            <w:tcW w:w="1899" w:type="dxa"/>
            <w:vMerge w:val="continue"/>
            <w:vAlign w:val="center"/>
          </w:tcPr>
          <w:p w14:paraId="42CB1335">
            <w:pPr>
              <w:spacing w:line="400" w:lineRule="exact"/>
              <w:jc w:val="center"/>
              <w:rPr>
                <w:rFonts w:ascii="宋体" w:hAnsi="宋体"/>
                <w:color w:val="auto"/>
                <w:szCs w:val="21"/>
                <w:highlight w:val="none"/>
              </w:rPr>
            </w:pPr>
          </w:p>
        </w:tc>
        <w:tc>
          <w:tcPr>
            <w:tcW w:w="6333" w:type="dxa"/>
            <w:vAlign w:val="center"/>
          </w:tcPr>
          <w:p w14:paraId="2F3178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w:t>
            </w:r>
            <w:r>
              <w:rPr>
                <w:rFonts w:hint="eastAsia" w:ascii="宋体" w:hAnsi="宋体"/>
                <w:color w:val="auto"/>
                <w:szCs w:val="21"/>
                <w:highlight w:val="none"/>
              </w:rPr>
              <w:t>投标人的投标截止日投标资格情况须满足投标人须知前附表1.4.1项的要求，否则由评标委员会作否决投标处理。</w:t>
            </w:r>
          </w:p>
        </w:tc>
      </w:tr>
      <w:tr w14:paraId="02FA92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716F73B">
            <w:pPr>
              <w:spacing w:line="400" w:lineRule="exact"/>
              <w:jc w:val="center"/>
              <w:rPr>
                <w:rFonts w:ascii="宋体" w:hAnsi="宋体"/>
                <w:color w:val="auto"/>
                <w:szCs w:val="21"/>
                <w:highlight w:val="none"/>
              </w:rPr>
            </w:pPr>
          </w:p>
        </w:tc>
        <w:tc>
          <w:tcPr>
            <w:tcW w:w="1899" w:type="dxa"/>
            <w:vMerge w:val="continue"/>
            <w:vAlign w:val="center"/>
          </w:tcPr>
          <w:p w14:paraId="72BD333B">
            <w:pPr>
              <w:spacing w:line="400" w:lineRule="exact"/>
              <w:jc w:val="center"/>
              <w:rPr>
                <w:rFonts w:ascii="宋体" w:hAnsi="宋体"/>
                <w:color w:val="auto"/>
                <w:szCs w:val="21"/>
                <w:highlight w:val="none"/>
              </w:rPr>
            </w:pPr>
          </w:p>
        </w:tc>
        <w:tc>
          <w:tcPr>
            <w:tcW w:w="6333" w:type="dxa"/>
            <w:vAlign w:val="center"/>
          </w:tcPr>
          <w:p w14:paraId="6598FEA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投标人的项目经理资格须满足投标人须知前附表第1.4.1项的要求，否则由评标委员会作否决投标处理。</w:t>
            </w:r>
          </w:p>
        </w:tc>
      </w:tr>
      <w:tr w14:paraId="0ECE8D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0" w:hRule="atLeast"/>
          <w:tblHeader/>
          <w:jc w:val="center"/>
        </w:trPr>
        <w:tc>
          <w:tcPr>
            <w:tcW w:w="1237" w:type="dxa"/>
            <w:vMerge w:val="continue"/>
            <w:vAlign w:val="center"/>
          </w:tcPr>
          <w:p w14:paraId="109642CD">
            <w:pPr>
              <w:spacing w:line="400" w:lineRule="exact"/>
              <w:jc w:val="center"/>
              <w:rPr>
                <w:rFonts w:ascii="宋体" w:hAnsi="宋体"/>
                <w:color w:val="auto"/>
                <w:szCs w:val="21"/>
                <w:highlight w:val="none"/>
              </w:rPr>
            </w:pPr>
          </w:p>
        </w:tc>
        <w:tc>
          <w:tcPr>
            <w:tcW w:w="1899" w:type="dxa"/>
            <w:vMerge w:val="continue"/>
            <w:vAlign w:val="center"/>
          </w:tcPr>
          <w:p w14:paraId="76A066CA">
            <w:pPr>
              <w:spacing w:line="400" w:lineRule="exact"/>
              <w:jc w:val="center"/>
              <w:rPr>
                <w:rFonts w:ascii="宋体" w:hAnsi="宋体"/>
                <w:color w:val="auto"/>
                <w:szCs w:val="21"/>
                <w:highlight w:val="none"/>
              </w:rPr>
            </w:pPr>
          </w:p>
        </w:tc>
        <w:tc>
          <w:tcPr>
            <w:tcW w:w="6333" w:type="dxa"/>
            <w:vAlign w:val="center"/>
          </w:tcPr>
          <w:p w14:paraId="38ADF1B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rPr>
              <w:t>投标人的其他要求须满足投标人须知前附表第1.4.1项的要求，否则由评标委员会作否决投标处理。</w:t>
            </w:r>
          </w:p>
        </w:tc>
      </w:tr>
      <w:tr w14:paraId="221A25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07D330">
            <w:pPr>
              <w:spacing w:line="400" w:lineRule="exact"/>
              <w:jc w:val="center"/>
              <w:rPr>
                <w:rFonts w:ascii="宋体" w:hAnsi="宋体"/>
                <w:color w:val="auto"/>
                <w:szCs w:val="21"/>
                <w:highlight w:val="none"/>
              </w:rPr>
            </w:pPr>
          </w:p>
        </w:tc>
        <w:tc>
          <w:tcPr>
            <w:tcW w:w="1899" w:type="dxa"/>
            <w:vMerge w:val="restart"/>
            <w:vAlign w:val="center"/>
          </w:tcPr>
          <w:p w14:paraId="7D758DA3">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4046A77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rPr>
              <w:t>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56C461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53657E7">
            <w:pPr>
              <w:spacing w:line="400" w:lineRule="exact"/>
              <w:jc w:val="center"/>
              <w:rPr>
                <w:rFonts w:ascii="宋体" w:hAnsi="宋体"/>
                <w:color w:val="auto"/>
                <w:szCs w:val="21"/>
                <w:highlight w:val="none"/>
              </w:rPr>
            </w:pPr>
          </w:p>
        </w:tc>
        <w:tc>
          <w:tcPr>
            <w:tcW w:w="1899" w:type="dxa"/>
            <w:vMerge w:val="continue"/>
            <w:vAlign w:val="center"/>
          </w:tcPr>
          <w:p w14:paraId="5374C1ED">
            <w:pPr>
              <w:spacing w:line="400" w:lineRule="exact"/>
              <w:jc w:val="center"/>
              <w:rPr>
                <w:rFonts w:ascii="宋体" w:hAnsi="宋体"/>
                <w:color w:val="auto"/>
                <w:szCs w:val="21"/>
                <w:highlight w:val="none"/>
              </w:rPr>
            </w:pPr>
          </w:p>
        </w:tc>
        <w:tc>
          <w:tcPr>
            <w:tcW w:w="6333" w:type="dxa"/>
          </w:tcPr>
          <w:p w14:paraId="3493CBE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投标函格式规定签名、盖章的位置有法定代表人或其委托代理人签名（或盖章）、加盖单位法人章，否则由评标委员会作否决投标处理。</w:t>
            </w:r>
          </w:p>
        </w:tc>
      </w:tr>
      <w:tr w14:paraId="178201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D93999B">
            <w:pPr>
              <w:spacing w:line="400" w:lineRule="exact"/>
              <w:jc w:val="center"/>
              <w:rPr>
                <w:rFonts w:ascii="宋体" w:hAnsi="宋体"/>
                <w:color w:val="auto"/>
                <w:szCs w:val="21"/>
                <w:highlight w:val="none"/>
              </w:rPr>
            </w:pPr>
          </w:p>
        </w:tc>
        <w:tc>
          <w:tcPr>
            <w:tcW w:w="1899" w:type="dxa"/>
            <w:vMerge w:val="continue"/>
            <w:vAlign w:val="center"/>
          </w:tcPr>
          <w:p w14:paraId="6B608460">
            <w:pPr>
              <w:spacing w:line="400" w:lineRule="exact"/>
              <w:jc w:val="center"/>
              <w:rPr>
                <w:rFonts w:ascii="宋体" w:hAnsi="宋体"/>
                <w:color w:val="auto"/>
                <w:szCs w:val="21"/>
                <w:highlight w:val="none"/>
              </w:rPr>
            </w:pPr>
          </w:p>
        </w:tc>
        <w:tc>
          <w:tcPr>
            <w:tcW w:w="6333" w:type="dxa"/>
          </w:tcPr>
          <w:p w14:paraId="388F9B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投标文件格式符合第二章“投标人须知”第3.7款的要求，否则由评标委员会作否决投标处理。</w:t>
            </w:r>
          </w:p>
          <w:p w14:paraId="58E659E3">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46407D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237" w:type="dxa"/>
            <w:vMerge w:val="continue"/>
            <w:vAlign w:val="center"/>
          </w:tcPr>
          <w:p w14:paraId="0820E0C7">
            <w:pPr>
              <w:spacing w:line="400" w:lineRule="exact"/>
              <w:jc w:val="center"/>
              <w:rPr>
                <w:rFonts w:ascii="宋体" w:hAnsi="宋体"/>
                <w:color w:val="auto"/>
                <w:szCs w:val="21"/>
                <w:highlight w:val="none"/>
              </w:rPr>
            </w:pPr>
          </w:p>
        </w:tc>
        <w:tc>
          <w:tcPr>
            <w:tcW w:w="1899" w:type="dxa"/>
            <w:vMerge w:val="continue"/>
            <w:vAlign w:val="center"/>
          </w:tcPr>
          <w:p w14:paraId="2B2BBC44">
            <w:pPr>
              <w:spacing w:line="400" w:lineRule="exact"/>
              <w:jc w:val="center"/>
              <w:rPr>
                <w:rFonts w:ascii="宋体" w:hAnsi="宋体"/>
                <w:color w:val="auto"/>
                <w:szCs w:val="21"/>
                <w:highlight w:val="none"/>
              </w:rPr>
            </w:pPr>
          </w:p>
        </w:tc>
        <w:tc>
          <w:tcPr>
            <w:tcW w:w="6333" w:type="dxa"/>
          </w:tcPr>
          <w:p w14:paraId="63003D94">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8</w:t>
            </w:r>
            <w:r>
              <w:rPr>
                <w:rFonts w:hint="eastAsia" w:ascii="宋体" w:hAnsi="宋体"/>
                <w:color w:val="auto"/>
                <w:szCs w:val="21"/>
                <w:highlight w:val="none"/>
              </w:rPr>
              <w:t>投标文件份数符合第二章“投标人须知”第3.7.4项的规定，</w:t>
            </w:r>
            <w:r>
              <w:rPr>
                <w:rFonts w:hint="eastAsia" w:ascii="宋体" w:hAnsi="宋体"/>
                <w:color w:val="auto"/>
                <w:kern w:val="0"/>
                <w:szCs w:val="21"/>
                <w:highlight w:val="none"/>
              </w:rPr>
              <w:t>否则由评标委员会作否决投标处理。</w:t>
            </w:r>
          </w:p>
        </w:tc>
      </w:tr>
      <w:tr w14:paraId="1BE740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E7EE05">
            <w:pPr>
              <w:spacing w:line="400" w:lineRule="exact"/>
              <w:jc w:val="center"/>
              <w:rPr>
                <w:rFonts w:ascii="宋体" w:hAnsi="宋体"/>
                <w:color w:val="auto"/>
                <w:szCs w:val="21"/>
                <w:highlight w:val="none"/>
              </w:rPr>
            </w:pPr>
          </w:p>
        </w:tc>
        <w:tc>
          <w:tcPr>
            <w:tcW w:w="1899" w:type="dxa"/>
            <w:vMerge w:val="continue"/>
            <w:vAlign w:val="center"/>
          </w:tcPr>
          <w:p w14:paraId="17E0B586">
            <w:pPr>
              <w:spacing w:line="400" w:lineRule="exact"/>
              <w:jc w:val="center"/>
              <w:rPr>
                <w:rFonts w:ascii="宋体" w:hAnsi="宋体"/>
                <w:color w:val="auto"/>
                <w:szCs w:val="21"/>
                <w:highlight w:val="none"/>
              </w:rPr>
            </w:pPr>
          </w:p>
        </w:tc>
        <w:tc>
          <w:tcPr>
            <w:tcW w:w="6333" w:type="dxa"/>
          </w:tcPr>
          <w:p w14:paraId="59445C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只能有一个有效报价。在</w:t>
            </w:r>
            <w:r>
              <w:rPr>
                <w:rFonts w:hint="eastAsia" w:ascii="宋体" w:hAnsi="宋体"/>
                <w:color w:val="auto"/>
                <w:szCs w:val="21"/>
                <w:highlight w:val="none"/>
                <w:lang w:eastAsia="zh-CN"/>
              </w:rPr>
              <w:t>比选文件</w:t>
            </w:r>
            <w:r>
              <w:rPr>
                <w:rFonts w:hint="eastAsia" w:ascii="宋体" w:hAnsi="宋体"/>
                <w:color w:val="auto"/>
                <w:szCs w:val="21"/>
                <w:highlight w:val="none"/>
              </w:rPr>
              <w:t>没有规定的情况下，不得提交选择性报价，否则由评标委员会作否决投标处理。</w:t>
            </w:r>
          </w:p>
        </w:tc>
      </w:tr>
      <w:tr w14:paraId="10D600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927E53A">
            <w:pPr>
              <w:spacing w:line="400" w:lineRule="exact"/>
              <w:jc w:val="center"/>
              <w:rPr>
                <w:rFonts w:ascii="宋体" w:hAnsi="宋体"/>
                <w:color w:val="auto"/>
                <w:szCs w:val="21"/>
                <w:highlight w:val="none"/>
              </w:rPr>
            </w:pPr>
          </w:p>
        </w:tc>
        <w:tc>
          <w:tcPr>
            <w:tcW w:w="1899" w:type="dxa"/>
            <w:vMerge w:val="continue"/>
            <w:vAlign w:val="center"/>
          </w:tcPr>
          <w:p w14:paraId="39FB75BC">
            <w:pPr>
              <w:spacing w:line="400" w:lineRule="exact"/>
              <w:jc w:val="center"/>
              <w:rPr>
                <w:rFonts w:ascii="宋体" w:hAnsi="宋体"/>
                <w:color w:val="auto"/>
                <w:szCs w:val="21"/>
                <w:highlight w:val="none"/>
              </w:rPr>
            </w:pPr>
          </w:p>
        </w:tc>
        <w:tc>
          <w:tcPr>
            <w:tcW w:w="6333" w:type="dxa"/>
          </w:tcPr>
          <w:p w14:paraId="43CEDE6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s="宋体"/>
                <w:color w:val="auto"/>
                <w:kern w:val="0"/>
                <w:highlight w:val="none"/>
              </w:rPr>
              <w:t>第八章 投标文件格式要求法定代表人或其委托代理人签名（或盖章）的须齐全。</w:t>
            </w:r>
          </w:p>
        </w:tc>
      </w:tr>
      <w:tr w14:paraId="4FF513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B15FEAC">
            <w:pPr>
              <w:spacing w:line="400" w:lineRule="exact"/>
              <w:jc w:val="center"/>
              <w:rPr>
                <w:rFonts w:ascii="宋体" w:hAnsi="宋体"/>
                <w:color w:val="auto"/>
                <w:szCs w:val="21"/>
                <w:highlight w:val="none"/>
              </w:rPr>
            </w:pPr>
          </w:p>
        </w:tc>
        <w:tc>
          <w:tcPr>
            <w:tcW w:w="1899" w:type="dxa"/>
            <w:vMerge w:val="continue"/>
            <w:vAlign w:val="center"/>
          </w:tcPr>
          <w:p w14:paraId="54405181">
            <w:pPr>
              <w:spacing w:line="400" w:lineRule="exact"/>
              <w:jc w:val="center"/>
              <w:rPr>
                <w:rFonts w:ascii="宋体" w:hAnsi="宋体"/>
                <w:color w:val="auto"/>
                <w:szCs w:val="21"/>
                <w:highlight w:val="none"/>
              </w:rPr>
            </w:pPr>
          </w:p>
        </w:tc>
        <w:tc>
          <w:tcPr>
            <w:tcW w:w="6333" w:type="dxa"/>
          </w:tcPr>
          <w:p w14:paraId="2CFE95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1</w:t>
            </w:r>
            <w:r>
              <w:rPr>
                <w:rFonts w:hint="eastAsia" w:ascii="宋体" w:hAnsi="宋体"/>
                <w:color w:val="auto"/>
                <w:szCs w:val="21"/>
                <w:highlight w:val="none"/>
              </w:rPr>
              <w:t>投标人法定代表人的委托代理人有法定代表人签署的授权委托书和投标人为其缴纳的养老保险证明材料，否则由评标委员会作否决投标处理。</w:t>
            </w:r>
          </w:p>
        </w:tc>
      </w:tr>
      <w:tr w14:paraId="777A2D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F4AB76">
            <w:pPr>
              <w:spacing w:line="400" w:lineRule="exact"/>
              <w:jc w:val="center"/>
              <w:rPr>
                <w:rFonts w:ascii="宋体" w:hAnsi="宋体"/>
                <w:color w:val="auto"/>
                <w:szCs w:val="21"/>
                <w:highlight w:val="none"/>
              </w:rPr>
            </w:pPr>
          </w:p>
        </w:tc>
        <w:tc>
          <w:tcPr>
            <w:tcW w:w="1899" w:type="dxa"/>
            <w:vMerge w:val="restart"/>
            <w:vAlign w:val="center"/>
          </w:tcPr>
          <w:p w14:paraId="34DC8279">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6A1E2D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14:paraId="3365EE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237" w:type="dxa"/>
            <w:vMerge w:val="continue"/>
            <w:vAlign w:val="center"/>
          </w:tcPr>
          <w:p w14:paraId="08831F31">
            <w:pPr>
              <w:spacing w:line="400" w:lineRule="exact"/>
              <w:jc w:val="center"/>
              <w:rPr>
                <w:rFonts w:ascii="宋体" w:hAnsi="宋体"/>
                <w:color w:val="auto"/>
                <w:szCs w:val="21"/>
                <w:highlight w:val="none"/>
              </w:rPr>
            </w:pPr>
          </w:p>
        </w:tc>
        <w:tc>
          <w:tcPr>
            <w:tcW w:w="1899" w:type="dxa"/>
            <w:vMerge w:val="continue"/>
            <w:vAlign w:val="center"/>
          </w:tcPr>
          <w:p w14:paraId="43BA203E">
            <w:pPr>
              <w:spacing w:line="400" w:lineRule="exact"/>
              <w:jc w:val="center"/>
              <w:rPr>
                <w:rFonts w:ascii="宋体" w:hAnsi="宋体"/>
                <w:color w:val="auto"/>
                <w:szCs w:val="21"/>
                <w:highlight w:val="none"/>
              </w:rPr>
            </w:pPr>
          </w:p>
        </w:tc>
        <w:tc>
          <w:tcPr>
            <w:tcW w:w="6333" w:type="dxa"/>
            <w:vAlign w:val="center"/>
          </w:tcPr>
          <w:p w14:paraId="70D89E5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3</w:t>
            </w:r>
            <w:r>
              <w:rPr>
                <w:rFonts w:hint="eastAsia" w:ascii="宋体" w:hAnsi="宋体"/>
                <w:color w:val="auto"/>
                <w:szCs w:val="21"/>
                <w:highlight w:val="none"/>
              </w:rPr>
              <w:t>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公布的投标总报价最高限价，否则由评标委员会作否决投标处理。</w:t>
            </w:r>
          </w:p>
        </w:tc>
      </w:tr>
      <w:tr w14:paraId="5E4C73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4FD51DF">
            <w:pPr>
              <w:spacing w:line="400" w:lineRule="exact"/>
              <w:jc w:val="center"/>
              <w:rPr>
                <w:rFonts w:ascii="宋体" w:hAnsi="宋体"/>
                <w:color w:val="auto"/>
                <w:szCs w:val="21"/>
                <w:highlight w:val="none"/>
              </w:rPr>
            </w:pPr>
          </w:p>
        </w:tc>
        <w:tc>
          <w:tcPr>
            <w:tcW w:w="1899" w:type="dxa"/>
            <w:vMerge w:val="continue"/>
            <w:vAlign w:val="center"/>
          </w:tcPr>
          <w:p w14:paraId="3F12FCC0">
            <w:pPr>
              <w:spacing w:line="400" w:lineRule="exact"/>
              <w:jc w:val="center"/>
              <w:rPr>
                <w:rFonts w:ascii="宋体" w:hAnsi="宋体"/>
                <w:color w:val="auto"/>
                <w:szCs w:val="21"/>
                <w:highlight w:val="none"/>
              </w:rPr>
            </w:pPr>
          </w:p>
        </w:tc>
        <w:tc>
          <w:tcPr>
            <w:tcW w:w="6333" w:type="dxa"/>
            <w:vAlign w:val="center"/>
          </w:tcPr>
          <w:p w14:paraId="555C39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14</w:t>
            </w:r>
            <w:r>
              <w:rPr>
                <w:rFonts w:hint="eastAsia" w:ascii="宋体" w:hAnsi="宋体"/>
                <w:color w:val="auto"/>
                <w:szCs w:val="21"/>
                <w:highlight w:val="none"/>
              </w:rPr>
              <w:t>暂列金额、暂估价、安全文明施工费等暂定金额必须按照</w:t>
            </w:r>
            <w:r>
              <w:rPr>
                <w:rFonts w:hint="eastAsia" w:ascii="宋体" w:hAnsi="宋体"/>
                <w:color w:val="auto"/>
                <w:szCs w:val="21"/>
                <w:highlight w:val="none"/>
                <w:lang w:eastAsia="zh-CN"/>
              </w:rPr>
              <w:t>比选文件</w:t>
            </w:r>
            <w:r>
              <w:rPr>
                <w:rFonts w:hint="eastAsia" w:ascii="宋体" w:hAnsi="宋体"/>
                <w:color w:val="auto"/>
                <w:szCs w:val="21"/>
                <w:highlight w:val="none"/>
              </w:rPr>
              <w:t>给定的金额填报，否则由评标委员会作否决投标处理。</w:t>
            </w:r>
          </w:p>
        </w:tc>
      </w:tr>
      <w:tr w14:paraId="6ECB0B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2167BC6">
            <w:pPr>
              <w:spacing w:line="400" w:lineRule="exact"/>
              <w:jc w:val="center"/>
              <w:rPr>
                <w:rFonts w:ascii="宋体" w:hAnsi="宋体"/>
                <w:color w:val="auto"/>
                <w:szCs w:val="21"/>
                <w:highlight w:val="none"/>
              </w:rPr>
            </w:pPr>
          </w:p>
        </w:tc>
        <w:tc>
          <w:tcPr>
            <w:tcW w:w="1899" w:type="dxa"/>
            <w:vMerge w:val="continue"/>
            <w:vAlign w:val="center"/>
          </w:tcPr>
          <w:p w14:paraId="34E45B90">
            <w:pPr>
              <w:spacing w:line="400" w:lineRule="exact"/>
              <w:jc w:val="center"/>
              <w:rPr>
                <w:rFonts w:ascii="宋体" w:hAnsi="宋体"/>
                <w:color w:val="auto"/>
                <w:szCs w:val="21"/>
                <w:highlight w:val="none"/>
              </w:rPr>
            </w:pPr>
          </w:p>
        </w:tc>
        <w:tc>
          <w:tcPr>
            <w:tcW w:w="6333" w:type="dxa"/>
            <w:vAlign w:val="center"/>
          </w:tcPr>
          <w:p w14:paraId="3AF0CB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15</w:t>
            </w:r>
            <w:r>
              <w:rPr>
                <w:rFonts w:hint="eastAsia" w:ascii="宋体" w:hAnsi="宋体"/>
                <w:color w:val="auto"/>
                <w:szCs w:val="21"/>
                <w:highlight w:val="none"/>
              </w:rPr>
              <w:t>投标内容符合第二章“投标人须知”第1.3.1项规定，否则由评标委员会作否决投标处理。</w:t>
            </w:r>
          </w:p>
        </w:tc>
      </w:tr>
      <w:tr w14:paraId="2E37BA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466DA16">
            <w:pPr>
              <w:spacing w:line="400" w:lineRule="exact"/>
              <w:jc w:val="center"/>
              <w:rPr>
                <w:rFonts w:ascii="宋体" w:hAnsi="宋体"/>
                <w:color w:val="auto"/>
                <w:szCs w:val="21"/>
                <w:highlight w:val="none"/>
              </w:rPr>
            </w:pPr>
          </w:p>
        </w:tc>
        <w:tc>
          <w:tcPr>
            <w:tcW w:w="1899" w:type="dxa"/>
            <w:vMerge w:val="continue"/>
            <w:vAlign w:val="center"/>
          </w:tcPr>
          <w:p w14:paraId="167DB425">
            <w:pPr>
              <w:spacing w:line="400" w:lineRule="exact"/>
              <w:jc w:val="center"/>
              <w:rPr>
                <w:rFonts w:ascii="宋体" w:hAnsi="宋体"/>
                <w:color w:val="auto"/>
                <w:szCs w:val="21"/>
                <w:highlight w:val="none"/>
              </w:rPr>
            </w:pPr>
          </w:p>
        </w:tc>
        <w:tc>
          <w:tcPr>
            <w:tcW w:w="6333" w:type="dxa"/>
            <w:vAlign w:val="center"/>
          </w:tcPr>
          <w:p w14:paraId="445EEE2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16</w:t>
            </w:r>
            <w:r>
              <w:rPr>
                <w:rFonts w:hint="eastAsia" w:ascii="宋体" w:hAnsi="宋体"/>
                <w:color w:val="auto"/>
                <w:szCs w:val="21"/>
                <w:highlight w:val="none"/>
              </w:rPr>
              <w:t>工期符合第二章“投标人须知”第1.3.2项规定，否则由评标委员会作否决投标处理。</w:t>
            </w:r>
          </w:p>
        </w:tc>
      </w:tr>
      <w:tr w14:paraId="18B642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6F53E9E">
            <w:pPr>
              <w:spacing w:line="400" w:lineRule="exact"/>
              <w:jc w:val="center"/>
              <w:rPr>
                <w:rFonts w:ascii="宋体" w:hAnsi="宋体"/>
                <w:color w:val="auto"/>
                <w:szCs w:val="21"/>
                <w:highlight w:val="none"/>
              </w:rPr>
            </w:pPr>
          </w:p>
        </w:tc>
        <w:tc>
          <w:tcPr>
            <w:tcW w:w="1899" w:type="dxa"/>
            <w:vMerge w:val="continue"/>
            <w:vAlign w:val="center"/>
          </w:tcPr>
          <w:p w14:paraId="6779D835">
            <w:pPr>
              <w:spacing w:line="400" w:lineRule="exact"/>
              <w:jc w:val="center"/>
              <w:rPr>
                <w:rFonts w:ascii="宋体" w:hAnsi="宋体"/>
                <w:color w:val="auto"/>
                <w:szCs w:val="21"/>
                <w:highlight w:val="none"/>
              </w:rPr>
            </w:pPr>
          </w:p>
        </w:tc>
        <w:tc>
          <w:tcPr>
            <w:tcW w:w="6333" w:type="dxa"/>
            <w:vAlign w:val="center"/>
          </w:tcPr>
          <w:p w14:paraId="7BE0EB7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17</w:t>
            </w:r>
            <w:r>
              <w:rPr>
                <w:rFonts w:hint="eastAsia" w:ascii="宋体" w:hAnsi="宋体"/>
                <w:color w:val="auto"/>
                <w:szCs w:val="21"/>
                <w:highlight w:val="none"/>
              </w:rPr>
              <w:t>工程质量符合第二章“投标人须知”第1.3.3项规定，否则由评标委员会作否决投标处理。</w:t>
            </w:r>
          </w:p>
        </w:tc>
      </w:tr>
      <w:tr w14:paraId="730054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A7FCA2F">
            <w:pPr>
              <w:spacing w:line="400" w:lineRule="exact"/>
              <w:jc w:val="center"/>
              <w:rPr>
                <w:rFonts w:ascii="宋体" w:hAnsi="宋体"/>
                <w:color w:val="auto"/>
                <w:szCs w:val="21"/>
                <w:highlight w:val="none"/>
              </w:rPr>
            </w:pPr>
          </w:p>
        </w:tc>
        <w:tc>
          <w:tcPr>
            <w:tcW w:w="1899" w:type="dxa"/>
            <w:vMerge w:val="continue"/>
            <w:vAlign w:val="center"/>
          </w:tcPr>
          <w:p w14:paraId="2255087B">
            <w:pPr>
              <w:spacing w:line="400" w:lineRule="exact"/>
              <w:jc w:val="center"/>
              <w:rPr>
                <w:rFonts w:ascii="宋体" w:hAnsi="宋体"/>
                <w:color w:val="auto"/>
                <w:szCs w:val="21"/>
                <w:highlight w:val="none"/>
              </w:rPr>
            </w:pPr>
          </w:p>
        </w:tc>
        <w:tc>
          <w:tcPr>
            <w:tcW w:w="6333" w:type="dxa"/>
            <w:vAlign w:val="center"/>
          </w:tcPr>
          <w:p w14:paraId="46A08FE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18</w:t>
            </w:r>
            <w:r>
              <w:rPr>
                <w:rFonts w:hint="eastAsia" w:ascii="宋体" w:hAnsi="宋体"/>
                <w:color w:val="auto"/>
                <w:szCs w:val="21"/>
                <w:highlight w:val="none"/>
              </w:rPr>
              <w:t>投标有效期符合第二章“投标人须知”第3.3.1项规定，否则由评标委员会作否决投标处理。</w:t>
            </w:r>
          </w:p>
        </w:tc>
      </w:tr>
      <w:tr w14:paraId="7BD73D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772E893">
            <w:pPr>
              <w:spacing w:line="400" w:lineRule="exact"/>
              <w:jc w:val="center"/>
              <w:rPr>
                <w:rFonts w:ascii="宋体" w:hAnsi="宋体"/>
                <w:color w:val="auto"/>
                <w:szCs w:val="21"/>
                <w:highlight w:val="none"/>
              </w:rPr>
            </w:pPr>
          </w:p>
        </w:tc>
        <w:tc>
          <w:tcPr>
            <w:tcW w:w="1899" w:type="dxa"/>
            <w:vMerge w:val="continue"/>
            <w:vAlign w:val="center"/>
          </w:tcPr>
          <w:p w14:paraId="483027F1">
            <w:pPr>
              <w:spacing w:line="400" w:lineRule="exact"/>
              <w:jc w:val="center"/>
              <w:rPr>
                <w:rFonts w:ascii="宋体" w:hAnsi="宋体"/>
                <w:color w:val="auto"/>
                <w:szCs w:val="21"/>
                <w:highlight w:val="none"/>
              </w:rPr>
            </w:pPr>
          </w:p>
        </w:tc>
        <w:tc>
          <w:tcPr>
            <w:tcW w:w="6333" w:type="dxa"/>
            <w:vAlign w:val="center"/>
          </w:tcPr>
          <w:p w14:paraId="6AFF1F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5D22F1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ADB1F0">
            <w:pPr>
              <w:spacing w:line="400" w:lineRule="exact"/>
              <w:jc w:val="center"/>
              <w:rPr>
                <w:rFonts w:ascii="宋体" w:hAnsi="宋体"/>
                <w:color w:val="auto"/>
                <w:szCs w:val="21"/>
                <w:highlight w:val="none"/>
              </w:rPr>
            </w:pPr>
          </w:p>
        </w:tc>
        <w:tc>
          <w:tcPr>
            <w:tcW w:w="1899" w:type="dxa"/>
            <w:vMerge w:val="continue"/>
            <w:vAlign w:val="center"/>
          </w:tcPr>
          <w:p w14:paraId="429AA9E4">
            <w:pPr>
              <w:spacing w:line="400" w:lineRule="exact"/>
              <w:jc w:val="center"/>
              <w:rPr>
                <w:rFonts w:ascii="宋体" w:hAnsi="宋体"/>
                <w:color w:val="auto"/>
                <w:szCs w:val="21"/>
                <w:highlight w:val="none"/>
              </w:rPr>
            </w:pPr>
          </w:p>
        </w:tc>
        <w:tc>
          <w:tcPr>
            <w:tcW w:w="6333" w:type="dxa"/>
            <w:vAlign w:val="center"/>
          </w:tcPr>
          <w:p w14:paraId="49F82E7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0</w:t>
            </w:r>
            <w:r>
              <w:rPr>
                <w:rFonts w:hint="eastAsia" w:ascii="宋体" w:hAnsi="宋体"/>
                <w:color w:val="auto"/>
                <w:szCs w:val="21"/>
                <w:highlight w:val="none"/>
              </w:rPr>
              <w:t>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不能接受的条件，否则由评标委员会作否决投标处理。（由投标人承诺，承诺书格式详见第八章投标文件格式。）</w:t>
            </w:r>
          </w:p>
        </w:tc>
      </w:tr>
      <w:tr w14:paraId="2185A7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323058A">
            <w:pPr>
              <w:spacing w:line="400" w:lineRule="exact"/>
              <w:jc w:val="center"/>
              <w:rPr>
                <w:rFonts w:ascii="宋体" w:hAnsi="宋体"/>
                <w:color w:val="auto"/>
                <w:szCs w:val="21"/>
                <w:highlight w:val="none"/>
              </w:rPr>
            </w:pPr>
          </w:p>
        </w:tc>
        <w:tc>
          <w:tcPr>
            <w:tcW w:w="1899" w:type="dxa"/>
            <w:vMerge w:val="continue"/>
            <w:vAlign w:val="center"/>
          </w:tcPr>
          <w:p w14:paraId="63F413AC">
            <w:pPr>
              <w:spacing w:line="400" w:lineRule="exact"/>
              <w:jc w:val="center"/>
              <w:rPr>
                <w:rFonts w:ascii="宋体" w:hAnsi="宋体"/>
                <w:color w:val="auto"/>
                <w:szCs w:val="21"/>
                <w:highlight w:val="none"/>
              </w:rPr>
            </w:pPr>
          </w:p>
        </w:tc>
        <w:tc>
          <w:tcPr>
            <w:tcW w:w="6333" w:type="dxa"/>
            <w:vAlign w:val="center"/>
          </w:tcPr>
          <w:p w14:paraId="2E5657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1</w:t>
            </w:r>
            <w:r>
              <w:rPr>
                <w:rFonts w:hint="eastAsia" w:ascii="宋体" w:hAnsi="宋体"/>
                <w:color w:val="auto"/>
                <w:szCs w:val="21"/>
                <w:highlight w:val="none"/>
              </w:rPr>
              <w:t>符合第七章“技术标准和要求”规定。否则由评标委员会作否决投标处理（如有）。（由投标人承诺，承诺书格式详见第八章投标文件格式。）</w:t>
            </w:r>
          </w:p>
        </w:tc>
      </w:tr>
      <w:tr w14:paraId="63AC25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1237" w:type="dxa"/>
            <w:vMerge w:val="continue"/>
            <w:vAlign w:val="center"/>
          </w:tcPr>
          <w:p w14:paraId="4C8ED407">
            <w:pPr>
              <w:spacing w:line="400" w:lineRule="exact"/>
              <w:jc w:val="center"/>
              <w:rPr>
                <w:rFonts w:ascii="宋体" w:hAnsi="宋体"/>
                <w:color w:val="auto"/>
                <w:szCs w:val="21"/>
                <w:highlight w:val="none"/>
              </w:rPr>
            </w:pPr>
          </w:p>
        </w:tc>
        <w:tc>
          <w:tcPr>
            <w:tcW w:w="1899" w:type="dxa"/>
            <w:vMerge w:val="continue"/>
            <w:vAlign w:val="center"/>
          </w:tcPr>
          <w:p w14:paraId="76A6F96B">
            <w:pPr>
              <w:spacing w:line="400" w:lineRule="exact"/>
              <w:jc w:val="center"/>
              <w:rPr>
                <w:rFonts w:ascii="宋体" w:hAnsi="宋体"/>
                <w:color w:val="auto"/>
                <w:szCs w:val="21"/>
                <w:highlight w:val="none"/>
              </w:rPr>
            </w:pPr>
          </w:p>
        </w:tc>
        <w:tc>
          <w:tcPr>
            <w:tcW w:w="6333" w:type="dxa"/>
            <w:tcBorders>
              <w:bottom w:val="single" w:color="auto" w:sz="4" w:space="0"/>
            </w:tcBorders>
            <w:vAlign w:val="center"/>
          </w:tcPr>
          <w:p w14:paraId="1D14F2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ascii="宋体" w:hAnsi="宋体"/>
                <w:color w:val="auto"/>
                <w:szCs w:val="21"/>
                <w:highlight w:val="none"/>
              </w:rPr>
              <w:t>投标人必须按招标工程量清单填报价格。项目编码、项目名称、项目特征、计量单位、工程量必须与招标工程量清单一致。否则交由评标委员会作否决投标处理。</w:t>
            </w:r>
          </w:p>
        </w:tc>
      </w:tr>
      <w:tr w14:paraId="6EEE43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237" w:type="dxa"/>
            <w:vMerge w:val="continue"/>
            <w:vAlign w:val="center"/>
          </w:tcPr>
          <w:p w14:paraId="47E254BE">
            <w:pPr>
              <w:spacing w:line="400" w:lineRule="exact"/>
              <w:jc w:val="center"/>
              <w:rPr>
                <w:rFonts w:ascii="宋体" w:hAnsi="宋体"/>
                <w:color w:val="auto"/>
                <w:szCs w:val="21"/>
                <w:highlight w:val="none"/>
              </w:rPr>
            </w:pPr>
          </w:p>
        </w:tc>
        <w:tc>
          <w:tcPr>
            <w:tcW w:w="1899" w:type="dxa"/>
            <w:vMerge w:val="continue"/>
            <w:vAlign w:val="center"/>
          </w:tcPr>
          <w:p w14:paraId="0805AF4E">
            <w:pPr>
              <w:spacing w:line="400" w:lineRule="exact"/>
              <w:jc w:val="center"/>
              <w:rPr>
                <w:rFonts w:ascii="宋体" w:hAnsi="宋体"/>
                <w:color w:val="auto"/>
                <w:szCs w:val="21"/>
                <w:highlight w:val="none"/>
              </w:rPr>
            </w:pPr>
          </w:p>
        </w:tc>
        <w:tc>
          <w:tcPr>
            <w:tcW w:w="6333" w:type="dxa"/>
            <w:tcBorders>
              <w:top w:val="single" w:color="auto" w:sz="4" w:space="0"/>
            </w:tcBorders>
            <w:vAlign w:val="center"/>
          </w:tcPr>
          <w:p w14:paraId="3F79346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hint="eastAsia" w:ascii="宋体" w:hAnsi="宋体"/>
                <w:color w:val="auto"/>
                <w:szCs w:val="21"/>
                <w:highlight w:val="none"/>
              </w:rPr>
              <w:t>投标人的每项清单综合单价报价不得超过每项清单综合单价最高限价，否则由评标委员会作否决投标处理。</w:t>
            </w:r>
          </w:p>
        </w:tc>
      </w:tr>
      <w:tr w14:paraId="748FCE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2B9E0B6">
            <w:pPr>
              <w:spacing w:line="400" w:lineRule="exact"/>
              <w:jc w:val="center"/>
              <w:rPr>
                <w:rFonts w:ascii="宋体" w:hAnsi="宋体"/>
                <w:color w:val="auto"/>
                <w:szCs w:val="21"/>
                <w:highlight w:val="none"/>
              </w:rPr>
            </w:pPr>
          </w:p>
        </w:tc>
        <w:tc>
          <w:tcPr>
            <w:tcW w:w="1899" w:type="dxa"/>
            <w:vMerge w:val="continue"/>
            <w:vAlign w:val="center"/>
          </w:tcPr>
          <w:p w14:paraId="0B5747E1">
            <w:pPr>
              <w:spacing w:line="400" w:lineRule="exact"/>
              <w:jc w:val="center"/>
              <w:rPr>
                <w:rFonts w:ascii="宋体" w:hAnsi="宋体"/>
                <w:color w:val="auto"/>
                <w:szCs w:val="21"/>
                <w:highlight w:val="none"/>
              </w:rPr>
            </w:pPr>
          </w:p>
        </w:tc>
        <w:tc>
          <w:tcPr>
            <w:tcW w:w="6333" w:type="dxa"/>
            <w:vAlign w:val="center"/>
          </w:tcPr>
          <w:p w14:paraId="393FEA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4</w:t>
            </w:r>
            <w:r>
              <w:rPr>
                <w:rFonts w:hint="eastAsia" w:ascii="宋体" w:hAnsi="宋体"/>
                <w:color w:val="auto"/>
                <w:szCs w:val="21"/>
                <w:highlight w:val="none"/>
              </w:rPr>
              <w:t>投标报价有算术错误的，按照第三章“评标办法”第3.2.3项规定执行，否则由评标委员会作否决投标处理。</w:t>
            </w:r>
          </w:p>
        </w:tc>
      </w:tr>
      <w:tr w14:paraId="01EF7A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6F2ACE">
            <w:pPr>
              <w:spacing w:line="400" w:lineRule="exact"/>
              <w:jc w:val="center"/>
              <w:rPr>
                <w:rFonts w:ascii="宋体" w:hAnsi="宋体"/>
                <w:color w:val="auto"/>
                <w:szCs w:val="21"/>
                <w:highlight w:val="none"/>
              </w:rPr>
            </w:pPr>
          </w:p>
        </w:tc>
        <w:tc>
          <w:tcPr>
            <w:tcW w:w="1899" w:type="dxa"/>
            <w:vMerge w:val="continue"/>
            <w:vAlign w:val="center"/>
          </w:tcPr>
          <w:p w14:paraId="36B7797A">
            <w:pPr>
              <w:spacing w:line="400" w:lineRule="exact"/>
              <w:jc w:val="center"/>
              <w:rPr>
                <w:rFonts w:ascii="宋体" w:hAnsi="宋体"/>
                <w:color w:val="auto"/>
                <w:szCs w:val="21"/>
                <w:highlight w:val="none"/>
              </w:rPr>
            </w:pPr>
          </w:p>
        </w:tc>
        <w:tc>
          <w:tcPr>
            <w:tcW w:w="6333" w:type="dxa"/>
            <w:vAlign w:val="center"/>
          </w:tcPr>
          <w:p w14:paraId="3E01965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25</w:t>
            </w:r>
            <w:r>
              <w:rPr>
                <w:rFonts w:hint="eastAsia" w:ascii="宋体" w:hAnsi="宋体"/>
                <w:color w:val="auto"/>
                <w:szCs w:val="21"/>
                <w:highlight w:val="none"/>
              </w:rPr>
              <w:t>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5A03C4E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14:paraId="7D8CDBF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52FBF87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610CC5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E320889">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4B711584">
            <w:pPr>
              <w:spacing w:line="400" w:lineRule="exact"/>
              <w:jc w:val="center"/>
              <w:rPr>
                <w:rFonts w:ascii="宋体" w:hAnsi="宋体"/>
                <w:color w:val="auto"/>
                <w:szCs w:val="21"/>
                <w:highlight w:val="none"/>
              </w:rPr>
            </w:pPr>
          </w:p>
        </w:tc>
        <w:tc>
          <w:tcPr>
            <w:tcW w:w="6333" w:type="dxa"/>
          </w:tcPr>
          <w:p w14:paraId="4C4E07B2">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i w:val="0"/>
                <w:iCs/>
                <w:color w:val="auto"/>
                <w:szCs w:val="21"/>
                <w:highlight w:val="none"/>
                <w:lang w:eastAsia="zh-CN"/>
              </w:rPr>
              <w:t>无。</w:t>
            </w:r>
          </w:p>
        </w:tc>
      </w:tr>
    </w:tbl>
    <w:p w14:paraId="37BFEB52">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79" w:name="招标文件03章02评标办法综合评估法00"/>
      <w:bookmarkEnd w:id="579"/>
      <w:bookmarkStart w:id="580" w:name="招标文件03章02评标办法综合评估法"/>
      <w:bookmarkEnd w:id="580"/>
      <w:bookmarkStart w:id="581" w:name="_Toc224103384"/>
      <w:bookmarkStart w:id="582" w:name="_Toc277082618"/>
      <w:bookmarkStart w:id="583" w:name="_Toc200513198"/>
      <w:bookmarkStart w:id="584" w:name="_Toc430530500"/>
      <w:bookmarkStart w:id="585" w:name="_Toc287607812"/>
      <w:bookmarkStart w:id="586" w:name="_Toc287620751"/>
    </w:p>
    <w:bookmarkEnd w:id="581"/>
    <w:bookmarkEnd w:id="582"/>
    <w:bookmarkEnd w:id="583"/>
    <w:bookmarkEnd w:id="584"/>
    <w:bookmarkEnd w:id="585"/>
    <w:bookmarkEnd w:id="586"/>
    <w:p w14:paraId="480E9529">
      <w:pPr>
        <w:pStyle w:val="4"/>
        <w:spacing w:line="360" w:lineRule="auto"/>
        <w:jc w:val="center"/>
        <w:rPr>
          <w:rFonts w:ascii="宋体" w:hAnsi="宋体"/>
          <w:color w:val="auto"/>
          <w:kern w:val="0"/>
          <w:highlight w:val="none"/>
        </w:rPr>
      </w:pPr>
      <w:bookmarkStart w:id="587" w:name="招标文件03章02评标办法综合评估法02附件02"/>
      <w:bookmarkEnd w:id="587"/>
      <w:bookmarkStart w:id="588" w:name="招标文件04章合同条款及格式"/>
      <w:bookmarkEnd w:id="588"/>
      <w:bookmarkStart w:id="589" w:name="_Toc509218785"/>
      <w:bookmarkStart w:id="590" w:name="_Toc430530509"/>
      <w:bookmarkStart w:id="591" w:name="_Toc8427"/>
      <w:bookmarkStart w:id="592" w:name="_Toc14106"/>
      <w:r>
        <w:rPr>
          <w:rFonts w:hint="eastAsia" w:ascii="宋体" w:hAnsi="宋体"/>
          <w:color w:val="auto"/>
          <w:kern w:val="0"/>
          <w:highlight w:val="none"/>
        </w:rPr>
        <w:t>第四章  合同条款及格式</w:t>
      </w:r>
      <w:bookmarkEnd w:id="589"/>
      <w:bookmarkEnd w:id="590"/>
      <w:bookmarkEnd w:id="591"/>
      <w:bookmarkEnd w:id="592"/>
    </w:p>
    <w:p w14:paraId="3B3A9984">
      <w:pPr>
        <w:rPr>
          <w:rFonts w:ascii="宋体" w:hAnsi="宋体"/>
          <w:color w:val="auto"/>
          <w:sz w:val="44"/>
          <w:szCs w:val="44"/>
          <w:highlight w:val="none"/>
        </w:rPr>
      </w:pPr>
      <w:r>
        <w:rPr>
          <w:rFonts w:ascii="宋体" w:hAnsi="宋体"/>
          <w:color w:val="auto"/>
          <w:highlight w:val="none"/>
        </w:rPr>
        <w:br w:type="page"/>
      </w:r>
      <w:bookmarkStart w:id="593" w:name="_Toc296503025"/>
      <w:bookmarkStart w:id="594" w:name="_Toc296890982"/>
      <w:bookmarkStart w:id="595" w:name="_Toc351203480"/>
    </w:p>
    <w:p w14:paraId="2D5577F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color w:val="auto"/>
          <w:sz w:val="32"/>
          <w:szCs w:val="32"/>
          <w:highlight w:val="none"/>
        </w:rPr>
      </w:pPr>
      <w:r>
        <w:rPr>
          <w:rFonts w:hint="eastAsia"/>
          <w:b/>
          <w:color w:val="auto"/>
          <w:sz w:val="32"/>
          <w:szCs w:val="32"/>
          <w:highlight w:val="none"/>
          <w:u w:val="single"/>
          <w:lang w:eastAsia="zh-CN"/>
        </w:rPr>
        <w:t>重庆市铜梁区虎峰小学空调安装线路改造项目</w:t>
      </w:r>
      <w:r>
        <w:rPr>
          <w:rFonts w:hint="eastAsia"/>
          <w:b/>
          <w:color w:val="auto"/>
          <w:sz w:val="32"/>
          <w:szCs w:val="32"/>
          <w:highlight w:val="none"/>
        </w:rPr>
        <w:t>施工合同</w:t>
      </w:r>
    </w:p>
    <w:p w14:paraId="6192C55B">
      <w:pPr>
        <w:spacing w:line="360" w:lineRule="auto"/>
        <w:jc w:val="center"/>
        <w:outlineLvl w:val="1"/>
        <w:rPr>
          <w:b/>
          <w:color w:val="auto"/>
          <w:sz w:val="32"/>
          <w:szCs w:val="32"/>
          <w:highlight w:val="none"/>
        </w:rPr>
      </w:pPr>
      <w:bookmarkStart w:id="596" w:name="_Toc4399"/>
      <w:bookmarkStart w:id="597" w:name="_Toc28358"/>
      <w:r>
        <w:rPr>
          <w:rFonts w:hint="eastAsia"/>
          <w:b/>
          <w:color w:val="auto"/>
          <w:sz w:val="32"/>
          <w:szCs w:val="32"/>
          <w:highlight w:val="none"/>
        </w:rPr>
        <w:t>第一节  合同协议书</w:t>
      </w:r>
      <w:bookmarkEnd w:id="596"/>
      <w:bookmarkEnd w:id="597"/>
    </w:p>
    <w:p w14:paraId="325C5540">
      <w:pPr>
        <w:pageBreakBefore w:val="0"/>
        <w:kinsoku/>
        <w:wordWrap/>
        <w:overflowPunct/>
        <w:topLinePunct w:val="0"/>
        <w:autoSpaceDE/>
        <w:autoSpaceDN/>
        <w:bidi w:val="0"/>
        <w:spacing w:line="400" w:lineRule="exact"/>
        <w:textAlignment w:val="auto"/>
        <w:rPr>
          <w:rFonts w:hint="eastAsia" w:eastAsiaTheme="minorEastAsia"/>
          <w:color w:val="auto"/>
          <w:highlight w:val="none"/>
          <w:lang w:eastAsia="zh-CN"/>
        </w:rPr>
      </w:pPr>
      <w:r>
        <w:rPr>
          <w:color w:val="auto"/>
          <w:highlight w:val="none"/>
        </w:rPr>
        <w:t>发包人(全称)：</w:t>
      </w:r>
      <w:r>
        <w:rPr>
          <w:rFonts w:hint="eastAsia"/>
          <w:color w:val="auto"/>
          <w:highlight w:val="none"/>
          <w:u w:val="single"/>
          <w:lang w:eastAsia="zh-CN"/>
        </w:rPr>
        <w:t>重庆市铜梁区虎峰小学</w:t>
      </w:r>
    </w:p>
    <w:p w14:paraId="529B7D5D">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法定代表人：</w:t>
      </w:r>
    </w:p>
    <w:p w14:paraId="4F20FC72">
      <w:pPr>
        <w:pageBreakBefore w:val="0"/>
        <w:kinsoku/>
        <w:wordWrap/>
        <w:overflowPunct/>
        <w:topLinePunct w:val="0"/>
        <w:autoSpaceDE/>
        <w:autoSpaceDN/>
        <w:bidi w:val="0"/>
        <w:spacing w:line="400" w:lineRule="exact"/>
        <w:textAlignment w:val="auto"/>
        <w:rPr>
          <w:rFonts w:ascii="宋体" w:hAnsi="宋体" w:cs="宋体"/>
          <w:color w:val="auto"/>
          <w:kern w:val="0"/>
          <w:szCs w:val="21"/>
          <w:highlight w:val="none"/>
        </w:rPr>
      </w:pPr>
      <w:r>
        <w:rPr>
          <w:color w:val="auto"/>
          <w:highlight w:val="none"/>
        </w:rPr>
        <w:t>法定注册地址：</w:t>
      </w:r>
    </w:p>
    <w:p w14:paraId="3126ED72">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承包人(全称)</w:t>
      </w:r>
      <w:r>
        <w:rPr>
          <w:rFonts w:hint="eastAsia"/>
          <w:color w:val="auto"/>
          <w:highlight w:val="none"/>
        </w:rPr>
        <w:t xml:space="preserve">： </w:t>
      </w:r>
    </w:p>
    <w:p w14:paraId="654642D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法定代表人：</w:t>
      </w:r>
    </w:p>
    <w:p w14:paraId="0756722A">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法定注册地址：</w:t>
      </w:r>
    </w:p>
    <w:p w14:paraId="77AAACB6">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发包人为</w:t>
      </w:r>
      <w:r>
        <w:rPr>
          <w:rFonts w:hint="eastAsia"/>
          <w:color w:val="auto"/>
          <w:highlight w:val="none"/>
        </w:rPr>
        <w:t>建设</w:t>
      </w:r>
      <w:r>
        <w:rPr>
          <w:rFonts w:hint="eastAsia" w:ascii="宋体" w:hAnsi="宋体" w:cs="宋体"/>
          <w:color w:val="auto"/>
          <w:kern w:val="0"/>
          <w:szCs w:val="21"/>
          <w:highlight w:val="none"/>
          <w:u w:val="single"/>
          <w:lang w:eastAsia="zh-CN"/>
        </w:rPr>
        <w:t>重庆市铜梁区虎峰小学空调安装线路改造项目</w:t>
      </w:r>
      <w:r>
        <w:rPr>
          <w:color w:val="auto"/>
          <w:highlight w:val="none"/>
        </w:rPr>
        <w:t>(以下简称“本工程”)，</w:t>
      </w:r>
      <w:r>
        <w:rPr>
          <w:rFonts w:hint="eastAsia"/>
          <w:color w:val="auto"/>
          <w:highlight w:val="none"/>
        </w:rPr>
        <w:t>经竞争性比选，</w:t>
      </w:r>
      <w:r>
        <w:rPr>
          <w:color w:val="auto"/>
          <w:highlight w:val="none"/>
        </w:rPr>
        <w:t>已接受承包人提出的承担本工程的施工、竣工、交付并维修其任何缺陷的投标。依照《中华人民共和国招标投标法》、《中华人民共和国</w:t>
      </w:r>
      <w:r>
        <w:rPr>
          <w:rFonts w:hint="eastAsia"/>
          <w:color w:val="auto"/>
          <w:highlight w:val="none"/>
          <w:lang w:eastAsia="zh-CN"/>
        </w:rPr>
        <w:t>民法典</w:t>
      </w:r>
      <w:r>
        <w:rPr>
          <w:color w:val="auto"/>
          <w:highlight w:val="none"/>
        </w:rPr>
        <w:t>》、《中华人民共和国建筑法》及其他有关法律、行政法规，遵循平等、自愿、公平和诚实信用的原则，双方共同达成并订立如下协议。</w:t>
      </w:r>
    </w:p>
    <w:p w14:paraId="55BE8E9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一、工程概况</w:t>
      </w:r>
    </w:p>
    <w:p w14:paraId="189DD61C">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highlight w:val="none"/>
          <w:u w:val="single"/>
          <w:lang w:val="en-US" w:eastAsia="zh-CN"/>
        </w:rPr>
      </w:pPr>
      <w:r>
        <w:rPr>
          <w:rFonts w:hint="eastAsia"/>
          <w:color w:val="auto"/>
          <w:highlight w:val="none"/>
        </w:rPr>
        <w:t>建设地点：</w:t>
      </w:r>
      <w:r>
        <w:rPr>
          <w:rFonts w:hint="eastAsia" w:ascii="宋体" w:hAnsi="宋体" w:cs="宋体"/>
          <w:color w:val="auto"/>
          <w:kern w:val="0"/>
          <w:szCs w:val="21"/>
          <w:highlight w:val="none"/>
          <w:u w:val="single"/>
          <w:lang w:eastAsia="zh-CN"/>
        </w:rPr>
        <w:t>铜梁区虎峰小学</w:t>
      </w:r>
      <w:r>
        <w:rPr>
          <w:rFonts w:hint="eastAsia"/>
          <w:color w:val="auto"/>
          <w:highlight w:val="none"/>
          <w:u w:val="single"/>
          <w:lang w:val="en-US" w:eastAsia="zh-CN"/>
        </w:rPr>
        <w:t>。</w:t>
      </w:r>
    </w:p>
    <w:p w14:paraId="3E170291">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highlight w:val="none"/>
          <w:u w:val="single"/>
          <w:lang w:val="en-US" w:eastAsia="zh-CN"/>
        </w:rPr>
      </w:pPr>
      <w:r>
        <w:rPr>
          <w:rFonts w:hint="eastAsia"/>
          <w:color w:val="auto"/>
          <w:highlight w:val="none"/>
        </w:rPr>
        <w:t>建设</w:t>
      </w:r>
      <w:r>
        <w:rPr>
          <w:rFonts w:hint="eastAsia"/>
          <w:color w:val="auto"/>
          <w:highlight w:val="none"/>
          <w:lang w:eastAsia="zh-CN"/>
        </w:rPr>
        <w:t>内容</w:t>
      </w:r>
      <w:r>
        <w:rPr>
          <w:rFonts w:hint="eastAsia"/>
          <w:color w:val="auto"/>
          <w:highlight w:val="none"/>
        </w:rPr>
        <w:t>：</w:t>
      </w:r>
      <w:r>
        <w:rPr>
          <w:rFonts w:hint="eastAsia" w:ascii="宋体" w:hAnsi="宋体" w:cs="宋体"/>
          <w:color w:val="auto"/>
          <w:sz w:val="21"/>
          <w:szCs w:val="21"/>
          <w:highlight w:val="none"/>
          <w:u w:val="single"/>
          <w:lang w:eastAsia="zh-CN"/>
        </w:rPr>
        <w:t>主要建设内容包含校区内空调线路安装、空开安装、配电箱安装、线槽安装等，具体内容详见工程量清单。</w:t>
      </w:r>
    </w:p>
    <w:p w14:paraId="7012C9C1">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二、工程承包范围</w:t>
      </w:r>
    </w:p>
    <w:p w14:paraId="4780488D">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承包范围：</w:t>
      </w:r>
      <w:r>
        <w:rPr>
          <w:rFonts w:hint="eastAsia"/>
          <w:color w:val="auto"/>
          <w:highlight w:val="none"/>
          <w:lang w:eastAsia="zh-CN"/>
        </w:rPr>
        <w:t>详见</w:t>
      </w:r>
      <w:r>
        <w:rPr>
          <w:rFonts w:hint="eastAsia"/>
          <w:color w:val="auto"/>
          <w:highlight w:val="none"/>
        </w:rPr>
        <w:t>本工程工程量清单。</w:t>
      </w:r>
    </w:p>
    <w:p w14:paraId="15C37A5B">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三、合同工期</w:t>
      </w:r>
    </w:p>
    <w:p w14:paraId="1D06494B">
      <w:pPr>
        <w:pageBreakBefore w:val="0"/>
        <w:kinsoku/>
        <w:wordWrap/>
        <w:overflowPunct/>
        <w:topLinePunct w:val="0"/>
        <w:autoSpaceDE/>
        <w:autoSpaceDN/>
        <w:bidi w:val="0"/>
        <w:spacing w:line="400" w:lineRule="exact"/>
        <w:ind w:firstLine="420" w:firstLineChars="200"/>
        <w:textAlignment w:val="auto"/>
        <w:rPr>
          <w:rFonts w:hint="eastAsia" w:eastAsia="宋体"/>
          <w:color w:val="auto"/>
          <w:highlight w:val="none"/>
          <w:lang w:eastAsia="zh-CN"/>
        </w:rPr>
      </w:pPr>
      <w:r>
        <w:rPr>
          <w:color w:val="auto"/>
          <w:highlight w:val="none"/>
        </w:rPr>
        <w:t>工期总天数</w:t>
      </w:r>
      <w:r>
        <w:rPr>
          <w:rFonts w:hint="eastAsia"/>
          <w:color w:val="auto"/>
          <w:highlight w:val="none"/>
          <w:lang w:val="en-US" w:eastAsia="zh-CN"/>
        </w:rPr>
        <w:t>20日历天</w:t>
      </w:r>
      <w:r>
        <w:rPr>
          <w:color w:val="auto"/>
          <w:highlight w:val="none"/>
        </w:rPr>
        <w:t>。</w:t>
      </w:r>
    </w:p>
    <w:p w14:paraId="477943F5">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四、质量标准</w:t>
      </w:r>
    </w:p>
    <w:p w14:paraId="4B63466F">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 工程质量标准：</w:t>
      </w:r>
      <w:r>
        <w:rPr>
          <w:rFonts w:hint="eastAsia"/>
          <w:color w:val="auto"/>
          <w:highlight w:val="none"/>
        </w:rPr>
        <w:t>达到国家现行有关</w:t>
      </w:r>
      <w:r>
        <w:rPr>
          <w:rFonts w:hint="eastAsia"/>
          <w:color w:val="auto"/>
          <w:highlight w:val="none"/>
          <w:u w:val="single"/>
        </w:rPr>
        <w:t>施工质量验收规范要求，并达到合格标准</w:t>
      </w:r>
      <w:r>
        <w:rPr>
          <w:rFonts w:hint="eastAsia" w:ascii="宋体" w:hAnsi="宋体"/>
          <w:color w:val="auto"/>
          <w:szCs w:val="21"/>
          <w:highlight w:val="none"/>
          <w:u w:val="single"/>
        </w:rPr>
        <w:t>。</w:t>
      </w:r>
    </w:p>
    <w:p w14:paraId="226BB02B">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五、合同形式</w:t>
      </w:r>
    </w:p>
    <w:p w14:paraId="36B63C71">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本合同采用</w:t>
      </w:r>
      <w:r>
        <w:rPr>
          <w:rFonts w:hint="eastAsia"/>
          <w:color w:val="auto"/>
          <w:highlight w:val="none"/>
          <w:u w:val="single"/>
          <w:lang w:val="en-US" w:eastAsia="zh-CN"/>
        </w:rPr>
        <w:t xml:space="preserve"> </w:t>
      </w:r>
      <w:r>
        <w:rPr>
          <w:rFonts w:hint="eastAsia"/>
          <w:color w:val="auto"/>
          <w:highlight w:val="none"/>
          <w:u w:val="single"/>
        </w:rPr>
        <w:t>固定单价</w:t>
      </w:r>
      <w:r>
        <w:rPr>
          <w:rFonts w:hint="eastAsia"/>
          <w:color w:val="auto"/>
          <w:highlight w:val="none"/>
          <w:u w:val="single"/>
          <w:lang w:val="en-US" w:eastAsia="zh-CN"/>
        </w:rPr>
        <w:t xml:space="preserve"> </w:t>
      </w:r>
      <w:r>
        <w:rPr>
          <w:color w:val="auto"/>
          <w:highlight w:val="none"/>
        </w:rPr>
        <w:t>合同形式。</w:t>
      </w:r>
    </w:p>
    <w:p w14:paraId="47147A9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六、签约合同价</w:t>
      </w:r>
    </w:p>
    <w:p w14:paraId="631FEF80">
      <w:pPr>
        <w:pageBreakBefore w:val="0"/>
        <w:kinsoku/>
        <w:wordWrap/>
        <w:overflowPunct/>
        <w:topLinePunct w:val="0"/>
        <w:autoSpaceDE/>
        <w:autoSpaceDN/>
        <w:bidi w:val="0"/>
        <w:spacing w:line="400" w:lineRule="exact"/>
        <w:ind w:firstLine="420" w:firstLineChars="200"/>
        <w:textAlignment w:val="auto"/>
        <w:rPr>
          <w:color w:val="auto"/>
          <w:highlight w:val="none"/>
        </w:rPr>
      </w:pPr>
      <w:r>
        <w:rPr>
          <w:rFonts w:hint="eastAsia" w:ascii="宋体" w:hAnsi="宋体"/>
          <w:color w:val="auto"/>
          <w:highlight w:val="none"/>
        </w:rPr>
        <w:t>金额</w:t>
      </w:r>
      <w:r>
        <w:rPr>
          <w:rFonts w:ascii="宋体" w:hAnsi="宋体"/>
          <w:color w:val="auto"/>
          <w:highlight w:val="none"/>
        </w:rPr>
        <w:t>(</w:t>
      </w:r>
      <w:r>
        <w:rPr>
          <w:rFonts w:hint="eastAsia" w:ascii="宋体" w:hAnsi="宋体"/>
          <w:color w:val="auto"/>
          <w:highlight w:val="none"/>
        </w:rPr>
        <w:t>大写</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w:t>
      </w:r>
      <w:r>
        <w:rPr>
          <w:rFonts w:hint="eastAsia" w:ascii="宋体" w:hAnsi="宋体"/>
          <w:color w:val="auto"/>
          <w:highlight w:val="none"/>
        </w:rPr>
        <w:t>元</w:t>
      </w:r>
      <w:r>
        <w:rPr>
          <w:rFonts w:ascii="宋体" w:hAnsi="宋体"/>
          <w:color w:val="auto"/>
          <w:highlight w:val="none"/>
        </w:rPr>
        <w:t>(</w:t>
      </w:r>
      <w:r>
        <w:rPr>
          <w:rFonts w:hint="eastAsia" w:ascii="宋体" w:hAnsi="宋体"/>
          <w:color w:val="auto"/>
          <w:highlight w:val="none"/>
        </w:rPr>
        <w:t>人民币</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小写</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w:t>
      </w:r>
      <w:r>
        <w:rPr>
          <w:rFonts w:hint="eastAsia" w:ascii="宋体" w:hAnsi="宋体"/>
          <w:color w:val="auto"/>
          <w:highlight w:val="none"/>
        </w:rPr>
        <w:t>元</w:t>
      </w:r>
      <w:r>
        <w:rPr>
          <w:rFonts w:hint="eastAsia"/>
          <w:color w:val="auto"/>
          <w:highlight w:val="none"/>
        </w:rPr>
        <w:t>。</w:t>
      </w:r>
      <w:r>
        <w:rPr>
          <w:rFonts w:hint="eastAsia"/>
          <w:b/>
          <w:color w:val="auto"/>
          <w:highlight w:val="none"/>
        </w:rPr>
        <w:t>本工程最终结算金额以审计机构审定的金额为准。</w:t>
      </w:r>
    </w:p>
    <w:p w14:paraId="0C49AE51">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highlight w:val="none"/>
        </w:rPr>
      </w:pPr>
      <w:r>
        <w:rPr>
          <w:rFonts w:hint="eastAsia" w:ascii="宋体" w:hAnsi="宋体"/>
          <w:color w:val="auto"/>
          <w:highlight w:val="none"/>
        </w:rPr>
        <w:t>七、承包人项目经理</w:t>
      </w:r>
    </w:p>
    <w:p w14:paraId="573C9BB4">
      <w:pPr>
        <w:keepNext w:val="0"/>
        <w:keepLines w:val="0"/>
        <w:pageBreakBefore w:val="0"/>
        <w:widowControl w:val="0"/>
        <w:kinsoku/>
        <w:wordWrap/>
        <w:overflowPunct/>
        <w:topLinePunct w:val="0"/>
        <w:autoSpaceDE/>
        <w:autoSpaceDN/>
        <w:bidi w:val="0"/>
        <w:adjustRightInd/>
        <w:snapToGrid/>
        <w:spacing w:line="400" w:lineRule="exact"/>
        <w:ind w:firstLine="405"/>
        <w:textAlignment w:val="auto"/>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w:t>
      </w:r>
      <w:r>
        <w:rPr>
          <w:rFonts w:hint="eastAsia" w:ascii="宋体" w:hAnsi="宋体"/>
          <w:color w:val="auto"/>
          <w:highlight w:val="none"/>
        </w:rPr>
        <w:t>；　　　职称：</w:t>
      </w:r>
      <w:r>
        <w:rPr>
          <w:rFonts w:hint="eastAsia" w:ascii="宋体" w:hAnsi="宋体"/>
          <w:color w:val="auto"/>
          <w:highlight w:val="none"/>
          <w:u w:val="single"/>
        </w:rPr>
        <w:t>　　　　　　　　　　　　　　</w:t>
      </w:r>
      <w:r>
        <w:rPr>
          <w:rFonts w:hint="eastAsia" w:ascii="宋体" w:hAnsi="宋体"/>
          <w:color w:val="auto"/>
          <w:highlight w:val="none"/>
        </w:rPr>
        <w:t>；</w:t>
      </w:r>
    </w:p>
    <w:p w14:paraId="6BBE7A2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highlight w:val="none"/>
        </w:rPr>
      </w:pPr>
      <w:r>
        <w:rPr>
          <w:rFonts w:hint="eastAsia" w:ascii="宋体" w:hAnsi="宋体"/>
          <w:color w:val="auto"/>
          <w:highlight w:val="none"/>
        </w:rPr>
        <w:t>　　身份证号：</w:t>
      </w:r>
      <w:r>
        <w:rPr>
          <w:rFonts w:hint="eastAsia" w:ascii="宋体" w:hAnsi="宋体"/>
          <w:color w:val="auto"/>
          <w:highlight w:val="none"/>
          <w:u w:val="single"/>
        </w:rPr>
        <w:t>　　　　　　　　　　　</w:t>
      </w:r>
      <w:r>
        <w:rPr>
          <w:rFonts w:hint="eastAsia" w:ascii="宋体" w:hAnsi="宋体"/>
          <w:color w:val="auto"/>
          <w:highlight w:val="none"/>
        </w:rPr>
        <w:t>；　　　建造师执业资格证书号：</w:t>
      </w:r>
      <w:r>
        <w:rPr>
          <w:rFonts w:hint="eastAsia" w:ascii="宋体" w:hAnsi="宋体"/>
          <w:color w:val="auto"/>
          <w:highlight w:val="none"/>
          <w:u w:val="single"/>
        </w:rPr>
        <w:t>　　　　　　</w:t>
      </w:r>
      <w:r>
        <w:rPr>
          <w:rFonts w:hint="eastAsia" w:ascii="宋体" w:hAnsi="宋体"/>
          <w:color w:val="auto"/>
          <w:highlight w:val="none"/>
        </w:rPr>
        <w:t>；</w:t>
      </w:r>
    </w:p>
    <w:p w14:paraId="2DC0A083">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olor w:val="auto"/>
          <w:highlight w:val="none"/>
        </w:rPr>
      </w:pPr>
      <w:r>
        <w:rPr>
          <w:rFonts w:hint="eastAsia" w:ascii="宋体" w:hAnsi="宋体"/>
          <w:color w:val="auto"/>
          <w:highlight w:val="none"/>
        </w:rPr>
        <w:t xml:space="preserve"> 建造师注册证书号：</w:t>
      </w:r>
      <w:r>
        <w:rPr>
          <w:rFonts w:hint="eastAsia" w:ascii="宋体" w:hAnsi="宋体"/>
          <w:color w:val="auto"/>
          <w:highlight w:val="none"/>
          <w:u w:val="single"/>
        </w:rPr>
        <w:t>　　　　　　　　　</w:t>
      </w:r>
      <w:r>
        <w:rPr>
          <w:rFonts w:hint="eastAsia" w:ascii="宋体" w:hAnsi="宋体"/>
          <w:color w:val="auto"/>
          <w:highlight w:val="none"/>
        </w:rPr>
        <w:t>；</w:t>
      </w:r>
    </w:p>
    <w:p w14:paraId="6A0B5A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建造师执业印章号：</w:t>
      </w:r>
      <w:r>
        <w:rPr>
          <w:rFonts w:hint="eastAsia" w:ascii="宋体" w:hAnsi="宋体"/>
          <w:color w:val="auto"/>
          <w:highlight w:val="none"/>
          <w:u w:val="single"/>
        </w:rPr>
        <w:t>　　　　　　　　　</w:t>
      </w:r>
      <w:r>
        <w:rPr>
          <w:rFonts w:hint="eastAsia" w:ascii="宋体" w:hAnsi="宋体"/>
          <w:color w:val="auto"/>
          <w:highlight w:val="none"/>
        </w:rPr>
        <w:t>；</w:t>
      </w:r>
    </w:p>
    <w:p w14:paraId="0490C518">
      <w:pPr>
        <w:pageBreakBefore w:val="0"/>
        <w:kinsoku/>
        <w:wordWrap/>
        <w:overflowPunct/>
        <w:topLinePunct w:val="0"/>
        <w:autoSpaceDE/>
        <w:autoSpaceDN/>
        <w:bidi w:val="0"/>
        <w:spacing w:line="400" w:lineRule="exact"/>
        <w:ind w:firstLine="405"/>
        <w:textAlignment w:val="auto"/>
        <w:rPr>
          <w:rFonts w:hint="eastAsia" w:ascii="宋体" w:hAnsi="宋体"/>
          <w:color w:val="auto"/>
          <w:highlight w:val="none"/>
        </w:rPr>
      </w:pPr>
      <w:r>
        <w:rPr>
          <w:rFonts w:hint="eastAsia" w:ascii="宋体" w:hAnsi="宋体"/>
          <w:color w:val="auto"/>
          <w:highlight w:val="none"/>
        </w:rPr>
        <w:t>安全生产考核合格证书号：</w:t>
      </w:r>
      <w:r>
        <w:rPr>
          <w:rFonts w:hint="eastAsia" w:ascii="宋体" w:hAnsi="宋体"/>
          <w:color w:val="auto"/>
          <w:highlight w:val="none"/>
          <w:u w:val="single"/>
        </w:rPr>
        <w:t xml:space="preserve">　　　　　　 </w:t>
      </w:r>
      <w:r>
        <w:rPr>
          <w:rFonts w:hint="eastAsia" w:ascii="宋体" w:hAnsi="宋体"/>
          <w:color w:val="auto"/>
          <w:highlight w:val="none"/>
        </w:rPr>
        <w:t>。　</w:t>
      </w:r>
    </w:p>
    <w:p w14:paraId="4115864B">
      <w:pPr>
        <w:spacing w:line="500" w:lineRule="exact"/>
        <w:rPr>
          <w:rFonts w:hint="eastAsia" w:ascii="宋体" w:hAnsi="宋体"/>
          <w:color w:val="auto"/>
          <w:highlight w:val="none"/>
        </w:rPr>
      </w:pPr>
      <w:r>
        <w:rPr>
          <w:rFonts w:hint="eastAsia" w:ascii="宋体" w:hAnsi="宋体"/>
          <w:color w:val="auto"/>
          <w:highlight w:val="none"/>
        </w:rPr>
        <w:t>八、承包人项目主要管理人员</w:t>
      </w:r>
    </w:p>
    <w:p w14:paraId="616B7518">
      <w:pPr>
        <w:spacing w:line="500" w:lineRule="exact"/>
        <w:ind w:firstLine="420" w:firstLineChars="200"/>
        <w:rPr>
          <w:rFonts w:hint="eastAsia" w:ascii="宋体" w:hAnsi="宋体"/>
          <w:color w:val="auto"/>
          <w:highlight w:val="none"/>
        </w:rPr>
      </w:pPr>
      <w:r>
        <w:rPr>
          <w:rFonts w:hint="eastAsia" w:ascii="宋体" w:hAnsi="宋体"/>
          <w:color w:val="auto"/>
          <w:highlight w:val="none"/>
        </w:rPr>
        <w:t>1、项目技术负责人</w:t>
      </w:r>
    </w:p>
    <w:p w14:paraId="38EDB1CD">
      <w:pPr>
        <w:spacing w:line="500" w:lineRule="exact"/>
        <w:ind w:firstLine="405"/>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w:t>
      </w:r>
      <w:r>
        <w:rPr>
          <w:rFonts w:hint="eastAsia" w:ascii="宋体" w:hAnsi="宋体"/>
          <w:color w:val="auto"/>
          <w:highlight w:val="none"/>
        </w:rPr>
        <w:t>；　　　职称：</w:t>
      </w:r>
      <w:r>
        <w:rPr>
          <w:rFonts w:hint="eastAsia" w:ascii="宋体" w:hAnsi="宋体"/>
          <w:color w:val="auto"/>
          <w:highlight w:val="none"/>
          <w:u w:val="single"/>
        </w:rPr>
        <w:t>　　　　　　　　　　　　　　</w:t>
      </w:r>
      <w:r>
        <w:rPr>
          <w:rFonts w:hint="eastAsia" w:ascii="宋体" w:hAnsi="宋体"/>
          <w:color w:val="auto"/>
          <w:highlight w:val="none"/>
        </w:rPr>
        <w:t>；</w:t>
      </w:r>
    </w:p>
    <w:p w14:paraId="4999001E">
      <w:pPr>
        <w:pageBreakBefore w:val="0"/>
        <w:kinsoku/>
        <w:wordWrap/>
        <w:overflowPunct/>
        <w:topLinePunct w:val="0"/>
        <w:autoSpaceDE/>
        <w:autoSpaceDN/>
        <w:bidi w:val="0"/>
        <w:spacing w:line="400" w:lineRule="exact"/>
        <w:ind w:firstLine="420"/>
        <w:textAlignment w:val="auto"/>
        <w:rPr>
          <w:rFonts w:hint="eastAsia" w:ascii="宋体" w:hAnsi="宋体"/>
          <w:color w:val="auto"/>
          <w:highlight w:val="none"/>
        </w:rPr>
      </w:pPr>
      <w:r>
        <w:rPr>
          <w:rFonts w:hint="eastAsia" w:ascii="宋体" w:hAnsi="宋体"/>
          <w:color w:val="auto"/>
          <w:highlight w:val="none"/>
        </w:rPr>
        <w:t>身份证号：</w:t>
      </w:r>
      <w:r>
        <w:rPr>
          <w:rFonts w:hint="eastAsia" w:ascii="宋体" w:hAnsi="宋体"/>
          <w:color w:val="auto"/>
          <w:highlight w:val="none"/>
          <w:u w:val="single"/>
        </w:rPr>
        <w:t>　　　　　　　　　　　</w:t>
      </w:r>
      <w:r>
        <w:rPr>
          <w:rFonts w:hint="eastAsia" w:ascii="宋体" w:hAnsi="宋体"/>
          <w:color w:val="auto"/>
          <w:highlight w:val="none"/>
        </w:rPr>
        <w:t>；　　　证书号：</w:t>
      </w:r>
      <w:r>
        <w:rPr>
          <w:rFonts w:hint="eastAsia" w:ascii="宋体" w:hAnsi="宋体"/>
          <w:color w:val="auto"/>
          <w:highlight w:val="none"/>
          <w:u w:val="single"/>
        </w:rPr>
        <w:t>　　　　              　　</w:t>
      </w:r>
      <w:r>
        <w:rPr>
          <w:rFonts w:hint="eastAsia" w:ascii="宋体" w:hAnsi="宋体"/>
          <w:color w:val="auto"/>
          <w:highlight w:val="none"/>
        </w:rPr>
        <w:t>；</w:t>
      </w:r>
    </w:p>
    <w:p w14:paraId="410D3D1E">
      <w:pPr>
        <w:pageBreakBefore w:val="0"/>
        <w:kinsoku/>
        <w:wordWrap/>
        <w:overflowPunct/>
        <w:topLinePunct w:val="0"/>
        <w:autoSpaceDE/>
        <w:autoSpaceDN/>
        <w:bidi w:val="0"/>
        <w:spacing w:line="400" w:lineRule="exact"/>
        <w:ind w:firstLine="420"/>
        <w:textAlignment w:val="auto"/>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　　</w:t>
      </w:r>
    </w:p>
    <w:p w14:paraId="08868211">
      <w:pPr>
        <w:pageBreakBefore w:val="0"/>
        <w:kinsoku/>
        <w:wordWrap/>
        <w:overflowPunct/>
        <w:topLinePunct w:val="0"/>
        <w:autoSpaceDE/>
        <w:autoSpaceDN/>
        <w:bidi w:val="0"/>
        <w:spacing w:line="400" w:lineRule="exact"/>
        <w:textAlignment w:val="auto"/>
        <w:rPr>
          <w:rFonts w:ascii="宋体" w:hAnsi="宋体"/>
          <w:color w:val="auto"/>
          <w:highlight w:val="none"/>
        </w:rPr>
      </w:pPr>
      <w:r>
        <w:rPr>
          <w:rFonts w:hint="eastAsia" w:ascii="宋体" w:hAnsi="宋体"/>
          <w:color w:val="auto"/>
          <w:highlight w:val="none"/>
          <w:lang w:eastAsia="zh-CN"/>
        </w:rPr>
        <w:t>九</w:t>
      </w:r>
      <w:r>
        <w:rPr>
          <w:rFonts w:hint="eastAsia" w:ascii="宋体" w:hAnsi="宋体"/>
          <w:color w:val="auto"/>
          <w:highlight w:val="none"/>
        </w:rPr>
        <w:t>、合同文件的组成</w:t>
      </w:r>
    </w:p>
    <w:p w14:paraId="548ED632">
      <w:pPr>
        <w:pageBreakBefore w:val="0"/>
        <w:kinsoku/>
        <w:wordWrap/>
        <w:overflowPunct/>
        <w:topLinePunct w:val="0"/>
        <w:autoSpaceDE/>
        <w:autoSpaceDN/>
        <w:bidi w:val="0"/>
        <w:spacing w:line="400" w:lineRule="exact"/>
        <w:textAlignment w:val="auto"/>
        <w:rPr>
          <w:rFonts w:ascii="宋体" w:hAnsi="宋体"/>
          <w:color w:val="auto"/>
          <w:highlight w:val="none"/>
        </w:rPr>
      </w:pPr>
      <w:r>
        <w:rPr>
          <w:rFonts w:hint="eastAsia" w:ascii="宋体" w:hAnsi="宋体"/>
          <w:color w:val="auto"/>
          <w:highlight w:val="none"/>
        </w:rPr>
        <w:t>　　下列文件共同构成合同文件：</w:t>
      </w:r>
    </w:p>
    <w:p w14:paraId="28D79950">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（1）合同协议书；</w:t>
      </w:r>
    </w:p>
    <w:p w14:paraId="54B6D6C4">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（2）中标通知书；</w:t>
      </w:r>
    </w:p>
    <w:p w14:paraId="41A8FF58">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（3）投标函及投标函附录；</w:t>
      </w:r>
    </w:p>
    <w:p w14:paraId="55A46CA6">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（4）专用合同条款；</w:t>
      </w:r>
    </w:p>
    <w:p w14:paraId="094135CA">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（5）通用合同条款；</w:t>
      </w:r>
    </w:p>
    <w:p w14:paraId="17269D84">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（6）技术标准和要求；</w:t>
      </w:r>
    </w:p>
    <w:p w14:paraId="3E05E138">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）已标价工程量清单；</w:t>
      </w:r>
    </w:p>
    <w:p w14:paraId="34F26257">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）比选文件；</w:t>
      </w:r>
    </w:p>
    <w:p w14:paraId="15F1A9A1">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）工程质量保修书；</w:t>
      </w:r>
    </w:p>
    <w:p w14:paraId="3E41E17E">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）建</w:t>
      </w:r>
      <w:r>
        <w:rPr>
          <w:rFonts w:hint="eastAsia"/>
          <w:color w:val="auto"/>
          <w:highlight w:val="none"/>
        </w:rPr>
        <w:t>设工程廉政责任书；</w:t>
      </w:r>
    </w:p>
    <w:p w14:paraId="337BEDDC">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11</w:t>
      </w:r>
      <w:r>
        <w:rPr>
          <w:rFonts w:hint="eastAsia" w:ascii="宋体" w:hAnsi="宋体"/>
          <w:color w:val="auto"/>
          <w:highlight w:val="none"/>
        </w:rPr>
        <w:t>）其他合同文件。</w:t>
      </w:r>
    </w:p>
    <w:p w14:paraId="41C4B8F8">
      <w:pPr>
        <w:pageBreakBefore w:val="0"/>
        <w:kinsoku/>
        <w:wordWrap/>
        <w:overflowPunct/>
        <w:topLinePunct w:val="0"/>
        <w:autoSpaceDE/>
        <w:autoSpaceDN/>
        <w:bidi w:val="0"/>
        <w:spacing w:line="400" w:lineRule="exact"/>
        <w:ind w:firstLine="420"/>
        <w:textAlignment w:val="auto"/>
        <w:rPr>
          <w:rFonts w:hint="eastAsia" w:ascii="宋体" w:hAnsi="宋体"/>
          <w:color w:val="auto"/>
          <w:highlight w:val="none"/>
        </w:rPr>
      </w:pPr>
      <w:r>
        <w:rPr>
          <w:rFonts w:hint="eastAsia" w:ascii="宋体" w:hAnsi="宋体"/>
          <w:color w:val="auto"/>
          <w:highlight w:val="none"/>
        </w:rPr>
        <w:t>上述文件互相补充和解释，如有不明确或不一致之处，以合同约定次序在先者为准。</w:t>
      </w:r>
    </w:p>
    <w:p w14:paraId="10FBA35F">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lang w:eastAsia="zh-CN"/>
        </w:rPr>
        <w:t>十</w:t>
      </w:r>
      <w:r>
        <w:rPr>
          <w:rFonts w:hint="eastAsia" w:ascii="宋体" w:hAnsi="宋体"/>
          <w:color w:val="auto"/>
          <w:highlight w:val="none"/>
        </w:rPr>
        <w:t>、本协议书中有关词语定义与合同条款中的定义相同。</w:t>
      </w:r>
    </w:p>
    <w:p w14:paraId="71D64186">
      <w:pPr>
        <w:pageBreakBefore w:val="0"/>
        <w:kinsoku/>
        <w:wordWrap/>
        <w:overflowPunct/>
        <w:topLinePunct w:val="0"/>
        <w:autoSpaceDE/>
        <w:autoSpaceDN/>
        <w:bidi w:val="0"/>
        <w:spacing w:line="400" w:lineRule="exact"/>
        <w:ind w:left="420" w:leftChars="200" w:firstLine="0" w:firstLineChars="0"/>
        <w:textAlignment w:val="auto"/>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一</w:t>
      </w:r>
      <w:r>
        <w:rPr>
          <w:rFonts w:hint="eastAsia" w:ascii="宋体" w:hAnsi="宋体"/>
          <w:color w:val="auto"/>
          <w:highlight w:val="none"/>
        </w:rPr>
        <w:t>、承包人承诺按照合同约定进行施工、竣工、交付并在缺陷责任期内对工程缺陷承担维修责任。十</w:t>
      </w:r>
      <w:r>
        <w:rPr>
          <w:rFonts w:hint="eastAsia" w:ascii="宋体" w:hAnsi="宋体"/>
          <w:color w:val="auto"/>
          <w:highlight w:val="none"/>
          <w:lang w:eastAsia="zh-CN"/>
        </w:rPr>
        <w:t>二</w:t>
      </w:r>
      <w:r>
        <w:rPr>
          <w:rFonts w:hint="eastAsia" w:ascii="宋体" w:hAnsi="宋体"/>
          <w:color w:val="auto"/>
          <w:highlight w:val="none"/>
        </w:rPr>
        <w:t>、发包人承诺按照合同约定的条件、期限和方式向承包人支付合同价款。</w:t>
      </w:r>
    </w:p>
    <w:p w14:paraId="05075683">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highlight w:val="none"/>
        </w:rPr>
        <w:t>十</w:t>
      </w:r>
      <w:r>
        <w:rPr>
          <w:rFonts w:hint="eastAsia" w:ascii="宋体" w:hAnsi="宋体"/>
          <w:color w:val="auto"/>
          <w:highlight w:val="none"/>
          <w:lang w:eastAsia="zh-CN"/>
        </w:rPr>
        <w:t>三</w:t>
      </w:r>
      <w:r>
        <w:rPr>
          <w:rFonts w:hint="eastAsia" w:ascii="宋体" w:hAnsi="宋体"/>
          <w:color w:val="auto"/>
          <w:highlight w:val="none"/>
        </w:rPr>
        <w:t>、本协议自承包人向发包人提交了履约保证金后，并经</w:t>
      </w:r>
      <w:r>
        <w:rPr>
          <w:rFonts w:hint="eastAsia" w:ascii="宋体" w:hAnsi="宋体"/>
          <w:color w:val="auto"/>
          <w:highlight w:val="none"/>
          <w:lang w:eastAsia="zh-CN"/>
        </w:rPr>
        <w:t>双方</w:t>
      </w:r>
      <w:r>
        <w:rPr>
          <w:rFonts w:hint="eastAsia" w:ascii="宋体" w:hAnsi="宋体"/>
          <w:color w:val="auto"/>
          <w:highlight w:val="none"/>
        </w:rPr>
        <w:t>法定代表人或其委托代理人签字盖单位章后生效，本协议连同其他合同文件</w:t>
      </w:r>
      <w:r>
        <w:rPr>
          <w:rFonts w:hint="eastAsia" w:ascii="宋体" w:hAnsi="宋体"/>
          <w:color w:val="auto"/>
          <w:szCs w:val="21"/>
          <w:highlight w:val="none"/>
        </w:rPr>
        <w:t>正本一式</w:t>
      </w:r>
      <w:r>
        <w:rPr>
          <w:rFonts w:hint="eastAsia" w:ascii="宋体" w:hAnsi="宋体"/>
          <w:color w:val="auto"/>
          <w:szCs w:val="21"/>
          <w:highlight w:val="none"/>
          <w:lang w:eastAsia="zh-CN"/>
        </w:rPr>
        <w:t>陆</w:t>
      </w:r>
      <w:r>
        <w:rPr>
          <w:rFonts w:hint="eastAsia" w:ascii="宋体" w:hAnsi="宋体"/>
          <w:color w:val="auto"/>
          <w:szCs w:val="21"/>
          <w:highlight w:val="none"/>
        </w:rPr>
        <w:t>份，合同双方各执</w:t>
      </w:r>
      <w:r>
        <w:rPr>
          <w:rFonts w:hint="eastAsia" w:ascii="宋体" w:hAnsi="宋体"/>
          <w:color w:val="auto"/>
          <w:szCs w:val="21"/>
          <w:highlight w:val="none"/>
          <w:lang w:eastAsia="zh-CN"/>
        </w:rPr>
        <w:t>叁</w:t>
      </w:r>
      <w:r>
        <w:rPr>
          <w:rFonts w:hint="eastAsia" w:ascii="宋体" w:hAnsi="宋体"/>
          <w:color w:val="auto"/>
          <w:szCs w:val="21"/>
          <w:highlight w:val="none"/>
        </w:rPr>
        <w:t>份；</w:t>
      </w:r>
    </w:p>
    <w:p w14:paraId="71344FD9">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四</w:t>
      </w:r>
      <w:r>
        <w:rPr>
          <w:rFonts w:hint="eastAsia" w:ascii="宋体" w:hAnsi="宋体"/>
          <w:color w:val="auto"/>
          <w:highlight w:val="none"/>
        </w:rPr>
        <w:t>、合同未尽事宜，双方另行签订补充协议，但不得背离本协议第九条所约定的合同文件的实质性内容。补充协议是合同文件的组成部分。</w:t>
      </w:r>
    </w:p>
    <w:p w14:paraId="42AD583C">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发包人：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承包人：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 xml:space="preserve">)  </w:t>
      </w:r>
    </w:p>
    <w:p w14:paraId="6F2D7296">
      <w:pPr>
        <w:spacing w:line="400" w:lineRule="exact"/>
        <w:ind w:firstLine="105" w:firstLineChars="50"/>
        <w:rPr>
          <w:rFonts w:ascii="宋体" w:hAnsi="宋体"/>
          <w:color w:val="auto"/>
          <w:highlight w:val="none"/>
        </w:rPr>
      </w:pPr>
      <w:r>
        <w:rPr>
          <w:rFonts w:hint="eastAsia" w:ascii="宋体" w:hAnsi="宋体"/>
          <w:color w:val="auto"/>
          <w:highlight w:val="none"/>
        </w:rPr>
        <w:t>法定地址：</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法定地址：</w:t>
      </w:r>
      <w:r>
        <w:rPr>
          <w:rFonts w:hint="eastAsia" w:ascii="宋体" w:hAnsi="宋体"/>
          <w:color w:val="auto"/>
          <w:highlight w:val="none"/>
          <w:u w:val="single"/>
        </w:rPr>
        <w:t>　　　　　　　　    　　</w:t>
      </w:r>
    </w:p>
    <w:p w14:paraId="74BCA570">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p>
    <w:p w14:paraId="436C3A16">
      <w:pPr>
        <w:spacing w:line="400" w:lineRule="exact"/>
        <w:ind w:firstLine="105" w:firstLineChars="50"/>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w:t>
      </w:r>
    </w:p>
    <w:p w14:paraId="2566DEF9">
      <w:pPr>
        <w:spacing w:line="400" w:lineRule="exact"/>
        <w:ind w:firstLine="105" w:firstLineChars="50"/>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w:t>
      </w:r>
      <w:r>
        <w:rPr>
          <w:rFonts w:hint="eastAsia" w:ascii="宋体" w:hAnsi="宋体"/>
          <w:color w:val="auto"/>
          <w:highlight w:val="none"/>
        </w:rPr>
        <w:t>　　　　　　传    真：</w:t>
      </w:r>
      <w:r>
        <w:rPr>
          <w:rFonts w:hint="eastAsia" w:ascii="宋体" w:hAnsi="宋体"/>
          <w:color w:val="auto"/>
          <w:highlight w:val="none"/>
          <w:u w:val="single"/>
        </w:rPr>
        <w:t>　　　　　　　   　 　　</w:t>
      </w:r>
      <w:r>
        <w:rPr>
          <w:rFonts w:hint="eastAsia" w:ascii="宋体" w:hAnsi="宋体"/>
          <w:color w:val="auto"/>
          <w:highlight w:val="none"/>
        </w:rPr>
        <w:t>　</w:t>
      </w:r>
    </w:p>
    <w:p w14:paraId="59CA2D75">
      <w:pPr>
        <w:spacing w:line="400" w:lineRule="exact"/>
        <w:ind w:firstLine="105" w:firstLineChars="50"/>
        <w:rPr>
          <w:rFonts w:ascii="宋体" w:hAnsi="宋体"/>
          <w:color w:val="auto"/>
          <w:highlight w:val="none"/>
        </w:rPr>
      </w:pPr>
      <w:r>
        <w:rPr>
          <w:rFonts w:hint="eastAsia" w:ascii="宋体" w:hAnsi="宋体"/>
          <w:color w:val="auto"/>
          <w:highlight w:val="none"/>
        </w:rPr>
        <w:t>电子邮箱：</w:t>
      </w:r>
      <w:r>
        <w:rPr>
          <w:rFonts w:hint="eastAsia" w:ascii="宋体" w:hAnsi="宋体"/>
          <w:color w:val="auto"/>
          <w:highlight w:val="none"/>
          <w:u w:val="single"/>
        </w:rPr>
        <w:t>　　　　　　　  　　　</w:t>
      </w:r>
      <w:r>
        <w:rPr>
          <w:rFonts w:hint="eastAsia" w:ascii="宋体" w:hAnsi="宋体"/>
          <w:color w:val="auto"/>
          <w:highlight w:val="none"/>
        </w:rPr>
        <w:t>　　　　　  电子邮箱：</w:t>
      </w:r>
      <w:r>
        <w:rPr>
          <w:rFonts w:hint="eastAsia" w:ascii="宋体" w:hAnsi="宋体"/>
          <w:color w:val="auto"/>
          <w:highlight w:val="none"/>
          <w:u w:val="single"/>
        </w:rPr>
        <w:t>　　　　　　　    　　　</w:t>
      </w:r>
      <w:r>
        <w:rPr>
          <w:rFonts w:hint="eastAsia" w:ascii="宋体" w:hAnsi="宋体"/>
          <w:color w:val="auto"/>
          <w:highlight w:val="none"/>
        </w:rPr>
        <w:t>　</w:t>
      </w:r>
    </w:p>
    <w:p w14:paraId="0B40C994">
      <w:pPr>
        <w:spacing w:line="400" w:lineRule="exact"/>
        <w:ind w:firstLine="105" w:firstLineChars="50"/>
        <w:rPr>
          <w:rFonts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w:t>
      </w:r>
      <w:r>
        <w:rPr>
          <w:rFonts w:hint="eastAsia" w:ascii="宋体" w:hAnsi="宋体"/>
          <w:color w:val="auto"/>
          <w:highlight w:val="none"/>
        </w:rPr>
        <w:t>　　　　　　开户银行：</w:t>
      </w:r>
      <w:r>
        <w:rPr>
          <w:rFonts w:hint="eastAsia" w:ascii="宋体" w:hAnsi="宋体"/>
          <w:color w:val="auto"/>
          <w:highlight w:val="none"/>
          <w:u w:val="single"/>
        </w:rPr>
        <w:t>　　　　　　　    　　　</w:t>
      </w:r>
      <w:r>
        <w:rPr>
          <w:rFonts w:hint="eastAsia" w:ascii="宋体" w:hAnsi="宋体"/>
          <w:color w:val="auto"/>
          <w:highlight w:val="none"/>
        </w:rPr>
        <w:t>　</w:t>
      </w:r>
    </w:p>
    <w:p w14:paraId="55F50C30">
      <w:pPr>
        <w:spacing w:line="400" w:lineRule="exact"/>
        <w:ind w:firstLine="105" w:firstLineChars="50"/>
        <w:rPr>
          <w:rFonts w:ascii="宋体" w:hAnsi="宋体"/>
          <w:color w:val="auto"/>
          <w:highlight w:val="none"/>
        </w:rPr>
      </w:pPr>
      <w:r>
        <w:rPr>
          <w:rFonts w:hint="eastAsia" w:ascii="宋体" w:hAnsi="宋体"/>
          <w:color w:val="auto"/>
          <w:highlight w:val="none"/>
        </w:rPr>
        <w:t>帐    号：</w:t>
      </w:r>
      <w:r>
        <w:rPr>
          <w:rFonts w:hint="eastAsia" w:ascii="宋体" w:hAnsi="宋体"/>
          <w:color w:val="auto"/>
          <w:highlight w:val="none"/>
          <w:u w:val="single"/>
        </w:rPr>
        <w:t>　　　　　　 　　 　　</w:t>
      </w:r>
      <w:r>
        <w:rPr>
          <w:rFonts w:hint="eastAsia" w:ascii="宋体" w:hAnsi="宋体"/>
          <w:color w:val="auto"/>
          <w:highlight w:val="none"/>
        </w:rPr>
        <w:t>　　　　　　帐    号：</w:t>
      </w:r>
      <w:r>
        <w:rPr>
          <w:rFonts w:hint="eastAsia" w:ascii="宋体" w:hAnsi="宋体"/>
          <w:color w:val="auto"/>
          <w:highlight w:val="none"/>
          <w:u w:val="single"/>
        </w:rPr>
        <w:t>　　　　　　　　    　　</w:t>
      </w:r>
      <w:r>
        <w:rPr>
          <w:rFonts w:hint="eastAsia" w:ascii="宋体" w:hAnsi="宋体"/>
          <w:color w:val="auto"/>
          <w:highlight w:val="none"/>
        </w:rPr>
        <w:t>　</w:t>
      </w:r>
    </w:p>
    <w:p w14:paraId="642B1BE7">
      <w:pPr>
        <w:spacing w:line="400" w:lineRule="exact"/>
        <w:ind w:firstLine="105" w:firstLineChars="50"/>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w:t>
      </w:r>
      <w:r>
        <w:rPr>
          <w:rFonts w:hint="eastAsia" w:ascii="宋体" w:hAnsi="宋体"/>
          <w:color w:val="auto"/>
          <w:highlight w:val="none"/>
        </w:rPr>
        <w:t>　　　　　  邮政编码：</w:t>
      </w:r>
      <w:r>
        <w:rPr>
          <w:rFonts w:hint="eastAsia" w:ascii="宋体" w:hAnsi="宋体"/>
          <w:color w:val="auto"/>
          <w:highlight w:val="none"/>
          <w:u w:val="single"/>
        </w:rPr>
        <w:t>　　　　　　　    　　　</w:t>
      </w:r>
      <w:r>
        <w:rPr>
          <w:rFonts w:hint="eastAsia" w:ascii="宋体" w:hAnsi="宋体"/>
          <w:color w:val="auto"/>
          <w:highlight w:val="none"/>
        </w:rPr>
        <w:t>　</w:t>
      </w:r>
    </w:p>
    <w:p w14:paraId="63940FE1">
      <w:pPr>
        <w:pageBreakBefore w:val="0"/>
        <w:kinsoku/>
        <w:wordWrap/>
        <w:overflowPunct/>
        <w:topLinePunct w:val="0"/>
        <w:autoSpaceDE/>
        <w:autoSpaceDN/>
        <w:bidi w:val="0"/>
        <w:spacing w:line="400" w:lineRule="exact"/>
        <w:jc w:val="center"/>
        <w:textAlignment w:val="auto"/>
        <w:rPr>
          <w:rFonts w:hint="eastAsia"/>
          <w:b/>
          <w:color w:val="auto"/>
          <w:sz w:val="32"/>
          <w:szCs w:val="32"/>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b/>
          <w:color w:val="auto"/>
          <w:sz w:val="32"/>
          <w:szCs w:val="32"/>
          <w:highlight w:val="none"/>
        </w:rPr>
        <w:br w:type="page"/>
      </w:r>
      <w:bookmarkStart w:id="598" w:name="_Toc3637"/>
      <w:bookmarkStart w:id="599" w:name="_Toc11318"/>
      <w:bookmarkStart w:id="600" w:name="_Toc418077865"/>
      <w:bookmarkStart w:id="601" w:name="_Toc428455509"/>
      <w:bookmarkStart w:id="602" w:name="_Toc452058738"/>
    </w:p>
    <w:p w14:paraId="140A7A2E">
      <w:pPr>
        <w:pageBreakBefore w:val="0"/>
        <w:kinsoku/>
        <w:wordWrap/>
        <w:overflowPunct/>
        <w:topLinePunct w:val="0"/>
        <w:autoSpaceDE/>
        <w:autoSpaceDN/>
        <w:bidi w:val="0"/>
        <w:spacing w:line="400" w:lineRule="exact"/>
        <w:jc w:val="center"/>
        <w:textAlignment w:val="auto"/>
        <w:rPr>
          <w:rFonts w:hint="eastAsia" w:eastAsiaTheme="minorEastAsia"/>
          <w:b/>
          <w:color w:val="auto"/>
          <w:sz w:val="28"/>
          <w:szCs w:val="28"/>
          <w:highlight w:val="none"/>
          <w:lang w:val="en-US" w:eastAsia="zh-CN"/>
        </w:rPr>
      </w:pPr>
      <w:r>
        <w:rPr>
          <w:rFonts w:hint="eastAsia"/>
          <w:b/>
          <w:color w:val="auto"/>
          <w:sz w:val="28"/>
          <w:szCs w:val="28"/>
          <w:highlight w:val="none"/>
          <w:lang w:eastAsia="zh-CN"/>
        </w:rPr>
        <w:t>第二节</w:t>
      </w:r>
      <w:r>
        <w:rPr>
          <w:rFonts w:hint="eastAsia"/>
          <w:b/>
          <w:color w:val="auto"/>
          <w:sz w:val="28"/>
          <w:szCs w:val="28"/>
          <w:highlight w:val="none"/>
          <w:lang w:val="en-US" w:eastAsia="zh-CN"/>
        </w:rPr>
        <w:t xml:space="preserve">  通用合同条款</w:t>
      </w:r>
    </w:p>
    <w:p w14:paraId="2DD6F24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b/>
          <w:color w:val="auto"/>
          <w:sz w:val="32"/>
          <w:szCs w:val="32"/>
          <w:highlight w:val="none"/>
        </w:rPr>
      </w:pPr>
      <w:r>
        <w:rPr>
          <w:rFonts w:hint="eastAsia" w:ascii="宋体" w:hAnsi="宋体"/>
          <w:b w:val="0"/>
          <w:bCs/>
          <w:color w:val="auto"/>
          <w:sz w:val="24"/>
          <w:szCs w:val="24"/>
          <w:highlight w:val="none"/>
        </w:rPr>
        <w:t>采用中华人民共和国《标准施工招标文件（GF-2017-0201）》（中国计划出版社）第四章第一节的《通用合同条款》。</w:t>
      </w:r>
    </w:p>
    <w:p w14:paraId="2917514E">
      <w:pPr>
        <w:pageBreakBefore w:val="0"/>
        <w:kinsoku/>
        <w:wordWrap/>
        <w:overflowPunct/>
        <w:topLinePunct w:val="0"/>
        <w:autoSpaceDE/>
        <w:autoSpaceDN/>
        <w:bidi w:val="0"/>
        <w:spacing w:line="400" w:lineRule="exact"/>
        <w:jc w:val="center"/>
        <w:textAlignment w:val="auto"/>
        <w:outlineLvl w:val="1"/>
        <w:rPr>
          <w:b/>
          <w:color w:val="auto"/>
          <w:sz w:val="28"/>
          <w:szCs w:val="28"/>
          <w:highlight w:val="none"/>
        </w:rPr>
      </w:pPr>
      <w:bookmarkStart w:id="603" w:name="_Toc16932"/>
      <w:r>
        <w:rPr>
          <w:rFonts w:hint="eastAsia" w:asciiTheme="minorEastAsia" w:hAnsiTheme="minorEastAsia" w:eastAsiaTheme="minorEastAsia" w:cstheme="minorEastAsia"/>
          <w:b/>
          <w:color w:val="auto"/>
          <w:sz w:val="28"/>
          <w:szCs w:val="28"/>
          <w:highlight w:val="none"/>
        </w:rPr>
        <w:t>第三节  合同专用条款</w:t>
      </w:r>
      <w:bookmarkEnd w:id="598"/>
      <w:bookmarkEnd w:id="599"/>
      <w:bookmarkEnd w:id="600"/>
      <w:bookmarkEnd w:id="601"/>
      <w:bookmarkEnd w:id="602"/>
      <w:bookmarkEnd w:id="603"/>
    </w:p>
    <w:p w14:paraId="16E953D8">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 一般约定</w:t>
      </w:r>
    </w:p>
    <w:p w14:paraId="23CCA569">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1.1  词语定义</w:t>
      </w:r>
    </w:p>
    <w:p w14:paraId="2BDF91AA">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  合同当事人和人员</w:t>
      </w:r>
    </w:p>
    <w:p w14:paraId="778E9755">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eastAsiaTheme="minorEastAsia"/>
          <w:color w:val="auto"/>
          <w:szCs w:val="24"/>
          <w:highlight w:val="none"/>
          <w:lang w:eastAsia="zh-CN"/>
        </w:rPr>
      </w:pPr>
      <w:r>
        <w:rPr>
          <w:rFonts w:hint="eastAsia"/>
          <w:color w:val="auto"/>
          <w:szCs w:val="24"/>
          <w:highlight w:val="none"/>
        </w:rPr>
        <w:t>1.1.2.2  发包人：</w:t>
      </w:r>
      <w:r>
        <w:rPr>
          <w:rFonts w:hint="eastAsia" w:ascii="宋体" w:hAnsi="宋体"/>
          <w:b/>
          <w:bCs/>
          <w:color w:val="auto"/>
          <w:szCs w:val="21"/>
          <w:highlight w:val="none"/>
          <w:u w:val="single"/>
          <w:lang w:eastAsia="zh-CN"/>
        </w:rPr>
        <w:t>重庆市铜梁区虎峰小学</w:t>
      </w:r>
    </w:p>
    <w:p w14:paraId="13B2A6EB">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1.1.2.3  承包人：</w:t>
      </w:r>
    </w:p>
    <w:p w14:paraId="79FBF19C">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1.1.2.6  监理人：</w:t>
      </w:r>
    </w:p>
    <w:p w14:paraId="1BC49C2C">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  工程和设备</w:t>
      </w:r>
    </w:p>
    <w:p w14:paraId="2A78D27D">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1.1.3.2  永久工程：</w:t>
      </w:r>
      <w:r>
        <w:rPr>
          <w:rFonts w:hint="eastAsia"/>
          <w:b/>
          <w:color w:val="auto"/>
          <w:szCs w:val="24"/>
          <w:highlight w:val="none"/>
          <w:u w:val="single"/>
        </w:rPr>
        <w:t xml:space="preserve">本工程比选范围内的各项工程。 </w:t>
      </w:r>
    </w:p>
    <w:p w14:paraId="45EE7AAA">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 xml:space="preserve">1.1.3.3  临时工程： </w:t>
      </w:r>
      <w:r>
        <w:rPr>
          <w:rFonts w:hint="eastAsia"/>
          <w:b/>
          <w:color w:val="auto"/>
          <w:szCs w:val="24"/>
          <w:highlight w:val="none"/>
          <w:u w:val="single"/>
        </w:rPr>
        <w:t xml:space="preserve">为完成前款工程所修建的各类临时性工程。 </w:t>
      </w:r>
    </w:p>
    <w:p w14:paraId="205C72D1">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1.1.3.10  永久占地：</w:t>
      </w:r>
    </w:p>
    <w:p w14:paraId="65686A2B">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 xml:space="preserve">1.1.3.11  临时占地： </w:t>
      </w:r>
      <w:r>
        <w:rPr>
          <w:rFonts w:hint="eastAsia"/>
          <w:b/>
          <w:color w:val="auto"/>
          <w:szCs w:val="24"/>
          <w:highlight w:val="none"/>
          <w:u w:val="single"/>
        </w:rPr>
        <w:t>施工临设用地、施工便道用地等，由承包人根据现场实际情况决定，临时占地发生的费用由承包人自行承担。</w:t>
      </w:r>
    </w:p>
    <w:p w14:paraId="4B778990">
      <w:pPr>
        <w:keepNext w:val="0"/>
        <w:keepLines w:val="0"/>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color w:val="auto"/>
          <w:szCs w:val="24"/>
          <w:highlight w:val="none"/>
        </w:rPr>
      </w:pPr>
      <w:r>
        <w:rPr>
          <w:rFonts w:hint="eastAsia"/>
          <w:color w:val="auto"/>
          <w:szCs w:val="24"/>
          <w:highlight w:val="none"/>
        </w:rPr>
        <w:t xml:space="preserve">1.1.4  </w:t>
      </w:r>
      <w:r>
        <w:rPr>
          <w:rFonts w:hint="eastAsia"/>
          <w:color w:val="auto"/>
          <w:szCs w:val="24"/>
          <w:highlight w:val="none"/>
          <w:lang w:eastAsia="zh-CN"/>
        </w:rPr>
        <w:t>日</w:t>
      </w:r>
      <w:r>
        <w:rPr>
          <w:rFonts w:hint="eastAsia"/>
          <w:color w:val="auto"/>
          <w:szCs w:val="24"/>
          <w:highlight w:val="none"/>
        </w:rPr>
        <w:t>期</w:t>
      </w:r>
    </w:p>
    <w:p w14:paraId="1F1EFD9E">
      <w:pPr>
        <w:keepNext w:val="0"/>
        <w:keepLines w:val="0"/>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eastAsiaTheme="minorEastAsia"/>
          <w:color w:val="auto"/>
          <w:szCs w:val="24"/>
          <w:highlight w:val="none"/>
          <w:lang w:eastAsia="zh-CN"/>
        </w:rPr>
      </w:pPr>
      <w:r>
        <w:rPr>
          <w:rFonts w:hint="eastAsia"/>
          <w:color w:val="auto"/>
          <w:szCs w:val="24"/>
          <w:highlight w:val="none"/>
        </w:rPr>
        <w:t>1.1.4.5 缺陷责任期：</w:t>
      </w:r>
      <w:r>
        <w:rPr>
          <w:rFonts w:hint="eastAsia"/>
          <w:b/>
          <w:bCs/>
          <w:color w:val="auto"/>
          <w:highlight w:val="none"/>
          <w:u w:val="single"/>
          <w:lang w:val="en-US" w:eastAsia="zh-CN"/>
        </w:rPr>
        <w:t>12个月</w:t>
      </w:r>
      <w:r>
        <w:rPr>
          <w:rFonts w:hint="eastAsia"/>
          <w:b/>
          <w:color w:val="auto"/>
          <w:highlight w:val="none"/>
          <w:u w:val="single"/>
        </w:rPr>
        <w:t>，自工程</w:t>
      </w:r>
      <w:r>
        <w:rPr>
          <w:rFonts w:hint="eastAsia"/>
          <w:b/>
          <w:color w:val="auto"/>
          <w:highlight w:val="none"/>
          <w:u w:val="single"/>
          <w:lang w:eastAsia="zh-CN"/>
        </w:rPr>
        <w:t>竣工</w:t>
      </w:r>
      <w:r>
        <w:rPr>
          <w:rFonts w:hint="eastAsia"/>
          <w:b/>
          <w:color w:val="auto"/>
          <w:highlight w:val="none"/>
          <w:u w:val="single"/>
        </w:rPr>
        <w:t>验收合格之日起计算</w:t>
      </w:r>
      <w:r>
        <w:rPr>
          <w:rFonts w:hint="eastAsia"/>
          <w:b/>
          <w:color w:val="auto"/>
          <w:highlight w:val="none"/>
          <w:u w:val="single"/>
          <w:lang w:eastAsia="zh-CN"/>
        </w:rPr>
        <w:t>。</w:t>
      </w:r>
    </w:p>
    <w:p w14:paraId="7853836C">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1.4  合同文件的优先顺序</w:t>
      </w:r>
    </w:p>
    <w:p w14:paraId="29A2C093">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合同文件组成及解释顺序：</w:t>
      </w:r>
    </w:p>
    <w:p w14:paraId="30F4E6AC">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（1）合同协议书；</w:t>
      </w:r>
    </w:p>
    <w:p w14:paraId="3DDBB496">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（2）中标通知书；</w:t>
      </w:r>
    </w:p>
    <w:p w14:paraId="38C5668A">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（3）投标函及投标函附录；</w:t>
      </w:r>
    </w:p>
    <w:p w14:paraId="026B54ED">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（4）专用合同条款；</w:t>
      </w:r>
    </w:p>
    <w:p w14:paraId="05E3C484">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（5）通用合同条款；</w:t>
      </w:r>
    </w:p>
    <w:p w14:paraId="06BBEF0C">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（6）技术标准和要求；</w:t>
      </w:r>
    </w:p>
    <w:p w14:paraId="06C05B55">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）已标价工程量清单；</w:t>
      </w:r>
    </w:p>
    <w:p w14:paraId="7D95238E">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）比选文件；</w:t>
      </w:r>
    </w:p>
    <w:p w14:paraId="66BAAA7E">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）工程质量保修书；</w:t>
      </w:r>
    </w:p>
    <w:p w14:paraId="134266BB">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）建</w:t>
      </w:r>
      <w:r>
        <w:rPr>
          <w:rFonts w:hint="eastAsia"/>
          <w:color w:val="auto"/>
          <w:highlight w:val="none"/>
        </w:rPr>
        <w:t>设工程廉政责任书；</w:t>
      </w:r>
    </w:p>
    <w:p w14:paraId="075F24B1">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11</w:t>
      </w:r>
      <w:r>
        <w:rPr>
          <w:rFonts w:hint="eastAsia" w:ascii="宋体" w:hAnsi="宋体"/>
          <w:color w:val="auto"/>
          <w:highlight w:val="none"/>
        </w:rPr>
        <w:t>）其他合同文件。</w:t>
      </w:r>
    </w:p>
    <w:p w14:paraId="0FF042E5">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1.5  合同生效的条件</w:t>
      </w:r>
    </w:p>
    <w:p w14:paraId="6C3C0E89">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ascii="宋体" w:hAnsi="宋体" w:cs="宋体"/>
          <w:snapToGrid w:val="0"/>
          <w:color w:val="auto"/>
          <w:szCs w:val="21"/>
          <w:highlight w:val="none"/>
        </w:rPr>
        <w:t>合同生效的条件：</w:t>
      </w:r>
      <w:r>
        <w:rPr>
          <w:rFonts w:hint="eastAsia" w:ascii="宋体" w:hAnsi="宋体" w:cs="宋体"/>
          <w:b/>
          <w:color w:val="auto"/>
          <w:szCs w:val="21"/>
          <w:highlight w:val="none"/>
          <w:u w:val="single"/>
          <w:lang w:eastAsia="zh-CN"/>
        </w:rPr>
        <w:t>经发包人和承包人的</w:t>
      </w:r>
      <w:r>
        <w:rPr>
          <w:rFonts w:hint="eastAsia" w:ascii="宋体" w:hAnsi="宋体" w:cs="宋体"/>
          <w:b/>
          <w:color w:val="auto"/>
          <w:szCs w:val="21"/>
          <w:highlight w:val="none"/>
          <w:u w:val="single"/>
        </w:rPr>
        <w:t>法定代表人或其委托代理人签字并盖公章后生效。在双方履行完本合同约定的各自的权利和义务后自动失效。</w:t>
      </w:r>
    </w:p>
    <w:p w14:paraId="31158F72">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1.6  图纸和承包人文件</w:t>
      </w:r>
    </w:p>
    <w:p w14:paraId="199B7275">
      <w:pPr>
        <w:pageBreakBefore w:val="0"/>
        <w:widowControl w:val="0"/>
        <w:kinsoku/>
        <w:wordWrap/>
        <w:overflowPunct/>
        <w:topLinePunct w:val="0"/>
        <w:autoSpaceDE/>
        <w:autoSpaceDN/>
        <w:bidi w:val="0"/>
        <w:adjustRightInd w:val="0"/>
        <w:snapToGrid w:val="0"/>
        <w:spacing w:line="400" w:lineRule="exact"/>
        <w:ind w:left="0" w:leftChars="0" w:right="0" w:rightChars="0" w:firstLine="420"/>
        <w:textAlignment w:val="auto"/>
        <w:rPr>
          <w:rFonts w:hint="eastAsia" w:eastAsia="宋体"/>
          <w:b/>
          <w:color w:val="auto"/>
          <w:highlight w:val="none"/>
          <w:u w:val="single"/>
          <w:lang w:val="en-US" w:eastAsia="zh-CN"/>
        </w:rPr>
      </w:pPr>
      <w:r>
        <w:rPr>
          <w:rFonts w:hint="eastAsia" w:ascii="宋体" w:hAnsi="宋体"/>
          <w:color w:val="auto"/>
          <w:szCs w:val="21"/>
          <w:highlight w:val="none"/>
        </w:rPr>
        <w:t>1.6.1  发包人提供图纸的期限、数量：</w:t>
      </w:r>
      <w:r>
        <w:rPr>
          <w:rFonts w:hint="eastAsia" w:ascii="宋体" w:hAnsi="宋体" w:cs="宋体"/>
          <w:b/>
          <w:color w:val="auto"/>
          <w:sz w:val="21"/>
          <w:szCs w:val="21"/>
          <w:highlight w:val="none"/>
          <w:u w:val="single"/>
          <w:lang w:val="en-US" w:eastAsia="zh-CN"/>
        </w:rPr>
        <w:t>/</w:t>
      </w:r>
      <w:r>
        <w:rPr>
          <w:rFonts w:hint="eastAsia" w:ascii="宋体" w:hAnsi="宋体" w:eastAsia="宋体" w:cs="宋体"/>
          <w:b/>
          <w:color w:val="auto"/>
          <w:sz w:val="21"/>
          <w:szCs w:val="21"/>
          <w:highlight w:val="none"/>
          <w:u w:val="single"/>
          <w:lang w:val="en-US" w:eastAsia="zh-CN"/>
        </w:rPr>
        <w:t>。</w:t>
      </w:r>
    </w:p>
    <w:p w14:paraId="4CE6DD91">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1.6.2  承包人提供的文件范围：</w:t>
      </w:r>
      <w:r>
        <w:rPr>
          <w:rFonts w:hint="eastAsia" w:ascii="宋体" w:hAnsi="宋体"/>
          <w:b/>
          <w:bCs/>
          <w:color w:val="auto"/>
          <w:szCs w:val="21"/>
          <w:highlight w:val="none"/>
          <w:u w:val="single"/>
        </w:rPr>
        <w:t xml:space="preserve"> 施工组织设计和进度计划、专项施工方案、安全应急方案、施工扬尘专项控制方案等按发包人要求提供相关资料（含电子文档）。</w:t>
      </w:r>
    </w:p>
    <w:p w14:paraId="6875F010">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承包人提供文件的期限、数量：</w:t>
      </w:r>
      <w:r>
        <w:rPr>
          <w:rFonts w:hint="eastAsia" w:ascii="宋体" w:hAnsi="宋体"/>
          <w:b/>
          <w:color w:val="auto"/>
          <w:szCs w:val="21"/>
          <w:highlight w:val="none"/>
          <w:u w:val="single"/>
        </w:rPr>
        <w:t>图纸会审交底后</w:t>
      </w:r>
      <w:r>
        <w:rPr>
          <w:rFonts w:hint="eastAsia" w:ascii="宋体" w:hAnsi="宋体"/>
          <w:b/>
          <w:color w:val="auto"/>
          <w:szCs w:val="21"/>
          <w:highlight w:val="none"/>
          <w:u w:val="single"/>
          <w:lang w:eastAsia="zh-CN"/>
        </w:rPr>
        <w:t>并在</w:t>
      </w:r>
      <w:r>
        <w:rPr>
          <w:rFonts w:hint="eastAsia" w:ascii="宋体" w:hAnsi="宋体"/>
          <w:b/>
          <w:color w:val="auto"/>
          <w:szCs w:val="21"/>
          <w:highlight w:val="none"/>
          <w:u w:val="single"/>
        </w:rPr>
        <w:t>距开工令发出7天前，提供一式3套。</w:t>
      </w:r>
    </w:p>
    <w:p w14:paraId="1132AB79">
      <w:pPr>
        <w:pageBreakBefore w:val="0"/>
        <w:widowControl w:val="0"/>
        <w:kinsoku/>
        <w:wordWrap/>
        <w:overflowPunct/>
        <w:topLinePunct w:val="0"/>
        <w:autoSpaceDE/>
        <w:autoSpaceDN/>
        <w:bidi w:val="0"/>
        <w:adjustRightInd w:val="0"/>
        <w:snapToGrid w:val="0"/>
        <w:spacing w:line="400" w:lineRule="exact"/>
        <w:ind w:left="0" w:leftChars="0" w:right="0" w:rightChars="0" w:firstLine="480"/>
        <w:textAlignment w:val="auto"/>
        <w:rPr>
          <w:rFonts w:hint="eastAsia" w:ascii="宋体" w:hAnsi="宋体"/>
          <w:color w:val="auto"/>
          <w:szCs w:val="21"/>
          <w:highlight w:val="none"/>
          <w:u w:val="single"/>
        </w:rPr>
      </w:pPr>
      <w:r>
        <w:rPr>
          <w:rFonts w:hint="eastAsia" w:ascii="宋体" w:hAnsi="宋体"/>
          <w:color w:val="auto"/>
          <w:szCs w:val="21"/>
          <w:highlight w:val="none"/>
        </w:rPr>
        <w:t>监理人批复承包人提供文件的期限：</w:t>
      </w:r>
      <w:r>
        <w:rPr>
          <w:rFonts w:hint="eastAsia" w:ascii="宋体" w:hAnsi="宋体"/>
          <w:b/>
          <w:bCs/>
          <w:color w:val="auto"/>
          <w:szCs w:val="21"/>
          <w:highlight w:val="none"/>
          <w:u w:val="single"/>
        </w:rPr>
        <w:t xml:space="preserve"> 开工前5天。</w:t>
      </w:r>
    </w:p>
    <w:p w14:paraId="2590892A">
      <w:pPr>
        <w:pageBreakBefore w:val="0"/>
        <w:widowControl w:val="0"/>
        <w:kinsoku/>
        <w:wordWrap/>
        <w:overflowPunct/>
        <w:topLinePunct w:val="0"/>
        <w:autoSpaceDE/>
        <w:autoSpaceDN/>
        <w:bidi w:val="0"/>
        <w:adjustRightInd w:val="0"/>
        <w:snapToGrid w:val="0"/>
        <w:spacing w:line="400" w:lineRule="exact"/>
        <w:ind w:left="0" w:leftChars="0" w:right="0" w:rightChars="0" w:firstLine="480"/>
        <w:textAlignment w:val="auto"/>
        <w:rPr>
          <w:rFonts w:hint="eastAsia" w:ascii="宋体" w:hAnsi="宋体"/>
          <w:color w:val="auto"/>
          <w:szCs w:val="21"/>
          <w:highlight w:val="none"/>
          <w:u w:val="single"/>
        </w:rPr>
      </w:pPr>
      <w:r>
        <w:rPr>
          <w:rFonts w:hint="eastAsia" w:ascii="宋体" w:hAnsi="宋体"/>
          <w:color w:val="auto"/>
          <w:szCs w:val="21"/>
          <w:highlight w:val="none"/>
        </w:rPr>
        <w:t>1.6.3  监理签发图纸修改的期限：</w:t>
      </w:r>
      <w:r>
        <w:rPr>
          <w:rFonts w:hint="eastAsia" w:ascii="宋体" w:hAnsi="宋体"/>
          <w:b/>
          <w:bCs/>
          <w:color w:val="auto"/>
          <w:szCs w:val="21"/>
          <w:highlight w:val="none"/>
          <w:u w:val="single"/>
        </w:rPr>
        <w:t xml:space="preserve"> 在该工程或工程部位施工前5天。</w:t>
      </w:r>
    </w:p>
    <w:p w14:paraId="0DB779B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snapToGrid w:val="0"/>
          <w:color w:val="auto"/>
          <w:szCs w:val="21"/>
          <w:highlight w:val="none"/>
        </w:rPr>
      </w:pPr>
      <w:r>
        <w:rPr>
          <w:rFonts w:hint="eastAsia" w:ascii="宋体" w:hAnsi="宋体"/>
          <w:b/>
          <w:bCs/>
          <w:snapToGrid w:val="0"/>
          <w:color w:val="auto"/>
          <w:szCs w:val="21"/>
          <w:highlight w:val="none"/>
        </w:rPr>
        <w:t>1.7  联络</w:t>
      </w:r>
    </w:p>
    <w:p w14:paraId="66BD8669">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1.7.2  联络送达的期限：</w:t>
      </w:r>
      <w:r>
        <w:rPr>
          <w:rFonts w:hint="eastAsia"/>
          <w:b/>
          <w:color w:val="auto"/>
          <w:highlight w:val="none"/>
          <w:u w:val="single"/>
        </w:rPr>
        <w:t>各类文件在正式签发后，1天内现场送达项目代表，并办理签收手续</w:t>
      </w:r>
      <w:r>
        <w:rPr>
          <w:rFonts w:hint="eastAsia" w:ascii="宋体" w:hAnsi="宋体"/>
          <w:color w:val="auto"/>
          <w:szCs w:val="21"/>
          <w:highlight w:val="none"/>
          <w:u w:val="single"/>
        </w:rPr>
        <w:t>。</w:t>
      </w:r>
    </w:p>
    <w:p w14:paraId="53B79C5C">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snapToGrid w:val="0"/>
          <w:color w:val="auto"/>
          <w:szCs w:val="21"/>
          <w:highlight w:val="none"/>
        </w:rPr>
      </w:pPr>
      <w:r>
        <w:rPr>
          <w:rFonts w:hint="eastAsia" w:ascii="宋体" w:hAnsi="宋体"/>
          <w:b/>
          <w:bCs/>
          <w:snapToGrid w:val="0"/>
          <w:color w:val="auto"/>
          <w:szCs w:val="21"/>
          <w:highlight w:val="none"/>
        </w:rPr>
        <w:t>2.  发包人义务</w:t>
      </w:r>
    </w:p>
    <w:p w14:paraId="4DBF9D9A">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2.3  提供施工场地</w:t>
      </w:r>
    </w:p>
    <w:p w14:paraId="2F41F070">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发包人提供施工场地和有关资料的时间：</w:t>
      </w:r>
      <w:r>
        <w:rPr>
          <w:rFonts w:hint="eastAsia"/>
          <w:b/>
          <w:color w:val="auto"/>
          <w:highlight w:val="none"/>
          <w:u w:val="single"/>
        </w:rPr>
        <w:t>开工前完成，施工场地以现状为准。</w:t>
      </w:r>
    </w:p>
    <w:p w14:paraId="4B94ABBF">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2.8  其他义务</w:t>
      </w:r>
    </w:p>
    <w:p w14:paraId="0DC958A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eastAsia="宋体"/>
          <w:color w:val="auto"/>
          <w:highlight w:val="none"/>
          <w:lang w:eastAsia="zh-CN"/>
        </w:rPr>
      </w:pPr>
      <w:r>
        <w:rPr>
          <w:rFonts w:hint="eastAsia"/>
          <w:color w:val="auto"/>
          <w:highlight w:val="none"/>
        </w:rPr>
        <w:t>发包人应按约定的时间和要求完成以下工作</w:t>
      </w:r>
      <w:r>
        <w:rPr>
          <w:rFonts w:hint="eastAsia"/>
          <w:color w:val="auto"/>
          <w:highlight w:val="none"/>
          <w:lang w:eastAsia="zh-CN"/>
        </w:rPr>
        <w:t>：</w:t>
      </w:r>
    </w:p>
    <w:p w14:paraId="34ABA0B7">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2.8.1施工场地具备施工条件的要求及完成的时间</w:t>
      </w:r>
      <w:r>
        <w:rPr>
          <w:rFonts w:hint="eastAsia"/>
          <w:color w:val="auto"/>
          <w:highlight w:val="none"/>
          <w:lang w:eastAsia="zh-CN"/>
        </w:rPr>
        <w:t>：</w:t>
      </w:r>
      <w:r>
        <w:rPr>
          <w:rFonts w:hint="eastAsia"/>
          <w:b/>
          <w:color w:val="auto"/>
          <w:highlight w:val="none"/>
          <w:u w:val="single"/>
        </w:rPr>
        <w:t>以现状为准</w:t>
      </w:r>
      <w:r>
        <w:rPr>
          <w:rFonts w:hint="eastAsia"/>
          <w:color w:val="auto"/>
          <w:highlight w:val="none"/>
        </w:rPr>
        <w:t>。</w:t>
      </w:r>
    </w:p>
    <w:p w14:paraId="7D6924A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2.8.2将施工所需的水、电、电讯线路接至施工场地的时间、地点和供应要求</w:t>
      </w:r>
      <w:r>
        <w:rPr>
          <w:rFonts w:hint="eastAsia"/>
          <w:color w:val="auto"/>
          <w:highlight w:val="none"/>
          <w:lang w:eastAsia="zh-CN"/>
        </w:rPr>
        <w:t>：</w:t>
      </w:r>
      <w:r>
        <w:rPr>
          <w:rFonts w:hint="eastAsia"/>
          <w:b/>
          <w:color w:val="auto"/>
          <w:highlight w:val="none"/>
          <w:u w:val="single"/>
        </w:rPr>
        <w:t>发包人解决施工用电、用水接口；接口后由承包人自行搭接、并装表计量，并承担相应费用；施工所需的电讯线路由承包人自行解决。</w:t>
      </w:r>
    </w:p>
    <w:p w14:paraId="1CE008E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2.8.3施工场地与公共道路的通道开通时间和要求</w:t>
      </w:r>
      <w:r>
        <w:rPr>
          <w:rFonts w:hint="eastAsia"/>
          <w:color w:val="auto"/>
          <w:highlight w:val="none"/>
          <w:lang w:eastAsia="zh-CN"/>
        </w:rPr>
        <w:t>：</w:t>
      </w:r>
      <w:r>
        <w:rPr>
          <w:rFonts w:hint="eastAsia"/>
          <w:b/>
          <w:color w:val="auto"/>
          <w:highlight w:val="none"/>
          <w:u w:val="single"/>
        </w:rPr>
        <w:t>施工场地与公共道路的通道以现状为准</w:t>
      </w:r>
      <w:r>
        <w:rPr>
          <w:rFonts w:hint="eastAsia"/>
          <w:b/>
          <w:color w:val="auto"/>
          <w:highlight w:val="none"/>
        </w:rPr>
        <w:t>。</w:t>
      </w:r>
    </w:p>
    <w:p w14:paraId="36B636C5">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2.8.4由发包人办理的施工所需证件、批件的名称和完成时间</w:t>
      </w:r>
      <w:r>
        <w:rPr>
          <w:rFonts w:hint="eastAsia"/>
          <w:color w:val="auto"/>
          <w:highlight w:val="none"/>
          <w:lang w:eastAsia="zh-CN"/>
        </w:rPr>
        <w:t>：</w:t>
      </w:r>
      <w:r>
        <w:rPr>
          <w:rFonts w:hint="eastAsia"/>
          <w:b/>
          <w:color w:val="auto"/>
          <w:highlight w:val="none"/>
          <w:u w:val="single"/>
        </w:rPr>
        <w:t>合同签订后，发包人在开工前依法办理施工许可证等相关建设手续。</w:t>
      </w:r>
    </w:p>
    <w:p w14:paraId="0416F797">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2.8.5水准点与座标控制点交验要求</w:t>
      </w:r>
      <w:r>
        <w:rPr>
          <w:rFonts w:hint="eastAsia"/>
          <w:color w:val="auto"/>
          <w:highlight w:val="none"/>
          <w:lang w:eastAsia="zh-CN"/>
        </w:rPr>
        <w:t>：</w:t>
      </w:r>
      <w:r>
        <w:rPr>
          <w:rFonts w:hint="eastAsia"/>
          <w:b/>
          <w:color w:val="auto"/>
          <w:highlight w:val="none"/>
          <w:u w:val="single"/>
        </w:rPr>
        <w:t>开工前发包人通过监理人以书面形式通知承包人，并组织相关单位进行现场交验，同时作好交验记录</w:t>
      </w:r>
      <w:r>
        <w:rPr>
          <w:rFonts w:hint="eastAsia"/>
          <w:color w:val="auto"/>
          <w:highlight w:val="none"/>
        </w:rPr>
        <w:t>。</w:t>
      </w:r>
    </w:p>
    <w:p w14:paraId="337449F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2.8.6图纸会审和设计交底时间</w:t>
      </w:r>
      <w:r>
        <w:rPr>
          <w:rFonts w:hint="eastAsia"/>
          <w:color w:val="auto"/>
          <w:highlight w:val="none"/>
          <w:lang w:eastAsia="zh-CN"/>
        </w:rPr>
        <w:t>：</w:t>
      </w:r>
      <w:r>
        <w:rPr>
          <w:rFonts w:hint="eastAsia"/>
          <w:b/>
          <w:color w:val="auto"/>
          <w:highlight w:val="none"/>
          <w:u w:val="single"/>
        </w:rPr>
        <w:t>开工前3天。</w:t>
      </w:r>
    </w:p>
    <w:p w14:paraId="1494058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2.8.7</w:t>
      </w:r>
      <w:r>
        <w:rPr>
          <w:rFonts w:hint="eastAsia"/>
          <w:b/>
          <w:color w:val="auto"/>
          <w:highlight w:val="none"/>
          <w:u w:val="single"/>
        </w:rPr>
        <w:t>协调处理施工场地周围地下管线和邻近建筑物、构筑物（含文物保护建筑）、古树名木的保护工作。</w:t>
      </w:r>
    </w:p>
    <w:p w14:paraId="0F0DCEE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rPr>
      </w:pPr>
      <w:r>
        <w:rPr>
          <w:rFonts w:hint="eastAsia"/>
          <w:color w:val="auto"/>
          <w:highlight w:val="none"/>
        </w:rPr>
        <w:t>2.8.8双方约定发包人应做的其他工作</w:t>
      </w:r>
      <w:r>
        <w:rPr>
          <w:rFonts w:hint="eastAsia"/>
          <w:color w:val="auto"/>
          <w:highlight w:val="none"/>
          <w:lang w:eastAsia="zh-CN"/>
        </w:rPr>
        <w:t>：</w:t>
      </w:r>
      <w:r>
        <w:rPr>
          <w:rFonts w:hint="eastAsia"/>
          <w:b/>
          <w:color w:val="auto"/>
          <w:highlight w:val="none"/>
          <w:u w:val="single"/>
        </w:rPr>
        <w:t>协助承包人处理周边关系</w:t>
      </w:r>
      <w:r>
        <w:rPr>
          <w:rFonts w:hint="eastAsia"/>
          <w:b/>
          <w:color w:val="auto"/>
          <w:highlight w:val="none"/>
        </w:rPr>
        <w:t>。</w:t>
      </w:r>
    </w:p>
    <w:p w14:paraId="72102871">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snapToGrid w:val="0"/>
          <w:color w:val="auto"/>
          <w:szCs w:val="21"/>
          <w:highlight w:val="none"/>
        </w:rPr>
      </w:pPr>
      <w:r>
        <w:rPr>
          <w:rFonts w:hint="eastAsia" w:ascii="宋体" w:hAnsi="宋体"/>
          <w:b/>
          <w:bCs/>
          <w:snapToGrid w:val="0"/>
          <w:color w:val="auto"/>
          <w:szCs w:val="21"/>
          <w:highlight w:val="none"/>
        </w:rPr>
        <w:t>3.  监理人</w:t>
      </w:r>
    </w:p>
    <w:p w14:paraId="77F12CFD">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20" w:firstLineChars="200"/>
        <w:jc w:val="both"/>
        <w:textAlignment w:val="auto"/>
        <w:outlineLvl w:val="9"/>
        <w:rPr>
          <w:rFonts w:hint="eastAsia" w:ascii="宋体" w:hAnsi="宋体"/>
          <w:b w:val="0"/>
          <w:snapToGrid w:val="0"/>
          <w:color w:val="auto"/>
          <w:sz w:val="21"/>
          <w:szCs w:val="21"/>
          <w:highlight w:val="none"/>
        </w:rPr>
      </w:pPr>
      <w:r>
        <w:rPr>
          <w:rFonts w:hint="eastAsia" w:ascii="宋体" w:hAnsi="宋体"/>
          <w:b w:val="0"/>
          <w:snapToGrid w:val="0"/>
          <w:color w:val="auto"/>
          <w:sz w:val="21"/>
          <w:szCs w:val="21"/>
          <w:highlight w:val="none"/>
        </w:rPr>
        <w:t>3.1  监理人的职责和权力</w:t>
      </w:r>
    </w:p>
    <w:p w14:paraId="453DACD1">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 xml:space="preserve">3.1.1  发包人委托的职权: </w:t>
      </w:r>
      <w:r>
        <w:rPr>
          <w:rFonts w:hint="eastAsia" w:ascii="宋体" w:hAnsi="宋体"/>
          <w:b/>
          <w:bCs/>
          <w:color w:val="auto"/>
          <w:szCs w:val="21"/>
          <w:highlight w:val="none"/>
          <w:u w:val="single"/>
        </w:rPr>
        <w:t xml:space="preserve"> 代表发包人对工程质量、进度、投资进行控制，对合同和信息进行管理，对文明施工、环保和环卫进行监督，对现场施工组织进行协调，并履行安全生产管理法定职责，具体以监理合同为准。</w:t>
      </w:r>
    </w:p>
    <w:p w14:paraId="7DADB218">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须经发包人事先批准行使的权力：</w:t>
      </w:r>
      <w:r>
        <w:rPr>
          <w:rFonts w:hint="eastAsia" w:ascii="宋体" w:hAnsi="宋体"/>
          <w:b/>
          <w:bCs/>
          <w:color w:val="auto"/>
          <w:szCs w:val="21"/>
          <w:highlight w:val="none"/>
          <w:u w:val="single"/>
        </w:rPr>
        <w:t xml:space="preserve"> 工程开工、停工、复工令的签发需经发包人同意，工期延长、材料设备认质核价、工程变更、现场签证、价款调整、工程计量与支付、索赔及与工程价款相关事宜等需经发包人核定和批准。</w:t>
      </w:r>
    </w:p>
    <w:p w14:paraId="525E9616">
      <w:pPr>
        <w:pageBreakBefore w:val="0"/>
        <w:widowControl w:val="0"/>
        <w:kinsoku/>
        <w:wordWrap/>
        <w:overflowPunct/>
        <w:topLinePunct w:val="0"/>
        <w:autoSpaceDE/>
        <w:autoSpaceDN/>
        <w:bidi w:val="0"/>
        <w:adjustRightInd w:val="0"/>
        <w:snapToGrid w:val="0"/>
        <w:spacing w:line="400" w:lineRule="exact"/>
        <w:ind w:left="0" w:leftChars="0" w:right="0" w:rightChars="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3.1.4  监理人的职责：</w:t>
      </w:r>
      <w:r>
        <w:rPr>
          <w:rFonts w:hint="eastAsia"/>
          <w:b/>
          <w:color w:val="auto"/>
          <w:highlight w:val="none"/>
          <w:u w:val="single"/>
        </w:rPr>
        <w:t>监理人按照与发包人签订的监理合同，代表发包人对工程质量、工程进度、工程造价进行控制；对文明施工、环保和环卫进行监督；对合同和信息进行管理；以及对施工现场进行协调，并履行建设工程安全生产法定职责，详见监理合同。但工程变更、工程造价的变更、工程延期等需经发包人核定</w:t>
      </w:r>
      <w:r>
        <w:rPr>
          <w:rFonts w:hint="eastAsia" w:ascii="宋体" w:hAnsi="宋体"/>
          <w:color w:val="auto"/>
          <w:szCs w:val="21"/>
          <w:highlight w:val="none"/>
          <w:u w:val="single"/>
        </w:rPr>
        <w:t>。</w:t>
      </w:r>
    </w:p>
    <w:p w14:paraId="44CD1FC1">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20" w:firstLineChars="200"/>
        <w:jc w:val="both"/>
        <w:textAlignment w:val="auto"/>
        <w:outlineLvl w:val="9"/>
        <w:rPr>
          <w:rFonts w:hint="eastAsia" w:ascii="宋体" w:hAnsi="宋体"/>
          <w:b w:val="0"/>
          <w:snapToGrid w:val="0"/>
          <w:color w:val="auto"/>
          <w:sz w:val="21"/>
          <w:szCs w:val="21"/>
          <w:highlight w:val="none"/>
        </w:rPr>
      </w:pPr>
      <w:r>
        <w:rPr>
          <w:rFonts w:hint="eastAsia" w:ascii="宋体" w:hAnsi="宋体"/>
          <w:b w:val="0"/>
          <w:snapToGrid w:val="0"/>
          <w:color w:val="auto"/>
          <w:sz w:val="21"/>
          <w:szCs w:val="21"/>
          <w:highlight w:val="none"/>
        </w:rPr>
        <w:t>3.4  监理人的指示</w:t>
      </w:r>
    </w:p>
    <w:p w14:paraId="17DC3E2C">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3.4.4  如果发包人认为有必要，可直接向承包人发出指示，并抄送监理人。</w:t>
      </w:r>
    </w:p>
    <w:p w14:paraId="30B657D7">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s="宋体"/>
          <w:b/>
          <w:snapToGrid w:val="0"/>
          <w:color w:val="auto"/>
          <w:highlight w:val="none"/>
        </w:rPr>
      </w:pPr>
      <w:r>
        <w:rPr>
          <w:rFonts w:hint="eastAsia" w:ascii="宋体" w:hAnsi="宋体" w:cs="宋体"/>
          <w:b/>
          <w:snapToGrid w:val="0"/>
          <w:color w:val="auto"/>
          <w:highlight w:val="none"/>
        </w:rPr>
        <w:t xml:space="preserve">4、承包人 </w:t>
      </w:r>
    </w:p>
    <w:p w14:paraId="648866D8">
      <w:pPr>
        <w:pageBreakBefore w:val="0"/>
        <w:widowControl w:val="0"/>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b/>
          <w:bCs/>
          <w:color w:val="auto"/>
          <w:szCs w:val="21"/>
          <w:highlight w:val="none"/>
        </w:rPr>
      </w:pPr>
      <w:r>
        <w:rPr>
          <w:rFonts w:hint="eastAsia" w:ascii="宋体" w:hAnsi="宋体"/>
          <w:b/>
          <w:bCs/>
          <w:color w:val="auto"/>
          <w:szCs w:val="21"/>
          <w:highlight w:val="none"/>
        </w:rPr>
        <w:t>4.1  承包人的一般义务</w:t>
      </w:r>
    </w:p>
    <w:p w14:paraId="6104F59A">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4.1.8 为他人提供方便</w:t>
      </w:r>
    </w:p>
    <w:p w14:paraId="63B215B5">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承包人为他人提供条件的内容：</w:t>
      </w:r>
      <w:r>
        <w:rPr>
          <w:rFonts w:hint="eastAsia"/>
          <w:b/>
          <w:color w:val="auto"/>
          <w:highlight w:val="none"/>
          <w:u w:val="single"/>
        </w:rPr>
        <w:t>有义务积极配合和协调其他承包人及供货商工作，如提供施工场地、临时设施场地、水电接口、施工道路、控制点和标高，并进行现场协调管理等。如果承包人不积极配合和协调其他承包人及供货商的工作而造成工期延误或给发包人造成损失的，由承包人负责承担由此带来的一切损失。</w:t>
      </w:r>
    </w:p>
    <w:p w14:paraId="4F671252">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向发包人提供的办公和生活房屋及设施的要求：</w:t>
      </w:r>
      <w:r>
        <w:rPr>
          <w:rFonts w:hint="eastAsia"/>
          <w:b/>
          <w:color w:val="auto"/>
          <w:highlight w:val="none"/>
          <w:u w:val="single"/>
        </w:rPr>
        <w:t>向发包人、监理单位提供现场办公室</w:t>
      </w:r>
      <w:r>
        <w:rPr>
          <w:rFonts w:hint="eastAsia"/>
          <w:b/>
          <w:color w:val="auto"/>
          <w:highlight w:val="none"/>
        </w:rPr>
        <w:t>。</w:t>
      </w:r>
    </w:p>
    <w:p w14:paraId="1B55ECDE">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费用的处理方法：</w:t>
      </w:r>
      <w:r>
        <w:rPr>
          <w:rFonts w:hint="eastAsia"/>
          <w:b/>
          <w:color w:val="auto"/>
          <w:highlight w:val="none"/>
          <w:u w:val="single"/>
        </w:rPr>
        <w:t>费用已含在投标报价中，不作调整。</w:t>
      </w:r>
    </w:p>
    <w:p w14:paraId="3FDCC477">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4.1.10 其他义务</w:t>
      </w:r>
    </w:p>
    <w:p w14:paraId="4429AFBD">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（1）按照国家有关安全生产、文明施工、环境保护的法律、行政法规、部门规章，以及重庆市有关安全生产、文明施工、环境保护的地方性法规、规章和规范性文件要求进行工程安全生产、文明施工和环境保护 。</w:t>
      </w:r>
    </w:p>
    <w:p w14:paraId="309600BE">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（2）负责施工所产生的所有余土、建筑和生活垃圾的外运和倾倒，并严格按有关规定执行。如果承包人不按规定执行，发包人有权另行委托符合条件单位或个人实施，费用从工程款直接扣支。</w:t>
      </w:r>
    </w:p>
    <w:p w14:paraId="7AF2FE10">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（3）根据工程需要，提供施工使用的所有照明、围栏设施，由此所发生的费用由承包人承担。</w:t>
      </w:r>
    </w:p>
    <w:p w14:paraId="6A19A66B">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4）负责做好施工场地和周围地上及地下管线、道路、桥梁、给排水管网、邻近建筑物、构筑物、文物、青苗、古树名木等保护工作。如果因承包人的原因造成损坏，由此造成的法律责任及产生的一切费用由承包人自行承担。</w:t>
      </w:r>
    </w:p>
    <w:p w14:paraId="61BEBBE5">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（5）按重庆市政府有关主管部门（包括建设、交通、消防、环保等）的规定办理施工中所需相关手续（如临时用地、占道、爆破、夜间施工等），由此所发生的费用已进入投标报价内。</w:t>
      </w:r>
    </w:p>
    <w:p w14:paraId="43FBAF5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（6）加强施工管理，采取合理措施，尽可能不影响工程沿线正常交通、生产和生活，由此产生的各种措施费，及可能降低工效引起增加的费用由承包人承担。</w:t>
      </w:r>
    </w:p>
    <w:p w14:paraId="42CD7590">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（7）负责施工中为满足施工条件采取的各项措施，由此产生的费用由承包人承担。</w:t>
      </w:r>
    </w:p>
    <w:p w14:paraId="717E4BF3">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（8）施工中应当采取必要措施防止土石方发生垮塌，因承包人措施不到位，垮塌造成的相关费用由承包人承担。</w:t>
      </w:r>
    </w:p>
    <w:p w14:paraId="25F642B6">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9）承包人应自行预备发电机组，自备发电机的功率应满足施工用电负荷，确保施工期间电网停电等情况下能正常施工。因停电，承包人自行发电产生的有关费用，发包人不予以补偿；承包人应自行准备抽水设备和准备蓄水池，并同时考虑水压不足和加压措施产生的费用，发包人对由此产生的费用不予以补偿；发包人不因停水、停电延长工期。</w:t>
      </w:r>
    </w:p>
    <w:p w14:paraId="551BFCE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（10）承包人应按照监理人审定的施工组织设计进行施工。</w:t>
      </w:r>
    </w:p>
    <w:p w14:paraId="11DADF51">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（11）工程款的支付按约定执行，承包人承诺不以未按期支付工程款为借口停工，更不得以此为由聚众闹事。</w:t>
      </w:r>
    </w:p>
    <w:p w14:paraId="17201A2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（12）承包人应履行合同约定的其他义务，农民工保证金按相关规定执行。</w:t>
      </w:r>
    </w:p>
    <w:p w14:paraId="7CCC97A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（13）负责施工中所有材料采购、运输、储存保管，且应遵守国家、地方有关规定，并完善相关手续，费用自行承担。</w:t>
      </w:r>
    </w:p>
    <w:p w14:paraId="13DB6946">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（14）开工前，承包人应主动汇同监理人、发包人共同确认需交接部位，并作好记录，未经确认的不得开工，否则，由此造成的损失全部由承包人承担。</w:t>
      </w:r>
    </w:p>
    <w:p w14:paraId="20606F39">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（15）施工中注重安全文明施工，采取一切有效预防措施，确保施工安全。施工期间，因承包人原因造成安全生产事故，导致人员伤亡、财产损失的一切经济责任和法律责任均由承包人承担。</w:t>
      </w:r>
    </w:p>
    <w:p w14:paraId="1D5942A0">
      <w:pPr>
        <w:pageBreakBefore w:val="0"/>
        <w:widowControl w:val="0"/>
        <w:kinsoku/>
        <w:wordWrap/>
        <w:overflowPunct/>
        <w:topLinePunct w:val="0"/>
        <w:autoSpaceDE/>
        <w:autoSpaceDN/>
        <w:bidi w:val="0"/>
        <w:spacing w:line="400" w:lineRule="exact"/>
        <w:ind w:left="0" w:leftChars="0" w:right="0" w:rightChars="0" w:firstLine="422" w:firstLineChars="200"/>
        <w:textAlignment w:val="auto"/>
        <w:rPr>
          <w:rFonts w:hint="eastAsia"/>
          <w:b/>
          <w:color w:val="auto"/>
          <w:highlight w:val="none"/>
          <w:u w:val="single"/>
        </w:rPr>
      </w:pPr>
      <w:r>
        <w:rPr>
          <w:rFonts w:hint="eastAsia"/>
          <w:b/>
          <w:color w:val="auto"/>
          <w:highlight w:val="none"/>
          <w:u w:val="single"/>
        </w:rPr>
        <w:t>（16）合同签订后，承包人按规定及时向有关部门缴清应缴纳的费用，并及时配合发包人在开工前办理施工许可证等建设手续。临时用地和占道、停水、停电、夜间施工、中断道路交通等的申请批准手续由承包人负责办理并承担相应费用。</w:t>
      </w:r>
    </w:p>
    <w:p w14:paraId="1AD6082F">
      <w:pPr>
        <w:spacing w:line="440" w:lineRule="exact"/>
        <w:rPr>
          <w:rFonts w:hint="eastAsia"/>
          <w:b/>
          <w:color w:val="auto"/>
          <w:highlight w:val="none"/>
          <w:u w:val="single"/>
        </w:rPr>
      </w:pPr>
      <w:r>
        <w:rPr>
          <w:rFonts w:hint="eastAsia"/>
          <w:b/>
          <w:color w:val="auto"/>
          <w:highlight w:val="none"/>
        </w:rPr>
        <w:t>4.2 履约担保</w:t>
      </w:r>
    </w:p>
    <w:p w14:paraId="3587E90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4.2.1承包人是否提供履约担保：</w:t>
      </w:r>
      <w:r>
        <w:rPr>
          <w:rFonts w:hint="eastAsia"/>
          <w:b/>
          <w:color w:val="auto"/>
          <w:highlight w:val="none"/>
          <w:u w:val="single"/>
        </w:rPr>
        <w:t>是。</w:t>
      </w:r>
    </w:p>
    <w:p w14:paraId="29943BD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b/>
          <w:color w:val="auto"/>
          <w:highlight w:val="none"/>
          <w:u w:val="single"/>
        </w:rPr>
      </w:pPr>
      <w:r>
        <w:rPr>
          <w:rFonts w:hint="eastAsia"/>
          <w:color w:val="auto"/>
          <w:highlight w:val="none"/>
        </w:rPr>
        <w:t>4.2.2承包人提供履约担保的形式、金额及期限的：</w:t>
      </w:r>
      <w:r>
        <w:rPr>
          <w:rFonts w:hint="eastAsia"/>
          <w:b/>
          <w:color w:val="auto"/>
          <w:highlight w:val="none"/>
          <w:u w:val="single"/>
        </w:rPr>
        <w:t>履约保证金为</w:t>
      </w:r>
      <w:r>
        <w:rPr>
          <w:rFonts w:hint="eastAsia"/>
          <w:b/>
          <w:color w:val="auto"/>
          <w:highlight w:val="none"/>
          <w:u w:val="single"/>
          <w:lang w:eastAsia="zh-CN"/>
        </w:rPr>
        <w:t>中标</w:t>
      </w:r>
      <w:r>
        <w:rPr>
          <w:rFonts w:hint="eastAsia"/>
          <w:b/>
          <w:color w:val="auto"/>
          <w:highlight w:val="none"/>
          <w:u w:val="single"/>
        </w:rPr>
        <w:t>合同金额的10%</w:t>
      </w:r>
      <w:r>
        <w:rPr>
          <w:rFonts w:hint="eastAsia"/>
          <w:b/>
          <w:color w:val="auto"/>
          <w:highlight w:val="none"/>
          <w:u w:val="single"/>
          <w:lang w:val="en-US" w:eastAsia="zh-CN"/>
        </w:rPr>
        <w:t>，农民工工资保证金为中标合同金额的2%，</w:t>
      </w:r>
      <w:r>
        <w:rPr>
          <w:rFonts w:hint="eastAsia"/>
          <w:b/>
          <w:color w:val="auto"/>
          <w:highlight w:val="none"/>
          <w:u w:val="single"/>
        </w:rPr>
        <w:t>承包人应在收到</w:t>
      </w:r>
      <w:r>
        <w:rPr>
          <w:rFonts w:hint="eastAsia"/>
          <w:b/>
          <w:color w:val="auto"/>
          <w:highlight w:val="none"/>
          <w:u w:val="single"/>
          <w:lang w:eastAsia="zh-CN"/>
        </w:rPr>
        <w:t>中标</w:t>
      </w:r>
      <w:r>
        <w:rPr>
          <w:rFonts w:hint="eastAsia"/>
          <w:b/>
          <w:color w:val="auto"/>
          <w:highlight w:val="none"/>
          <w:u w:val="single"/>
        </w:rPr>
        <w:t>通知书后</w:t>
      </w:r>
      <w:r>
        <w:rPr>
          <w:rFonts w:hint="eastAsia"/>
          <w:b/>
          <w:color w:val="auto"/>
          <w:highlight w:val="none"/>
          <w:u w:val="single"/>
          <w:lang w:val="en-US" w:eastAsia="zh-CN"/>
        </w:rPr>
        <w:t>3</w:t>
      </w:r>
      <w:r>
        <w:rPr>
          <w:rFonts w:hint="eastAsia"/>
          <w:b/>
          <w:color w:val="auto"/>
          <w:highlight w:val="none"/>
          <w:u w:val="single"/>
        </w:rPr>
        <w:t>日内，施工合同签订前</w:t>
      </w:r>
      <w:r>
        <w:rPr>
          <w:rFonts w:hint="eastAsia"/>
          <w:b/>
          <w:color w:val="auto"/>
          <w:highlight w:val="none"/>
          <w:u w:val="single"/>
          <w:lang w:eastAsia="zh-CN"/>
        </w:rPr>
        <w:t>提交</w:t>
      </w:r>
      <w:r>
        <w:rPr>
          <w:rFonts w:hint="eastAsia"/>
          <w:b/>
          <w:color w:val="auto"/>
          <w:highlight w:val="none"/>
          <w:u w:val="single"/>
        </w:rPr>
        <w:t>，若未按时提交，则视为承包人放弃</w:t>
      </w:r>
      <w:r>
        <w:rPr>
          <w:rFonts w:hint="eastAsia"/>
          <w:b/>
          <w:color w:val="auto"/>
          <w:highlight w:val="none"/>
          <w:u w:val="single"/>
          <w:lang w:eastAsia="zh-CN"/>
        </w:rPr>
        <w:t>中标</w:t>
      </w:r>
      <w:r>
        <w:rPr>
          <w:rFonts w:hint="eastAsia"/>
          <w:b/>
          <w:color w:val="auto"/>
          <w:highlight w:val="none"/>
          <w:u w:val="single"/>
        </w:rPr>
        <w:t>，给发包人造成的损失，承包人还应予以赔偿。</w:t>
      </w:r>
    </w:p>
    <w:p w14:paraId="72A5C1A8">
      <w:pPr>
        <w:pStyle w:val="4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560"/>
        <w:jc w:val="left"/>
        <w:textAlignment w:val="auto"/>
        <w:rPr>
          <w:rFonts w:hint="eastAsia" w:ascii="Times New Roman" w:hAnsi="Times New Roman" w:cs="Times New Roman"/>
          <w:color w:val="auto"/>
          <w:szCs w:val="22"/>
          <w:highlight w:val="none"/>
        </w:rPr>
      </w:pPr>
      <w:r>
        <w:rPr>
          <w:rFonts w:hint="eastAsia" w:asciiTheme="minorHAnsi" w:hAnsiTheme="minorHAnsi" w:eastAsiaTheme="minorEastAsia" w:cstheme="minorBidi"/>
          <w:color w:val="auto"/>
          <w:kern w:val="2"/>
          <w:sz w:val="21"/>
          <w:szCs w:val="22"/>
          <w:highlight w:val="none"/>
          <w:lang w:val="en-US" w:eastAsia="zh-CN" w:bidi="ar-SA"/>
        </w:rPr>
        <w:t>4.2.</w:t>
      </w:r>
      <w:r>
        <w:rPr>
          <w:rFonts w:hint="eastAsia" w:asciiTheme="minorHAnsi" w:hAnsiTheme="minorHAnsi" w:cstheme="minorBidi"/>
          <w:color w:val="auto"/>
          <w:kern w:val="2"/>
          <w:sz w:val="21"/>
          <w:szCs w:val="22"/>
          <w:highlight w:val="none"/>
          <w:lang w:val="en-US" w:eastAsia="zh-CN" w:bidi="ar-SA"/>
        </w:rPr>
        <w:t>3</w:t>
      </w:r>
      <w:r>
        <w:rPr>
          <w:rFonts w:hint="eastAsia" w:ascii="宋体" w:hAnsi="宋体" w:cs="宋体"/>
          <w:color w:val="auto"/>
          <w:kern w:val="0"/>
          <w:sz w:val="21"/>
          <w:szCs w:val="18"/>
          <w:highlight w:val="none"/>
        </w:rPr>
        <w:t>履约保证金和农民工工资保证金</w:t>
      </w:r>
      <w:r>
        <w:rPr>
          <w:rFonts w:hint="eastAsia" w:cs="宋体"/>
          <w:color w:val="auto"/>
          <w:kern w:val="0"/>
          <w:sz w:val="21"/>
          <w:szCs w:val="18"/>
          <w:highlight w:val="none"/>
          <w:lang w:eastAsia="zh-CN"/>
        </w:rPr>
        <w:t>的</w:t>
      </w:r>
      <w:r>
        <w:rPr>
          <w:rFonts w:hint="eastAsia" w:ascii="宋体" w:hAnsi="宋体" w:cs="宋体"/>
          <w:color w:val="auto"/>
          <w:kern w:val="0"/>
          <w:sz w:val="21"/>
          <w:szCs w:val="18"/>
          <w:highlight w:val="none"/>
        </w:rPr>
        <w:t>退还：</w:t>
      </w:r>
      <w:r>
        <w:rPr>
          <w:rFonts w:hint="eastAsia" w:ascii="宋体" w:hAnsi="宋体" w:cs="宋体"/>
          <w:color w:val="auto"/>
          <w:kern w:val="0"/>
          <w:sz w:val="21"/>
          <w:szCs w:val="18"/>
          <w:highlight w:val="none"/>
          <w:lang w:val="en-US" w:eastAsia="zh-CN"/>
        </w:rPr>
        <w:t>工程竣工验收合格后28日内一次性返还（不计息）。</w:t>
      </w:r>
    </w:p>
    <w:p w14:paraId="3C6BC2CD">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4.3 分包</w:t>
      </w:r>
    </w:p>
    <w:p w14:paraId="5079FEC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4.3.2 分包的内容</w:t>
      </w:r>
    </w:p>
    <w:p w14:paraId="60474A89">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u w:val="single"/>
        </w:rPr>
      </w:pPr>
      <w:r>
        <w:rPr>
          <w:rFonts w:hint="eastAsia"/>
          <w:color w:val="auto"/>
          <w:highlight w:val="none"/>
        </w:rPr>
        <w:t>当事人约定</w:t>
      </w:r>
      <w:r>
        <w:rPr>
          <w:rFonts w:hint="eastAsia" w:ascii="宋体" w:hAnsi="宋体" w:cs="宋体"/>
          <w:color w:val="auto"/>
          <w:szCs w:val="21"/>
          <w:highlight w:val="none"/>
        </w:rPr>
        <w:t>某些非主体、非关键性工作分包给第三人：</w:t>
      </w:r>
      <w:r>
        <w:rPr>
          <w:rFonts w:hint="eastAsia" w:ascii="宋体" w:hAnsi="宋体" w:cs="宋体"/>
          <w:b/>
          <w:color w:val="auto"/>
          <w:szCs w:val="21"/>
          <w:highlight w:val="none"/>
          <w:u w:val="single"/>
        </w:rPr>
        <w:t>本工程</w:t>
      </w:r>
      <w:r>
        <w:rPr>
          <w:rFonts w:hint="eastAsia"/>
          <w:b/>
          <w:color w:val="auto"/>
          <w:highlight w:val="none"/>
          <w:u w:val="single"/>
        </w:rPr>
        <w:t>不允许转包、除劳务外不得分包。</w:t>
      </w:r>
    </w:p>
    <w:p w14:paraId="487B3596">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4.5 承包人项目经理</w:t>
      </w:r>
    </w:p>
    <w:p w14:paraId="077A54F1">
      <w:pPr>
        <w:pageBreakBefore w:val="0"/>
        <w:widowControl w:val="0"/>
        <w:kinsoku/>
        <w:wordWrap/>
        <w:overflowPunct/>
        <w:topLinePunct w:val="0"/>
        <w:autoSpaceDE/>
        <w:autoSpaceDN/>
        <w:bidi w:val="0"/>
        <w:spacing w:line="400" w:lineRule="exact"/>
        <w:ind w:left="0" w:leftChars="0" w:right="0" w:rightChars="0" w:firstLine="480"/>
        <w:jc w:val="left"/>
        <w:textAlignment w:val="auto"/>
        <w:rPr>
          <w:rFonts w:hint="eastAsia"/>
          <w:color w:val="auto"/>
          <w:highlight w:val="none"/>
        </w:rPr>
      </w:pPr>
      <w:bookmarkStart w:id="604" w:name="_Toc418077882"/>
      <w:bookmarkStart w:id="605" w:name="_Toc19197"/>
      <w:bookmarkStart w:id="606" w:name="_Toc5889"/>
      <w:bookmarkStart w:id="607" w:name="_Toc266027434"/>
      <w:bookmarkStart w:id="608" w:name="_Toc359579051"/>
      <w:bookmarkStart w:id="609" w:name="_Toc224103411"/>
      <w:bookmarkStart w:id="610" w:name="_Toc327347168"/>
      <w:r>
        <w:rPr>
          <w:rFonts w:hint="eastAsia"/>
          <w:color w:val="auto"/>
          <w:highlight w:val="none"/>
        </w:rPr>
        <w:t>4.5.1承包人项目经理必须与承包人投标时所承诺的人员一致，并在根据通用合同条款第11.1.1项确定的开工日期前到任。项目经理不得同时兼任其他任何项目的项目经理。未经发包人书面许可，承包人不得更换项目经理。</w:t>
      </w:r>
    </w:p>
    <w:p w14:paraId="588FCFE9">
      <w:pPr>
        <w:pageBreakBefore w:val="0"/>
        <w:widowControl w:val="0"/>
        <w:kinsoku/>
        <w:wordWrap/>
        <w:overflowPunct/>
        <w:topLinePunct w:val="0"/>
        <w:autoSpaceDE/>
        <w:autoSpaceDN/>
        <w:bidi w:val="0"/>
        <w:spacing w:line="400" w:lineRule="exact"/>
        <w:ind w:left="0" w:leftChars="0" w:right="0" w:rightChars="0"/>
        <w:textAlignment w:val="auto"/>
        <w:rPr>
          <w:b/>
          <w:color w:val="auto"/>
          <w:highlight w:val="none"/>
        </w:rPr>
      </w:pPr>
      <w:r>
        <w:rPr>
          <w:rFonts w:hint="eastAsia"/>
          <w:b/>
          <w:color w:val="auto"/>
          <w:highlight w:val="none"/>
        </w:rPr>
        <w:t>4.11  不利物质条件</w:t>
      </w:r>
      <w:bookmarkEnd w:id="604"/>
      <w:bookmarkEnd w:id="605"/>
      <w:bookmarkEnd w:id="606"/>
      <w:bookmarkEnd w:id="607"/>
      <w:bookmarkEnd w:id="608"/>
      <w:bookmarkEnd w:id="609"/>
      <w:bookmarkEnd w:id="610"/>
    </w:p>
    <w:p w14:paraId="6309521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4.11.1  不利物质条件的范围：</w:t>
      </w:r>
      <w:r>
        <w:rPr>
          <w:rFonts w:hint="eastAsia"/>
          <w:b/>
          <w:color w:val="auto"/>
          <w:highlight w:val="none"/>
          <w:u w:val="single"/>
        </w:rPr>
        <w:t xml:space="preserve">按通用条款执行。 </w:t>
      </w:r>
    </w:p>
    <w:p w14:paraId="573E4E98">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5.  材料和工程设备</w:t>
      </w:r>
    </w:p>
    <w:p w14:paraId="2803D497">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5.1  承包人提供的材料和工程设备</w:t>
      </w:r>
    </w:p>
    <w:p w14:paraId="74B01880">
      <w:pPr>
        <w:pageBreakBefore w:val="0"/>
        <w:widowControl w:val="0"/>
        <w:kinsoku/>
        <w:wordWrap/>
        <w:overflowPunct/>
        <w:topLinePunct w:val="0"/>
        <w:autoSpaceDE/>
        <w:autoSpaceDN/>
        <w:bidi w:val="0"/>
        <w:spacing w:line="400" w:lineRule="exact"/>
        <w:ind w:right="0" w:rightChars="0" w:firstLine="420" w:firstLineChars="200"/>
        <w:jc w:val="left"/>
        <w:textAlignment w:val="auto"/>
        <w:rPr>
          <w:rFonts w:hint="eastAsia" w:ascii="宋体" w:hAnsi="宋体"/>
          <w:b/>
          <w:color w:val="auto"/>
          <w:szCs w:val="21"/>
          <w:highlight w:val="none"/>
          <w:u w:val="single"/>
        </w:rPr>
      </w:pPr>
      <w:r>
        <w:rPr>
          <w:rFonts w:hint="eastAsia"/>
          <w:color w:val="auto"/>
          <w:highlight w:val="none"/>
        </w:rPr>
        <w:t>5.1.1</w:t>
      </w:r>
      <w:r>
        <w:rPr>
          <w:rFonts w:hint="eastAsia" w:ascii="宋体" w:hAnsi="宋体"/>
          <w:b/>
          <w:color w:val="auto"/>
          <w:szCs w:val="21"/>
          <w:highlight w:val="none"/>
          <w:u w:val="single"/>
        </w:rPr>
        <w:t>本工程所需材料、工程设备均由承包人负责采购、运输和保管。</w:t>
      </w:r>
    </w:p>
    <w:p w14:paraId="1DA6CB90">
      <w:pPr>
        <w:pageBreakBefore w:val="0"/>
        <w:widowControl w:val="0"/>
        <w:kinsoku/>
        <w:wordWrap/>
        <w:overflowPunct/>
        <w:topLinePunct w:val="0"/>
        <w:autoSpaceDE/>
        <w:autoSpaceDN/>
        <w:bidi w:val="0"/>
        <w:spacing w:line="400" w:lineRule="exact"/>
        <w:ind w:right="0" w:rightChars="0" w:firstLine="420" w:firstLineChars="200"/>
        <w:jc w:val="left"/>
        <w:textAlignment w:val="auto"/>
        <w:rPr>
          <w:rFonts w:hint="eastAsia"/>
          <w:b/>
          <w:color w:val="auto"/>
          <w:highlight w:val="none"/>
          <w:u w:val="single"/>
        </w:rPr>
      </w:pPr>
      <w:r>
        <w:rPr>
          <w:rFonts w:hint="eastAsia"/>
          <w:color w:val="auto"/>
          <w:highlight w:val="none"/>
        </w:rPr>
        <w:t xml:space="preserve">5.1.2 </w:t>
      </w:r>
      <w:r>
        <w:rPr>
          <w:rFonts w:hint="eastAsia" w:ascii="宋体" w:hAnsi="宋体"/>
          <w:b/>
          <w:color w:val="auto"/>
          <w:szCs w:val="21"/>
          <w:highlight w:val="none"/>
          <w:u w:val="single"/>
        </w:rPr>
        <w:t xml:space="preserve">承包人应将各项材料和工程设备的供货人及品种、规格、数量和供货时间等，在材料、设备采购计划进场15日前以书面形式报送监理人审批。监理工程师和发包人收到承包人的书面报告后5日内予以确认。 承包人应向监理人提交其负责提供的材料和工程设备的质量证明文件，并满足合同约定的质量标准。 </w:t>
      </w:r>
    </w:p>
    <w:p w14:paraId="40A761B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b/>
          <w:color w:val="auto"/>
          <w:szCs w:val="21"/>
          <w:highlight w:val="none"/>
          <w:u w:val="single"/>
        </w:rPr>
      </w:pPr>
      <w:r>
        <w:rPr>
          <w:rFonts w:hint="eastAsia"/>
          <w:color w:val="auto"/>
          <w:highlight w:val="none"/>
        </w:rPr>
        <w:t xml:space="preserve">5.1.3 </w:t>
      </w:r>
      <w:r>
        <w:rPr>
          <w:rFonts w:hint="eastAsia" w:ascii="宋体" w:hAnsi="宋体"/>
          <w:b/>
          <w:color w:val="auto"/>
          <w:szCs w:val="21"/>
          <w:highlight w:val="none"/>
          <w:u w:val="single"/>
        </w:rPr>
        <w:t>对承包人提供的材料和工程设备，承包人在材料、设备到货前24小时通知监理工程师和发包人代表进行检验和交货验收，查验材料合格证明和产品合格证书，并按合同约定和监理人指示，进行材料的抽样检验和工程设备的检验测试，检验和测试结果应提交监理人，所需费用由承包人承担。</w:t>
      </w:r>
    </w:p>
    <w:p w14:paraId="2AF9661F">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b/>
          <w:bCs/>
          <w:snapToGrid w:val="0"/>
          <w:color w:val="auto"/>
          <w:w w:val="99"/>
          <w:szCs w:val="21"/>
          <w:highlight w:val="none"/>
        </w:rPr>
      </w:pPr>
      <w:r>
        <w:rPr>
          <w:rFonts w:hint="eastAsia" w:ascii="宋体" w:hAnsi="宋体"/>
          <w:b/>
          <w:bCs/>
          <w:snapToGrid w:val="0"/>
          <w:color w:val="auto"/>
          <w:szCs w:val="21"/>
          <w:highlight w:val="none"/>
        </w:rPr>
        <w:t>5.2  发包人提供的材料和工程设备</w:t>
      </w:r>
    </w:p>
    <w:p w14:paraId="1D47A4CC">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5.2.1 材料的名称、规格、数量和价格：</w:t>
      </w:r>
      <w:r>
        <w:rPr>
          <w:rFonts w:hint="eastAsia" w:ascii="宋体" w:hAnsi="宋体"/>
          <w:b/>
          <w:bCs/>
          <w:color w:val="auto"/>
          <w:szCs w:val="21"/>
          <w:highlight w:val="none"/>
          <w:u w:val="single"/>
        </w:rPr>
        <w:t xml:space="preserve"> 无。</w:t>
      </w:r>
      <w:r>
        <w:rPr>
          <w:rFonts w:hint="eastAsia" w:ascii="宋体" w:hAnsi="宋体"/>
          <w:color w:val="auto"/>
          <w:szCs w:val="21"/>
          <w:highlight w:val="none"/>
        </w:rPr>
        <w:t xml:space="preserve"> </w:t>
      </w:r>
    </w:p>
    <w:p w14:paraId="02EB3788">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材料的交货方式、地点和日期：</w:t>
      </w:r>
      <w:r>
        <w:rPr>
          <w:rFonts w:hint="eastAsia" w:ascii="宋体" w:hAnsi="宋体"/>
          <w:b/>
          <w:bCs/>
          <w:color w:val="auto"/>
          <w:szCs w:val="21"/>
          <w:highlight w:val="none"/>
          <w:u w:val="single"/>
        </w:rPr>
        <w:t>无。</w:t>
      </w:r>
    </w:p>
    <w:p w14:paraId="673EA475">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b/>
          <w:bCs/>
          <w:color w:val="auto"/>
          <w:szCs w:val="21"/>
          <w:highlight w:val="none"/>
          <w:u w:val="single"/>
        </w:rPr>
      </w:pPr>
      <w:r>
        <w:rPr>
          <w:rFonts w:hint="eastAsia" w:ascii="宋体" w:hAnsi="宋体"/>
          <w:color w:val="auto"/>
          <w:szCs w:val="21"/>
          <w:highlight w:val="none"/>
        </w:rPr>
        <w:t>工程设备的名称、规格、数量和价格：</w:t>
      </w:r>
      <w:r>
        <w:rPr>
          <w:rFonts w:hint="eastAsia" w:ascii="宋体" w:hAnsi="宋体"/>
          <w:b/>
          <w:bCs/>
          <w:color w:val="auto"/>
          <w:szCs w:val="21"/>
          <w:highlight w:val="none"/>
          <w:u w:val="single"/>
        </w:rPr>
        <w:t>无。</w:t>
      </w:r>
    </w:p>
    <w:p w14:paraId="70D56B4D">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工程设备的交货方式、地点和日期：</w:t>
      </w:r>
      <w:r>
        <w:rPr>
          <w:rFonts w:hint="eastAsia" w:ascii="宋体" w:hAnsi="宋体"/>
          <w:b/>
          <w:bCs/>
          <w:color w:val="auto"/>
          <w:szCs w:val="21"/>
          <w:highlight w:val="none"/>
          <w:u w:val="single"/>
        </w:rPr>
        <w:t>无。</w:t>
      </w:r>
    </w:p>
    <w:p w14:paraId="5BDB00C9">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5.2.3材料和工程设备的接收、运输与保管：</w:t>
      </w:r>
      <w:r>
        <w:rPr>
          <w:rFonts w:hint="eastAsia" w:ascii="宋体" w:hAnsi="宋体"/>
          <w:b/>
          <w:bCs/>
          <w:color w:val="auto"/>
          <w:szCs w:val="21"/>
          <w:highlight w:val="none"/>
          <w:u w:val="single"/>
        </w:rPr>
        <w:t>无。</w:t>
      </w:r>
    </w:p>
    <w:p w14:paraId="7DEF94E9">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6.  施工设备和临时设施</w:t>
      </w:r>
    </w:p>
    <w:p w14:paraId="6F1BE7FC">
      <w:pPr>
        <w:pageBreakBefore w:val="0"/>
        <w:widowControl w:val="0"/>
        <w:kinsoku/>
        <w:wordWrap/>
        <w:overflowPunct/>
        <w:topLinePunct w:val="0"/>
        <w:autoSpaceDE/>
        <w:autoSpaceDN/>
        <w:bidi w:val="0"/>
        <w:spacing w:line="400" w:lineRule="exact"/>
        <w:ind w:left="0" w:leftChars="0" w:right="0" w:rightChars="0" w:firstLine="422" w:firstLineChars="200"/>
        <w:textAlignment w:val="auto"/>
        <w:rPr>
          <w:rFonts w:hint="eastAsia"/>
          <w:b/>
          <w:color w:val="auto"/>
          <w:highlight w:val="none"/>
        </w:rPr>
      </w:pPr>
      <w:r>
        <w:rPr>
          <w:rFonts w:hint="eastAsia"/>
          <w:b/>
          <w:color w:val="auto"/>
          <w:highlight w:val="none"/>
        </w:rPr>
        <w:t>6.1  承包人提供的施工设备和临时设施</w:t>
      </w:r>
    </w:p>
    <w:p w14:paraId="792BD83B">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6.1.2  承包人承担修建临时设施费用的范围： </w:t>
      </w:r>
      <w:r>
        <w:rPr>
          <w:rFonts w:hint="eastAsia"/>
          <w:b/>
          <w:color w:val="auto"/>
          <w:highlight w:val="none"/>
          <w:u w:val="single"/>
        </w:rPr>
        <w:t>临时设施均由承包人负责修建，费用承包人承担。</w:t>
      </w:r>
    </w:p>
    <w:p w14:paraId="06FE1EC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临时占地的申请及费用：</w:t>
      </w:r>
      <w:r>
        <w:rPr>
          <w:rFonts w:hint="eastAsia"/>
          <w:b/>
          <w:color w:val="auto"/>
          <w:highlight w:val="none"/>
          <w:u w:val="single"/>
        </w:rPr>
        <w:t>由承包人负责申请并承担相应费用</w:t>
      </w:r>
      <w:r>
        <w:rPr>
          <w:rFonts w:hint="eastAsia"/>
          <w:color w:val="auto"/>
          <w:highlight w:val="none"/>
        </w:rPr>
        <w:t>。</w:t>
      </w:r>
    </w:p>
    <w:p w14:paraId="300BDB1F">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6.2  发包人提供的施工设备和临时设施：</w:t>
      </w:r>
      <w:r>
        <w:rPr>
          <w:rFonts w:hint="eastAsia"/>
          <w:b/>
          <w:color w:val="auto"/>
          <w:highlight w:val="none"/>
          <w:u w:val="single"/>
        </w:rPr>
        <w:t>无。</w:t>
      </w:r>
    </w:p>
    <w:p w14:paraId="20B52C5B">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  交通运输</w:t>
      </w:r>
    </w:p>
    <w:p w14:paraId="2FADD3A4">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7.1  道路通行权和场外设施</w:t>
      </w:r>
    </w:p>
    <w:p w14:paraId="123AD38C">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color w:val="auto"/>
          <w:highlight w:val="none"/>
        </w:rPr>
        <w:t xml:space="preserve">    取得道路通行权、修建场外设施权的办理人： </w:t>
      </w:r>
      <w:r>
        <w:rPr>
          <w:rFonts w:hint="eastAsia"/>
          <w:b/>
          <w:color w:val="auto"/>
          <w:highlight w:val="none"/>
          <w:u w:val="single"/>
        </w:rPr>
        <w:t>承包人。</w:t>
      </w:r>
    </w:p>
    <w:p w14:paraId="73C13A7B">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color w:val="auto"/>
          <w:highlight w:val="none"/>
        </w:rPr>
        <w:t xml:space="preserve">    相关费用： </w:t>
      </w:r>
      <w:r>
        <w:rPr>
          <w:rFonts w:hint="eastAsia"/>
          <w:b/>
          <w:color w:val="auto"/>
          <w:highlight w:val="none"/>
          <w:u w:val="single"/>
        </w:rPr>
        <w:t>由承包人负责，费用由承包人承担。</w:t>
      </w:r>
    </w:p>
    <w:p w14:paraId="4A6FF80F">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7.2  场内施工道路</w:t>
      </w:r>
    </w:p>
    <w:p w14:paraId="4EE03BEE">
      <w:pPr>
        <w:pageBreakBefore w:val="0"/>
        <w:widowControl w:val="0"/>
        <w:kinsoku/>
        <w:wordWrap/>
        <w:overflowPunct/>
        <w:topLinePunct w:val="0"/>
        <w:autoSpaceDE/>
        <w:autoSpaceDN/>
        <w:bidi w:val="0"/>
        <w:spacing w:line="400" w:lineRule="exact"/>
        <w:ind w:left="0" w:leftChars="0" w:right="0" w:rightChars="0" w:firstLine="420"/>
        <w:textAlignment w:val="auto"/>
        <w:rPr>
          <w:rFonts w:hint="eastAsia"/>
          <w:color w:val="auto"/>
          <w:highlight w:val="none"/>
        </w:rPr>
      </w:pPr>
      <w:r>
        <w:rPr>
          <w:rFonts w:hint="eastAsia"/>
          <w:color w:val="auto"/>
          <w:highlight w:val="none"/>
        </w:rPr>
        <w:t xml:space="preserve">7.2.1  临时道路和交通设施的修建、维护、养护和管理人： </w:t>
      </w:r>
      <w:r>
        <w:rPr>
          <w:rFonts w:hint="eastAsia"/>
          <w:b/>
          <w:color w:val="auto"/>
          <w:highlight w:val="none"/>
          <w:u w:val="single"/>
        </w:rPr>
        <w:t>承包人。</w:t>
      </w:r>
    </w:p>
    <w:p w14:paraId="3F732EBE">
      <w:pPr>
        <w:pageBreakBefore w:val="0"/>
        <w:widowControl w:val="0"/>
        <w:kinsoku/>
        <w:wordWrap/>
        <w:overflowPunct/>
        <w:topLinePunct w:val="0"/>
        <w:autoSpaceDE/>
        <w:autoSpaceDN/>
        <w:bidi w:val="0"/>
        <w:spacing w:line="400" w:lineRule="exact"/>
        <w:ind w:left="0" w:leftChars="0" w:right="0" w:rightChars="0" w:firstLine="420"/>
        <w:textAlignment w:val="auto"/>
        <w:rPr>
          <w:rFonts w:hint="eastAsia"/>
          <w:color w:val="auto"/>
          <w:highlight w:val="none"/>
        </w:rPr>
      </w:pPr>
      <w:r>
        <w:rPr>
          <w:rFonts w:hint="eastAsia"/>
          <w:color w:val="auto"/>
          <w:highlight w:val="none"/>
        </w:rPr>
        <w:t>7.2.2  临时道路和交通设施的使用权力及费用：</w:t>
      </w:r>
      <w:r>
        <w:rPr>
          <w:rFonts w:hint="eastAsia"/>
          <w:b/>
          <w:color w:val="auto"/>
          <w:highlight w:val="none"/>
          <w:u w:val="single"/>
        </w:rPr>
        <w:t>由承包人自行负责。</w:t>
      </w:r>
    </w:p>
    <w:p w14:paraId="14FB3989">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7.4  超大件和超重件的运输</w:t>
      </w:r>
    </w:p>
    <w:p w14:paraId="15B30487">
      <w:pPr>
        <w:pageBreakBefore w:val="0"/>
        <w:widowControl w:val="0"/>
        <w:kinsoku/>
        <w:wordWrap/>
        <w:overflowPunct/>
        <w:topLinePunct w:val="0"/>
        <w:autoSpaceDE/>
        <w:autoSpaceDN/>
        <w:bidi w:val="0"/>
        <w:spacing w:line="400" w:lineRule="exact"/>
        <w:ind w:right="0" w:rightChars="0" w:firstLine="420" w:firstLineChars="200"/>
        <w:textAlignment w:val="auto"/>
        <w:rPr>
          <w:rFonts w:hint="eastAsia" w:ascii="宋体" w:hAnsi="宋体"/>
          <w:color w:val="auto"/>
          <w:szCs w:val="21"/>
          <w:highlight w:val="none"/>
        </w:rPr>
      </w:pPr>
      <w:r>
        <w:rPr>
          <w:rFonts w:hint="eastAsia"/>
          <w:color w:val="auto"/>
          <w:highlight w:val="none"/>
        </w:rPr>
        <w:t>道路和桥梁临时加固改造费用和其他有关费用的承担：</w:t>
      </w:r>
      <w:r>
        <w:rPr>
          <w:rFonts w:hint="eastAsia"/>
          <w:b/>
          <w:color w:val="auto"/>
          <w:highlight w:val="none"/>
          <w:u w:val="single"/>
        </w:rPr>
        <w:t>由承包人承担。</w:t>
      </w:r>
    </w:p>
    <w:p w14:paraId="1FB53D9F">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8.  测量放线</w:t>
      </w:r>
    </w:p>
    <w:p w14:paraId="38B5ACE1">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8.1  施工控制网</w:t>
      </w:r>
    </w:p>
    <w:p w14:paraId="2D18BA5B">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8.1.1  发包人提供测量基准点、基准线和水准点的期限：</w:t>
      </w:r>
      <w:r>
        <w:rPr>
          <w:rFonts w:hint="eastAsia" w:ascii="宋体" w:hAnsi="宋体"/>
          <w:b/>
          <w:bCs/>
          <w:color w:val="auto"/>
          <w:szCs w:val="21"/>
          <w:highlight w:val="none"/>
          <w:u w:val="single"/>
        </w:rPr>
        <w:t xml:space="preserve"> 开工前5天。</w:t>
      </w:r>
    </w:p>
    <w:p w14:paraId="23EBFFAB">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施工控制网的测设：</w:t>
      </w:r>
      <w:r>
        <w:rPr>
          <w:rFonts w:hint="eastAsia" w:ascii="宋体" w:hAnsi="宋体"/>
          <w:b/>
          <w:bCs/>
          <w:color w:val="auto"/>
          <w:szCs w:val="21"/>
          <w:highlight w:val="none"/>
          <w:u w:val="single"/>
        </w:rPr>
        <w:t xml:space="preserve"> 由承包人负责。</w:t>
      </w:r>
      <w:r>
        <w:rPr>
          <w:rFonts w:hint="eastAsia" w:ascii="宋体" w:hAnsi="宋体"/>
          <w:color w:val="auto"/>
          <w:szCs w:val="21"/>
          <w:highlight w:val="none"/>
        </w:rPr>
        <w:t xml:space="preserve"> </w:t>
      </w:r>
    </w:p>
    <w:p w14:paraId="1A33DE8F">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报监理人审批施工控制网资料的期限：</w:t>
      </w:r>
      <w:r>
        <w:rPr>
          <w:rFonts w:hint="eastAsia" w:ascii="宋体" w:hAnsi="宋体"/>
          <w:b/>
          <w:bCs/>
          <w:color w:val="auto"/>
          <w:szCs w:val="21"/>
          <w:highlight w:val="none"/>
          <w:u w:val="single"/>
        </w:rPr>
        <w:t xml:space="preserve"> 开工前7天。</w:t>
      </w:r>
    </w:p>
    <w:p w14:paraId="4063015A">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9.  施工安全、治安保卫和环境保护</w:t>
      </w:r>
    </w:p>
    <w:p w14:paraId="46F633DE">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9.2  承包人的施工安全责任</w:t>
      </w:r>
    </w:p>
    <w:p w14:paraId="2658FBD9">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9.2.1报监理人审批的施工安全措施计划期限：</w:t>
      </w:r>
      <w:r>
        <w:rPr>
          <w:rFonts w:hint="eastAsia" w:ascii="宋体" w:hAnsi="宋体"/>
          <w:b/>
          <w:bCs/>
          <w:color w:val="auto"/>
          <w:szCs w:val="21"/>
          <w:highlight w:val="none"/>
          <w:u w:val="single"/>
        </w:rPr>
        <w:t xml:space="preserve"> 开工前5天。</w:t>
      </w:r>
    </w:p>
    <w:p w14:paraId="4A28879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监理人收到承包人报送的施工安全措施计划后应当在</w:t>
      </w:r>
      <w:r>
        <w:rPr>
          <w:rFonts w:hint="eastAsia"/>
          <w:b/>
          <w:color w:val="auto"/>
          <w:highlight w:val="none"/>
          <w:u w:val="single"/>
          <w:lang w:val="en-US" w:eastAsia="zh-CN"/>
        </w:rPr>
        <w:t xml:space="preserve">  </w:t>
      </w:r>
      <w:r>
        <w:rPr>
          <w:rFonts w:hint="eastAsia"/>
          <w:b/>
          <w:bCs w:val="0"/>
          <w:color w:val="auto"/>
          <w:highlight w:val="none"/>
          <w:u w:val="single"/>
          <w:lang w:val="en-US" w:eastAsia="zh-CN"/>
        </w:rPr>
        <w:t>2</w:t>
      </w:r>
      <w:r>
        <w:rPr>
          <w:rFonts w:hint="eastAsia"/>
          <w:b/>
          <w:color w:val="auto"/>
          <w:highlight w:val="none"/>
          <w:u w:val="single"/>
          <w:lang w:val="en-US" w:eastAsia="zh-CN"/>
        </w:rPr>
        <w:t xml:space="preserve"> </w:t>
      </w:r>
      <w:r>
        <w:rPr>
          <w:rFonts w:hint="eastAsia"/>
          <w:b/>
          <w:color w:val="auto"/>
          <w:highlight w:val="none"/>
          <w:u w:val="single"/>
        </w:rPr>
        <w:t xml:space="preserve"> </w:t>
      </w:r>
      <w:r>
        <w:rPr>
          <w:rFonts w:hint="eastAsia"/>
          <w:color w:val="auto"/>
          <w:highlight w:val="none"/>
        </w:rPr>
        <w:t>天内给予批复。</w:t>
      </w:r>
    </w:p>
    <w:p w14:paraId="4855BB1D">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9.3  治安保卫</w:t>
      </w:r>
    </w:p>
    <w:p w14:paraId="6F40CDC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color w:val="auto"/>
          <w:szCs w:val="21"/>
          <w:highlight w:val="none"/>
        </w:rPr>
      </w:pPr>
      <w:r>
        <w:rPr>
          <w:rFonts w:hint="eastAsia"/>
          <w:color w:val="auto"/>
          <w:highlight w:val="none"/>
        </w:rPr>
        <w:t>9.3.1  承包人应当负责统一管理施工场地的治安保卫事项，履行合同工程的治安保卫职责</w:t>
      </w:r>
      <w:r>
        <w:rPr>
          <w:rFonts w:hint="eastAsia" w:ascii="宋体" w:hAnsi="宋体" w:cs="宋体"/>
          <w:color w:val="auto"/>
          <w:szCs w:val="21"/>
          <w:highlight w:val="none"/>
        </w:rPr>
        <w:t>，其费用由</w:t>
      </w:r>
      <w:r>
        <w:rPr>
          <w:rFonts w:hint="eastAsia" w:ascii="宋体" w:hAnsi="宋体"/>
          <w:b/>
          <w:bCs/>
          <w:color w:val="auto"/>
          <w:szCs w:val="21"/>
          <w:highlight w:val="none"/>
          <w:u w:val="single"/>
        </w:rPr>
        <w:t xml:space="preserve"> 承包人 </w:t>
      </w:r>
      <w:r>
        <w:rPr>
          <w:rFonts w:hint="eastAsia" w:ascii="宋体" w:hAnsi="宋体" w:cs="宋体"/>
          <w:color w:val="auto"/>
          <w:szCs w:val="21"/>
          <w:highlight w:val="none"/>
        </w:rPr>
        <w:t>承担。</w:t>
      </w:r>
    </w:p>
    <w:p w14:paraId="54C3DB6C">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rPr>
      </w:pPr>
      <w:r>
        <w:rPr>
          <w:rFonts w:hint="eastAsia"/>
          <w:color w:val="auto"/>
          <w:highlight w:val="none"/>
        </w:rPr>
        <w:t xml:space="preserve">    9.3.3  施工场地治安管理计划和突发治安事件紧急预案的编制责任人：</w:t>
      </w:r>
      <w:r>
        <w:rPr>
          <w:rFonts w:hint="eastAsia" w:ascii="宋体" w:hAnsi="宋体"/>
          <w:b/>
          <w:bCs/>
          <w:color w:val="auto"/>
          <w:szCs w:val="21"/>
          <w:highlight w:val="none"/>
          <w:u w:val="single"/>
        </w:rPr>
        <w:t xml:space="preserve">  由承包人负责 </w:t>
      </w:r>
      <w:r>
        <w:rPr>
          <w:rFonts w:hint="eastAsia"/>
          <w:b/>
          <w:color w:val="auto"/>
          <w:highlight w:val="none"/>
        </w:rPr>
        <w:t>。</w:t>
      </w:r>
    </w:p>
    <w:p w14:paraId="456D9001">
      <w:pPr>
        <w:pageBreakBefore w:val="0"/>
        <w:widowControl w:val="0"/>
        <w:kinsoku/>
        <w:wordWrap/>
        <w:overflowPunct/>
        <w:topLinePunct w:val="0"/>
        <w:autoSpaceDE/>
        <w:autoSpaceDN/>
        <w:bidi w:val="0"/>
        <w:spacing w:line="400" w:lineRule="exact"/>
        <w:ind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9.4  环境保护</w:t>
      </w:r>
    </w:p>
    <w:p w14:paraId="7700E1A4">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s="宋体"/>
          <w:color w:val="auto"/>
          <w:szCs w:val="21"/>
          <w:highlight w:val="none"/>
        </w:rPr>
      </w:pPr>
      <w:r>
        <w:rPr>
          <w:rFonts w:hint="eastAsia"/>
          <w:color w:val="auto"/>
          <w:highlight w:val="none"/>
        </w:rPr>
        <w:t>9.4.2</w:t>
      </w:r>
      <w:r>
        <w:rPr>
          <w:rFonts w:hint="eastAsia" w:ascii="宋体" w:hAnsi="宋体" w:cs="宋体"/>
          <w:color w:val="auto"/>
          <w:szCs w:val="21"/>
          <w:highlight w:val="none"/>
        </w:rPr>
        <w:t>施工环保措施计划报送监理人审批的时间：</w:t>
      </w:r>
      <w:r>
        <w:rPr>
          <w:rFonts w:hint="eastAsia" w:ascii="宋体" w:hAnsi="宋体"/>
          <w:b/>
          <w:bCs/>
          <w:color w:val="auto"/>
          <w:szCs w:val="21"/>
          <w:highlight w:val="none"/>
          <w:u w:val="single"/>
        </w:rPr>
        <w:t xml:space="preserve"> 开工前5天 </w:t>
      </w:r>
      <w:r>
        <w:rPr>
          <w:rFonts w:hint="eastAsia" w:ascii="宋体" w:hAnsi="宋体" w:cs="宋体"/>
          <w:color w:val="auto"/>
          <w:szCs w:val="21"/>
          <w:highlight w:val="none"/>
        </w:rPr>
        <w:t>。</w:t>
      </w:r>
    </w:p>
    <w:p w14:paraId="134F8A80">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s="宋体"/>
          <w:color w:val="auto"/>
          <w:szCs w:val="21"/>
          <w:highlight w:val="none"/>
        </w:rPr>
      </w:pPr>
      <w:r>
        <w:rPr>
          <w:rFonts w:hint="eastAsia" w:ascii="宋体" w:hAnsi="宋体" w:cs="宋体"/>
          <w:color w:val="auto"/>
          <w:szCs w:val="21"/>
          <w:highlight w:val="none"/>
        </w:rPr>
        <w:t>　　监理人收到承包人报送的施工环保措施计划后应当在</w:t>
      </w:r>
      <w:r>
        <w:rPr>
          <w:rFonts w:hint="eastAsia" w:ascii="宋体" w:hAnsi="宋体" w:cs="宋体"/>
          <w:b/>
          <w:color w:val="auto"/>
          <w:szCs w:val="21"/>
          <w:highlight w:val="none"/>
          <w:u w:val="single"/>
        </w:rPr>
        <w:t>　2</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天内给予批复。</w:t>
      </w:r>
    </w:p>
    <w:p w14:paraId="1A2E7F84">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10.  进度计划</w:t>
      </w:r>
    </w:p>
    <w:p w14:paraId="4F65BB6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  合同进度计划</w:t>
      </w:r>
    </w:p>
    <w:p w14:paraId="223D7D2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(1)承包人应当在收到监理人按照通用合同条款第11.1.1项发出的开工通知后</w:t>
      </w:r>
      <w:r>
        <w:rPr>
          <w:rFonts w:hint="eastAsia" w:ascii="宋体" w:hAnsi="宋体"/>
          <w:b/>
          <w:bCs/>
          <w:color w:val="auto"/>
          <w:szCs w:val="21"/>
          <w:highlight w:val="none"/>
          <w:u w:val="single"/>
        </w:rPr>
        <w:t xml:space="preserve"> 7 </w:t>
      </w:r>
      <w:r>
        <w:rPr>
          <w:rFonts w:hint="eastAsia" w:ascii="宋体" w:hAnsi="宋体" w:cs="宋体"/>
          <w:color w:val="auto"/>
          <w:szCs w:val="21"/>
          <w:highlight w:val="none"/>
        </w:rPr>
        <w:t>天内，编制详细的施工进度计划和施工方案说明并报送监理人。</w:t>
      </w:r>
    </w:p>
    <w:p w14:paraId="2295AD7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b/>
          <w:color w:val="auto"/>
          <w:szCs w:val="21"/>
          <w:highlight w:val="none"/>
          <w:u w:val="single"/>
        </w:rPr>
      </w:pPr>
      <w:r>
        <w:rPr>
          <w:rFonts w:hint="eastAsia" w:ascii="宋体" w:hAnsi="宋体" w:cs="宋体"/>
          <w:color w:val="auto"/>
          <w:szCs w:val="21"/>
          <w:highlight w:val="none"/>
        </w:rPr>
        <w:t>承包人编制施工进度计划和施工方案说明的内容：</w:t>
      </w:r>
      <w:r>
        <w:rPr>
          <w:rFonts w:hint="eastAsia" w:ascii="宋体" w:hAnsi="宋体" w:cs="宋体"/>
          <w:b/>
          <w:color w:val="auto"/>
          <w:szCs w:val="21"/>
          <w:highlight w:val="none"/>
          <w:u w:val="single"/>
        </w:rPr>
        <w:t>应采用文字并结合图表形式说明施工方法； 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施工进度计划中还应载明要求发包人组织设计人进行阶段性工程设计交底的时间。</w:t>
      </w:r>
    </w:p>
    <w:p w14:paraId="0CFA93D2">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b/>
          <w:color w:val="auto"/>
          <w:szCs w:val="21"/>
          <w:highlight w:val="none"/>
          <w:u w:val="single"/>
        </w:rPr>
      </w:pPr>
      <w:r>
        <w:rPr>
          <w:rFonts w:hint="eastAsia" w:ascii="宋体" w:hAnsi="宋体" w:cs="宋体"/>
          <w:color w:val="auto"/>
          <w:szCs w:val="21"/>
          <w:highlight w:val="none"/>
        </w:rPr>
        <w:t>(2)监理人批复或对施工进度计划和施工方案说明提出修改意见的期限：</w:t>
      </w:r>
      <w:r>
        <w:rPr>
          <w:rFonts w:hint="eastAsia" w:ascii="宋体" w:hAnsi="宋体" w:cs="宋体"/>
          <w:b/>
          <w:color w:val="auto"/>
          <w:szCs w:val="21"/>
          <w:highlight w:val="none"/>
          <w:u w:val="single"/>
        </w:rPr>
        <w:t>自监理人收到承包人报送的相关进度计划和施工方案说明后5天内。</w:t>
      </w:r>
    </w:p>
    <w:p w14:paraId="5E453F5E">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11.  开工和竣工</w:t>
      </w:r>
    </w:p>
    <w:p w14:paraId="01056BA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11.4  异常恶劣的气候条件</w:t>
      </w:r>
    </w:p>
    <w:p w14:paraId="3D69359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异常恶劣的气候条件的范围：</w:t>
      </w:r>
      <w:r>
        <w:rPr>
          <w:rFonts w:hint="eastAsia" w:ascii="宋体" w:hAnsi="宋体"/>
          <w:b/>
          <w:bCs/>
          <w:color w:val="auto"/>
          <w:szCs w:val="21"/>
          <w:highlight w:val="none"/>
          <w:u w:val="single"/>
        </w:rPr>
        <w:t xml:space="preserve"> 50年一遇的自然灾害（包括台风、雪灾、洪水等）。</w:t>
      </w:r>
    </w:p>
    <w:p w14:paraId="5D5A09C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11.5  承包人的工期延误</w:t>
      </w:r>
    </w:p>
    <w:p w14:paraId="1E7A6B4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由于包人原因造成不能按期竣工的，发包人有权得到按本款约定的下列标准和方法计算的逾期竣工违约金，但最终违约金的金额不能超过本款约定的逾期竣工违约金最高限额。</w:t>
      </w:r>
    </w:p>
    <w:p w14:paraId="2485FA9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逾期竣工违约金的计算方法：</w:t>
      </w:r>
      <w:r>
        <w:rPr>
          <w:rFonts w:hint="eastAsia" w:ascii="宋体" w:hAnsi="宋体"/>
          <w:b/>
          <w:bCs/>
          <w:color w:val="auto"/>
          <w:szCs w:val="21"/>
          <w:highlight w:val="none"/>
          <w:u w:val="single"/>
        </w:rPr>
        <w:t xml:space="preserve"> 按</w:t>
      </w:r>
      <w:r>
        <w:rPr>
          <w:rFonts w:hint="eastAsia" w:ascii="宋体" w:hAnsi="宋体"/>
          <w:b/>
          <w:bCs/>
          <w:color w:val="auto"/>
          <w:szCs w:val="21"/>
          <w:highlight w:val="none"/>
          <w:u w:val="single"/>
          <w:lang w:val="en-US" w:eastAsia="zh-CN"/>
        </w:rPr>
        <w:t>500</w:t>
      </w:r>
      <w:r>
        <w:rPr>
          <w:rFonts w:hint="eastAsia" w:ascii="宋体" w:hAnsi="宋体"/>
          <w:b/>
          <w:bCs/>
          <w:color w:val="auto"/>
          <w:szCs w:val="21"/>
          <w:highlight w:val="none"/>
          <w:u w:val="single"/>
        </w:rPr>
        <w:t xml:space="preserve">元/天计违约金 </w:t>
      </w:r>
      <w:r>
        <w:rPr>
          <w:rFonts w:hint="eastAsia"/>
          <w:color w:val="auto"/>
          <w:highlight w:val="none"/>
        </w:rPr>
        <w:t>。</w:t>
      </w:r>
    </w:p>
    <w:p w14:paraId="28AB3AB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逾期竣工违约金的最高限额：</w:t>
      </w:r>
      <w:r>
        <w:rPr>
          <w:rFonts w:hint="eastAsia" w:ascii="宋体" w:hAnsi="宋体"/>
          <w:b/>
          <w:bCs/>
          <w:color w:val="auto"/>
          <w:szCs w:val="21"/>
          <w:highlight w:val="none"/>
          <w:u w:val="single"/>
        </w:rPr>
        <w:t xml:space="preserve"> 签约合同价的</w:t>
      </w:r>
      <w:r>
        <w:rPr>
          <w:rFonts w:hint="eastAsia" w:ascii="宋体" w:hAnsi="宋体"/>
          <w:b/>
          <w:bCs/>
          <w:color w:val="auto"/>
          <w:szCs w:val="21"/>
          <w:highlight w:val="none"/>
          <w:u w:val="single"/>
          <w:lang w:val="en-US" w:eastAsia="zh-CN"/>
        </w:rPr>
        <w:t>3</w:t>
      </w:r>
      <w:r>
        <w:rPr>
          <w:rFonts w:hint="eastAsia" w:ascii="宋体" w:hAnsi="宋体"/>
          <w:b/>
          <w:bCs/>
          <w:color w:val="auto"/>
          <w:szCs w:val="21"/>
          <w:highlight w:val="none"/>
          <w:u w:val="single"/>
        </w:rPr>
        <w:t xml:space="preserve">% </w:t>
      </w:r>
      <w:r>
        <w:rPr>
          <w:rFonts w:hint="eastAsia"/>
          <w:color w:val="auto"/>
          <w:highlight w:val="none"/>
        </w:rPr>
        <w:t>。</w:t>
      </w:r>
    </w:p>
    <w:p w14:paraId="7FF8CC4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11.6  工期提前</w:t>
      </w:r>
    </w:p>
    <w:p w14:paraId="7525468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b/>
          <w:bCs/>
          <w:color w:val="auto"/>
          <w:szCs w:val="21"/>
          <w:highlight w:val="none"/>
          <w:u w:val="single"/>
        </w:rPr>
      </w:pPr>
      <w:r>
        <w:rPr>
          <w:rFonts w:hint="eastAsia" w:ascii="宋体" w:hAnsi="宋体"/>
          <w:color w:val="auto"/>
          <w:szCs w:val="21"/>
          <w:highlight w:val="none"/>
        </w:rPr>
        <w:t>提前竣工的奖励办法：</w:t>
      </w:r>
      <w:r>
        <w:rPr>
          <w:rFonts w:hint="eastAsia" w:ascii="宋体" w:hAnsi="宋体"/>
          <w:b/>
          <w:bCs/>
          <w:color w:val="auto"/>
          <w:szCs w:val="21"/>
          <w:highlight w:val="none"/>
          <w:u w:val="single"/>
        </w:rPr>
        <w:t xml:space="preserve">    /   。</w:t>
      </w:r>
    </w:p>
    <w:p w14:paraId="28EFAAE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12．暂停施工</w:t>
      </w:r>
    </w:p>
    <w:p w14:paraId="3C728617">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12.1 承包人暂停施工的责任：</w:t>
      </w:r>
      <w:r>
        <w:rPr>
          <w:rFonts w:hint="eastAsia"/>
          <w:b/>
          <w:color w:val="auto"/>
          <w:highlight w:val="none"/>
          <w:u w:val="single"/>
        </w:rPr>
        <w:t xml:space="preserve"> 非发包人的原因由承包人负责。</w:t>
      </w:r>
    </w:p>
    <w:p w14:paraId="1AE56A6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13．工程质量</w:t>
      </w:r>
    </w:p>
    <w:p w14:paraId="72099C53">
      <w:pPr>
        <w:pageBreakBefore w:val="0"/>
        <w:widowControl w:val="0"/>
        <w:kinsoku/>
        <w:wordWrap/>
        <w:overflowPunct/>
        <w:topLinePunct w:val="0"/>
        <w:autoSpaceDE/>
        <w:autoSpaceDN/>
        <w:bidi w:val="0"/>
        <w:spacing w:line="400" w:lineRule="exact"/>
        <w:ind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13.2 承包人的质量检查</w:t>
      </w:r>
    </w:p>
    <w:p w14:paraId="2A660B5A">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u w:val="single"/>
        </w:rPr>
      </w:pPr>
      <w:r>
        <w:rPr>
          <w:rFonts w:hint="eastAsia" w:ascii="宋体" w:hAnsi="宋体" w:cs="宋体"/>
          <w:color w:val="auto"/>
          <w:szCs w:val="21"/>
          <w:highlight w:val="none"/>
        </w:rPr>
        <w:t>承包人提交工程质量保证措施文件的期限：</w:t>
      </w:r>
      <w:r>
        <w:rPr>
          <w:rFonts w:hint="eastAsia"/>
          <w:b/>
          <w:color w:val="auto"/>
          <w:highlight w:val="none"/>
          <w:u w:val="single"/>
        </w:rPr>
        <w:t xml:space="preserve">  开工前7天</w:t>
      </w:r>
      <w:r>
        <w:rPr>
          <w:rFonts w:hint="eastAsia"/>
          <w:b/>
          <w:color w:val="auto"/>
          <w:highlight w:val="none"/>
        </w:rPr>
        <w:t>。</w:t>
      </w:r>
    </w:p>
    <w:p w14:paraId="3CB85278">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Cs/>
          <w:color w:val="auto"/>
          <w:highlight w:val="none"/>
        </w:rPr>
      </w:pPr>
      <w:r>
        <w:rPr>
          <w:rFonts w:hint="eastAsia"/>
          <w:bCs/>
          <w:color w:val="auto"/>
          <w:highlight w:val="none"/>
        </w:rPr>
        <w:t>监理人收到承包人报送的施工环保措施计划后应当在</w:t>
      </w:r>
      <w:r>
        <w:rPr>
          <w:rFonts w:hint="eastAsia" w:ascii="宋体" w:hAnsi="宋体"/>
          <w:b/>
          <w:bCs/>
          <w:color w:val="auto"/>
          <w:szCs w:val="21"/>
          <w:highlight w:val="none"/>
          <w:u w:val="single"/>
        </w:rPr>
        <w:t xml:space="preserve">  1 </w:t>
      </w:r>
      <w:r>
        <w:rPr>
          <w:rFonts w:hint="eastAsia"/>
          <w:bCs/>
          <w:color w:val="auto"/>
          <w:highlight w:val="none"/>
        </w:rPr>
        <w:t>天内给予批复。</w:t>
      </w:r>
    </w:p>
    <w:p w14:paraId="21B894AE">
      <w:pPr>
        <w:pageBreakBefore w:val="0"/>
        <w:widowControl w:val="0"/>
        <w:kinsoku/>
        <w:wordWrap/>
        <w:overflowPunct/>
        <w:topLinePunct w:val="0"/>
        <w:autoSpaceDE/>
        <w:autoSpaceDN/>
        <w:bidi w:val="0"/>
        <w:spacing w:line="400" w:lineRule="exact"/>
        <w:ind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13.5 工程隐蔽部位覆盖前的检查</w:t>
      </w:r>
    </w:p>
    <w:p w14:paraId="43587551">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b/>
          <w:color w:val="auto"/>
          <w:szCs w:val="21"/>
          <w:highlight w:val="none"/>
          <w:u w:val="single"/>
        </w:rPr>
      </w:pPr>
      <w:r>
        <w:rPr>
          <w:rFonts w:hint="eastAsia" w:ascii="宋体" w:hAnsi="宋体" w:cs="宋体"/>
          <w:color w:val="auto"/>
          <w:szCs w:val="21"/>
          <w:highlight w:val="none"/>
        </w:rPr>
        <w:t>13.5.1监理人对工程隐蔽部位进行检查的期限：</w:t>
      </w:r>
      <w:r>
        <w:rPr>
          <w:rFonts w:hint="eastAsia" w:ascii="宋体" w:hAnsi="宋体" w:cs="宋体"/>
          <w:b/>
          <w:color w:val="auto"/>
          <w:szCs w:val="21"/>
          <w:highlight w:val="none"/>
          <w:u w:val="single"/>
        </w:rPr>
        <w:t>工程部位隐蔽前24小时以书面形式通知发包人和监理人验收。</w:t>
      </w:r>
    </w:p>
    <w:p w14:paraId="6960A979">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15.  变更</w:t>
      </w:r>
    </w:p>
    <w:p w14:paraId="0DB6410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所有工程变更等现场签证的确定只有经发包人审批同意后才能生效。</w:t>
      </w:r>
    </w:p>
    <w:p w14:paraId="2B0B893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color w:val="auto"/>
          <w:szCs w:val="21"/>
          <w:highlight w:val="none"/>
          <w:u w:val="single"/>
        </w:rPr>
      </w:pPr>
      <w:r>
        <w:rPr>
          <w:rFonts w:hint="eastAsia"/>
          <w:color w:val="auto"/>
          <w:highlight w:val="none"/>
        </w:rPr>
        <w:t>15.1 变更的范围和内容：</w:t>
      </w:r>
      <w:r>
        <w:rPr>
          <w:rFonts w:hint="eastAsia"/>
          <w:b/>
          <w:color w:val="auto"/>
          <w:highlight w:val="none"/>
          <w:u w:val="single"/>
        </w:rPr>
        <w:t>变更的范围和内容以发包人认可为准。</w:t>
      </w:r>
    </w:p>
    <w:p w14:paraId="4FDAEF19">
      <w:pPr>
        <w:keepNext w:val="0"/>
        <w:keepLines w:val="0"/>
        <w:pageBreakBefore w:val="0"/>
        <w:widowControl w:val="0"/>
        <w:kinsoku/>
        <w:wordWrap/>
        <w:overflowPunct/>
        <w:topLinePunct w:val="0"/>
        <w:autoSpaceDE/>
        <w:autoSpaceDN/>
        <w:bidi w:val="0"/>
        <w:spacing w:line="400" w:lineRule="exact"/>
        <w:textAlignment w:val="auto"/>
        <w:outlineLvl w:val="9"/>
        <w:rPr>
          <w:rFonts w:hint="eastAsia"/>
          <w:b/>
          <w:color w:val="auto"/>
          <w:highlight w:val="none"/>
        </w:rPr>
      </w:pPr>
      <w:r>
        <w:rPr>
          <w:rFonts w:hint="eastAsia"/>
          <w:b/>
          <w:color w:val="auto"/>
          <w:highlight w:val="none"/>
        </w:rPr>
        <w:t>15.3  变更程序</w:t>
      </w:r>
    </w:p>
    <w:p w14:paraId="0099D599">
      <w:pPr>
        <w:keepNext w:val="0"/>
        <w:keepLines w:val="0"/>
        <w:pageBreakBefore w:val="0"/>
        <w:widowControl w:val="0"/>
        <w:kinsoku/>
        <w:wordWrap/>
        <w:overflowPunct/>
        <w:topLinePunct w:val="0"/>
        <w:autoSpaceDE/>
        <w:autoSpaceDN/>
        <w:bidi w:val="0"/>
        <w:spacing w:line="400" w:lineRule="exact"/>
        <w:textAlignment w:val="auto"/>
        <w:outlineLvl w:val="9"/>
        <w:rPr>
          <w:rFonts w:hint="eastAsia"/>
          <w:b/>
          <w:color w:val="auto"/>
          <w:highlight w:val="none"/>
        </w:rPr>
      </w:pPr>
      <w:r>
        <w:rPr>
          <w:rFonts w:hint="eastAsia"/>
          <w:b/>
          <w:color w:val="auto"/>
          <w:highlight w:val="none"/>
        </w:rPr>
        <w:t>15.3.1 变更的原则</w:t>
      </w:r>
    </w:p>
    <w:p w14:paraId="191ECD36">
      <w:pPr>
        <w:keepNext w:val="0"/>
        <w:keepLines w:val="0"/>
        <w:pageBreakBefore w:val="0"/>
        <w:widowControl w:val="0"/>
        <w:kinsoku/>
        <w:wordWrap/>
        <w:overflowPunct/>
        <w:topLinePunct w:val="0"/>
        <w:autoSpaceDE/>
        <w:autoSpaceDN/>
        <w:bidi w:val="0"/>
        <w:spacing w:line="400" w:lineRule="exact"/>
        <w:textAlignment w:val="auto"/>
        <w:outlineLvl w:val="9"/>
        <w:rPr>
          <w:rFonts w:hint="eastAsia"/>
          <w:color w:val="auto"/>
          <w:highlight w:val="none"/>
        </w:rPr>
      </w:pPr>
      <w:r>
        <w:rPr>
          <w:rFonts w:hint="eastAsia"/>
          <w:b/>
          <w:color w:val="auto"/>
          <w:highlight w:val="none"/>
        </w:rPr>
        <w:t xml:space="preserve">    </w:t>
      </w:r>
      <w:r>
        <w:rPr>
          <w:rFonts w:hint="eastAsia"/>
          <w:color w:val="auto"/>
          <w:highlight w:val="none"/>
        </w:rPr>
        <w:t xml:space="preserve"> 工程设计变更严格遵守“先批准，后变更</w:t>
      </w:r>
      <w:r>
        <w:rPr>
          <w:rFonts w:hint="eastAsia"/>
          <w:color w:val="auto"/>
          <w:highlight w:val="none"/>
          <w:lang w:eastAsia="zh-CN"/>
        </w:rPr>
        <w:t>；</w:t>
      </w:r>
      <w:r>
        <w:rPr>
          <w:rFonts w:hint="eastAsia"/>
          <w:color w:val="auto"/>
          <w:highlight w:val="none"/>
        </w:rPr>
        <w:t>先变更，后实施”的原则，对于未经批准而先行实施的工程变更，不予认可。</w:t>
      </w:r>
    </w:p>
    <w:p w14:paraId="6EFB8ABF">
      <w:pPr>
        <w:keepNext w:val="0"/>
        <w:keepLines w:val="0"/>
        <w:pageBreakBefore w:val="0"/>
        <w:widowControl w:val="0"/>
        <w:kinsoku/>
        <w:wordWrap/>
        <w:overflowPunct/>
        <w:topLinePunct w:val="0"/>
        <w:autoSpaceDE/>
        <w:autoSpaceDN/>
        <w:bidi w:val="0"/>
        <w:spacing w:line="400" w:lineRule="exact"/>
        <w:textAlignment w:val="auto"/>
        <w:outlineLvl w:val="9"/>
        <w:rPr>
          <w:rFonts w:hint="eastAsia"/>
          <w:b/>
          <w:color w:val="auto"/>
          <w:highlight w:val="none"/>
        </w:rPr>
      </w:pPr>
      <w:r>
        <w:rPr>
          <w:rFonts w:hint="eastAsia"/>
          <w:b/>
          <w:color w:val="auto"/>
          <w:highlight w:val="none"/>
        </w:rPr>
        <w:t>15.3.2  变更估价</w:t>
      </w:r>
    </w:p>
    <w:p w14:paraId="26085C6D">
      <w:pPr>
        <w:keepNext w:val="0"/>
        <w:keepLines w:val="0"/>
        <w:pageBreakBefore w:val="0"/>
        <w:widowControl w:val="0"/>
        <w:kinsoku/>
        <w:wordWrap/>
        <w:overflowPunct/>
        <w:topLinePunct w:val="0"/>
        <w:autoSpaceDE/>
        <w:autoSpaceDN/>
        <w:bidi w:val="0"/>
        <w:adjustRightInd w:val="0"/>
        <w:snapToGrid w:val="0"/>
        <w:spacing w:line="400" w:lineRule="exact"/>
        <w:ind w:firstLine="462" w:firstLineChars="22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承包人提交变更报价书的期限：</w:t>
      </w:r>
      <w:r>
        <w:rPr>
          <w:rFonts w:hint="eastAsia" w:ascii="宋体" w:hAnsi="宋体" w:cs="宋体"/>
          <w:color w:val="auto"/>
          <w:szCs w:val="21"/>
          <w:highlight w:val="none"/>
          <w:u w:val="single"/>
        </w:rPr>
        <w:t>承包人应在收到变更指示或变更意向书后的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天内，向监理人提交变更报价书。</w:t>
      </w:r>
    </w:p>
    <w:p w14:paraId="1C337AE1">
      <w:pPr>
        <w:keepNext w:val="0"/>
        <w:keepLines w:val="0"/>
        <w:pageBreakBefore w:val="0"/>
        <w:widowControl w:val="0"/>
        <w:kinsoku/>
        <w:wordWrap/>
        <w:overflowPunct/>
        <w:topLinePunct w:val="0"/>
        <w:autoSpaceDE/>
        <w:autoSpaceDN/>
        <w:bidi w:val="0"/>
        <w:adjustRightInd w:val="0"/>
        <w:snapToGrid w:val="0"/>
        <w:spacing w:line="400" w:lineRule="exact"/>
        <w:ind w:firstLine="462" w:firstLineChars="22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监理人商定或确定变更价格的期限：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天。  </w:t>
      </w:r>
    </w:p>
    <w:p w14:paraId="4D11C8D9">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cs="宋体"/>
          <w:color w:val="auto"/>
          <w:szCs w:val="21"/>
          <w:highlight w:val="none"/>
          <w:u w:val="single"/>
        </w:rPr>
      </w:pPr>
      <w:r>
        <w:rPr>
          <w:rFonts w:hint="eastAsia"/>
          <w:b/>
          <w:color w:val="auto"/>
          <w:highlight w:val="none"/>
        </w:rPr>
        <w:t>15.4变更的估价原则</w:t>
      </w:r>
    </w:p>
    <w:p w14:paraId="42B87BDF">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（1）工程内容与已标价工程量清单中有相同的子项或类似子项，则按投标时的相同子项或类似子项的综合单价执行（类似子项及</w:t>
      </w:r>
      <w:r>
        <w:rPr>
          <w:rFonts w:hint="eastAsia"/>
          <w:color w:val="auto"/>
          <w:highlight w:val="none"/>
          <w:lang w:eastAsia="zh-CN"/>
        </w:rPr>
        <w:t>其</w:t>
      </w:r>
      <w:r>
        <w:rPr>
          <w:rFonts w:hint="eastAsia"/>
          <w:color w:val="auto"/>
          <w:highlight w:val="none"/>
        </w:rPr>
        <w:t>综合单价由比选人审定）；</w:t>
      </w:r>
    </w:p>
    <w:p w14:paraId="37F92C27">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（2）工程内容如有与已标价工程量清单不同的子项（既无相同子项，又无类似子项），</w:t>
      </w:r>
      <w:r>
        <w:rPr>
          <w:rFonts w:hint="eastAsia" w:ascii="宋体" w:hAnsi="宋体" w:cs="MingLiU"/>
          <w:snapToGrid w:val="0"/>
          <w:color w:val="auto"/>
          <w:kern w:val="0"/>
          <w:szCs w:val="21"/>
          <w:highlight w:val="none"/>
          <w:lang w:eastAsia="zh-CN"/>
        </w:rPr>
        <w:t>按</w:t>
      </w:r>
      <w:r>
        <w:rPr>
          <w:rFonts w:hint="eastAsia"/>
          <w:color w:val="auto"/>
          <w:highlight w:val="none"/>
          <w:lang w:eastAsia="zh-CN"/>
        </w:rPr>
        <w:t>《建设工程工程量清单计价规范》（GB50500-2013）、《重庆市建设工程工程量清单计价规则》（CQJJ</w:t>
      </w:r>
      <w:r>
        <w:rPr>
          <w:rFonts w:hint="eastAsia"/>
          <w:color w:val="auto"/>
          <w:highlight w:val="none"/>
          <w:lang w:val="en-US" w:eastAsia="zh-CN"/>
        </w:rPr>
        <w:t>G</w:t>
      </w:r>
      <w:r>
        <w:rPr>
          <w:rFonts w:hint="eastAsia"/>
          <w:color w:val="auto"/>
          <w:highlight w:val="none"/>
          <w:lang w:eastAsia="zh-CN"/>
        </w:rPr>
        <w:t>Z-2013）、《重庆市建设工程工程量计算规则》（CQJLGZ-2013）、《重庆市房屋建筑与装饰工程计价定额》（2018）、《重庆市通用安装工程计价定额》（2018）、《重庆市房屋修缮工程计价定额》（2018）、《重庆市建设工程费用定额》（2018）、</w:t>
      </w:r>
      <w:r>
        <w:rPr>
          <w:rFonts w:hint="eastAsia" w:ascii="宋体" w:hAnsi="宋体"/>
          <w:color w:val="auto"/>
          <w:kern w:val="0"/>
          <w:highlight w:val="none"/>
        </w:rPr>
        <w:t>《重庆市城乡建设委员会关于适用增值税新税税率调整建筑工程计价依据的通知》（渝建〔201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ascii="宋体" w:hAnsi="宋体"/>
          <w:color w:val="auto"/>
          <w:kern w:val="0"/>
          <w:highlight w:val="none"/>
        </w:rPr>
        <w:t>号）</w:t>
      </w:r>
      <w:r>
        <w:rPr>
          <w:rFonts w:hint="eastAsia" w:ascii="宋体" w:hAnsi="宋体" w:eastAsia="宋体" w:cs="宋体"/>
          <w:color w:val="auto"/>
          <w:sz w:val="21"/>
          <w:szCs w:val="21"/>
          <w:highlight w:val="none"/>
          <w:lang w:eastAsia="zh-CN"/>
        </w:rPr>
        <w:t>及相关配套文件计算后，再按承包人报价浮动率【承包人报价浮动率=（1-中标价/投标总报价最高限价）×100%】进行下浮后结算【其中：</w:t>
      </w:r>
      <w:r>
        <w:rPr>
          <w:rFonts w:hint="eastAsia" w:ascii="宋体" w:hAnsi="宋体"/>
          <w:color w:val="auto"/>
          <w:szCs w:val="21"/>
          <w:highlight w:val="none"/>
        </w:rPr>
        <w:t>人工单价</w:t>
      </w:r>
      <w:r>
        <w:rPr>
          <w:rFonts w:hint="eastAsia" w:ascii="宋体" w:hAnsi="宋体" w:eastAsia="宋体" w:cs="宋体"/>
          <w:color w:val="auto"/>
          <w:sz w:val="21"/>
          <w:szCs w:val="21"/>
          <w:highlight w:val="none"/>
          <w:lang w:eastAsia="zh-CN"/>
        </w:rPr>
        <w:t>按</w:t>
      </w:r>
      <w:r>
        <w:rPr>
          <w:rFonts w:hint="eastAsia" w:ascii="宋体" w:hAnsi="宋体" w:cs="宋体"/>
          <w:color w:val="auto"/>
          <w:sz w:val="21"/>
          <w:szCs w:val="21"/>
          <w:highlight w:val="none"/>
          <w:lang w:val="en-US" w:eastAsia="zh-CN"/>
        </w:rPr>
        <w:t>2025年第4期</w:t>
      </w:r>
      <w:r>
        <w:rPr>
          <w:rFonts w:hint="eastAsia" w:ascii="宋体" w:hAnsi="宋体" w:eastAsia="宋体" w:cs="宋体"/>
          <w:color w:val="auto"/>
          <w:sz w:val="21"/>
          <w:szCs w:val="21"/>
          <w:highlight w:val="none"/>
          <w:lang w:eastAsia="zh-CN"/>
        </w:rPr>
        <w:t>《重庆工程造价信息》发布的</w:t>
      </w:r>
      <w:r>
        <w:rPr>
          <w:rFonts w:hint="eastAsia" w:ascii="宋体" w:hAnsi="宋体" w:cs="宋体"/>
          <w:color w:val="auto"/>
          <w:sz w:val="21"/>
          <w:szCs w:val="21"/>
          <w:highlight w:val="none"/>
          <w:lang w:eastAsia="zh-CN"/>
        </w:rPr>
        <w:t>铜梁区</w:t>
      </w:r>
      <w:r>
        <w:rPr>
          <w:rFonts w:hint="eastAsia" w:ascii="宋体" w:hAnsi="宋体" w:eastAsia="宋体" w:cs="宋体"/>
          <w:color w:val="auto"/>
          <w:sz w:val="21"/>
          <w:szCs w:val="21"/>
          <w:highlight w:val="none"/>
          <w:lang w:eastAsia="zh-CN"/>
        </w:rPr>
        <w:t>人工单价执行；材料单价</w:t>
      </w:r>
      <w:r>
        <w:rPr>
          <w:rFonts w:hint="eastAsia" w:ascii="宋体" w:hAnsi="宋体" w:cs="宋体"/>
          <w:color w:val="auto"/>
          <w:sz w:val="21"/>
          <w:szCs w:val="21"/>
          <w:highlight w:val="none"/>
          <w:lang w:eastAsia="zh-CN"/>
        </w:rPr>
        <w:t>按</w:t>
      </w:r>
      <w:r>
        <w:rPr>
          <w:rFonts w:hint="eastAsia" w:ascii="宋体" w:hAnsi="宋体" w:cs="宋体"/>
          <w:color w:val="auto"/>
          <w:sz w:val="21"/>
          <w:szCs w:val="21"/>
          <w:highlight w:val="none"/>
          <w:lang w:val="en-US" w:eastAsia="zh-CN"/>
        </w:rPr>
        <w:t>2025年第5期</w:t>
      </w:r>
      <w:r>
        <w:rPr>
          <w:rFonts w:hint="eastAsia" w:ascii="宋体" w:hAnsi="宋体" w:eastAsia="宋体" w:cs="宋体"/>
          <w:color w:val="auto"/>
          <w:sz w:val="21"/>
          <w:szCs w:val="21"/>
          <w:highlight w:val="none"/>
          <w:lang w:eastAsia="zh-CN"/>
        </w:rPr>
        <w:t>《重庆工程造价信息》公布的铜梁地区材料价格并结合当地近期市场价格进行调整，材料价格为不含税价格】。</w:t>
      </w:r>
    </w:p>
    <w:p w14:paraId="482A4B43">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b/>
          <w:color w:val="auto"/>
          <w:highlight w:val="none"/>
        </w:rPr>
      </w:pPr>
      <w:r>
        <w:rPr>
          <w:rFonts w:hint="eastAsia"/>
          <w:b/>
          <w:color w:val="auto"/>
          <w:highlight w:val="none"/>
        </w:rPr>
        <w:t>15.5  承包人的合理化建议</w:t>
      </w:r>
    </w:p>
    <w:p w14:paraId="71FE5C0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b/>
          <w:color w:val="auto"/>
          <w:highlight w:val="none"/>
          <w:u w:val="single"/>
        </w:rPr>
      </w:pPr>
      <w:r>
        <w:rPr>
          <w:rFonts w:hint="eastAsia"/>
          <w:color w:val="auto"/>
          <w:highlight w:val="none"/>
        </w:rPr>
        <w:t>对承包人提出合理化建议的奖励方法：</w:t>
      </w:r>
      <w:r>
        <w:rPr>
          <w:rFonts w:hint="eastAsia"/>
          <w:b/>
          <w:color w:val="auto"/>
          <w:highlight w:val="none"/>
          <w:u w:val="single"/>
        </w:rPr>
        <w:t>无。</w:t>
      </w:r>
    </w:p>
    <w:p w14:paraId="784CD299">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lang w:eastAsia="zh-CN"/>
        </w:rPr>
      </w:pPr>
      <w:r>
        <w:rPr>
          <w:rFonts w:hint="eastAsia" w:ascii="宋体" w:hAnsi="宋体"/>
          <w:color w:val="auto"/>
          <w:szCs w:val="21"/>
          <w:highlight w:val="none"/>
        </w:rPr>
        <w:t>15.6  暂列金额</w:t>
      </w:r>
      <w:r>
        <w:rPr>
          <w:rFonts w:hint="eastAsia" w:ascii="宋体" w:hAnsi="宋体"/>
          <w:color w:val="auto"/>
          <w:szCs w:val="21"/>
          <w:highlight w:val="none"/>
          <w:lang w:eastAsia="zh-CN"/>
        </w:rPr>
        <w:t>：</w:t>
      </w:r>
      <w:r>
        <w:rPr>
          <w:rFonts w:hint="eastAsia" w:ascii="宋体" w:hAnsi="宋体"/>
          <w:b/>
          <w:bCs/>
          <w:color w:val="auto"/>
          <w:szCs w:val="21"/>
          <w:highlight w:val="none"/>
          <w:u w:val="single"/>
        </w:rPr>
        <w:t>无</w:t>
      </w:r>
      <w:r>
        <w:rPr>
          <w:rFonts w:hint="eastAsia" w:ascii="宋体" w:hAnsi="宋体"/>
          <w:color w:val="auto"/>
          <w:szCs w:val="21"/>
          <w:highlight w:val="none"/>
        </w:rPr>
        <w:t>。</w:t>
      </w:r>
    </w:p>
    <w:p w14:paraId="572A0DC0">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color w:val="auto"/>
          <w:szCs w:val="21"/>
          <w:highlight w:val="none"/>
        </w:rPr>
        <w:t>15.8  暂估价：</w:t>
      </w:r>
      <w:r>
        <w:rPr>
          <w:rFonts w:hint="eastAsia" w:ascii="宋体" w:hAnsi="宋体"/>
          <w:b/>
          <w:bCs/>
          <w:color w:val="auto"/>
          <w:szCs w:val="21"/>
          <w:highlight w:val="none"/>
          <w:u w:val="single"/>
        </w:rPr>
        <w:t>无</w:t>
      </w:r>
      <w:r>
        <w:rPr>
          <w:rFonts w:hint="eastAsia" w:ascii="宋体" w:hAnsi="宋体"/>
          <w:color w:val="auto"/>
          <w:szCs w:val="21"/>
          <w:highlight w:val="none"/>
        </w:rPr>
        <w:t>。</w:t>
      </w:r>
    </w:p>
    <w:p w14:paraId="68DBF95C">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16. 价格调整</w:t>
      </w:r>
    </w:p>
    <w:p w14:paraId="200A811C">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rPr>
      </w:pPr>
      <w:r>
        <w:rPr>
          <w:rFonts w:hint="eastAsia"/>
          <w:b/>
          <w:color w:val="auto"/>
          <w:highlight w:val="none"/>
        </w:rPr>
        <w:t>16.1  物价波动引起的价格调整</w:t>
      </w:r>
    </w:p>
    <w:p w14:paraId="2955F012">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物价波动引起的价格调整方法：</w:t>
      </w:r>
      <w:r>
        <w:rPr>
          <w:rFonts w:hint="eastAsia" w:ascii="宋体" w:hAnsi="宋体"/>
          <w:b/>
          <w:bCs/>
          <w:color w:val="auto"/>
          <w:szCs w:val="21"/>
          <w:highlight w:val="none"/>
          <w:u w:val="single"/>
        </w:rPr>
        <w:t xml:space="preserve">   不调整    。</w:t>
      </w:r>
    </w:p>
    <w:p w14:paraId="389549C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color w:val="auto"/>
          <w:szCs w:val="21"/>
          <w:highlight w:val="none"/>
        </w:rPr>
      </w:pPr>
      <w:r>
        <w:rPr>
          <w:rFonts w:hint="eastAsia" w:ascii="宋体" w:hAnsi="宋体"/>
          <w:b/>
          <w:bCs/>
          <w:color w:val="auto"/>
          <w:szCs w:val="21"/>
          <w:highlight w:val="none"/>
        </w:rPr>
        <w:t>17.2 预付款</w:t>
      </w:r>
    </w:p>
    <w:p w14:paraId="36CB5A5E">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color w:val="auto"/>
          <w:highlight w:val="none"/>
        </w:rPr>
      </w:pPr>
      <w:r>
        <w:rPr>
          <w:rFonts w:hint="eastAsia"/>
          <w:color w:val="auto"/>
          <w:highlight w:val="none"/>
        </w:rPr>
        <w:t>17.2.1 预付款</w:t>
      </w:r>
    </w:p>
    <w:p w14:paraId="35B78BBE">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u w:val="single"/>
        </w:rPr>
      </w:pPr>
      <w:r>
        <w:rPr>
          <w:rFonts w:hint="eastAsia"/>
          <w:color w:val="auto"/>
          <w:highlight w:val="none"/>
        </w:rPr>
        <w:t xml:space="preserve">    预付款额度和预付方法：</w:t>
      </w:r>
      <w:r>
        <w:rPr>
          <w:rFonts w:hint="eastAsia" w:ascii="宋体" w:hAnsi="宋体"/>
          <w:b/>
          <w:bCs/>
          <w:color w:val="auto"/>
          <w:szCs w:val="21"/>
          <w:highlight w:val="none"/>
          <w:u w:val="single"/>
        </w:rPr>
        <w:t xml:space="preserve"> 无 。</w:t>
      </w:r>
    </w:p>
    <w:p w14:paraId="67475BB4">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color w:val="auto"/>
          <w:highlight w:val="none"/>
        </w:rPr>
      </w:pPr>
      <w:r>
        <w:rPr>
          <w:rFonts w:hint="eastAsia"/>
          <w:color w:val="auto"/>
          <w:highlight w:val="none"/>
        </w:rPr>
        <w:t>17.2.2 预付款保函</w:t>
      </w:r>
    </w:p>
    <w:p w14:paraId="3F1447C4">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rPr>
      </w:pPr>
      <w:r>
        <w:rPr>
          <w:rFonts w:hint="eastAsia"/>
          <w:color w:val="auto"/>
          <w:highlight w:val="none"/>
        </w:rPr>
        <w:t xml:space="preserve">    预付款保函的提交时间：</w:t>
      </w:r>
      <w:r>
        <w:rPr>
          <w:rFonts w:hint="eastAsia" w:ascii="宋体" w:hAnsi="宋体"/>
          <w:b/>
          <w:bCs/>
          <w:color w:val="auto"/>
          <w:szCs w:val="21"/>
          <w:highlight w:val="none"/>
          <w:u w:val="single"/>
        </w:rPr>
        <w:t xml:space="preserve"> 无   。</w:t>
      </w:r>
    </w:p>
    <w:p w14:paraId="23004171">
      <w:pPr>
        <w:pageBreakBefore w:val="0"/>
        <w:widowControl w:val="0"/>
        <w:kinsoku/>
        <w:wordWrap/>
        <w:overflowPunct/>
        <w:topLinePunct w:val="0"/>
        <w:autoSpaceDE/>
        <w:autoSpaceDN/>
        <w:bidi w:val="0"/>
        <w:spacing w:line="400" w:lineRule="exact"/>
        <w:ind w:right="0" w:rightChars="0"/>
        <w:textAlignment w:val="auto"/>
        <w:rPr>
          <w:rFonts w:hint="eastAsia"/>
          <w:b/>
          <w:color w:val="auto"/>
          <w:highlight w:val="none"/>
        </w:rPr>
      </w:pPr>
      <w:r>
        <w:rPr>
          <w:rFonts w:hint="eastAsia"/>
          <w:color w:val="auto"/>
          <w:highlight w:val="none"/>
        </w:rPr>
        <w:t>17.2.3 预付款的扣回与还清</w:t>
      </w:r>
    </w:p>
    <w:p w14:paraId="3F59CEAD">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rPr>
      </w:pPr>
      <w:r>
        <w:rPr>
          <w:rFonts w:hint="eastAsia"/>
          <w:color w:val="auto"/>
          <w:highlight w:val="none"/>
        </w:rPr>
        <w:t>预付款的扣回办法：</w:t>
      </w:r>
      <w:r>
        <w:rPr>
          <w:rFonts w:hint="eastAsia" w:ascii="宋体" w:hAnsi="宋体"/>
          <w:b/>
          <w:bCs/>
          <w:color w:val="auto"/>
          <w:szCs w:val="21"/>
          <w:highlight w:val="none"/>
          <w:u w:val="single"/>
        </w:rPr>
        <w:t xml:space="preserve"> 无  。</w:t>
      </w:r>
    </w:p>
    <w:p w14:paraId="1E40ADF2">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17.3  工程付款</w:t>
      </w:r>
    </w:p>
    <w:p w14:paraId="0C21065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jc w:val="both"/>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napToGrid w:val="0"/>
          <w:color w:val="auto"/>
          <w:kern w:val="0"/>
          <w:szCs w:val="21"/>
          <w:highlight w:val="none"/>
        </w:rPr>
        <w:t>17.3.3工程付款及最终结清付款：</w:t>
      </w:r>
    </w:p>
    <w:p w14:paraId="4A81F80E">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jc w:val="both"/>
        <w:textAlignment w:val="auto"/>
        <w:outlineLvl w:val="9"/>
        <w:rPr>
          <w:rFonts w:hint="eastAsia" w:ascii="宋体" w:hAnsi="宋体"/>
          <w:color w:val="auto"/>
          <w:szCs w:val="21"/>
          <w:highlight w:val="none"/>
          <w:lang w:eastAsia="zh-CN"/>
        </w:rPr>
      </w:pPr>
      <w:r>
        <w:rPr>
          <w:rFonts w:hint="eastAsia" w:ascii="宋体" w:hAnsi="宋体"/>
          <w:color w:val="auto"/>
          <w:szCs w:val="21"/>
          <w:highlight w:val="none"/>
          <w:lang w:eastAsia="zh-CN"/>
        </w:rPr>
        <w:t>本项目无预付款，工程竣工验收合格且待财政拨款后支付至合同金额的60%，完成竣工结算审核并出具结算审核报告后一年内支付至审定金额的97%，余审定金额3%的工程款作为工程质保金，在工程缺陷责任期结束后一次性支付（缺陷责任期1年，质保金不计息）。</w:t>
      </w:r>
    </w:p>
    <w:p w14:paraId="57E31B1B">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kern w:val="0"/>
          <w:szCs w:val="21"/>
          <w:highlight w:val="none"/>
        </w:rPr>
        <w:t>注：所有工程款均支付至</w:t>
      </w:r>
      <w:r>
        <w:rPr>
          <w:rFonts w:hint="eastAsia" w:asciiTheme="minorEastAsia" w:hAnsiTheme="minorEastAsia" w:eastAsiaTheme="minorEastAsia" w:cstheme="minorEastAsia"/>
          <w:color w:val="auto"/>
          <w:kern w:val="0"/>
          <w:szCs w:val="21"/>
          <w:highlight w:val="none"/>
          <w:lang w:eastAsia="zh-CN"/>
        </w:rPr>
        <w:t>承包</w:t>
      </w:r>
      <w:r>
        <w:rPr>
          <w:rFonts w:hint="eastAsia" w:asciiTheme="minorEastAsia" w:hAnsiTheme="minorEastAsia" w:eastAsiaTheme="minorEastAsia" w:cstheme="minorEastAsia"/>
          <w:color w:val="auto"/>
          <w:kern w:val="0"/>
          <w:szCs w:val="21"/>
          <w:highlight w:val="none"/>
        </w:rPr>
        <w:t>人基本账户。</w:t>
      </w:r>
    </w:p>
    <w:p w14:paraId="5203C1D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cs="宋体"/>
          <w:color w:val="auto"/>
          <w:highlight w:val="none"/>
        </w:rPr>
      </w:pPr>
      <w:r>
        <w:rPr>
          <w:rFonts w:hint="eastAsia" w:ascii="宋体" w:hAnsi="宋体" w:cs="宋体"/>
          <w:b/>
          <w:bCs/>
          <w:color w:val="auto"/>
          <w:highlight w:val="none"/>
        </w:rPr>
        <w:t>17.4  质量保证金</w:t>
      </w:r>
    </w:p>
    <w:p w14:paraId="289D96C8">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outlineLvl w:val="9"/>
        <w:rPr>
          <w:rFonts w:hint="eastAsia" w:ascii="宋体" w:hAnsi="宋体"/>
          <w:b/>
          <w:bCs/>
          <w:color w:val="auto"/>
          <w:szCs w:val="21"/>
          <w:highlight w:val="none"/>
        </w:rPr>
      </w:pPr>
      <w:r>
        <w:rPr>
          <w:rFonts w:hint="eastAsia"/>
          <w:color w:val="auto"/>
          <w:highlight w:val="none"/>
        </w:rPr>
        <w:t xml:space="preserve">    17.4.1 质量保证金的金额或比例：</w:t>
      </w:r>
      <w:r>
        <w:rPr>
          <w:rFonts w:hint="eastAsia"/>
          <w:b/>
          <w:color w:val="auto"/>
          <w:highlight w:val="none"/>
          <w:u w:val="single"/>
        </w:rPr>
        <w:t>工程结算审定金额的</w:t>
      </w:r>
      <w:r>
        <w:rPr>
          <w:rFonts w:hint="eastAsia"/>
          <w:b/>
          <w:color w:val="auto"/>
          <w:highlight w:val="none"/>
          <w:u w:val="single"/>
          <w:lang w:val="en-US" w:eastAsia="zh-CN"/>
        </w:rPr>
        <w:t>3</w:t>
      </w:r>
      <w:r>
        <w:rPr>
          <w:rFonts w:hint="eastAsia"/>
          <w:b/>
          <w:color w:val="auto"/>
          <w:highlight w:val="none"/>
          <w:u w:val="single"/>
        </w:rPr>
        <w:t xml:space="preserve"> %。</w:t>
      </w:r>
    </w:p>
    <w:p w14:paraId="506759DD">
      <w:pPr>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17.5  竣工结算</w:t>
      </w:r>
    </w:p>
    <w:p w14:paraId="3800B802">
      <w:pPr>
        <w:pageBreakBefore w:val="0"/>
        <w:widowControl w:val="0"/>
        <w:kinsoku/>
        <w:wordWrap/>
        <w:overflowPunct/>
        <w:topLinePunct w:val="0"/>
        <w:autoSpaceDE/>
        <w:autoSpaceDN/>
        <w:bidi w:val="0"/>
        <w:spacing w:line="400" w:lineRule="exact"/>
        <w:ind w:left="0" w:leftChars="0" w:right="0" w:rightChars="0"/>
        <w:textAlignment w:val="auto"/>
        <w:rPr>
          <w:b/>
          <w:color w:val="auto"/>
          <w:highlight w:val="none"/>
        </w:rPr>
      </w:pPr>
      <w:r>
        <w:rPr>
          <w:rFonts w:hint="eastAsia"/>
          <w:b/>
          <w:color w:val="auto"/>
          <w:highlight w:val="none"/>
        </w:rPr>
        <w:t>17.5.1  竣工付款申请单</w:t>
      </w:r>
    </w:p>
    <w:p w14:paraId="65FC0ABC">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color w:val="auto"/>
          <w:highlight w:val="none"/>
        </w:rPr>
      </w:pPr>
      <w:r>
        <w:rPr>
          <w:rFonts w:hint="eastAsia"/>
          <w:color w:val="auto"/>
          <w:highlight w:val="none"/>
        </w:rPr>
        <w:t>竣工付款申请单的份数和提交期限：</w:t>
      </w:r>
      <w:r>
        <w:rPr>
          <w:rFonts w:hint="eastAsia"/>
          <w:b/>
          <w:color w:val="auto"/>
          <w:highlight w:val="none"/>
          <w:u w:val="single"/>
        </w:rPr>
        <w:t>按发包人要求办理。</w:t>
      </w:r>
      <w:r>
        <w:rPr>
          <w:rFonts w:hint="eastAsia"/>
          <w:color w:val="auto"/>
          <w:highlight w:val="none"/>
        </w:rPr>
        <w:t xml:space="preserve">     </w:t>
      </w:r>
    </w:p>
    <w:p w14:paraId="0ABEC7DE">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color w:val="auto"/>
          <w:highlight w:val="none"/>
        </w:rPr>
      </w:pPr>
      <w:r>
        <w:rPr>
          <w:rFonts w:hint="eastAsia"/>
          <w:color w:val="auto"/>
          <w:highlight w:val="none"/>
        </w:rPr>
        <w:t>竣工付款申请单的内容：</w:t>
      </w:r>
      <w:r>
        <w:rPr>
          <w:rFonts w:hint="eastAsia"/>
          <w:b/>
          <w:color w:val="auto"/>
          <w:highlight w:val="none"/>
          <w:u w:val="single"/>
        </w:rPr>
        <w:t xml:space="preserve">按发包人要求办理。 </w:t>
      </w:r>
      <w:r>
        <w:rPr>
          <w:rFonts w:hint="eastAsia"/>
          <w:color w:val="auto"/>
          <w:highlight w:val="none"/>
        </w:rPr>
        <w:t xml:space="preserve">             </w:t>
      </w:r>
    </w:p>
    <w:p w14:paraId="5FF871A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b/>
          <w:color w:val="auto"/>
          <w:highlight w:val="none"/>
        </w:rPr>
      </w:pPr>
      <w:r>
        <w:rPr>
          <w:rFonts w:hint="eastAsia"/>
          <w:b/>
          <w:color w:val="auto"/>
          <w:highlight w:val="none"/>
        </w:rPr>
        <w:t>17.5.3 竣工结算原则：</w:t>
      </w:r>
    </w:p>
    <w:p w14:paraId="225B64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highlight w:val="none"/>
        </w:rPr>
      </w:pPr>
      <w:bookmarkStart w:id="611" w:name="_Toc418077924"/>
      <w:bookmarkStart w:id="612" w:name="_Toc18141"/>
      <w:bookmarkStart w:id="613" w:name="_Toc24412"/>
      <w:bookmarkStart w:id="614" w:name="_Toc327347214"/>
      <w:bookmarkStart w:id="615" w:name="_Toc266027476"/>
      <w:bookmarkStart w:id="616" w:name="_Toc224103452"/>
      <w:bookmarkStart w:id="617" w:name="_Toc359579095"/>
      <w:r>
        <w:rPr>
          <w:rFonts w:hint="eastAsia"/>
          <w:color w:val="auto"/>
          <w:highlight w:val="none"/>
        </w:rPr>
        <w:t>1.结算总价</w:t>
      </w:r>
      <w:r>
        <w:rPr>
          <w:color w:val="auto"/>
          <w:highlight w:val="none"/>
        </w:rPr>
        <w:t>=</w:t>
      </w:r>
      <w:r>
        <w:rPr>
          <w:rFonts w:hint="eastAsia"/>
          <w:color w:val="auto"/>
          <w:highlight w:val="none"/>
        </w:rPr>
        <w:t>中标价±经发包人确认的应计增减（变更）工程造价±合同约定</w:t>
      </w:r>
      <w:r>
        <w:rPr>
          <w:rFonts w:hint="eastAsia"/>
          <w:color w:val="auto"/>
          <w:highlight w:val="none"/>
          <w:lang w:eastAsia="zh-CN"/>
        </w:rPr>
        <w:t>的</w:t>
      </w:r>
      <w:r>
        <w:rPr>
          <w:rFonts w:hint="eastAsia"/>
          <w:color w:val="auto"/>
          <w:highlight w:val="none"/>
        </w:rPr>
        <w:t>其他费用，最终结算金额以</w:t>
      </w:r>
      <w:r>
        <w:rPr>
          <w:rFonts w:hint="eastAsia"/>
          <w:color w:val="auto"/>
          <w:highlight w:val="none"/>
          <w:lang w:eastAsia="zh-CN"/>
        </w:rPr>
        <w:t>比选人委托的审计机构</w:t>
      </w:r>
      <w:r>
        <w:rPr>
          <w:rFonts w:hint="eastAsia"/>
          <w:color w:val="auto"/>
          <w:highlight w:val="none"/>
        </w:rPr>
        <w:t>审定的金额为准。承包人要认真准确办理结算，审减率在10%（含）以上的项目，审计费用由承包人承担。</w:t>
      </w:r>
    </w:p>
    <w:p w14:paraId="0E9C49C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2</w:t>
      </w:r>
      <w:r>
        <w:rPr>
          <w:rFonts w:hint="eastAsia"/>
          <w:color w:val="auto"/>
          <w:highlight w:val="none"/>
        </w:rPr>
        <w:t xml:space="preserve">.增减（变更）工程结算： </w:t>
      </w:r>
    </w:p>
    <w:p w14:paraId="435A74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highlight w:val="none"/>
        </w:rPr>
      </w:pPr>
      <w:r>
        <w:rPr>
          <w:rFonts w:hint="eastAsia"/>
          <w:color w:val="auto"/>
          <w:highlight w:val="none"/>
        </w:rPr>
        <w:t>（1）工程内容与已标价工程量清单中有相同的子项或类似子项，则按投标时的相同子项或类似子项的综合单价执行（类似子项及</w:t>
      </w:r>
      <w:r>
        <w:rPr>
          <w:rFonts w:hint="eastAsia"/>
          <w:color w:val="auto"/>
          <w:highlight w:val="none"/>
          <w:lang w:eastAsia="zh-CN"/>
        </w:rPr>
        <w:t>其</w:t>
      </w:r>
      <w:r>
        <w:rPr>
          <w:rFonts w:hint="eastAsia"/>
          <w:color w:val="auto"/>
          <w:highlight w:val="none"/>
        </w:rPr>
        <w:t>综合单价由比选人审定）；</w:t>
      </w:r>
    </w:p>
    <w:p w14:paraId="4AFB6DDB">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cs="MingLiU"/>
          <w:snapToGrid w:val="0"/>
          <w:color w:val="auto"/>
          <w:kern w:val="0"/>
          <w:szCs w:val="21"/>
          <w:highlight w:val="none"/>
        </w:rPr>
        <w:t>工程内容如有与已标价工程量清单不同的子项（既无相同子项，又无类似子项），</w:t>
      </w:r>
      <w:r>
        <w:rPr>
          <w:rFonts w:hint="eastAsia" w:ascii="宋体" w:hAnsi="宋体" w:cs="MingLiU"/>
          <w:snapToGrid w:val="0"/>
          <w:color w:val="auto"/>
          <w:kern w:val="0"/>
          <w:szCs w:val="21"/>
          <w:highlight w:val="none"/>
          <w:lang w:eastAsia="zh-CN"/>
        </w:rPr>
        <w:t>按</w:t>
      </w:r>
      <w:r>
        <w:rPr>
          <w:rFonts w:hint="eastAsia"/>
          <w:color w:val="auto"/>
          <w:highlight w:val="none"/>
          <w:lang w:eastAsia="zh-CN"/>
        </w:rPr>
        <w:t>《建设工程工程量清单计价规范》（GB50500-2013）、《重庆市建设工程工程量清单计价规则》（CQJJ</w:t>
      </w:r>
      <w:r>
        <w:rPr>
          <w:rFonts w:hint="eastAsia"/>
          <w:color w:val="auto"/>
          <w:highlight w:val="none"/>
          <w:lang w:val="en-US" w:eastAsia="zh-CN"/>
        </w:rPr>
        <w:t>G</w:t>
      </w:r>
      <w:r>
        <w:rPr>
          <w:rFonts w:hint="eastAsia"/>
          <w:color w:val="auto"/>
          <w:highlight w:val="none"/>
          <w:lang w:eastAsia="zh-CN"/>
        </w:rPr>
        <w:t>Z-2013）、《重庆市建设工程工程量计算规则》（CQJLGZ-2013）、《重庆市房屋建筑与装饰工程计价定额》（2018）、《重庆市通用安装工程计价定额》（2018）、《重庆市房屋修缮工程计价定额》（2018）、《重庆市建设工程费用定额》（2018）、</w:t>
      </w:r>
      <w:r>
        <w:rPr>
          <w:rFonts w:hint="eastAsia" w:ascii="宋体" w:hAnsi="宋体"/>
          <w:color w:val="auto"/>
          <w:kern w:val="0"/>
          <w:highlight w:val="none"/>
        </w:rPr>
        <w:t>《重庆市城乡建设委员会关于适用增值税新税税率调整建筑工程计价依据的通知》（渝建〔201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ascii="宋体" w:hAnsi="宋体"/>
          <w:color w:val="auto"/>
          <w:kern w:val="0"/>
          <w:highlight w:val="none"/>
        </w:rPr>
        <w:t>号）</w:t>
      </w:r>
      <w:r>
        <w:rPr>
          <w:rFonts w:hint="eastAsia" w:ascii="宋体" w:hAnsi="宋体" w:eastAsia="宋体" w:cs="宋体"/>
          <w:color w:val="auto"/>
          <w:sz w:val="21"/>
          <w:szCs w:val="21"/>
          <w:highlight w:val="none"/>
          <w:lang w:eastAsia="zh-CN"/>
        </w:rPr>
        <w:t>及相关配套文件计算后，再按承包人报价浮动率【承包人报价浮动率=（1-中标价/投标总报价最高限价）×100%】进行下浮后结算【其中：</w:t>
      </w:r>
      <w:r>
        <w:rPr>
          <w:rFonts w:hint="eastAsia" w:ascii="宋体" w:hAnsi="宋体"/>
          <w:color w:val="auto"/>
          <w:szCs w:val="21"/>
          <w:highlight w:val="none"/>
        </w:rPr>
        <w:t>人工单价</w:t>
      </w:r>
      <w:r>
        <w:rPr>
          <w:rFonts w:hint="eastAsia" w:ascii="宋体" w:hAnsi="宋体" w:eastAsia="宋体" w:cs="宋体"/>
          <w:color w:val="auto"/>
          <w:sz w:val="21"/>
          <w:szCs w:val="21"/>
          <w:highlight w:val="none"/>
          <w:lang w:eastAsia="zh-CN"/>
        </w:rPr>
        <w:t>按</w:t>
      </w:r>
      <w:r>
        <w:rPr>
          <w:rFonts w:hint="eastAsia" w:ascii="宋体" w:hAnsi="宋体" w:cs="宋体"/>
          <w:color w:val="auto"/>
          <w:sz w:val="21"/>
          <w:szCs w:val="21"/>
          <w:highlight w:val="none"/>
          <w:lang w:val="en-US" w:eastAsia="zh-CN"/>
        </w:rPr>
        <w:t>2025年第4期</w:t>
      </w:r>
      <w:r>
        <w:rPr>
          <w:rFonts w:hint="eastAsia" w:ascii="宋体" w:hAnsi="宋体" w:eastAsia="宋体" w:cs="宋体"/>
          <w:color w:val="auto"/>
          <w:sz w:val="21"/>
          <w:szCs w:val="21"/>
          <w:highlight w:val="none"/>
          <w:lang w:eastAsia="zh-CN"/>
        </w:rPr>
        <w:t>《重庆工程造价信息》发布的</w:t>
      </w:r>
      <w:r>
        <w:rPr>
          <w:rFonts w:hint="eastAsia" w:ascii="宋体" w:hAnsi="宋体" w:cs="宋体"/>
          <w:color w:val="auto"/>
          <w:sz w:val="21"/>
          <w:szCs w:val="21"/>
          <w:highlight w:val="none"/>
          <w:lang w:eastAsia="zh-CN"/>
        </w:rPr>
        <w:t>铜梁区</w:t>
      </w:r>
      <w:r>
        <w:rPr>
          <w:rFonts w:hint="eastAsia" w:ascii="宋体" w:hAnsi="宋体" w:eastAsia="宋体" w:cs="宋体"/>
          <w:color w:val="auto"/>
          <w:sz w:val="21"/>
          <w:szCs w:val="21"/>
          <w:highlight w:val="none"/>
          <w:lang w:eastAsia="zh-CN"/>
        </w:rPr>
        <w:t>人工单价执行；材料单价</w:t>
      </w:r>
      <w:r>
        <w:rPr>
          <w:rFonts w:hint="eastAsia" w:ascii="宋体" w:hAnsi="宋体" w:cs="宋体"/>
          <w:color w:val="auto"/>
          <w:sz w:val="21"/>
          <w:szCs w:val="21"/>
          <w:highlight w:val="none"/>
          <w:lang w:eastAsia="zh-CN"/>
        </w:rPr>
        <w:t>按</w:t>
      </w:r>
      <w:r>
        <w:rPr>
          <w:rFonts w:hint="eastAsia" w:ascii="宋体" w:hAnsi="宋体" w:cs="宋体"/>
          <w:color w:val="auto"/>
          <w:sz w:val="21"/>
          <w:szCs w:val="21"/>
          <w:highlight w:val="none"/>
          <w:lang w:val="en-US" w:eastAsia="zh-CN"/>
        </w:rPr>
        <w:t>2025年第5期</w:t>
      </w:r>
      <w:r>
        <w:rPr>
          <w:rFonts w:hint="eastAsia" w:ascii="宋体" w:hAnsi="宋体" w:eastAsia="宋体" w:cs="宋体"/>
          <w:color w:val="auto"/>
          <w:sz w:val="21"/>
          <w:szCs w:val="21"/>
          <w:highlight w:val="none"/>
          <w:lang w:eastAsia="zh-CN"/>
        </w:rPr>
        <w:t>《重庆工程造价信息》公布的铜梁地区材料价格并结合当地近期市场价格进行调整，材料价格为不含税价格】。</w:t>
      </w:r>
    </w:p>
    <w:p w14:paraId="1151616C">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安全文明施工费：</w:t>
      </w:r>
      <w:r>
        <w:rPr>
          <w:rFonts w:hint="eastAsia"/>
          <w:color w:val="auto"/>
          <w:highlight w:val="none"/>
          <w:lang w:eastAsia="zh-CN"/>
        </w:rPr>
        <w:t>按《重庆市住房和城乡建设委员会关于修订发布&lt;重庆市建设工程安全文明施工费计取及使用管理规定&gt;的通知》（渝建管〔2024〕38号）及《重庆市城乡建设委员会关于适用增值税新税率调整建设工程计价依据的通知》（渝建</w:t>
      </w:r>
      <w:r>
        <w:rPr>
          <w:rFonts w:hint="eastAsia" w:ascii="宋体" w:hAnsi="宋体"/>
          <w:color w:val="auto"/>
          <w:kern w:val="0"/>
          <w:highlight w:val="none"/>
        </w:rPr>
        <w:t>〔201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color w:val="auto"/>
          <w:highlight w:val="none"/>
          <w:lang w:eastAsia="zh-CN"/>
        </w:rPr>
        <w:t>号）</w:t>
      </w:r>
      <w:r>
        <w:rPr>
          <w:rFonts w:hint="eastAsia" w:ascii="宋体" w:hAnsi="宋体" w:cs="宋体"/>
          <w:color w:val="auto"/>
          <w:kern w:val="0"/>
          <w:szCs w:val="21"/>
          <w:highlight w:val="none"/>
        </w:rPr>
        <w:t>，安全文明施工综合评定结果为不合格，则不计取。</w:t>
      </w:r>
    </w:p>
    <w:p w14:paraId="1F1232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MingLiU"/>
          <w:snapToGrid w:val="0"/>
          <w:color w:val="auto"/>
          <w:kern w:val="0"/>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施工技术措施项目清单计价表中以项为单位计列的项目，按投标时的报价作为结算价，包干使用。</w:t>
      </w:r>
    </w:p>
    <w:p w14:paraId="491BE874">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  竣工验收</w:t>
      </w:r>
      <w:bookmarkEnd w:id="611"/>
      <w:bookmarkEnd w:id="612"/>
      <w:bookmarkEnd w:id="613"/>
      <w:bookmarkEnd w:id="614"/>
      <w:bookmarkEnd w:id="615"/>
      <w:bookmarkEnd w:id="616"/>
      <w:bookmarkEnd w:id="617"/>
    </w:p>
    <w:p w14:paraId="53AC0AF4">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18.2  竣工验收申请报告</w:t>
      </w:r>
    </w:p>
    <w:p w14:paraId="609CF1F8">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竣工资料内容：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按重庆市铜梁区城建档案室和发包人的要求，提供竣工资料。</w:t>
      </w:r>
    </w:p>
    <w:p w14:paraId="6C9EA1A2">
      <w:pPr>
        <w:pageBreakBefore w:val="0"/>
        <w:widowControl w:val="0"/>
        <w:kinsoku/>
        <w:wordWrap/>
        <w:overflowPunct/>
        <w:topLinePunct w:val="0"/>
        <w:autoSpaceDE/>
        <w:autoSpaceDN/>
        <w:bidi w:val="0"/>
        <w:adjustRightInd w:val="0"/>
        <w:snapToGrid w:val="0"/>
        <w:spacing w:line="400" w:lineRule="exact"/>
        <w:ind w:left="0" w:leftChars="0" w:right="0" w:rightChars="0" w:firstLine="435"/>
        <w:textAlignment w:val="auto"/>
        <w:rPr>
          <w:rFonts w:hint="eastAsia" w:ascii="宋体" w:hAnsi="宋体"/>
          <w:b/>
          <w:color w:val="auto"/>
          <w:szCs w:val="21"/>
          <w:highlight w:val="none"/>
        </w:rPr>
      </w:pPr>
      <w:r>
        <w:rPr>
          <w:rFonts w:hint="eastAsia" w:ascii="宋体" w:hAnsi="宋体"/>
          <w:color w:val="auto"/>
          <w:szCs w:val="21"/>
          <w:highlight w:val="none"/>
        </w:rPr>
        <w:t>竣工资料份数：</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工程具备竣工验收条件时，承包人应向发包人提供完整的竣工档案资料、竣工验收报告和竣工图及发包人要求的相关竣工资料</w:t>
      </w:r>
      <w:r>
        <w:rPr>
          <w:rFonts w:hint="eastAsia" w:ascii="宋体" w:hAnsi="宋体"/>
          <w:b/>
          <w:color w:val="auto"/>
          <w:szCs w:val="21"/>
          <w:highlight w:val="none"/>
          <w:u w:val="single"/>
          <w:lang w:val="en-US" w:eastAsia="zh-CN"/>
        </w:rPr>
        <w:t>3</w:t>
      </w:r>
      <w:r>
        <w:rPr>
          <w:rFonts w:hint="eastAsia" w:ascii="宋体" w:hAnsi="宋体"/>
          <w:b/>
          <w:color w:val="auto"/>
          <w:szCs w:val="21"/>
          <w:highlight w:val="none"/>
          <w:u w:val="single"/>
        </w:rPr>
        <w:t>套（含相应的光盘），承包人所提供的上述资料须经重庆市铜梁区城建档案室档案专项验收合格并出具相应的</w:t>
      </w:r>
      <w:r>
        <w:rPr>
          <w:rFonts w:ascii="宋体" w:hAnsi="宋体"/>
          <w:b/>
          <w:color w:val="auto"/>
          <w:szCs w:val="21"/>
          <w:highlight w:val="none"/>
          <w:u w:val="single"/>
        </w:rPr>
        <w:t>档案验收意见书</w:t>
      </w:r>
      <w:r>
        <w:rPr>
          <w:rFonts w:hint="eastAsia" w:ascii="宋体" w:hAnsi="宋体"/>
          <w:b/>
          <w:color w:val="auto"/>
          <w:szCs w:val="21"/>
          <w:highlight w:val="none"/>
          <w:u w:val="single"/>
        </w:rPr>
        <w:t>。</w:t>
      </w:r>
    </w:p>
    <w:p w14:paraId="54C47EF7">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18.3  验收</w:t>
      </w:r>
    </w:p>
    <w:p w14:paraId="3C22B66E">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u w:val="single"/>
        </w:rPr>
      </w:pPr>
      <w:r>
        <w:rPr>
          <w:rFonts w:hint="eastAsia"/>
          <w:color w:val="auto"/>
          <w:highlight w:val="none"/>
        </w:rPr>
        <w:t>18.3.5 实际竣工日期：</w:t>
      </w:r>
      <w:r>
        <w:rPr>
          <w:rFonts w:hint="eastAsia"/>
          <w:b/>
          <w:color w:val="auto"/>
          <w:highlight w:val="none"/>
        </w:rPr>
        <w:t xml:space="preserve"> </w:t>
      </w:r>
      <w:r>
        <w:rPr>
          <w:rFonts w:hint="eastAsia"/>
          <w:b/>
          <w:color w:val="auto"/>
          <w:highlight w:val="none"/>
          <w:u w:val="single"/>
        </w:rPr>
        <w:t>以竣工验收合格之日为准。</w:t>
      </w:r>
    </w:p>
    <w:p w14:paraId="061DBAFA">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b/>
          <w:color w:val="auto"/>
          <w:highlight w:val="none"/>
        </w:rPr>
        <w:t>18.5 施工期运行</w:t>
      </w:r>
    </w:p>
    <w:p w14:paraId="6D0162FC">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color w:val="auto"/>
          <w:highlight w:val="none"/>
        </w:rPr>
      </w:pPr>
      <w:r>
        <w:rPr>
          <w:rFonts w:hint="eastAsia"/>
          <w:color w:val="auto"/>
          <w:highlight w:val="none"/>
        </w:rPr>
        <w:t>18.5.1需要施工期运行单位工程或工程设备：</w:t>
      </w:r>
      <w:r>
        <w:rPr>
          <w:rFonts w:hint="eastAsia"/>
          <w:b/>
          <w:color w:val="auto"/>
          <w:highlight w:val="none"/>
          <w:u w:val="single"/>
        </w:rPr>
        <w:t xml:space="preserve"> 按监理人要求办理。</w:t>
      </w:r>
    </w:p>
    <w:p w14:paraId="412E805E">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18.6 试运行</w:t>
      </w:r>
    </w:p>
    <w:p w14:paraId="0387364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18.6.1 试运行的组织及费用承担：</w:t>
      </w:r>
      <w:r>
        <w:rPr>
          <w:rFonts w:hint="eastAsia"/>
          <w:b/>
          <w:color w:val="auto"/>
          <w:highlight w:val="none"/>
          <w:u w:val="single"/>
        </w:rPr>
        <w:t xml:space="preserve"> 承包人负责。</w:t>
      </w:r>
    </w:p>
    <w:p w14:paraId="17C890F0">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18.7 竣工清场</w:t>
      </w:r>
    </w:p>
    <w:p w14:paraId="3159B6C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18.7.1 竣工清场：</w:t>
      </w:r>
      <w:r>
        <w:rPr>
          <w:rFonts w:hint="eastAsia"/>
          <w:b/>
          <w:color w:val="auto"/>
          <w:highlight w:val="none"/>
          <w:u w:val="single"/>
        </w:rPr>
        <w:t>由承包人按发包人要求执行。</w:t>
      </w:r>
    </w:p>
    <w:p w14:paraId="2F67C085">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18.8 施工队伍的撤离</w:t>
      </w:r>
    </w:p>
    <w:p w14:paraId="40ECDD3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施工人员、施工设备及临时工程撤离的要求：</w:t>
      </w:r>
      <w:r>
        <w:rPr>
          <w:rFonts w:hint="eastAsia"/>
          <w:b/>
          <w:color w:val="auto"/>
          <w:highlight w:val="none"/>
          <w:u w:val="single"/>
        </w:rPr>
        <w:t>由承包人按发包人要求执行</w:t>
      </w:r>
      <w:r>
        <w:rPr>
          <w:rFonts w:hint="eastAsia"/>
          <w:color w:val="auto"/>
          <w:highlight w:val="none"/>
        </w:rPr>
        <w:t>。</w:t>
      </w:r>
    </w:p>
    <w:p w14:paraId="291C7051">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19.  缺陷责任与保修责任</w:t>
      </w:r>
    </w:p>
    <w:p w14:paraId="3C3F2066">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19.7  保修责任</w:t>
      </w:r>
    </w:p>
    <w:p w14:paraId="528A86CC">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color w:val="auto"/>
          <w:highlight w:val="none"/>
        </w:rPr>
        <w:t xml:space="preserve">   工程质量保修范围、期限和责任：</w:t>
      </w:r>
      <w:r>
        <w:rPr>
          <w:rFonts w:hint="eastAsia"/>
          <w:b/>
          <w:color w:val="auto"/>
          <w:highlight w:val="none"/>
          <w:u w:val="single"/>
        </w:rPr>
        <w:t xml:space="preserve"> 按附后的《工程质量保修书》执行。</w:t>
      </w:r>
    </w:p>
    <w:p w14:paraId="0FC9373B">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  保险</w:t>
      </w:r>
    </w:p>
    <w:p w14:paraId="77819BD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20.1工程保险</w:t>
      </w:r>
    </w:p>
    <w:p w14:paraId="413513A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投保人： </w:t>
      </w:r>
      <w:r>
        <w:rPr>
          <w:rFonts w:hint="eastAsia"/>
          <w:b/>
          <w:color w:val="auto"/>
          <w:highlight w:val="none"/>
          <w:u w:val="single"/>
        </w:rPr>
        <w:t>承包人以发包人和承包人的共同名义向双方同意的保险人足额投保，费用由承包人负责。</w:t>
      </w:r>
    </w:p>
    <w:p w14:paraId="3643C7C4">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投保内容： </w:t>
      </w:r>
      <w:r>
        <w:rPr>
          <w:rFonts w:hint="eastAsia"/>
          <w:b/>
          <w:color w:val="auto"/>
          <w:highlight w:val="none"/>
          <w:u w:val="single"/>
        </w:rPr>
        <w:t>按国家相关规定执行。</w:t>
      </w:r>
    </w:p>
    <w:p w14:paraId="63034E5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保险金额、保险费率和保险期限： </w:t>
      </w:r>
      <w:r>
        <w:rPr>
          <w:rFonts w:hint="eastAsia"/>
          <w:b/>
          <w:color w:val="auto"/>
          <w:highlight w:val="none"/>
          <w:u w:val="single"/>
        </w:rPr>
        <w:t>保险期限为从工程开工之日至竣工验收合格之日终止证书颁发前，其他详见保险凭证。</w:t>
      </w:r>
    </w:p>
    <w:p w14:paraId="557B1DA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20.4 第三责任险</w:t>
      </w:r>
    </w:p>
    <w:p w14:paraId="06E8FC6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第三者责任险的保险费率：</w:t>
      </w:r>
      <w:r>
        <w:rPr>
          <w:rFonts w:hint="eastAsia"/>
          <w:b/>
          <w:color w:val="auto"/>
          <w:highlight w:val="none"/>
          <w:u w:val="single"/>
        </w:rPr>
        <w:t>按相关规定执行。</w:t>
      </w:r>
    </w:p>
    <w:p w14:paraId="28E6E4D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第三者责任险的保险金额：</w:t>
      </w:r>
      <w:r>
        <w:rPr>
          <w:rFonts w:hint="eastAsia"/>
          <w:b/>
          <w:color w:val="auto"/>
          <w:highlight w:val="none"/>
          <w:u w:val="single"/>
        </w:rPr>
        <w:t>按相关规定执行</w:t>
      </w:r>
      <w:r>
        <w:rPr>
          <w:rFonts w:hint="eastAsia"/>
          <w:color w:val="auto"/>
          <w:highlight w:val="none"/>
        </w:rPr>
        <w:t>。</w:t>
      </w:r>
    </w:p>
    <w:p w14:paraId="4BE8DFE0">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20.5 其他保险</w:t>
      </w:r>
    </w:p>
    <w:p w14:paraId="3E02EECB">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需要投保其他内容、保险金额、费率及期限等： </w:t>
      </w:r>
      <w:r>
        <w:rPr>
          <w:rFonts w:hint="eastAsia"/>
          <w:b/>
          <w:color w:val="auto"/>
          <w:highlight w:val="none"/>
          <w:u w:val="single"/>
        </w:rPr>
        <w:t>由承包人负责。</w:t>
      </w:r>
    </w:p>
    <w:p w14:paraId="70EA411F">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20.6  对各项保险的一般要求</w:t>
      </w:r>
    </w:p>
    <w:p w14:paraId="71C2F76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20.6.1  保险凭证</w:t>
      </w:r>
    </w:p>
    <w:p w14:paraId="6BFBBEC5">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保险条件：</w:t>
      </w:r>
      <w:r>
        <w:rPr>
          <w:rFonts w:hint="eastAsia"/>
          <w:b/>
          <w:color w:val="auto"/>
          <w:highlight w:val="none"/>
          <w:u w:val="single"/>
        </w:rPr>
        <w:t>按国家相关规定和发包人要求执行。</w:t>
      </w:r>
    </w:p>
    <w:p w14:paraId="684C30F2">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 xml:space="preserve">承包人提交保险凭证的期限： </w:t>
      </w:r>
      <w:r>
        <w:rPr>
          <w:rFonts w:hint="eastAsia"/>
          <w:b/>
          <w:color w:val="auto"/>
          <w:highlight w:val="none"/>
          <w:u w:val="single"/>
        </w:rPr>
        <w:t>工程开工前。</w:t>
      </w:r>
    </w:p>
    <w:p w14:paraId="2549E20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20.6.4  对各项保险的一般要求</w:t>
      </w:r>
    </w:p>
    <w:p w14:paraId="6D48C605">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 xml:space="preserve">保险金不足以补偿损失时，应由承包人负责补偿的范围与金额： </w:t>
      </w:r>
      <w:r>
        <w:rPr>
          <w:rFonts w:hint="eastAsia"/>
          <w:b/>
          <w:color w:val="auto"/>
          <w:highlight w:val="none"/>
          <w:u w:val="single"/>
        </w:rPr>
        <w:t>以发包人和承包人共同名义投保的，当保险金不足以补偿损失时，由承包人负责补偿；发包人、承包人以各自名义投保的，保险金不足以补偿损失时，由各自负责其补偿。</w:t>
      </w:r>
    </w:p>
    <w:p w14:paraId="4A092D97">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21. 不可抗力</w:t>
      </w:r>
    </w:p>
    <w:p w14:paraId="4120AA4B">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21.1 不可抗力的确认</w:t>
      </w:r>
    </w:p>
    <w:p w14:paraId="09484D4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不可抗力的范围： </w:t>
      </w:r>
      <w:r>
        <w:rPr>
          <w:rFonts w:hint="eastAsia"/>
          <w:b/>
          <w:color w:val="auto"/>
          <w:highlight w:val="none"/>
          <w:u w:val="single"/>
        </w:rPr>
        <w:t>按通用合同条款。</w:t>
      </w:r>
    </w:p>
    <w:p w14:paraId="1D5AD135">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21.3 不可抗力后果及其处理</w:t>
      </w:r>
    </w:p>
    <w:p w14:paraId="3148614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21.3.1不可抗力造成损害的责任</w:t>
      </w:r>
    </w:p>
    <w:p w14:paraId="2F4E4752">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 xml:space="preserve">不可抗力导致的人员伤亡、财产损失、费用增加和（或）工期延误，合同双方按以下方法承担： </w:t>
      </w:r>
      <w:r>
        <w:rPr>
          <w:rFonts w:hint="eastAsia"/>
          <w:b/>
          <w:color w:val="auto"/>
          <w:highlight w:val="none"/>
          <w:u w:val="single"/>
        </w:rPr>
        <w:t>按通用合同条款执行。</w:t>
      </w:r>
    </w:p>
    <w:p w14:paraId="753798A0">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22. 违约</w:t>
      </w:r>
    </w:p>
    <w:p w14:paraId="0F22BFA1">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22.1承包人违约</w:t>
      </w:r>
    </w:p>
    <w:p w14:paraId="3E05F451">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cs="宋体"/>
          <w:b/>
          <w:color w:val="auto"/>
          <w:szCs w:val="21"/>
          <w:highlight w:val="none"/>
        </w:rPr>
      </w:pPr>
      <w:r>
        <w:rPr>
          <w:rFonts w:hint="eastAsia" w:ascii="宋体" w:hAnsi="宋体" w:cs="宋体"/>
          <w:b/>
          <w:color w:val="auto"/>
          <w:szCs w:val="21"/>
          <w:highlight w:val="none"/>
        </w:rPr>
        <w:t>22.1.1 承包人违约的情形</w:t>
      </w:r>
    </w:p>
    <w:p w14:paraId="4C8291A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cs="宋体"/>
          <w:b/>
          <w:color w:val="auto"/>
          <w:szCs w:val="21"/>
          <w:highlight w:val="none"/>
        </w:rPr>
      </w:pPr>
      <w:r>
        <w:rPr>
          <w:rFonts w:hint="eastAsia" w:ascii="宋体" w:hAnsi="宋体" w:cs="宋体"/>
          <w:b/>
          <w:color w:val="auto"/>
          <w:szCs w:val="21"/>
          <w:highlight w:val="none"/>
        </w:rPr>
        <w:t>增加下列条款：</w:t>
      </w:r>
    </w:p>
    <w:p w14:paraId="036B0F3B">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8）如果因承包人的原因工程质量达不到合同协议书第四条约定的质量标准，承包人在通用合同条款第22.1.2（2）目约定的指定期限内不进行整改或经整改后仍不能达到要求的，发包人有权单方解除合同；发包人发现承包人将本工程转包、未经发包人同意进行分包的，承包人必须在</w:t>
      </w:r>
      <w:r>
        <w:rPr>
          <w:rFonts w:hint="eastAsia"/>
          <w:b/>
          <w:color w:val="auto"/>
          <w:highlight w:val="none"/>
          <w:u w:val="single"/>
          <w:lang w:val="en-US" w:eastAsia="zh-CN"/>
        </w:rPr>
        <w:t>5</w:t>
      </w:r>
      <w:r>
        <w:rPr>
          <w:rFonts w:hint="eastAsia"/>
          <w:b/>
          <w:color w:val="auto"/>
          <w:highlight w:val="none"/>
          <w:u w:val="single"/>
        </w:rPr>
        <w:t>日内纠正，否则发包人有权单方解除合同，并按通用合同条款第22.1.3项、第22.1.4项和第22.1.5项的约定进行处理，同时不退还承包人全部履约保证金</w:t>
      </w:r>
      <w:r>
        <w:rPr>
          <w:rFonts w:hint="eastAsia"/>
          <w:b/>
          <w:color w:val="auto"/>
          <w:highlight w:val="none"/>
          <w:u w:val="single"/>
          <w:lang w:eastAsia="zh-CN"/>
        </w:rPr>
        <w:t>，</w:t>
      </w:r>
      <w:r>
        <w:rPr>
          <w:rFonts w:hint="eastAsia"/>
          <w:b/>
          <w:color w:val="auto"/>
          <w:highlight w:val="none"/>
          <w:u w:val="single"/>
        </w:rPr>
        <w:t>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14:paraId="3974F31B">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（9）承包人违反国家和重庆市安全生产、文明施工、环保及环卫有关规定的，除接受相关规定进行处罚外，每发现一次或一处，发包人有权要求承包人支付</w:t>
      </w:r>
      <w:r>
        <w:rPr>
          <w:rFonts w:hint="eastAsia"/>
          <w:b/>
          <w:color w:val="auto"/>
          <w:highlight w:val="none"/>
          <w:u w:val="single"/>
          <w:lang w:val="en-US" w:eastAsia="zh-CN"/>
        </w:rPr>
        <w:t>2</w:t>
      </w:r>
      <w:r>
        <w:rPr>
          <w:rFonts w:hint="eastAsia"/>
          <w:b/>
          <w:color w:val="auto"/>
          <w:highlight w:val="none"/>
          <w:u w:val="single"/>
        </w:rPr>
        <w:t>000元违约金，同时承包人必须按监理人或发包人的要求立即进行整改直至合格。</w:t>
      </w:r>
    </w:p>
    <w:p w14:paraId="4E79A80F">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（10）承包人向监理人和发包人提供的所有工程资料和数据必须真实可靠。经检查发现承包人有弄虚作假的，每发现一次，发包人有权要求承包人支付</w:t>
      </w:r>
      <w:r>
        <w:rPr>
          <w:rFonts w:hint="eastAsia"/>
          <w:b/>
          <w:color w:val="auto"/>
          <w:highlight w:val="none"/>
          <w:u w:val="single"/>
          <w:lang w:val="en-US" w:eastAsia="zh-CN"/>
        </w:rPr>
        <w:t>2</w:t>
      </w:r>
      <w:r>
        <w:rPr>
          <w:rFonts w:hint="eastAsia"/>
          <w:b/>
          <w:color w:val="auto"/>
          <w:highlight w:val="none"/>
          <w:u w:val="single"/>
        </w:rPr>
        <w:t>000元违约金。</w:t>
      </w:r>
    </w:p>
    <w:p w14:paraId="393D35E3">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（11）承包人在工程收方中采用欺骗手段或弄虚作假的，每发现一次，发包人有权要求承包人支付5-10万元的违约金。</w:t>
      </w:r>
    </w:p>
    <w:p w14:paraId="6587505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12）在施工过程中因承包人自身原因停工10日以上，发包人或监理人应发出限期整改通知书，承包人在规定期限内仍不整改的，视为承包人不履行合同，发包人有权单方解除合同。承包人在接到发包人解除合同通知后3日内自行退场，其履约保证金不予退还</w:t>
      </w:r>
      <w:r>
        <w:rPr>
          <w:rFonts w:hint="eastAsia"/>
          <w:b/>
          <w:color w:val="auto"/>
          <w:highlight w:val="none"/>
          <w:u w:val="single"/>
          <w:lang w:eastAsia="zh-CN"/>
        </w:rPr>
        <w:t>，</w:t>
      </w:r>
      <w:r>
        <w:rPr>
          <w:rFonts w:hint="eastAsia"/>
          <w:b/>
          <w:color w:val="auto"/>
          <w:highlight w:val="none"/>
          <w:u w:val="single"/>
        </w:rPr>
        <w:t>给发包人造成的损失超过履约保证金数额的，承包人还应进行赔偿。</w:t>
      </w:r>
    </w:p>
    <w:p w14:paraId="407386BC">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13）承包人应严格遵守通用合同条款第4.8.1的约定，不能以任何原因拖欠民工工资。如果出现承包人拖欠民工工资行为，经确认后，发包人有权从承包人工程款或履约保证金或农民工工资保证金中直接支付给民工，并有权要求承包人支付1</w:t>
      </w:r>
      <w:r>
        <w:rPr>
          <w:rFonts w:ascii="Arial" w:hAnsi="Arial" w:cs="Arial"/>
          <w:b/>
          <w:color w:val="auto"/>
          <w:highlight w:val="none"/>
          <w:u w:val="single"/>
        </w:rPr>
        <w:t>‰</w:t>
      </w:r>
      <w:r>
        <w:rPr>
          <w:rFonts w:hint="eastAsia"/>
          <w:b/>
          <w:color w:val="auto"/>
          <w:highlight w:val="none"/>
          <w:u w:val="single"/>
        </w:rPr>
        <w:t>的违约金。如发生民工集体上访、聚众滋事，扰乱正常施工、发包人办公及政府机关、道路交通等社会公共秩序的，承包人项目经理或单位主要负责人必须在事件发生前及时协调，事件发生后必须在第一时间到达现场处理，防止事态扩大。同时每出现一次，承包人向发包人支付违约金</w:t>
      </w:r>
      <w:r>
        <w:rPr>
          <w:rFonts w:hint="eastAsia"/>
          <w:b/>
          <w:color w:val="auto"/>
          <w:highlight w:val="none"/>
          <w:u w:val="single"/>
          <w:lang w:val="en-US" w:eastAsia="zh-CN"/>
        </w:rPr>
        <w:t>2</w:t>
      </w:r>
      <w:r>
        <w:rPr>
          <w:rFonts w:hint="eastAsia"/>
          <w:b/>
          <w:color w:val="auto"/>
          <w:highlight w:val="none"/>
          <w:u w:val="single"/>
        </w:rPr>
        <w:t>000元。</w:t>
      </w:r>
    </w:p>
    <w:p w14:paraId="4E51509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（14）施工合同签订后，承包人必须按合同约定工期内完成建设任务，若承包人不按审批的施工组织设计施工或不服从发包人及监理人依法管理的，每发生一次，发包人有权要求承包人支付</w:t>
      </w:r>
      <w:r>
        <w:rPr>
          <w:rFonts w:hint="eastAsia"/>
          <w:b/>
          <w:color w:val="auto"/>
          <w:highlight w:val="none"/>
          <w:u w:val="single"/>
          <w:lang w:val="en-US" w:eastAsia="zh-CN"/>
        </w:rPr>
        <w:t>1000</w:t>
      </w:r>
      <w:r>
        <w:rPr>
          <w:rFonts w:hint="eastAsia"/>
          <w:b/>
          <w:color w:val="auto"/>
          <w:highlight w:val="none"/>
          <w:u w:val="single"/>
        </w:rPr>
        <w:t>元违约金。</w:t>
      </w:r>
    </w:p>
    <w:p w14:paraId="24ADC233">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15）发包人发现承包人将承接的工程转包、违法分包、挂靠（指承包人允许他人以承包人的名义承担本合同项目）的，发包人应当报相关行政主管部门依法处理。承包人拒不改正违法行为的，发包人有权解除合同，履约保证金不予退还，给发包人造成的损失超过履约保证金数额的，承包人还应进行赔偿。</w:t>
      </w:r>
    </w:p>
    <w:p w14:paraId="15FC62F9">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16）承包人应加强对招聘劳务工的管理，积极配合公安机关对外来暂住人口的管理，主动加强与当地公安机关的联系。承包人应指定专人对劳务工本着来者登记、走者注销的原则进行动态管理，对劳务工凭本人居民身份证原件进行登记。如在公安机关或发包人的检查中每发现一次承包人对劳务工没有登记或登记与现场用工不符的，承包人向发包人支付违约金</w:t>
      </w:r>
      <w:r>
        <w:rPr>
          <w:rFonts w:hint="eastAsia"/>
          <w:b/>
          <w:color w:val="auto"/>
          <w:highlight w:val="none"/>
          <w:u w:val="single"/>
          <w:lang w:val="en-US" w:eastAsia="zh-CN"/>
        </w:rPr>
        <w:t>2</w:t>
      </w:r>
      <w:r>
        <w:rPr>
          <w:rFonts w:hint="eastAsia"/>
          <w:b/>
          <w:color w:val="auto"/>
          <w:highlight w:val="none"/>
          <w:u w:val="single"/>
        </w:rPr>
        <w:t>000元。</w:t>
      </w:r>
    </w:p>
    <w:p w14:paraId="18B0FDB5">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b/>
          <w:color w:val="auto"/>
          <w:highlight w:val="none"/>
          <w:u w:val="single"/>
        </w:rPr>
      </w:pPr>
      <w:r>
        <w:rPr>
          <w:rFonts w:hint="eastAsia"/>
          <w:b/>
          <w:color w:val="auto"/>
          <w:highlight w:val="none"/>
          <w:u w:val="single"/>
        </w:rPr>
        <w:t>（17）工程项目部管理人员必须与投标文件中拟派人员相符，并到位履职，否则发包人有权单方解除合同，承包人的履约保证金不予退还，给发包人造成的损失超过履约保证金数额的，承包人还应予以赔偿。</w:t>
      </w:r>
    </w:p>
    <w:p w14:paraId="695A2BC0">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b/>
          <w:color w:val="auto"/>
          <w:highlight w:val="none"/>
          <w:u w:val="single"/>
        </w:rPr>
      </w:pPr>
      <w:r>
        <w:rPr>
          <w:rFonts w:hint="eastAsia"/>
          <w:b/>
          <w:color w:val="auto"/>
          <w:highlight w:val="none"/>
          <w:u w:val="single"/>
        </w:rPr>
        <w:t>（18）除通用合同条款规定外，工程项目部主要管理人员不按约定（特殊情况如生病除外，每周在现场的时间少于5天）常驻施工现场，发包人有权要求承包人无条件更换，并有权要求承包人支付5万元违约金。</w:t>
      </w:r>
    </w:p>
    <w:p w14:paraId="6A323CAF">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（19）若承包人出现以下情形之一，经发包人催告后仍不配合，则视为承包人严重违约，发包人有权解除合同</w:t>
      </w:r>
      <w:r>
        <w:rPr>
          <w:rFonts w:hint="eastAsia"/>
          <w:b/>
          <w:color w:val="auto"/>
          <w:highlight w:val="none"/>
          <w:u w:val="single"/>
          <w:lang w:eastAsia="zh-CN"/>
        </w:rPr>
        <w:t>，</w:t>
      </w:r>
      <w:r>
        <w:rPr>
          <w:rFonts w:hint="eastAsia"/>
          <w:b/>
          <w:color w:val="auto"/>
          <w:highlight w:val="none"/>
          <w:u w:val="single"/>
        </w:rPr>
        <w:t>其履约保证金不予退还。</w:t>
      </w:r>
    </w:p>
    <w:p w14:paraId="23E58A5E">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a.本工程施工合同签订后7日内，承包人必须向建设行政主管部门等部门缴纳办理本工程开工前的建设手续的相关费用（如农民工工资保障金等）而未行办理缴纳的；</w:t>
      </w:r>
    </w:p>
    <w:p w14:paraId="1BFAA97A">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b.本工程施工合同签订后7日内，承包人必须配合发包人办理完成本工程开工前的相关建设手续而未行配合的；</w:t>
      </w:r>
    </w:p>
    <w:p w14:paraId="0278E6A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c.本工程施工合同签订后7日内，承包人必须按监理人要求向监理人提供相关资料而未行提交的；</w:t>
      </w:r>
    </w:p>
    <w:p w14:paraId="0B85F70D">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d.本工程开工令下达后，承包人未按监理单位批准的施工组织设计方案正常组织施工的。</w:t>
      </w:r>
    </w:p>
    <w:p w14:paraId="43350C19">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b/>
          <w:color w:val="auto"/>
          <w:highlight w:val="none"/>
          <w:u w:val="single"/>
        </w:rPr>
      </w:pPr>
      <w:r>
        <w:rPr>
          <w:rFonts w:hint="eastAsia"/>
          <w:b/>
          <w:color w:val="auto"/>
          <w:highlight w:val="none"/>
          <w:u w:val="single"/>
        </w:rPr>
        <w:t>（20）承包人违返上述条款的约定的违法金和损失款，发包人有权直接在工程款或履约保证金中直接扣除。</w:t>
      </w:r>
    </w:p>
    <w:p w14:paraId="21EA3EF3">
      <w:pPr>
        <w:pageBreakBefore w:val="0"/>
        <w:widowControl w:val="0"/>
        <w:numPr>
          <w:ilvl w:val="0"/>
          <w:numId w:val="1"/>
        </w:numPr>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索赔</w:t>
      </w:r>
    </w:p>
    <w:p w14:paraId="004FBD23">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b/>
          <w:color w:val="auto"/>
          <w:highlight w:val="none"/>
        </w:rPr>
        <w:t>23.1  承包人索赔的提出</w:t>
      </w:r>
    </w:p>
    <w:p w14:paraId="50012C04">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承包人在投标报价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p>
    <w:p w14:paraId="0ED0314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24.  争议的解决</w:t>
      </w:r>
    </w:p>
    <w:p w14:paraId="5109854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24.1  争议的解决方式</w:t>
      </w:r>
    </w:p>
    <w:p w14:paraId="5782430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争议的解决方式：</w:t>
      </w:r>
      <w:r>
        <w:rPr>
          <w:rFonts w:hint="eastAsia"/>
          <w:b/>
          <w:color w:val="auto"/>
          <w:highlight w:val="none"/>
        </w:rPr>
        <w:t>本合同履行地为工程项目所在地，发包人和承包人在履行合同中发生争议的，协商解决；合同当事人友好协商解决不成的，向重庆</w:t>
      </w:r>
      <w:r>
        <w:rPr>
          <w:rFonts w:hint="eastAsia"/>
          <w:b/>
          <w:color w:val="auto"/>
          <w:highlight w:val="none"/>
          <w:lang w:eastAsia="zh-CN"/>
        </w:rPr>
        <w:t>市铜梁区人民法院起诉</w:t>
      </w:r>
      <w:r>
        <w:rPr>
          <w:rFonts w:hint="eastAsia"/>
          <w:b/>
          <w:color w:val="auto"/>
          <w:highlight w:val="none"/>
        </w:rPr>
        <w:t>，但承包人不得因此而停工</w:t>
      </w:r>
      <w:r>
        <w:rPr>
          <w:rFonts w:hint="eastAsia"/>
          <w:color w:val="auto"/>
          <w:highlight w:val="none"/>
        </w:rPr>
        <w:t>。</w:t>
      </w:r>
    </w:p>
    <w:p w14:paraId="736F5BF1">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p>
    <w:p w14:paraId="5E22F991">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发包人：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承包人：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 xml:space="preserve">)  </w:t>
      </w:r>
    </w:p>
    <w:p w14:paraId="73C1D1F3">
      <w:pPr>
        <w:spacing w:line="400" w:lineRule="exact"/>
        <w:ind w:firstLine="105" w:firstLineChars="50"/>
        <w:rPr>
          <w:rFonts w:ascii="宋体" w:hAnsi="宋体"/>
          <w:color w:val="auto"/>
          <w:highlight w:val="none"/>
        </w:rPr>
      </w:pPr>
      <w:r>
        <w:rPr>
          <w:rFonts w:hint="eastAsia" w:ascii="宋体" w:hAnsi="宋体"/>
          <w:color w:val="auto"/>
          <w:highlight w:val="none"/>
        </w:rPr>
        <w:t>法定地址：</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法定地址：</w:t>
      </w:r>
      <w:r>
        <w:rPr>
          <w:rFonts w:hint="eastAsia" w:ascii="宋体" w:hAnsi="宋体"/>
          <w:color w:val="auto"/>
          <w:highlight w:val="none"/>
          <w:u w:val="single"/>
        </w:rPr>
        <w:t>　　　　　　　　    　　</w:t>
      </w:r>
    </w:p>
    <w:p w14:paraId="3E524AEE">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p>
    <w:p w14:paraId="5B4A4923">
      <w:pPr>
        <w:spacing w:line="400" w:lineRule="exact"/>
        <w:ind w:firstLine="105" w:firstLineChars="50"/>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w:t>
      </w:r>
    </w:p>
    <w:p w14:paraId="439C3343">
      <w:pPr>
        <w:spacing w:line="400" w:lineRule="exact"/>
        <w:ind w:firstLine="105" w:firstLineChars="50"/>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w:t>
      </w:r>
      <w:r>
        <w:rPr>
          <w:rFonts w:hint="eastAsia" w:ascii="宋体" w:hAnsi="宋体"/>
          <w:color w:val="auto"/>
          <w:highlight w:val="none"/>
        </w:rPr>
        <w:t>　　　　　　传    真：</w:t>
      </w:r>
      <w:r>
        <w:rPr>
          <w:rFonts w:hint="eastAsia" w:ascii="宋体" w:hAnsi="宋体"/>
          <w:color w:val="auto"/>
          <w:highlight w:val="none"/>
          <w:u w:val="single"/>
        </w:rPr>
        <w:t>　　　　　　　   　 　　</w:t>
      </w:r>
      <w:r>
        <w:rPr>
          <w:rFonts w:hint="eastAsia" w:ascii="宋体" w:hAnsi="宋体"/>
          <w:color w:val="auto"/>
          <w:highlight w:val="none"/>
        </w:rPr>
        <w:t>　</w:t>
      </w:r>
    </w:p>
    <w:p w14:paraId="01C4D70B">
      <w:pPr>
        <w:spacing w:line="400" w:lineRule="exact"/>
        <w:ind w:firstLine="105" w:firstLineChars="50"/>
        <w:rPr>
          <w:rFonts w:ascii="宋体" w:hAnsi="宋体"/>
          <w:color w:val="auto"/>
          <w:highlight w:val="none"/>
        </w:rPr>
      </w:pPr>
      <w:r>
        <w:rPr>
          <w:rFonts w:hint="eastAsia" w:ascii="宋体" w:hAnsi="宋体"/>
          <w:color w:val="auto"/>
          <w:highlight w:val="none"/>
        </w:rPr>
        <w:t>电子邮箱：</w:t>
      </w:r>
      <w:r>
        <w:rPr>
          <w:rFonts w:hint="eastAsia" w:ascii="宋体" w:hAnsi="宋体"/>
          <w:color w:val="auto"/>
          <w:highlight w:val="none"/>
          <w:u w:val="single"/>
        </w:rPr>
        <w:t>　　　　　　　  　　　</w:t>
      </w:r>
      <w:r>
        <w:rPr>
          <w:rFonts w:hint="eastAsia" w:ascii="宋体" w:hAnsi="宋体"/>
          <w:color w:val="auto"/>
          <w:highlight w:val="none"/>
        </w:rPr>
        <w:t>　　　　　  电子邮箱：</w:t>
      </w:r>
      <w:r>
        <w:rPr>
          <w:rFonts w:hint="eastAsia" w:ascii="宋体" w:hAnsi="宋体"/>
          <w:color w:val="auto"/>
          <w:highlight w:val="none"/>
          <w:u w:val="single"/>
        </w:rPr>
        <w:t>　　　　　　　    　　　</w:t>
      </w:r>
      <w:r>
        <w:rPr>
          <w:rFonts w:hint="eastAsia" w:ascii="宋体" w:hAnsi="宋体"/>
          <w:color w:val="auto"/>
          <w:highlight w:val="none"/>
        </w:rPr>
        <w:t>　</w:t>
      </w:r>
    </w:p>
    <w:p w14:paraId="3823D68B">
      <w:pPr>
        <w:spacing w:line="400" w:lineRule="exact"/>
        <w:ind w:firstLine="105" w:firstLineChars="50"/>
        <w:rPr>
          <w:rFonts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w:t>
      </w:r>
      <w:r>
        <w:rPr>
          <w:rFonts w:hint="eastAsia" w:ascii="宋体" w:hAnsi="宋体"/>
          <w:color w:val="auto"/>
          <w:highlight w:val="none"/>
        </w:rPr>
        <w:t>　　　　　　开户银行：</w:t>
      </w:r>
      <w:r>
        <w:rPr>
          <w:rFonts w:hint="eastAsia" w:ascii="宋体" w:hAnsi="宋体"/>
          <w:color w:val="auto"/>
          <w:highlight w:val="none"/>
          <w:u w:val="single"/>
        </w:rPr>
        <w:t>　　　　　　　    　　　</w:t>
      </w:r>
      <w:r>
        <w:rPr>
          <w:rFonts w:hint="eastAsia" w:ascii="宋体" w:hAnsi="宋体"/>
          <w:color w:val="auto"/>
          <w:highlight w:val="none"/>
        </w:rPr>
        <w:t>　</w:t>
      </w:r>
    </w:p>
    <w:p w14:paraId="6C908FAF">
      <w:pPr>
        <w:spacing w:line="400" w:lineRule="exact"/>
        <w:ind w:firstLine="105" w:firstLineChars="50"/>
        <w:rPr>
          <w:rFonts w:ascii="宋体" w:hAnsi="宋体"/>
          <w:color w:val="auto"/>
          <w:highlight w:val="none"/>
        </w:rPr>
      </w:pPr>
      <w:r>
        <w:rPr>
          <w:rFonts w:hint="eastAsia" w:ascii="宋体" w:hAnsi="宋体"/>
          <w:color w:val="auto"/>
          <w:highlight w:val="none"/>
        </w:rPr>
        <w:t>帐    号：</w:t>
      </w:r>
      <w:r>
        <w:rPr>
          <w:rFonts w:hint="eastAsia" w:ascii="宋体" w:hAnsi="宋体"/>
          <w:color w:val="auto"/>
          <w:highlight w:val="none"/>
          <w:u w:val="single"/>
        </w:rPr>
        <w:t>　　　　　　 　　 　　</w:t>
      </w:r>
      <w:r>
        <w:rPr>
          <w:rFonts w:hint="eastAsia" w:ascii="宋体" w:hAnsi="宋体"/>
          <w:color w:val="auto"/>
          <w:highlight w:val="none"/>
        </w:rPr>
        <w:t>　　　　　　帐    号：</w:t>
      </w:r>
      <w:r>
        <w:rPr>
          <w:rFonts w:hint="eastAsia" w:ascii="宋体" w:hAnsi="宋体"/>
          <w:color w:val="auto"/>
          <w:highlight w:val="none"/>
          <w:u w:val="single"/>
        </w:rPr>
        <w:t>　　　　　　　　    　　</w:t>
      </w:r>
      <w:r>
        <w:rPr>
          <w:rFonts w:hint="eastAsia" w:ascii="宋体" w:hAnsi="宋体"/>
          <w:color w:val="auto"/>
          <w:highlight w:val="none"/>
        </w:rPr>
        <w:t>　</w:t>
      </w:r>
    </w:p>
    <w:p w14:paraId="59883670">
      <w:pPr>
        <w:spacing w:line="400" w:lineRule="exact"/>
        <w:ind w:firstLine="105" w:firstLineChars="50"/>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w:t>
      </w:r>
      <w:r>
        <w:rPr>
          <w:rFonts w:hint="eastAsia" w:ascii="宋体" w:hAnsi="宋体"/>
          <w:color w:val="auto"/>
          <w:highlight w:val="none"/>
        </w:rPr>
        <w:t>　　　　　  邮政编码：</w:t>
      </w:r>
      <w:r>
        <w:rPr>
          <w:rFonts w:hint="eastAsia" w:ascii="宋体" w:hAnsi="宋体"/>
          <w:color w:val="auto"/>
          <w:highlight w:val="none"/>
          <w:u w:val="single"/>
        </w:rPr>
        <w:t>　　　　　　　    　　　</w:t>
      </w:r>
      <w:r>
        <w:rPr>
          <w:rFonts w:hint="eastAsia" w:ascii="宋体" w:hAnsi="宋体"/>
          <w:color w:val="auto"/>
          <w:highlight w:val="none"/>
        </w:rPr>
        <w:t>　</w:t>
      </w:r>
    </w:p>
    <w:p w14:paraId="276D606E">
      <w:pPr>
        <w:spacing w:line="460" w:lineRule="exact"/>
        <w:ind w:firstLine="1260" w:firstLineChars="600"/>
        <w:rPr>
          <w:rFonts w:hint="eastAsia" w:ascii="宋体" w:hAnsi="宋体" w:cs="宋体"/>
          <w:color w:val="auto"/>
          <w:highlight w:val="none"/>
          <w:u w:val="single"/>
        </w:rPr>
      </w:pPr>
    </w:p>
    <w:p w14:paraId="184892B2">
      <w:pPr>
        <w:spacing w:beforeLines="50" w:afterLines="50" w:line="360" w:lineRule="auto"/>
        <w:ind w:firstLine="1260" w:firstLineChars="600"/>
        <w:rPr>
          <w:rFonts w:hint="eastAsia"/>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color w:val="auto"/>
          <w:highlight w:val="none"/>
        </w:rPr>
        <w:br w:type="page"/>
      </w:r>
    </w:p>
    <w:p w14:paraId="0543EEA8">
      <w:pPr>
        <w:spacing w:before="120" w:beforeLines="50" w:after="120" w:afterLines="50" w:line="360" w:lineRule="auto"/>
        <w:rPr>
          <w:rFonts w:hint="eastAsia"/>
          <w:color w:val="auto"/>
          <w:highlight w:val="none"/>
        </w:rPr>
      </w:pPr>
      <w:r>
        <w:rPr>
          <w:rFonts w:hint="eastAsia"/>
          <w:color w:val="auto"/>
          <w:highlight w:val="none"/>
        </w:rPr>
        <w:t>附件一：工程质量保修书</w:t>
      </w:r>
    </w:p>
    <w:p w14:paraId="6FA729AD">
      <w:pPr>
        <w:spacing w:before="120" w:beforeLines="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工程质量保修书</w:t>
      </w:r>
    </w:p>
    <w:p w14:paraId="7FCD7F4C">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w:t>
      </w:r>
    </w:p>
    <w:p w14:paraId="47F73E62">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w:t>
      </w:r>
    </w:p>
    <w:p w14:paraId="3DEC428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发包人和承包人根据《中华人民共和国建筑法》</w:t>
      </w:r>
      <w:r>
        <w:rPr>
          <w:rFonts w:hint="eastAsia" w:ascii="宋体" w:hAnsi="宋体"/>
          <w:color w:val="auto"/>
          <w:szCs w:val="21"/>
          <w:highlight w:val="none"/>
          <w:lang w:eastAsia="zh-CN"/>
        </w:rPr>
        <w:t>、</w:t>
      </w:r>
      <w:r>
        <w:rPr>
          <w:rFonts w:hint="eastAsia" w:ascii="宋体" w:hAnsi="宋体"/>
          <w:color w:val="auto"/>
          <w:szCs w:val="21"/>
          <w:highlight w:val="none"/>
        </w:rPr>
        <w:t>《建设工程质量管理条例》</w:t>
      </w:r>
      <w:r>
        <w:rPr>
          <w:rFonts w:hint="eastAsia" w:ascii="宋体" w:hAnsi="宋体" w:cs="宋体"/>
          <w:color w:val="auto"/>
          <w:highlight w:val="none"/>
        </w:rPr>
        <w:t>和《房屋建筑工程质量保修办法》</w:t>
      </w:r>
      <w:r>
        <w:rPr>
          <w:rFonts w:hint="eastAsia" w:ascii="宋体" w:hAnsi="宋体"/>
          <w:color w:val="auto"/>
          <w:szCs w:val="21"/>
          <w:highlight w:val="none"/>
        </w:rPr>
        <w:t>，经协商一致就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14:paraId="45B67D18">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b/>
          <w:bCs/>
          <w:color w:val="auto"/>
          <w:szCs w:val="21"/>
          <w:highlight w:val="none"/>
        </w:rPr>
        <w:t>一、工程质量保修范围和内容</w:t>
      </w:r>
    </w:p>
    <w:p w14:paraId="25C755C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14:paraId="22700B7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6C6B9B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14:paraId="2D3F22D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14:paraId="771D450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14:paraId="3611A5E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14:paraId="1C6817AD">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b/>
          <w:bCs/>
          <w:color w:val="auto"/>
          <w:szCs w:val="21"/>
          <w:highlight w:val="none"/>
        </w:rPr>
        <w:t>二、质量保修期</w:t>
      </w:r>
    </w:p>
    <w:p w14:paraId="122B598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14:paraId="31EFD71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14:paraId="7FF1FE3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14:paraId="6B72CD5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3.供热与供冷系统，为2个采暖期、供冷期；</w:t>
      </w:r>
    </w:p>
    <w:p w14:paraId="728E127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14:paraId="2560B58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5.其他项目保修期限：</w:t>
      </w:r>
      <w:r>
        <w:rPr>
          <w:rFonts w:hint="eastAsia" w:ascii="宋体" w:hAnsi="宋体"/>
          <w:color w:val="auto"/>
          <w:szCs w:val="21"/>
          <w:highlight w:val="none"/>
          <w:lang w:val="en-US" w:eastAsia="zh-CN"/>
        </w:rPr>
        <w:t>1</w:t>
      </w:r>
      <w:r>
        <w:rPr>
          <w:rFonts w:hint="eastAsia" w:ascii="宋体" w:hAnsi="宋体"/>
          <w:color w:val="auto"/>
          <w:szCs w:val="21"/>
          <w:highlight w:val="none"/>
        </w:rPr>
        <w:t>年；</w:t>
      </w:r>
    </w:p>
    <w:p w14:paraId="1CE3F39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14:paraId="74215C51">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Cs w:val="21"/>
          <w:highlight w:val="none"/>
        </w:rPr>
      </w:pPr>
      <w:r>
        <w:rPr>
          <w:rFonts w:hint="eastAsia" w:ascii="宋体" w:hAnsi="宋体"/>
          <w:b/>
          <w:bCs/>
          <w:color w:val="auto"/>
          <w:szCs w:val="21"/>
          <w:highlight w:val="none"/>
        </w:rPr>
        <w:t>三、质量保修责任</w:t>
      </w:r>
    </w:p>
    <w:p w14:paraId="0233A89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14:paraId="43C611B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14:paraId="1EEADBA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FB89CE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4.质量保修完成后，由发包人组织验收。</w:t>
      </w:r>
    </w:p>
    <w:p w14:paraId="46D291D7">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Cs w:val="21"/>
          <w:highlight w:val="none"/>
        </w:rPr>
      </w:pPr>
      <w:r>
        <w:rPr>
          <w:rFonts w:hint="eastAsia" w:ascii="宋体" w:hAnsi="宋体"/>
          <w:b/>
          <w:bCs/>
          <w:color w:val="auto"/>
          <w:szCs w:val="21"/>
          <w:highlight w:val="none"/>
        </w:rPr>
        <w:t>四、保修费用</w:t>
      </w:r>
    </w:p>
    <w:p w14:paraId="326194B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保修费用由质量缺陷的责任方承担。</w:t>
      </w:r>
    </w:p>
    <w:p w14:paraId="0D8F518E">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Cs w:val="21"/>
          <w:highlight w:val="none"/>
        </w:rPr>
      </w:pPr>
      <w:r>
        <w:rPr>
          <w:rFonts w:hint="eastAsia" w:ascii="宋体" w:hAnsi="宋体"/>
          <w:b/>
          <w:bCs/>
          <w:color w:val="auto"/>
          <w:szCs w:val="21"/>
          <w:highlight w:val="none"/>
        </w:rPr>
        <w:t>五、双方约定的其他工程质量保修事项</w:t>
      </w:r>
    </w:p>
    <w:p w14:paraId="5B5C178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p>
    <w:p w14:paraId="585805D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14:paraId="35CCEF83">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六、本文件生效</w:t>
      </w:r>
    </w:p>
    <w:p w14:paraId="61112F4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14:paraId="4871681A">
      <w:pPr>
        <w:pStyle w:val="2"/>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p>
    <w:p w14:paraId="65E9E2B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3D825B2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25761CF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7208CFF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324A15B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0E8C1A2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41389DE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1795F41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315462A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2018C64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7E3E7D7C">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266CF27B">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28AE1D8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4663B416">
      <w:pPr>
        <w:rPr>
          <w:rFonts w:hint="eastAsia"/>
          <w:color w:val="auto"/>
          <w:highlight w:val="none"/>
        </w:rPr>
      </w:pPr>
      <w:r>
        <w:rPr>
          <w:rFonts w:hint="eastAsia"/>
          <w:color w:val="auto"/>
          <w:highlight w:val="none"/>
        </w:rPr>
        <w:br w:type="page"/>
      </w:r>
    </w:p>
    <w:p w14:paraId="73066EE5">
      <w:pPr>
        <w:rPr>
          <w:rFonts w:hint="eastAsia"/>
          <w:color w:val="auto"/>
          <w:highlight w:val="none"/>
        </w:rPr>
      </w:pPr>
      <w:r>
        <w:rPr>
          <w:rFonts w:hint="eastAsia"/>
          <w:color w:val="auto"/>
          <w:highlight w:val="none"/>
        </w:rPr>
        <w:t>附件二：建设工程廉政责任书</w:t>
      </w:r>
    </w:p>
    <w:p w14:paraId="2FB918E4">
      <w:pPr>
        <w:jc w:val="center"/>
        <w:rPr>
          <w:rFonts w:hint="eastAsia" w:ascii="宋体" w:hAnsi="宋体" w:cs="宋体"/>
          <w:b/>
          <w:color w:val="auto"/>
          <w:sz w:val="30"/>
          <w:szCs w:val="30"/>
          <w:highlight w:val="none"/>
        </w:rPr>
      </w:pPr>
    </w:p>
    <w:p w14:paraId="6851E91A">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建设工程廉政责任书</w:t>
      </w:r>
    </w:p>
    <w:p w14:paraId="79E7FE66">
      <w:pPr>
        <w:jc w:val="center"/>
        <w:rPr>
          <w:rFonts w:hint="eastAsia" w:ascii="宋体" w:hAnsi="宋体" w:cs="宋体"/>
          <w:b/>
          <w:color w:val="auto"/>
          <w:sz w:val="30"/>
          <w:szCs w:val="30"/>
          <w:highlight w:val="none"/>
        </w:rPr>
      </w:pPr>
    </w:p>
    <w:p w14:paraId="513E4D37">
      <w:pPr>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发包人（全称）：</w:t>
      </w:r>
      <w:r>
        <w:rPr>
          <w:rFonts w:hint="eastAsia" w:ascii="宋体" w:hAnsi="宋体" w:cs="宋体"/>
          <w:b/>
          <w:color w:val="auto"/>
          <w:highlight w:val="none"/>
          <w:u w:val="single"/>
        </w:rPr>
        <w:t xml:space="preserve">                      </w:t>
      </w:r>
    </w:p>
    <w:p w14:paraId="69BE659D">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ascii="宋体" w:hAnsi="宋体" w:cs="宋体"/>
          <w:color w:val="auto"/>
          <w:highlight w:val="none"/>
        </w:rPr>
        <w:t>　　承包人（全称）：</w:t>
      </w:r>
      <w:r>
        <w:rPr>
          <w:rFonts w:hint="eastAsia"/>
          <w:b/>
          <w:color w:val="auto"/>
          <w:highlight w:val="none"/>
          <w:u w:val="single"/>
        </w:rPr>
        <w:t xml:space="preserve">                      </w:t>
      </w:r>
      <w:r>
        <w:rPr>
          <w:rFonts w:ascii="宋体" w:hAnsi="宋体" w:cs="宋体"/>
          <w:color w:val="auto"/>
          <w:highlight w:val="none"/>
        </w:rPr>
        <w:t xml:space="preserve">   </w:t>
      </w:r>
      <w:r>
        <w:rPr>
          <w:rFonts w:hint="eastAsia"/>
          <w:color w:val="auto"/>
          <w:highlight w:val="none"/>
        </w:rPr>
        <w:t>　　　　　　　　　　　　　　　　　　　　　　</w:t>
      </w:r>
    </w:p>
    <w:p w14:paraId="2E195B1E">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p>
    <w:p w14:paraId="5173A9E2">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E09E0AE">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一、双方的责任</w:t>
      </w:r>
    </w:p>
    <w:p w14:paraId="72A545A5">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1.1应严格遵守国家关于建设工程的有关法律、法规，相关政策，以及廉政建设的各项规定。</w:t>
      </w:r>
    </w:p>
    <w:p w14:paraId="384B3F7E">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1.2严格执行建设工程合同文件，自觉按合同办事。</w:t>
      </w:r>
    </w:p>
    <w:p w14:paraId="15B4FEFD">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1.3各项活动必须坚持公开、公平、公正、诚信、透明的原则(除法律法规另有规定者外)，不得为获取不正当的利益，损害国家、集体和对方利益，不得违反建设工程管理的规章制度。</w:t>
      </w:r>
    </w:p>
    <w:p w14:paraId="42BD113C">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1.4发现对方在业务活动中有违规、违纪、违法行为的，应及时提醒对方，情节严重的，应向其上级主管部门或纪检监察、司法等有关机关举报。</w:t>
      </w:r>
    </w:p>
    <w:p w14:paraId="7A99145D">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二、发包人责任</w:t>
      </w:r>
    </w:p>
    <w:p w14:paraId="1C3CE230">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发包人的领导和从事该建设工程项目的工作人员，在工程建设的事前、事中、事后应遵守以下规定：</w:t>
      </w:r>
    </w:p>
    <w:p w14:paraId="6A052474">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2.1不得向承包人和相关单位索要或接受回扣、礼金、有价证券、贵重物品和好处费、感谢费等。</w:t>
      </w:r>
    </w:p>
    <w:p w14:paraId="4102B125">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2.2不得在承包人和相关单位报销任何应由发包人或个人支付的费用。</w:t>
      </w:r>
    </w:p>
    <w:p w14:paraId="5AA68A93">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2.3不得要求、暗示或接受承包人和相关单位为个人装修住房、婚丧嫁娶、配偶子女的工作安排以及出国(境)、旅游等提供方便。</w:t>
      </w:r>
    </w:p>
    <w:p w14:paraId="5D51C756">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2.4不得参加有可能影响公正执行公务的承包人和相关单位的宴请、健身、娱乐等活动。</w:t>
      </w:r>
    </w:p>
    <w:p w14:paraId="097F1F4C">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2.5不得向承包人和相关单位介绍或为配偶、子女、亲属参与同发包人工程建设管理合同有关的业务活动；不得以任何理由要求承包人和相关单位使用某种产品、材料和设备。</w:t>
      </w:r>
    </w:p>
    <w:p w14:paraId="65F0F1CF">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三、承包人责任</w:t>
      </w:r>
    </w:p>
    <w:p w14:paraId="746EF651">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应与发包人保持正常的业务交往，按照有关法律法规和程序开展业务工作，严格执行工程建设的有关方针、政策，执行工程建设强制性标准，并遵守以下规定：</w:t>
      </w:r>
    </w:p>
    <w:p w14:paraId="0A9F05C2">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3.1不得以任何理由向发包人及其工作人员索要、接受或赠送礼金、有价证券、贵重物品及回扣、好处费、感谢费等。</w:t>
      </w:r>
    </w:p>
    <w:p w14:paraId="74102FE1">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3.2不得以任何理由为发包人和相关单位报销应由对方或个人支付的费用。</w:t>
      </w:r>
    </w:p>
    <w:p w14:paraId="7B6251E1">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3.3不得接受或暗示为发包人、相关单位或个人装修住房、婚丧嫁娶、配偶子女的工作安排以及出国(境)、旅游等提供方便。</w:t>
      </w:r>
    </w:p>
    <w:p w14:paraId="56D68C42">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3.4不得以任何理由为发包人、相关单位或个人组织有可能影响公正执行公务的宴请、健身、娱乐等活动。</w:t>
      </w:r>
    </w:p>
    <w:p w14:paraId="1A86457D">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四、违约责任</w:t>
      </w:r>
    </w:p>
    <w:p w14:paraId="52881740">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4.1发包人工作人员有违反本责任书第一、二条责任行为的，依据有关法律、法规给予处理；涉嫌犯罪的，移交司法机关追究刑事责任；给承包人单位造成经济损失的，应予以赔偿。</w:t>
      </w:r>
    </w:p>
    <w:p w14:paraId="18665590">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4.2承包人工作人员有违反本责任书第一、三条责任行为的，依据有关法律法规处理；涉嫌犯罪的，移交司法机关追究刑事责任；给发包人单位造成经济损失的，应予以赔偿。</w:t>
      </w:r>
    </w:p>
    <w:p w14:paraId="4022CFFF">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4.3本责任书作为建设工程合同的组成部分，与建设工程合同具有同等法律效力。经双方签署后立即生效。</w:t>
      </w:r>
    </w:p>
    <w:p w14:paraId="744B0326">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五、责任书有效期</w:t>
      </w:r>
    </w:p>
    <w:p w14:paraId="2CBA745E">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本责任书的有效期为双方签署之日起至该工程项目竣工验收合格时止。</w:t>
      </w:r>
    </w:p>
    <w:p w14:paraId="1DC196EE">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六、责任书份数</w:t>
      </w:r>
    </w:p>
    <w:p w14:paraId="0DBD749D">
      <w:pPr>
        <w:pageBreakBefore w:val="0"/>
        <w:widowControl w:val="0"/>
        <w:kinsoku/>
        <w:wordWrap/>
        <w:overflowPunct/>
        <w:topLinePunct w:val="0"/>
        <w:autoSpaceDE/>
        <w:autoSpaceDN/>
        <w:bidi w:val="0"/>
        <w:adjustRightInd/>
        <w:snapToGrid/>
        <w:spacing w:line="400" w:lineRule="exact"/>
        <w:ind w:firstLine="405"/>
        <w:textAlignment w:val="auto"/>
        <w:rPr>
          <w:rFonts w:hint="eastAsia"/>
          <w:color w:val="auto"/>
          <w:highlight w:val="none"/>
        </w:rPr>
      </w:pPr>
      <w:r>
        <w:rPr>
          <w:rFonts w:hint="eastAsia"/>
          <w:color w:val="auto"/>
          <w:highlight w:val="none"/>
        </w:rPr>
        <w:t>本责任书一式二份，发包人承包人各执一份，具有同等效力。</w:t>
      </w:r>
    </w:p>
    <w:p w14:paraId="3956A4ED">
      <w:pPr>
        <w:pStyle w:val="137"/>
        <w:snapToGrid w:val="0"/>
        <w:spacing w:before="0" w:line="360" w:lineRule="auto"/>
        <w:rPr>
          <w:rFonts w:ascii="宋体" w:hAnsi="宋体"/>
          <w:color w:val="auto"/>
          <w:highlight w:val="none"/>
        </w:rPr>
      </w:pPr>
    </w:p>
    <w:p w14:paraId="5ABACF4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11DB3DD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1343F70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1D289F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2DC23EB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4489C5D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1CC244E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09500D4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7DB26F4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7CD7853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4BA4E13C">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4A5B858C">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55FCC59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63BEBA55">
      <w:pPr>
        <w:rPr>
          <w:color w:val="auto"/>
          <w:highlight w:val="none"/>
        </w:rPr>
      </w:pPr>
    </w:p>
    <w:p w14:paraId="5D3EE44D">
      <w:pPr>
        <w:rPr>
          <w:rFonts w:ascii="宋体" w:hAnsi="宋体"/>
          <w:b/>
          <w:color w:val="auto"/>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12B241D1"/>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14:paraId="12B241D1"/>
                  </w:txbxContent>
                </v:textbox>
              </v:rect>
            </w:pict>
          </mc:Fallback>
        </mc:AlternateContent>
      </w:r>
      <w:r>
        <w:rPr>
          <w:rFonts w:ascii="宋体" w:hAnsi="宋体"/>
          <w:color w:val="auto"/>
          <w:highlight w:val="none"/>
        </w:rPr>
        <w:br w:type="page"/>
      </w:r>
    </w:p>
    <w:p w14:paraId="12545FD7">
      <w:pPr>
        <w:pStyle w:val="4"/>
        <w:spacing w:before="0" w:after="0" w:line="360" w:lineRule="auto"/>
        <w:jc w:val="center"/>
        <w:rPr>
          <w:rFonts w:ascii="宋体" w:hAnsi="宋体"/>
          <w:color w:val="auto"/>
          <w:highlight w:val="none"/>
        </w:rPr>
      </w:pPr>
      <w:bookmarkStart w:id="618" w:name="招标文件05章工程量清单"/>
      <w:bookmarkEnd w:id="618"/>
      <w:bookmarkStart w:id="619" w:name="_Toc29526"/>
      <w:bookmarkStart w:id="620" w:name="_Toc287607855"/>
      <w:bookmarkStart w:id="621" w:name="_Toc509218843"/>
      <w:bookmarkStart w:id="622" w:name="_Toc430530513"/>
      <w:bookmarkStart w:id="623" w:name="_Toc16194"/>
      <w:bookmarkStart w:id="624" w:name="_Toc534185822"/>
      <w:bookmarkStart w:id="625" w:name="_Toc287620797"/>
      <w:r>
        <w:rPr>
          <w:rFonts w:hint="eastAsia" w:ascii="宋体" w:hAnsi="宋体"/>
          <w:color w:val="auto"/>
          <w:highlight w:val="none"/>
        </w:rPr>
        <w:t>第五章  工程量清单</w:t>
      </w:r>
      <w:bookmarkEnd w:id="619"/>
      <w:bookmarkEnd w:id="620"/>
      <w:bookmarkEnd w:id="621"/>
      <w:bookmarkEnd w:id="622"/>
      <w:bookmarkEnd w:id="623"/>
      <w:bookmarkEnd w:id="624"/>
      <w:bookmarkEnd w:id="625"/>
      <w:bookmarkStart w:id="626" w:name="招标文件05章工程量清单01"/>
      <w:bookmarkEnd w:id="626"/>
      <w:bookmarkStart w:id="627" w:name="_Toc430530514"/>
      <w:bookmarkStart w:id="628" w:name="_Toc287620798"/>
      <w:bookmarkStart w:id="629" w:name="_Toc224103477"/>
      <w:bookmarkStart w:id="630" w:name="_Toc277082638"/>
      <w:bookmarkStart w:id="631" w:name="_Toc287607856"/>
    </w:p>
    <w:bookmarkEnd w:id="627"/>
    <w:bookmarkEnd w:id="628"/>
    <w:bookmarkEnd w:id="629"/>
    <w:bookmarkEnd w:id="630"/>
    <w:bookmarkEnd w:id="631"/>
    <w:p w14:paraId="1360444F">
      <w:pPr>
        <w:snapToGrid w:val="0"/>
        <w:spacing w:line="360" w:lineRule="auto"/>
        <w:jc w:val="center"/>
        <w:rPr>
          <w:rFonts w:ascii="宋体" w:hAnsi="宋体"/>
          <w:color w:val="auto"/>
          <w:sz w:val="24"/>
          <w:highlight w:val="none"/>
        </w:rPr>
      </w:pPr>
    </w:p>
    <w:p w14:paraId="6B2B3000">
      <w:pPr>
        <w:ind w:right="561"/>
        <w:jc w:val="center"/>
        <w:rPr>
          <w:rFonts w:ascii="宋体" w:hAnsi="宋体"/>
          <w:color w:val="auto"/>
          <w:szCs w:val="21"/>
          <w:highlight w:val="none"/>
        </w:rPr>
      </w:pPr>
      <w:r>
        <w:rPr>
          <w:rFonts w:hint="eastAsia" w:ascii="宋体" w:hAnsi="宋体"/>
          <w:snapToGrid w:val="0"/>
          <w:color w:val="auto"/>
          <w:kern w:val="0"/>
          <w:szCs w:val="21"/>
          <w:highlight w:val="none"/>
          <w:lang w:val="en-US" w:eastAsia="zh-CN"/>
        </w:rPr>
        <w:t>在“行采家”（www.gec123.com）上下载或到比选代理机构处领取。</w:t>
      </w:r>
      <w:r>
        <w:rPr>
          <w:rFonts w:ascii="宋体" w:hAnsi="宋体"/>
          <w:color w:val="auto"/>
          <w:sz w:val="24"/>
          <w:highlight w:val="none"/>
        </w:rPr>
        <w:br w:type="page"/>
      </w:r>
    </w:p>
    <w:p w14:paraId="36001AF5">
      <w:pPr>
        <w:pStyle w:val="4"/>
        <w:spacing w:line="360" w:lineRule="auto"/>
        <w:jc w:val="center"/>
        <w:rPr>
          <w:rFonts w:ascii="宋体" w:hAnsi="宋体"/>
          <w:color w:val="auto"/>
          <w:highlight w:val="none"/>
        </w:rPr>
      </w:pPr>
      <w:bookmarkStart w:id="632" w:name="招标文件06章图纸"/>
      <w:bookmarkEnd w:id="632"/>
      <w:bookmarkStart w:id="633" w:name="_Toc287607861"/>
      <w:bookmarkStart w:id="634" w:name="_Toc430530519"/>
      <w:bookmarkStart w:id="635" w:name="_Toc22154"/>
      <w:bookmarkStart w:id="636" w:name="_Toc20092"/>
      <w:bookmarkStart w:id="637" w:name="_Toc287620803"/>
      <w:bookmarkStart w:id="638" w:name="_Toc534185825"/>
      <w:bookmarkStart w:id="639" w:name="_Toc509218846"/>
      <w:r>
        <w:rPr>
          <w:rFonts w:hint="eastAsia" w:ascii="宋体" w:hAnsi="宋体"/>
          <w:color w:val="auto"/>
          <w:highlight w:val="none"/>
        </w:rPr>
        <w:t>第六章  图纸</w:t>
      </w:r>
      <w:bookmarkEnd w:id="633"/>
      <w:bookmarkEnd w:id="634"/>
      <w:bookmarkEnd w:id="635"/>
      <w:bookmarkEnd w:id="636"/>
      <w:bookmarkEnd w:id="637"/>
      <w:bookmarkEnd w:id="638"/>
      <w:bookmarkEnd w:id="639"/>
    </w:p>
    <w:p w14:paraId="1D3A178E">
      <w:pPr>
        <w:spacing w:line="360" w:lineRule="auto"/>
        <w:jc w:val="center"/>
        <w:rPr>
          <w:rFonts w:ascii="宋体" w:hAnsi="宋体"/>
          <w:color w:val="auto"/>
          <w:szCs w:val="20"/>
          <w:highlight w:val="none"/>
        </w:rPr>
      </w:pPr>
      <w:r>
        <w:rPr>
          <w:rFonts w:hint="eastAsia" w:ascii="宋体" w:hAnsi="宋体"/>
          <w:color w:val="auto"/>
          <w:szCs w:val="20"/>
          <w:highlight w:val="none"/>
          <w:lang w:val="en-US" w:eastAsia="zh-CN"/>
        </w:rPr>
        <w:t>本项目</w:t>
      </w:r>
      <w:r>
        <w:rPr>
          <w:rFonts w:hint="eastAsia" w:ascii="宋体" w:hAnsi="宋体"/>
          <w:color w:val="auto"/>
          <w:szCs w:val="20"/>
          <w:highlight w:val="none"/>
          <w:lang w:eastAsia="zh-CN"/>
        </w:rPr>
        <w:t>无</w:t>
      </w:r>
      <w:r>
        <w:rPr>
          <w:rFonts w:hint="eastAsia" w:ascii="宋体" w:hAnsi="宋体"/>
          <w:color w:val="auto"/>
          <w:szCs w:val="20"/>
          <w:highlight w:val="none"/>
          <w:lang w:val="en-US" w:eastAsia="zh-CN"/>
        </w:rPr>
        <w:t>图纸</w:t>
      </w:r>
      <w:r>
        <w:rPr>
          <w:rFonts w:hint="eastAsia" w:ascii="宋体" w:hAnsi="宋体"/>
          <w:color w:val="auto"/>
          <w:szCs w:val="20"/>
          <w:highlight w:val="none"/>
        </w:rPr>
        <w:t>。</w:t>
      </w:r>
    </w:p>
    <w:p w14:paraId="786686FF">
      <w:pPr>
        <w:spacing w:line="360" w:lineRule="auto"/>
        <w:rPr>
          <w:rFonts w:ascii="宋体" w:hAnsi="宋体"/>
          <w:color w:val="auto"/>
          <w:szCs w:val="20"/>
          <w:highlight w:val="none"/>
        </w:rPr>
      </w:pPr>
      <w:bookmarkStart w:id="640" w:name="招标文件06章图纸01"/>
      <w:bookmarkEnd w:id="640"/>
      <w:bookmarkStart w:id="641" w:name="_Toc430530520"/>
      <w:bookmarkStart w:id="642" w:name="_Toc287620804"/>
    </w:p>
    <w:bookmarkEnd w:id="641"/>
    <w:bookmarkEnd w:id="642"/>
    <w:p w14:paraId="41C3B5FB">
      <w:pPr>
        <w:spacing w:line="360" w:lineRule="auto"/>
        <w:rPr>
          <w:rFonts w:ascii="宋体" w:hAnsi="宋体"/>
          <w:color w:val="auto"/>
          <w:highlight w:val="none"/>
        </w:rPr>
      </w:pPr>
      <w:r>
        <w:rPr>
          <w:rFonts w:ascii="宋体" w:hAnsi="宋体"/>
          <w:color w:val="auto"/>
          <w:szCs w:val="20"/>
          <w:highlight w:val="none"/>
        </w:rPr>
        <w:br w:type="page"/>
      </w:r>
    </w:p>
    <w:p w14:paraId="25C5B5BC">
      <w:pPr>
        <w:pStyle w:val="4"/>
        <w:spacing w:line="360" w:lineRule="auto"/>
        <w:jc w:val="center"/>
        <w:rPr>
          <w:rFonts w:ascii="宋体" w:hAnsi="宋体"/>
          <w:color w:val="auto"/>
          <w:highlight w:val="none"/>
        </w:rPr>
      </w:pPr>
      <w:bookmarkStart w:id="643" w:name="招标文件07章技术标准和要求"/>
      <w:bookmarkEnd w:id="643"/>
      <w:bookmarkStart w:id="644" w:name="_Toc12"/>
      <w:bookmarkStart w:id="645" w:name="_Toc17170"/>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644"/>
      <w:bookmarkEnd w:id="645"/>
      <w:bookmarkStart w:id="646" w:name="招标文件07章技术标准和要求01"/>
      <w:bookmarkEnd w:id="646"/>
      <w:bookmarkStart w:id="647" w:name="_Toc287620808"/>
      <w:bookmarkStart w:id="648" w:name="_Toc430530524"/>
    </w:p>
    <w:bookmarkEnd w:id="647"/>
    <w:bookmarkEnd w:id="648"/>
    <w:p w14:paraId="10220826">
      <w:pPr>
        <w:spacing w:line="360" w:lineRule="auto"/>
        <w:jc w:val="center"/>
        <w:rPr>
          <w:rFonts w:ascii="宋体" w:hAnsi="宋体"/>
          <w:color w:val="auto"/>
          <w:szCs w:val="21"/>
          <w:highlight w:val="none"/>
        </w:rPr>
      </w:pPr>
      <w:r>
        <w:rPr>
          <w:rFonts w:ascii="宋体" w:hAnsi="宋体"/>
          <w:color w:val="auto"/>
          <w:szCs w:val="21"/>
          <w:highlight w:val="none"/>
        </w:rPr>
        <w:t>由</w:t>
      </w:r>
      <w:r>
        <w:rPr>
          <w:rFonts w:hint="eastAsia" w:ascii="宋体" w:hAnsi="宋体"/>
          <w:color w:val="auto"/>
          <w:szCs w:val="21"/>
          <w:highlight w:val="none"/>
          <w:lang w:eastAsia="zh-CN"/>
        </w:rPr>
        <w:t>比选人</w:t>
      </w:r>
      <w:r>
        <w:rPr>
          <w:rFonts w:ascii="宋体" w:hAnsi="宋体"/>
          <w:color w:val="auto"/>
          <w:szCs w:val="21"/>
          <w:highlight w:val="none"/>
        </w:rPr>
        <w:t>根据</w:t>
      </w:r>
      <w:r>
        <w:rPr>
          <w:rFonts w:hint="eastAsia" w:ascii="宋体" w:hAnsi="宋体"/>
          <w:color w:val="auto"/>
          <w:szCs w:val="21"/>
          <w:highlight w:val="none"/>
          <w:lang w:eastAsia="zh-CN"/>
        </w:rPr>
        <w:t>比选项目</w:t>
      </w:r>
      <w:r>
        <w:rPr>
          <w:rFonts w:ascii="宋体" w:hAnsi="宋体"/>
          <w:color w:val="auto"/>
          <w:szCs w:val="21"/>
          <w:highlight w:val="none"/>
        </w:rPr>
        <w:t>的实际情况编写</w:t>
      </w:r>
      <w:r>
        <w:rPr>
          <w:rFonts w:hint="eastAsia" w:ascii="宋体" w:hAnsi="宋体"/>
          <w:color w:val="auto"/>
          <w:szCs w:val="21"/>
          <w:highlight w:val="none"/>
        </w:rPr>
        <w:t>（如有）。</w:t>
      </w:r>
    </w:p>
    <w:p w14:paraId="21AA3EC3">
      <w:pPr>
        <w:spacing w:line="360" w:lineRule="auto"/>
        <w:rPr>
          <w:rFonts w:ascii="宋体" w:hAnsi="宋体"/>
          <w:color w:val="auto"/>
          <w:highlight w:val="none"/>
        </w:rPr>
      </w:pPr>
      <w:r>
        <w:rPr>
          <w:rFonts w:ascii="宋体" w:hAnsi="宋体"/>
          <w:color w:val="auto"/>
          <w:highlight w:val="none"/>
        </w:rPr>
        <w:br w:type="page"/>
      </w:r>
    </w:p>
    <w:p w14:paraId="6A0F62A9">
      <w:pPr>
        <w:pStyle w:val="4"/>
        <w:spacing w:line="360" w:lineRule="auto"/>
        <w:jc w:val="center"/>
        <w:rPr>
          <w:rFonts w:ascii="宋体" w:hAnsi="宋体"/>
          <w:color w:val="auto"/>
          <w:highlight w:val="none"/>
        </w:rPr>
      </w:pPr>
      <w:bookmarkStart w:id="649" w:name="_Toc534185829"/>
      <w:bookmarkStart w:id="650" w:name="_Toc287607865"/>
      <w:bookmarkStart w:id="651" w:name="_Toc509218852"/>
      <w:bookmarkStart w:id="652" w:name="_Toc13509"/>
      <w:bookmarkStart w:id="653" w:name="_Toc287620812"/>
      <w:bookmarkStart w:id="654" w:name="_Toc430530528"/>
      <w:bookmarkStart w:id="655" w:name="_Toc23843"/>
      <w:r>
        <w:rPr>
          <w:rFonts w:hint="eastAsia" w:ascii="宋体" w:hAnsi="宋体"/>
          <w:color w:val="auto"/>
          <w:highlight w:val="none"/>
        </w:rPr>
        <w:t>第八章  投标文件格式</w:t>
      </w:r>
      <w:bookmarkEnd w:id="649"/>
      <w:bookmarkEnd w:id="650"/>
      <w:bookmarkEnd w:id="651"/>
      <w:bookmarkEnd w:id="652"/>
      <w:bookmarkEnd w:id="653"/>
      <w:bookmarkEnd w:id="654"/>
      <w:bookmarkEnd w:id="655"/>
    </w:p>
    <w:p w14:paraId="271F35D7">
      <w:pPr>
        <w:spacing w:line="360" w:lineRule="auto"/>
        <w:rPr>
          <w:rFonts w:ascii="宋体" w:hAnsi="宋体"/>
          <w:color w:val="auto"/>
          <w:sz w:val="32"/>
          <w:szCs w:val="32"/>
          <w:highlight w:val="none"/>
        </w:rPr>
      </w:pPr>
    </w:p>
    <w:p w14:paraId="594C6B01">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656" w:name="_Toc224103493"/>
      <w:r>
        <w:rPr>
          <w:rFonts w:hint="eastAsia" w:ascii="宋体" w:hAnsi="宋体"/>
          <w:color w:val="auto"/>
          <w:sz w:val="36"/>
          <w:szCs w:val="36"/>
          <w:highlight w:val="none"/>
        </w:rPr>
        <w:t>目  录</w:t>
      </w:r>
      <w:bookmarkEnd w:id="656"/>
    </w:p>
    <w:p w14:paraId="63D8B6C4">
      <w:pPr>
        <w:spacing w:line="360" w:lineRule="auto"/>
        <w:jc w:val="center"/>
        <w:rPr>
          <w:rFonts w:ascii="宋体" w:hAnsi="宋体"/>
          <w:color w:val="auto"/>
          <w:szCs w:val="20"/>
          <w:highlight w:val="none"/>
        </w:rPr>
      </w:pPr>
    </w:p>
    <w:p w14:paraId="0677B2E1">
      <w:pPr>
        <w:spacing w:line="360" w:lineRule="auto"/>
        <w:rPr>
          <w:rFonts w:ascii="宋体" w:hAnsi="宋体"/>
          <w:b/>
          <w:color w:val="auto"/>
          <w:highlight w:val="none"/>
        </w:rPr>
      </w:pPr>
      <w:r>
        <w:rPr>
          <w:rFonts w:hint="eastAsia" w:ascii="宋体" w:hAnsi="宋体"/>
          <w:b/>
          <w:color w:val="auto"/>
          <w:highlight w:val="none"/>
          <w:lang w:eastAsia="zh-CN"/>
        </w:rPr>
        <w:t>一</w:t>
      </w:r>
      <w:r>
        <w:rPr>
          <w:rFonts w:ascii="宋体" w:hAnsi="宋体"/>
          <w:b/>
          <w:color w:val="auto"/>
          <w:highlight w:val="none"/>
        </w:rPr>
        <w:t>、投标函部分</w:t>
      </w:r>
    </w:p>
    <w:p w14:paraId="749B097D">
      <w:pPr>
        <w:spacing w:line="360" w:lineRule="auto"/>
        <w:ind w:firstLine="420" w:firstLineChars="200"/>
        <w:rPr>
          <w:rFonts w:ascii="宋体" w:hAnsi="宋体"/>
          <w:color w:val="auto"/>
          <w:highlight w:val="none"/>
        </w:rPr>
      </w:pPr>
      <w:r>
        <w:rPr>
          <w:rFonts w:ascii="宋体" w:hAnsi="宋体"/>
          <w:color w:val="auto"/>
          <w:highlight w:val="none"/>
        </w:rPr>
        <w:t>（一）投标函</w:t>
      </w:r>
    </w:p>
    <w:p w14:paraId="1660D688">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5C58E795">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699F9188">
      <w:pPr>
        <w:spacing w:line="360" w:lineRule="auto"/>
        <w:rPr>
          <w:rFonts w:ascii="宋体" w:hAnsi="宋体"/>
          <w:b/>
          <w:color w:val="auto"/>
          <w:highlight w:val="none"/>
        </w:rPr>
      </w:pPr>
      <w:r>
        <w:rPr>
          <w:rFonts w:hint="eastAsia" w:ascii="宋体" w:hAnsi="宋体"/>
          <w:b/>
          <w:color w:val="auto"/>
          <w:highlight w:val="none"/>
          <w:lang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7EF9383B">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6BC632DF">
      <w:pPr>
        <w:spacing w:line="360" w:lineRule="auto"/>
        <w:rPr>
          <w:rFonts w:ascii="宋体" w:hAnsi="宋体"/>
          <w:b/>
          <w:color w:val="auto"/>
          <w:highlight w:val="none"/>
        </w:rPr>
      </w:pPr>
      <w:r>
        <w:rPr>
          <w:rFonts w:hint="eastAsia" w:ascii="宋体" w:hAnsi="宋体"/>
          <w:b/>
          <w:color w:val="auto"/>
          <w:highlight w:val="none"/>
          <w:lang w:eastAsia="zh-CN"/>
        </w:rPr>
        <w:t>三</w:t>
      </w:r>
      <w:r>
        <w:rPr>
          <w:rFonts w:ascii="宋体" w:hAnsi="宋体"/>
          <w:b/>
          <w:color w:val="auto"/>
          <w:highlight w:val="none"/>
        </w:rPr>
        <w:t>、</w:t>
      </w:r>
      <w:r>
        <w:rPr>
          <w:rFonts w:hint="eastAsia" w:ascii="宋体" w:hAnsi="宋体"/>
          <w:b/>
          <w:color w:val="auto"/>
          <w:highlight w:val="none"/>
        </w:rPr>
        <w:t>资格审查部分</w:t>
      </w:r>
    </w:p>
    <w:p w14:paraId="1B881CDB">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6463DADB">
      <w:pPr>
        <w:spacing w:line="360" w:lineRule="auto"/>
        <w:ind w:firstLine="420" w:firstLineChars="200"/>
        <w:rPr>
          <w:rFonts w:ascii="宋体" w:hAnsi="宋体"/>
          <w:color w:val="auto"/>
          <w:highlight w:val="none"/>
        </w:rPr>
      </w:pPr>
      <w:r>
        <w:rPr>
          <w:rFonts w:ascii="宋体" w:hAnsi="宋体"/>
          <w:color w:val="auto"/>
          <w:highlight w:val="none"/>
        </w:rPr>
        <w:t>（二）投标人基本情况表</w:t>
      </w:r>
    </w:p>
    <w:p w14:paraId="089C13A2">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14:paraId="1F5AE3F0">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承诺</w:t>
      </w:r>
    </w:p>
    <w:p w14:paraId="0CC7B847">
      <w:pPr>
        <w:spacing w:line="360" w:lineRule="auto"/>
        <w:ind w:firstLine="420" w:firstLineChars="200"/>
        <w:rPr>
          <w:rFonts w:ascii="宋体" w:hAnsi="宋体"/>
          <w:color w:val="auto"/>
          <w:highlight w:val="none"/>
        </w:rPr>
      </w:pPr>
      <w:r>
        <w:rPr>
          <w:rFonts w:ascii="宋体" w:hAnsi="宋体"/>
          <w:color w:val="auto"/>
          <w:highlight w:val="none"/>
        </w:rPr>
        <w:t>（五）其他资料</w:t>
      </w:r>
    </w:p>
    <w:p w14:paraId="036B2417">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657" w:name="_Toc224103494"/>
      <w:bookmarkStart w:id="658" w:name="_Toc287607866"/>
      <w:bookmarkStart w:id="659" w:name="_Toc430530529"/>
      <w:bookmarkStart w:id="660" w:name="_Toc277082642"/>
      <w:bookmarkStart w:id="661" w:name="_Toc287620813"/>
    </w:p>
    <w:p w14:paraId="00FD1422">
      <w:pPr>
        <w:pStyle w:val="5"/>
        <w:spacing w:line="360" w:lineRule="auto"/>
        <w:jc w:val="center"/>
        <w:rPr>
          <w:rFonts w:ascii="宋体" w:hAnsi="宋体"/>
          <w:b w:val="0"/>
          <w:bCs w:val="0"/>
          <w:color w:val="auto"/>
          <w:sz w:val="44"/>
          <w:szCs w:val="44"/>
          <w:highlight w:val="none"/>
        </w:rPr>
      </w:pPr>
      <w:bookmarkStart w:id="662" w:name="_Toc19476"/>
      <w:bookmarkStart w:id="663" w:name="_Toc17164"/>
      <w:r>
        <w:rPr>
          <w:rFonts w:hint="eastAsia" w:ascii="宋体" w:hAnsi="宋体"/>
          <w:b w:val="0"/>
          <w:bCs w:val="0"/>
          <w:color w:val="auto"/>
          <w:sz w:val="44"/>
          <w:szCs w:val="44"/>
          <w:highlight w:val="none"/>
          <w:lang w:eastAsia="zh-CN"/>
        </w:rPr>
        <w:t>一</w:t>
      </w:r>
      <w:r>
        <w:rPr>
          <w:rFonts w:hint="eastAsia" w:ascii="宋体" w:hAnsi="宋体"/>
          <w:b w:val="0"/>
          <w:bCs w:val="0"/>
          <w:color w:val="auto"/>
          <w:sz w:val="44"/>
          <w:szCs w:val="44"/>
          <w:highlight w:val="none"/>
        </w:rPr>
        <w:t>、投标函部分</w:t>
      </w:r>
      <w:bookmarkEnd w:id="657"/>
      <w:bookmarkEnd w:id="658"/>
      <w:bookmarkEnd w:id="659"/>
      <w:bookmarkEnd w:id="660"/>
      <w:bookmarkEnd w:id="661"/>
      <w:bookmarkEnd w:id="662"/>
      <w:bookmarkEnd w:id="663"/>
    </w:p>
    <w:p w14:paraId="431BF13D">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60AEA956">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5A504D91">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u w:val="single"/>
          <w:lang w:val="en-US" w:eastAsia="zh-CN"/>
        </w:rPr>
        <w:t xml:space="preserve">                       </w:t>
      </w:r>
      <w:r>
        <w:rPr>
          <w:rFonts w:hint="eastAsia" w:ascii="宋体" w:hAnsi="宋体"/>
          <w:color w:val="auto"/>
          <w:kern w:val="0"/>
          <w:sz w:val="32"/>
          <w:szCs w:val="32"/>
          <w:highlight w:val="none"/>
          <w:u w:val="single"/>
        </w:rPr>
        <w:t xml:space="preserve">                （项目名称）</w:t>
      </w:r>
    </w:p>
    <w:p w14:paraId="77EAEEE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7B0421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F350AD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F00FCE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E27871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B62AA73">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68FEDBD7">
      <w:pPr>
        <w:autoSpaceDE w:val="0"/>
        <w:autoSpaceDN w:val="0"/>
        <w:adjustRightInd w:val="0"/>
        <w:snapToGrid w:val="0"/>
        <w:spacing w:line="360" w:lineRule="auto"/>
        <w:jc w:val="left"/>
        <w:rPr>
          <w:rFonts w:ascii="宋体" w:hAnsi="宋体"/>
          <w:color w:val="auto"/>
          <w:kern w:val="0"/>
          <w:sz w:val="16"/>
          <w:szCs w:val="16"/>
          <w:highlight w:val="none"/>
        </w:rPr>
      </w:pPr>
    </w:p>
    <w:p w14:paraId="726C087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2090C3B9">
      <w:pPr>
        <w:autoSpaceDE w:val="0"/>
        <w:autoSpaceDN w:val="0"/>
        <w:adjustRightInd w:val="0"/>
        <w:snapToGrid w:val="0"/>
        <w:spacing w:line="360" w:lineRule="auto"/>
        <w:jc w:val="left"/>
        <w:rPr>
          <w:rFonts w:ascii="宋体" w:hAnsi="宋体"/>
          <w:b/>
          <w:color w:val="auto"/>
          <w:kern w:val="0"/>
          <w:sz w:val="20"/>
          <w:szCs w:val="20"/>
          <w:highlight w:val="none"/>
        </w:rPr>
      </w:pPr>
    </w:p>
    <w:p w14:paraId="38252FC4">
      <w:pPr>
        <w:autoSpaceDE w:val="0"/>
        <w:autoSpaceDN w:val="0"/>
        <w:adjustRightInd w:val="0"/>
        <w:snapToGrid w:val="0"/>
        <w:spacing w:line="360" w:lineRule="auto"/>
        <w:jc w:val="left"/>
        <w:rPr>
          <w:rFonts w:ascii="宋体" w:hAnsi="宋体"/>
          <w:b/>
          <w:color w:val="auto"/>
          <w:kern w:val="0"/>
          <w:sz w:val="20"/>
          <w:szCs w:val="20"/>
          <w:highlight w:val="none"/>
        </w:rPr>
      </w:pPr>
    </w:p>
    <w:p w14:paraId="20D4A24A">
      <w:pPr>
        <w:autoSpaceDE w:val="0"/>
        <w:autoSpaceDN w:val="0"/>
        <w:adjustRightInd w:val="0"/>
        <w:snapToGrid w:val="0"/>
        <w:spacing w:line="360" w:lineRule="auto"/>
        <w:jc w:val="left"/>
        <w:rPr>
          <w:rFonts w:ascii="宋体" w:hAnsi="宋体"/>
          <w:b/>
          <w:color w:val="auto"/>
          <w:kern w:val="0"/>
          <w:sz w:val="20"/>
          <w:szCs w:val="20"/>
          <w:highlight w:val="none"/>
        </w:rPr>
      </w:pPr>
    </w:p>
    <w:p w14:paraId="396D6C89">
      <w:pPr>
        <w:autoSpaceDE w:val="0"/>
        <w:autoSpaceDN w:val="0"/>
        <w:adjustRightInd w:val="0"/>
        <w:snapToGrid w:val="0"/>
        <w:spacing w:line="360" w:lineRule="auto"/>
        <w:jc w:val="left"/>
        <w:rPr>
          <w:rFonts w:ascii="宋体" w:hAnsi="宋体"/>
          <w:b/>
          <w:color w:val="auto"/>
          <w:kern w:val="0"/>
          <w:sz w:val="20"/>
          <w:szCs w:val="20"/>
          <w:highlight w:val="none"/>
        </w:rPr>
      </w:pPr>
    </w:p>
    <w:p w14:paraId="3D65144B">
      <w:pPr>
        <w:autoSpaceDE w:val="0"/>
        <w:autoSpaceDN w:val="0"/>
        <w:adjustRightInd w:val="0"/>
        <w:snapToGrid w:val="0"/>
        <w:spacing w:line="360" w:lineRule="auto"/>
        <w:jc w:val="left"/>
        <w:rPr>
          <w:rFonts w:ascii="宋体" w:hAnsi="宋体"/>
          <w:b/>
          <w:color w:val="auto"/>
          <w:kern w:val="0"/>
          <w:sz w:val="20"/>
          <w:szCs w:val="20"/>
          <w:highlight w:val="none"/>
        </w:rPr>
      </w:pPr>
    </w:p>
    <w:p w14:paraId="3548EEA1">
      <w:pPr>
        <w:autoSpaceDE w:val="0"/>
        <w:autoSpaceDN w:val="0"/>
        <w:adjustRightInd w:val="0"/>
        <w:snapToGrid w:val="0"/>
        <w:spacing w:line="360" w:lineRule="auto"/>
        <w:jc w:val="left"/>
        <w:rPr>
          <w:rFonts w:ascii="宋体" w:hAnsi="宋体"/>
          <w:b/>
          <w:color w:val="auto"/>
          <w:kern w:val="0"/>
          <w:sz w:val="20"/>
          <w:szCs w:val="20"/>
          <w:highlight w:val="none"/>
        </w:rPr>
      </w:pPr>
    </w:p>
    <w:p w14:paraId="7E7AD551">
      <w:pPr>
        <w:autoSpaceDE w:val="0"/>
        <w:autoSpaceDN w:val="0"/>
        <w:adjustRightInd w:val="0"/>
        <w:snapToGrid w:val="0"/>
        <w:spacing w:line="360" w:lineRule="auto"/>
        <w:jc w:val="left"/>
        <w:rPr>
          <w:rFonts w:ascii="宋体" w:hAnsi="宋体"/>
          <w:b/>
          <w:color w:val="auto"/>
          <w:kern w:val="0"/>
          <w:sz w:val="20"/>
          <w:szCs w:val="20"/>
          <w:highlight w:val="none"/>
        </w:rPr>
      </w:pPr>
    </w:p>
    <w:p w14:paraId="12F52728">
      <w:pPr>
        <w:autoSpaceDE w:val="0"/>
        <w:autoSpaceDN w:val="0"/>
        <w:adjustRightInd w:val="0"/>
        <w:snapToGrid w:val="0"/>
        <w:spacing w:line="360" w:lineRule="auto"/>
        <w:jc w:val="left"/>
        <w:rPr>
          <w:rFonts w:ascii="宋体" w:hAnsi="宋体"/>
          <w:b/>
          <w:color w:val="auto"/>
          <w:kern w:val="0"/>
          <w:sz w:val="20"/>
          <w:szCs w:val="20"/>
          <w:highlight w:val="none"/>
        </w:rPr>
      </w:pPr>
    </w:p>
    <w:p w14:paraId="27DA3FC0">
      <w:pPr>
        <w:autoSpaceDE w:val="0"/>
        <w:autoSpaceDN w:val="0"/>
        <w:adjustRightInd w:val="0"/>
        <w:snapToGrid w:val="0"/>
        <w:spacing w:line="360" w:lineRule="auto"/>
        <w:jc w:val="left"/>
        <w:rPr>
          <w:rFonts w:ascii="宋体" w:hAnsi="宋体"/>
          <w:b/>
          <w:color w:val="auto"/>
          <w:kern w:val="0"/>
          <w:sz w:val="20"/>
          <w:szCs w:val="20"/>
          <w:highlight w:val="none"/>
        </w:rPr>
      </w:pPr>
    </w:p>
    <w:p w14:paraId="6D24FFF9">
      <w:pPr>
        <w:autoSpaceDE w:val="0"/>
        <w:autoSpaceDN w:val="0"/>
        <w:adjustRightInd w:val="0"/>
        <w:snapToGrid w:val="0"/>
        <w:spacing w:line="360" w:lineRule="auto"/>
        <w:jc w:val="left"/>
        <w:rPr>
          <w:rFonts w:ascii="宋体" w:hAnsi="宋体"/>
          <w:b/>
          <w:color w:val="auto"/>
          <w:kern w:val="0"/>
          <w:sz w:val="20"/>
          <w:szCs w:val="20"/>
          <w:highlight w:val="none"/>
        </w:rPr>
      </w:pPr>
    </w:p>
    <w:p w14:paraId="329EC0CF">
      <w:pPr>
        <w:autoSpaceDE w:val="0"/>
        <w:autoSpaceDN w:val="0"/>
        <w:adjustRightInd w:val="0"/>
        <w:snapToGrid w:val="0"/>
        <w:spacing w:line="360" w:lineRule="auto"/>
        <w:jc w:val="left"/>
        <w:rPr>
          <w:rFonts w:ascii="宋体" w:hAnsi="宋体"/>
          <w:b/>
          <w:color w:val="auto"/>
          <w:kern w:val="0"/>
          <w:sz w:val="20"/>
          <w:szCs w:val="20"/>
          <w:highlight w:val="none"/>
        </w:rPr>
      </w:pPr>
    </w:p>
    <w:p w14:paraId="55CFC7BC">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6F04D82">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6117DE90">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F022013">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181B920">
      <w:pPr>
        <w:autoSpaceDE w:val="0"/>
        <w:autoSpaceDN w:val="0"/>
        <w:adjustRightInd w:val="0"/>
        <w:snapToGrid w:val="0"/>
        <w:spacing w:line="360" w:lineRule="auto"/>
        <w:jc w:val="left"/>
        <w:rPr>
          <w:rFonts w:ascii="宋体" w:hAnsi="宋体"/>
          <w:color w:val="auto"/>
          <w:kern w:val="0"/>
          <w:sz w:val="24"/>
          <w:szCs w:val="21"/>
          <w:highlight w:val="none"/>
        </w:rPr>
      </w:pPr>
    </w:p>
    <w:p w14:paraId="0405BE8C">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7F3ED5C4">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7A1B3A2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45E50835">
      <w:pPr>
        <w:autoSpaceDE w:val="0"/>
        <w:autoSpaceDN w:val="0"/>
        <w:adjustRightInd w:val="0"/>
        <w:snapToGrid w:val="0"/>
        <w:spacing w:line="360" w:lineRule="auto"/>
        <w:jc w:val="left"/>
        <w:rPr>
          <w:rFonts w:ascii="宋体" w:hAnsi="宋体"/>
          <w:color w:val="auto"/>
          <w:w w:val="99"/>
          <w:kern w:val="0"/>
          <w:sz w:val="28"/>
          <w:szCs w:val="28"/>
          <w:highlight w:val="none"/>
        </w:rPr>
      </w:pPr>
    </w:p>
    <w:p w14:paraId="35D0043C">
      <w:pPr>
        <w:pStyle w:val="6"/>
        <w:spacing w:before="0" w:after="0" w:line="400" w:lineRule="exact"/>
        <w:jc w:val="center"/>
        <w:rPr>
          <w:rFonts w:ascii="宋体" w:hAnsi="宋体"/>
          <w:b w:val="0"/>
          <w:color w:val="auto"/>
          <w:highlight w:val="none"/>
        </w:rPr>
      </w:pPr>
      <w:bookmarkStart w:id="664" w:name="_Toc430530530"/>
      <w:bookmarkStart w:id="665" w:name="_Toc287620814"/>
      <w:bookmarkStart w:id="666" w:name="_Toc287607867"/>
      <w:bookmarkStart w:id="667" w:name="_Toc224103495"/>
      <w:bookmarkStart w:id="668" w:name="_Toc277082643"/>
      <w:bookmarkStart w:id="669" w:name="_Toc509218854"/>
      <w:bookmarkStart w:id="670" w:name="_Toc534185831"/>
      <w:r>
        <w:rPr>
          <w:rFonts w:ascii="宋体" w:hAnsi="宋体"/>
          <w:color w:val="auto"/>
          <w:highlight w:val="none"/>
        </w:rPr>
        <w:br w:type="page"/>
      </w:r>
      <w:bookmarkStart w:id="671" w:name="_Toc14548"/>
      <w:bookmarkStart w:id="672" w:name="_Toc26071"/>
      <w:r>
        <w:rPr>
          <w:rFonts w:hint="eastAsia"/>
          <w:color w:val="auto"/>
          <w:highlight w:val="none"/>
        </w:rPr>
        <w:t>（一）投标函</w:t>
      </w:r>
      <w:bookmarkEnd w:id="664"/>
      <w:bookmarkEnd w:id="665"/>
      <w:bookmarkEnd w:id="666"/>
      <w:bookmarkEnd w:id="667"/>
      <w:bookmarkEnd w:id="668"/>
      <w:bookmarkEnd w:id="669"/>
      <w:bookmarkEnd w:id="670"/>
      <w:bookmarkEnd w:id="671"/>
      <w:bookmarkEnd w:id="672"/>
    </w:p>
    <w:p w14:paraId="5E88856E">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549D6D01">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）的投标总报价进行报价，该工程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p>
    <w:p w14:paraId="139F3C27">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规定的投标有效期，</w:t>
      </w:r>
      <w:r>
        <w:rPr>
          <w:rFonts w:ascii="宋体" w:hAnsi="宋体"/>
          <w:snapToGrid w:val="0"/>
          <w:color w:val="auto"/>
          <w:kern w:val="0"/>
          <w:szCs w:val="21"/>
          <w:highlight w:val="none"/>
        </w:rPr>
        <w:t>在投标有效期内不修改、撤销投标文件。</w:t>
      </w:r>
    </w:p>
    <w:p w14:paraId="0C3F987F">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5E0FB5B2">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0E32D57A">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5004099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规定向你方递交履约担保。</w:t>
      </w:r>
    </w:p>
    <w:p w14:paraId="31B38050">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ECAAB3A">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第七章 技术标准和要求中所列的技术指标和参数要求完成全部合同工程。</w:t>
      </w:r>
    </w:p>
    <w:p w14:paraId="70790769">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A44EE9C">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7B750C50">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C7884B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674EDE30">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7E4559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CB56CE6">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B6345E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C4EF2C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A6F0B61">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09F6CAD7">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3F13267">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0D3A0F6D">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29944AB9">
      <w:pPr>
        <w:pStyle w:val="6"/>
        <w:jc w:val="center"/>
        <w:rPr>
          <w:rFonts w:ascii="宋体" w:hAnsi="宋体"/>
          <w:snapToGrid w:val="0"/>
          <w:color w:val="auto"/>
          <w:kern w:val="0"/>
          <w:szCs w:val="21"/>
          <w:highlight w:val="none"/>
        </w:rPr>
      </w:pPr>
      <w:bookmarkStart w:id="673" w:name="_Toc430530531"/>
      <w:bookmarkStart w:id="674" w:name="_Toc277082644"/>
      <w:bookmarkStart w:id="675" w:name="_Toc224103496"/>
      <w:bookmarkStart w:id="676" w:name="_Toc287620815"/>
      <w:bookmarkStart w:id="677" w:name="_Toc287607868"/>
      <w:r>
        <w:rPr>
          <w:rFonts w:ascii="宋体" w:hAnsi="宋体"/>
          <w:color w:val="auto"/>
          <w:sz w:val="28"/>
          <w:highlight w:val="none"/>
        </w:rPr>
        <w:br w:type="page"/>
      </w:r>
      <w:bookmarkStart w:id="678" w:name="_Toc17361"/>
      <w:bookmarkStart w:id="679" w:name="_Toc509218855"/>
      <w:bookmarkStart w:id="680" w:name="_Toc534185832"/>
      <w:bookmarkStart w:id="681" w:name="_Toc30967"/>
      <w:r>
        <w:rPr>
          <w:color w:val="auto"/>
          <w:highlight w:val="none"/>
        </w:rPr>
        <w:t>（二）投标函附录</w:t>
      </w:r>
      <w:bookmarkEnd w:id="673"/>
      <w:bookmarkEnd w:id="674"/>
      <w:bookmarkEnd w:id="675"/>
      <w:bookmarkEnd w:id="676"/>
      <w:bookmarkEnd w:id="677"/>
      <w:bookmarkEnd w:id="678"/>
      <w:bookmarkEnd w:id="679"/>
      <w:bookmarkEnd w:id="680"/>
      <w:bookmarkEnd w:id="681"/>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2C796F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FB9C422">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53EF9D6E">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1899A07A">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7F0815C1">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1D717DB5">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03C112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1401D1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1AB99B2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14:paraId="4164224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14:paraId="582D0A45">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792" w:type="dxa"/>
            <w:vAlign w:val="center"/>
          </w:tcPr>
          <w:p w14:paraId="1250DC43">
            <w:pPr>
              <w:autoSpaceDE w:val="0"/>
              <w:autoSpaceDN w:val="0"/>
              <w:adjustRightInd w:val="0"/>
              <w:jc w:val="center"/>
              <w:rPr>
                <w:rFonts w:ascii="宋体" w:hAnsi="宋体"/>
                <w:snapToGrid w:val="0"/>
                <w:color w:val="auto"/>
                <w:kern w:val="0"/>
                <w:szCs w:val="21"/>
                <w:highlight w:val="none"/>
              </w:rPr>
            </w:pPr>
          </w:p>
        </w:tc>
      </w:tr>
      <w:tr w14:paraId="77766F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15DD78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6E5D65DC">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14:paraId="63611851">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4.3</w:t>
            </w:r>
          </w:p>
        </w:tc>
        <w:tc>
          <w:tcPr>
            <w:tcW w:w="2987" w:type="dxa"/>
            <w:vAlign w:val="center"/>
          </w:tcPr>
          <w:p w14:paraId="60FA3FC9">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3B4DAA02">
            <w:pPr>
              <w:autoSpaceDE w:val="0"/>
              <w:autoSpaceDN w:val="0"/>
              <w:adjustRightInd w:val="0"/>
              <w:jc w:val="center"/>
              <w:rPr>
                <w:rFonts w:ascii="宋体" w:hAnsi="宋体"/>
                <w:snapToGrid w:val="0"/>
                <w:color w:val="auto"/>
                <w:kern w:val="0"/>
                <w:szCs w:val="21"/>
                <w:highlight w:val="none"/>
              </w:rPr>
            </w:pPr>
          </w:p>
        </w:tc>
      </w:tr>
      <w:tr w14:paraId="6FE3FA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E087643">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5A2B0235">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4E22089C">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13</w:t>
            </w:r>
            <w:r>
              <w:rPr>
                <w:rFonts w:hint="eastAsia" w:ascii="宋体" w:hAnsi="宋体"/>
                <w:snapToGrid w:val="0"/>
                <w:color w:val="auto"/>
                <w:kern w:val="0"/>
                <w:szCs w:val="21"/>
                <w:highlight w:val="none"/>
              </w:rPr>
              <w:t>.1</w:t>
            </w:r>
          </w:p>
        </w:tc>
        <w:tc>
          <w:tcPr>
            <w:tcW w:w="2987" w:type="dxa"/>
            <w:vAlign w:val="center"/>
          </w:tcPr>
          <w:p w14:paraId="2EF23A1F">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02A0081B">
            <w:pPr>
              <w:autoSpaceDE w:val="0"/>
              <w:autoSpaceDN w:val="0"/>
              <w:adjustRightInd w:val="0"/>
              <w:jc w:val="center"/>
              <w:rPr>
                <w:rFonts w:ascii="宋体" w:hAnsi="宋体"/>
                <w:snapToGrid w:val="0"/>
                <w:color w:val="auto"/>
                <w:kern w:val="0"/>
                <w:szCs w:val="21"/>
                <w:highlight w:val="none"/>
              </w:rPr>
            </w:pPr>
          </w:p>
        </w:tc>
      </w:tr>
      <w:tr w14:paraId="190FA2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7729A9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14FDF52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6843736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286CAF5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2B7519D3">
            <w:pPr>
              <w:autoSpaceDE w:val="0"/>
              <w:autoSpaceDN w:val="0"/>
              <w:adjustRightInd w:val="0"/>
              <w:jc w:val="center"/>
              <w:rPr>
                <w:rFonts w:ascii="宋体" w:hAnsi="宋体"/>
                <w:snapToGrid w:val="0"/>
                <w:color w:val="auto"/>
                <w:kern w:val="0"/>
                <w:szCs w:val="21"/>
                <w:highlight w:val="none"/>
              </w:rPr>
            </w:pPr>
          </w:p>
        </w:tc>
      </w:tr>
      <w:tr w14:paraId="41BB9F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026BA3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592F6C5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1DBCD6C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00A53975">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50B56C6C">
            <w:pPr>
              <w:autoSpaceDE w:val="0"/>
              <w:autoSpaceDN w:val="0"/>
              <w:adjustRightInd w:val="0"/>
              <w:jc w:val="center"/>
              <w:rPr>
                <w:rFonts w:ascii="宋体" w:hAnsi="宋体"/>
                <w:snapToGrid w:val="0"/>
                <w:color w:val="auto"/>
                <w:kern w:val="0"/>
                <w:szCs w:val="21"/>
                <w:highlight w:val="none"/>
              </w:rPr>
            </w:pPr>
          </w:p>
        </w:tc>
      </w:tr>
    </w:tbl>
    <w:p w14:paraId="63D1514D">
      <w:pPr>
        <w:spacing w:line="360" w:lineRule="auto"/>
        <w:rPr>
          <w:rFonts w:ascii="宋体" w:hAnsi="宋体"/>
          <w:snapToGrid w:val="0"/>
          <w:color w:val="auto"/>
          <w:w w:val="99"/>
          <w:highlight w:val="none"/>
        </w:rPr>
      </w:pPr>
    </w:p>
    <w:p w14:paraId="68776135">
      <w:pPr>
        <w:spacing w:line="360" w:lineRule="auto"/>
        <w:rPr>
          <w:rFonts w:ascii="宋体" w:hAnsi="宋体"/>
          <w:snapToGrid w:val="0"/>
          <w:color w:val="auto"/>
          <w:highlight w:val="none"/>
        </w:rPr>
      </w:pPr>
    </w:p>
    <w:p w14:paraId="36B0A9CD">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07D0ACA9">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7073D38C">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7D5A98AD">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348E826D">
      <w:pPr>
        <w:pStyle w:val="6"/>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682" w:name="_Toc287620816"/>
      <w:bookmarkStart w:id="683" w:name="_Toc430530532"/>
      <w:bookmarkStart w:id="684" w:name="_Toc277082645"/>
      <w:bookmarkStart w:id="685" w:name="_Toc224103497"/>
      <w:bookmarkStart w:id="686" w:name="_Toc287607869"/>
      <w:bookmarkStart w:id="687" w:name="_Toc8650"/>
      <w:bookmarkStart w:id="688" w:name="_Toc13127"/>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682"/>
      <w:bookmarkEnd w:id="683"/>
      <w:bookmarkEnd w:id="684"/>
      <w:bookmarkEnd w:id="685"/>
      <w:bookmarkEnd w:id="686"/>
      <w:bookmarkEnd w:id="687"/>
      <w:bookmarkEnd w:id="688"/>
    </w:p>
    <w:p w14:paraId="3A987E47">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2DB3B63">
      <w:pPr>
        <w:spacing w:line="480" w:lineRule="auto"/>
        <w:jc w:val="center"/>
        <w:rPr>
          <w:rFonts w:ascii="宋体" w:hAnsi="宋体"/>
          <w:color w:val="auto"/>
          <w:highlight w:val="none"/>
        </w:rPr>
      </w:pPr>
    </w:p>
    <w:p w14:paraId="1BB9E1C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87E4E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AA4BD6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8617085">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E46EBD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D5D90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F03DAB5">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70F3206E">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3C33A2B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EF4560C">
      <w:pPr>
        <w:pStyle w:val="2"/>
        <w:spacing w:after="0" w:line="360" w:lineRule="auto"/>
        <w:rPr>
          <w:rFonts w:ascii="宋体" w:hAnsi="宋体"/>
          <w:color w:val="auto"/>
          <w:szCs w:val="21"/>
          <w:highlight w:val="none"/>
        </w:rPr>
      </w:pPr>
    </w:p>
    <w:p w14:paraId="2DCEE965">
      <w:pPr>
        <w:pStyle w:val="2"/>
        <w:spacing w:after="0" w:line="360" w:lineRule="auto"/>
        <w:rPr>
          <w:rFonts w:ascii="宋体" w:hAnsi="宋体"/>
          <w:color w:val="auto"/>
          <w:szCs w:val="21"/>
          <w:highlight w:val="none"/>
        </w:rPr>
      </w:pPr>
    </w:p>
    <w:p w14:paraId="10ADB8AF">
      <w:pPr>
        <w:pStyle w:val="2"/>
        <w:spacing w:after="0" w:line="360" w:lineRule="auto"/>
        <w:rPr>
          <w:rFonts w:ascii="宋体" w:hAnsi="宋体"/>
          <w:color w:val="auto"/>
          <w:szCs w:val="21"/>
          <w:highlight w:val="none"/>
        </w:rPr>
      </w:pPr>
    </w:p>
    <w:p w14:paraId="3AEBA763">
      <w:pPr>
        <w:pStyle w:val="2"/>
        <w:spacing w:after="0" w:line="360" w:lineRule="auto"/>
        <w:rPr>
          <w:rFonts w:ascii="宋体" w:hAnsi="宋体"/>
          <w:color w:val="auto"/>
          <w:szCs w:val="21"/>
          <w:highlight w:val="none"/>
        </w:rPr>
      </w:pPr>
    </w:p>
    <w:p w14:paraId="778E7CC8">
      <w:pPr>
        <w:pStyle w:val="2"/>
        <w:spacing w:after="0" w:line="360" w:lineRule="auto"/>
        <w:rPr>
          <w:rFonts w:ascii="宋体" w:hAnsi="宋体"/>
          <w:color w:val="auto"/>
          <w:szCs w:val="21"/>
          <w:highlight w:val="none"/>
        </w:rPr>
      </w:pPr>
    </w:p>
    <w:p w14:paraId="43E98CE0">
      <w:pPr>
        <w:pStyle w:val="2"/>
        <w:spacing w:after="0" w:line="360" w:lineRule="auto"/>
        <w:rPr>
          <w:rFonts w:ascii="宋体" w:hAnsi="宋体"/>
          <w:color w:val="auto"/>
          <w:szCs w:val="21"/>
          <w:highlight w:val="none"/>
        </w:rPr>
      </w:pPr>
    </w:p>
    <w:p w14:paraId="5B9A1ABF">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32FE1BEA">
      <w:pPr>
        <w:autoSpaceDE w:val="0"/>
        <w:autoSpaceDN w:val="0"/>
        <w:adjustRightInd w:val="0"/>
        <w:snapToGrid w:val="0"/>
        <w:spacing w:line="480" w:lineRule="auto"/>
        <w:jc w:val="left"/>
        <w:rPr>
          <w:rFonts w:ascii="宋体" w:hAnsi="宋体"/>
          <w:color w:val="auto"/>
          <w:kern w:val="0"/>
          <w:sz w:val="20"/>
          <w:szCs w:val="20"/>
          <w:highlight w:val="none"/>
        </w:rPr>
      </w:pPr>
    </w:p>
    <w:p w14:paraId="4418B973">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14B785D">
      <w:pPr>
        <w:autoSpaceDE w:val="0"/>
        <w:autoSpaceDN w:val="0"/>
        <w:adjustRightInd w:val="0"/>
        <w:snapToGrid w:val="0"/>
        <w:spacing w:line="360" w:lineRule="auto"/>
        <w:jc w:val="left"/>
        <w:rPr>
          <w:rFonts w:ascii="宋体" w:hAnsi="宋体"/>
          <w:color w:val="auto"/>
          <w:kern w:val="0"/>
          <w:highlight w:val="none"/>
        </w:rPr>
      </w:pPr>
    </w:p>
    <w:p w14:paraId="31F8ED87">
      <w:pPr>
        <w:autoSpaceDE w:val="0"/>
        <w:autoSpaceDN w:val="0"/>
        <w:adjustRightInd w:val="0"/>
        <w:snapToGrid w:val="0"/>
        <w:spacing w:line="360" w:lineRule="auto"/>
        <w:jc w:val="left"/>
        <w:rPr>
          <w:rFonts w:ascii="宋体" w:hAnsi="宋体"/>
          <w:color w:val="auto"/>
          <w:kern w:val="0"/>
          <w:highlight w:val="none"/>
        </w:rPr>
      </w:pPr>
    </w:p>
    <w:p w14:paraId="65220383">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18C9CC5">
      <w:pPr>
        <w:autoSpaceDE w:val="0"/>
        <w:autoSpaceDN w:val="0"/>
        <w:adjustRightInd w:val="0"/>
        <w:snapToGrid w:val="0"/>
        <w:spacing w:line="360" w:lineRule="auto"/>
        <w:jc w:val="left"/>
        <w:rPr>
          <w:rFonts w:ascii="宋体" w:hAnsi="宋体"/>
          <w:color w:val="auto"/>
          <w:kern w:val="0"/>
          <w:highlight w:val="none"/>
        </w:rPr>
      </w:pPr>
    </w:p>
    <w:p w14:paraId="516A1FF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E2FC741">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4B95B67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4FFE5D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130E4C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B96997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C1FA8E8">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FD89C4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3074F5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DDCD3A7">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5B82747">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07CC7F0">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056B884F">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021012B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2CEC64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C6F89B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DDC4E8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A8AD02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9C29D5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BFBD26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6F5DFA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0E954DD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7F8B2032">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29659A80">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34A3F39E">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10C54545">
      <w:pPr>
        <w:spacing w:line="360" w:lineRule="auto"/>
        <w:ind w:firstLine="420" w:firstLineChars="200"/>
        <w:rPr>
          <w:rFonts w:ascii="宋体" w:hAnsi="宋体"/>
          <w:color w:val="auto"/>
          <w:highlight w:val="none"/>
        </w:rPr>
      </w:pPr>
      <w:r>
        <w:rPr>
          <w:rFonts w:ascii="宋体" w:hAnsi="宋体"/>
          <w:color w:val="auto"/>
          <w:highlight w:val="none"/>
        </w:rPr>
        <w:br w:type="page"/>
      </w:r>
    </w:p>
    <w:p w14:paraId="5AB143E3">
      <w:pPr>
        <w:tabs>
          <w:tab w:val="left" w:pos="2580"/>
          <w:tab w:val="left" w:pos="5940"/>
        </w:tabs>
        <w:autoSpaceDE w:val="0"/>
        <w:autoSpaceDN w:val="0"/>
        <w:adjustRightInd w:val="0"/>
        <w:snapToGrid w:val="0"/>
        <w:spacing w:line="360" w:lineRule="auto"/>
        <w:jc w:val="left"/>
        <w:rPr>
          <w:rFonts w:ascii="宋体" w:hAnsi="宋体"/>
          <w:color w:val="auto"/>
          <w:highlight w:val="none"/>
        </w:rPr>
      </w:pPr>
      <w:bookmarkStart w:id="689" w:name="_Toc287620819"/>
      <w:bookmarkStart w:id="690" w:name="_Toc224103500"/>
      <w:bookmarkStart w:id="691" w:name="_Toc287607872"/>
      <w:bookmarkStart w:id="692" w:name="_Toc430530534"/>
    </w:p>
    <w:p w14:paraId="7F8A1CFD">
      <w:pPr>
        <w:pStyle w:val="5"/>
        <w:spacing w:line="360" w:lineRule="auto"/>
        <w:jc w:val="center"/>
        <w:rPr>
          <w:rFonts w:ascii="宋体" w:hAnsi="宋体"/>
          <w:b w:val="0"/>
          <w:bCs w:val="0"/>
          <w:color w:val="auto"/>
          <w:sz w:val="44"/>
          <w:szCs w:val="44"/>
          <w:highlight w:val="none"/>
        </w:rPr>
      </w:pPr>
      <w:bookmarkStart w:id="693" w:name="_Toc23891"/>
      <w:bookmarkStart w:id="694" w:name="_Toc29522"/>
      <w:r>
        <w:rPr>
          <w:rFonts w:hint="eastAsia" w:ascii="宋体" w:hAnsi="宋体"/>
          <w:b w:val="0"/>
          <w:bCs w:val="0"/>
          <w:color w:val="auto"/>
          <w:sz w:val="44"/>
          <w:szCs w:val="44"/>
          <w:highlight w:val="none"/>
          <w:lang w:eastAsia="zh-CN"/>
        </w:rPr>
        <w:t>二</w:t>
      </w:r>
      <w:r>
        <w:rPr>
          <w:rFonts w:hint="eastAsia" w:ascii="宋体" w:hAnsi="宋体"/>
          <w:b w:val="0"/>
          <w:bCs w:val="0"/>
          <w:color w:val="auto"/>
          <w:sz w:val="44"/>
          <w:szCs w:val="44"/>
          <w:highlight w:val="none"/>
        </w:rPr>
        <w:t>、经济部分</w:t>
      </w:r>
      <w:bookmarkEnd w:id="689"/>
      <w:bookmarkEnd w:id="690"/>
      <w:bookmarkEnd w:id="691"/>
      <w:bookmarkEnd w:id="692"/>
      <w:bookmarkEnd w:id="693"/>
      <w:bookmarkEnd w:id="694"/>
    </w:p>
    <w:p w14:paraId="68A5F98C">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77AE19A5">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480FDABB">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u w:val="single"/>
          <w:lang w:val="en-US" w:eastAsia="zh-CN"/>
        </w:rPr>
        <w:t xml:space="preserve">                     </w:t>
      </w:r>
      <w:r>
        <w:rPr>
          <w:rFonts w:hint="eastAsia" w:ascii="宋体" w:hAnsi="宋体"/>
          <w:color w:val="auto"/>
          <w:kern w:val="0"/>
          <w:sz w:val="32"/>
          <w:szCs w:val="32"/>
          <w:highlight w:val="none"/>
          <w:u w:val="single"/>
        </w:rPr>
        <w:t xml:space="preserve">    （项目名称）</w:t>
      </w:r>
    </w:p>
    <w:p w14:paraId="5DD2C97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22A350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19CEFE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E3DC465">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B2158A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91EF754">
      <w:pPr>
        <w:autoSpaceDE w:val="0"/>
        <w:autoSpaceDN w:val="0"/>
        <w:adjustRightInd w:val="0"/>
        <w:snapToGrid w:val="0"/>
        <w:spacing w:line="360" w:lineRule="auto"/>
        <w:jc w:val="left"/>
        <w:rPr>
          <w:rFonts w:ascii="宋体" w:hAnsi="宋体"/>
          <w:color w:val="auto"/>
          <w:kern w:val="0"/>
          <w:sz w:val="16"/>
          <w:szCs w:val="16"/>
          <w:highlight w:val="none"/>
        </w:rPr>
      </w:pPr>
    </w:p>
    <w:p w14:paraId="75CE5867">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7872CC60">
      <w:pPr>
        <w:autoSpaceDE w:val="0"/>
        <w:autoSpaceDN w:val="0"/>
        <w:adjustRightInd w:val="0"/>
        <w:snapToGrid w:val="0"/>
        <w:spacing w:line="360" w:lineRule="auto"/>
        <w:jc w:val="left"/>
        <w:rPr>
          <w:rFonts w:ascii="宋体" w:hAnsi="宋体"/>
          <w:b/>
          <w:color w:val="auto"/>
          <w:kern w:val="0"/>
          <w:sz w:val="20"/>
          <w:szCs w:val="20"/>
          <w:highlight w:val="none"/>
        </w:rPr>
      </w:pPr>
    </w:p>
    <w:p w14:paraId="27AB7CD7">
      <w:pPr>
        <w:autoSpaceDE w:val="0"/>
        <w:autoSpaceDN w:val="0"/>
        <w:adjustRightInd w:val="0"/>
        <w:snapToGrid w:val="0"/>
        <w:spacing w:line="360" w:lineRule="auto"/>
        <w:jc w:val="left"/>
        <w:rPr>
          <w:rFonts w:ascii="宋体" w:hAnsi="宋体"/>
          <w:b/>
          <w:color w:val="auto"/>
          <w:kern w:val="0"/>
          <w:sz w:val="20"/>
          <w:szCs w:val="20"/>
          <w:highlight w:val="none"/>
        </w:rPr>
      </w:pPr>
    </w:p>
    <w:p w14:paraId="44B78CC8">
      <w:pPr>
        <w:autoSpaceDE w:val="0"/>
        <w:autoSpaceDN w:val="0"/>
        <w:adjustRightInd w:val="0"/>
        <w:snapToGrid w:val="0"/>
        <w:spacing w:line="360" w:lineRule="auto"/>
        <w:jc w:val="left"/>
        <w:rPr>
          <w:rFonts w:ascii="宋体" w:hAnsi="宋体"/>
          <w:b/>
          <w:color w:val="auto"/>
          <w:kern w:val="0"/>
          <w:sz w:val="20"/>
          <w:szCs w:val="20"/>
          <w:highlight w:val="none"/>
        </w:rPr>
      </w:pPr>
    </w:p>
    <w:p w14:paraId="78737B4A">
      <w:pPr>
        <w:autoSpaceDE w:val="0"/>
        <w:autoSpaceDN w:val="0"/>
        <w:adjustRightInd w:val="0"/>
        <w:snapToGrid w:val="0"/>
        <w:spacing w:line="360" w:lineRule="auto"/>
        <w:jc w:val="left"/>
        <w:rPr>
          <w:rFonts w:ascii="宋体" w:hAnsi="宋体"/>
          <w:b/>
          <w:color w:val="auto"/>
          <w:kern w:val="0"/>
          <w:sz w:val="20"/>
          <w:szCs w:val="20"/>
          <w:highlight w:val="none"/>
        </w:rPr>
      </w:pPr>
    </w:p>
    <w:p w14:paraId="67BDA8FA">
      <w:pPr>
        <w:autoSpaceDE w:val="0"/>
        <w:autoSpaceDN w:val="0"/>
        <w:adjustRightInd w:val="0"/>
        <w:snapToGrid w:val="0"/>
        <w:spacing w:line="360" w:lineRule="auto"/>
        <w:jc w:val="left"/>
        <w:rPr>
          <w:rFonts w:ascii="宋体" w:hAnsi="宋体"/>
          <w:b/>
          <w:color w:val="auto"/>
          <w:kern w:val="0"/>
          <w:sz w:val="20"/>
          <w:szCs w:val="20"/>
          <w:highlight w:val="none"/>
        </w:rPr>
      </w:pPr>
    </w:p>
    <w:p w14:paraId="168552A3">
      <w:pPr>
        <w:autoSpaceDE w:val="0"/>
        <w:autoSpaceDN w:val="0"/>
        <w:adjustRightInd w:val="0"/>
        <w:snapToGrid w:val="0"/>
        <w:spacing w:line="360" w:lineRule="auto"/>
        <w:jc w:val="left"/>
        <w:rPr>
          <w:rFonts w:ascii="宋体" w:hAnsi="宋体"/>
          <w:b/>
          <w:color w:val="auto"/>
          <w:kern w:val="0"/>
          <w:sz w:val="20"/>
          <w:szCs w:val="20"/>
          <w:highlight w:val="none"/>
        </w:rPr>
      </w:pPr>
    </w:p>
    <w:p w14:paraId="2E2C472F">
      <w:pPr>
        <w:autoSpaceDE w:val="0"/>
        <w:autoSpaceDN w:val="0"/>
        <w:adjustRightInd w:val="0"/>
        <w:snapToGrid w:val="0"/>
        <w:spacing w:line="360" w:lineRule="auto"/>
        <w:jc w:val="left"/>
        <w:rPr>
          <w:rFonts w:ascii="宋体" w:hAnsi="宋体"/>
          <w:b/>
          <w:color w:val="auto"/>
          <w:kern w:val="0"/>
          <w:sz w:val="20"/>
          <w:szCs w:val="20"/>
          <w:highlight w:val="none"/>
        </w:rPr>
      </w:pPr>
    </w:p>
    <w:p w14:paraId="2420A9A5">
      <w:pPr>
        <w:autoSpaceDE w:val="0"/>
        <w:autoSpaceDN w:val="0"/>
        <w:adjustRightInd w:val="0"/>
        <w:snapToGrid w:val="0"/>
        <w:spacing w:line="360" w:lineRule="auto"/>
        <w:jc w:val="left"/>
        <w:rPr>
          <w:rFonts w:ascii="宋体" w:hAnsi="宋体"/>
          <w:b/>
          <w:color w:val="auto"/>
          <w:kern w:val="0"/>
          <w:sz w:val="20"/>
          <w:szCs w:val="20"/>
          <w:highlight w:val="none"/>
        </w:rPr>
      </w:pPr>
    </w:p>
    <w:p w14:paraId="320465A8">
      <w:pPr>
        <w:autoSpaceDE w:val="0"/>
        <w:autoSpaceDN w:val="0"/>
        <w:adjustRightInd w:val="0"/>
        <w:snapToGrid w:val="0"/>
        <w:spacing w:line="360" w:lineRule="auto"/>
        <w:jc w:val="left"/>
        <w:rPr>
          <w:rFonts w:ascii="宋体" w:hAnsi="宋体"/>
          <w:b/>
          <w:color w:val="auto"/>
          <w:kern w:val="0"/>
          <w:sz w:val="20"/>
          <w:szCs w:val="20"/>
          <w:highlight w:val="none"/>
        </w:rPr>
      </w:pPr>
    </w:p>
    <w:p w14:paraId="4A0AA9CD">
      <w:pPr>
        <w:autoSpaceDE w:val="0"/>
        <w:autoSpaceDN w:val="0"/>
        <w:adjustRightInd w:val="0"/>
        <w:snapToGrid w:val="0"/>
        <w:spacing w:line="360" w:lineRule="auto"/>
        <w:jc w:val="left"/>
        <w:rPr>
          <w:rFonts w:ascii="宋体" w:hAnsi="宋体"/>
          <w:b/>
          <w:color w:val="auto"/>
          <w:kern w:val="0"/>
          <w:sz w:val="20"/>
          <w:szCs w:val="20"/>
          <w:highlight w:val="none"/>
        </w:rPr>
      </w:pPr>
    </w:p>
    <w:p w14:paraId="744C8033">
      <w:pPr>
        <w:autoSpaceDE w:val="0"/>
        <w:autoSpaceDN w:val="0"/>
        <w:adjustRightInd w:val="0"/>
        <w:snapToGrid w:val="0"/>
        <w:spacing w:line="360" w:lineRule="auto"/>
        <w:jc w:val="left"/>
        <w:rPr>
          <w:rFonts w:ascii="宋体" w:hAnsi="宋体"/>
          <w:b/>
          <w:color w:val="auto"/>
          <w:kern w:val="0"/>
          <w:sz w:val="20"/>
          <w:szCs w:val="20"/>
          <w:highlight w:val="none"/>
        </w:rPr>
      </w:pPr>
    </w:p>
    <w:p w14:paraId="732CA35C">
      <w:pPr>
        <w:autoSpaceDE w:val="0"/>
        <w:autoSpaceDN w:val="0"/>
        <w:adjustRightInd w:val="0"/>
        <w:snapToGrid w:val="0"/>
        <w:spacing w:line="360" w:lineRule="auto"/>
        <w:jc w:val="left"/>
        <w:rPr>
          <w:rFonts w:ascii="宋体" w:hAnsi="宋体"/>
          <w:b/>
          <w:color w:val="auto"/>
          <w:kern w:val="0"/>
          <w:sz w:val="20"/>
          <w:szCs w:val="20"/>
          <w:highlight w:val="none"/>
        </w:rPr>
      </w:pPr>
    </w:p>
    <w:p w14:paraId="665850D8">
      <w:pPr>
        <w:autoSpaceDE w:val="0"/>
        <w:autoSpaceDN w:val="0"/>
        <w:adjustRightInd w:val="0"/>
        <w:snapToGrid w:val="0"/>
        <w:spacing w:line="360" w:lineRule="auto"/>
        <w:jc w:val="left"/>
        <w:rPr>
          <w:rFonts w:ascii="宋体" w:hAnsi="宋体"/>
          <w:b/>
          <w:color w:val="auto"/>
          <w:kern w:val="0"/>
          <w:sz w:val="20"/>
          <w:szCs w:val="20"/>
          <w:highlight w:val="none"/>
        </w:rPr>
      </w:pPr>
    </w:p>
    <w:p w14:paraId="50E8AE3C">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6DD92921">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06CC927">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6103194">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53C40785">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1B5213B9">
      <w:pPr>
        <w:autoSpaceDE w:val="0"/>
        <w:autoSpaceDN w:val="0"/>
        <w:adjustRightInd w:val="0"/>
        <w:snapToGrid w:val="0"/>
        <w:spacing w:line="360" w:lineRule="auto"/>
        <w:jc w:val="left"/>
        <w:rPr>
          <w:rFonts w:ascii="宋体" w:hAnsi="宋体"/>
          <w:color w:val="auto"/>
          <w:kern w:val="0"/>
          <w:szCs w:val="21"/>
          <w:highlight w:val="none"/>
        </w:rPr>
      </w:pPr>
    </w:p>
    <w:p w14:paraId="79E28E5E">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14:paraId="31D867B0">
      <w:pPr>
        <w:autoSpaceDE w:val="0"/>
        <w:autoSpaceDN w:val="0"/>
        <w:adjustRightInd w:val="0"/>
        <w:snapToGrid w:val="0"/>
        <w:spacing w:line="360" w:lineRule="auto"/>
        <w:jc w:val="left"/>
        <w:rPr>
          <w:rFonts w:ascii="宋体" w:hAnsi="宋体"/>
          <w:color w:val="auto"/>
          <w:w w:val="99"/>
          <w:kern w:val="0"/>
          <w:sz w:val="28"/>
          <w:szCs w:val="28"/>
          <w:highlight w:val="none"/>
        </w:rPr>
      </w:pPr>
    </w:p>
    <w:p w14:paraId="0F094517">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695" w:name="_Toc277082648"/>
      <w:bookmarkStart w:id="696" w:name="_Toc430530535"/>
      <w:bookmarkStart w:id="697" w:name="_Toc287607873"/>
      <w:bookmarkStart w:id="698" w:name="_Toc224103501"/>
      <w:bookmarkStart w:id="699" w:name="_Toc287620820"/>
    </w:p>
    <w:p w14:paraId="1C145CD1">
      <w:pPr>
        <w:pStyle w:val="6"/>
        <w:jc w:val="center"/>
        <w:rPr>
          <w:color w:val="auto"/>
          <w:highlight w:val="none"/>
        </w:rPr>
      </w:pPr>
      <w:bookmarkStart w:id="700" w:name="_Toc28475"/>
      <w:bookmarkStart w:id="701" w:name="_Toc2269"/>
      <w:r>
        <w:rPr>
          <w:rFonts w:hint="eastAsia"/>
          <w:color w:val="auto"/>
          <w:highlight w:val="none"/>
        </w:rPr>
        <w:t>（一）已标价工程量清单</w:t>
      </w:r>
      <w:bookmarkEnd w:id="695"/>
      <w:bookmarkEnd w:id="696"/>
      <w:bookmarkEnd w:id="697"/>
      <w:bookmarkEnd w:id="698"/>
      <w:bookmarkEnd w:id="699"/>
      <w:bookmarkEnd w:id="700"/>
      <w:bookmarkEnd w:id="701"/>
    </w:p>
    <w:p w14:paraId="7858CE46">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431E5689">
      <w:pPr>
        <w:autoSpaceDE w:val="0"/>
        <w:autoSpaceDN w:val="0"/>
        <w:adjustRightInd w:val="0"/>
        <w:snapToGrid w:val="0"/>
        <w:spacing w:line="360" w:lineRule="auto"/>
        <w:jc w:val="left"/>
        <w:rPr>
          <w:rFonts w:ascii="宋体" w:hAnsi="宋体"/>
          <w:color w:val="auto"/>
          <w:kern w:val="0"/>
          <w:sz w:val="24"/>
          <w:szCs w:val="21"/>
          <w:highlight w:val="none"/>
        </w:rPr>
      </w:pPr>
      <w:bookmarkStart w:id="702" w:name="_Toc430530536"/>
      <w:bookmarkStart w:id="703" w:name="_Toc287620821"/>
      <w:bookmarkStart w:id="704" w:name="_Toc287607874"/>
      <w:bookmarkStart w:id="705" w:name="_Toc224103502"/>
      <w:r>
        <w:rPr>
          <w:rFonts w:ascii="宋体" w:hAnsi="宋体"/>
          <w:color w:val="auto"/>
          <w:highlight w:val="none"/>
        </w:rPr>
        <w:br w:type="page"/>
      </w:r>
    </w:p>
    <w:bookmarkEnd w:id="702"/>
    <w:bookmarkEnd w:id="703"/>
    <w:bookmarkEnd w:id="704"/>
    <w:bookmarkEnd w:id="705"/>
    <w:p w14:paraId="252FF5AE">
      <w:pPr>
        <w:pStyle w:val="5"/>
        <w:spacing w:line="360" w:lineRule="auto"/>
        <w:jc w:val="center"/>
        <w:rPr>
          <w:rFonts w:ascii="宋体" w:hAnsi="宋体"/>
          <w:b w:val="0"/>
          <w:bCs w:val="0"/>
          <w:color w:val="auto"/>
          <w:sz w:val="44"/>
          <w:szCs w:val="44"/>
          <w:highlight w:val="none"/>
        </w:rPr>
      </w:pPr>
      <w:bookmarkStart w:id="706" w:name="_Toc224103510"/>
      <w:bookmarkStart w:id="707" w:name="_Toc277082656"/>
      <w:bookmarkStart w:id="708" w:name="_Toc287620829"/>
      <w:bookmarkStart w:id="709" w:name="_Toc287607882"/>
      <w:bookmarkStart w:id="710" w:name="_Toc430530545"/>
      <w:bookmarkStart w:id="711" w:name="_Toc27141"/>
      <w:bookmarkStart w:id="712" w:name="_Toc1124"/>
      <w:r>
        <w:rPr>
          <w:rFonts w:hint="eastAsia" w:ascii="宋体" w:hAnsi="宋体"/>
          <w:b w:val="0"/>
          <w:bCs w:val="0"/>
          <w:color w:val="auto"/>
          <w:sz w:val="44"/>
          <w:szCs w:val="44"/>
          <w:highlight w:val="none"/>
          <w:lang w:eastAsia="zh-CN"/>
        </w:rPr>
        <w:t>三</w:t>
      </w:r>
      <w:r>
        <w:rPr>
          <w:rFonts w:hint="eastAsia" w:ascii="宋体" w:hAnsi="宋体"/>
          <w:b w:val="0"/>
          <w:bCs w:val="0"/>
          <w:color w:val="auto"/>
          <w:sz w:val="44"/>
          <w:szCs w:val="44"/>
          <w:highlight w:val="none"/>
        </w:rPr>
        <w:t>、</w:t>
      </w:r>
      <w:bookmarkEnd w:id="706"/>
      <w:bookmarkEnd w:id="707"/>
      <w:bookmarkEnd w:id="708"/>
      <w:bookmarkEnd w:id="709"/>
      <w:bookmarkEnd w:id="710"/>
      <w:r>
        <w:rPr>
          <w:rFonts w:hint="eastAsia" w:ascii="宋体" w:hAnsi="宋体"/>
          <w:b w:val="0"/>
          <w:bCs w:val="0"/>
          <w:color w:val="auto"/>
          <w:sz w:val="44"/>
          <w:szCs w:val="44"/>
          <w:highlight w:val="none"/>
        </w:rPr>
        <w:t>资格审查部分</w:t>
      </w:r>
      <w:bookmarkEnd w:id="711"/>
      <w:bookmarkEnd w:id="712"/>
    </w:p>
    <w:p w14:paraId="379A8F96">
      <w:pPr>
        <w:spacing w:line="360" w:lineRule="auto"/>
        <w:rPr>
          <w:rFonts w:ascii="宋体" w:hAnsi="宋体"/>
          <w:color w:val="auto"/>
          <w:sz w:val="32"/>
          <w:szCs w:val="32"/>
          <w:highlight w:val="none"/>
        </w:rPr>
      </w:pPr>
    </w:p>
    <w:p w14:paraId="46AAEA2C">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3F1937A7">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u w:val="single"/>
          <w:lang w:val="en-US" w:eastAsia="zh-CN"/>
        </w:rPr>
        <w:t xml:space="preserve">                             </w:t>
      </w:r>
      <w:r>
        <w:rPr>
          <w:rFonts w:hint="eastAsia" w:ascii="宋体" w:hAnsi="宋体"/>
          <w:color w:val="auto"/>
          <w:kern w:val="0"/>
          <w:sz w:val="32"/>
          <w:szCs w:val="32"/>
          <w:highlight w:val="none"/>
          <w:u w:val="single"/>
        </w:rPr>
        <w:t xml:space="preserve">   （项目名称）</w:t>
      </w:r>
    </w:p>
    <w:p w14:paraId="4A823CA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FB7DAD5">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047998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A723C1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E022F62">
      <w:pPr>
        <w:autoSpaceDE w:val="0"/>
        <w:autoSpaceDN w:val="0"/>
        <w:adjustRightInd w:val="0"/>
        <w:snapToGrid w:val="0"/>
        <w:spacing w:line="360" w:lineRule="auto"/>
        <w:jc w:val="left"/>
        <w:rPr>
          <w:rFonts w:ascii="宋体" w:hAnsi="宋体"/>
          <w:color w:val="auto"/>
          <w:kern w:val="0"/>
          <w:sz w:val="16"/>
          <w:szCs w:val="16"/>
          <w:highlight w:val="none"/>
        </w:rPr>
      </w:pPr>
    </w:p>
    <w:p w14:paraId="7A0A994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0652C99A">
      <w:pPr>
        <w:autoSpaceDE w:val="0"/>
        <w:autoSpaceDN w:val="0"/>
        <w:adjustRightInd w:val="0"/>
        <w:snapToGrid w:val="0"/>
        <w:spacing w:line="360" w:lineRule="auto"/>
        <w:jc w:val="left"/>
        <w:rPr>
          <w:rFonts w:ascii="宋体" w:hAnsi="宋体" w:cs="MingLiU"/>
          <w:color w:val="auto"/>
          <w:kern w:val="0"/>
          <w:sz w:val="20"/>
          <w:szCs w:val="20"/>
          <w:highlight w:val="none"/>
        </w:rPr>
      </w:pPr>
    </w:p>
    <w:p w14:paraId="421DE41E">
      <w:pPr>
        <w:adjustRightInd w:val="0"/>
        <w:snapToGrid w:val="0"/>
        <w:spacing w:line="264" w:lineRule="auto"/>
        <w:rPr>
          <w:rFonts w:ascii="宋体" w:hAnsi="宋体"/>
          <w:color w:val="auto"/>
          <w:szCs w:val="21"/>
          <w:highlight w:val="none"/>
        </w:rPr>
      </w:pPr>
    </w:p>
    <w:p w14:paraId="2C642B71">
      <w:pPr>
        <w:autoSpaceDE w:val="0"/>
        <w:autoSpaceDN w:val="0"/>
        <w:adjustRightInd w:val="0"/>
        <w:snapToGrid w:val="0"/>
        <w:spacing w:line="360" w:lineRule="auto"/>
        <w:jc w:val="left"/>
        <w:rPr>
          <w:rFonts w:ascii="宋体" w:hAnsi="宋体" w:cs="MingLiU"/>
          <w:color w:val="auto"/>
          <w:kern w:val="0"/>
          <w:sz w:val="20"/>
          <w:szCs w:val="20"/>
          <w:highlight w:val="none"/>
        </w:rPr>
      </w:pPr>
    </w:p>
    <w:p w14:paraId="17D29048">
      <w:pPr>
        <w:autoSpaceDE w:val="0"/>
        <w:autoSpaceDN w:val="0"/>
        <w:adjustRightInd w:val="0"/>
        <w:snapToGrid w:val="0"/>
        <w:spacing w:line="360" w:lineRule="auto"/>
        <w:jc w:val="left"/>
        <w:rPr>
          <w:rFonts w:ascii="宋体" w:hAnsi="宋体" w:cs="MingLiU"/>
          <w:color w:val="auto"/>
          <w:kern w:val="0"/>
          <w:sz w:val="20"/>
          <w:szCs w:val="20"/>
          <w:highlight w:val="none"/>
        </w:rPr>
      </w:pPr>
    </w:p>
    <w:p w14:paraId="737197AD">
      <w:pPr>
        <w:autoSpaceDE w:val="0"/>
        <w:autoSpaceDN w:val="0"/>
        <w:adjustRightInd w:val="0"/>
        <w:snapToGrid w:val="0"/>
        <w:spacing w:line="360" w:lineRule="auto"/>
        <w:jc w:val="left"/>
        <w:rPr>
          <w:rFonts w:ascii="宋体" w:hAnsi="宋体" w:cs="MingLiU"/>
          <w:color w:val="auto"/>
          <w:kern w:val="0"/>
          <w:sz w:val="20"/>
          <w:szCs w:val="20"/>
          <w:highlight w:val="none"/>
        </w:rPr>
      </w:pPr>
    </w:p>
    <w:p w14:paraId="38D9FAFC">
      <w:pPr>
        <w:autoSpaceDE w:val="0"/>
        <w:autoSpaceDN w:val="0"/>
        <w:adjustRightInd w:val="0"/>
        <w:snapToGrid w:val="0"/>
        <w:spacing w:line="360" w:lineRule="auto"/>
        <w:jc w:val="left"/>
        <w:rPr>
          <w:rFonts w:ascii="宋体" w:hAnsi="宋体" w:cs="MingLiU"/>
          <w:color w:val="auto"/>
          <w:kern w:val="0"/>
          <w:sz w:val="20"/>
          <w:szCs w:val="20"/>
          <w:highlight w:val="none"/>
        </w:rPr>
      </w:pPr>
    </w:p>
    <w:p w14:paraId="34F11CD1">
      <w:pPr>
        <w:autoSpaceDE w:val="0"/>
        <w:autoSpaceDN w:val="0"/>
        <w:adjustRightInd w:val="0"/>
        <w:snapToGrid w:val="0"/>
        <w:spacing w:line="360" w:lineRule="auto"/>
        <w:jc w:val="left"/>
        <w:rPr>
          <w:rFonts w:ascii="宋体" w:hAnsi="宋体" w:cs="MingLiU"/>
          <w:color w:val="auto"/>
          <w:kern w:val="0"/>
          <w:sz w:val="20"/>
          <w:szCs w:val="20"/>
          <w:highlight w:val="none"/>
        </w:rPr>
      </w:pPr>
    </w:p>
    <w:p w14:paraId="6703BE1F">
      <w:pPr>
        <w:autoSpaceDE w:val="0"/>
        <w:autoSpaceDN w:val="0"/>
        <w:adjustRightInd w:val="0"/>
        <w:snapToGrid w:val="0"/>
        <w:spacing w:line="360" w:lineRule="auto"/>
        <w:jc w:val="left"/>
        <w:rPr>
          <w:rFonts w:ascii="宋体" w:hAnsi="宋体" w:cs="MingLiU"/>
          <w:color w:val="auto"/>
          <w:kern w:val="0"/>
          <w:sz w:val="20"/>
          <w:szCs w:val="20"/>
          <w:highlight w:val="none"/>
        </w:rPr>
      </w:pPr>
    </w:p>
    <w:p w14:paraId="79902EB1">
      <w:pPr>
        <w:autoSpaceDE w:val="0"/>
        <w:autoSpaceDN w:val="0"/>
        <w:adjustRightInd w:val="0"/>
        <w:snapToGrid w:val="0"/>
        <w:spacing w:line="360" w:lineRule="auto"/>
        <w:jc w:val="left"/>
        <w:rPr>
          <w:rFonts w:ascii="宋体" w:hAnsi="宋体" w:cs="MingLiU"/>
          <w:color w:val="auto"/>
          <w:kern w:val="0"/>
          <w:sz w:val="20"/>
          <w:szCs w:val="20"/>
          <w:highlight w:val="none"/>
        </w:rPr>
      </w:pPr>
    </w:p>
    <w:p w14:paraId="34FA2716">
      <w:pPr>
        <w:autoSpaceDE w:val="0"/>
        <w:autoSpaceDN w:val="0"/>
        <w:adjustRightInd w:val="0"/>
        <w:snapToGrid w:val="0"/>
        <w:spacing w:line="360" w:lineRule="auto"/>
        <w:jc w:val="left"/>
        <w:rPr>
          <w:rFonts w:ascii="宋体" w:hAnsi="宋体" w:cs="MingLiU"/>
          <w:color w:val="auto"/>
          <w:kern w:val="0"/>
          <w:sz w:val="20"/>
          <w:szCs w:val="20"/>
          <w:highlight w:val="none"/>
        </w:rPr>
      </w:pPr>
    </w:p>
    <w:p w14:paraId="1592DC8B">
      <w:pPr>
        <w:autoSpaceDE w:val="0"/>
        <w:autoSpaceDN w:val="0"/>
        <w:adjustRightInd w:val="0"/>
        <w:snapToGrid w:val="0"/>
        <w:spacing w:line="360" w:lineRule="auto"/>
        <w:jc w:val="left"/>
        <w:rPr>
          <w:rFonts w:ascii="宋体" w:hAnsi="宋体" w:cs="MingLiU"/>
          <w:color w:val="auto"/>
          <w:kern w:val="0"/>
          <w:sz w:val="20"/>
          <w:szCs w:val="20"/>
          <w:highlight w:val="none"/>
        </w:rPr>
      </w:pPr>
    </w:p>
    <w:p w14:paraId="7B21297C">
      <w:pPr>
        <w:autoSpaceDE w:val="0"/>
        <w:autoSpaceDN w:val="0"/>
        <w:adjustRightInd w:val="0"/>
        <w:snapToGrid w:val="0"/>
        <w:spacing w:line="360" w:lineRule="auto"/>
        <w:jc w:val="left"/>
        <w:rPr>
          <w:rFonts w:ascii="宋体" w:hAnsi="宋体" w:cs="MingLiU"/>
          <w:color w:val="auto"/>
          <w:kern w:val="0"/>
          <w:sz w:val="20"/>
          <w:szCs w:val="20"/>
          <w:highlight w:val="none"/>
        </w:rPr>
      </w:pPr>
    </w:p>
    <w:p w14:paraId="786B97A4">
      <w:pPr>
        <w:autoSpaceDE w:val="0"/>
        <w:autoSpaceDN w:val="0"/>
        <w:adjustRightInd w:val="0"/>
        <w:snapToGrid w:val="0"/>
        <w:spacing w:line="360" w:lineRule="auto"/>
        <w:jc w:val="left"/>
        <w:rPr>
          <w:rFonts w:ascii="宋体" w:hAnsi="宋体" w:cs="MingLiU"/>
          <w:color w:val="auto"/>
          <w:kern w:val="0"/>
          <w:sz w:val="20"/>
          <w:szCs w:val="20"/>
          <w:highlight w:val="none"/>
        </w:rPr>
      </w:pPr>
    </w:p>
    <w:p w14:paraId="428E7127">
      <w:pPr>
        <w:autoSpaceDE w:val="0"/>
        <w:autoSpaceDN w:val="0"/>
        <w:adjustRightInd w:val="0"/>
        <w:snapToGrid w:val="0"/>
        <w:spacing w:line="360" w:lineRule="auto"/>
        <w:jc w:val="left"/>
        <w:rPr>
          <w:rFonts w:ascii="宋体" w:hAnsi="宋体" w:cs="MingLiU"/>
          <w:color w:val="auto"/>
          <w:kern w:val="0"/>
          <w:sz w:val="20"/>
          <w:szCs w:val="20"/>
          <w:highlight w:val="none"/>
        </w:rPr>
      </w:pPr>
    </w:p>
    <w:p w14:paraId="37994F9C">
      <w:pPr>
        <w:autoSpaceDE w:val="0"/>
        <w:autoSpaceDN w:val="0"/>
        <w:adjustRightInd w:val="0"/>
        <w:snapToGrid w:val="0"/>
        <w:spacing w:line="360" w:lineRule="auto"/>
        <w:jc w:val="left"/>
        <w:rPr>
          <w:rFonts w:ascii="宋体" w:hAnsi="宋体" w:cs="MingLiU"/>
          <w:color w:val="auto"/>
          <w:kern w:val="0"/>
          <w:sz w:val="20"/>
          <w:szCs w:val="20"/>
          <w:highlight w:val="none"/>
        </w:rPr>
      </w:pPr>
    </w:p>
    <w:p w14:paraId="1D6450BE">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B30FF4F">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464CCF64">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3B81B3B">
      <w:pPr>
        <w:rPr>
          <w:rFonts w:hint="eastAsia" w:ascii="宋体" w:hAnsi="宋体"/>
          <w:color w:val="auto"/>
          <w:kern w:val="0"/>
          <w:sz w:val="36"/>
          <w:szCs w:val="36"/>
          <w:highlight w:val="none"/>
        </w:rPr>
      </w:pPr>
      <w:r>
        <w:rPr>
          <w:rFonts w:hint="eastAsia" w:ascii="宋体" w:hAnsi="宋体"/>
          <w:color w:val="auto"/>
          <w:kern w:val="0"/>
          <w:sz w:val="36"/>
          <w:szCs w:val="36"/>
          <w:highlight w:val="none"/>
        </w:rPr>
        <w:br w:type="page"/>
      </w:r>
    </w:p>
    <w:p w14:paraId="4FF7112A">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6C44AA78">
      <w:pPr>
        <w:spacing w:line="360" w:lineRule="auto"/>
        <w:jc w:val="center"/>
        <w:rPr>
          <w:rFonts w:ascii="宋体" w:hAnsi="宋体"/>
          <w:b/>
          <w:color w:val="auto"/>
          <w:kern w:val="0"/>
          <w:sz w:val="32"/>
          <w:szCs w:val="32"/>
          <w:highlight w:val="none"/>
        </w:rPr>
      </w:pPr>
    </w:p>
    <w:p w14:paraId="061446C7">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4F39692F">
      <w:pPr>
        <w:spacing w:line="360" w:lineRule="auto"/>
        <w:ind w:firstLine="420" w:firstLineChars="200"/>
        <w:rPr>
          <w:rFonts w:ascii="宋体" w:hAnsi="宋体"/>
          <w:color w:val="auto"/>
          <w:szCs w:val="21"/>
          <w:highlight w:val="none"/>
        </w:rPr>
      </w:pPr>
      <w:r>
        <w:rPr>
          <w:rFonts w:ascii="宋体" w:hAnsi="宋体"/>
          <w:color w:val="auto"/>
          <w:szCs w:val="21"/>
          <w:highlight w:val="none"/>
        </w:rPr>
        <w:t>（二）投标人基本情况表</w:t>
      </w:r>
    </w:p>
    <w:p w14:paraId="71D319B2">
      <w:pPr>
        <w:spacing w:line="360" w:lineRule="auto"/>
        <w:ind w:firstLine="420" w:firstLineChars="200"/>
        <w:rPr>
          <w:rFonts w:ascii="宋体" w:hAnsi="宋体"/>
          <w:color w:val="auto"/>
          <w:szCs w:val="21"/>
          <w:highlight w:val="none"/>
        </w:rPr>
      </w:pPr>
      <w:r>
        <w:rPr>
          <w:rFonts w:ascii="宋体" w:hAnsi="宋体"/>
          <w:color w:val="auto"/>
          <w:szCs w:val="21"/>
          <w:highlight w:val="none"/>
        </w:rPr>
        <w:t>（三）项目管理机构</w:t>
      </w:r>
    </w:p>
    <w:p w14:paraId="2DEE8E4B">
      <w:pPr>
        <w:spacing w:line="360" w:lineRule="auto"/>
        <w:ind w:firstLine="420" w:firstLineChars="200"/>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承诺</w:t>
      </w:r>
    </w:p>
    <w:p w14:paraId="47B8D7F4">
      <w:pPr>
        <w:spacing w:line="360" w:lineRule="auto"/>
        <w:ind w:firstLine="420" w:firstLineChars="200"/>
        <w:rPr>
          <w:rFonts w:ascii="宋体" w:hAnsi="宋体"/>
          <w:color w:val="auto"/>
          <w:szCs w:val="21"/>
          <w:highlight w:val="none"/>
        </w:rPr>
      </w:pPr>
      <w:r>
        <w:rPr>
          <w:rFonts w:ascii="宋体" w:hAnsi="宋体"/>
          <w:color w:val="auto"/>
          <w:szCs w:val="21"/>
          <w:highlight w:val="none"/>
        </w:rPr>
        <w:t>（五）其他资料</w:t>
      </w:r>
    </w:p>
    <w:p w14:paraId="75D7F8D8">
      <w:pPr>
        <w:spacing w:line="360" w:lineRule="auto"/>
        <w:jc w:val="center"/>
        <w:rPr>
          <w:rFonts w:ascii="宋体" w:hAnsi="宋体"/>
          <w:b/>
          <w:color w:val="auto"/>
          <w:kern w:val="0"/>
          <w:sz w:val="32"/>
          <w:szCs w:val="32"/>
          <w:highlight w:val="none"/>
        </w:rPr>
      </w:pPr>
    </w:p>
    <w:p w14:paraId="5B32CB5E">
      <w:pPr>
        <w:spacing w:line="360" w:lineRule="auto"/>
        <w:jc w:val="center"/>
        <w:rPr>
          <w:rFonts w:ascii="宋体" w:hAnsi="宋体"/>
          <w:b/>
          <w:color w:val="auto"/>
          <w:kern w:val="0"/>
          <w:sz w:val="32"/>
          <w:szCs w:val="32"/>
          <w:highlight w:val="none"/>
        </w:rPr>
      </w:pPr>
    </w:p>
    <w:p w14:paraId="22897901">
      <w:pPr>
        <w:pStyle w:val="6"/>
        <w:jc w:val="center"/>
        <w:rPr>
          <w:rFonts w:ascii="宋体" w:hAnsi="宋体"/>
          <w:snapToGrid w:val="0"/>
          <w:color w:val="auto"/>
          <w:kern w:val="0"/>
          <w:sz w:val="30"/>
          <w:szCs w:val="30"/>
          <w:highlight w:val="none"/>
        </w:rPr>
      </w:pPr>
      <w:r>
        <w:rPr>
          <w:rFonts w:ascii="宋体" w:hAnsi="宋体"/>
          <w:color w:val="auto"/>
          <w:highlight w:val="none"/>
        </w:rPr>
        <w:br w:type="page"/>
      </w:r>
      <w:bookmarkStart w:id="713" w:name="_Toc5633"/>
      <w:bookmarkStart w:id="714" w:name="_Toc26057"/>
      <w:bookmarkStart w:id="715" w:name="_Toc287620830"/>
      <w:bookmarkStart w:id="716" w:name="_Toc430530546"/>
      <w:bookmarkStart w:id="717" w:name="_Toc224103511"/>
      <w:bookmarkStart w:id="718" w:name="_Toc287607883"/>
      <w:bookmarkStart w:id="719" w:name="_Toc277082657"/>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713"/>
      <w:bookmarkEnd w:id="714"/>
    </w:p>
    <w:p w14:paraId="0F111065">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5DB5A549">
      <w:pPr>
        <w:spacing w:line="480" w:lineRule="auto"/>
        <w:jc w:val="center"/>
        <w:rPr>
          <w:rFonts w:ascii="宋体" w:hAnsi="宋体"/>
          <w:color w:val="auto"/>
          <w:highlight w:val="none"/>
        </w:rPr>
      </w:pPr>
    </w:p>
    <w:p w14:paraId="04BBB32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72CEBC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ABA5D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1FD7AA1">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23CE49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0913D1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E790742">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221A867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7271A4A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3B4C82A3">
      <w:pPr>
        <w:autoSpaceDE w:val="0"/>
        <w:autoSpaceDN w:val="0"/>
        <w:adjustRightInd w:val="0"/>
        <w:snapToGrid w:val="0"/>
        <w:spacing w:line="360" w:lineRule="auto"/>
        <w:jc w:val="left"/>
        <w:rPr>
          <w:rFonts w:ascii="宋体" w:hAnsi="宋体"/>
          <w:color w:val="auto"/>
          <w:szCs w:val="21"/>
          <w:highlight w:val="none"/>
        </w:rPr>
      </w:pPr>
    </w:p>
    <w:p w14:paraId="60E5EA2A">
      <w:pPr>
        <w:pStyle w:val="2"/>
        <w:spacing w:after="0" w:line="360" w:lineRule="auto"/>
        <w:rPr>
          <w:rFonts w:ascii="宋体" w:hAnsi="宋体"/>
          <w:color w:val="auto"/>
          <w:szCs w:val="21"/>
          <w:highlight w:val="none"/>
        </w:rPr>
      </w:pPr>
    </w:p>
    <w:p w14:paraId="5392B198">
      <w:pPr>
        <w:pStyle w:val="2"/>
        <w:spacing w:after="0" w:line="360" w:lineRule="auto"/>
        <w:rPr>
          <w:rFonts w:ascii="宋体" w:hAnsi="宋体"/>
          <w:color w:val="auto"/>
          <w:szCs w:val="21"/>
          <w:highlight w:val="none"/>
        </w:rPr>
      </w:pPr>
    </w:p>
    <w:p w14:paraId="3D7703F2">
      <w:pPr>
        <w:pStyle w:val="2"/>
        <w:spacing w:after="0" w:line="360" w:lineRule="auto"/>
        <w:rPr>
          <w:rFonts w:ascii="宋体" w:hAnsi="宋体"/>
          <w:color w:val="auto"/>
          <w:szCs w:val="21"/>
          <w:highlight w:val="none"/>
        </w:rPr>
      </w:pPr>
    </w:p>
    <w:p w14:paraId="3249B213">
      <w:pPr>
        <w:pStyle w:val="2"/>
        <w:spacing w:after="0" w:line="360" w:lineRule="auto"/>
        <w:rPr>
          <w:rFonts w:ascii="宋体" w:hAnsi="宋体"/>
          <w:color w:val="auto"/>
          <w:szCs w:val="21"/>
          <w:highlight w:val="none"/>
        </w:rPr>
      </w:pPr>
    </w:p>
    <w:p w14:paraId="719ABD7E">
      <w:pPr>
        <w:pStyle w:val="2"/>
        <w:spacing w:after="0" w:line="360" w:lineRule="auto"/>
        <w:rPr>
          <w:rFonts w:ascii="宋体" w:hAnsi="宋体"/>
          <w:color w:val="auto"/>
          <w:szCs w:val="21"/>
          <w:highlight w:val="none"/>
        </w:rPr>
      </w:pPr>
    </w:p>
    <w:p w14:paraId="30DC44F7">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FE1559C">
      <w:pPr>
        <w:autoSpaceDE w:val="0"/>
        <w:autoSpaceDN w:val="0"/>
        <w:adjustRightInd w:val="0"/>
        <w:snapToGrid w:val="0"/>
        <w:spacing w:line="480" w:lineRule="auto"/>
        <w:jc w:val="left"/>
        <w:rPr>
          <w:rFonts w:ascii="宋体" w:hAnsi="宋体"/>
          <w:color w:val="auto"/>
          <w:kern w:val="0"/>
          <w:sz w:val="20"/>
          <w:szCs w:val="20"/>
          <w:highlight w:val="none"/>
        </w:rPr>
      </w:pPr>
    </w:p>
    <w:p w14:paraId="126C5DD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6261A88">
      <w:pPr>
        <w:autoSpaceDE w:val="0"/>
        <w:autoSpaceDN w:val="0"/>
        <w:adjustRightInd w:val="0"/>
        <w:snapToGrid w:val="0"/>
        <w:spacing w:line="360" w:lineRule="auto"/>
        <w:jc w:val="left"/>
        <w:rPr>
          <w:rFonts w:ascii="宋体" w:hAnsi="宋体"/>
          <w:color w:val="auto"/>
          <w:kern w:val="0"/>
          <w:highlight w:val="none"/>
        </w:rPr>
      </w:pPr>
    </w:p>
    <w:p w14:paraId="0665FA36">
      <w:pPr>
        <w:autoSpaceDE w:val="0"/>
        <w:autoSpaceDN w:val="0"/>
        <w:adjustRightInd w:val="0"/>
        <w:snapToGrid w:val="0"/>
        <w:spacing w:line="360" w:lineRule="auto"/>
        <w:jc w:val="left"/>
        <w:rPr>
          <w:rFonts w:ascii="宋体" w:hAnsi="宋体"/>
          <w:color w:val="auto"/>
          <w:kern w:val="0"/>
          <w:highlight w:val="none"/>
        </w:rPr>
      </w:pPr>
    </w:p>
    <w:p w14:paraId="37C4A084">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715"/>
      <w:bookmarkEnd w:id="716"/>
      <w:bookmarkEnd w:id="717"/>
      <w:bookmarkEnd w:id="718"/>
      <w:bookmarkEnd w:id="719"/>
      <w:r>
        <w:rPr>
          <w:rFonts w:hint="eastAsia" w:ascii="宋体" w:hAnsi="宋体"/>
          <w:color w:val="auto"/>
          <w:kern w:val="0"/>
          <w:szCs w:val="21"/>
          <w:highlight w:val="none"/>
        </w:rPr>
        <w:t>。</w:t>
      </w:r>
    </w:p>
    <w:p w14:paraId="744DC586">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93C990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0F5141C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59C0398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2DCC36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61E0F53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2E5B66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6D15A4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B7F9A5C">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43A0BC2B">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9F0D3CF">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14BAE5E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3571EC8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4C06644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FE2AAE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26B9A7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DCDA05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773536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2559A29">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0D2FD61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12F89F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17D27F75">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8538A87">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73E10C56">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2F7B0C0C">
      <w:pPr>
        <w:pStyle w:val="6"/>
        <w:spacing w:before="0" w:after="0" w:line="240" w:lineRule="auto"/>
        <w:jc w:val="center"/>
        <w:rPr>
          <w:rFonts w:ascii="宋体" w:hAnsi="宋体"/>
          <w:color w:val="auto"/>
          <w:highlight w:val="none"/>
        </w:rPr>
      </w:pPr>
      <w:bookmarkStart w:id="720" w:name="_Toc27740"/>
      <w:bookmarkStart w:id="721" w:name="_Toc287607887"/>
      <w:bookmarkStart w:id="722" w:name="_Toc277082659"/>
      <w:r>
        <w:rPr>
          <w:rFonts w:hint="eastAsia" w:ascii="宋体" w:hAnsi="宋体"/>
          <w:b w:val="0"/>
          <w:bCs w:val="0"/>
          <w:color w:val="auto"/>
          <w:highlight w:val="none"/>
        </w:rPr>
        <w:t>（</w:t>
      </w:r>
      <w:r>
        <w:rPr>
          <w:rFonts w:hint="eastAsia" w:ascii="宋体" w:hAnsi="宋体"/>
          <w:b w:val="0"/>
          <w:bCs w:val="0"/>
          <w:color w:val="auto"/>
          <w:highlight w:val="none"/>
          <w:lang w:eastAsia="zh-CN"/>
        </w:rPr>
        <w:t>二</w:t>
      </w:r>
      <w:r>
        <w:rPr>
          <w:rFonts w:hint="eastAsia" w:ascii="宋体" w:hAnsi="宋体"/>
          <w:b w:val="0"/>
          <w:bCs w:val="0"/>
          <w:color w:val="auto"/>
          <w:highlight w:val="none"/>
        </w:rPr>
        <w:t>）投标人基本情况表</w:t>
      </w:r>
      <w:bookmarkEnd w:id="720"/>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4CC664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F2DF53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14:paraId="03650AC9">
            <w:pPr>
              <w:autoSpaceDE w:val="0"/>
              <w:autoSpaceDN w:val="0"/>
              <w:adjustRightInd w:val="0"/>
              <w:snapToGrid w:val="0"/>
              <w:jc w:val="center"/>
              <w:rPr>
                <w:rFonts w:ascii="宋体" w:hAnsi="宋体"/>
                <w:color w:val="auto"/>
                <w:kern w:val="0"/>
                <w:szCs w:val="21"/>
                <w:highlight w:val="none"/>
              </w:rPr>
            </w:pPr>
          </w:p>
        </w:tc>
      </w:tr>
      <w:tr w14:paraId="458A66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3FC55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62ACEAAD">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20AF559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D9A0A09">
            <w:pPr>
              <w:autoSpaceDE w:val="0"/>
              <w:autoSpaceDN w:val="0"/>
              <w:adjustRightInd w:val="0"/>
              <w:snapToGrid w:val="0"/>
              <w:jc w:val="center"/>
              <w:rPr>
                <w:rFonts w:ascii="宋体" w:hAnsi="宋体"/>
                <w:color w:val="auto"/>
                <w:kern w:val="0"/>
                <w:szCs w:val="21"/>
                <w:highlight w:val="none"/>
              </w:rPr>
            </w:pPr>
          </w:p>
        </w:tc>
      </w:tr>
      <w:tr w14:paraId="115767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34ECA7C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0B28794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27BCBA2A">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5AD420B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271C36A8">
            <w:pPr>
              <w:autoSpaceDE w:val="0"/>
              <w:autoSpaceDN w:val="0"/>
              <w:adjustRightInd w:val="0"/>
              <w:snapToGrid w:val="0"/>
              <w:jc w:val="center"/>
              <w:rPr>
                <w:rFonts w:ascii="宋体" w:hAnsi="宋体"/>
                <w:color w:val="auto"/>
                <w:kern w:val="0"/>
                <w:szCs w:val="21"/>
                <w:highlight w:val="none"/>
              </w:rPr>
            </w:pPr>
          </w:p>
        </w:tc>
      </w:tr>
      <w:tr w14:paraId="07038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D19F98A">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2C8BA4E2">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7D75B5F7">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12881E8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31AEAE32">
            <w:pPr>
              <w:autoSpaceDE w:val="0"/>
              <w:autoSpaceDN w:val="0"/>
              <w:adjustRightInd w:val="0"/>
              <w:snapToGrid w:val="0"/>
              <w:jc w:val="center"/>
              <w:rPr>
                <w:rFonts w:ascii="宋体" w:hAnsi="宋体"/>
                <w:color w:val="auto"/>
                <w:kern w:val="0"/>
                <w:szCs w:val="21"/>
                <w:highlight w:val="none"/>
              </w:rPr>
            </w:pPr>
          </w:p>
        </w:tc>
      </w:tr>
      <w:tr w14:paraId="46A06B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3EDB94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5E4EC5D1">
            <w:pPr>
              <w:autoSpaceDE w:val="0"/>
              <w:autoSpaceDN w:val="0"/>
              <w:adjustRightInd w:val="0"/>
              <w:snapToGrid w:val="0"/>
              <w:jc w:val="center"/>
              <w:rPr>
                <w:rFonts w:ascii="宋体" w:hAnsi="宋体"/>
                <w:color w:val="auto"/>
                <w:kern w:val="0"/>
                <w:szCs w:val="21"/>
                <w:highlight w:val="none"/>
              </w:rPr>
            </w:pPr>
          </w:p>
        </w:tc>
      </w:tr>
      <w:tr w14:paraId="41E7DD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731935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6C3489B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5AD3F383">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33B414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636E01C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61BD1C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4B8F3DD3">
            <w:pPr>
              <w:autoSpaceDE w:val="0"/>
              <w:autoSpaceDN w:val="0"/>
              <w:adjustRightInd w:val="0"/>
              <w:snapToGrid w:val="0"/>
              <w:jc w:val="center"/>
              <w:rPr>
                <w:rFonts w:ascii="宋体" w:hAnsi="宋体"/>
                <w:color w:val="auto"/>
                <w:kern w:val="0"/>
                <w:szCs w:val="21"/>
                <w:highlight w:val="none"/>
              </w:rPr>
            </w:pPr>
          </w:p>
        </w:tc>
      </w:tr>
      <w:tr w14:paraId="1D4E44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C4C1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7815D0A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319739D">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426DF84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2E94C2F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014F5EF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CD54746">
            <w:pPr>
              <w:autoSpaceDE w:val="0"/>
              <w:autoSpaceDN w:val="0"/>
              <w:adjustRightInd w:val="0"/>
              <w:snapToGrid w:val="0"/>
              <w:jc w:val="center"/>
              <w:rPr>
                <w:rFonts w:ascii="宋体" w:hAnsi="宋体"/>
                <w:color w:val="auto"/>
                <w:kern w:val="0"/>
                <w:szCs w:val="21"/>
                <w:highlight w:val="none"/>
              </w:rPr>
            </w:pPr>
          </w:p>
        </w:tc>
      </w:tr>
      <w:tr w14:paraId="1654E3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0AD81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4F5B24AC">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514C61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4AF0A1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AE6F5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350B0C75">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3693041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5268023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653D776D">
            <w:pPr>
              <w:autoSpaceDE w:val="0"/>
              <w:autoSpaceDN w:val="0"/>
              <w:adjustRightInd w:val="0"/>
              <w:snapToGrid w:val="0"/>
              <w:jc w:val="center"/>
              <w:rPr>
                <w:rFonts w:ascii="宋体" w:hAnsi="宋体"/>
                <w:color w:val="auto"/>
                <w:kern w:val="0"/>
                <w:szCs w:val="21"/>
                <w:highlight w:val="none"/>
              </w:rPr>
            </w:pPr>
          </w:p>
        </w:tc>
      </w:tr>
      <w:tr w14:paraId="2302D8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F8515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26D49052">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4E789AA">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71131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E824CF4">
            <w:pPr>
              <w:autoSpaceDE w:val="0"/>
              <w:autoSpaceDN w:val="0"/>
              <w:adjustRightInd w:val="0"/>
              <w:snapToGrid w:val="0"/>
              <w:jc w:val="center"/>
              <w:rPr>
                <w:rFonts w:ascii="宋体" w:hAnsi="宋体"/>
                <w:color w:val="auto"/>
                <w:kern w:val="0"/>
                <w:szCs w:val="21"/>
                <w:highlight w:val="none"/>
              </w:rPr>
            </w:pPr>
          </w:p>
        </w:tc>
      </w:tr>
      <w:tr w14:paraId="6884C7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62C435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4E0DA6AB">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504C47B">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BFF2E9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4D3A7524">
            <w:pPr>
              <w:autoSpaceDE w:val="0"/>
              <w:autoSpaceDN w:val="0"/>
              <w:adjustRightInd w:val="0"/>
              <w:snapToGrid w:val="0"/>
              <w:jc w:val="center"/>
              <w:rPr>
                <w:rFonts w:ascii="宋体" w:hAnsi="宋体"/>
                <w:color w:val="auto"/>
                <w:kern w:val="0"/>
                <w:szCs w:val="21"/>
                <w:highlight w:val="none"/>
              </w:rPr>
            </w:pPr>
          </w:p>
        </w:tc>
      </w:tr>
      <w:tr w14:paraId="2EF827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6577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3D594F9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AE5AC66">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83FCFF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1A68A98D">
            <w:pPr>
              <w:autoSpaceDE w:val="0"/>
              <w:autoSpaceDN w:val="0"/>
              <w:adjustRightInd w:val="0"/>
              <w:snapToGrid w:val="0"/>
              <w:jc w:val="center"/>
              <w:rPr>
                <w:rFonts w:ascii="宋体" w:hAnsi="宋体"/>
                <w:color w:val="auto"/>
                <w:kern w:val="0"/>
                <w:szCs w:val="21"/>
                <w:highlight w:val="none"/>
              </w:rPr>
            </w:pPr>
          </w:p>
        </w:tc>
      </w:tr>
      <w:tr w14:paraId="29F102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09698C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148C6BB3">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6B79F245">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2A9E343A">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38A6B450">
            <w:pPr>
              <w:autoSpaceDE w:val="0"/>
              <w:autoSpaceDN w:val="0"/>
              <w:adjustRightInd w:val="0"/>
              <w:snapToGrid w:val="0"/>
              <w:jc w:val="center"/>
              <w:rPr>
                <w:rFonts w:ascii="宋体" w:hAnsi="宋体"/>
                <w:color w:val="auto"/>
                <w:kern w:val="0"/>
                <w:szCs w:val="21"/>
                <w:highlight w:val="none"/>
              </w:rPr>
            </w:pPr>
          </w:p>
        </w:tc>
      </w:tr>
      <w:tr w14:paraId="658003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4153ED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2ECDCA4E">
            <w:pPr>
              <w:autoSpaceDE w:val="0"/>
              <w:autoSpaceDN w:val="0"/>
              <w:adjustRightInd w:val="0"/>
              <w:snapToGrid w:val="0"/>
              <w:jc w:val="center"/>
              <w:rPr>
                <w:rFonts w:ascii="宋体" w:hAnsi="宋体"/>
                <w:color w:val="auto"/>
                <w:kern w:val="0"/>
                <w:szCs w:val="21"/>
                <w:highlight w:val="none"/>
              </w:rPr>
            </w:pPr>
          </w:p>
        </w:tc>
      </w:tr>
      <w:tr w14:paraId="7A01DF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3B230A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22ED7DF0">
            <w:pPr>
              <w:autoSpaceDE w:val="0"/>
              <w:autoSpaceDN w:val="0"/>
              <w:adjustRightInd w:val="0"/>
              <w:snapToGrid w:val="0"/>
              <w:jc w:val="center"/>
              <w:rPr>
                <w:rFonts w:ascii="宋体" w:hAnsi="宋体"/>
                <w:color w:val="auto"/>
                <w:kern w:val="0"/>
                <w:szCs w:val="21"/>
                <w:highlight w:val="none"/>
              </w:rPr>
            </w:pPr>
          </w:p>
        </w:tc>
      </w:tr>
    </w:tbl>
    <w:p w14:paraId="65133312">
      <w:pPr>
        <w:spacing w:line="360" w:lineRule="auto"/>
        <w:jc w:val="center"/>
        <w:rPr>
          <w:rFonts w:ascii="宋体" w:hAnsi="宋体"/>
          <w:color w:val="auto"/>
          <w:szCs w:val="21"/>
          <w:highlight w:val="none"/>
        </w:rPr>
      </w:pPr>
    </w:p>
    <w:p w14:paraId="01B9F9B2">
      <w:pPr>
        <w:pStyle w:val="6"/>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723" w:name="_Toc509218863"/>
      <w:bookmarkStart w:id="724" w:name="_Toc9292"/>
      <w:bookmarkStart w:id="725" w:name="_Toc534185840"/>
      <w:r>
        <w:rPr>
          <w:rFonts w:hint="eastAsia" w:ascii="宋体" w:hAnsi="宋体"/>
          <w:b w:val="0"/>
          <w:bCs w:val="0"/>
          <w:color w:val="auto"/>
          <w:highlight w:val="none"/>
        </w:rPr>
        <w:t>（</w:t>
      </w:r>
      <w:r>
        <w:rPr>
          <w:rFonts w:hint="eastAsia" w:ascii="宋体" w:hAnsi="宋体"/>
          <w:b w:val="0"/>
          <w:bCs w:val="0"/>
          <w:color w:val="auto"/>
          <w:highlight w:val="none"/>
          <w:lang w:eastAsia="zh-CN"/>
        </w:rPr>
        <w:t>三</w:t>
      </w:r>
      <w:r>
        <w:rPr>
          <w:rFonts w:hint="eastAsia" w:ascii="宋体" w:hAnsi="宋体"/>
          <w:b w:val="0"/>
          <w:bCs w:val="0"/>
          <w:color w:val="auto"/>
          <w:highlight w:val="none"/>
        </w:rPr>
        <w:t>）项目管理机构</w:t>
      </w:r>
      <w:bookmarkEnd w:id="723"/>
      <w:bookmarkEnd w:id="724"/>
      <w:bookmarkEnd w:id="725"/>
    </w:p>
    <w:p w14:paraId="2B9A4FE4">
      <w:pPr>
        <w:spacing w:line="360" w:lineRule="auto"/>
        <w:rPr>
          <w:rFonts w:ascii="宋体" w:hAnsi="宋体"/>
          <w:color w:val="auto"/>
          <w:highlight w:val="none"/>
        </w:rPr>
      </w:pPr>
    </w:p>
    <w:p w14:paraId="228A37E3">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241B3B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7B8A0E4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178504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0A89B4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696895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13C98D8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1AF6F3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185E6548">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374DB4BC">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3F4EED81">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6FCB0FC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5F3B861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7236A66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6DFC0E1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04F505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4CA002C3">
            <w:pPr>
              <w:autoSpaceDE w:val="0"/>
              <w:autoSpaceDN w:val="0"/>
              <w:adjustRightInd w:val="0"/>
              <w:snapToGrid w:val="0"/>
              <w:jc w:val="left"/>
              <w:rPr>
                <w:rFonts w:ascii="宋体" w:hAnsi="宋体"/>
                <w:color w:val="auto"/>
                <w:kern w:val="0"/>
                <w:szCs w:val="21"/>
                <w:highlight w:val="none"/>
              </w:rPr>
            </w:pPr>
          </w:p>
        </w:tc>
      </w:tr>
      <w:tr w14:paraId="20A5AE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64E3BEDD">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48D28894">
            <w:pPr>
              <w:autoSpaceDE w:val="0"/>
              <w:autoSpaceDN w:val="0"/>
              <w:adjustRightInd w:val="0"/>
              <w:snapToGrid w:val="0"/>
              <w:jc w:val="left"/>
              <w:rPr>
                <w:rFonts w:ascii="宋体" w:hAnsi="宋体"/>
                <w:color w:val="auto"/>
                <w:kern w:val="0"/>
                <w:szCs w:val="21"/>
                <w:highlight w:val="none"/>
              </w:rPr>
            </w:pPr>
          </w:p>
        </w:tc>
        <w:tc>
          <w:tcPr>
            <w:tcW w:w="776" w:type="dxa"/>
          </w:tcPr>
          <w:p w14:paraId="1830EACC">
            <w:pPr>
              <w:autoSpaceDE w:val="0"/>
              <w:autoSpaceDN w:val="0"/>
              <w:adjustRightInd w:val="0"/>
              <w:snapToGrid w:val="0"/>
              <w:jc w:val="left"/>
              <w:rPr>
                <w:rFonts w:ascii="宋体" w:hAnsi="宋体"/>
                <w:color w:val="auto"/>
                <w:kern w:val="0"/>
                <w:szCs w:val="21"/>
                <w:highlight w:val="none"/>
              </w:rPr>
            </w:pPr>
          </w:p>
        </w:tc>
        <w:tc>
          <w:tcPr>
            <w:tcW w:w="1167" w:type="dxa"/>
          </w:tcPr>
          <w:p w14:paraId="28FFB66C">
            <w:pPr>
              <w:autoSpaceDE w:val="0"/>
              <w:autoSpaceDN w:val="0"/>
              <w:adjustRightInd w:val="0"/>
              <w:snapToGrid w:val="0"/>
              <w:jc w:val="left"/>
              <w:rPr>
                <w:rFonts w:ascii="宋体" w:hAnsi="宋体"/>
                <w:color w:val="auto"/>
                <w:kern w:val="0"/>
                <w:szCs w:val="21"/>
                <w:highlight w:val="none"/>
              </w:rPr>
            </w:pPr>
          </w:p>
        </w:tc>
        <w:tc>
          <w:tcPr>
            <w:tcW w:w="776" w:type="dxa"/>
          </w:tcPr>
          <w:p w14:paraId="0AF0898A">
            <w:pPr>
              <w:autoSpaceDE w:val="0"/>
              <w:autoSpaceDN w:val="0"/>
              <w:adjustRightInd w:val="0"/>
              <w:snapToGrid w:val="0"/>
              <w:jc w:val="left"/>
              <w:rPr>
                <w:rFonts w:ascii="宋体" w:hAnsi="宋体"/>
                <w:color w:val="auto"/>
                <w:kern w:val="0"/>
                <w:szCs w:val="21"/>
                <w:highlight w:val="none"/>
              </w:rPr>
            </w:pPr>
          </w:p>
        </w:tc>
        <w:tc>
          <w:tcPr>
            <w:tcW w:w="778" w:type="dxa"/>
          </w:tcPr>
          <w:p w14:paraId="76D1FDC0">
            <w:pPr>
              <w:autoSpaceDE w:val="0"/>
              <w:autoSpaceDN w:val="0"/>
              <w:adjustRightInd w:val="0"/>
              <w:snapToGrid w:val="0"/>
              <w:jc w:val="left"/>
              <w:rPr>
                <w:rFonts w:ascii="宋体" w:hAnsi="宋体"/>
                <w:color w:val="auto"/>
                <w:kern w:val="0"/>
                <w:szCs w:val="21"/>
                <w:highlight w:val="none"/>
              </w:rPr>
            </w:pPr>
          </w:p>
        </w:tc>
        <w:tc>
          <w:tcPr>
            <w:tcW w:w="776" w:type="dxa"/>
          </w:tcPr>
          <w:p w14:paraId="2161CAE4">
            <w:pPr>
              <w:autoSpaceDE w:val="0"/>
              <w:autoSpaceDN w:val="0"/>
              <w:adjustRightInd w:val="0"/>
              <w:snapToGrid w:val="0"/>
              <w:jc w:val="left"/>
              <w:rPr>
                <w:rFonts w:ascii="宋体" w:hAnsi="宋体"/>
                <w:color w:val="auto"/>
                <w:kern w:val="0"/>
                <w:szCs w:val="21"/>
                <w:highlight w:val="none"/>
              </w:rPr>
            </w:pPr>
          </w:p>
        </w:tc>
        <w:tc>
          <w:tcPr>
            <w:tcW w:w="2723" w:type="dxa"/>
          </w:tcPr>
          <w:p w14:paraId="5605A2DC">
            <w:pPr>
              <w:autoSpaceDE w:val="0"/>
              <w:autoSpaceDN w:val="0"/>
              <w:adjustRightInd w:val="0"/>
              <w:snapToGrid w:val="0"/>
              <w:jc w:val="left"/>
              <w:rPr>
                <w:rFonts w:ascii="宋体" w:hAnsi="宋体"/>
                <w:color w:val="auto"/>
                <w:kern w:val="0"/>
                <w:szCs w:val="21"/>
                <w:highlight w:val="none"/>
              </w:rPr>
            </w:pPr>
          </w:p>
        </w:tc>
        <w:tc>
          <w:tcPr>
            <w:tcW w:w="896" w:type="dxa"/>
          </w:tcPr>
          <w:p w14:paraId="12A0E45B">
            <w:pPr>
              <w:autoSpaceDE w:val="0"/>
              <w:autoSpaceDN w:val="0"/>
              <w:adjustRightInd w:val="0"/>
              <w:snapToGrid w:val="0"/>
              <w:jc w:val="left"/>
              <w:rPr>
                <w:rFonts w:ascii="宋体" w:hAnsi="宋体"/>
                <w:color w:val="auto"/>
                <w:kern w:val="0"/>
                <w:szCs w:val="21"/>
                <w:highlight w:val="none"/>
              </w:rPr>
            </w:pPr>
          </w:p>
        </w:tc>
      </w:tr>
      <w:tr w14:paraId="6ED715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60F0716B">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14:paraId="16C2ED10">
            <w:pPr>
              <w:autoSpaceDE w:val="0"/>
              <w:autoSpaceDN w:val="0"/>
              <w:adjustRightInd w:val="0"/>
              <w:snapToGrid w:val="0"/>
              <w:jc w:val="left"/>
              <w:rPr>
                <w:rFonts w:ascii="宋体" w:hAnsi="宋体"/>
                <w:color w:val="auto"/>
                <w:kern w:val="0"/>
                <w:szCs w:val="21"/>
                <w:highlight w:val="none"/>
              </w:rPr>
            </w:pPr>
          </w:p>
        </w:tc>
        <w:tc>
          <w:tcPr>
            <w:tcW w:w="776" w:type="dxa"/>
          </w:tcPr>
          <w:p w14:paraId="60435BED">
            <w:pPr>
              <w:autoSpaceDE w:val="0"/>
              <w:autoSpaceDN w:val="0"/>
              <w:adjustRightInd w:val="0"/>
              <w:snapToGrid w:val="0"/>
              <w:jc w:val="left"/>
              <w:rPr>
                <w:rFonts w:ascii="宋体" w:hAnsi="宋体"/>
                <w:color w:val="auto"/>
                <w:kern w:val="0"/>
                <w:szCs w:val="21"/>
                <w:highlight w:val="none"/>
              </w:rPr>
            </w:pPr>
          </w:p>
        </w:tc>
        <w:tc>
          <w:tcPr>
            <w:tcW w:w="1167" w:type="dxa"/>
          </w:tcPr>
          <w:p w14:paraId="341F10F2">
            <w:pPr>
              <w:autoSpaceDE w:val="0"/>
              <w:autoSpaceDN w:val="0"/>
              <w:adjustRightInd w:val="0"/>
              <w:snapToGrid w:val="0"/>
              <w:jc w:val="left"/>
              <w:rPr>
                <w:rFonts w:ascii="宋体" w:hAnsi="宋体"/>
                <w:color w:val="auto"/>
                <w:kern w:val="0"/>
                <w:szCs w:val="21"/>
                <w:highlight w:val="none"/>
              </w:rPr>
            </w:pPr>
          </w:p>
        </w:tc>
        <w:tc>
          <w:tcPr>
            <w:tcW w:w="776" w:type="dxa"/>
          </w:tcPr>
          <w:p w14:paraId="621D0375">
            <w:pPr>
              <w:autoSpaceDE w:val="0"/>
              <w:autoSpaceDN w:val="0"/>
              <w:adjustRightInd w:val="0"/>
              <w:snapToGrid w:val="0"/>
              <w:jc w:val="left"/>
              <w:rPr>
                <w:rFonts w:ascii="宋体" w:hAnsi="宋体"/>
                <w:color w:val="auto"/>
                <w:kern w:val="0"/>
                <w:szCs w:val="21"/>
                <w:highlight w:val="none"/>
              </w:rPr>
            </w:pPr>
          </w:p>
        </w:tc>
        <w:tc>
          <w:tcPr>
            <w:tcW w:w="778" w:type="dxa"/>
          </w:tcPr>
          <w:p w14:paraId="6C71CBC7">
            <w:pPr>
              <w:autoSpaceDE w:val="0"/>
              <w:autoSpaceDN w:val="0"/>
              <w:adjustRightInd w:val="0"/>
              <w:snapToGrid w:val="0"/>
              <w:jc w:val="left"/>
              <w:rPr>
                <w:rFonts w:ascii="宋体" w:hAnsi="宋体"/>
                <w:color w:val="auto"/>
                <w:kern w:val="0"/>
                <w:szCs w:val="21"/>
                <w:highlight w:val="none"/>
              </w:rPr>
            </w:pPr>
          </w:p>
        </w:tc>
        <w:tc>
          <w:tcPr>
            <w:tcW w:w="776" w:type="dxa"/>
          </w:tcPr>
          <w:p w14:paraId="29ABD93D">
            <w:pPr>
              <w:autoSpaceDE w:val="0"/>
              <w:autoSpaceDN w:val="0"/>
              <w:adjustRightInd w:val="0"/>
              <w:snapToGrid w:val="0"/>
              <w:jc w:val="left"/>
              <w:rPr>
                <w:rFonts w:ascii="宋体" w:hAnsi="宋体"/>
                <w:color w:val="auto"/>
                <w:kern w:val="0"/>
                <w:szCs w:val="21"/>
                <w:highlight w:val="none"/>
              </w:rPr>
            </w:pPr>
          </w:p>
        </w:tc>
        <w:tc>
          <w:tcPr>
            <w:tcW w:w="2723" w:type="dxa"/>
          </w:tcPr>
          <w:p w14:paraId="6F6DBD70">
            <w:pPr>
              <w:autoSpaceDE w:val="0"/>
              <w:autoSpaceDN w:val="0"/>
              <w:adjustRightInd w:val="0"/>
              <w:snapToGrid w:val="0"/>
              <w:jc w:val="left"/>
              <w:rPr>
                <w:rFonts w:ascii="宋体" w:hAnsi="宋体"/>
                <w:color w:val="auto"/>
                <w:kern w:val="0"/>
                <w:szCs w:val="21"/>
                <w:highlight w:val="none"/>
              </w:rPr>
            </w:pPr>
          </w:p>
        </w:tc>
        <w:tc>
          <w:tcPr>
            <w:tcW w:w="896" w:type="dxa"/>
          </w:tcPr>
          <w:p w14:paraId="3299BF22">
            <w:pPr>
              <w:autoSpaceDE w:val="0"/>
              <w:autoSpaceDN w:val="0"/>
              <w:adjustRightInd w:val="0"/>
              <w:snapToGrid w:val="0"/>
              <w:jc w:val="left"/>
              <w:rPr>
                <w:rFonts w:ascii="宋体" w:hAnsi="宋体"/>
                <w:color w:val="auto"/>
                <w:kern w:val="0"/>
                <w:szCs w:val="21"/>
                <w:highlight w:val="none"/>
              </w:rPr>
            </w:pPr>
          </w:p>
        </w:tc>
      </w:tr>
      <w:tr w14:paraId="3F89C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9D817CE">
            <w:pPr>
              <w:autoSpaceDE w:val="0"/>
              <w:autoSpaceDN w:val="0"/>
              <w:adjustRightInd w:val="0"/>
              <w:snapToGrid w:val="0"/>
              <w:jc w:val="left"/>
              <w:rPr>
                <w:rFonts w:ascii="宋体" w:hAnsi="宋体"/>
                <w:color w:val="auto"/>
                <w:kern w:val="0"/>
                <w:szCs w:val="21"/>
                <w:highlight w:val="none"/>
              </w:rPr>
            </w:pPr>
          </w:p>
        </w:tc>
        <w:tc>
          <w:tcPr>
            <w:tcW w:w="734" w:type="dxa"/>
          </w:tcPr>
          <w:p w14:paraId="2D5ED4D8">
            <w:pPr>
              <w:autoSpaceDE w:val="0"/>
              <w:autoSpaceDN w:val="0"/>
              <w:adjustRightInd w:val="0"/>
              <w:snapToGrid w:val="0"/>
              <w:jc w:val="left"/>
              <w:rPr>
                <w:rFonts w:ascii="宋体" w:hAnsi="宋体"/>
                <w:color w:val="auto"/>
                <w:kern w:val="0"/>
                <w:szCs w:val="21"/>
                <w:highlight w:val="none"/>
              </w:rPr>
            </w:pPr>
          </w:p>
        </w:tc>
        <w:tc>
          <w:tcPr>
            <w:tcW w:w="776" w:type="dxa"/>
          </w:tcPr>
          <w:p w14:paraId="42F12881">
            <w:pPr>
              <w:autoSpaceDE w:val="0"/>
              <w:autoSpaceDN w:val="0"/>
              <w:adjustRightInd w:val="0"/>
              <w:snapToGrid w:val="0"/>
              <w:jc w:val="left"/>
              <w:rPr>
                <w:rFonts w:ascii="宋体" w:hAnsi="宋体"/>
                <w:color w:val="auto"/>
                <w:kern w:val="0"/>
                <w:szCs w:val="21"/>
                <w:highlight w:val="none"/>
              </w:rPr>
            </w:pPr>
          </w:p>
        </w:tc>
        <w:tc>
          <w:tcPr>
            <w:tcW w:w="1167" w:type="dxa"/>
          </w:tcPr>
          <w:p w14:paraId="3D7AD7E7">
            <w:pPr>
              <w:autoSpaceDE w:val="0"/>
              <w:autoSpaceDN w:val="0"/>
              <w:adjustRightInd w:val="0"/>
              <w:snapToGrid w:val="0"/>
              <w:jc w:val="left"/>
              <w:rPr>
                <w:rFonts w:ascii="宋体" w:hAnsi="宋体"/>
                <w:color w:val="auto"/>
                <w:kern w:val="0"/>
                <w:szCs w:val="21"/>
                <w:highlight w:val="none"/>
              </w:rPr>
            </w:pPr>
          </w:p>
        </w:tc>
        <w:tc>
          <w:tcPr>
            <w:tcW w:w="776" w:type="dxa"/>
          </w:tcPr>
          <w:p w14:paraId="42DC1F71">
            <w:pPr>
              <w:autoSpaceDE w:val="0"/>
              <w:autoSpaceDN w:val="0"/>
              <w:adjustRightInd w:val="0"/>
              <w:snapToGrid w:val="0"/>
              <w:jc w:val="left"/>
              <w:rPr>
                <w:rFonts w:ascii="宋体" w:hAnsi="宋体"/>
                <w:color w:val="auto"/>
                <w:kern w:val="0"/>
                <w:szCs w:val="21"/>
                <w:highlight w:val="none"/>
              </w:rPr>
            </w:pPr>
          </w:p>
        </w:tc>
        <w:tc>
          <w:tcPr>
            <w:tcW w:w="778" w:type="dxa"/>
          </w:tcPr>
          <w:p w14:paraId="48854263">
            <w:pPr>
              <w:autoSpaceDE w:val="0"/>
              <w:autoSpaceDN w:val="0"/>
              <w:adjustRightInd w:val="0"/>
              <w:snapToGrid w:val="0"/>
              <w:jc w:val="left"/>
              <w:rPr>
                <w:rFonts w:ascii="宋体" w:hAnsi="宋体"/>
                <w:color w:val="auto"/>
                <w:kern w:val="0"/>
                <w:szCs w:val="21"/>
                <w:highlight w:val="none"/>
              </w:rPr>
            </w:pPr>
          </w:p>
        </w:tc>
        <w:tc>
          <w:tcPr>
            <w:tcW w:w="776" w:type="dxa"/>
          </w:tcPr>
          <w:p w14:paraId="3D280D40">
            <w:pPr>
              <w:autoSpaceDE w:val="0"/>
              <w:autoSpaceDN w:val="0"/>
              <w:adjustRightInd w:val="0"/>
              <w:snapToGrid w:val="0"/>
              <w:jc w:val="left"/>
              <w:rPr>
                <w:rFonts w:ascii="宋体" w:hAnsi="宋体"/>
                <w:color w:val="auto"/>
                <w:kern w:val="0"/>
                <w:szCs w:val="21"/>
                <w:highlight w:val="none"/>
              </w:rPr>
            </w:pPr>
          </w:p>
        </w:tc>
        <w:tc>
          <w:tcPr>
            <w:tcW w:w="2723" w:type="dxa"/>
          </w:tcPr>
          <w:p w14:paraId="53938AED">
            <w:pPr>
              <w:autoSpaceDE w:val="0"/>
              <w:autoSpaceDN w:val="0"/>
              <w:adjustRightInd w:val="0"/>
              <w:snapToGrid w:val="0"/>
              <w:jc w:val="left"/>
              <w:rPr>
                <w:rFonts w:ascii="宋体" w:hAnsi="宋体"/>
                <w:color w:val="auto"/>
                <w:kern w:val="0"/>
                <w:szCs w:val="21"/>
                <w:highlight w:val="none"/>
              </w:rPr>
            </w:pPr>
          </w:p>
        </w:tc>
        <w:tc>
          <w:tcPr>
            <w:tcW w:w="896" w:type="dxa"/>
          </w:tcPr>
          <w:p w14:paraId="65764286">
            <w:pPr>
              <w:autoSpaceDE w:val="0"/>
              <w:autoSpaceDN w:val="0"/>
              <w:adjustRightInd w:val="0"/>
              <w:snapToGrid w:val="0"/>
              <w:jc w:val="left"/>
              <w:rPr>
                <w:rFonts w:ascii="宋体" w:hAnsi="宋体"/>
                <w:color w:val="auto"/>
                <w:kern w:val="0"/>
                <w:szCs w:val="21"/>
                <w:highlight w:val="none"/>
              </w:rPr>
            </w:pPr>
          </w:p>
        </w:tc>
      </w:tr>
      <w:tr w14:paraId="61E846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E97BCAD">
            <w:pPr>
              <w:autoSpaceDE w:val="0"/>
              <w:autoSpaceDN w:val="0"/>
              <w:adjustRightInd w:val="0"/>
              <w:snapToGrid w:val="0"/>
              <w:jc w:val="left"/>
              <w:rPr>
                <w:rFonts w:ascii="宋体" w:hAnsi="宋体"/>
                <w:color w:val="auto"/>
                <w:kern w:val="0"/>
                <w:szCs w:val="21"/>
                <w:highlight w:val="none"/>
              </w:rPr>
            </w:pPr>
          </w:p>
        </w:tc>
        <w:tc>
          <w:tcPr>
            <w:tcW w:w="734" w:type="dxa"/>
          </w:tcPr>
          <w:p w14:paraId="0A8B5B8B">
            <w:pPr>
              <w:autoSpaceDE w:val="0"/>
              <w:autoSpaceDN w:val="0"/>
              <w:adjustRightInd w:val="0"/>
              <w:snapToGrid w:val="0"/>
              <w:jc w:val="left"/>
              <w:rPr>
                <w:rFonts w:ascii="宋体" w:hAnsi="宋体"/>
                <w:color w:val="auto"/>
                <w:kern w:val="0"/>
                <w:szCs w:val="21"/>
                <w:highlight w:val="none"/>
              </w:rPr>
            </w:pPr>
          </w:p>
        </w:tc>
        <w:tc>
          <w:tcPr>
            <w:tcW w:w="776" w:type="dxa"/>
          </w:tcPr>
          <w:p w14:paraId="646BB1A7">
            <w:pPr>
              <w:autoSpaceDE w:val="0"/>
              <w:autoSpaceDN w:val="0"/>
              <w:adjustRightInd w:val="0"/>
              <w:snapToGrid w:val="0"/>
              <w:jc w:val="left"/>
              <w:rPr>
                <w:rFonts w:ascii="宋体" w:hAnsi="宋体"/>
                <w:color w:val="auto"/>
                <w:kern w:val="0"/>
                <w:szCs w:val="21"/>
                <w:highlight w:val="none"/>
              </w:rPr>
            </w:pPr>
          </w:p>
        </w:tc>
        <w:tc>
          <w:tcPr>
            <w:tcW w:w="1167" w:type="dxa"/>
          </w:tcPr>
          <w:p w14:paraId="479A0BB2">
            <w:pPr>
              <w:autoSpaceDE w:val="0"/>
              <w:autoSpaceDN w:val="0"/>
              <w:adjustRightInd w:val="0"/>
              <w:snapToGrid w:val="0"/>
              <w:jc w:val="left"/>
              <w:rPr>
                <w:rFonts w:ascii="宋体" w:hAnsi="宋体"/>
                <w:color w:val="auto"/>
                <w:kern w:val="0"/>
                <w:szCs w:val="21"/>
                <w:highlight w:val="none"/>
              </w:rPr>
            </w:pPr>
          </w:p>
        </w:tc>
        <w:tc>
          <w:tcPr>
            <w:tcW w:w="776" w:type="dxa"/>
          </w:tcPr>
          <w:p w14:paraId="58D06A10">
            <w:pPr>
              <w:autoSpaceDE w:val="0"/>
              <w:autoSpaceDN w:val="0"/>
              <w:adjustRightInd w:val="0"/>
              <w:snapToGrid w:val="0"/>
              <w:jc w:val="left"/>
              <w:rPr>
                <w:rFonts w:ascii="宋体" w:hAnsi="宋体"/>
                <w:color w:val="auto"/>
                <w:kern w:val="0"/>
                <w:szCs w:val="21"/>
                <w:highlight w:val="none"/>
              </w:rPr>
            </w:pPr>
          </w:p>
        </w:tc>
        <w:tc>
          <w:tcPr>
            <w:tcW w:w="778" w:type="dxa"/>
          </w:tcPr>
          <w:p w14:paraId="021E782F">
            <w:pPr>
              <w:autoSpaceDE w:val="0"/>
              <w:autoSpaceDN w:val="0"/>
              <w:adjustRightInd w:val="0"/>
              <w:snapToGrid w:val="0"/>
              <w:jc w:val="left"/>
              <w:rPr>
                <w:rFonts w:ascii="宋体" w:hAnsi="宋体"/>
                <w:color w:val="auto"/>
                <w:kern w:val="0"/>
                <w:szCs w:val="21"/>
                <w:highlight w:val="none"/>
              </w:rPr>
            </w:pPr>
          </w:p>
        </w:tc>
        <w:tc>
          <w:tcPr>
            <w:tcW w:w="776" w:type="dxa"/>
          </w:tcPr>
          <w:p w14:paraId="604EC96C">
            <w:pPr>
              <w:autoSpaceDE w:val="0"/>
              <w:autoSpaceDN w:val="0"/>
              <w:adjustRightInd w:val="0"/>
              <w:snapToGrid w:val="0"/>
              <w:jc w:val="left"/>
              <w:rPr>
                <w:rFonts w:ascii="宋体" w:hAnsi="宋体"/>
                <w:color w:val="auto"/>
                <w:kern w:val="0"/>
                <w:szCs w:val="21"/>
                <w:highlight w:val="none"/>
              </w:rPr>
            </w:pPr>
          </w:p>
        </w:tc>
        <w:tc>
          <w:tcPr>
            <w:tcW w:w="2723" w:type="dxa"/>
          </w:tcPr>
          <w:p w14:paraId="27A6136C">
            <w:pPr>
              <w:autoSpaceDE w:val="0"/>
              <w:autoSpaceDN w:val="0"/>
              <w:adjustRightInd w:val="0"/>
              <w:snapToGrid w:val="0"/>
              <w:jc w:val="left"/>
              <w:rPr>
                <w:rFonts w:ascii="宋体" w:hAnsi="宋体"/>
                <w:color w:val="auto"/>
                <w:kern w:val="0"/>
                <w:szCs w:val="21"/>
                <w:highlight w:val="none"/>
              </w:rPr>
            </w:pPr>
          </w:p>
        </w:tc>
        <w:tc>
          <w:tcPr>
            <w:tcW w:w="896" w:type="dxa"/>
          </w:tcPr>
          <w:p w14:paraId="243FC29F">
            <w:pPr>
              <w:autoSpaceDE w:val="0"/>
              <w:autoSpaceDN w:val="0"/>
              <w:adjustRightInd w:val="0"/>
              <w:snapToGrid w:val="0"/>
              <w:jc w:val="left"/>
              <w:rPr>
                <w:rFonts w:ascii="宋体" w:hAnsi="宋体"/>
                <w:color w:val="auto"/>
                <w:kern w:val="0"/>
                <w:szCs w:val="21"/>
                <w:highlight w:val="none"/>
              </w:rPr>
            </w:pPr>
          </w:p>
        </w:tc>
      </w:tr>
      <w:tr w14:paraId="6A9F7D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0930BE5">
            <w:pPr>
              <w:autoSpaceDE w:val="0"/>
              <w:autoSpaceDN w:val="0"/>
              <w:adjustRightInd w:val="0"/>
              <w:snapToGrid w:val="0"/>
              <w:jc w:val="left"/>
              <w:rPr>
                <w:rFonts w:ascii="宋体" w:hAnsi="宋体"/>
                <w:color w:val="auto"/>
                <w:kern w:val="0"/>
                <w:szCs w:val="21"/>
                <w:highlight w:val="none"/>
              </w:rPr>
            </w:pPr>
          </w:p>
        </w:tc>
        <w:tc>
          <w:tcPr>
            <w:tcW w:w="734" w:type="dxa"/>
          </w:tcPr>
          <w:p w14:paraId="1AC31A41">
            <w:pPr>
              <w:autoSpaceDE w:val="0"/>
              <w:autoSpaceDN w:val="0"/>
              <w:adjustRightInd w:val="0"/>
              <w:snapToGrid w:val="0"/>
              <w:jc w:val="left"/>
              <w:rPr>
                <w:rFonts w:ascii="宋体" w:hAnsi="宋体"/>
                <w:color w:val="auto"/>
                <w:kern w:val="0"/>
                <w:szCs w:val="21"/>
                <w:highlight w:val="none"/>
              </w:rPr>
            </w:pPr>
          </w:p>
        </w:tc>
        <w:tc>
          <w:tcPr>
            <w:tcW w:w="776" w:type="dxa"/>
          </w:tcPr>
          <w:p w14:paraId="04273F86">
            <w:pPr>
              <w:autoSpaceDE w:val="0"/>
              <w:autoSpaceDN w:val="0"/>
              <w:adjustRightInd w:val="0"/>
              <w:snapToGrid w:val="0"/>
              <w:jc w:val="left"/>
              <w:rPr>
                <w:rFonts w:ascii="宋体" w:hAnsi="宋体"/>
                <w:color w:val="auto"/>
                <w:kern w:val="0"/>
                <w:szCs w:val="21"/>
                <w:highlight w:val="none"/>
              </w:rPr>
            </w:pPr>
          </w:p>
        </w:tc>
        <w:tc>
          <w:tcPr>
            <w:tcW w:w="1167" w:type="dxa"/>
          </w:tcPr>
          <w:p w14:paraId="6B79D18B">
            <w:pPr>
              <w:autoSpaceDE w:val="0"/>
              <w:autoSpaceDN w:val="0"/>
              <w:adjustRightInd w:val="0"/>
              <w:snapToGrid w:val="0"/>
              <w:jc w:val="left"/>
              <w:rPr>
                <w:rFonts w:ascii="宋体" w:hAnsi="宋体"/>
                <w:color w:val="auto"/>
                <w:kern w:val="0"/>
                <w:szCs w:val="21"/>
                <w:highlight w:val="none"/>
              </w:rPr>
            </w:pPr>
          </w:p>
        </w:tc>
        <w:tc>
          <w:tcPr>
            <w:tcW w:w="776" w:type="dxa"/>
          </w:tcPr>
          <w:p w14:paraId="11CB7324">
            <w:pPr>
              <w:autoSpaceDE w:val="0"/>
              <w:autoSpaceDN w:val="0"/>
              <w:adjustRightInd w:val="0"/>
              <w:snapToGrid w:val="0"/>
              <w:jc w:val="left"/>
              <w:rPr>
                <w:rFonts w:ascii="宋体" w:hAnsi="宋体"/>
                <w:color w:val="auto"/>
                <w:kern w:val="0"/>
                <w:szCs w:val="21"/>
                <w:highlight w:val="none"/>
              </w:rPr>
            </w:pPr>
          </w:p>
        </w:tc>
        <w:tc>
          <w:tcPr>
            <w:tcW w:w="778" w:type="dxa"/>
          </w:tcPr>
          <w:p w14:paraId="1D2ECE61">
            <w:pPr>
              <w:autoSpaceDE w:val="0"/>
              <w:autoSpaceDN w:val="0"/>
              <w:adjustRightInd w:val="0"/>
              <w:snapToGrid w:val="0"/>
              <w:jc w:val="left"/>
              <w:rPr>
                <w:rFonts w:ascii="宋体" w:hAnsi="宋体"/>
                <w:color w:val="auto"/>
                <w:kern w:val="0"/>
                <w:szCs w:val="21"/>
                <w:highlight w:val="none"/>
              </w:rPr>
            </w:pPr>
          </w:p>
        </w:tc>
        <w:tc>
          <w:tcPr>
            <w:tcW w:w="776" w:type="dxa"/>
          </w:tcPr>
          <w:p w14:paraId="291CB12F">
            <w:pPr>
              <w:autoSpaceDE w:val="0"/>
              <w:autoSpaceDN w:val="0"/>
              <w:adjustRightInd w:val="0"/>
              <w:snapToGrid w:val="0"/>
              <w:jc w:val="left"/>
              <w:rPr>
                <w:rFonts w:ascii="宋体" w:hAnsi="宋体"/>
                <w:color w:val="auto"/>
                <w:kern w:val="0"/>
                <w:szCs w:val="21"/>
                <w:highlight w:val="none"/>
              </w:rPr>
            </w:pPr>
          </w:p>
        </w:tc>
        <w:tc>
          <w:tcPr>
            <w:tcW w:w="2723" w:type="dxa"/>
          </w:tcPr>
          <w:p w14:paraId="7CB193C6">
            <w:pPr>
              <w:autoSpaceDE w:val="0"/>
              <w:autoSpaceDN w:val="0"/>
              <w:adjustRightInd w:val="0"/>
              <w:snapToGrid w:val="0"/>
              <w:jc w:val="left"/>
              <w:rPr>
                <w:rFonts w:ascii="宋体" w:hAnsi="宋体"/>
                <w:color w:val="auto"/>
                <w:kern w:val="0"/>
                <w:szCs w:val="21"/>
                <w:highlight w:val="none"/>
              </w:rPr>
            </w:pPr>
          </w:p>
        </w:tc>
        <w:tc>
          <w:tcPr>
            <w:tcW w:w="896" w:type="dxa"/>
          </w:tcPr>
          <w:p w14:paraId="2BD50AB8">
            <w:pPr>
              <w:autoSpaceDE w:val="0"/>
              <w:autoSpaceDN w:val="0"/>
              <w:adjustRightInd w:val="0"/>
              <w:snapToGrid w:val="0"/>
              <w:jc w:val="left"/>
              <w:rPr>
                <w:rFonts w:ascii="宋体" w:hAnsi="宋体"/>
                <w:color w:val="auto"/>
                <w:kern w:val="0"/>
                <w:szCs w:val="21"/>
                <w:highlight w:val="none"/>
              </w:rPr>
            </w:pPr>
          </w:p>
        </w:tc>
      </w:tr>
      <w:tr w14:paraId="07BF89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2C10A99">
            <w:pPr>
              <w:autoSpaceDE w:val="0"/>
              <w:autoSpaceDN w:val="0"/>
              <w:adjustRightInd w:val="0"/>
              <w:snapToGrid w:val="0"/>
              <w:jc w:val="left"/>
              <w:rPr>
                <w:rFonts w:ascii="宋体" w:hAnsi="宋体"/>
                <w:color w:val="auto"/>
                <w:kern w:val="0"/>
                <w:szCs w:val="21"/>
                <w:highlight w:val="none"/>
              </w:rPr>
            </w:pPr>
          </w:p>
        </w:tc>
        <w:tc>
          <w:tcPr>
            <w:tcW w:w="734" w:type="dxa"/>
          </w:tcPr>
          <w:p w14:paraId="593BCB9E">
            <w:pPr>
              <w:autoSpaceDE w:val="0"/>
              <w:autoSpaceDN w:val="0"/>
              <w:adjustRightInd w:val="0"/>
              <w:snapToGrid w:val="0"/>
              <w:jc w:val="left"/>
              <w:rPr>
                <w:rFonts w:ascii="宋体" w:hAnsi="宋体"/>
                <w:color w:val="auto"/>
                <w:kern w:val="0"/>
                <w:szCs w:val="21"/>
                <w:highlight w:val="none"/>
              </w:rPr>
            </w:pPr>
          </w:p>
        </w:tc>
        <w:tc>
          <w:tcPr>
            <w:tcW w:w="776" w:type="dxa"/>
          </w:tcPr>
          <w:p w14:paraId="77850715">
            <w:pPr>
              <w:autoSpaceDE w:val="0"/>
              <w:autoSpaceDN w:val="0"/>
              <w:adjustRightInd w:val="0"/>
              <w:snapToGrid w:val="0"/>
              <w:jc w:val="left"/>
              <w:rPr>
                <w:rFonts w:ascii="宋体" w:hAnsi="宋体"/>
                <w:color w:val="auto"/>
                <w:kern w:val="0"/>
                <w:szCs w:val="21"/>
                <w:highlight w:val="none"/>
              </w:rPr>
            </w:pPr>
          </w:p>
        </w:tc>
        <w:tc>
          <w:tcPr>
            <w:tcW w:w="1167" w:type="dxa"/>
          </w:tcPr>
          <w:p w14:paraId="6305DD3F">
            <w:pPr>
              <w:autoSpaceDE w:val="0"/>
              <w:autoSpaceDN w:val="0"/>
              <w:adjustRightInd w:val="0"/>
              <w:snapToGrid w:val="0"/>
              <w:jc w:val="left"/>
              <w:rPr>
                <w:rFonts w:ascii="宋体" w:hAnsi="宋体"/>
                <w:color w:val="auto"/>
                <w:kern w:val="0"/>
                <w:szCs w:val="21"/>
                <w:highlight w:val="none"/>
              </w:rPr>
            </w:pPr>
          </w:p>
        </w:tc>
        <w:tc>
          <w:tcPr>
            <w:tcW w:w="776" w:type="dxa"/>
          </w:tcPr>
          <w:p w14:paraId="5D07CD53">
            <w:pPr>
              <w:autoSpaceDE w:val="0"/>
              <w:autoSpaceDN w:val="0"/>
              <w:adjustRightInd w:val="0"/>
              <w:snapToGrid w:val="0"/>
              <w:jc w:val="left"/>
              <w:rPr>
                <w:rFonts w:ascii="宋体" w:hAnsi="宋体"/>
                <w:color w:val="auto"/>
                <w:kern w:val="0"/>
                <w:szCs w:val="21"/>
                <w:highlight w:val="none"/>
              </w:rPr>
            </w:pPr>
          </w:p>
        </w:tc>
        <w:tc>
          <w:tcPr>
            <w:tcW w:w="778" w:type="dxa"/>
          </w:tcPr>
          <w:p w14:paraId="223E72D8">
            <w:pPr>
              <w:autoSpaceDE w:val="0"/>
              <w:autoSpaceDN w:val="0"/>
              <w:adjustRightInd w:val="0"/>
              <w:snapToGrid w:val="0"/>
              <w:jc w:val="left"/>
              <w:rPr>
                <w:rFonts w:ascii="宋体" w:hAnsi="宋体"/>
                <w:color w:val="auto"/>
                <w:kern w:val="0"/>
                <w:szCs w:val="21"/>
                <w:highlight w:val="none"/>
              </w:rPr>
            </w:pPr>
          </w:p>
        </w:tc>
        <w:tc>
          <w:tcPr>
            <w:tcW w:w="776" w:type="dxa"/>
          </w:tcPr>
          <w:p w14:paraId="5B679B7D">
            <w:pPr>
              <w:autoSpaceDE w:val="0"/>
              <w:autoSpaceDN w:val="0"/>
              <w:adjustRightInd w:val="0"/>
              <w:snapToGrid w:val="0"/>
              <w:jc w:val="left"/>
              <w:rPr>
                <w:rFonts w:ascii="宋体" w:hAnsi="宋体"/>
                <w:color w:val="auto"/>
                <w:kern w:val="0"/>
                <w:szCs w:val="21"/>
                <w:highlight w:val="none"/>
              </w:rPr>
            </w:pPr>
          </w:p>
        </w:tc>
        <w:tc>
          <w:tcPr>
            <w:tcW w:w="2723" w:type="dxa"/>
          </w:tcPr>
          <w:p w14:paraId="1C35287D">
            <w:pPr>
              <w:autoSpaceDE w:val="0"/>
              <w:autoSpaceDN w:val="0"/>
              <w:adjustRightInd w:val="0"/>
              <w:snapToGrid w:val="0"/>
              <w:jc w:val="left"/>
              <w:rPr>
                <w:rFonts w:ascii="宋体" w:hAnsi="宋体"/>
                <w:color w:val="auto"/>
                <w:kern w:val="0"/>
                <w:szCs w:val="21"/>
                <w:highlight w:val="none"/>
              </w:rPr>
            </w:pPr>
          </w:p>
        </w:tc>
        <w:tc>
          <w:tcPr>
            <w:tcW w:w="896" w:type="dxa"/>
          </w:tcPr>
          <w:p w14:paraId="0EA79BE4">
            <w:pPr>
              <w:autoSpaceDE w:val="0"/>
              <w:autoSpaceDN w:val="0"/>
              <w:adjustRightInd w:val="0"/>
              <w:snapToGrid w:val="0"/>
              <w:jc w:val="left"/>
              <w:rPr>
                <w:rFonts w:ascii="宋体" w:hAnsi="宋体"/>
                <w:color w:val="auto"/>
                <w:kern w:val="0"/>
                <w:szCs w:val="21"/>
                <w:highlight w:val="none"/>
              </w:rPr>
            </w:pPr>
          </w:p>
        </w:tc>
      </w:tr>
      <w:tr w14:paraId="4BEAA1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B0C504A">
            <w:pPr>
              <w:autoSpaceDE w:val="0"/>
              <w:autoSpaceDN w:val="0"/>
              <w:adjustRightInd w:val="0"/>
              <w:snapToGrid w:val="0"/>
              <w:jc w:val="left"/>
              <w:rPr>
                <w:rFonts w:ascii="宋体" w:hAnsi="宋体"/>
                <w:color w:val="auto"/>
                <w:kern w:val="0"/>
                <w:szCs w:val="21"/>
                <w:highlight w:val="none"/>
              </w:rPr>
            </w:pPr>
          </w:p>
        </w:tc>
        <w:tc>
          <w:tcPr>
            <w:tcW w:w="734" w:type="dxa"/>
          </w:tcPr>
          <w:p w14:paraId="5AF02D1A">
            <w:pPr>
              <w:autoSpaceDE w:val="0"/>
              <w:autoSpaceDN w:val="0"/>
              <w:adjustRightInd w:val="0"/>
              <w:snapToGrid w:val="0"/>
              <w:jc w:val="left"/>
              <w:rPr>
                <w:rFonts w:ascii="宋体" w:hAnsi="宋体"/>
                <w:color w:val="auto"/>
                <w:kern w:val="0"/>
                <w:szCs w:val="21"/>
                <w:highlight w:val="none"/>
              </w:rPr>
            </w:pPr>
          </w:p>
        </w:tc>
        <w:tc>
          <w:tcPr>
            <w:tcW w:w="776" w:type="dxa"/>
          </w:tcPr>
          <w:p w14:paraId="667BCC18">
            <w:pPr>
              <w:autoSpaceDE w:val="0"/>
              <w:autoSpaceDN w:val="0"/>
              <w:adjustRightInd w:val="0"/>
              <w:snapToGrid w:val="0"/>
              <w:jc w:val="left"/>
              <w:rPr>
                <w:rFonts w:ascii="宋体" w:hAnsi="宋体"/>
                <w:color w:val="auto"/>
                <w:kern w:val="0"/>
                <w:szCs w:val="21"/>
                <w:highlight w:val="none"/>
              </w:rPr>
            </w:pPr>
          </w:p>
        </w:tc>
        <w:tc>
          <w:tcPr>
            <w:tcW w:w="1167" w:type="dxa"/>
          </w:tcPr>
          <w:p w14:paraId="1DD25423">
            <w:pPr>
              <w:autoSpaceDE w:val="0"/>
              <w:autoSpaceDN w:val="0"/>
              <w:adjustRightInd w:val="0"/>
              <w:snapToGrid w:val="0"/>
              <w:jc w:val="left"/>
              <w:rPr>
                <w:rFonts w:ascii="宋体" w:hAnsi="宋体"/>
                <w:color w:val="auto"/>
                <w:kern w:val="0"/>
                <w:szCs w:val="21"/>
                <w:highlight w:val="none"/>
              </w:rPr>
            </w:pPr>
          </w:p>
        </w:tc>
        <w:tc>
          <w:tcPr>
            <w:tcW w:w="776" w:type="dxa"/>
          </w:tcPr>
          <w:p w14:paraId="23D1970B">
            <w:pPr>
              <w:autoSpaceDE w:val="0"/>
              <w:autoSpaceDN w:val="0"/>
              <w:adjustRightInd w:val="0"/>
              <w:snapToGrid w:val="0"/>
              <w:jc w:val="left"/>
              <w:rPr>
                <w:rFonts w:ascii="宋体" w:hAnsi="宋体"/>
                <w:color w:val="auto"/>
                <w:kern w:val="0"/>
                <w:szCs w:val="21"/>
                <w:highlight w:val="none"/>
              </w:rPr>
            </w:pPr>
          </w:p>
        </w:tc>
        <w:tc>
          <w:tcPr>
            <w:tcW w:w="778" w:type="dxa"/>
          </w:tcPr>
          <w:p w14:paraId="7CD3C645">
            <w:pPr>
              <w:autoSpaceDE w:val="0"/>
              <w:autoSpaceDN w:val="0"/>
              <w:adjustRightInd w:val="0"/>
              <w:snapToGrid w:val="0"/>
              <w:jc w:val="left"/>
              <w:rPr>
                <w:rFonts w:ascii="宋体" w:hAnsi="宋体"/>
                <w:color w:val="auto"/>
                <w:kern w:val="0"/>
                <w:szCs w:val="21"/>
                <w:highlight w:val="none"/>
              </w:rPr>
            </w:pPr>
          </w:p>
        </w:tc>
        <w:tc>
          <w:tcPr>
            <w:tcW w:w="776" w:type="dxa"/>
          </w:tcPr>
          <w:p w14:paraId="488E1AEA">
            <w:pPr>
              <w:autoSpaceDE w:val="0"/>
              <w:autoSpaceDN w:val="0"/>
              <w:adjustRightInd w:val="0"/>
              <w:snapToGrid w:val="0"/>
              <w:jc w:val="left"/>
              <w:rPr>
                <w:rFonts w:ascii="宋体" w:hAnsi="宋体"/>
                <w:color w:val="auto"/>
                <w:kern w:val="0"/>
                <w:szCs w:val="21"/>
                <w:highlight w:val="none"/>
              </w:rPr>
            </w:pPr>
          </w:p>
        </w:tc>
        <w:tc>
          <w:tcPr>
            <w:tcW w:w="2723" w:type="dxa"/>
          </w:tcPr>
          <w:p w14:paraId="7CC7E733">
            <w:pPr>
              <w:autoSpaceDE w:val="0"/>
              <w:autoSpaceDN w:val="0"/>
              <w:adjustRightInd w:val="0"/>
              <w:snapToGrid w:val="0"/>
              <w:jc w:val="left"/>
              <w:rPr>
                <w:rFonts w:ascii="宋体" w:hAnsi="宋体"/>
                <w:color w:val="auto"/>
                <w:kern w:val="0"/>
                <w:szCs w:val="21"/>
                <w:highlight w:val="none"/>
              </w:rPr>
            </w:pPr>
          </w:p>
        </w:tc>
        <w:tc>
          <w:tcPr>
            <w:tcW w:w="896" w:type="dxa"/>
          </w:tcPr>
          <w:p w14:paraId="37D24DC2">
            <w:pPr>
              <w:autoSpaceDE w:val="0"/>
              <w:autoSpaceDN w:val="0"/>
              <w:adjustRightInd w:val="0"/>
              <w:snapToGrid w:val="0"/>
              <w:jc w:val="left"/>
              <w:rPr>
                <w:rFonts w:ascii="宋体" w:hAnsi="宋体"/>
                <w:color w:val="auto"/>
                <w:kern w:val="0"/>
                <w:szCs w:val="21"/>
                <w:highlight w:val="none"/>
              </w:rPr>
            </w:pPr>
          </w:p>
        </w:tc>
      </w:tr>
      <w:tr w14:paraId="432DEF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FA7F81C">
            <w:pPr>
              <w:autoSpaceDE w:val="0"/>
              <w:autoSpaceDN w:val="0"/>
              <w:adjustRightInd w:val="0"/>
              <w:snapToGrid w:val="0"/>
              <w:jc w:val="left"/>
              <w:rPr>
                <w:rFonts w:ascii="宋体" w:hAnsi="宋体"/>
                <w:color w:val="auto"/>
                <w:kern w:val="0"/>
                <w:szCs w:val="21"/>
                <w:highlight w:val="none"/>
              </w:rPr>
            </w:pPr>
          </w:p>
        </w:tc>
        <w:tc>
          <w:tcPr>
            <w:tcW w:w="734" w:type="dxa"/>
          </w:tcPr>
          <w:p w14:paraId="1CF8B9FA">
            <w:pPr>
              <w:autoSpaceDE w:val="0"/>
              <w:autoSpaceDN w:val="0"/>
              <w:adjustRightInd w:val="0"/>
              <w:snapToGrid w:val="0"/>
              <w:jc w:val="left"/>
              <w:rPr>
                <w:rFonts w:ascii="宋体" w:hAnsi="宋体"/>
                <w:color w:val="auto"/>
                <w:kern w:val="0"/>
                <w:szCs w:val="21"/>
                <w:highlight w:val="none"/>
              </w:rPr>
            </w:pPr>
          </w:p>
        </w:tc>
        <w:tc>
          <w:tcPr>
            <w:tcW w:w="776" w:type="dxa"/>
          </w:tcPr>
          <w:p w14:paraId="01C302EB">
            <w:pPr>
              <w:autoSpaceDE w:val="0"/>
              <w:autoSpaceDN w:val="0"/>
              <w:adjustRightInd w:val="0"/>
              <w:snapToGrid w:val="0"/>
              <w:jc w:val="left"/>
              <w:rPr>
                <w:rFonts w:ascii="宋体" w:hAnsi="宋体"/>
                <w:color w:val="auto"/>
                <w:kern w:val="0"/>
                <w:szCs w:val="21"/>
                <w:highlight w:val="none"/>
              </w:rPr>
            </w:pPr>
          </w:p>
        </w:tc>
        <w:tc>
          <w:tcPr>
            <w:tcW w:w="1167" w:type="dxa"/>
          </w:tcPr>
          <w:p w14:paraId="1516E839">
            <w:pPr>
              <w:autoSpaceDE w:val="0"/>
              <w:autoSpaceDN w:val="0"/>
              <w:adjustRightInd w:val="0"/>
              <w:snapToGrid w:val="0"/>
              <w:jc w:val="left"/>
              <w:rPr>
                <w:rFonts w:ascii="宋体" w:hAnsi="宋体"/>
                <w:color w:val="auto"/>
                <w:kern w:val="0"/>
                <w:szCs w:val="21"/>
                <w:highlight w:val="none"/>
              </w:rPr>
            </w:pPr>
          </w:p>
        </w:tc>
        <w:tc>
          <w:tcPr>
            <w:tcW w:w="776" w:type="dxa"/>
          </w:tcPr>
          <w:p w14:paraId="5576D552">
            <w:pPr>
              <w:autoSpaceDE w:val="0"/>
              <w:autoSpaceDN w:val="0"/>
              <w:adjustRightInd w:val="0"/>
              <w:snapToGrid w:val="0"/>
              <w:jc w:val="left"/>
              <w:rPr>
                <w:rFonts w:ascii="宋体" w:hAnsi="宋体"/>
                <w:color w:val="auto"/>
                <w:kern w:val="0"/>
                <w:szCs w:val="21"/>
                <w:highlight w:val="none"/>
              </w:rPr>
            </w:pPr>
          </w:p>
        </w:tc>
        <w:tc>
          <w:tcPr>
            <w:tcW w:w="778" w:type="dxa"/>
          </w:tcPr>
          <w:p w14:paraId="4BE9C96A">
            <w:pPr>
              <w:autoSpaceDE w:val="0"/>
              <w:autoSpaceDN w:val="0"/>
              <w:adjustRightInd w:val="0"/>
              <w:snapToGrid w:val="0"/>
              <w:jc w:val="left"/>
              <w:rPr>
                <w:rFonts w:ascii="宋体" w:hAnsi="宋体"/>
                <w:color w:val="auto"/>
                <w:kern w:val="0"/>
                <w:szCs w:val="21"/>
                <w:highlight w:val="none"/>
              </w:rPr>
            </w:pPr>
          </w:p>
        </w:tc>
        <w:tc>
          <w:tcPr>
            <w:tcW w:w="776" w:type="dxa"/>
          </w:tcPr>
          <w:p w14:paraId="0ADEF307">
            <w:pPr>
              <w:autoSpaceDE w:val="0"/>
              <w:autoSpaceDN w:val="0"/>
              <w:adjustRightInd w:val="0"/>
              <w:snapToGrid w:val="0"/>
              <w:jc w:val="left"/>
              <w:rPr>
                <w:rFonts w:ascii="宋体" w:hAnsi="宋体"/>
                <w:color w:val="auto"/>
                <w:kern w:val="0"/>
                <w:szCs w:val="21"/>
                <w:highlight w:val="none"/>
              </w:rPr>
            </w:pPr>
          </w:p>
        </w:tc>
        <w:tc>
          <w:tcPr>
            <w:tcW w:w="2723" w:type="dxa"/>
          </w:tcPr>
          <w:p w14:paraId="0A6CA575">
            <w:pPr>
              <w:autoSpaceDE w:val="0"/>
              <w:autoSpaceDN w:val="0"/>
              <w:adjustRightInd w:val="0"/>
              <w:snapToGrid w:val="0"/>
              <w:jc w:val="left"/>
              <w:rPr>
                <w:rFonts w:ascii="宋体" w:hAnsi="宋体"/>
                <w:color w:val="auto"/>
                <w:kern w:val="0"/>
                <w:szCs w:val="21"/>
                <w:highlight w:val="none"/>
              </w:rPr>
            </w:pPr>
          </w:p>
        </w:tc>
        <w:tc>
          <w:tcPr>
            <w:tcW w:w="896" w:type="dxa"/>
          </w:tcPr>
          <w:p w14:paraId="33E7A5D6">
            <w:pPr>
              <w:autoSpaceDE w:val="0"/>
              <w:autoSpaceDN w:val="0"/>
              <w:adjustRightInd w:val="0"/>
              <w:snapToGrid w:val="0"/>
              <w:jc w:val="left"/>
              <w:rPr>
                <w:rFonts w:ascii="宋体" w:hAnsi="宋体"/>
                <w:color w:val="auto"/>
                <w:kern w:val="0"/>
                <w:szCs w:val="21"/>
                <w:highlight w:val="none"/>
              </w:rPr>
            </w:pPr>
          </w:p>
        </w:tc>
      </w:tr>
      <w:tr w14:paraId="096C58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8172247">
            <w:pPr>
              <w:autoSpaceDE w:val="0"/>
              <w:autoSpaceDN w:val="0"/>
              <w:adjustRightInd w:val="0"/>
              <w:snapToGrid w:val="0"/>
              <w:jc w:val="left"/>
              <w:rPr>
                <w:rFonts w:ascii="宋体" w:hAnsi="宋体"/>
                <w:color w:val="auto"/>
                <w:kern w:val="0"/>
                <w:szCs w:val="21"/>
                <w:highlight w:val="none"/>
              </w:rPr>
            </w:pPr>
          </w:p>
        </w:tc>
        <w:tc>
          <w:tcPr>
            <w:tcW w:w="734" w:type="dxa"/>
          </w:tcPr>
          <w:p w14:paraId="20075A90">
            <w:pPr>
              <w:autoSpaceDE w:val="0"/>
              <w:autoSpaceDN w:val="0"/>
              <w:adjustRightInd w:val="0"/>
              <w:snapToGrid w:val="0"/>
              <w:jc w:val="left"/>
              <w:rPr>
                <w:rFonts w:ascii="宋体" w:hAnsi="宋体"/>
                <w:color w:val="auto"/>
                <w:kern w:val="0"/>
                <w:szCs w:val="21"/>
                <w:highlight w:val="none"/>
              </w:rPr>
            </w:pPr>
          </w:p>
        </w:tc>
        <w:tc>
          <w:tcPr>
            <w:tcW w:w="776" w:type="dxa"/>
          </w:tcPr>
          <w:p w14:paraId="7FD13C0E">
            <w:pPr>
              <w:autoSpaceDE w:val="0"/>
              <w:autoSpaceDN w:val="0"/>
              <w:adjustRightInd w:val="0"/>
              <w:snapToGrid w:val="0"/>
              <w:jc w:val="left"/>
              <w:rPr>
                <w:rFonts w:ascii="宋体" w:hAnsi="宋体"/>
                <w:color w:val="auto"/>
                <w:kern w:val="0"/>
                <w:szCs w:val="21"/>
                <w:highlight w:val="none"/>
              </w:rPr>
            </w:pPr>
          </w:p>
        </w:tc>
        <w:tc>
          <w:tcPr>
            <w:tcW w:w="1167" w:type="dxa"/>
          </w:tcPr>
          <w:p w14:paraId="4A4D6165">
            <w:pPr>
              <w:autoSpaceDE w:val="0"/>
              <w:autoSpaceDN w:val="0"/>
              <w:adjustRightInd w:val="0"/>
              <w:snapToGrid w:val="0"/>
              <w:jc w:val="left"/>
              <w:rPr>
                <w:rFonts w:ascii="宋体" w:hAnsi="宋体"/>
                <w:color w:val="auto"/>
                <w:kern w:val="0"/>
                <w:szCs w:val="21"/>
                <w:highlight w:val="none"/>
              </w:rPr>
            </w:pPr>
          </w:p>
        </w:tc>
        <w:tc>
          <w:tcPr>
            <w:tcW w:w="776" w:type="dxa"/>
          </w:tcPr>
          <w:p w14:paraId="2BDF62DF">
            <w:pPr>
              <w:autoSpaceDE w:val="0"/>
              <w:autoSpaceDN w:val="0"/>
              <w:adjustRightInd w:val="0"/>
              <w:snapToGrid w:val="0"/>
              <w:jc w:val="left"/>
              <w:rPr>
                <w:rFonts w:ascii="宋体" w:hAnsi="宋体"/>
                <w:color w:val="auto"/>
                <w:kern w:val="0"/>
                <w:szCs w:val="21"/>
                <w:highlight w:val="none"/>
              </w:rPr>
            </w:pPr>
          </w:p>
        </w:tc>
        <w:tc>
          <w:tcPr>
            <w:tcW w:w="778" w:type="dxa"/>
          </w:tcPr>
          <w:p w14:paraId="3FD60F8E">
            <w:pPr>
              <w:autoSpaceDE w:val="0"/>
              <w:autoSpaceDN w:val="0"/>
              <w:adjustRightInd w:val="0"/>
              <w:snapToGrid w:val="0"/>
              <w:jc w:val="left"/>
              <w:rPr>
                <w:rFonts w:ascii="宋体" w:hAnsi="宋体"/>
                <w:color w:val="auto"/>
                <w:kern w:val="0"/>
                <w:szCs w:val="21"/>
                <w:highlight w:val="none"/>
              </w:rPr>
            </w:pPr>
          </w:p>
        </w:tc>
        <w:tc>
          <w:tcPr>
            <w:tcW w:w="776" w:type="dxa"/>
          </w:tcPr>
          <w:p w14:paraId="0142391C">
            <w:pPr>
              <w:autoSpaceDE w:val="0"/>
              <w:autoSpaceDN w:val="0"/>
              <w:adjustRightInd w:val="0"/>
              <w:snapToGrid w:val="0"/>
              <w:jc w:val="left"/>
              <w:rPr>
                <w:rFonts w:ascii="宋体" w:hAnsi="宋体"/>
                <w:color w:val="auto"/>
                <w:kern w:val="0"/>
                <w:szCs w:val="21"/>
                <w:highlight w:val="none"/>
              </w:rPr>
            </w:pPr>
          </w:p>
        </w:tc>
        <w:tc>
          <w:tcPr>
            <w:tcW w:w="2723" w:type="dxa"/>
          </w:tcPr>
          <w:p w14:paraId="501D0A2C">
            <w:pPr>
              <w:autoSpaceDE w:val="0"/>
              <w:autoSpaceDN w:val="0"/>
              <w:adjustRightInd w:val="0"/>
              <w:snapToGrid w:val="0"/>
              <w:jc w:val="left"/>
              <w:rPr>
                <w:rFonts w:ascii="宋体" w:hAnsi="宋体"/>
                <w:color w:val="auto"/>
                <w:kern w:val="0"/>
                <w:szCs w:val="21"/>
                <w:highlight w:val="none"/>
              </w:rPr>
            </w:pPr>
          </w:p>
        </w:tc>
        <w:tc>
          <w:tcPr>
            <w:tcW w:w="896" w:type="dxa"/>
          </w:tcPr>
          <w:p w14:paraId="3E743657">
            <w:pPr>
              <w:autoSpaceDE w:val="0"/>
              <w:autoSpaceDN w:val="0"/>
              <w:adjustRightInd w:val="0"/>
              <w:snapToGrid w:val="0"/>
              <w:jc w:val="left"/>
              <w:rPr>
                <w:rFonts w:ascii="宋体" w:hAnsi="宋体"/>
                <w:color w:val="auto"/>
                <w:kern w:val="0"/>
                <w:szCs w:val="21"/>
                <w:highlight w:val="none"/>
              </w:rPr>
            </w:pPr>
          </w:p>
        </w:tc>
      </w:tr>
      <w:tr w14:paraId="415425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05D44C6">
            <w:pPr>
              <w:autoSpaceDE w:val="0"/>
              <w:autoSpaceDN w:val="0"/>
              <w:adjustRightInd w:val="0"/>
              <w:snapToGrid w:val="0"/>
              <w:jc w:val="left"/>
              <w:rPr>
                <w:rFonts w:ascii="宋体" w:hAnsi="宋体"/>
                <w:color w:val="auto"/>
                <w:kern w:val="0"/>
                <w:szCs w:val="21"/>
                <w:highlight w:val="none"/>
              </w:rPr>
            </w:pPr>
          </w:p>
        </w:tc>
        <w:tc>
          <w:tcPr>
            <w:tcW w:w="734" w:type="dxa"/>
          </w:tcPr>
          <w:p w14:paraId="44A6A69D">
            <w:pPr>
              <w:autoSpaceDE w:val="0"/>
              <w:autoSpaceDN w:val="0"/>
              <w:adjustRightInd w:val="0"/>
              <w:snapToGrid w:val="0"/>
              <w:jc w:val="left"/>
              <w:rPr>
                <w:rFonts w:ascii="宋体" w:hAnsi="宋体"/>
                <w:color w:val="auto"/>
                <w:kern w:val="0"/>
                <w:szCs w:val="21"/>
                <w:highlight w:val="none"/>
              </w:rPr>
            </w:pPr>
          </w:p>
        </w:tc>
        <w:tc>
          <w:tcPr>
            <w:tcW w:w="776" w:type="dxa"/>
          </w:tcPr>
          <w:p w14:paraId="335282E6">
            <w:pPr>
              <w:autoSpaceDE w:val="0"/>
              <w:autoSpaceDN w:val="0"/>
              <w:adjustRightInd w:val="0"/>
              <w:snapToGrid w:val="0"/>
              <w:jc w:val="left"/>
              <w:rPr>
                <w:rFonts w:ascii="宋体" w:hAnsi="宋体"/>
                <w:color w:val="auto"/>
                <w:kern w:val="0"/>
                <w:szCs w:val="21"/>
                <w:highlight w:val="none"/>
              </w:rPr>
            </w:pPr>
          </w:p>
        </w:tc>
        <w:tc>
          <w:tcPr>
            <w:tcW w:w="1167" w:type="dxa"/>
          </w:tcPr>
          <w:p w14:paraId="607D8932">
            <w:pPr>
              <w:autoSpaceDE w:val="0"/>
              <w:autoSpaceDN w:val="0"/>
              <w:adjustRightInd w:val="0"/>
              <w:snapToGrid w:val="0"/>
              <w:jc w:val="left"/>
              <w:rPr>
                <w:rFonts w:ascii="宋体" w:hAnsi="宋体"/>
                <w:color w:val="auto"/>
                <w:kern w:val="0"/>
                <w:szCs w:val="21"/>
                <w:highlight w:val="none"/>
              </w:rPr>
            </w:pPr>
          </w:p>
        </w:tc>
        <w:tc>
          <w:tcPr>
            <w:tcW w:w="776" w:type="dxa"/>
          </w:tcPr>
          <w:p w14:paraId="19629CF0">
            <w:pPr>
              <w:autoSpaceDE w:val="0"/>
              <w:autoSpaceDN w:val="0"/>
              <w:adjustRightInd w:val="0"/>
              <w:snapToGrid w:val="0"/>
              <w:jc w:val="left"/>
              <w:rPr>
                <w:rFonts w:ascii="宋体" w:hAnsi="宋体"/>
                <w:color w:val="auto"/>
                <w:kern w:val="0"/>
                <w:szCs w:val="21"/>
                <w:highlight w:val="none"/>
              </w:rPr>
            </w:pPr>
          </w:p>
        </w:tc>
        <w:tc>
          <w:tcPr>
            <w:tcW w:w="778" w:type="dxa"/>
          </w:tcPr>
          <w:p w14:paraId="7D3AA399">
            <w:pPr>
              <w:autoSpaceDE w:val="0"/>
              <w:autoSpaceDN w:val="0"/>
              <w:adjustRightInd w:val="0"/>
              <w:snapToGrid w:val="0"/>
              <w:jc w:val="left"/>
              <w:rPr>
                <w:rFonts w:ascii="宋体" w:hAnsi="宋体"/>
                <w:color w:val="auto"/>
                <w:kern w:val="0"/>
                <w:szCs w:val="21"/>
                <w:highlight w:val="none"/>
              </w:rPr>
            </w:pPr>
          </w:p>
        </w:tc>
        <w:tc>
          <w:tcPr>
            <w:tcW w:w="776" w:type="dxa"/>
          </w:tcPr>
          <w:p w14:paraId="7AE2427E">
            <w:pPr>
              <w:autoSpaceDE w:val="0"/>
              <w:autoSpaceDN w:val="0"/>
              <w:adjustRightInd w:val="0"/>
              <w:snapToGrid w:val="0"/>
              <w:jc w:val="left"/>
              <w:rPr>
                <w:rFonts w:ascii="宋体" w:hAnsi="宋体"/>
                <w:color w:val="auto"/>
                <w:kern w:val="0"/>
                <w:szCs w:val="21"/>
                <w:highlight w:val="none"/>
              </w:rPr>
            </w:pPr>
          </w:p>
        </w:tc>
        <w:tc>
          <w:tcPr>
            <w:tcW w:w="2723" w:type="dxa"/>
          </w:tcPr>
          <w:p w14:paraId="3048DB03">
            <w:pPr>
              <w:autoSpaceDE w:val="0"/>
              <w:autoSpaceDN w:val="0"/>
              <w:adjustRightInd w:val="0"/>
              <w:snapToGrid w:val="0"/>
              <w:jc w:val="left"/>
              <w:rPr>
                <w:rFonts w:ascii="宋体" w:hAnsi="宋体"/>
                <w:color w:val="auto"/>
                <w:kern w:val="0"/>
                <w:szCs w:val="21"/>
                <w:highlight w:val="none"/>
              </w:rPr>
            </w:pPr>
          </w:p>
        </w:tc>
        <w:tc>
          <w:tcPr>
            <w:tcW w:w="896" w:type="dxa"/>
          </w:tcPr>
          <w:p w14:paraId="7ABFBD15">
            <w:pPr>
              <w:autoSpaceDE w:val="0"/>
              <w:autoSpaceDN w:val="0"/>
              <w:adjustRightInd w:val="0"/>
              <w:snapToGrid w:val="0"/>
              <w:jc w:val="left"/>
              <w:rPr>
                <w:rFonts w:ascii="宋体" w:hAnsi="宋体"/>
                <w:color w:val="auto"/>
                <w:kern w:val="0"/>
                <w:szCs w:val="21"/>
                <w:highlight w:val="none"/>
              </w:rPr>
            </w:pPr>
          </w:p>
        </w:tc>
      </w:tr>
      <w:tr w14:paraId="6D44A6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FFF180F">
            <w:pPr>
              <w:autoSpaceDE w:val="0"/>
              <w:autoSpaceDN w:val="0"/>
              <w:adjustRightInd w:val="0"/>
              <w:snapToGrid w:val="0"/>
              <w:jc w:val="left"/>
              <w:rPr>
                <w:rFonts w:ascii="宋体" w:hAnsi="宋体"/>
                <w:color w:val="auto"/>
                <w:kern w:val="0"/>
                <w:szCs w:val="21"/>
                <w:highlight w:val="none"/>
              </w:rPr>
            </w:pPr>
          </w:p>
        </w:tc>
        <w:tc>
          <w:tcPr>
            <w:tcW w:w="734" w:type="dxa"/>
          </w:tcPr>
          <w:p w14:paraId="0E524185">
            <w:pPr>
              <w:autoSpaceDE w:val="0"/>
              <w:autoSpaceDN w:val="0"/>
              <w:adjustRightInd w:val="0"/>
              <w:snapToGrid w:val="0"/>
              <w:jc w:val="left"/>
              <w:rPr>
                <w:rFonts w:ascii="宋体" w:hAnsi="宋体"/>
                <w:color w:val="auto"/>
                <w:kern w:val="0"/>
                <w:szCs w:val="21"/>
                <w:highlight w:val="none"/>
              </w:rPr>
            </w:pPr>
          </w:p>
        </w:tc>
        <w:tc>
          <w:tcPr>
            <w:tcW w:w="776" w:type="dxa"/>
          </w:tcPr>
          <w:p w14:paraId="5F3EADB4">
            <w:pPr>
              <w:autoSpaceDE w:val="0"/>
              <w:autoSpaceDN w:val="0"/>
              <w:adjustRightInd w:val="0"/>
              <w:snapToGrid w:val="0"/>
              <w:jc w:val="left"/>
              <w:rPr>
                <w:rFonts w:ascii="宋体" w:hAnsi="宋体"/>
                <w:color w:val="auto"/>
                <w:kern w:val="0"/>
                <w:szCs w:val="21"/>
                <w:highlight w:val="none"/>
              </w:rPr>
            </w:pPr>
          </w:p>
        </w:tc>
        <w:tc>
          <w:tcPr>
            <w:tcW w:w="1167" w:type="dxa"/>
          </w:tcPr>
          <w:p w14:paraId="595FB817">
            <w:pPr>
              <w:autoSpaceDE w:val="0"/>
              <w:autoSpaceDN w:val="0"/>
              <w:adjustRightInd w:val="0"/>
              <w:snapToGrid w:val="0"/>
              <w:jc w:val="left"/>
              <w:rPr>
                <w:rFonts w:ascii="宋体" w:hAnsi="宋体"/>
                <w:color w:val="auto"/>
                <w:kern w:val="0"/>
                <w:szCs w:val="21"/>
                <w:highlight w:val="none"/>
              </w:rPr>
            </w:pPr>
          </w:p>
        </w:tc>
        <w:tc>
          <w:tcPr>
            <w:tcW w:w="776" w:type="dxa"/>
          </w:tcPr>
          <w:p w14:paraId="12EAA1AE">
            <w:pPr>
              <w:autoSpaceDE w:val="0"/>
              <w:autoSpaceDN w:val="0"/>
              <w:adjustRightInd w:val="0"/>
              <w:snapToGrid w:val="0"/>
              <w:jc w:val="left"/>
              <w:rPr>
                <w:rFonts w:ascii="宋体" w:hAnsi="宋体"/>
                <w:color w:val="auto"/>
                <w:kern w:val="0"/>
                <w:szCs w:val="21"/>
                <w:highlight w:val="none"/>
              </w:rPr>
            </w:pPr>
          </w:p>
        </w:tc>
        <w:tc>
          <w:tcPr>
            <w:tcW w:w="778" w:type="dxa"/>
          </w:tcPr>
          <w:p w14:paraId="1088CD97">
            <w:pPr>
              <w:autoSpaceDE w:val="0"/>
              <w:autoSpaceDN w:val="0"/>
              <w:adjustRightInd w:val="0"/>
              <w:snapToGrid w:val="0"/>
              <w:jc w:val="left"/>
              <w:rPr>
                <w:rFonts w:ascii="宋体" w:hAnsi="宋体"/>
                <w:color w:val="auto"/>
                <w:kern w:val="0"/>
                <w:szCs w:val="21"/>
                <w:highlight w:val="none"/>
              </w:rPr>
            </w:pPr>
          </w:p>
        </w:tc>
        <w:tc>
          <w:tcPr>
            <w:tcW w:w="776" w:type="dxa"/>
          </w:tcPr>
          <w:p w14:paraId="6A47D306">
            <w:pPr>
              <w:autoSpaceDE w:val="0"/>
              <w:autoSpaceDN w:val="0"/>
              <w:adjustRightInd w:val="0"/>
              <w:snapToGrid w:val="0"/>
              <w:jc w:val="left"/>
              <w:rPr>
                <w:rFonts w:ascii="宋体" w:hAnsi="宋体"/>
                <w:color w:val="auto"/>
                <w:kern w:val="0"/>
                <w:szCs w:val="21"/>
                <w:highlight w:val="none"/>
              </w:rPr>
            </w:pPr>
          </w:p>
        </w:tc>
        <w:tc>
          <w:tcPr>
            <w:tcW w:w="2723" w:type="dxa"/>
          </w:tcPr>
          <w:p w14:paraId="35707B36">
            <w:pPr>
              <w:autoSpaceDE w:val="0"/>
              <w:autoSpaceDN w:val="0"/>
              <w:adjustRightInd w:val="0"/>
              <w:snapToGrid w:val="0"/>
              <w:jc w:val="left"/>
              <w:rPr>
                <w:rFonts w:ascii="宋体" w:hAnsi="宋体"/>
                <w:color w:val="auto"/>
                <w:kern w:val="0"/>
                <w:szCs w:val="21"/>
                <w:highlight w:val="none"/>
              </w:rPr>
            </w:pPr>
          </w:p>
        </w:tc>
        <w:tc>
          <w:tcPr>
            <w:tcW w:w="896" w:type="dxa"/>
          </w:tcPr>
          <w:p w14:paraId="66B86807">
            <w:pPr>
              <w:autoSpaceDE w:val="0"/>
              <w:autoSpaceDN w:val="0"/>
              <w:adjustRightInd w:val="0"/>
              <w:snapToGrid w:val="0"/>
              <w:jc w:val="left"/>
              <w:rPr>
                <w:rFonts w:ascii="宋体" w:hAnsi="宋体"/>
                <w:color w:val="auto"/>
                <w:kern w:val="0"/>
                <w:szCs w:val="21"/>
                <w:highlight w:val="none"/>
              </w:rPr>
            </w:pPr>
          </w:p>
        </w:tc>
      </w:tr>
      <w:tr w14:paraId="3BDE01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631F63C">
            <w:pPr>
              <w:autoSpaceDE w:val="0"/>
              <w:autoSpaceDN w:val="0"/>
              <w:adjustRightInd w:val="0"/>
              <w:snapToGrid w:val="0"/>
              <w:jc w:val="left"/>
              <w:rPr>
                <w:rFonts w:ascii="宋体" w:hAnsi="宋体"/>
                <w:color w:val="auto"/>
                <w:kern w:val="0"/>
                <w:szCs w:val="21"/>
                <w:highlight w:val="none"/>
              </w:rPr>
            </w:pPr>
          </w:p>
        </w:tc>
        <w:tc>
          <w:tcPr>
            <w:tcW w:w="734" w:type="dxa"/>
          </w:tcPr>
          <w:p w14:paraId="34A4FE62">
            <w:pPr>
              <w:autoSpaceDE w:val="0"/>
              <w:autoSpaceDN w:val="0"/>
              <w:adjustRightInd w:val="0"/>
              <w:snapToGrid w:val="0"/>
              <w:jc w:val="left"/>
              <w:rPr>
                <w:rFonts w:ascii="宋体" w:hAnsi="宋体"/>
                <w:color w:val="auto"/>
                <w:kern w:val="0"/>
                <w:szCs w:val="21"/>
                <w:highlight w:val="none"/>
              </w:rPr>
            </w:pPr>
          </w:p>
        </w:tc>
        <w:tc>
          <w:tcPr>
            <w:tcW w:w="776" w:type="dxa"/>
          </w:tcPr>
          <w:p w14:paraId="3C618C46">
            <w:pPr>
              <w:autoSpaceDE w:val="0"/>
              <w:autoSpaceDN w:val="0"/>
              <w:adjustRightInd w:val="0"/>
              <w:snapToGrid w:val="0"/>
              <w:jc w:val="left"/>
              <w:rPr>
                <w:rFonts w:ascii="宋体" w:hAnsi="宋体"/>
                <w:color w:val="auto"/>
                <w:kern w:val="0"/>
                <w:szCs w:val="21"/>
                <w:highlight w:val="none"/>
              </w:rPr>
            </w:pPr>
          </w:p>
        </w:tc>
        <w:tc>
          <w:tcPr>
            <w:tcW w:w="1167" w:type="dxa"/>
          </w:tcPr>
          <w:p w14:paraId="17DC819A">
            <w:pPr>
              <w:autoSpaceDE w:val="0"/>
              <w:autoSpaceDN w:val="0"/>
              <w:adjustRightInd w:val="0"/>
              <w:snapToGrid w:val="0"/>
              <w:jc w:val="left"/>
              <w:rPr>
                <w:rFonts w:ascii="宋体" w:hAnsi="宋体"/>
                <w:color w:val="auto"/>
                <w:kern w:val="0"/>
                <w:szCs w:val="21"/>
                <w:highlight w:val="none"/>
              </w:rPr>
            </w:pPr>
          </w:p>
        </w:tc>
        <w:tc>
          <w:tcPr>
            <w:tcW w:w="776" w:type="dxa"/>
          </w:tcPr>
          <w:p w14:paraId="60A9CF85">
            <w:pPr>
              <w:autoSpaceDE w:val="0"/>
              <w:autoSpaceDN w:val="0"/>
              <w:adjustRightInd w:val="0"/>
              <w:snapToGrid w:val="0"/>
              <w:jc w:val="left"/>
              <w:rPr>
                <w:rFonts w:ascii="宋体" w:hAnsi="宋体"/>
                <w:color w:val="auto"/>
                <w:kern w:val="0"/>
                <w:szCs w:val="21"/>
                <w:highlight w:val="none"/>
              </w:rPr>
            </w:pPr>
          </w:p>
        </w:tc>
        <w:tc>
          <w:tcPr>
            <w:tcW w:w="778" w:type="dxa"/>
          </w:tcPr>
          <w:p w14:paraId="134C1BBF">
            <w:pPr>
              <w:autoSpaceDE w:val="0"/>
              <w:autoSpaceDN w:val="0"/>
              <w:adjustRightInd w:val="0"/>
              <w:snapToGrid w:val="0"/>
              <w:jc w:val="left"/>
              <w:rPr>
                <w:rFonts w:ascii="宋体" w:hAnsi="宋体"/>
                <w:color w:val="auto"/>
                <w:kern w:val="0"/>
                <w:szCs w:val="21"/>
                <w:highlight w:val="none"/>
              </w:rPr>
            </w:pPr>
          </w:p>
        </w:tc>
        <w:tc>
          <w:tcPr>
            <w:tcW w:w="776" w:type="dxa"/>
          </w:tcPr>
          <w:p w14:paraId="0F0FF52A">
            <w:pPr>
              <w:autoSpaceDE w:val="0"/>
              <w:autoSpaceDN w:val="0"/>
              <w:adjustRightInd w:val="0"/>
              <w:snapToGrid w:val="0"/>
              <w:jc w:val="left"/>
              <w:rPr>
                <w:rFonts w:ascii="宋体" w:hAnsi="宋体"/>
                <w:color w:val="auto"/>
                <w:kern w:val="0"/>
                <w:szCs w:val="21"/>
                <w:highlight w:val="none"/>
              </w:rPr>
            </w:pPr>
          </w:p>
        </w:tc>
        <w:tc>
          <w:tcPr>
            <w:tcW w:w="2723" w:type="dxa"/>
          </w:tcPr>
          <w:p w14:paraId="48849E4B">
            <w:pPr>
              <w:autoSpaceDE w:val="0"/>
              <w:autoSpaceDN w:val="0"/>
              <w:adjustRightInd w:val="0"/>
              <w:snapToGrid w:val="0"/>
              <w:jc w:val="left"/>
              <w:rPr>
                <w:rFonts w:ascii="宋体" w:hAnsi="宋体"/>
                <w:color w:val="auto"/>
                <w:kern w:val="0"/>
                <w:szCs w:val="21"/>
                <w:highlight w:val="none"/>
              </w:rPr>
            </w:pPr>
          </w:p>
        </w:tc>
        <w:tc>
          <w:tcPr>
            <w:tcW w:w="896" w:type="dxa"/>
          </w:tcPr>
          <w:p w14:paraId="0AFED0A3">
            <w:pPr>
              <w:autoSpaceDE w:val="0"/>
              <w:autoSpaceDN w:val="0"/>
              <w:adjustRightInd w:val="0"/>
              <w:snapToGrid w:val="0"/>
              <w:jc w:val="left"/>
              <w:rPr>
                <w:rFonts w:ascii="宋体" w:hAnsi="宋体"/>
                <w:color w:val="auto"/>
                <w:kern w:val="0"/>
                <w:szCs w:val="21"/>
                <w:highlight w:val="none"/>
              </w:rPr>
            </w:pPr>
          </w:p>
        </w:tc>
      </w:tr>
      <w:tr w14:paraId="1C3BC6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A3FBB50">
            <w:pPr>
              <w:autoSpaceDE w:val="0"/>
              <w:autoSpaceDN w:val="0"/>
              <w:adjustRightInd w:val="0"/>
              <w:snapToGrid w:val="0"/>
              <w:jc w:val="left"/>
              <w:rPr>
                <w:rFonts w:ascii="宋体" w:hAnsi="宋体"/>
                <w:color w:val="auto"/>
                <w:kern w:val="0"/>
                <w:szCs w:val="21"/>
                <w:highlight w:val="none"/>
              </w:rPr>
            </w:pPr>
          </w:p>
        </w:tc>
        <w:tc>
          <w:tcPr>
            <w:tcW w:w="734" w:type="dxa"/>
          </w:tcPr>
          <w:p w14:paraId="02D0D4E2">
            <w:pPr>
              <w:autoSpaceDE w:val="0"/>
              <w:autoSpaceDN w:val="0"/>
              <w:adjustRightInd w:val="0"/>
              <w:snapToGrid w:val="0"/>
              <w:jc w:val="left"/>
              <w:rPr>
                <w:rFonts w:ascii="宋体" w:hAnsi="宋体"/>
                <w:color w:val="auto"/>
                <w:kern w:val="0"/>
                <w:szCs w:val="21"/>
                <w:highlight w:val="none"/>
              </w:rPr>
            </w:pPr>
          </w:p>
        </w:tc>
        <w:tc>
          <w:tcPr>
            <w:tcW w:w="776" w:type="dxa"/>
          </w:tcPr>
          <w:p w14:paraId="24F05857">
            <w:pPr>
              <w:autoSpaceDE w:val="0"/>
              <w:autoSpaceDN w:val="0"/>
              <w:adjustRightInd w:val="0"/>
              <w:snapToGrid w:val="0"/>
              <w:jc w:val="left"/>
              <w:rPr>
                <w:rFonts w:ascii="宋体" w:hAnsi="宋体"/>
                <w:color w:val="auto"/>
                <w:kern w:val="0"/>
                <w:szCs w:val="21"/>
                <w:highlight w:val="none"/>
              </w:rPr>
            </w:pPr>
          </w:p>
        </w:tc>
        <w:tc>
          <w:tcPr>
            <w:tcW w:w="1167" w:type="dxa"/>
          </w:tcPr>
          <w:p w14:paraId="526BC4A1">
            <w:pPr>
              <w:autoSpaceDE w:val="0"/>
              <w:autoSpaceDN w:val="0"/>
              <w:adjustRightInd w:val="0"/>
              <w:snapToGrid w:val="0"/>
              <w:jc w:val="left"/>
              <w:rPr>
                <w:rFonts w:ascii="宋体" w:hAnsi="宋体"/>
                <w:color w:val="auto"/>
                <w:kern w:val="0"/>
                <w:szCs w:val="21"/>
                <w:highlight w:val="none"/>
              </w:rPr>
            </w:pPr>
          </w:p>
        </w:tc>
        <w:tc>
          <w:tcPr>
            <w:tcW w:w="776" w:type="dxa"/>
          </w:tcPr>
          <w:p w14:paraId="377306D6">
            <w:pPr>
              <w:autoSpaceDE w:val="0"/>
              <w:autoSpaceDN w:val="0"/>
              <w:adjustRightInd w:val="0"/>
              <w:snapToGrid w:val="0"/>
              <w:jc w:val="left"/>
              <w:rPr>
                <w:rFonts w:ascii="宋体" w:hAnsi="宋体"/>
                <w:color w:val="auto"/>
                <w:kern w:val="0"/>
                <w:szCs w:val="21"/>
                <w:highlight w:val="none"/>
              </w:rPr>
            </w:pPr>
          </w:p>
        </w:tc>
        <w:tc>
          <w:tcPr>
            <w:tcW w:w="778" w:type="dxa"/>
          </w:tcPr>
          <w:p w14:paraId="6655627C">
            <w:pPr>
              <w:autoSpaceDE w:val="0"/>
              <w:autoSpaceDN w:val="0"/>
              <w:adjustRightInd w:val="0"/>
              <w:snapToGrid w:val="0"/>
              <w:jc w:val="left"/>
              <w:rPr>
                <w:rFonts w:ascii="宋体" w:hAnsi="宋体"/>
                <w:color w:val="auto"/>
                <w:kern w:val="0"/>
                <w:szCs w:val="21"/>
                <w:highlight w:val="none"/>
              </w:rPr>
            </w:pPr>
          </w:p>
        </w:tc>
        <w:tc>
          <w:tcPr>
            <w:tcW w:w="776" w:type="dxa"/>
          </w:tcPr>
          <w:p w14:paraId="1FD0C2AF">
            <w:pPr>
              <w:autoSpaceDE w:val="0"/>
              <w:autoSpaceDN w:val="0"/>
              <w:adjustRightInd w:val="0"/>
              <w:snapToGrid w:val="0"/>
              <w:jc w:val="left"/>
              <w:rPr>
                <w:rFonts w:ascii="宋体" w:hAnsi="宋体"/>
                <w:color w:val="auto"/>
                <w:kern w:val="0"/>
                <w:szCs w:val="21"/>
                <w:highlight w:val="none"/>
              </w:rPr>
            </w:pPr>
          </w:p>
        </w:tc>
        <w:tc>
          <w:tcPr>
            <w:tcW w:w="2723" w:type="dxa"/>
          </w:tcPr>
          <w:p w14:paraId="68E2873C">
            <w:pPr>
              <w:autoSpaceDE w:val="0"/>
              <w:autoSpaceDN w:val="0"/>
              <w:adjustRightInd w:val="0"/>
              <w:snapToGrid w:val="0"/>
              <w:jc w:val="left"/>
              <w:rPr>
                <w:rFonts w:ascii="宋体" w:hAnsi="宋体"/>
                <w:color w:val="auto"/>
                <w:kern w:val="0"/>
                <w:szCs w:val="21"/>
                <w:highlight w:val="none"/>
              </w:rPr>
            </w:pPr>
          </w:p>
        </w:tc>
        <w:tc>
          <w:tcPr>
            <w:tcW w:w="896" w:type="dxa"/>
          </w:tcPr>
          <w:p w14:paraId="78AF71DC">
            <w:pPr>
              <w:autoSpaceDE w:val="0"/>
              <w:autoSpaceDN w:val="0"/>
              <w:adjustRightInd w:val="0"/>
              <w:snapToGrid w:val="0"/>
              <w:jc w:val="left"/>
              <w:rPr>
                <w:rFonts w:ascii="宋体" w:hAnsi="宋体"/>
                <w:color w:val="auto"/>
                <w:kern w:val="0"/>
                <w:szCs w:val="21"/>
                <w:highlight w:val="none"/>
              </w:rPr>
            </w:pPr>
          </w:p>
        </w:tc>
      </w:tr>
      <w:tr w14:paraId="02AD4A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DC18BC2">
            <w:pPr>
              <w:autoSpaceDE w:val="0"/>
              <w:autoSpaceDN w:val="0"/>
              <w:adjustRightInd w:val="0"/>
              <w:snapToGrid w:val="0"/>
              <w:jc w:val="left"/>
              <w:rPr>
                <w:rFonts w:ascii="宋体" w:hAnsi="宋体"/>
                <w:color w:val="auto"/>
                <w:kern w:val="0"/>
                <w:szCs w:val="21"/>
                <w:highlight w:val="none"/>
              </w:rPr>
            </w:pPr>
          </w:p>
        </w:tc>
        <w:tc>
          <w:tcPr>
            <w:tcW w:w="734" w:type="dxa"/>
          </w:tcPr>
          <w:p w14:paraId="1A6F067F">
            <w:pPr>
              <w:autoSpaceDE w:val="0"/>
              <w:autoSpaceDN w:val="0"/>
              <w:adjustRightInd w:val="0"/>
              <w:snapToGrid w:val="0"/>
              <w:jc w:val="left"/>
              <w:rPr>
                <w:rFonts w:ascii="宋体" w:hAnsi="宋体"/>
                <w:color w:val="auto"/>
                <w:kern w:val="0"/>
                <w:szCs w:val="21"/>
                <w:highlight w:val="none"/>
              </w:rPr>
            </w:pPr>
          </w:p>
        </w:tc>
        <w:tc>
          <w:tcPr>
            <w:tcW w:w="776" w:type="dxa"/>
          </w:tcPr>
          <w:p w14:paraId="49D2B705">
            <w:pPr>
              <w:autoSpaceDE w:val="0"/>
              <w:autoSpaceDN w:val="0"/>
              <w:adjustRightInd w:val="0"/>
              <w:snapToGrid w:val="0"/>
              <w:jc w:val="left"/>
              <w:rPr>
                <w:rFonts w:ascii="宋体" w:hAnsi="宋体"/>
                <w:color w:val="auto"/>
                <w:kern w:val="0"/>
                <w:szCs w:val="21"/>
                <w:highlight w:val="none"/>
              </w:rPr>
            </w:pPr>
          </w:p>
        </w:tc>
        <w:tc>
          <w:tcPr>
            <w:tcW w:w="1167" w:type="dxa"/>
          </w:tcPr>
          <w:p w14:paraId="4CC04CB8">
            <w:pPr>
              <w:autoSpaceDE w:val="0"/>
              <w:autoSpaceDN w:val="0"/>
              <w:adjustRightInd w:val="0"/>
              <w:snapToGrid w:val="0"/>
              <w:jc w:val="left"/>
              <w:rPr>
                <w:rFonts w:ascii="宋体" w:hAnsi="宋体"/>
                <w:color w:val="auto"/>
                <w:kern w:val="0"/>
                <w:szCs w:val="21"/>
                <w:highlight w:val="none"/>
              </w:rPr>
            </w:pPr>
          </w:p>
        </w:tc>
        <w:tc>
          <w:tcPr>
            <w:tcW w:w="776" w:type="dxa"/>
          </w:tcPr>
          <w:p w14:paraId="1F56FF49">
            <w:pPr>
              <w:autoSpaceDE w:val="0"/>
              <w:autoSpaceDN w:val="0"/>
              <w:adjustRightInd w:val="0"/>
              <w:snapToGrid w:val="0"/>
              <w:jc w:val="left"/>
              <w:rPr>
                <w:rFonts w:ascii="宋体" w:hAnsi="宋体"/>
                <w:color w:val="auto"/>
                <w:kern w:val="0"/>
                <w:szCs w:val="21"/>
                <w:highlight w:val="none"/>
              </w:rPr>
            </w:pPr>
          </w:p>
        </w:tc>
        <w:tc>
          <w:tcPr>
            <w:tcW w:w="778" w:type="dxa"/>
          </w:tcPr>
          <w:p w14:paraId="16C568BF">
            <w:pPr>
              <w:autoSpaceDE w:val="0"/>
              <w:autoSpaceDN w:val="0"/>
              <w:adjustRightInd w:val="0"/>
              <w:snapToGrid w:val="0"/>
              <w:jc w:val="left"/>
              <w:rPr>
                <w:rFonts w:ascii="宋体" w:hAnsi="宋体"/>
                <w:color w:val="auto"/>
                <w:kern w:val="0"/>
                <w:szCs w:val="21"/>
                <w:highlight w:val="none"/>
              </w:rPr>
            </w:pPr>
          </w:p>
        </w:tc>
        <w:tc>
          <w:tcPr>
            <w:tcW w:w="776" w:type="dxa"/>
          </w:tcPr>
          <w:p w14:paraId="135149C2">
            <w:pPr>
              <w:autoSpaceDE w:val="0"/>
              <w:autoSpaceDN w:val="0"/>
              <w:adjustRightInd w:val="0"/>
              <w:snapToGrid w:val="0"/>
              <w:jc w:val="left"/>
              <w:rPr>
                <w:rFonts w:ascii="宋体" w:hAnsi="宋体"/>
                <w:color w:val="auto"/>
                <w:kern w:val="0"/>
                <w:szCs w:val="21"/>
                <w:highlight w:val="none"/>
              </w:rPr>
            </w:pPr>
          </w:p>
        </w:tc>
        <w:tc>
          <w:tcPr>
            <w:tcW w:w="2723" w:type="dxa"/>
          </w:tcPr>
          <w:p w14:paraId="3CA32457">
            <w:pPr>
              <w:autoSpaceDE w:val="0"/>
              <w:autoSpaceDN w:val="0"/>
              <w:adjustRightInd w:val="0"/>
              <w:snapToGrid w:val="0"/>
              <w:jc w:val="left"/>
              <w:rPr>
                <w:rFonts w:ascii="宋体" w:hAnsi="宋体"/>
                <w:color w:val="auto"/>
                <w:kern w:val="0"/>
                <w:szCs w:val="21"/>
                <w:highlight w:val="none"/>
              </w:rPr>
            </w:pPr>
          </w:p>
        </w:tc>
        <w:tc>
          <w:tcPr>
            <w:tcW w:w="896" w:type="dxa"/>
          </w:tcPr>
          <w:p w14:paraId="7EE7BEB7">
            <w:pPr>
              <w:autoSpaceDE w:val="0"/>
              <w:autoSpaceDN w:val="0"/>
              <w:adjustRightInd w:val="0"/>
              <w:snapToGrid w:val="0"/>
              <w:jc w:val="left"/>
              <w:rPr>
                <w:rFonts w:ascii="宋体" w:hAnsi="宋体"/>
                <w:color w:val="auto"/>
                <w:kern w:val="0"/>
                <w:szCs w:val="21"/>
                <w:highlight w:val="none"/>
              </w:rPr>
            </w:pPr>
          </w:p>
        </w:tc>
      </w:tr>
      <w:tr w14:paraId="71E300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5824313">
            <w:pPr>
              <w:autoSpaceDE w:val="0"/>
              <w:autoSpaceDN w:val="0"/>
              <w:adjustRightInd w:val="0"/>
              <w:snapToGrid w:val="0"/>
              <w:jc w:val="left"/>
              <w:rPr>
                <w:rFonts w:ascii="宋体" w:hAnsi="宋体"/>
                <w:color w:val="auto"/>
                <w:kern w:val="0"/>
                <w:szCs w:val="21"/>
                <w:highlight w:val="none"/>
              </w:rPr>
            </w:pPr>
          </w:p>
        </w:tc>
        <w:tc>
          <w:tcPr>
            <w:tcW w:w="734" w:type="dxa"/>
          </w:tcPr>
          <w:p w14:paraId="6A866547">
            <w:pPr>
              <w:autoSpaceDE w:val="0"/>
              <w:autoSpaceDN w:val="0"/>
              <w:adjustRightInd w:val="0"/>
              <w:snapToGrid w:val="0"/>
              <w:jc w:val="left"/>
              <w:rPr>
                <w:rFonts w:ascii="宋体" w:hAnsi="宋体"/>
                <w:color w:val="auto"/>
                <w:kern w:val="0"/>
                <w:szCs w:val="21"/>
                <w:highlight w:val="none"/>
              </w:rPr>
            </w:pPr>
          </w:p>
        </w:tc>
        <w:tc>
          <w:tcPr>
            <w:tcW w:w="776" w:type="dxa"/>
          </w:tcPr>
          <w:p w14:paraId="6AB22BE7">
            <w:pPr>
              <w:autoSpaceDE w:val="0"/>
              <w:autoSpaceDN w:val="0"/>
              <w:adjustRightInd w:val="0"/>
              <w:snapToGrid w:val="0"/>
              <w:jc w:val="left"/>
              <w:rPr>
                <w:rFonts w:ascii="宋体" w:hAnsi="宋体"/>
                <w:color w:val="auto"/>
                <w:kern w:val="0"/>
                <w:szCs w:val="21"/>
                <w:highlight w:val="none"/>
              </w:rPr>
            </w:pPr>
          </w:p>
        </w:tc>
        <w:tc>
          <w:tcPr>
            <w:tcW w:w="1167" w:type="dxa"/>
          </w:tcPr>
          <w:p w14:paraId="319D2FBF">
            <w:pPr>
              <w:autoSpaceDE w:val="0"/>
              <w:autoSpaceDN w:val="0"/>
              <w:adjustRightInd w:val="0"/>
              <w:snapToGrid w:val="0"/>
              <w:jc w:val="left"/>
              <w:rPr>
                <w:rFonts w:ascii="宋体" w:hAnsi="宋体"/>
                <w:color w:val="auto"/>
                <w:kern w:val="0"/>
                <w:szCs w:val="21"/>
                <w:highlight w:val="none"/>
              </w:rPr>
            </w:pPr>
          </w:p>
        </w:tc>
        <w:tc>
          <w:tcPr>
            <w:tcW w:w="776" w:type="dxa"/>
          </w:tcPr>
          <w:p w14:paraId="2A363174">
            <w:pPr>
              <w:autoSpaceDE w:val="0"/>
              <w:autoSpaceDN w:val="0"/>
              <w:adjustRightInd w:val="0"/>
              <w:snapToGrid w:val="0"/>
              <w:jc w:val="left"/>
              <w:rPr>
                <w:rFonts w:ascii="宋体" w:hAnsi="宋体"/>
                <w:color w:val="auto"/>
                <w:kern w:val="0"/>
                <w:szCs w:val="21"/>
                <w:highlight w:val="none"/>
              </w:rPr>
            </w:pPr>
          </w:p>
        </w:tc>
        <w:tc>
          <w:tcPr>
            <w:tcW w:w="778" w:type="dxa"/>
          </w:tcPr>
          <w:p w14:paraId="5B5B86DA">
            <w:pPr>
              <w:autoSpaceDE w:val="0"/>
              <w:autoSpaceDN w:val="0"/>
              <w:adjustRightInd w:val="0"/>
              <w:snapToGrid w:val="0"/>
              <w:jc w:val="left"/>
              <w:rPr>
                <w:rFonts w:ascii="宋体" w:hAnsi="宋体"/>
                <w:color w:val="auto"/>
                <w:kern w:val="0"/>
                <w:szCs w:val="21"/>
                <w:highlight w:val="none"/>
              </w:rPr>
            </w:pPr>
          </w:p>
        </w:tc>
        <w:tc>
          <w:tcPr>
            <w:tcW w:w="776" w:type="dxa"/>
          </w:tcPr>
          <w:p w14:paraId="68C4AB39">
            <w:pPr>
              <w:autoSpaceDE w:val="0"/>
              <w:autoSpaceDN w:val="0"/>
              <w:adjustRightInd w:val="0"/>
              <w:snapToGrid w:val="0"/>
              <w:jc w:val="left"/>
              <w:rPr>
                <w:rFonts w:ascii="宋体" w:hAnsi="宋体"/>
                <w:color w:val="auto"/>
                <w:kern w:val="0"/>
                <w:szCs w:val="21"/>
                <w:highlight w:val="none"/>
              </w:rPr>
            </w:pPr>
          </w:p>
        </w:tc>
        <w:tc>
          <w:tcPr>
            <w:tcW w:w="2723" w:type="dxa"/>
          </w:tcPr>
          <w:p w14:paraId="0FAE1774">
            <w:pPr>
              <w:autoSpaceDE w:val="0"/>
              <w:autoSpaceDN w:val="0"/>
              <w:adjustRightInd w:val="0"/>
              <w:snapToGrid w:val="0"/>
              <w:jc w:val="left"/>
              <w:rPr>
                <w:rFonts w:ascii="宋体" w:hAnsi="宋体"/>
                <w:color w:val="auto"/>
                <w:kern w:val="0"/>
                <w:szCs w:val="21"/>
                <w:highlight w:val="none"/>
              </w:rPr>
            </w:pPr>
          </w:p>
        </w:tc>
        <w:tc>
          <w:tcPr>
            <w:tcW w:w="896" w:type="dxa"/>
          </w:tcPr>
          <w:p w14:paraId="70595659">
            <w:pPr>
              <w:autoSpaceDE w:val="0"/>
              <w:autoSpaceDN w:val="0"/>
              <w:adjustRightInd w:val="0"/>
              <w:snapToGrid w:val="0"/>
              <w:jc w:val="left"/>
              <w:rPr>
                <w:rFonts w:ascii="宋体" w:hAnsi="宋体"/>
                <w:color w:val="auto"/>
                <w:kern w:val="0"/>
                <w:szCs w:val="21"/>
                <w:highlight w:val="none"/>
              </w:rPr>
            </w:pPr>
          </w:p>
        </w:tc>
      </w:tr>
      <w:tr w14:paraId="7E9EBC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13A2F2">
            <w:pPr>
              <w:autoSpaceDE w:val="0"/>
              <w:autoSpaceDN w:val="0"/>
              <w:adjustRightInd w:val="0"/>
              <w:snapToGrid w:val="0"/>
              <w:jc w:val="left"/>
              <w:rPr>
                <w:rFonts w:ascii="宋体" w:hAnsi="宋体"/>
                <w:color w:val="auto"/>
                <w:kern w:val="0"/>
                <w:szCs w:val="21"/>
                <w:highlight w:val="none"/>
              </w:rPr>
            </w:pPr>
          </w:p>
        </w:tc>
        <w:tc>
          <w:tcPr>
            <w:tcW w:w="734" w:type="dxa"/>
          </w:tcPr>
          <w:p w14:paraId="784BB0FA">
            <w:pPr>
              <w:autoSpaceDE w:val="0"/>
              <w:autoSpaceDN w:val="0"/>
              <w:adjustRightInd w:val="0"/>
              <w:snapToGrid w:val="0"/>
              <w:jc w:val="left"/>
              <w:rPr>
                <w:rFonts w:ascii="宋体" w:hAnsi="宋体"/>
                <w:color w:val="auto"/>
                <w:kern w:val="0"/>
                <w:szCs w:val="21"/>
                <w:highlight w:val="none"/>
              </w:rPr>
            </w:pPr>
          </w:p>
        </w:tc>
        <w:tc>
          <w:tcPr>
            <w:tcW w:w="776" w:type="dxa"/>
          </w:tcPr>
          <w:p w14:paraId="6A0A4F4B">
            <w:pPr>
              <w:autoSpaceDE w:val="0"/>
              <w:autoSpaceDN w:val="0"/>
              <w:adjustRightInd w:val="0"/>
              <w:snapToGrid w:val="0"/>
              <w:jc w:val="left"/>
              <w:rPr>
                <w:rFonts w:ascii="宋体" w:hAnsi="宋体"/>
                <w:color w:val="auto"/>
                <w:kern w:val="0"/>
                <w:szCs w:val="21"/>
                <w:highlight w:val="none"/>
              </w:rPr>
            </w:pPr>
          </w:p>
        </w:tc>
        <w:tc>
          <w:tcPr>
            <w:tcW w:w="1167" w:type="dxa"/>
          </w:tcPr>
          <w:p w14:paraId="64292EB9">
            <w:pPr>
              <w:autoSpaceDE w:val="0"/>
              <w:autoSpaceDN w:val="0"/>
              <w:adjustRightInd w:val="0"/>
              <w:snapToGrid w:val="0"/>
              <w:jc w:val="left"/>
              <w:rPr>
                <w:rFonts w:ascii="宋体" w:hAnsi="宋体"/>
                <w:color w:val="auto"/>
                <w:kern w:val="0"/>
                <w:szCs w:val="21"/>
                <w:highlight w:val="none"/>
              </w:rPr>
            </w:pPr>
          </w:p>
        </w:tc>
        <w:tc>
          <w:tcPr>
            <w:tcW w:w="776" w:type="dxa"/>
          </w:tcPr>
          <w:p w14:paraId="67BA2DA8">
            <w:pPr>
              <w:autoSpaceDE w:val="0"/>
              <w:autoSpaceDN w:val="0"/>
              <w:adjustRightInd w:val="0"/>
              <w:snapToGrid w:val="0"/>
              <w:jc w:val="left"/>
              <w:rPr>
                <w:rFonts w:ascii="宋体" w:hAnsi="宋体"/>
                <w:color w:val="auto"/>
                <w:kern w:val="0"/>
                <w:szCs w:val="21"/>
                <w:highlight w:val="none"/>
              </w:rPr>
            </w:pPr>
          </w:p>
        </w:tc>
        <w:tc>
          <w:tcPr>
            <w:tcW w:w="778" w:type="dxa"/>
          </w:tcPr>
          <w:p w14:paraId="752E7D78">
            <w:pPr>
              <w:autoSpaceDE w:val="0"/>
              <w:autoSpaceDN w:val="0"/>
              <w:adjustRightInd w:val="0"/>
              <w:snapToGrid w:val="0"/>
              <w:jc w:val="left"/>
              <w:rPr>
                <w:rFonts w:ascii="宋体" w:hAnsi="宋体"/>
                <w:color w:val="auto"/>
                <w:kern w:val="0"/>
                <w:szCs w:val="21"/>
                <w:highlight w:val="none"/>
              </w:rPr>
            </w:pPr>
          </w:p>
        </w:tc>
        <w:tc>
          <w:tcPr>
            <w:tcW w:w="776" w:type="dxa"/>
          </w:tcPr>
          <w:p w14:paraId="763C9E33">
            <w:pPr>
              <w:autoSpaceDE w:val="0"/>
              <w:autoSpaceDN w:val="0"/>
              <w:adjustRightInd w:val="0"/>
              <w:snapToGrid w:val="0"/>
              <w:jc w:val="left"/>
              <w:rPr>
                <w:rFonts w:ascii="宋体" w:hAnsi="宋体"/>
                <w:color w:val="auto"/>
                <w:kern w:val="0"/>
                <w:szCs w:val="21"/>
                <w:highlight w:val="none"/>
              </w:rPr>
            </w:pPr>
          </w:p>
        </w:tc>
        <w:tc>
          <w:tcPr>
            <w:tcW w:w="2723" w:type="dxa"/>
          </w:tcPr>
          <w:p w14:paraId="37B517F5">
            <w:pPr>
              <w:autoSpaceDE w:val="0"/>
              <w:autoSpaceDN w:val="0"/>
              <w:adjustRightInd w:val="0"/>
              <w:snapToGrid w:val="0"/>
              <w:jc w:val="left"/>
              <w:rPr>
                <w:rFonts w:ascii="宋体" w:hAnsi="宋体"/>
                <w:color w:val="auto"/>
                <w:kern w:val="0"/>
                <w:szCs w:val="21"/>
                <w:highlight w:val="none"/>
              </w:rPr>
            </w:pPr>
          </w:p>
        </w:tc>
        <w:tc>
          <w:tcPr>
            <w:tcW w:w="896" w:type="dxa"/>
          </w:tcPr>
          <w:p w14:paraId="792A9BF4">
            <w:pPr>
              <w:autoSpaceDE w:val="0"/>
              <w:autoSpaceDN w:val="0"/>
              <w:adjustRightInd w:val="0"/>
              <w:snapToGrid w:val="0"/>
              <w:jc w:val="left"/>
              <w:rPr>
                <w:rFonts w:ascii="宋体" w:hAnsi="宋体"/>
                <w:color w:val="auto"/>
                <w:kern w:val="0"/>
                <w:szCs w:val="21"/>
                <w:highlight w:val="none"/>
              </w:rPr>
            </w:pPr>
          </w:p>
        </w:tc>
      </w:tr>
      <w:tr w14:paraId="4FAD44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552357E">
            <w:pPr>
              <w:autoSpaceDE w:val="0"/>
              <w:autoSpaceDN w:val="0"/>
              <w:adjustRightInd w:val="0"/>
              <w:snapToGrid w:val="0"/>
              <w:jc w:val="left"/>
              <w:rPr>
                <w:rFonts w:ascii="宋体" w:hAnsi="宋体"/>
                <w:color w:val="auto"/>
                <w:kern w:val="0"/>
                <w:szCs w:val="21"/>
                <w:highlight w:val="none"/>
              </w:rPr>
            </w:pPr>
          </w:p>
        </w:tc>
        <w:tc>
          <w:tcPr>
            <w:tcW w:w="734" w:type="dxa"/>
          </w:tcPr>
          <w:p w14:paraId="5CD217B1">
            <w:pPr>
              <w:autoSpaceDE w:val="0"/>
              <w:autoSpaceDN w:val="0"/>
              <w:adjustRightInd w:val="0"/>
              <w:snapToGrid w:val="0"/>
              <w:jc w:val="left"/>
              <w:rPr>
                <w:rFonts w:ascii="宋体" w:hAnsi="宋体"/>
                <w:color w:val="auto"/>
                <w:kern w:val="0"/>
                <w:szCs w:val="21"/>
                <w:highlight w:val="none"/>
              </w:rPr>
            </w:pPr>
          </w:p>
        </w:tc>
        <w:tc>
          <w:tcPr>
            <w:tcW w:w="776" w:type="dxa"/>
          </w:tcPr>
          <w:p w14:paraId="2966E8BF">
            <w:pPr>
              <w:autoSpaceDE w:val="0"/>
              <w:autoSpaceDN w:val="0"/>
              <w:adjustRightInd w:val="0"/>
              <w:snapToGrid w:val="0"/>
              <w:jc w:val="left"/>
              <w:rPr>
                <w:rFonts w:ascii="宋体" w:hAnsi="宋体"/>
                <w:color w:val="auto"/>
                <w:kern w:val="0"/>
                <w:szCs w:val="21"/>
                <w:highlight w:val="none"/>
              </w:rPr>
            </w:pPr>
          </w:p>
        </w:tc>
        <w:tc>
          <w:tcPr>
            <w:tcW w:w="1167" w:type="dxa"/>
          </w:tcPr>
          <w:p w14:paraId="2315912B">
            <w:pPr>
              <w:autoSpaceDE w:val="0"/>
              <w:autoSpaceDN w:val="0"/>
              <w:adjustRightInd w:val="0"/>
              <w:snapToGrid w:val="0"/>
              <w:jc w:val="left"/>
              <w:rPr>
                <w:rFonts w:ascii="宋体" w:hAnsi="宋体"/>
                <w:color w:val="auto"/>
                <w:kern w:val="0"/>
                <w:szCs w:val="21"/>
                <w:highlight w:val="none"/>
              </w:rPr>
            </w:pPr>
          </w:p>
        </w:tc>
        <w:tc>
          <w:tcPr>
            <w:tcW w:w="776" w:type="dxa"/>
          </w:tcPr>
          <w:p w14:paraId="4E930F62">
            <w:pPr>
              <w:autoSpaceDE w:val="0"/>
              <w:autoSpaceDN w:val="0"/>
              <w:adjustRightInd w:val="0"/>
              <w:snapToGrid w:val="0"/>
              <w:jc w:val="left"/>
              <w:rPr>
                <w:rFonts w:ascii="宋体" w:hAnsi="宋体"/>
                <w:color w:val="auto"/>
                <w:kern w:val="0"/>
                <w:szCs w:val="21"/>
                <w:highlight w:val="none"/>
              </w:rPr>
            </w:pPr>
          </w:p>
        </w:tc>
        <w:tc>
          <w:tcPr>
            <w:tcW w:w="778" w:type="dxa"/>
          </w:tcPr>
          <w:p w14:paraId="1A37F28B">
            <w:pPr>
              <w:autoSpaceDE w:val="0"/>
              <w:autoSpaceDN w:val="0"/>
              <w:adjustRightInd w:val="0"/>
              <w:snapToGrid w:val="0"/>
              <w:jc w:val="left"/>
              <w:rPr>
                <w:rFonts w:ascii="宋体" w:hAnsi="宋体"/>
                <w:color w:val="auto"/>
                <w:kern w:val="0"/>
                <w:szCs w:val="21"/>
                <w:highlight w:val="none"/>
              </w:rPr>
            </w:pPr>
          </w:p>
        </w:tc>
        <w:tc>
          <w:tcPr>
            <w:tcW w:w="776" w:type="dxa"/>
          </w:tcPr>
          <w:p w14:paraId="7B907F46">
            <w:pPr>
              <w:autoSpaceDE w:val="0"/>
              <w:autoSpaceDN w:val="0"/>
              <w:adjustRightInd w:val="0"/>
              <w:snapToGrid w:val="0"/>
              <w:jc w:val="left"/>
              <w:rPr>
                <w:rFonts w:ascii="宋体" w:hAnsi="宋体"/>
                <w:color w:val="auto"/>
                <w:kern w:val="0"/>
                <w:szCs w:val="21"/>
                <w:highlight w:val="none"/>
              </w:rPr>
            </w:pPr>
          </w:p>
        </w:tc>
        <w:tc>
          <w:tcPr>
            <w:tcW w:w="2723" w:type="dxa"/>
          </w:tcPr>
          <w:p w14:paraId="494227CB">
            <w:pPr>
              <w:autoSpaceDE w:val="0"/>
              <w:autoSpaceDN w:val="0"/>
              <w:adjustRightInd w:val="0"/>
              <w:snapToGrid w:val="0"/>
              <w:jc w:val="left"/>
              <w:rPr>
                <w:rFonts w:ascii="宋体" w:hAnsi="宋体"/>
                <w:color w:val="auto"/>
                <w:kern w:val="0"/>
                <w:szCs w:val="21"/>
                <w:highlight w:val="none"/>
              </w:rPr>
            </w:pPr>
          </w:p>
        </w:tc>
        <w:tc>
          <w:tcPr>
            <w:tcW w:w="896" w:type="dxa"/>
          </w:tcPr>
          <w:p w14:paraId="6C3FED89">
            <w:pPr>
              <w:autoSpaceDE w:val="0"/>
              <w:autoSpaceDN w:val="0"/>
              <w:adjustRightInd w:val="0"/>
              <w:snapToGrid w:val="0"/>
              <w:jc w:val="left"/>
              <w:rPr>
                <w:rFonts w:ascii="宋体" w:hAnsi="宋体"/>
                <w:color w:val="auto"/>
                <w:kern w:val="0"/>
                <w:szCs w:val="21"/>
                <w:highlight w:val="none"/>
              </w:rPr>
            </w:pPr>
          </w:p>
        </w:tc>
      </w:tr>
      <w:tr w14:paraId="323523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EF19F3E">
            <w:pPr>
              <w:autoSpaceDE w:val="0"/>
              <w:autoSpaceDN w:val="0"/>
              <w:adjustRightInd w:val="0"/>
              <w:snapToGrid w:val="0"/>
              <w:jc w:val="left"/>
              <w:rPr>
                <w:rFonts w:ascii="宋体" w:hAnsi="宋体"/>
                <w:color w:val="auto"/>
                <w:kern w:val="0"/>
                <w:szCs w:val="21"/>
                <w:highlight w:val="none"/>
              </w:rPr>
            </w:pPr>
          </w:p>
        </w:tc>
        <w:tc>
          <w:tcPr>
            <w:tcW w:w="734" w:type="dxa"/>
          </w:tcPr>
          <w:p w14:paraId="1E7E43D0">
            <w:pPr>
              <w:autoSpaceDE w:val="0"/>
              <w:autoSpaceDN w:val="0"/>
              <w:adjustRightInd w:val="0"/>
              <w:snapToGrid w:val="0"/>
              <w:jc w:val="left"/>
              <w:rPr>
                <w:rFonts w:ascii="宋体" w:hAnsi="宋体"/>
                <w:color w:val="auto"/>
                <w:kern w:val="0"/>
                <w:szCs w:val="21"/>
                <w:highlight w:val="none"/>
              </w:rPr>
            </w:pPr>
          </w:p>
        </w:tc>
        <w:tc>
          <w:tcPr>
            <w:tcW w:w="776" w:type="dxa"/>
          </w:tcPr>
          <w:p w14:paraId="742867CF">
            <w:pPr>
              <w:autoSpaceDE w:val="0"/>
              <w:autoSpaceDN w:val="0"/>
              <w:adjustRightInd w:val="0"/>
              <w:snapToGrid w:val="0"/>
              <w:jc w:val="left"/>
              <w:rPr>
                <w:rFonts w:ascii="宋体" w:hAnsi="宋体"/>
                <w:color w:val="auto"/>
                <w:kern w:val="0"/>
                <w:szCs w:val="21"/>
                <w:highlight w:val="none"/>
              </w:rPr>
            </w:pPr>
          </w:p>
        </w:tc>
        <w:tc>
          <w:tcPr>
            <w:tcW w:w="1167" w:type="dxa"/>
          </w:tcPr>
          <w:p w14:paraId="4D0D952E">
            <w:pPr>
              <w:autoSpaceDE w:val="0"/>
              <w:autoSpaceDN w:val="0"/>
              <w:adjustRightInd w:val="0"/>
              <w:snapToGrid w:val="0"/>
              <w:jc w:val="left"/>
              <w:rPr>
                <w:rFonts w:ascii="宋体" w:hAnsi="宋体"/>
                <w:color w:val="auto"/>
                <w:kern w:val="0"/>
                <w:szCs w:val="21"/>
                <w:highlight w:val="none"/>
              </w:rPr>
            </w:pPr>
          </w:p>
        </w:tc>
        <w:tc>
          <w:tcPr>
            <w:tcW w:w="776" w:type="dxa"/>
          </w:tcPr>
          <w:p w14:paraId="788EF07E">
            <w:pPr>
              <w:autoSpaceDE w:val="0"/>
              <w:autoSpaceDN w:val="0"/>
              <w:adjustRightInd w:val="0"/>
              <w:snapToGrid w:val="0"/>
              <w:jc w:val="left"/>
              <w:rPr>
                <w:rFonts w:ascii="宋体" w:hAnsi="宋体"/>
                <w:color w:val="auto"/>
                <w:kern w:val="0"/>
                <w:szCs w:val="21"/>
                <w:highlight w:val="none"/>
              </w:rPr>
            </w:pPr>
          </w:p>
        </w:tc>
        <w:tc>
          <w:tcPr>
            <w:tcW w:w="778" w:type="dxa"/>
          </w:tcPr>
          <w:p w14:paraId="115688BB">
            <w:pPr>
              <w:autoSpaceDE w:val="0"/>
              <w:autoSpaceDN w:val="0"/>
              <w:adjustRightInd w:val="0"/>
              <w:snapToGrid w:val="0"/>
              <w:jc w:val="left"/>
              <w:rPr>
                <w:rFonts w:ascii="宋体" w:hAnsi="宋体"/>
                <w:color w:val="auto"/>
                <w:kern w:val="0"/>
                <w:szCs w:val="21"/>
                <w:highlight w:val="none"/>
              </w:rPr>
            </w:pPr>
          </w:p>
        </w:tc>
        <w:tc>
          <w:tcPr>
            <w:tcW w:w="776" w:type="dxa"/>
          </w:tcPr>
          <w:p w14:paraId="39447B8F">
            <w:pPr>
              <w:autoSpaceDE w:val="0"/>
              <w:autoSpaceDN w:val="0"/>
              <w:adjustRightInd w:val="0"/>
              <w:snapToGrid w:val="0"/>
              <w:jc w:val="left"/>
              <w:rPr>
                <w:rFonts w:ascii="宋体" w:hAnsi="宋体"/>
                <w:color w:val="auto"/>
                <w:kern w:val="0"/>
                <w:szCs w:val="21"/>
                <w:highlight w:val="none"/>
              </w:rPr>
            </w:pPr>
          </w:p>
        </w:tc>
        <w:tc>
          <w:tcPr>
            <w:tcW w:w="2723" w:type="dxa"/>
          </w:tcPr>
          <w:p w14:paraId="6A4521F8">
            <w:pPr>
              <w:autoSpaceDE w:val="0"/>
              <w:autoSpaceDN w:val="0"/>
              <w:adjustRightInd w:val="0"/>
              <w:snapToGrid w:val="0"/>
              <w:jc w:val="left"/>
              <w:rPr>
                <w:rFonts w:ascii="宋体" w:hAnsi="宋体"/>
                <w:color w:val="auto"/>
                <w:kern w:val="0"/>
                <w:szCs w:val="21"/>
                <w:highlight w:val="none"/>
              </w:rPr>
            </w:pPr>
          </w:p>
        </w:tc>
        <w:tc>
          <w:tcPr>
            <w:tcW w:w="896" w:type="dxa"/>
          </w:tcPr>
          <w:p w14:paraId="35028EA2">
            <w:pPr>
              <w:autoSpaceDE w:val="0"/>
              <w:autoSpaceDN w:val="0"/>
              <w:adjustRightInd w:val="0"/>
              <w:snapToGrid w:val="0"/>
              <w:jc w:val="left"/>
              <w:rPr>
                <w:rFonts w:ascii="宋体" w:hAnsi="宋体"/>
                <w:color w:val="auto"/>
                <w:kern w:val="0"/>
                <w:szCs w:val="21"/>
                <w:highlight w:val="none"/>
              </w:rPr>
            </w:pPr>
          </w:p>
        </w:tc>
      </w:tr>
    </w:tbl>
    <w:p w14:paraId="44190ADD">
      <w:pPr>
        <w:spacing w:line="20" w:lineRule="exact"/>
        <w:jc w:val="center"/>
        <w:rPr>
          <w:rFonts w:ascii="宋体" w:hAnsi="宋体"/>
          <w:color w:val="auto"/>
          <w:szCs w:val="21"/>
          <w:highlight w:val="none"/>
        </w:rPr>
      </w:pPr>
    </w:p>
    <w:p w14:paraId="0389BB18">
      <w:pPr>
        <w:spacing w:line="360" w:lineRule="auto"/>
        <w:jc w:val="left"/>
        <w:rPr>
          <w:rFonts w:hint="eastAsia" w:ascii="宋体" w:hAnsi="宋体"/>
          <w:color w:val="auto"/>
          <w:szCs w:val="21"/>
          <w:highlight w:val="none"/>
        </w:rPr>
      </w:pPr>
      <w:r>
        <w:rPr>
          <w:rFonts w:hint="eastAsia" w:ascii="宋体" w:hAnsi="宋体"/>
          <w:color w:val="auto"/>
          <w:szCs w:val="21"/>
          <w:highlight w:val="none"/>
        </w:rPr>
        <w:t>备注：本表仅填项目经理、项目技术负责人相关信息</w:t>
      </w:r>
    </w:p>
    <w:p w14:paraId="2CAF1754">
      <w:pPr>
        <w:spacing w:line="360" w:lineRule="auto"/>
        <w:jc w:val="center"/>
        <w:rPr>
          <w:rFonts w:ascii="宋体" w:hAnsi="宋体"/>
          <w:color w:val="auto"/>
          <w:sz w:val="32"/>
          <w:szCs w:val="32"/>
          <w:highlight w:val="none"/>
        </w:rPr>
      </w:pP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721"/>
      <w:bookmarkEnd w:id="722"/>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84CAE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3AF0B7D">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55E187D1">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40FEF0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3540B70C">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00470F3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14E93208">
            <w:pPr>
              <w:autoSpaceDE w:val="0"/>
              <w:autoSpaceDN w:val="0"/>
              <w:adjustRightInd w:val="0"/>
              <w:snapToGrid w:val="0"/>
              <w:jc w:val="center"/>
              <w:rPr>
                <w:rFonts w:ascii="宋体" w:hAnsi="宋体"/>
                <w:color w:val="auto"/>
                <w:kern w:val="0"/>
                <w:szCs w:val="21"/>
                <w:highlight w:val="none"/>
              </w:rPr>
            </w:pPr>
          </w:p>
        </w:tc>
      </w:tr>
      <w:tr w14:paraId="235971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C189407">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09BB557E">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56912E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11F921D1">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35B105E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1DBF6674">
            <w:pPr>
              <w:autoSpaceDE w:val="0"/>
              <w:autoSpaceDN w:val="0"/>
              <w:adjustRightInd w:val="0"/>
              <w:snapToGrid w:val="0"/>
              <w:jc w:val="center"/>
              <w:rPr>
                <w:rFonts w:ascii="宋体" w:hAnsi="宋体"/>
                <w:color w:val="auto"/>
                <w:kern w:val="0"/>
                <w:szCs w:val="21"/>
                <w:highlight w:val="none"/>
              </w:rPr>
            </w:pPr>
          </w:p>
        </w:tc>
      </w:tr>
      <w:tr w14:paraId="46FEF8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5A788B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2636222A">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3AE3FE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0647A45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660F7F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A466CB6">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596F844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60A5845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5874C32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3BD192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989CBD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0458E9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7A8276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9A3F753">
            <w:pPr>
              <w:autoSpaceDE w:val="0"/>
              <w:autoSpaceDN w:val="0"/>
              <w:adjustRightInd w:val="0"/>
              <w:snapToGrid w:val="0"/>
              <w:jc w:val="center"/>
              <w:rPr>
                <w:rFonts w:ascii="宋体" w:hAnsi="宋体"/>
                <w:color w:val="auto"/>
                <w:kern w:val="0"/>
                <w:szCs w:val="21"/>
                <w:highlight w:val="none"/>
              </w:rPr>
            </w:pPr>
          </w:p>
        </w:tc>
      </w:tr>
      <w:tr w14:paraId="6265B9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7CB5AD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8DF098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23940F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E99BF9C">
            <w:pPr>
              <w:autoSpaceDE w:val="0"/>
              <w:autoSpaceDN w:val="0"/>
              <w:adjustRightInd w:val="0"/>
              <w:snapToGrid w:val="0"/>
              <w:jc w:val="center"/>
              <w:rPr>
                <w:rFonts w:ascii="宋体" w:hAnsi="宋体"/>
                <w:color w:val="auto"/>
                <w:kern w:val="0"/>
                <w:szCs w:val="21"/>
                <w:highlight w:val="none"/>
              </w:rPr>
            </w:pPr>
          </w:p>
        </w:tc>
      </w:tr>
      <w:tr w14:paraId="31FE9C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E0F23E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81CD10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2FCCB0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9923E6C">
            <w:pPr>
              <w:autoSpaceDE w:val="0"/>
              <w:autoSpaceDN w:val="0"/>
              <w:adjustRightInd w:val="0"/>
              <w:snapToGrid w:val="0"/>
              <w:jc w:val="center"/>
              <w:rPr>
                <w:rFonts w:ascii="宋体" w:hAnsi="宋体"/>
                <w:color w:val="auto"/>
                <w:kern w:val="0"/>
                <w:szCs w:val="21"/>
                <w:highlight w:val="none"/>
              </w:rPr>
            </w:pPr>
          </w:p>
        </w:tc>
      </w:tr>
      <w:tr w14:paraId="5C1157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D9E87C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DDF99A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24DC87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230DF01">
            <w:pPr>
              <w:autoSpaceDE w:val="0"/>
              <w:autoSpaceDN w:val="0"/>
              <w:adjustRightInd w:val="0"/>
              <w:snapToGrid w:val="0"/>
              <w:jc w:val="center"/>
              <w:rPr>
                <w:rFonts w:ascii="宋体" w:hAnsi="宋体"/>
                <w:color w:val="auto"/>
                <w:kern w:val="0"/>
                <w:szCs w:val="21"/>
                <w:highlight w:val="none"/>
              </w:rPr>
            </w:pPr>
          </w:p>
        </w:tc>
      </w:tr>
      <w:tr w14:paraId="3DDC86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93F02B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AA0BEA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6960CA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63F87D6">
            <w:pPr>
              <w:autoSpaceDE w:val="0"/>
              <w:autoSpaceDN w:val="0"/>
              <w:adjustRightInd w:val="0"/>
              <w:snapToGrid w:val="0"/>
              <w:jc w:val="center"/>
              <w:rPr>
                <w:rFonts w:ascii="宋体" w:hAnsi="宋体"/>
                <w:color w:val="auto"/>
                <w:kern w:val="0"/>
                <w:szCs w:val="21"/>
                <w:highlight w:val="none"/>
              </w:rPr>
            </w:pPr>
          </w:p>
        </w:tc>
      </w:tr>
      <w:tr w14:paraId="6ECA8A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6B3AF9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35027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07A263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020BDB5">
            <w:pPr>
              <w:autoSpaceDE w:val="0"/>
              <w:autoSpaceDN w:val="0"/>
              <w:adjustRightInd w:val="0"/>
              <w:snapToGrid w:val="0"/>
              <w:jc w:val="center"/>
              <w:rPr>
                <w:rFonts w:ascii="宋体" w:hAnsi="宋体"/>
                <w:color w:val="auto"/>
                <w:kern w:val="0"/>
                <w:szCs w:val="21"/>
                <w:highlight w:val="none"/>
              </w:rPr>
            </w:pPr>
          </w:p>
        </w:tc>
      </w:tr>
      <w:tr w14:paraId="08D24C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62BE82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0E5A55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3352C0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CDCE673">
            <w:pPr>
              <w:autoSpaceDE w:val="0"/>
              <w:autoSpaceDN w:val="0"/>
              <w:adjustRightInd w:val="0"/>
              <w:snapToGrid w:val="0"/>
              <w:jc w:val="center"/>
              <w:rPr>
                <w:rFonts w:ascii="宋体" w:hAnsi="宋体"/>
                <w:color w:val="auto"/>
                <w:kern w:val="0"/>
                <w:szCs w:val="21"/>
                <w:highlight w:val="none"/>
              </w:rPr>
            </w:pPr>
          </w:p>
        </w:tc>
      </w:tr>
      <w:tr w14:paraId="349E5F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08869C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187A0E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8E6CB4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0A2389">
            <w:pPr>
              <w:autoSpaceDE w:val="0"/>
              <w:autoSpaceDN w:val="0"/>
              <w:adjustRightInd w:val="0"/>
              <w:snapToGrid w:val="0"/>
              <w:jc w:val="center"/>
              <w:rPr>
                <w:rFonts w:ascii="宋体" w:hAnsi="宋体"/>
                <w:color w:val="auto"/>
                <w:kern w:val="0"/>
                <w:szCs w:val="21"/>
                <w:highlight w:val="none"/>
              </w:rPr>
            </w:pPr>
          </w:p>
        </w:tc>
      </w:tr>
      <w:tr w14:paraId="3F5412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B8F255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F1714F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662266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745F58E">
            <w:pPr>
              <w:autoSpaceDE w:val="0"/>
              <w:autoSpaceDN w:val="0"/>
              <w:adjustRightInd w:val="0"/>
              <w:snapToGrid w:val="0"/>
              <w:jc w:val="center"/>
              <w:rPr>
                <w:rFonts w:ascii="宋体" w:hAnsi="宋体"/>
                <w:color w:val="auto"/>
                <w:kern w:val="0"/>
                <w:szCs w:val="21"/>
                <w:highlight w:val="none"/>
              </w:rPr>
            </w:pPr>
          </w:p>
        </w:tc>
      </w:tr>
      <w:tr w14:paraId="324EFF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4F5CE0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279EE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CC2BE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BAB950E">
            <w:pPr>
              <w:autoSpaceDE w:val="0"/>
              <w:autoSpaceDN w:val="0"/>
              <w:adjustRightInd w:val="0"/>
              <w:snapToGrid w:val="0"/>
              <w:jc w:val="center"/>
              <w:rPr>
                <w:rFonts w:ascii="宋体" w:hAnsi="宋体"/>
                <w:color w:val="auto"/>
                <w:kern w:val="0"/>
                <w:szCs w:val="21"/>
                <w:highlight w:val="none"/>
              </w:rPr>
            </w:pPr>
          </w:p>
        </w:tc>
      </w:tr>
      <w:tr w14:paraId="41E6E8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62E95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EFDDC0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45F2C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04039D">
            <w:pPr>
              <w:autoSpaceDE w:val="0"/>
              <w:autoSpaceDN w:val="0"/>
              <w:adjustRightInd w:val="0"/>
              <w:snapToGrid w:val="0"/>
              <w:jc w:val="center"/>
              <w:rPr>
                <w:rFonts w:ascii="宋体" w:hAnsi="宋体"/>
                <w:color w:val="auto"/>
                <w:kern w:val="0"/>
                <w:szCs w:val="21"/>
                <w:highlight w:val="none"/>
              </w:rPr>
            </w:pPr>
          </w:p>
        </w:tc>
      </w:tr>
      <w:tr w14:paraId="342C8C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7F5BCF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D28FA3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C41C0D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E1A308">
            <w:pPr>
              <w:autoSpaceDE w:val="0"/>
              <w:autoSpaceDN w:val="0"/>
              <w:adjustRightInd w:val="0"/>
              <w:snapToGrid w:val="0"/>
              <w:jc w:val="center"/>
              <w:rPr>
                <w:rFonts w:ascii="宋体" w:hAnsi="宋体"/>
                <w:color w:val="auto"/>
                <w:kern w:val="0"/>
                <w:szCs w:val="21"/>
                <w:highlight w:val="none"/>
              </w:rPr>
            </w:pPr>
          </w:p>
        </w:tc>
      </w:tr>
      <w:tr w14:paraId="640284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7EC9C0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62AC9FB">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09D560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2237287">
            <w:pPr>
              <w:autoSpaceDE w:val="0"/>
              <w:autoSpaceDN w:val="0"/>
              <w:adjustRightInd w:val="0"/>
              <w:snapToGrid w:val="0"/>
              <w:jc w:val="center"/>
              <w:rPr>
                <w:rFonts w:ascii="宋体" w:hAnsi="宋体"/>
                <w:color w:val="auto"/>
                <w:kern w:val="0"/>
                <w:szCs w:val="21"/>
                <w:highlight w:val="none"/>
              </w:rPr>
            </w:pPr>
          </w:p>
        </w:tc>
      </w:tr>
    </w:tbl>
    <w:p w14:paraId="145D99D2">
      <w:pPr>
        <w:spacing w:line="360" w:lineRule="auto"/>
        <w:rPr>
          <w:rFonts w:ascii="宋体" w:hAnsi="宋体"/>
          <w:color w:val="auto"/>
          <w:highlight w:val="none"/>
        </w:rPr>
      </w:pPr>
      <w:bookmarkStart w:id="726" w:name="_Toc224103515"/>
    </w:p>
    <w:bookmarkEnd w:id="726"/>
    <w:p w14:paraId="2C392B0A">
      <w:pPr>
        <w:pStyle w:val="6"/>
        <w:spacing w:before="0" w:after="0" w:line="360" w:lineRule="auto"/>
        <w:jc w:val="center"/>
        <w:rPr>
          <w:rFonts w:ascii="宋体" w:hAnsi="宋体"/>
          <w:b w:val="0"/>
          <w:color w:val="auto"/>
          <w:highlight w:val="none"/>
        </w:rPr>
      </w:pPr>
      <w:bookmarkStart w:id="727" w:name="_Toc224103520"/>
      <w:bookmarkStart w:id="728" w:name="_Toc277082663"/>
      <w:bookmarkStart w:id="729" w:name="_Toc287620839"/>
      <w:bookmarkStart w:id="730" w:name="_Toc287607893"/>
      <w:bookmarkStart w:id="731" w:name="_Toc430530552"/>
      <w:bookmarkStart w:id="732" w:name="_Toc30130"/>
      <w:bookmarkStart w:id="733" w:name="_Toc534185843"/>
      <w:bookmarkStart w:id="734" w:name="_Toc509218866"/>
      <w:r>
        <w:rPr>
          <w:rFonts w:ascii="宋体" w:hAnsi="宋体"/>
          <w:b w:val="0"/>
          <w:color w:val="auto"/>
          <w:highlight w:val="none"/>
        </w:rPr>
        <w:t>（</w:t>
      </w:r>
      <w:r>
        <w:rPr>
          <w:rFonts w:hint="eastAsia" w:ascii="宋体" w:hAnsi="宋体"/>
          <w:b w:val="0"/>
          <w:color w:val="auto"/>
          <w:highlight w:val="none"/>
          <w:lang w:eastAsia="zh-CN"/>
        </w:rPr>
        <w:t>四</w:t>
      </w:r>
      <w:r>
        <w:rPr>
          <w:rFonts w:ascii="宋体" w:hAnsi="宋体"/>
          <w:b w:val="0"/>
          <w:color w:val="auto"/>
          <w:highlight w:val="none"/>
        </w:rPr>
        <w:t>）</w:t>
      </w:r>
      <w:bookmarkEnd w:id="727"/>
      <w:bookmarkEnd w:id="728"/>
      <w:bookmarkEnd w:id="729"/>
      <w:bookmarkEnd w:id="730"/>
      <w:bookmarkEnd w:id="731"/>
      <w:r>
        <w:rPr>
          <w:rFonts w:hint="eastAsia" w:ascii="宋体" w:hAnsi="宋体"/>
          <w:b w:val="0"/>
          <w:color w:val="auto"/>
          <w:highlight w:val="none"/>
        </w:rPr>
        <w:t>承诺</w:t>
      </w:r>
      <w:bookmarkEnd w:id="732"/>
    </w:p>
    <w:p w14:paraId="423D41F8">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38A77C1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78DB38E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7E5A0EEE">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B3B68D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36E051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72DA260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7E129AF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705A2AE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16050C2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3F51860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2E2E017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1D430E8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w:t>
      </w:r>
      <w:r>
        <w:rPr>
          <w:rFonts w:hint="eastAsia" w:ascii="宋体" w:hAnsi="宋体"/>
          <w:color w:val="auto"/>
          <w:szCs w:val="21"/>
          <w:highlight w:val="none"/>
          <w:lang w:eastAsia="zh-CN"/>
        </w:rPr>
        <w:t>比选文件</w:t>
      </w:r>
      <w:r>
        <w:rPr>
          <w:rFonts w:hint="eastAsia" w:ascii="宋体" w:hAnsi="宋体"/>
          <w:color w:val="auto"/>
          <w:szCs w:val="21"/>
          <w:highlight w:val="none"/>
        </w:rPr>
        <w:t>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48E792B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7458135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14:paraId="75F5D87E">
      <w:pPr>
        <w:numPr>
          <w:ilvl w:val="0"/>
          <w:numId w:val="2"/>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14:paraId="0BA37EF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40BC56A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、我公司不存在第二章 投标人须知第 1.4.3 项规定的任何一种情形。</w:t>
      </w:r>
    </w:p>
    <w:p w14:paraId="2E93BE3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、我公司的投标文件符合第二章 投标人须知第 1.3.1 项的规定。</w:t>
      </w:r>
    </w:p>
    <w:p w14:paraId="6F1C7F6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44D7CA18">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、我公司的投标文件符合第七章 技术标准和要求（如有）。</w:t>
      </w:r>
    </w:p>
    <w:p w14:paraId="7C0F4452">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733"/>
    <w:bookmarkEnd w:id="734"/>
    <w:p w14:paraId="5E751CB8">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930EC5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6C7C23D">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0D19F684">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51AB6B52">
      <w:pPr>
        <w:rPr>
          <w:color w:val="auto"/>
          <w:highlight w:val="none"/>
        </w:rPr>
      </w:pPr>
      <w:r>
        <w:rPr>
          <w:color w:val="auto"/>
          <w:highlight w:val="none"/>
        </w:rPr>
        <w:br w:type="page"/>
      </w:r>
    </w:p>
    <w:p w14:paraId="4F9D8F78">
      <w:pPr>
        <w:pStyle w:val="6"/>
        <w:spacing w:before="0" w:line="360" w:lineRule="auto"/>
        <w:jc w:val="center"/>
        <w:rPr>
          <w:rFonts w:ascii="宋体" w:hAnsi="宋体"/>
          <w:b w:val="0"/>
          <w:color w:val="auto"/>
          <w:highlight w:val="none"/>
        </w:rPr>
      </w:pPr>
      <w:bookmarkStart w:id="735" w:name="_Toc16722"/>
      <w:r>
        <w:rPr>
          <w:rFonts w:hint="eastAsia" w:ascii="宋体" w:hAnsi="宋体"/>
          <w:b w:val="0"/>
          <w:color w:val="auto"/>
          <w:highlight w:val="none"/>
        </w:rPr>
        <w:t>（</w:t>
      </w:r>
      <w:r>
        <w:rPr>
          <w:rFonts w:hint="eastAsia" w:ascii="宋体" w:hAnsi="宋体"/>
          <w:b w:val="0"/>
          <w:color w:val="auto"/>
          <w:highlight w:val="none"/>
          <w:lang w:eastAsia="zh-CN"/>
        </w:rPr>
        <w:t>五</w:t>
      </w:r>
      <w:r>
        <w:rPr>
          <w:rFonts w:hint="eastAsia" w:ascii="宋体" w:hAnsi="宋体"/>
          <w:b w:val="0"/>
          <w:color w:val="auto"/>
          <w:highlight w:val="none"/>
        </w:rPr>
        <w:t>）其他资料</w:t>
      </w:r>
      <w:bookmarkEnd w:id="593"/>
      <w:bookmarkEnd w:id="594"/>
      <w:bookmarkEnd w:id="595"/>
      <w:bookmarkEnd w:id="735"/>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falt">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FE09C">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77EC105E">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E0D3B">
    <w:pPr>
      <w:pStyle w:val="30"/>
      <w:jc w:val="center"/>
    </w:pPr>
    <w:r>
      <w:t xml:space="preserve">- </w:t>
    </w:r>
    <w:r>
      <w:fldChar w:fldCharType="begin"/>
    </w:r>
    <w:r>
      <w:instrText xml:space="preserve"> PAGE </w:instrText>
    </w:r>
    <w:r>
      <w:fldChar w:fldCharType="separate"/>
    </w:r>
    <w:r>
      <w:t>243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C3B7B">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2351E69F">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EB358DF">
      <w:pPr>
        <w:pStyle w:val="35"/>
        <w:ind w:firstLine="360" w:firstLineChars="200"/>
        <w:rPr>
          <w:rFonts w:ascii="Times New Roman" w:hAnsi="Times New Roman" w:cs="Times New Roman"/>
          <w:lang w:eastAsia="zh-CN"/>
        </w:rPr>
      </w:pPr>
      <w:r>
        <w:rPr>
          <w:rStyle w:val="56"/>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B3F49">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3"/>
      <w:numFmt w:val="decimal"/>
      <w:suff w:val="space"/>
      <w:lvlText w:val="%1."/>
      <w:lvlJc w:val="left"/>
    </w:lvl>
  </w:abstractNum>
  <w:abstractNum w:abstractNumId="1">
    <w:nsid w:val="5F471D00"/>
    <w:multiLevelType w:val="singleLevel"/>
    <w:tmpl w:val="5F471D0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lMzQ1NTJmMDEzZGU3NWJkM2Q5ZDk1NjQ5YzI2Mzg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BB8"/>
    <w:rsid w:val="00300F8D"/>
    <w:rsid w:val="00301A0A"/>
    <w:rsid w:val="003030A6"/>
    <w:rsid w:val="003059F4"/>
    <w:rsid w:val="0030689E"/>
    <w:rsid w:val="003068D7"/>
    <w:rsid w:val="00306CC7"/>
    <w:rsid w:val="00306D70"/>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76634"/>
    <w:rsid w:val="013F4369"/>
    <w:rsid w:val="018E166C"/>
    <w:rsid w:val="01B02EAD"/>
    <w:rsid w:val="02197498"/>
    <w:rsid w:val="022D4776"/>
    <w:rsid w:val="02923124"/>
    <w:rsid w:val="02977E36"/>
    <w:rsid w:val="029B6737"/>
    <w:rsid w:val="029E16D8"/>
    <w:rsid w:val="02D3433D"/>
    <w:rsid w:val="02E7478A"/>
    <w:rsid w:val="03000A08"/>
    <w:rsid w:val="031D357C"/>
    <w:rsid w:val="03454DED"/>
    <w:rsid w:val="03574019"/>
    <w:rsid w:val="03885E3A"/>
    <w:rsid w:val="03B540BC"/>
    <w:rsid w:val="03C545D6"/>
    <w:rsid w:val="0438160E"/>
    <w:rsid w:val="04472087"/>
    <w:rsid w:val="04541105"/>
    <w:rsid w:val="046928C3"/>
    <w:rsid w:val="046A589F"/>
    <w:rsid w:val="046D5737"/>
    <w:rsid w:val="04FF37B4"/>
    <w:rsid w:val="054934A8"/>
    <w:rsid w:val="057730B9"/>
    <w:rsid w:val="05AB059E"/>
    <w:rsid w:val="05DC71B6"/>
    <w:rsid w:val="06005601"/>
    <w:rsid w:val="065E4A58"/>
    <w:rsid w:val="06665122"/>
    <w:rsid w:val="06776E83"/>
    <w:rsid w:val="067B5829"/>
    <w:rsid w:val="068C36FE"/>
    <w:rsid w:val="06C4362D"/>
    <w:rsid w:val="06C43DE0"/>
    <w:rsid w:val="06C64491"/>
    <w:rsid w:val="071E3DC1"/>
    <w:rsid w:val="074A1FE5"/>
    <w:rsid w:val="07512DF9"/>
    <w:rsid w:val="07577FFE"/>
    <w:rsid w:val="076A7107"/>
    <w:rsid w:val="077305E3"/>
    <w:rsid w:val="079C4767"/>
    <w:rsid w:val="07A47412"/>
    <w:rsid w:val="07A74E36"/>
    <w:rsid w:val="080A52B6"/>
    <w:rsid w:val="08855EA9"/>
    <w:rsid w:val="08A4313C"/>
    <w:rsid w:val="08C327C4"/>
    <w:rsid w:val="08CC7876"/>
    <w:rsid w:val="08E20A1C"/>
    <w:rsid w:val="099A177A"/>
    <w:rsid w:val="09A71123"/>
    <w:rsid w:val="09A727B4"/>
    <w:rsid w:val="0A1F5137"/>
    <w:rsid w:val="0A535C69"/>
    <w:rsid w:val="0A623C83"/>
    <w:rsid w:val="0A93506B"/>
    <w:rsid w:val="0ACE0286"/>
    <w:rsid w:val="0B076D7D"/>
    <w:rsid w:val="0B1B7594"/>
    <w:rsid w:val="0B9351EB"/>
    <w:rsid w:val="0B9E3040"/>
    <w:rsid w:val="0B9E48FD"/>
    <w:rsid w:val="0BA33F53"/>
    <w:rsid w:val="0BB622A7"/>
    <w:rsid w:val="0C3E42BE"/>
    <w:rsid w:val="0C4905FF"/>
    <w:rsid w:val="0C7301CA"/>
    <w:rsid w:val="0CB1696F"/>
    <w:rsid w:val="0D4806BF"/>
    <w:rsid w:val="0E024D74"/>
    <w:rsid w:val="0E0B0A7A"/>
    <w:rsid w:val="0E484301"/>
    <w:rsid w:val="0E5F1249"/>
    <w:rsid w:val="0E693D2B"/>
    <w:rsid w:val="0E855450"/>
    <w:rsid w:val="0EB72584"/>
    <w:rsid w:val="0EF82D0F"/>
    <w:rsid w:val="0FC3094C"/>
    <w:rsid w:val="102B5AE8"/>
    <w:rsid w:val="105C3E76"/>
    <w:rsid w:val="10611A0A"/>
    <w:rsid w:val="108B186A"/>
    <w:rsid w:val="10A018FD"/>
    <w:rsid w:val="10AC5059"/>
    <w:rsid w:val="10B246CE"/>
    <w:rsid w:val="10EE7255"/>
    <w:rsid w:val="10F159F3"/>
    <w:rsid w:val="112278CE"/>
    <w:rsid w:val="11BB2435"/>
    <w:rsid w:val="11DA2882"/>
    <w:rsid w:val="12766C8D"/>
    <w:rsid w:val="127A292F"/>
    <w:rsid w:val="1282121E"/>
    <w:rsid w:val="12B3780B"/>
    <w:rsid w:val="12D31BDC"/>
    <w:rsid w:val="13012641"/>
    <w:rsid w:val="13105389"/>
    <w:rsid w:val="131B6875"/>
    <w:rsid w:val="132C55F9"/>
    <w:rsid w:val="13337CD2"/>
    <w:rsid w:val="13703B82"/>
    <w:rsid w:val="137D3871"/>
    <w:rsid w:val="13FD7A4B"/>
    <w:rsid w:val="141B1890"/>
    <w:rsid w:val="144C513E"/>
    <w:rsid w:val="14614A30"/>
    <w:rsid w:val="14C10CB3"/>
    <w:rsid w:val="14DC6FEA"/>
    <w:rsid w:val="152F2422"/>
    <w:rsid w:val="15D702DB"/>
    <w:rsid w:val="15F36B10"/>
    <w:rsid w:val="15F67B8F"/>
    <w:rsid w:val="15F873A5"/>
    <w:rsid w:val="16366F23"/>
    <w:rsid w:val="16486A32"/>
    <w:rsid w:val="16690670"/>
    <w:rsid w:val="168459D5"/>
    <w:rsid w:val="16CD33F4"/>
    <w:rsid w:val="16E1457B"/>
    <w:rsid w:val="16F26FDC"/>
    <w:rsid w:val="16FC038D"/>
    <w:rsid w:val="173B7FC9"/>
    <w:rsid w:val="17610ABD"/>
    <w:rsid w:val="17721137"/>
    <w:rsid w:val="177D4542"/>
    <w:rsid w:val="177F45B0"/>
    <w:rsid w:val="178F7340"/>
    <w:rsid w:val="17E75995"/>
    <w:rsid w:val="183668EE"/>
    <w:rsid w:val="1849373C"/>
    <w:rsid w:val="185E3411"/>
    <w:rsid w:val="18633943"/>
    <w:rsid w:val="186D3271"/>
    <w:rsid w:val="18B86094"/>
    <w:rsid w:val="19450E59"/>
    <w:rsid w:val="19813FB0"/>
    <w:rsid w:val="19C778A5"/>
    <w:rsid w:val="19D00461"/>
    <w:rsid w:val="19F14713"/>
    <w:rsid w:val="1A233853"/>
    <w:rsid w:val="1A3D4C07"/>
    <w:rsid w:val="1A6C7B89"/>
    <w:rsid w:val="1AE42BDE"/>
    <w:rsid w:val="1B330726"/>
    <w:rsid w:val="1B4E6695"/>
    <w:rsid w:val="1B5A4D98"/>
    <w:rsid w:val="1B610368"/>
    <w:rsid w:val="1B6C51E3"/>
    <w:rsid w:val="1B9374A3"/>
    <w:rsid w:val="1BA96B88"/>
    <w:rsid w:val="1BF40D7F"/>
    <w:rsid w:val="1C6A496F"/>
    <w:rsid w:val="1D6A734C"/>
    <w:rsid w:val="1DD063A3"/>
    <w:rsid w:val="1DED6684"/>
    <w:rsid w:val="1E157818"/>
    <w:rsid w:val="1F125176"/>
    <w:rsid w:val="1F374DC3"/>
    <w:rsid w:val="1FFE6BEE"/>
    <w:rsid w:val="1FFF2213"/>
    <w:rsid w:val="20387CC7"/>
    <w:rsid w:val="20825C93"/>
    <w:rsid w:val="20BA340F"/>
    <w:rsid w:val="20D32B8C"/>
    <w:rsid w:val="210448FA"/>
    <w:rsid w:val="210E4F38"/>
    <w:rsid w:val="213351E0"/>
    <w:rsid w:val="2161326A"/>
    <w:rsid w:val="216F7993"/>
    <w:rsid w:val="217F6E19"/>
    <w:rsid w:val="21825E03"/>
    <w:rsid w:val="21BB220E"/>
    <w:rsid w:val="22023065"/>
    <w:rsid w:val="221D5633"/>
    <w:rsid w:val="22385341"/>
    <w:rsid w:val="2269182F"/>
    <w:rsid w:val="226C3D0D"/>
    <w:rsid w:val="22744381"/>
    <w:rsid w:val="232C56DA"/>
    <w:rsid w:val="236A023F"/>
    <w:rsid w:val="2376637F"/>
    <w:rsid w:val="23C30DB2"/>
    <w:rsid w:val="241A569F"/>
    <w:rsid w:val="2420680B"/>
    <w:rsid w:val="24684FB6"/>
    <w:rsid w:val="24D0409C"/>
    <w:rsid w:val="24EB1922"/>
    <w:rsid w:val="251B35D9"/>
    <w:rsid w:val="252427C9"/>
    <w:rsid w:val="252517D7"/>
    <w:rsid w:val="25446C5E"/>
    <w:rsid w:val="25482BC9"/>
    <w:rsid w:val="25592FB3"/>
    <w:rsid w:val="258C521D"/>
    <w:rsid w:val="25B06BCF"/>
    <w:rsid w:val="25CE1D34"/>
    <w:rsid w:val="266D15E5"/>
    <w:rsid w:val="26C171CB"/>
    <w:rsid w:val="26FB6A89"/>
    <w:rsid w:val="27235EBA"/>
    <w:rsid w:val="27466D84"/>
    <w:rsid w:val="2761756F"/>
    <w:rsid w:val="2785369B"/>
    <w:rsid w:val="27960BB1"/>
    <w:rsid w:val="27DE22BF"/>
    <w:rsid w:val="2805374C"/>
    <w:rsid w:val="28054429"/>
    <w:rsid w:val="283B1374"/>
    <w:rsid w:val="285A1251"/>
    <w:rsid w:val="285F0DD3"/>
    <w:rsid w:val="28616274"/>
    <w:rsid w:val="286E52FC"/>
    <w:rsid w:val="287D3E84"/>
    <w:rsid w:val="28CB5762"/>
    <w:rsid w:val="2919027C"/>
    <w:rsid w:val="291F36A4"/>
    <w:rsid w:val="29565C76"/>
    <w:rsid w:val="29606D8E"/>
    <w:rsid w:val="296A7617"/>
    <w:rsid w:val="29710966"/>
    <w:rsid w:val="29F400BC"/>
    <w:rsid w:val="29FF45A0"/>
    <w:rsid w:val="2A135BAE"/>
    <w:rsid w:val="2A1E50CD"/>
    <w:rsid w:val="2A3A4796"/>
    <w:rsid w:val="2A3C6CBE"/>
    <w:rsid w:val="2A4D0970"/>
    <w:rsid w:val="2A51426B"/>
    <w:rsid w:val="2AAE29EC"/>
    <w:rsid w:val="2ABB7DF2"/>
    <w:rsid w:val="2ADC4E06"/>
    <w:rsid w:val="2ADE448E"/>
    <w:rsid w:val="2B6E158B"/>
    <w:rsid w:val="2BCC4943"/>
    <w:rsid w:val="2BD335BF"/>
    <w:rsid w:val="2BD902EC"/>
    <w:rsid w:val="2C042AFF"/>
    <w:rsid w:val="2C0E6F3E"/>
    <w:rsid w:val="2C340A51"/>
    <w:rsid w:val="2C3E45FE"/>
    <w:rsid w:val="2C564223"/>
    <w:rsid w:val="2CC26B9B"/>
    <w:rsid w:val="2CD21732"/>
    <w:rsid w:val="2CDF639B"/>
    <w:rsid w:val="2D4143A7"/>
    <w:rsid w:val="2D41718A"/>
    <w:rsid w:val="2DA91509"/>
    <w:rsid w:val="2E135BB8"/>
    <w:rsid w:val="2E386092"/>
    <w:rsid w:val="2E3911FF"/>
    <w:rsid w:val="2E5161D8"/>
    <w:rsid w:val="2EE737A0"/>
    <w:rsid w:val="2EF21CAB"/>
    <w:rsid w:val="2F3841ED"/>
    <w:rsid w:val="2F3F780F"/>
    <w:rsid w:val="2F6F7D2B"/>
    <w:rsid w:val="2FBE110A"/>
    <w:rsid w:val="30065A5D"/>
    <w:rsid w:val="30505CF5"/>
    <w:rsid w:val="306C4840"/>
    <w:rsid w:val="30AE20BC"/>
    <w:rsid w:val="30B1408E"/>
    <w:rsid w:val="30C4779A"/>
    <w:rsid w:val="30CE71F9"/>
    <w:rsid w:val="30EF67E5"/>
    <w:rsid w:val="310311E3"/>
    <w:rsid w:val="310E785B"/>
    <w:rsid w:val="315E2912"/>
    <w:rsid w:val="31D408D5"/>
    <w:rsid w:val="31F4722E"/>
    <w:rsid w:val="323A2F9B"/>
    <w:rsid w:val="32887790"/>
    <w:rsid w:val="328D7DE2"/>
    <w:rsid w:val="329B6479"/>
    <w:rsid w:val="32BA571C"/>
    <w:rsid w:val="32EE6C13"/>
    <w:rsid w:val="33066B2A"/>
    <w:rsid w:val="33204F3D"/>
    <w:rsid w:val="33A73676"/>
    <w:rsid w:val="33D10AFB"/>
    <w:rsid w:val="33DE3620"/>
    <w:rsid w:val="33E96F45"/>
    <w:rsid w:val="33F04E1E"/>
    <w:rsid w:val="34115391"/>
    <w:rsid w:val="344D3544"/>
    <w:rsid w:val="34535CDA"/>
    <w:rsid w:val="351617D7"/>
    <w:rsid w:val="351B64B5"/>
    <w:rsid w:val="351C7EED"/>
    <w:rsid w:val="35AE5FE3"/>
    <w:rsid w:val="35B448A7"/>
    <w:rsid w:val="35C00993"/>
    <w:rsid w:val="35DA7934"/>
    <w:rsid w:val="35DB1C68"/>
    <w:rsid w:val="36F4767F"/>
    <w:rsid w:val="36F91964"/>
    <w:rsid w:val="374E17CB"/>
    <w:rsid w:val="378418A7"/>
    <w:rsid w:val="379F21F8"/>
    <w:rsid w:val="37BD4202"/>
    <w:rsid w:val="37D81322"/>
    <w:rsid w:val="383C102E"/>
    <w:rsid w:val="38422798"/>
    <w:rsid w:val="386709AA"/>
    <w:rsid w:val="387D642F"/>
    <w:rsid w:val="38C65902"/>
    <w:rsid w:val="38F178D5"/>
    <w:rsid w:val="38F211A8"/>
    <w:rsid w:val="3919772A"/>
    <w:rsid w:val="39301B00"/>
    <w:rsid w:val="393A55BD"/>
    <w:rsid w:val="395F1099"/>
    <w:rsid w:val="397A040E"/>
    <w:rsid w:val="39BC12DD"/>
    <w:rsid w:val="3A310809"/>
    <w:rsid w:val="3A357AAD"/>
    <w:rsid w:val="3A45279A"/>
    <w:rsid w:val="3A457C17"/>
    <w:rsid w:val="3A6C03DB"/>
    <w:rsid w:val="3A6E7A8D"/>
    <w:rsid w:val="3A7645E5"/>
    <w:rsid w:val="3A9318CD"/>
    <w:rsid w:val="3AAF722D"/>
    <w:rsid w:val="3AC52161"/>
    <w:rsid w:val="3AC705C2"/>
    <w:rsid w:val="3B0D0B61"/>
    <w:rsid w:val="3B3339E2"/>
    <w:rsid w:val="3B4130B9"/>
    <w:rsid w:val="3B666444"/>
    <w:rsid w:val="3BBF0327"/>
    <w:rsid w:val="3BE02AA4"/>
    <w:rsid w:val="3BF869C9"/>
    <w:rsid w:val="3C0E4892"/>
    <w:rsid w:val="3C327705"/>
    <w:rsid w:val="3CA502EA"/>
    <w:rsid w:val="3CE50817"/>
    <w:rsid w:val="3CE5636E"/>
    <w:rsid w:val="3CE745E5"/>
    <w:rsid w:val="3D051CAA"/>
    <w:rsid w:val="3D280CCE"/>
    <w:rsid w:val="3D4027C3"/>
    <w:rsid w:val="3D6C2304"/>
    <w:rsid w:val="3DAB2720"/>
    <w:rsid w:val="3DB46376"/>
    <w:rsid w:val="3DBA137E"/>
    <w:rsid w:val="3DD55B79"/>
    <w:rsid w:val="3E287CA5"/>
    <w:rsid w:val="3E3A5788"/>
    <w:rsid w:val="3E971150"/>
    <w:rsid w:val="3EA90890"/>
    <w:rsid w:val="3ED16F9F"/>
    <w:rsid w:val="3ED95EA9"/>
    <w:rsid w:val="3EFE309E"/>
    <w:rsid w:val="3F512870"/>
    <w:rsid w:val="3F537959"/>
    <w:rsid w:val="3F6236D0"/>
    <w:rsid w:val="3F7A1CE3"/>
    <w:rsid w:val="3F94702A"/>
    <w:rsid w:val="3F9E79D3"/>
    <w:rsid w:val="3FE06D3B"/>
    <w:rsid w:val="3FE2521F"/>
    <w:rsid w:val="40325C23"/>
    <w:rsid w:val="406C1549"/>
    <w:rsid w:val="40C537DA"/>
    <w:rsid w:val="40D309FB"/>
    <w:rsid w:val="41043DCC"/>
    <w:rsid w:val="4195506F"/>
    <w:rsid w:val="41D71CA1"/>
    <w:rsid w:val="42027EEF"/>
    <w:rsid w:val="4233454F"/>
    <w:rsid w:val="42343097"/>
    <w:rsid w:val="42A77BCB"/>
    <w:rsid w:val="42FB6DBC"/>
    <w:rsid w:val="4320610A"/>
    <w:rsid w:val="43527DA5"/>
    <w:rsid w:val="43D50508"/>
    <w:rsid w:val="43E74852"/>
    <w:rsid w:val="441113B5"/>
    <w:rsid w:val="444961F3"/>
    <w:rsid w:val="44793B21"/>
    <w:rsid w:val="44F51BC3"/>
    <w:rsid w:val="44FC6D71"/>
    <w:rsid w:val="45093CD4"/>
    <w:rsid w:val="452E75AA"/>
    <w:rsid w:val="45473CA4"/>
    <w:rsid w:val="454D7023"/>
    <w:rsid w:val="455B0488"/>
    <w:rsid w:val="458647B0"/>
    <w:rsid w:val="45F32B73"/>
    <w:rsid w:val="466B4766"/>
    <w:rsid w:val="468039CF"/>
    <w:rsid w:val="468054CC"/>
    <w:rsid w:val="469F3291"/>
    <w:rsid w:val="46F07AD6"/>
    <w:rsid w:val="47460F43"/>
    <w:rsid w:val="47E130B4"/>
    <w:rsid w:val="485A3517"/>
    <w:rsid w:val="48826C2D"/>
    <w:rsid w:val="489573EB"/>
    <w:rsid w:val="48A06FF6"/>
    <w:rsid w:val="48EB7FCA"/>
    <w:rsid w:val="48FD1AAC"/>
    <w:rsid w:val="49214880"/>
    <w:rsid w:val="49462819"/>
    <w:rsid w:val="494B70D5"/>
    <w:rsid w:val="497E2FBA"/>
    <w:rsid w:val="49CF100D"/>
    <w:rsid w:val="49D325C2"/>
    <w:rsid w:val="4A2C4985"/>
    <w:rsid w:val="4A520AB3"/>
    <w:rsid w:val="4A696427"/>
    <w:rsid w:val="4A8D2CF1"/>
    <w:rsid w:val="4AF83480"/>
    <w:rsid w:val="4B096356"/>
    <w:rsid w:val="4B1A4535"/>
    <w:rsid w:val="4B6D570B"/>
    <w:rsid w:val="4B85051F"/>
    <w:rsid w:val="4C0F3FD0"/>
    <w:rsid w:val="4C806421"/>
    <w:rsid w:val="4CA0475B"/>
    <w:rsid w:val="4CDF4A30"/>
    <w:rsid w:val="4D0E1A0D"/>
    <w:rsid w:val="4D2275DA"/>
    <w:rsid w:val="4D450A84"/>
    <w:rsid w:val="4D5B7255"/>
    <w:rsid w:val="4DE463DE"/>
    <w:rsid w:val="4DF57EEC"/>
    <w:rsid w:val="4DFB11F6"/>
    <w:rsid w:val="4DFF76D6"/>
    <w:rsid w:val="4E220EE9"/>
    <w:rsid w:val="4E274480"/>
    <w:rsid w:val="4E3009A0"/>
    <w:rsid w:val="4E503B4D"/>
    <w:rsid w:val="4E774DAA"/>
    <w:rsid w:val="4EBE76C9"/>
    <w:rsid w:val="4EF13B48"/>
    <w:rsid w:val="4EF703E0"/>
    <w:rsid w:val="4F343028"/>
    <w:rsid w:val="4FAC03B8"/>
    <w:rsid w:val="4FB76013"/>
    <w:rsid w:val="502065F2"/>
    <w:rsid w:val="504127DF"/>
    <w:rsid w:val="50577908"/>
    <w:rsid w:val="50776BB0"/>
    <w:rsid w:val="50EB36A6"/>
    <w:rsid w:val="513A53AC"/>
    <w:rsid w:val="5198191D"/>
    <w:rsid w:val="51C5369D"/>
    <w:rsid w:val="520436A6"/>
    <w:rsid w:val="521A6BBB"/>
    <w:rsid w:val="527D5E79"/>
    <w:rsid w:val="52845B17"/>
    <w:rsid w:val="529B5ED7"/>
    <w:rsid w:val="529E7462"/>
    <w:rsid w:val="52FD030C"/>
    <w:rsid w:val="533E5655"/>
    <w:rsid w:val="5371731E"/>
    <w:rsid w:val="537431D7"/>
    <w:rsid w:val="538928D5"/>
    <w:rsid w:val="53DC22CC"/>
    <w:rsid w:val="53F54B1F"/>
    <w:rsid w:val="544B74D7"/>
    <w:rsid w:val="54547704"/>
    <w:rsid w:val="546B6E19"/>
    <w:rsid w:val="548254F0"/>
    <w:rsid w:val="5485514F"/>
    <w:rsid w:val="548D558B"/>
    <w:rsid w:val="549A6C2B"/>
    <w:rsid w:val="54F2189F"/>
    <w:rsid w:val="55082A65"/>
    <w:rsid w:val="55363AB8"/>
    <w:rsid w:val="556B595C"/>
    <w:rsid w:val="557D26BD"/>
    <w:rsid w:val="55BB0299"/>
    <w:rsid w:val="55C53EA6"/>
    <w:rsid w:val="55F85CCB"/>
    <w:rsid w:val="565B7FD3"/>
    <w:rsid w:val="56DC57FE"/>
    <w:rsid w:val="56E8263F"/>
    <w:rsid w:val="57001653"/>
    <w:rsid w:val="574309DD"/>
    <w:rsid w:val="579E4146"/>
    <w:rsid w:val="57D4668D"/>
    <w:rsid w:val="57DF29E8"/>
    <w:rsid w:val="58426C15"/>
    <w:rsid w:val="58A509C8"/>
    <w:rsid w:val="59016536"/>
    <w:rsid w:val="590C29FE"/>
    <w:rsid w:val="590F51D9"/>
    <w:rsid w:val="59701D6E"/>
    <w:rsid w:val="59890551"/>
    <w:rsid w:val="598A53A3"/>
    <w:rsid w:val="59A537CB"/>
    <w:rsid w:val="59AE18CE"/>
    <w:rsid w:val="59F26FCA"/>
    <w:rsid w:val="5A01005C"/>
    <w:rsid w:val="5A0D04FE"/>
    <w:rsid w:val="5A2B7E5E"/>
    <w:rsid w:val="5A4D6600"/>
    <w:rsid w:val="5A76233F"/>
    <w:rsid w:val="5A844281"/>
    <w:rsid w:val="5AA07F40"/>
    <w:rsid w:val="5B071AB3"/>
    <w:rsid w:val="5B354C94"/>
    <w:rsid w:val="5B4568B3"/>
    <w:rsid w:val="5B597A4B"/>
    <w:rsid w:val="5B650D9F"/>
    <w:rsid w:val="5B7C4A30"/>
    <w:rsid w:val="5B9404C9"/>
    <w:rsid w:val="5BBB5A45"/>
    <w:rsid w:val="5BDE0537"/>
    <w:rsid w:val="5BF47881"/>
    <w:rsid w:val="5C367B48"/>
    <w:rsid w:val="5C3B6751"/>
    <w:rsid w:val="5C3C3BB3"/>
    <w:rsid w:val="5C994C58"/>
    <w:rsid w:val="5CA006F4"/>
    <w:rsid w:val="5CE95B0C"/>
    <w:rsid w:val="5D2B4E2A"/>
    <w:rsid w:val="5D3A1415"/>
    <w:rsid w:val="5D4D387D"/>
    <w:rsid w:val="5D6851F5"/>
    <w:rsid w:val="5DB821E5"/>
    <w:rsid w:val="5E531B97"/>
    <w:rsid w:val="5EE61D69"/>
    <w:rsid w:val="5F144DEA"/>
    <w:rsid w:val="5F7E3018"/>
    <w:rsid w:val="5FE05068"/>
    <w:rsid w:val="606C2E49"/>
    <w:rsid w:val="60A623D0"/>
    <w:rsid w:val="60D2227B"/>
    <w:rsid w:val="60D87B58"/>
    <w:rsid w:val="60F1388E"/>
    <w:rsid w:val="61132F80"/>
    <w:rsid w:val="61414EC5"/>
    <w:rsid w:val="6153769A"/>
    <w:rsid w:val="617F3339"/>
    <w:rsid w:val="61941252"/>
    <w:rsid w:val="61A77079"/>
    <w:rsid w:val="61B35F3E"/>
    <w:rsid w:val="61CC3EFC"/>
    <w:rsid w:val="61E44C31"/>
    <w:rsid w:val="62D6732E"/>
    <w:rsid w:val="62FC6E08"/>
    <w:rsid w:val="63062799"/>
    <w:rsid w:val="634816F2"/>
    <w:rsid w:val="63550013"/>
    <w:rsid w:val="638279B4"/>
    <w:rsid w:val="63911317"/>
    <w:rsid w:val="639C64A0"/>
    <w:rsid w:val="63C86B19"/>
    <w:rsid w:val="63E018D1"/>
    <w:rsid w:val="64017803"/>
    <w:rsid w:val="64817D3D"/>
    <w:rsid w:val="648B3FB8"/>
    <w:rsid w:val="64B1537D"/>
    <w:rsid w:val="650F7961"/>
    <w:rsid w:val="65454382"/>
    <w:rsid w:val="655602FA"/>
    <w:rsid w:val="655D7FBE"/>
    <w:rsid w:val="65643470"/>
    <w:rsid w:val="657038D9"/>
    <w:rsid w:val="657047E3"/>
    <w:rsid w:val="65FF1E91"/>
    <w:rsid w:val="6621558E"/>
    <w:rsid w:val="663A7B06"/>
    <w:rsid w:val="666E19D3"/>
    <w:rsid w:val="66AE5C45"/>
    <w:rsid w:val="67330E07"/>
    <w:rsid w:val="673D0A8B"/>
    <w:rsid w:val="67675C75"/>
    <w:rsid w:val="676C6D40"/>
    <w:rsid w:val="676F770B"/>
    <w:rsid w:val="67B37570"/>
    <w:rsid w:val="67B425D8"/>
    <w:rsid w:val="67B43BAE"/>
    <w:rsid w:val="67CB1F96"/>
    <w:rsid w:val="684F3C7A"/>
    <w:rsid w:val="6854579B"/>
    <w:rsid w:val="685C7BDC"/>
    <w:rsid w:val="68675C25"/>
    <w:rsid w:val="689513D5"/>
    <w:rsid w:val="68BB4E93"/>
    <w:rsid w:val="694B0F1C"/>
    <w:rsid w:val="698508F1"/>
    <w:rsid w:val="6A5275F9"/>
    <w:rsid w:val="6A633B5B"/>
    <w:rsid w:val="6AA410A4"/>
    <w:rsid w:val="6ABD617F"/>
    <w:rsid w:val="6ABE6E95"/>
    <w:rsid w:val="6AC25622"/>
    <w:rsid w:val="6AD30444"/>
    <w:rsid w:val="6AEC3960"/>
    <w:rsid w:val="6B261B6A"/>
    <w:rsid w:val="6B334618"/>
    <w:rsid w:val="6B57195A"/>
    <w:rsid w:val="6B6607F6"/>
    <w:rsid w:val="6B8320C0"/>
    <w:rsid w:val="6B972B01"/>
    <w:rsid w:val="6B99234A"/>
    <w:rsid w:val="6BAB2CF1"/>
    <w:rsid w:val="6BB95EE5"/>
    <w:rsid w:val="6BCE4EB6"/>
    <w:rsid w:val="6BD154CC"/>
    <w:rsid w:val="6C0B6409"/>
    <w:rsid w:val="6C1B1BAF"/>
    <w:rsid w:val="6C5D6CCE"/>
    <w:rsid w:val="6C6E6699"/>
    <w:rsid w:val="6CC92D08"/>
    <w:rsid w:val="6D04605E"/>
    <w:rsid w:val="6D2B65E5"/>
    <w:rsid w:val="6D9D294C"/>
    <w:rsid w:val="6DAF2C53"/>
    <w:rsid w:val="6E071562"/>
    <w:rsid w:val="6E1E6B73"/>
    <w:rsid w:val="6E3929AE"/>
    <w:rsid w:val="6E6508B3"/>
    <w:rsid w:val="6E80328F"/>
    <w:rsid w:val="6E8E1211"/>
    <w:rsid w:val="6EC922AC"/>
    <w:rsid w:val="6EDE7D98"/>
    <w:rsid w:val="6EE50815"/>
    <w:rsid w:val="6EFF64A4"/>
    <w:rsid w:val="6F083740"/>
    <w:rsid w:val="6F0F06CF"/>
    <w:rsid w:val="6F286FD3"/>
    <w:rsid w:val="6F3C1174"/>
    <w:rsid w:val="6F407C72"/>
    <w:rsid w:val="6F562B80"/>
    <w:rsid w:val="6FB9145D"/>
    <w:rsid w:val="6FEF1B60"/>
    <w:rsid w:val="709F6941"/>
    <w:rsid w:val="70C0289D"/>
    <w:rsid w:val="70C31D6B"/>
    <w:rsid w:val="70DE72DA"/>
    <w:rsid w:val="70F74CDB"/>
    <w:rsid w:val="7102236F"/>
    <w:rsid w:val="71904B0C"/>
    <w:rsid w:val="71A96989"/>
    <w:rsid w:val="71B36BC8"/>
    <w:rsid w:val="71BF212E"/>
    <w:rsid w:val="71C73801"/>
    <w:rsid w:val="71CE671B"/>
    <w:rsid w:val="71D36D7A"/>
    <w:rsid w:val="71F012BA"/>
    <w:rsid w:val="72100761"/>
    <w:rsid w:val="7228490E"/>
    <w:rsid w:val="72324A62"/>
    <w:rsid w:val="7233601F"/>
    <w:rsid w:val="7256698F"/>
    <w:rsid w:val="727E14C2"/>
    <w:rsid w:val="73010D7B"/>
    <w:rsid w:val="7397045C"/>
    <w:rsid w:val="73A27146"/>
    <w:rsid w:val="73D9657F"/>
    <w:rsid w:val="74024791"/>
    <w:rsid w:val="740A314B"/>
    <w:rsid w:val="74533F62"/>
    <w:rsid w:val="74891E24"/>
    <w:rsid w:val="74BE00F6"/>
    <w:rsid w:val="74D527BF"/>
    <w:rsid w:val="75056307"/>
    <w:rsid w:val="75434A0D"/>
    <w:rsid w:val="758F00AE"/>
    <w:rsid w:val="75D31135"/>
    <w:rsid w:val="76507BE4"/>
    <w:rsid w:val="76C667BC"/>
    <w:rsid w:val="76CC2DBF"/>
    <w:rsid w:val="76FA11CE"/>
    <w:rsid w:val="77306C9E"/>
    <w:rsid w:val="773A54BC"/>
    <w:rsid w:val="776F0CF3"/>
    <w:rsid w:val="77CE6886"/>
    <w:rsid w:val="788555E3"/>
    <w:rsid w:val="78CD3662"/>
    <w:rsid w:val="78DB67FF"/>
    <w:rsid w:val="790B6785"/>
    <w:rsid w:val="7937127B"/>
    <w:rsid w:val="796E49AC"/>
    <w:rsid w:val="79FE79DA"/>
    <w:rsid w:val="7A08419A"/>
    <w:rsid w:val="7A156350"/>
    <w:rsid w:val="7A29136C"/>
    <w:rsid w:val="7A2C61E7"/>
    <w:rsid w:val="7A735C17"/>
    <w:rsid w:val="7A887546"/>
    <w:rsid w:val="7A902F4D"/>
    <w:rsid w:val="7AA71D7C"/>
    <w:rsid w:val="7AAD5FEE"/>
    <w:rsid w:val="7B147076"/>
    <w:rsid w:val="7B4638D7"/>
    <w:rsid w:val="7B465E48"/>
    <w:rsid w:val="7B65768B"/>
    <w:rsid w:val="7B964679"/>
    <w:rsid w:val="7BDE45F7"/>
    <w:rsid w:val="7BE205C8"/>
    <w:rsid w:val="7C195B55"/>
    <w:rsid w:val="7C3D7C78"/>
    <w:rsid w:val="7C466CEA"/>
    <w:rsid w:val="7CB51983"/>
    <w:rsid w:val="7CF312BE"/>
    <w:rsid w:val="7CFA0E6B"/>
    <w:rsid w:val="7D442303"/>
    <w:rsid w:val="7D9120E2"/>
    <w:rsid w:val="7DF9570E"/>
    <w:rsid w:val="7E014595"/>
    <w:rsid w:val="7E0C73F1"/>
    <w:rsid w:val="7E295D6A"/>
    <w:rsid w:val="7E5333C7"/>
    <w:rsid w:val="7E695E0F"/>
    <w:rsid w:val="7E7236B4"/>
    <w:rsid w:val="7E910D86"/>
    <w:rsid w:val="7F6E31A6"/>
    <w:rsid w:val="7FC317DF"/>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4"/>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94"/>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193"/>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179"/>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292"/>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195"/>
    <w:autoRedefine/>
    <w:qFormat/>
    <w:uiPriority w:val="0"/>
    <w:pPr>
      <w:keepNext/>
      <w:keepLines/>
      <w:ind w:firstLine="200" w:firstLineChars="200"/>
      <w:outlineLvl w:val="5"/>
    </w:pPr>
    <w:rPr>
      <w:rFonts w:hAnsi="Arial"/>
    </w:rPr>
  </w:style>
  <w:style w:type="paragraph" w:styleId="11">
    <w:name w:val="heading 7"/>
    <w:basedOn w:val="1"/>
    <w:next w:val="1"/>
    <w:link w:val="272"/>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267"/>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198"/>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autoRedefine/>
    <w:unhideWhenUsed/>
    <w:qFormat/>
    <w:uiPriority w:val="1"/>
  </w:style>
  <w:style w:type="table" w:default="1" w:styleId="46">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link w:val="214"/>
    <w:autoRedefine/>
    <w:qFormat/>
    <w:uiPriority w:val="0"/>
    <w:pPr>
      <w:spacing w:after="120"/>
    </w:pPr>
  </w:style>
  <w:style w:type="paragraph" w:customStyle="1" w:styleId="3">
    <w:name w:val="目录 53"/>
    <w:next w:val="1"/>
    <w:qFormat/>
    <w:uiPriority w:val="99"/>
    <w:pPr>
      <w:wordWrap w:val="0"/>
      <w:ind w:left="1275"/>
      <w:jc w:val="both"/>
    </w:pPr>
    <w:rPr>
      <w:rFonts w:ascii="Calibri" w:hAnsi="Calibri" w:eastAsia="宋体" w:cs="Times New Roman"/>
      <w:sz w:val="21"/>
      <w:lang w:val="en-US" w:eastAsia="zh-CN" w:bidi="ar-SA"/>
    </w:rPr>
  </w:style>
  <w:style w:type="paragraph" w:styleId="10">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autoRedefine/>
    <w:qFormat/>
    <w:uiPriority w:val="39"/>
    <w:pPr>
      <w:ind w:left="1260"/>
      <w:jc w:val="left"/>
    </w:pPr>
    <w:rPr>
      <w:sz w:val="18"/>
      <w:szCs w:val="18"/>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204"/>
    <w:autoRedefine/>
    <w:qFormat/>
    <w:uiPriority w:val="0"/>
    <w:pPr>
      <w:shd w:val="clear" w:color="auto" w:fill="000080"/>
    </w:pPr>
  </w:style>
  <w:style w:type="paragraph" w:styleId="17">
    <w:name w:val="annotation text"/>
    <w:basedOn w:val="1"/>
    <w:link w:val="289"/>
    <w:autoRedefine/>
    <w:qFormat/>
    <w:uiPriority w:val="99"/>
    <w:pPr>
      <w:jc w:val="left"/>
    </w:pPr>
  </w:style>
  <w:style w:type="paragraph" w:styleId="18">
    <w:name w:val="Body Text 3"/>
    <w:basedOn w:val="1"/>
    <w:link w:val="308"/>
    <w:autoRedefine/>
    <w:qFormat/>
    <w:uiPriority w:val="0"/>
    <w:pPr>
      <w:spacing w:after="120"/>
    </w:pPr>
    <w:rPr>
      <w:sz w:val="16"/>
      <w:szCs w:val="16"/>
    </w:rPr>
  </w:style>
  <w:style w:type="paragraph" w:styleId="19">
    <w:name w:val="Body Text Indent"/>
    <w:basedOn w:val="1"/>
    <w:link w:val="269"/>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6"/>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4"/>
    <w:autoRedefine/>
    <w:qFormat/>
    <w:uiPriority w:val="0"/>
    <w:rPr>
      <w:rFonts w:ascii="宋体" w:hAnsi="Courier New" w:cs="Courier New"/>
      <w:szCs w:val="21"/>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157"/>
    <w:autoRedefine/>
    <w:qFormat/>
    <w:uiPriority w:val="0"/>
    <w:pPr>
      <w:ind w:left="100" w:leftChars="2500"/>
    </w:pPr>
  </w:style>
  <w:style w:type="paragraph" w:styleId="27">
    <w:name w:val="Body Text Indent 2"/>
    <w:basedOn w:val="1"/>
    <w:link w:val="271"/>
    <w:autoRedefine/>
    <w:qFormat/>
    <w:uiPriority w:val="0"/>
    <w:pPr>
      <w:widowControl/>
      <w:spacing w:line="480" w:lineRule="auto"/>
      <w:ind w:firstLine="560"/>
      <w:jc w:val="left"/>
    </w:pPr>
    <w:rPr>
      <w:kern w:val="0"/>
      <w:sz w:val="28"/>
    </w:rPr>
  </w:style>
  <w:style w:type="paragraph" w:styleId="28">
    <w:name w:val="endnote text"/>
    <w:basedOn w:val="1"/>
    <w:link w:val="181"/>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08"/>
    <w:autoRedefine/>
    <w:qFormat/>
    <w:uiPriority w:val="0"/>
    <w:rPr>
      <w:sz w:val="18"/>
      <w:szCs w:val="18"/>
    </w:rPr>
  </w:style>
  <w:style w:type="paragraph" w:styleId="30">
    <w:name w:val="footer"/>
    <w:basedOn w:val="1"/>
    <w:link w:val="196"/>
    <w:autoRedefine/>
    <w:qFormat/>
    <w:uiPriority w:val="0"/>
    <w:pPr>
      <w:tabs>
        <w:tab w:val="center" w:pos="4153"/>
        <w:tab w:val="right" w:pos="8306"/>
      </w:tabs>
      <w:snapToGrid w:val="0"/>
      <w:jc w:val="left"/>
    </w:pPr>
    <w:rPr>
      <w:sz w:val="18"/>
      <w:szCs w:val="18"/>
    </w:rPr>
  </w:style>
  <w:style w:type="paragraph" w:styleId="31">
    <w:name w:val="header"/>
    <w:basedOn w:val="1"/>
    <w:link w:val="236"/>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4"/>
    <w:next w:val="1"/>
    <w:autoRedefine/>
    <w:qFormat/>
    <w:uiPriority w:val="39"/>
    <w:pPr>
      <w:keepNext w:val="0"/>
      <w:keepLines w:val="0"/>
      <w:spacing w:before="120" w:after="120" w:line="240" w:lineRule="auto"/>
      <w:jc w:val="left"/>
      <w:outlineLvl w:val="9"/>
    </w:pPr>
    <w:rPr>
      <w:caps/>
      <w:kern w:val="2"/>
      <w:sz w:val="20"/>
      <w:szCs w:val="20"/>
    </w:rPr>
  </w:style>
  <w:style w:type="paragraph" w:styleId="33">
    <w:name w:val="toc 4"/>
    <w:basedOn w:val="7"/>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1"/>
    <w:autoRedefine/>
    <w:qFormat/>
    <w:uiPriority w:val="0"/>
    <w:pPr>
      <w:widowControl/>
      <w:jc w:val="center"/>
    </w:pPr>
    <w:rPr>
      <w:kern w:val="0"/>
      <w:sz w:val="20"/>
      <w:u w:val="single"/>
      <w:lang w:eastAsia="en-US"/>
    </w:rPr>
  </w:style>
  <w:style w:type="paragraph" w:styleId="35">
    <w:name w:val="footnote text"/>
    <w:basedOn w:val="1"/>
    <w:link w:val="216"/>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268"/>
    <w:autoRedefine/>
    <w:qFormat/>
    <w:uiPriority w:val="0"/>
    <w:pPr>
      <w:spacing w:line="360" w:lineRule="auto"/>
      <w:ind w:firstLine="280" w:firstLineChars="100"/>
    </w:pPr>
    <w:rPr>
      <w:rFonts w:ascii="宋体" w:hAnsi="宋体"/>
      <w:sz w:val="28"/>
      <w:szCs w:val="28"/>
    </w:rPr>
  </w:style>
  <w:style w:type="paragraph" w:styleId="38">
    <w:name w:val="toc 2"/>
    <w:basedOn w:val="5"/>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64"/>
    <w:autoRedefine/>
    <w:qFormat/>
    <w:uiPriority w:val="0"/>
    <w:rPr>
      <w:i/>
      <w:iCs/>
      <w:sz w:val="26"/>
    </w:rPr>
  </w:style>
  <w:style w:type="paragraph" w:styleId="41">
    <w:name w:val="HTML Preformatted"/>
    <w:basedOn w:val="1"/>
    <w:link w:val="169"/>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link w:val="211"/>
    <w:autoRedefine/>
    <w:qFormat/>
    <w:uiPriority w:val="0"/>
    <w:pPr>
      <w:widowControl/>
      <w:jc w:val="center"/>
    </w:pPr>
    <w:rPr>
      <w:kern w:val="0"/>
      <w:sz w:val="20"/>
      <w:u w:val="single"/>
      <w:lang w:eastAsia="en-US"/>
    </w:rPr>
  </w:style>
  <w:style w:type="paragraph" w:styleId="45">
    <w:name w:val="annotation subject"/>
    <w:basedOn w:val="17"/>
    <w:next w:val="17"/>
    <w:link w:val="263"/>
    <w:autoRedefine/>
    <w:qFormat/>
    <w:uiPriority w:val="0"/>
    <w:rPr>
      <w:b/>
      <w:bCs/>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autoRedefine/>
    <w:qFormat/>
    <w:uiPriority w:val="99"/>
    <w:pPr>
      <w:ind w:firstLine="420" w:firstLineChars="200"/>
    </w:pPr>
    <w:rPr>
      <w:sz w:val="28"/>
      <w:szCs w:val="28"/>
    </w:rPr>
  </w:style>
  <w:style w:type="paragraph" w:customStyle="1" w:styleId="59">
    <w:name w:val="表格标题"/>
    <w:basedOn w:val="60"/>
    <w:autoRedefine/>
    <w:qFormat/>
    <w:uiPriority w:val="0"/>
  </w:style>
  <w:style w:type="paragraph" w:customStyle="1" w:styleId="60">
    <w:name w:val="表格内容"/>
    <w:basedOn w:val="1"/>
    <w:autoRedefine/>
    <w:qFormat/>
    <w:uiPriority w:val="0"/>
    <w:pPr>
      <w:suppressLineNumbers/>
      <w:suppressAutoHyphens/>
    </w:pPr>
  </w:style>
  <w:style w:type="paragraph" w:customStyle="1" w:styleId="61">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autoRedefine/>
    <w:qFormat/>
    <w:uiPriority w:val="0"/>
    <w:pPr>
      <w:spacing w:line="600" w:lineRule="exact"/>
      <w:ind w:firstLine="567"/>
    </w:pPr>
    <w:rPr>
      <w:rFonts w:ascii="Calibri" w:hAnsi="Calibri"/>
      <w:sz w:val="28"/>
    </w:rPr>
  </w:style>
  <w:style w:type="paragraph" w:customStyle="1" w:styleId="65">
    <w:name w:val="列出段落11"/>
    <w:basedOn w:val="1"/>
    <w:autoRedefine/>
    <w:qFormat/>
    <w:uiPriority w:val="0"/>
    <w:pPr>
      <w:ind w:firstLine="420" w:firstLineChars="200"/>
    </w:pPr>
    <w:rPr>
      <w:sz w:val="28"/>
      <w:szCs w:val="28"/>
    </w:rPr>
  </w:style>
  <w:style w:type="paragraph" w:customStyle="1" w:styleId="66">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autoRedefine/>
    <w:qFormat/>
    <w:uiPriority w:val="0"/>
  </w:style>
  <w:style w:type="paragraph" w:customStyle="1" w:styleId="68">
    <w:name w:val="WW-表格内容"/>
    <w:basedOn w:val="1"/>
    <w:autoRedefine/>
    <w:qFormat/>
    <w:uiPriority w:val="0"/>
    <w:pPr>
      <w:suppressLineNumbers/>
      <w:suppressAutoHyphens/>
    </w:pPr>
  </w:style>
  <w:style w:type="paragraph" w:customStyle="1" w:styleId="69">
    <w:name w:val="引用2"/>
    <w:basedOn w:val="1"/>
    <w:next w:val="1"/>
    <w:link w:val="300"/>
    <w:autoRedefine/>
    <w:qFormat/>
    <w:uiPriority w:val="0"/>
    <w:rPr>
      <w:i/>
      <w:iCs/>
      <w:color w:val="000000"/>
    </w:rPr>
  </w:style>
  <w:style w:type="paragraph" w:customStyle="1" w:styleId="70">
    <w:name w:val="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7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6"/>
    <w:autoRedefine/>
    <w:qFormat/>
    <w:uiPriority w:val="0"/>
    <w:pPr>
      <w:spacing w:line="360" w:lineRule="auto"/>
      <w:ind w:firstLine="200" w:firstLineChars="200"/>
    </w:pPr>
    <w:rPr>
      <w:rFonts w:ascii="Tahoma" w:hAnsi="Tahoma"/>
      <w:sz w:val="24"/>
    </w:rPr>
  </w:style>
  <w:style w:type="paragraph" w:customStyle="1" w:styleId="73">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autoRedefine/>
    <w:qFormat/>
    <w:uiPriority w:val="0"/>
    <w:pPr>
      <w:widowControl/>
    </w:pPr>
    <w:rPr>
      <w:rFonts w:ascii="Calibri" w:hAnsi="Calibri" w:cs="宋体"/>
      <w:kern w:val="0"/>
      <w:szCs w:val="21"/>
    </w:rPr>
  </w:style>
  <w:style w:type="paragraph" w:customStyle="1" w:styleId="76">
    <w:name w:val="列出段落1"/>
    <w:basedOn w:val="1"/>
    <w:autoRedefine/>
    <w:qFormat/>
    <w:uiPriority w:val="0"/>
    <w:pPr>
      <w:ind w:firstLine="420" w:firstLineChars="200"/>
    </w:pPr>
    <w:rPr>
      <w:sz w:val="28"/>
      <w:szCs w:val="28"/>
    </w:rPr>
  </w:style>
  <w:style w:type="paragraph" w:customStyle="1" w:styleId="77">
    <w:name w:val="样式1"/>
    <w:basedOn w:val="1"/>
    <w:next w:val="7"/>
    <w:autoRedefine/>
    <w:qFormat/>
    <w:uiPriority w:val="0"/>
    <w:pPr>
      <w:spacing w:line="360" w:lineRule="auto"/>
      <w:ind w:firstLine="420" w:firstLineChars="200"/>
    </w:pPr>
    <w:rPr>
      <w:rFonts w:ascii="宋体" w:hAnsi="宋体"/>
      <w:szCs w:val="21"/>
    </w:rPr>
  </w:style>
  <w:style w:type="paragraph" w:customStyle="1" w:styleId="78">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6"/>
    <w:autoRedefine/>
    <w:qFormat/>
    <w:uiPriority w:val="0"/>
    <w:pPr>
      <w:spacing w:line="360" w:lineRule="auto"/>
      <w:ind w:firstLine="200" w:firstLineChars="200"/>
    </w:pPr>
    <w:rPr>
      <w:rFonts w:ascii="Tahoma" w:hAnsi="Tahoma"/>
      <w:sz w:val="24"/>
    </w:rPr>
  </w:style>
  <w:style w:type="paragraph" w:customStyle="1" w:styleId="80">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autoRedefine/>
    <w:qFormat/>
    <w:uiPriority w:val="29"/>
    <w:rPr>
      <w:i/>
      <w:iCs/>
      <w:color w:val="000000"/>
      <w:szCs w:val="20"/>
    </w:rPr>
  </w:style>
  <w:style w:type="paragraph" w:customStyle="1" w:styleId="82">
    <w:name w:val="表格文字"/>
    <w:basedOn w:val="1"/>
    <w:autoRedefine/>
    <w:qFormat/>
    <w:uiPriority w:val="0"/>
    <w:pPr>
      <w:adjustRightInd w:val="0"/>
      <w:spacing w:line="420" w:lineRule="atLeast"/>
      <w:jc w:val="left"/>
      <w:textAlignment w:val="baseline"/>
    </w:pPr>
    <w:rPr>
      <w:kern w:val="0"/>
      <w:szCs w:val="20"/>
    </w:rPr>
  </w:style>
  <w:style w:type="paragraph" w:customStyle="1" w:styleId="83">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autoRedefine/>
    <w:qFormat/>
    <w:uiPriority w:val="0"/>
    <w:pPr>
      <w:spacing w:line="360" w:lineRule="auto"/>
      <w:ind w:firstLine="200" w:firstLineChars="200"/>
    </w:pPr>
    <w:rPr>
      <w:rFonts w:ascii="宋体" w:hAnsi="Calibri"/>
      <w:sz w:val="24"/>
    </w:rPr>
  </w:style>
  <w:style w:type="paragraph" w:customStyle="1" w:styleId="87">
    <w:name w:val="标题4"/>
    <w:basedOn w:val="5"/>
    <w:next w:val="21"/>
    <w:link w:val="243"/>
    <w:autoRedefine/>
    <w:qFormat/>
    <w:uiPriority w:val="0"/>
    <w:pPr>
      <w:spacing w:line="413" w:lineRule="auto"/>
    </w:pPr>
    <w:rPr>
      <w:rFonts w:ascii="Arial" w:hAnsi="Arial"/>
      <w:kern w:val="0"/>
      <w:sz w:val="24"/>
    </w:rPr>
  </w:style>
  <w:style w:type="paragraph" w:customStyle="1" w:styleId="88">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autoRedefine/>
    <w:qFormat/>
    <w:uiPriority w:val="0"/>
    <w:pPr>
      <w:widowControl/>
      <w:spacing w:after="160" w:line="240" w:lineRule="exact"/>
      <w:jc w:val="left"/>
    </w:pPr>
    <w:rPr>
      <w:rFonts w:ascii="Calibri" w:hAnsi="Calibri"/>
      <w:szCs w:val="20"/>
    </w:rPr>
  </w:style>
  <w:style w:type="paragraph" w:customStyle="1" w:styleId="96">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autoRedefine/>
    <w:qFormat/>
    <w:uiPriority w:val="0"/>
    <w:pPr>
      <w:widowControl/>
      <w:spacing w:after="120"/>
    </w:pPr>
    <w:rPr>
      <w:kern w:val="0"/>
      <w:szCs w:val="21"/>
    </w:rPr>
  </w:style>
  <w:style w:type="paragraph" w:customStyle="1" w:styleId="10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autoRedefine/>
    <w:qFormat/>
    <w:uiPriority w:val="0"/>
    <w:rPr>
      <w:i/>
      <w:iCs/>
      <w:color w:val="000000"/>
      <w:szCs w:val="22"/>
    </w:rPr>
  </w:style>
  <w:style w:type="paragraph" w:customStyle="1" w:styleId="10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8">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autoRedefine/>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autoRedefine/>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6"/>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4"/>
    <w:next w:val="1"/>
    <w:autoRedefine/>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6"/>
    <w:link w:val="165"/>
    <w:autoRedefine/>
    <w:qFormat/>
    <w:uiPriority w:val="0"/>
    <w:pPr>
      <w:spacing w:line="413" w:lineRule="auto"/>
    </w:pPr>
    <w:rPr>
      <w:rFonts w:ascii="Arial" w:hAnsi="Arial"/>
      <w:kern w:val="0"/>
      <w:sz w:val="24"/>
    </w:rPr>
  </w:style>
  <w:style w:type="paragraph" w:customStyle="1" w:styleId="117">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autoRedefine/>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autoRedefine/>
    <w:qFormat/>
    <w:uiPriority w:val="0"/>
    <w:rPr>
      <w:rFonts w:ascii="Calibri" w:hAnsi="Calibri"/>
    </w:rPr>
  </w:style>
  <w:style w:type="paragraph" w:customStyle="1" w:styleId="121">
    <w:name w:val="_Style 87"/>
    <w:basedOn w:val="1"/>
    <w:autoRedefine/>
    <w:qFormat/>
    <w:uiPriority w:val="99"/>
    <w:pPr>
      <w:ind w:firstLine="420" w:firstLineChars="200"/>
    </w:pPr>
    <w:rPr>
      <w:rFonts w:ascii="Calibri" w:hAnsi="Calibri"/>
      <w:sz w:val="28"/>
      <w:szCs w:val="28"/>
    </w:rPr>
  </w:style>
  <w:style w:type="paragraph" w:customStyle="1" w:styleId="122">
    <w:name w:val="自定样式1"/>
    <w:basedOn w:val="1"/>
    <w:autoRedefine/>
    <w:qFormat/>
    <w:uiPriority w:val="0"/>
    <w:pPr>
      <w:suppressAutoHyphens/>
      <w:jc w:val="center"/>
    </w:pPr>
    <w:rPr>
      <w:rFonts w:ascii="宋体" w:hAnsi="宋体"/>
      <w:color w:val="000000"/>
      <w:sz w:val="18"/>
    </w:rPr>
  </w:style>
  <w:style w:type="paragraph" w:customStyle="1" w:styleId="123">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autoRedefine/>
    <w:qFormat/>
    <w:uiPriority w:val="0"/>
  </w:style>
  <w:style w:type="paragraph" w:customStyle="1" w:styleId="125">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autoRedefine/>
    <w:qFormat/>
    <w:uiPriority w:val="34"/>
    <w:pPr>
      <w:ind w:firstLine="420" w:firstLineChars="200"/>
    </w:pPr>
    <w:rPr>
      <w:rFonts w:ascii="Calibri" w:hAnsi="Calibri"/>
    </w:rPr>
  </w:style>
  <w:style w:type="paragraph" w:customStyle="1" w:styleId="127">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autoRedefine/>
    <w:qFormat/>
    <w:uiPriority w:val="0"/>
    <w:pPr>
      <w:spacing w:line="0" w:lineRule="atLeast"/>
    </w:pPr>
    <w:rPr>
      <w:rFonts w:ascii="Calibri" w:hAnsi="Calibri"/>
      <w:b/>
      <w:snapToGrid w:val="0"/>
      <w:szCs w:val="20"/>
    </w:rPr>
  </w:style>
  <w:style w:type="paragraph" w:customStyle="1" w:styleId="129">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6"/>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autoRedefine/>
    <w:qFormat/>
    <w:uiPriority w:val="0"/>
  </w:style>
  <w:style w:type="paragraph" w:customStyle="1" w:styleId="133">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6"/>
    <w:next w:val="1"/>
    <w:autoRedefine/>
    <w:qFormat/>
    <w:uiPriority w:val="0"/>
    <w:pPr>
      <w:spacing w:before="0" w:after="0" w:line="400" w:lineRule="exact"/>
    </w:pPr>
    <w:rPr>
      <w:rFonts w:eastAsia="黑体" w:cs="宋体"/>
      <w:b w:val="0"/>
      <w:bCs w:val="0"/>
      <w:sz w:val="24"/>
      <w:szCs w:val="20"/>
    </w:rPr>
  </w:style>
  <w:style w:type="paragraph" w:customStyle="1" w:styleId="135">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autoRedefine/>
    <w:qFormat/>
    <w:uiPriority w:val="0"/>
  </w:style>
  <w:style w:type="paragraph" w:customStyle="1" w:styleId="137">
    <w:name w:val="TOC 标题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autoRedefine/>
    <w:qFormat/>
    <w:uiPriority w:val="99"/>
    <w:rPr>
      <w:kern w:val="2"/>
      <w:sz w:val="21"/>
      <w:szCs w:val="24"/>
    </w:rPr>
  </w:style>
  <w:style w:type="character" w:customStyle="1" w:styleId="143">
    <w:name w:val="尾注文本 Char1"/>
    <w:autoRedefine/>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autoRedefine/>
    <w:qFormat/>
    <w:uiPriority w:val="0"/>
    <w:rPr>
      <w:kern w:val="2"/>
      <w:sz w:val="26"/>
      <w:szCs w:val="24"/>
    </w:rPr>
  </w:style>
  <w:style w:type="character" w:customStyle="1" w:styleId="146">
    <w:name w:val="副标题 Char1"/>
    <w:autoRedefine/>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autoRedefine/>
    <w:qFormat/>
    <w:uiPriority w:val="0"/>
    <w:rPr>
      <w:b/>
      <w:bCs/>
      <w:kern w:val="44"/>
      <w:sz w:val="44"/>
      <w:szCs w:val="44"/>
    </w:rPr>
  </w:style>
  <w:style w:type="character" w:customStyle="1" w:styleId="149">
    <w:name w:val="批注主题 Char"/>
    <w:autoRedefine/>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autoRedefine/>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autoRedefine/>
    <w:semiHidden/>
    <w:qFormat/>
    <w:uiPriority w:val="99"/>
    <w:rPr>
      <w:rFonts w:ascii="Calibri" w:hAnsi="Calibri" w:eastAsia="宋体" w:cs="Times New Roman"/>
      <w:szCs w:val="24"/>
    </w:rPr>
  </w:style>
  <w:style w:type="character" w:customStyle="1" w:styleId="157">
    <w:name w:val="日期 字符"/>
    <w:link w:val="26"/>
    <w:autoRedefine/>
    <w:qFormat/>
    <w:uiPriority w:val="0"/>
    <w:rPr>
      <w:rFonts w:eastAsia="宋体"/>
      <w:kern w:val="2"/>
      <w:sz w:val="21"/>
      <w:szCs w:val="24"/>
      <w:lang w:val="en-US" w:eastAsia="zh-CN" w:bidi="ar-SA"/>
    </w:rPr>
  </w:style>
  <w:style w:type="character" w:customStyle="1" w:styleId="158">
    <w:name w:val="标题 2 Char"/>
    <w:autoRedefine/>
    <w:qFormat/>
    <w:uiPriority w:val="0"/>
    <w:rPr>
      <w:rFonts w:ascii="仿宋_GB2312" w:hAnsi="Calibri" w:eastAsia="仿宋_GB2312" w:cs="Times New Roman"/>
      <w:b/>
      <w:spacing w:val="1"/>
      <w:w w:val="99"/>
      <w:kern w:val="0"/>
      <w:sz w:val="28"/>
      <w:szCs w:val="32"/>
    </w:rPr>
  </w:style>
  <w:style w:type="character" w:customStyle="1" w:styleId="159">
    <w:name w:val="标题 7 Char"/>
    <w:autoRedefine/>
    <w:qFormat/>
    <w:uiPriority w:val="0"/>
    <w:rPr>
      <w:rFonts w:ascii="Calibri" w:hAnsi="Calibri" w:eastAsia="宋体" w:cs="Times New Roman"/>
      <w:b/>
      <w:bCs/>
      <w:sz w:val="24"/>
      <w:szCs w:val="24"/>
    </w:rPr>
  </w:style>
  <w:style w:type="character" w:customStyle="1" w:styleId="160">
    <w:name w:val="批注框文本 Char1"/>
    <w:autoRedefine/>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autoRedefine/>
    <w:qFormat/>
    <w:uiPriority w:val="0"/>
    <w:rPr>
      <w:b/>
      <w:bCs/>
      <w:i/>
      <w:iCs/>
      <w:color w:val="4F81BD"/>
    </w:rPr>
  </w:style>
  <w:style w:type="character" w:customStyle="1" w:styleId="163">
    <w:name w:val="Char Char22"/>
    <w:autoRedefine/>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autoRedefine/>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autoRedefine/>
    <w:qFormat/>
    <w:uiPriority w:val="0"/>
    <w:rPr>
      <w:rFonts w:ascii="宋体" w:hAnsi="宋体" w:eastAsia="宋体" w:cs="宋体"/>
      <w:b/>
      <w:bCs/>
      <w:sz w:val="24"/>
      <w:szCs w:val="24"/>
    </w:rPr>
  </w:style>
  <w:style w:type="character" w:customStyle="1" w:styleId="168">
    <w:name w:val="尾注文本 Char"/>
    <w:autoRedefine/>
    <w:qFormat/>
    <w:uiPriority w:val="0"/>
    <w:rPr>
      <w:kern w:val="2"/>
      <w:sz w:val="21"/>
      <w:szCs w:val="24"/>
    </w:rPr>
  </w:style>
  <w:style w:type="character" w:customStyle="1" w:styleId="169">
    <w:name w:val="HTML 预设格式 字符"/>
    <w:link w:val="41"/>
    <w:autoRedefine/>
    <w:qFormat/>
    <w:uiPriority w:val="0"/>
    <w:rPr>
      <w:rFonts w:ascii="宋体" w:hAnsi="宋体" w:eastAsia="宋体" w:cs="宋体"/>
      <w:color w:val="000000"/>
      <w:sz w:val="24"/>
      <w:szCs w:val="24"/>
      <w:lang w:val="en-US" w:eastAsia="zh-CN" w:bidi="ar-SA"/>
    </w:rPr>
  </w:style>
  <w:style w:type="character" w:customStyle="1" w:styleId="170">
    <w:name w:val="尾注文本 Char2"/>
    <w:autoRedefine/>
    <w:semiHidden/>
    <w:qFormat/>
    <w:uiPriority w:val="99"/>
    <w:rPr>
      <w:rFonts w:ascii="Calibri" w:hAnsi="Calibri" w:eastAsia="宋体" w:cs="Times New Roman"/>
      <w:szCs w:val="24"/>
    </w:rPr>
  </w:style>
  <w:style w:type="character" w:customStyle="1" w:styleId="171">
    <w:name w:val="明显强调1"/>
    <w:autoRedefine/>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autoRedefine/>
    <w:semiHidden/>
    <w:qFormat/>
    <w:uiPriority w:val="99"/>
    <w:rPr>
      <w:rFonts w:ascii="Calibri" w:hAnsi="Calibri" w:eastAsia="宋体" w:cs="Times New Roman"/>
      <w:sz w:val="18"/>
      <w:szCs w:val="18"/>
    </w:rPr>
  </w:style>
  <w:style w:type="character" w:customStyle="1" w:styleId="174">
    <w:name w:val="正文文本 2 Char1"/>
    <w:autoRedefine/>
    <w:semiHidden/>
    <w:qFormat/>
    <w:uiPriority w:val="99"/>
    <w:rPr>
      <w:rFonts w:ascii="Calibri" w:hAnsi="Calibri" w:eastAsia="宋体" w:cs="Times New Roman"/>
      <w:szCs w:val="24"/>
    </w:rPr>
  </w:style>
  <w:style w:type="character" w:customStyle="1" w:styleId="175">
    <w:name w:val="_Style 248"/>
    <w:autoRedefine/>
    <w:qFormat/>
    <w:uiPriority w:val="0"/>
    <w:rPr>
      <w:b/>
      <w:bCs/>
      <w:smallCaps/>
      <w:spacing w:val="5"/>
    </w:rPr>
  </w:style>
  <w:style w:type="character" w:customStyle="1" w:styleId="176">
    <w:name w:val="明显引用 Char3"/>
    <w:autoRedefine/>
    <w:qFormat/>
    <w:uiPriority w:val="30"/>
    <w:rPr>
      <w:rFonts w:ascii="Calibri" w:hAnsi="Calibri" w:eastAsia="宋体" w:cs="Times New Roman"/>
      <w:b/>
      <w:bCs/>
      <w:i/>
      <w:iCs/>
      <w:color w:val="4F81BD"/>
      <w:szCs w:val="24"/>
    </w:rPr>
  </w:style>
  <w:style w:type="character" w:customStyle="1" w:styleId="177">
    <w:name w:val="_Style 254"/>
    <w:autoRedefine/>
    <w:qFormat/>
    <w:uiPriority w:val="0"/>
    <w:rPr>
      <w:b/>
      <w:bCs/>
      <w:smallCaps/>
      <w:color w:val="C0504D"/>
      <w:spacing w:val="5"/>
      <w:u w:val="single"/>
    </w:rPr>
  </w:style>
  <w:style w:type="character" w:customStyle="1" w:styleId="178">
    <w:name w:val="正文文本缩进 Char2"/>
    <w:autoRedefine/>
    <w:semiHidden/>
    <w:qFormat/>
    <w:uiPriority w:val="99"/>
    <w:rPr>
      <w:rFonts w:ascii="Calibri" w:hAnsi="Calibri" w:eastAsia="宋体" w:cs="Times New Roman"/>
      <w:szCs w:val="24"/>
    </w:rPr>
  </w:style>
  <w:style w:type="character" w:customStyle="1" w:styleId="179">
    <w:name w:val="标题 4 字符"/>
    <w:link w:val="7"/>
    <w:autoRedefine/>
    <w:qFormat/>
    <w:uiPriority w:val="0"/>
    <w:rPr>
      <w:rFonts w:ascii="宋体" w:hAnsi="宋体" w:eastAsia="宋体" w:cs="宋体"/>
      <w:b/>
      <w:bCs/>
      <w:sz w:val="24"/>
      <w:szCs w:val="24"/>
      <w:lang w:val="en-US" w:eastAsia="zh-CN" w:bidi="ar-SA"/>
    </w:rPr>
  </w:style>
  <w:style w:type="character" w:customStyle="1" w:styleId="180">
    <w:name w:val="正文文本缩进 3 Char"/>
    <w:autoRedefine/>
    <w:qFormat/>
    <w:uiPriority w:val="0"/>
    <w:rPr>
      <w:kern w:val="2"/>
      <w:sz w:val="16"/>
      <w:szCs w:val="16"/>
    </w:rPr>
  </w:style>
  <w:style w:type="character" w:customStyle="1" w:styleId="181">
    <w:name w:val="尾注文本 字符"/>
    <w:link w:val="28"/>
    <w:autoRedefine/>
    <w:qFormat/>
    <w:uiPriority w:val="0"/>
    <w:rPr>
      <w:rFonts w:ascii="Arial" w:hAnsi="Arial" w:eastAsia="宋体" w:cs="Arial"/>
      <w:szCs w:val="24"/>
      <w:lang w:val="en-US" w:eastAsia="en-US" w:bidi="ar-SA"/>
    </w:rPr>
  </w:style>
  <w:style w:type="character" w:customStyle="1" w:styleId="182">
    <w:name w:val="引用 Char3"/>
    <w:autoRedefine/>
    <w:qFormat/>
    <w:uiPriority w:val="29"/>
    <w:rPr>
      <w:rFonts w:ascii="Calibri" w:hAnsi="Calibri" w:eastAsia="宋体" w:cs="Times New Roman"/>
      <w:i/>
      <w:iCs/>
      <w:color w:val="000000"/>
      <w:szCs w:val="24"/>
    </w:rPr>
  </w:style>
  <w:style w:type="character" w:customStyle="1" w:styleId="183">
    <w:name w:val="Char Char32"/>
    <w:autoRedefine/>
    <w:qFormat/>
    <w:uiPriority w:val="0"/>
    <w:rPr>
      <w:rFonts w:ascii="仿宋_GB2312" w:eastAsia="仿宋_GB2312" w:cs="MingLiU"/>
      <w:b/>
      <w:spacing w:val="1"/>
      <w:w w:val="99"/>
      <w:sz w:val="28"/>
      <w:szCs w:val="32"/>
    </w:rPr>
  </w:style>
  <w:style w:type="character" w:customStyle="1" w:styleId="184">
    <w:name w:val="日期 Char"/>
    <w:autoRedefine/>
    <w:qFormat/>
    <w:uiPriority w:val="0"/>
    <w:rPr>
      <w:rFonts w:eastAsia="宋体"/>
      <w:szCs w:val="24"/>
    </w:rPr>
  </w:style>
  <w:style w:type="character" w:customStyle="1" w:styleId="185">
    <w:name w:val="页脚 Char"/>
    <w:autoRedefine/>
    <w:qFormat/>
    <w:uiPriority w:val="0"/>
    <w:rPr>
      <w:sz w:val="18"/>
      <w:szCs w:val="18"/>
    </w:rPr>
  </w:style>
  <w:style w:type="character" w:customStyle="1" w:styleId="186">
    <w:name w:val="style121"/>
    <w:autoRedefine/>
    <w:qFormat/>
    <w:uiPriority w:val="0"/>
    <w:rPr>
      <w:rFonts w:hint="eastAsia" w:ascii="宋体" w:hAnsi="宋体" w:eastAsia="宋体"/>
      <w:sz w:val="18"/>
      <w:szCs w:val="18"/>
    </w:rPr>
  </w:style>
  <w:style w:type="character" w:customStyle="1" w:styleId="187">
    <w:name w:val="ss16"/>
    <w:autoRedefine/>
    <w:qFormat/>
    <w:uiPriority w:val="0"/>
    <w:rPr>
      <w:rFonts w:hint="eastAsia" w:ascii="宋体" w:hAnsi="宋体" w:eastAsia="宋体"/>
      <w:color w:val="000000"/>
      <w:sz w:val="9"/>
      <w:szCs w:val="9"/>
    </w:rPr>
  </w:style>
  <w:style w:type="character" w:customStyle="1" w:styleId="188">
    <w:name w:val="textcontents"/>
    <w:autoRedefine/>
    <w:qFormat/>
    <w:uiPriority w:val="0"/>
    <w:rPr>
      <w:rFonts w:cs="Times New Roman"/>
    </w:rPr>
  </w:style>
  <w:style w:type="character" w:customStyle="1" w:styleId="189">
    <w:name w:val="14t1"/>
    <w:autoRedefine/>
    <w:qFormat/>
    <w:uiPriority w:val="0"/>
    <w:rPr>
      <w:rFonts w:hint="eastAsia" w:ascii="宋体" w:hAnsi="宋体" w:eastAsia="宋体"/>
      <w:sz w:val="11"/>
      <w:szCs w:val="11"/>
    </w:rPr>
  </w:style>
  <w:style w:type="character" w:customStyle="1" w:styleId="190">
    <w:name w:val="不明显参考1"/>
    <w:autoRedefine/>
    <w:qFormat/>
    <w:uiPriority w:val="0"/>
    <w:rPr>
      <w:smallCaps/>
      <w:color w:val="C0504D"/>
      <w:u w:val="single"/>
    </w:rPr>
  </w:style>
  <w:style w:type="character" w:customStyle="1" w:styleId="191">
    <w:name w:val="unnamed1"/>
    <w:basedOn w:val="48"/>
    <w:autoRedefine/>
    <w:qFormat/>
    <w:uiPriority w:val="0"/>
  </w:style>
  <w:style w:type="character" w:customStyle="1" w:styleId="192">
    <w:name w:val="批注主题 Char3"/>
    <w:autoRedefine/>
    <w:semiHidden/>
    <w:qFormat/>
    <w:uiPriority w:val="99"/>
    <w:rPr>
      <w:rFonts w:ascii="Calibri" w:hAnsi="Calibri" w:eastAsia="宋体" w:cs="Times New Roman"/>
      <w:b/>
      <w:bCs/>
      <w:szCs w:val="24"/>
    </w:rPr>
  </w:style>
  <w:style w:type="character" w:customStyle="1" w:styleId="193">
    <w:name w:val="标题 3 字符"/>
    <w:link w:val="6"/>
    <w:autoRedefine/>
    <w:qFormat/>
    <w:uiPriority w:val="0"/>
    <w:rPr>
      <w:rFonts w:eastAsia="宋体"/>
      <w:b/>
      <w:bCs/>
      <w:kern w:val="2"/>
      <w:sz w:val="32"/>
      <w:szCs w:val="32"/>
      <w:lang w:val="en-US" w:eastAsia="zh-CN" w:bidi="ar-SA"/>
    </w:rPr>
  </w:style>
  <w:style w:type="character" w:customStyle="1" w:styleId="194">
    <w:name w:val="标题 2 字符"/>
    <w:link w:val="5"/>
    <w:autoRedefine/>
    <w:qFormat/>
    <w:uiPriority w:val="0"/>
    <w:rPr>
      <w:rFonts w:ascii="Cambria" w:hAnsi="Cambria" w:eastAsia="宋体"/>
      <w:b/>
      <w:bCs/>
      <w:kern w:val="2"/>
      <w:sz w:val="32"/>
      <w:szCs w:val="32"/>
      <w:lang w:val="en-US" w:eastAsia="zh-CN" w:bidi="ar-SA"/>
    </w:rPr>
  </w:style>
  <w:style w:type="character" w:customStyle="1" w:styleId="195">
    <w:name w:val="标题 6 字符"/>
    <w:link w:val="9"/>
    <w:autoRedefine/>
    <w:qFormat/>
    <w:uiPriority w:val="0"/>
    <w:rPr>
      <w:rFonts w:hAnsi="Arial" w:eastAsia="仿宋_GB2312"/>
      <w:sz w:val="30"/>
      <w:lang w:val="en-US" w:eastAsia="zh-CN" w:bidi="ar-SA"/>
    </w:rPr>
  </w:style>
  <w:style w:type="character" w:customStyle="1" w:styleId="196">
    <w:name w:val="页脚 字符"/>
    <w:link w:val="30"/>
    <w:autoRedefine/>
    <w:qFormat/>
    <w:uiPriority w:val="0"/>
    <w:rPr>
      <w:rFonts w:eastAsia="宋体"/>
      <w:kern w:val="2"/>
      <w:sz w:val="18"/>
      <w:szCs w:val="18"/>
      <w:lang w:val="en-US" w:eastAsia="zh-CN" w:bidi="ar-SA"/>
    </w:rPr>
  </w:style>
  <w:style w:type="character" w:customStyle="1" w:styleId="197">
    <w:name w:val="引用 Char4"/>
    <w:link w:val="102"/>
    <w:autoRedefine/>
    <w:qFormat/>
    <w:uiPriority w:val="0"/>
    <w:rPr>
      <w:i/>
      <w:iCs/>
      <w:color w:val="000000"/>
      <w:kern w:val="2"/>
      <w:sz w:val="21"/>
      <w:szCs w:val="22"/>
      <w:lang w:bidi="ar-SA"/>
    </w:rPr>
  </w:style>
  <w:style w:type="character" w:customStyle="1" w:styleId="198">
    <w:name w:val="标题 9 字符"/>
    <w:link w:val="13"/>
    <w:autoRedefine/>
    <w:qFormat/>
    <w:uiPriority w:val="0"/>
    <w:rPr>
      <w:rFonts w:eastAsia="仿宋_GB2312"/>
      <w:sz w:val="30"/>
      <w:lang w:val="en-US" w:eastAsia="zh-CN" w:bidi="ar-SA"/>
    </w:rPr>
  </w:style>
  <w:style w:type="character" w:customStyle="1" w:styleId="199">
    <w:name w:val="标题 3 Char"/>
    <w:autoRedefine/>
    <w:qFormat/>
    <w:uiPriority w:val="0"/>
    <w:rPr>
      <w:rFonts w:ascii="仿宋_GB2312" w:hAnsi="Calibri" w:eastAsia="仿宋_GB2312" w:cs="Times New Roman"/>
      <w:b/>
      <w:kern w:val="0"/>
      <w:sz w:val="24"/>
      <w:szCs w:val="28"/>
    </w:rPr>
  </w:style>
  <w:style w:type="character" w:customStyle="1" w:styleId="200">
    <w:name w:val="批注文字 Char2"/>
    <w:autoRedefine/>
    <w:qFormat/>
    <w:uiPriority w:val="0"/>
    <w:rPr>
      <w:rFonts w:ascii="Calibri" w:hAnsi="Calibri" w:eastAsia="宋体" w:cs="Times New Roman"/>
      <w:szCs w:val="24"/>
    </w:rPr>
  </w:style>
  <w:style w:type="character" w:customStyle="1" w:styleId="201">
    <w:name w:val="normaltext1"/>
    <w:autoRedefine/>
    <w:qFormat/>
    <w:uiPriority w:val="0"/>
    <w:rPr>
      <w:rFonts w:hint="default" w:ascii="ˎ̥" w:hAnsi="ˎ̥"/>
      <w:sz w:val="9"/>
      <w:szCs w:val="9"/>
    </w:rPr>
  </w:style>
  <w:style w:type="character" w:customStyle="1" w:styleId="202">
    <w:name w:val="ca-141"/>
    <w:autoRedefine/>
    <w:qFormat/>
    <w:uiPriority w:val="0"/>
    <w:rPr>
      <w:rFonts w:hint="eastAsia" w:ascii="仿宋_GB2312" w:eastAsia="仿宋_GB2312"/>
      <w:sz w:val="21"/>
      <w:szCs w:val="21"/>
    </w:rPr>
  </w:style>
  <w:style w:type="character" w:customStyle="1" w:styleId="203">
    <w:name w:val="main_tdbg_7601"/>
    <w:autoRedefine/>
    <w:qFormat/>
    <w:uiPriority w:val="0"/>
    <w:rPr>
      <w:sz w:val="14"/>
      <w:szCs w:val="14"/>
    </w:rPr>
  </w:style>
  <w:style w:type="character" w:customStyle="1" w:styleId="204">
    <w:name w:val="文档结构图 字符"/>
    <w:link w:val="16"/>
    <w:autoRedefine/>
    <w:qFormat/>
    <w:uiPriority w:val="0"/>
    <w:rPr>
      <w:rFonts w:eastAsia="宋体"/>
      <w:kern w:val="2"/>
      <w:sz w:val="21"/>
      <w:szCs w:val="24"/>
      <w:lang w:val="en-US" w:eastAsia="zh-CN" w:bidi="ar-SA"/>
    </w:rPr>
  </w:style>
  <w:style w:type="character" w:customStyle="1" w:styleId="205">
    <w:name w:val="批注框文本 Char3"/>
    <w:autoRedefine/>
    <w:semiHidden/>
    <w:qFormat/>
    <w:uiPriority w:val="99"/>
    <w:rPr>
      <w:rFonts w:ascii="Calibri" w:hAnsi="Calibri" w:eastAsia="宋体" w:cs="Times New Roman"/>
      <w:sz w:val="18"/>
      <w:szCs w:val="18"/>
    </w:rPr>
  </w:style>
  <w:style w:type="character" w:customStyle="1" w:styleId="206">
    <w:name w:val="Char Char9"/>
    <w:autoRedefine/>
    <w:qFormat/>
    <w:locked/>
    <w:uiPriority w:val="0"/>
    <w:rPr>
      <w:rFonts w:ascii="仿宋_GB2312" w:eastAsia="仿宋_GB2312" w:cs="MingLiU"/>
      <w:b/>
      <w:sz w:val="24"/>
      <w:szCs w:val="28"/>
      <w:lang w:val="en-US" w:eastAsia="zh-CN" w:bidi="ar-SA"/>
    </w:rPr>
  </w:style>
  <w:style w:type="character" w:customStyle="1" w:styleId="207">
    <w:name w:val="title11"/>
    <w:autoRedefine/>
    <w:qFormat/>
    <w:uiPriority w:val="0"/>
    <w:rPr>
      <w:b/>
      <w:bCs/>
      <w:color w:val="FFFFFF"/>
      <w:sz w:val="11"/>
      <w:szCs w:val="11"/>
    </w:rPr>
  </w:style>
  <w:style w:type="character" w:customStyle="1" w:styleId="208">
    <w:name w:val="批注框文本 字符"/>
    <w:link w:val="29"/>
    <w:autoRedefine/>
    <w:qFormat/>
    <w:uiPriority w:val="0"/>
    <w:rPr>
      <w:rFonts w:eastAsia="宋体"/>
      <w:kern w:val="2"/>
      <w:sz w:val="18"/>
      <w:szCs w:val="18"/>
      <w:lang w:val="en-US" w:eastAsia="zh-CN" w:bidi="ar-SA"/>
    </w:rPr>
  </w:style>
  <w:style w:type="character" w:customStyle="1" w:styleId="209">
    <w:name w:val="标题 8 Char1"/>
    <w:autoRedefine/>
    <w:qFormat/>
    <w:uiPriority w:val="0"/>
    <w:rPr>
      <w:rFonts w:ascii="Times New Roman" w:hAnsi="Arial" w:eastAsia="仿宋_GB2312" w:cs="Times New Roman"/>
      <w:sz w:val="30"/>
      <w:szCs w:val="20"/>
    </w:rPr>
  </w:style>
  <w:style w:type="character" w:customStyle="1" w:styleId="210">
    <w:name w:val="标题 Char2"/>
    <w:autoRedefine/>
    <w:qFormat/>
    <w:uiPriority w:val="10"/>
    <w:rPr>
      <w:rFonts w:ascii="Cambria" w:hAnsi="Cambria" w:eastAsia="宋体" w:cs="Times New Roman"/>
      <w:b/>
      <w:bCs/>
      <w:sz w:val="32"/>
      <w:szCs w:val="32"/>
    </w:rPr>
  </w:style>
  <w:style w:type="character" w:customStyle="1" w:styleId="211">
    <w:name w:val="标题 字符"/>
    <w:link w:val="44"/>
    <w:autoRedefine/>
    <w:qFormat/>
    <w:uiPriority w:val="0"/>
    <w:rPr>
      <w:rFonts w:eastAsia="宋体"/>
      <w:szCs w:val="24"/>
      <w:u w:val="single"/>
      <w:lang w:val="en-US" w:eastAsia="en-US" w:bidi="ar-SA"/>
    </w:rPr>
  </w:style>
  <w:style w:type="character" w:customStyle="1" w:styleId="212">
    <w:name w:val="批注主题 Char1"/>
    <w:autoRedefine/>
    <w:qFormat/>
    <w:uiPriority w:val="0"/>
    <w:rPr>
      <w:b/>
      <w:bCs/>
      <w:kern w:val="2"/>
      <w:sz w:val="21"/>
      <w:szCs w:val="22"/>
    </w:rPr>
  </w:style>
  <w:style w:type="character" w:customStyle="1" w:styleId="213">
    <w:name w:val="副标题 Char"/>
    <w:autoRedefine/>
    <w:qFormat/>
    <w:uiPriority w:val="0"/>
    <w:rPr>
      <w:rFonts w:ascii="Cambria" w:hAnsi="Cambria" w:eastAsia="宋体" w:cs="Times New Roman"/>
      <w:b/>
      <w:bCs/>
      <w:kern w:val="28"/>
      <w:sz w:val="32"/>
      <w:szCs w:val="32"/>
    </w:rPr>
  </w:style>
  <w:style w:type="character" w:customStyle="1" w:styleId="214">
    <w:name w:val="正文文本 字符"/>
    <w:link w:val="2"/>
    <w:autoRedefine/>
    <w:qFormat/>
    <w:uiPriority w:val="0"/>
    <w:rPr>
      <w:rFonts w:eastAsia="宋体"/>
      <w:kern w:val="2"/>
      <w:sz w:val="21"/>
      <w:szCs w:val="24"/>
      <w:lang w:val="en-US" w:eastAsia="zh-CN" w:bidi="ar-SA"/>
    </w:rPr>
  </w:style>
  <w:style w:type="character" w:customStyle="1" w:styleId="215">
    <w:name w:val="纯文本 Char1"/>
    <w:autoRedefine/>
    <w:qFormat/>
    <w:uiPriority w:val="0"/>
    <w:rPr>
      <w:rFonts w:ascii="宋体" w:hAnsi="Courier New" w:cs="Courier New"/>
      <w:kern w:val="2"/>
      <w:sz w:val="21"/>
      <w:szCs w:val="21"/>
    </w:rPr>
  </w:style>
  <w:style w:type="character" w:customStyle="1" w:styleId="216">
    <w:name w:val="脚注文本 字符"/>
    <w:link w:val="35"/>
    <w:autoRedefine/>
    <w:qFormat/>
    <w:uiPriority w:val="0"/>
    <w:rPr>
      <w:rFonts w:ascii="Arial" w:hAnsi="Arial" w:eastAsia="宋体" w:cs="Arial"/>
      <w:sz w:val="18"/>
      <w:szCs w:val="18"/>
      <w:lang w:val="en-US" w:eastAsia="en-US" w:bidi="ar-SA"/>
    </w:rPr>
  </w:style>
  <w:style w:type="character" w:customStyle="1" w:styleId="217">
    <w:name w:val="标题 2 Char1"/>
    <w:autoRedefine/>
    <w:qFormat/>
    <w:uiPriority w:val="0"/>
    <w:rPr>
      <w:rFonts w:ascii="Cambria" w:hAnsi="Cambria" w:eastAsia="宋体" w:cs="Times New Roman"/>
      <w:b/>
      <w:bCs/>
      <w:kern w:val="2"/>
      <w:sz w:val="32"/>
      <w:szCs w:val="32"/>
    </w:rPr>
  </w:style>
  <w:style w:type="character" w:customStyle="1" w:styleId="218">
    <w:name w:val="脚注文本 Char1"/>
    <w:autoRedefine/>
    <w:qFormat/>
    <w:uiPriority w:val="0"/>
    <w:rPr>
      <w:rFonts w:ascii="Arial" w:hAnsi="Arial" w:cs="Arial"/>
      <w:sz w:val="18"/>
      <w:szCs w:val="18"/>
      <w:lang w:eastAsia="en-US"/>
    </w:rPr>
  </w:style>
  <w:style w:type="character" w:customStyle="1" w:styleId="219">
    <w:name w:val="HTML 预设格式 Char2"/>
    <w:autoRedefine/>
    <w:semiHidden/>
    <w:qFormat/>
    <w:uiPriority w:val="99"/>
    <w:rPr>
      <w:rFonts w:ascii="Courier New" w:hAnsi="Courier New" w:eastAsia="宋体" w:cs="Courier New"/>
      <w:sz w:val="20"/>
      <w:szCs w:val="20"/>
    </w:rPr>
  </w:style>
  <w:style w:type="character" w:customStyle="1" w:styleId="220">
    <w:name w:val="标题 8 Char"/>
    <w:autoRedefine/>
    <w:qFormat/>
    <w:uiPriority w:val="0"/>
    <w:rPr>
      <w:rFonts w:ascii="Arial" w:hAnsi="Arial" w:eastAsia="黑体" w:cs="Times New Roman"/>
      <w:sz w:val="24"/>
      <w:szCs w:val="24"/>
    </w:rPr>
  </w:style>
  <w:style w:type="character" w:customStyle="1" w:styleId="221">
    <w:name w:val="s3"/>
    <w:autoRedefine/>
    <w:qFormat/>
    <w:uiPriority w:val="0"/>
  </w:style>
  <w:style w:type="character" w:customStyle="1" w:styleId="222">
    <w:name w:val="标题 4 Char"/>
    <w:autoRedefine/>
    <w:qFormat/>
    <w:uiPriority w:val="0"/>
    <w:rPr>
      <w:rFonts w:ascii="仿宋_GB2312" w:hAnsi="Calibri" w:eastAsia="仿宋_GB2312" w:cs="Times New Roman"/>
      <w:b/>
      <w:kern w:val="0"/>
      <w:sz w:val="24"/>
      <w:szCs w:val="28"/>
    </w:rPr>
  </w:style>
  <w:style w:type="character" w:customStyle="1" w:styleId="223">
    <w:name w:val="正文文本缩进 2 Char"/>
    <w:autoRedefine/>
    <w:qFormat/>
    <w:uiPriority w:val="0"/>
    <w:rPr>
      <w:kern w:val="2"/>
      <w:sz w:val="21"/>
      <w:szCs w:val="24"/>
    </w:rPr>
  </w:style>
  <w:style w:type="character" w:customStyle="1" w:styleId="224">
    <w:name w:val="style21"/>
    <w:autoRedefine/>
    <w:qFormat/>
    <w:uiPriority w:val="0"/>
    <w:rPr>
      <w:b/>
      <w:bCs/>
      <w:sz w:val="28"/>
      <w:szCs w:val="28"/>
    </w:rPr>
  </w:style>
  <w:style w:type="character" w:customStyle="1" w:styleId="225">
    <w:name w:val="正文文本缩进 2 Char2"/>
    <w:autoRedefine/>
    <w:semiHidden/>
    <w:qFormat/>
    <w:uiPriority w:val="99"/>
    <w:rPr>
      <w:rFonts w:ascii="Calibri" w:hAnsi="Calibri" w:eastAsia="宋体" w:cs="Times New Roman"/>
      <w:szCs w:val="24"/>
    </w:rPr>
  </w:style>
  <w:style w:type="character" w:customStyle="1" w:styleId="226">
    <w:name w:val="ht1"/>
    <w:autoRedefine/>
    <w:qFormat/>
    <w:uiPriority w:val="0"/>
    <w:rPr>
      <w:rFonts w:ascii="黑体" w:eastAsia="黑体"/>
      <w:b/>
      <w:bCs/>
    </w:rPr>
  </w:style>
  <w:style w:type="character" w:customStyle="1" w:styleId="227">
    <w:name w:val="文档结构图 Char3"/>
    <w:autoRedefine/>
    <w:semiHidden/>
    <w:qFormat/>
    <w:uiPriority w:val="99"/>
    <w:rPr>
      <w:rFonts w:ascii="宋体" w:hAnsi="Calibri" w:eastAsia="宋体" w:cs="Times New Roman"/>
      <w:sz w:val="18"/>
      <w:szCs w:val="18"/>
    </w:rPr>
  </w:style>
  <w:style w:type="character" w:customStyle="1" w:styleId="228">
    <w:name w:val="书籍标题1"/>
    <w:autoRedefine/>
    <w:qFormat/>
    <w:uiPriority w:val="0"/>
    <w:rPr>
      <w:b/>
      <w:bCs/>
      <w:smallCaps/>
      <w:spacing w:val="5"/>
    </w:rPr>
  </w:style>
  <w:style w:type="character" w:customStyle="1" w:styleId="229">
    <w:name w:val="标题 7 Char1"/>
    <w:autoRedefine/>
    <w:qFormat/>
    <w:uiPriority w:val="0"/>
    <w:rPr>
      <w:rFonts w:ascii="Times New Roman" w:hAnsi="Times New Roman" w:eastAsia="仿宋_GB2312" w:cs="Times New Roman"/>
      <w:sz w:val="30"/>
      <w:szCs w:val="20"/>
    </w:rPr>
  </w:style>
  <w:style w:type="character" w:customStyle="1" w:styleId="230">
    <w:name w:val="明显引用 Char2"/>
    <w:autoRedefine/>
    <w:qFormat/>
    <w:uiPriority w:val="99"/>
    <w:rPr>
      <w:b/>
      <w:bCs/>
      <w:i/>
      <w:iCs/>
      <w:color w:val="4F81BD"/>
      <w:kern w:val="2"/>
      <w:sz w:val="21"/>
      <w:szCs w:val="24"/>
    </w:rPr>
  </w:style>
  <w:style w:type="character" w:customStyle="1" w:styleId="231">
    <w:name w:val="不明显强调1"/>
    <w:autoRedefine/>
    <w:qFormat/>
    <w:uiPriority w:val="0"/>
    <w:rPr>
      <w:i/>
      <w:iCs/>
      <w:color w:val="808080"/>
    </w:rPr>
  </w:style>
  <w:style w:type="character" w:customStyle="1" w:styleId="232">
    <w:name w:val="普通文字 Char Char2"/>
    <w:autoRedefine/>
    <w:qFormat/>
    <w:uiPriority w:val="0"/>
    <w:rPr>
      <w:rFonts w:ascii="宋体" w:hAnsi="Courier New"/>
      <w:kern w:val="2"/>
      <w:sz w:val="28"/>
      <w:szCs w:val="28"/>
    </w:rPr>
  </w:style>
  <w:style w:type="character" w:customStyle="1" w:styleId="233">
    <w:name w:val="标题 6 Char"/>
    <w:autoRedefine/>
    <w:qFormat/>
    <w:uiPriority w:val="0"/>
    <w:rPr>
      <w:rFonts w:ascii="Arial" w:hAnsi="Arial" w:eastAsia="黑体" w:cs="Times New Roman"/>
      <w:b/>
      <w:bCs/>
      <w:sz w:val="24"/>
      <w:szCs w:val="24"/>
    </w:rPr>
  </w:style>
  <w:style w:type="character" w:customStyle="1" w:styleId="234">
    <w:name w:val="l1"/>
    <w:basedOn w:val="48"/>
    <w:autoRedefine/>
    <w:qFormat/>
    <w:uiPriority w:val="0"/>
  </w:style>
  <w:style w:type="character" w:customStyle="1" w:styleId="235">
    <w:name w:val="未处理的提及1"/>
    <w:autoRedefine/>
    <w:unhideWhenUsed/>
    <w:qFormat/>
    <w:uiPriority w:val="99"/>
    <w:rPr>
      <w:color w:val="808080"/>
      <w:shd w:val="clear" w:color="auto" w:fill="E6E6E6"/>
    </w:rPr>
  </w:style>
  <w:style w:type="character" w:customStyle="1" w:styleId="236">
    <w:name w:val="页眉 字符"/>
    <w:link w:val="31"/>
    <w:autoRedefine/>
    <w:qFormat/>
    <w:uiPriority w:val="0"/>
    <w:rPr>
      <w:rFonts w:eastAsia="宋体"/>
      <w:kern w:val="2"/>
      <w:sz w:val="18"/>
      <w:szCs w:val="18"/>
      <w:lang w:val="en-US" w:eastAsia="zh-CN" w:bidi="ar-SA"/>
    </w:rPr>
  </w:style>
  <w:style w:type="character" w:customStyle="1" w:styleId="237">
    <w:name w:val="Char Char35"/>
    <w:autoRedefine/>
    <w:qFormat/>
    <w:uiPriority w:val="0"/>
    <w:rPr>
      <w:rFonts w:ascii="仿宋_GB2312" w:eastAsia="仿宋_GB2312" w:cs="MingLiU"/>
      <w:b/>
      <w:sz w:val="24"/>
      <w:szCs w:val="28"/>
    </w:rPr>
  </w:style>
  <w:style w:type="character" w:customStyle="1" w:styleId="238">
    <w:name w:val="Char Char11"/>
    <w:autoRedefine/>
    <w:qFormat/>
    <w:locked/>
    <w:uiPriority w:val="0"/>
    <w:rPr>
      <w:rFonts w:eastAsia="黑体"/>
      <w:kern w:val="2"/>
      <w:sz w:val="44"/>
      <w:szCs w:val="44"/>
      <w:lang w:val="en-US" w:eastAsia="zh-CN" w:bidi="ar-SA"/>
    </w:rPr>
  </w:style>
  <w:style w:type="character" w:customStyle="1" w:styleId="239">
    <w:name w:val="style31"/>
    <w:autoRedefine/>
    <w:qFormat/>
    <w:uiPriority w:val="0"/>
    <w:rPr>
      <w:sz w:val="10"/>
      <w:szCs w:val="10"/>
    </w:rPr>
  </w:style>
  <w:style w:type="character" w:customStyle="1" w:styleId="240">
    <w:name w:val="0d1471"/>
    <w:autoRedefine/>
    <w:qFormat/>
    <w:uiPriority w:val="0"/>
    <w:rPr>
      <w:color w:val="000000"/>
      <w:sz w:val="11"/>
      <w:szCs w:val="11"/>
      <w:u w:val="none"/>
    </w:rPr>
  </w:style>
  <w:style w:type="character" w:customStyle="1" w:styleId="241">
    <w:name w:val="标题 9 Char"/>
    <w:autoRedefine/>
    <w:qFormat/>
    <w:uiPriority w:val="0"/>
    <w:rPr>
      <w:rFonts w:ascii="Arial" w:hAnsi="Arial" w:eastAsia="黑体" w:cs="Times New Roman"/>
      <w:szCs w:val="21"/>
    </w:rPr>
  </w:style>
  <w:style w:type="character" w:customStyle="1" w:styleId="242">
    <w:name w:val="标题 3 Char1"/>
    <w:autoRedefine/>
    <w:qFormat/>
    <w:uiPriority w:val="0"/>
    <w:rPr>
      <w:rFonts w:ascii="Times New Roman" w:hAnsi="Times New Roman" w:eastAsia="宋体" w:cs="Times New Roman"/>
      <w:b/>
      <w:bCs/>
      <w:kern w:val="2"/>
      <w:sz w:val="32"/>
      <w:szCs w:val="32"/>
    </w:rPr>
  </w:style>
  <w:style w:type="character" w:customStyle="1" w:styleId="243">
    <w:name w:val="标题4 Char Char"/>
    <w:link w:val="87"/>
    <w:autoRedefine/>
    <w:qFormat/>
    <w:uiPriority w:val="0"/>
    <w:rPr>
      <w:rFonts w:ascii="Arial" w:hAnsi="Arial"/>
      <w:b/>
      <w:bCs/>
      <w:sz w:val="24"/>
      <w:szCs w:val="32"/>
      <w:lang w:bidi="ar-SA"/>
    </w:rPr>
  </w:style>
  <w:style w:type="character" w:customStyle="1" w:styleId="244">
    <w:name w:val="标题 5 Char1"/>
    <w:autoRedefine/>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autoRedefine/>
    <w:qFormat/>
    <w:uiPriority w:val="0"/>
    <w:rPr>
      <w:rFonts w:ascii="仿宋_GB2312" w:eastAsia="仿宋_GB2312" w:cs="MingLiU"/>
      <w:b/>
      <w:sz w:val="24"/>
      <w:szCs w:val="28"/>
    </w:rPr>
  </w:style>
  <w:style w:type="character" w:customStyle="1" w:styleId="247">
    <w:name w:val="批注文字 Char1"/>
    <w:autoRedefine/>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autoRedefine/>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autoRedefine/>
    <w:qFormat/>
    <w:uiPriority w:val="0"/>
    <w:rPr>
      <w:color w:val="FA0004"/>
    </w:rPr>
  </w:style>
  <w:style w:type="character" w:customStyle="1" w:styleId="252">
    <w:name w:val="批注主题 Char2"/>
    <w:autoRedefine/>
    <w:qFormat/>
    <w:uiPriority w:val="99"/>
    <w:rPr>
      <w:b/>
      <w:bCs/>
      <w:kern w:val="2"/>
      <w:sz w:val="21"/>
      <w:szCs w:val="24"/>
    </w:rPr>
  </w:style>
  <w:style w:type="character" w:customStyle="1" w:styleId="253">
    <w:name w:val="Char Char34"/>
    <w:autoRedefine/>
    <w:qFormat/>
    <w:uiPriority w:val="0"/>
    <w:rPr>
      <w:rFonts w:ascii="仿宋_GB2312" w:eastAsia="仿宋_GB2312" w:cs="MingLiU"/>
      <w:b/>
      <w:spacing w:val="1"/>
      <w:w w:val="99"/>
      <w:sz w:val="28"/>
      <w:szCs w:val="32"/>
    </w:rPr>
  </w:style>
  <w:style w:type="character" w:customStyle="1" w:styleId="254">
    <w:name w:val="标题 1 Char"/>
    <w:autoRedefine/>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autoRedefine/>
    <w:qFormat/>
    <w:uiPriority w:val="0"/>
    <w:rPr>
      <w:kern w:val="2"/>
      <w:sz w:val="16"/>
      <w:szCs w:val="16"/>
    </w:rPr>
  </w:style>
  <w:style w:type="character" w:customStyle="1" w:styleId="257">
    <w:name w:val="标题 5 Char"/>
    <w:autoRedefine/>
    <w:qFormat/>
    <w:uiPriority w:val="0"/>
    <w:rPr>
      <w:rFonts w:ascii="Calibri" w:hAnsi="Calibri" w:eastAsia="宋体" w:cs="Times New Roman"/>
      <w:b/>
      <w:bCs/>
      <w:sz w:val="28"/>
      <w:szCs w:val="28"/>
    </w:rPr>
  </w:style>
  <w:style w:type="character" w:customStyle="1" w:styleId="258">
    <w:name w:val="style161"/>
    <w:autoRedefine/>
    <w:qFormat/>
    <w:uiPriority w:val="0"/>
    <w:rPr>
      <w:b/>
      <w:bCs/>
      <w:color w:val="333333"/>
    </w:rPr>
  </w:style>
  <w:style w:type="character" w:customStyle="1" w:styleId="259">
    <w:name w:val="文档结构图 Char2"/>
    <w:autoRedefine/>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autoRedefine/>
    <w:qFormat/>
    <w:uiPriority w:val="99"/>
    <w:rPr>
      <w:kern w:val="2"/>
      <w:sz w:val="21"/>
      <w:szCs w:val="24"/>
    </w:rPr>
  </w:style>
  <w:style w:type="character" w:customStyle="1" w:styleId="262">
    <w:name w:val="HTML 预设格式 Char"/>
    <w:autoRedefine/>
    <w:qFormat/>
    <w:uiPriority w:val="0"/>
    <w:rPr>
      <w:rFonts w:ascii="宋体" w:hAnsi="宋体" w:eastAsia="宋体" w:cs="宋体"/>
      <w:color w:val="000000"/>
      <w:sz w:val="24"/>
      <w:szCs w:val="24"/>
    </w:rPr>
  </w:style>
  <w:style w:type="character" w:customStyle="1" w:styleId="263">
    <w:name w:val="批注主题 字符"/>
    <w:link w:val="45"/>
    <w:autoRedefine/>
    <w:qFormat/>
    <w:uiPriority w:val="0"/>
    <w:rPr>
      <w:rFonts w:eastAsia="宋体"/>
      <w:b/>
      <w:bCs/>
      <w:kern w:val="2"/>
      <w:sz w:val="21"/>
      <w:szCs w:val="24"/>
      <w:lang w:val="en-US" w:eastAsia="zh-CN" w:bidi="ar-SA"/>
    </w:rPr>
  </w:style>
  <w:style w:type="character" w:customStyle="1" w:styleId="264">
    <w:name w:val="正文文本 2 字符"/>
    <w:link w:val="40"/>
    <w:autoRedefine/>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autoRedefine/>
    <w:qFormat/>
    <w:uiPriority w:val="0"/>
    <w:rPr>
      <w:rFonts w:ascii="宋体"/>
      <w:kern w:val="2"/>
      <w:sz w:val="18"/>
      <w:szCs w:val="18"/>
    </w:rPr>
  </w:style>
  <w:style w:type="character" w:customStyle="1" w:styleId="267">
    <w:name w:val="标题 8 字符"/>
    <w:link w:val="12"/>
    <w:autoRedefine/>
    <w:qFormat/>
    <w:uiPriority w:val="0"/>
    <w:rPr>
      <w:rFonts w:hAnsi="Arial" w:eastAsia="仿宋_GB2312"/>
      <w:sz w:val="30"/>
      <w:lang w:val="en-US" w:eastAsia="zh-CN" w:bidi="ar-SA"/>
    </w:rPr>
  </w:style>
  <w:style w:type="character" w:customStyle="1" w:styleId="268">
    <w:name w:val="正文文本缩进 3 字符"/>
    <w:link w:val="37"/>
    <w:autoRedefine/>
    <w:qFormat/>
    <w:uiPriority w:val="0"/>
    <w:rPr>
      <w:rFonts w:ascii="宋体" w:hAnsi="宋体" w:eastAsia="宋体"/>
      <w:kern w:val="2"/>
      <w:sz w:val="28"/>
      <w:szCs w:val="28"/>
      <w:lang w:val="en-US" w:eastAsia="zh-CN" w:bidi="ar-SA"/>
    </w:rPr>
  </w:style>
  <w:style w:type="character" w:customStyle="1" w:styleId="269">
    <w:name w:val="正文文本缩进 字符"/>
    <w:link w:val="19"/>
    <w:autoRedefine/>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7"/>
    <w:autoRedefine/>
    <w:qFormat/>
    <w:uiPriority w:val="0"/>
    <w:rPr>
      <w:rFonts w:eastAsia="宋体"/>
      <w:sz w:val="28"/>
      <w:szCs w:val="24"/>
      <w:lang w:val="en-US" w:eastAsia="zh-CN" w:bidi="ar-SA"/>
    </w:rPr>
  </w:style>
  <w:style w:type="character" w:customStyle="1" w:styleId="272">
    <w:name w:val="标题 7 字符"/>
    <w:link w:val="11"/>
    <w:autoRedefine/>
    <w:qFormat/>
    <w:uiPriority w:val="0"/>
    <w:rPr>
      <w:rFonts w:eastAsia="仿宋_GB2312"/>
      <w:sz w:val="30"/>
      <w:lang w:val="en-US" w:eastAsia="zh-CN" w:bidi="ar-SA"/>
    </w:rPr>
  </w:style>
  <w:style w:type="character" w:customStyle="1" w:styleId="273">
    <w:name w:val="Char Char13"/>
    <w:autoRedefine/>
    <w:qFormat/>
    <w:uiPriority w:val="0"/>
    <w:rPr>
      <w:kern w:val="2"/>
      <w:sz w:val="18"/>
      <w:szCs w:val="18"/>
    </w:rPr>
  </w:style>
  <w:style w:type="character" w:customStyle="1" w:styleId="274">
    <w:name w:val="正文文本缩进 2 Char1"/>
    <w:autoRedefine/>
    <w:qFormat/>
    <w:uiPriority w:val="0"/>
    <w:rPr>
      <w:sz w:val="28"/>
      <w:szCs w:val="24"/>
    </w:rPr>
  </w:style>
  <w:style w:type="character" w:customStyle="1" w:styleId="275">
    <w:name w:val="Char Char21"/>
    <w:autoRedefine/>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autoRedefine/>
    <w:qFormat/>
    <w:uiPriority w:val="0"/>
    <w:rPr>
      <w:rFonts w:ascii="Cambria" w:hAnsi="Cambria" w:eastAsia="宋体" w:cs="Times New Roman"/>
      <w:b/>
      <w:bCs/>
      <w:kern w:val="2"/>
      <w:sz w:val="32"/>
      <w:szCs w:val="32"/>
    </w:rPr>
  </w:style>
  <w:style w:type="character" w:customStyle="1" w:styleId="278">
    <w:name w:val="_Style 275"/>
    <w:autoRedefine/>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autoRedefine/>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autoRedefine/>
    <w:qFormat/>
    <w:uiPriority w:val="99"/>
    <w:rPr>
      <w:kern w:val="2"/>
      <w:sz w:val="18"/>
      <w:szCs w:val="18"/>
    </w:rPr>
  </w:style>
  <w:style w:type="character" w:customStyle="1" w:styleId="283">
    <w:name w:val="subhead1"/>
    <w:autoRedefine/>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autoRedefine/>
    <w:semiHidden/>
    <w:qFormat/>
    <w:uiPriority w:val="99"/>
    <w:rPr>
      <w:rFonts w:ascii="Calibri" w:hAnsi="Calibri" w:eastAsia="宋体" w:cs="Times New Roman"/>
      <w:sz w:val="16"/>
      <w:szCs w:val="16"/>
    </w:rPr>
  </w:style>
  <w:style w:type="character" w:customStyle="1" w:styleId="285">
    <w:name w:val="纯文本 Char"/>
    <w:autoRedefine/>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autoRedefine/>
    <w:semiHidden/>
    <w:qFormat/>
    <w:uiPriority w:val="99"/>
    <w:rPr>
      <w:kern w:val="2"/>
      <w:sz w:val="18"/>
      <w:szCs w:val="18"/>
    </w:rPr>
  </w:style>
  <w:style w:type="character" w:customStyle="1" w:styleId="288">
    <w:name w:val="Char Char14"/>
    <w:autoRedefine/>
    <w:qFormat/>
    <w:uiPriority w:val="0"/>
    <w:rPr>
      <w:kern w:val="2"/>
      <w:sz w:val="18"/>
      <w:szCs w:val="18"/>
    </w:rPr>
  </w:style>
  <w:style w:type="character" w:customStyle="1" w:styleId="289">
    <w:name w:val="批注文字 字符"/>
    <w:link w:val="17"/>
    <w:autoRedefine/>
    <w:qFormat/>
    <w:uiPriority w:val="99"/>
    <w:rPr>
      <w:rFonts w:eastAsia="宋体"/>
      <w:kern w:val="2"/>
      <w:sz w:val="21"/>
      <w:szCs w:val="24"/>
      <w:lang w:val="en-US" w:eastAsia="zh-CN" w:bidi="ar-SA"/>
    </w:rPr>
  </w:style>
  <w:style w:type="character" w:customStyle="1" w:styleId="290">
    <w:name w:val="批注文字 Char Char"/>
    <w:autoRedefine/>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8"/>
    <w:autoRedefine/>
    <w:qFormat/>
    <w:uiPriority w:val="0"/>
    <w:rPr>
      <w:rFonts w:ascii="宋体" w:hAnsi="宋体" w:eastAsia="宋体" w:cs="宋体"/>
      <w:b/>
      <w:bCs/>
      <w:lang w:val="en-US" w:eastAsia="zh-CN" w:bidi="ar-SA"/>
    </w:rPr>
  </w:style>
  <w:style w:type="character" w:customStyle="1" w:styleId="293">
    <w:name w:val="手改 Char Char"/>
    <w:autoRedefine/>
    <w:qFormat/>
    <w:uiPriority w:val="0"/>
    <w:rPr>
      <w:kern w:val="2"/>
      <w:sz w:val="21"/>
      <w:szCs w:val="24"/>
    </w:rPr>
  </w:style>
  <w:style w:type="character" w:customStyle="1" w:styleId="294">
    <w:name w:val="标题 1 字符"/>
    <w:link w:val="4"/>
    <w:autoRedefine/>
    <w:qFormat/>
    <w:uiPriority w:val="0"/>
    <w:rPr>
      <w:rFonts w:eastAsia="宋体"/>
      <w:b/>
      <w:bCs/>
      <w:kern w:val="44"/>
      <w:sz w:val="44"/>
      <w:szCs w:val="44"/>
      <w:lang w:val="en-US" w:eastAsia="zh-CN" w:bidi="ar-SA"/>
    </w:rPr>
  </w:style>
  <w:style w:type="character" w:customStyle="1" w:styleId="295">
    <w:name w:val="intel3"/>
    <w:basedOn w:val="48"/>
    <w:autoRedefine/>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autoRedefine/>
    <w:qFormat/>
    <w:uiPriority w:val="0"/>
    <w:rPr>
      <w:b/>
      <w:bCs/>
      <w:i/>
      <w:iCs/>
      <w:color w:val="4F81BD"/>
      <w:kern w:val="2"/>
      <w:sz w:val="21"/>
      <w:szCs w:val="22"/>
      <w:lang w:bidi="ar-SA"/>
    </w:rPr>
  </w:style>
  <w:style w:type="character" w:customStyle="1" w:styleId="298">
    <w:name w:val="明显引用 Char1"/>
    <w:link w:val="111"/>
    <w:autoRedefine/>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autoRedefine/>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4"/>
    <w:qFormat/>
    <w:uiPriority w:val="0"/>
    <w:rPr>
      <w:rFonts w:eastAsia="宋体"/>
      <w:szCs w:val="24"/>
      <w:u w:val="single"/>
      <w:lang w:val="en-US" w:eastAsia="en-US" w:bidi="ar-SA"/>
    </w:rPr>
  </w:style>
  <w:style w:type="character" w:customStyle="1" w:styleId="302">
    <w:name w:val="ITTHEADER1 Char"/>
    <w:autoRedefine/>
    <w:qFormat/>
    <w:uiPriority w:val="0"/>
    <w:rPr>
      <w:rFonts w:eastAsia="黑体"/>
      <w:kern w:val="2"/>
      <w:sz w:val="44"/>
      <w:szCs w:val="44"/>
      <w:lang w:val="en-US" w:eastAsia="zh-CN" w:bidi="ar-SA"/>
    </w:rPr>
  </w:style>
  <w:style w:type="character" w:customStyle="1" w:styleId="303">
    <w:name w:val="日期 Char3"/>
    <w:autoRedefine/>
    <w:semiHidden/>
    <w:qFormat/>
    <w:uiPriority w:val="99"/>
    <w:rPr>
      <w:rFonts w:ascii="Calibri" w:hAnsi="Calibri" w:eastAsia="宋体" w:cs="Times New Roman"/>
      <w:szCs w:val="24"/>
    </w:rPr>
  </w:style>
  <w:style w:type="character" w:customStyle="1" w:styleId="304">
    <w:name w:val="纯文本 字符"/>
    <w:link w:val="24"/>
    <w:autoRedefine/>
    <w:qFormat/>
    <w:uiPriority w:val="0"/>
    <w:rPr>
      <w:rFonts w:ascii="宋体" w:hAnsi="Courier New" w:eastAsia="宋体" w:cs="Courier New"/>
      <w:kern w:val="2"/>
      <w:sz w:val="21"/>
      <w:szCs w:val="21"/>
      <w:lang w:val="en-US" w:eastAsia="zh-CN" w:bidi="ar-SA"/>
    </w:rPr>
  </w:style>
  <w:style w:type="character" w:customStyle="1" w:styleId="305">
    <w:name w:val="批注文字 Char"/>
    <w:autoRedefine/>
    <w:qFormat/>
    <w:uiPriority w:val="0"/>
    <w:rPr>
      <w:rFonts w:ascii="Times New Roman" w:hAnsi="Times New Roman" w:eastAsia="宋体" w:cs="Times New Roman"/>
      <w:kern w:val="2"/>
      <w:sz w:val="21"/>
      <w:szCs w:val="24"/>
    </w:rPr>
  </w:style>
  <w:style w:type="character" w:customStyle="1" w:styleId="306">
    <w:name w:val="Section Char"/>
    <w:autoRedefine/>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8"/>
    <w:autoRedefine/>
    <w:qFormat/>
    <w:uiPriority w:val="0"/>
    <w:rPr>
      <w:rFonts w:eastAsia="宋体"/>
      <w:kern w:val="2"/>
      <w:sz w:val="16"/>
      <w:szCs w:val="16"/>
      <w:lang w:val="en-US" w:eastAsia="zh-CN" w:bidi="ar-SA"/>
    </w:rPr>
  </w:style>
  <w:style w:type="character" w:customStyle="1" w:styleId="309">
    <w:name w:val="普通文字 Char Char1"/>
    <w:autoRedefine/>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autoRedefine/>
    <w:qFormat/>
    <w:uiPriority w:val="0"/>
    <w:rPr>
      <w:b/>
      <w:bCs/>
      <w:sz w:val="32"/>
      <w:szCs w:val="32"/>
    </w:rPr>
  </w:style>
  <w:style w:type="paragraph" w:customStyle="1" w:styleId="312">
    <w:name w:val="List Paragraph"/>
    <w:basedOn w:val="1"/>
    <w:qFormat/>
    <w:uiPriority w:val="99"/>
    <w:pPr>
      <w:ind w:firstLine="420" w:firstLineChars="200"/>
    </w:pPr>
    <w:rPr>
      <w:sz w:val="28"/>
      <w:szCs w:val="28"/>
    </w:rPr>
  </w:style>
  <w:style w:type="paragraph" w:customStyle="1" w:styleId="313">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21664</Words>
  <Characters>23176</Characters>
  <Lines>1335</Lines>
  <Paragraphs>376</Paragraphs>
  <TotalTime>20</TotalTime>
  <ScaleCrop>false</ScaleCrop>
  <LinksUpToDate>false</LinksUpToDate>
  <CharactersWithSpaces>24333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亻半</cp:lastModifiedBy>
  <cp:lastPrinted>2020-08-27T03:13:00Z</cp:lastPrinted>
  <dcterms:modified xsi:type="dcterms:W3CDTF">2025-07-07T01:53:04Z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79B6500CA8A146DF9DBBA58B57CF1930</vt:lpwstr>
  </property>
  <property fmtid="{D5CDD505-2E9C-101B-9397-08002B2CF9AE}" pid="4" name="KSOTemplateDocerSaveRecord">
    <vt:lpwstr>eyJoZGlkIjoiNjJhNmJkZTZhMWNhZDcxZGNmNjJjM2Q2MWY0MmMyNmYiLCJ1c2VySWQiOiI3MTU0MTAxOTAifQ==</vt:lpwstr>
  </property>
</Properties>
</file>