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auto"/>
          <w:sz w:val="44"/>
          <w:szCs w:val="44"/>
          <w:highlight w:val="none"/>
        </w:rPr>
      </w:pPr>
      <w:bookmarkStart w:id="0" w:name="_Toc287620665"/>
    </w:p>
    <w:p>
      <w:pPr>
        <w:spacing w:line="360" w:lineRule="auto"/>
        <w:jc w:val="center"/>
        <w:rPr>
          <w:rFonts w:hint="eastAsia" w:ascii="宋体" w:hAnsi="宋体" w:eastAsia="宋体"/>
          <w:b/>
          <w:bCs/>
          <w:color w:val="auto"/>
          <w:kern w:val="0"/>
          <w:sz w:val="52"/>
          <w:szCs w:val="52"/>
          <w:highlight w:val="none"/>
          <w:u w:val="none"/>
          <w:lang w:eastAsia="zh-CN"/>
        </w:rPr>
      </w:pPr>
      <w:r>
        <w:rPr>
          <w:rFonts w:hint="eastAsia" w:ascii="宋体" w:hAnsi="宋体"/>
          <w:b/>
          <w:bCs/>
          <w:color w:val="auto"/>
          <w:kern w:val="0"/>
          <w:sz w:val="52"/>
          <w:szCs w:val="52"/>
          <w:highlight w:val="none"/>
          <w:u w:val="none"/>
          <w:lang w:eastAsia="zh-CN"/>
        </w:rPr>
        <w:t>长安锦绣城4栋外墙及门头防水维修工程</w:t>
      </w: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pStyle w:val="17"/>
        <w:rPr>
          <w:rFonts w:ascii="宋体" w:hAnsi="宋体"/>
          <w:color w:val="auto"/>
          <w:kern w:val="0"/>
          <w:sz w:val="20"/>
          <w:szCs w:val="20"/>
          <w:highlight w:val="none"/>
        </w:rPr>
      </w:pPr>
    </w:p>
    <w:p>
      <w:pPr>
        <w:rPr>
          <w:rFonts w:ascii="宋体" w:hAnsi="宋体"/>
          <w:color w:val="auto"/>
          <w:kern w:val="0"/>
          <w:sz w:val="20"/>
          <w:szCs w:val="20"/>
          <w:highlight w:val="none"/>
        </w:rPr>
      </w:pPr>
    </w:p>
    <w:p>
      <w:pPr>
        <w:pStyle w:val="8"/>
      </w:pPr>
    </w:p>
    <w:p>
      <w:pPr>
        <w:pStyle w:val="17"/>
        <w:rPr>
          <w:color w:val="auto"/>
          <w:highlight w:val="none"/>
        </w:rPr>
      </w:pPr>
    </w:p>
    <w:p>
      <w:pPr>
        <w:rPr>
          <w:color w:val="auto"/>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center"/>
        <w:rPr>
          <w:rFonts w:ascii="宋体" w:hAnsi="宋体"/>
          <w:b/>
          <w:bCs/>
          <w:color w:val="auto"/>
          <w:kern w:val="0"/>
          <w:sz w:val="72"/>
          <w:szCs w:val="72"/>
          <w:highlight w:val="none"/>
        </w:rPr>
      </w:pPr>
      <w:r>
        <w:rPr>
          <w:rFonts w:ascii="宋体" w:hAnsi="宋体"/>
          <w:b/>
          <w:bCs/>
          <w:color w:val="auto"/>
          <w:kern w:val="0"/>
          <w:sz w:val="72"/>
          <w:szCs w:val="72"/>
          <w:highlight w:val="none"/>
        </w:rPr>
        <w:t>施</w:t>
      </w:r>
      <w:r>
        <w:rPr>
          <w:rFonts w:hint="eastAsia" w:ascii="宋体" w:hAnsi="宋体"/>
          <w:b/>
          <w:bCs/>
          <w:color w:val="auto"/>
          <w:kern w:val="0"/>
          <w:sz w:val="72"/>
          <w:szCs w:val="72"/>
          <w:highlight w:val="none"/>
        </w:rPr>
        <w:t xml:space="preserve"> </w:t>
      </w:r>
      <w:r>
        <w:rPr>
          <w:rFonts w:ascii="宋体" w:hAnsi="宋体"/>
          <w:b/>
          <w:bCs/>
          <w:color w:val="auto"/>
          <w:kern w:val="0"/>
          <w:sz w:val="72"/>
          <w:szCs w:val="72"/>
          <w:highlight w:val="none"/>
        </w:rPr>
        <w:t>工</w:t>
      </w:r>
      <w:r>
        <w:rPr>
          <w:rFonts w:hint="eastAsia" w:ascii="宋体" w:hAnsi="宋体"/>
          <w:b/>
          <w:bCs/>
          <w:color w:val="auto"/>
          <w:kern w:val="0"/>
          <w:sz w:val="72"/>
          <w:szCs w:val="72"/>
          <w:highlight w:val="none"/>
        </w:rPr>
        <w:t xml:space="preserve"> </w:t>
      </w:r>
      <w:r>
        <w:rPr>
          <w:rFonts w:ascii="宋体" w:hAnsi="宋体"/>
          <w:b/>
          <w:bCs/>
          <w:color w:val="auto"/>
          <w:kern w:val="0"/>
          <w:sz w:val="72"/>
          <w:szCs w:val="72"/>
          <w:highlight w:val="none"/>
        </w:rPr>
        <w:t>招</w:t>
      </w:r>
      <w:r>
        <w:rPr>
          <w:rFonts w:hint="eastAsia" w:ascii="宋体" w:hAnsi="宋体"/>
          <w:b/>
          <w:bCs/>
          <w:color w:val="auto"/>
          <w:kern w:val="0"/>
          <w:sz w:val="72"/>
          <w:szCs w:val="72"/>
          <w:highlight w:val="none"/>
        </w:rPr>
        <w:t xml:space="preserve"> </w:t>
      </w:r>
      <w:r>
        <w:rPr>
          <w:rFonts w:ascii="宋体" w:hAnsi="宋体"/>
          <w:b/>
          <w:bCs/>
          <w:color w:val="auto"/>
          <w:kern w:val="0"/>
          <w:sz w:val="72"/>
          <w:szCs w:val="72"/>
          <w:highlight w:val="none"/>
        </w:rPr>
        <w:t>标</w:t>
      </w:r>
      <w:r>
        <w:rPr>
          <w:rFonts w:hint="eastAsia" w:ascii="宋体" w:hAnsi="宋体"/>
          <w:b/>
          <w:bCs/>
          <w:color w:val="auto"/>
          <w:kern w:val="0"/>
          <w:sz w:val="72"/>
          <w:szCs w:val="72"/>
          <w:highlight w:val="none"/>
        </w:rPr>
        <w:t xml:space="preserve"> </w:t>
      </w:r>
      <w:r>
        <w:rPr>
          <w:rFonts w:ascii="宋体" w:hAnsi="宋体"/>
          <w:b/>
          <w:bCs/>
          <w:color w:val="auto"/>
          <w:kern w:val="0"/>
          <w:sz w:val="72"/>
          <w:szCs w:val="72"/>
          <w:highlight w:val="none"/>
        </w:rPr>
        <w:t>文</w:t>
      </w:r>
      <w:r>
        <w:rPr>
          <w:rFonts w:hint="eastAsia" w:ascii="宋体" w:hAnsi="宋体"/>
          <w:b/>
          <w:bCs/>
          <w:color w:val="auto"/>
          <w:kern w:val="0"/>
          <w:sz w:val="72"/>
          <w:szCs w:val="72"/>
          <w:highlight w:val="none"/>
        </w:rPr>
        <w:t xml:space="preserve"> </w:t>
      </w:r>
      <w:r>
        <w:rPr>
          <w:rFonts w:ascii="宋体" w:hAnsi="宋体"/>
          <w:b/>
          <w:bCs/>
          <w:color w:val="auto"/>
          <w:kern w:val="0"/>
          <w:sz w:val="72"/>
          <w:szCs w:val="72"/>
          <w:highlight w:val="none"/>
        </w:rPr>
        <w:t>件</w:t>
      </w:r>
    </w:p>
    <w:p>
      <w:pPr>
        <w:autoSpaceDE w:val="0"/>
        <w:autoSpaceDN w:val="0"/>
        <w:adjustRightInd w:val="0"/>
        <w:snapToGrid w:val="0"/>
        <w:spacing w:line="360" w:lineRule="auto"/>
        <w:jc w:val="left"/>
        <w:rPr>
          <w:rFonts w:ascii="宋体" w:hAnsi="宋体"/>
          <w:color w:val="auto"/>
          <w:kern w:val="0"/>
          <w:sz w:val="10"/>
          <w:szCs w:val="1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rPr>
          <w:rFonts w:ascii="宋体" w:hAnsi="宋体"/>
          <w:color w:val="auto"/>
          <w:kern w:val="0"/>
          <w:sz w:val="20"/>
          <w:szCs w:val="20"/>
          <w:highlight w:val="none"/>
        </w:rPr>
      </w:pPr>
    </w:p>
    <w:p>
      <w:pPr>
        <w:pStyle w:val="17"/>
        <w:rPr>
          <w:color w:val="auto"/>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rPr>
          <w:rFonts w:ascii="宋体" w:hAnsi="宋体"/>
          <w:color w:val="auto"/>
          <w:kern w:val="0"/>
          <w:sz w:val="20"/>
          <w:szCs w:val="20"/>
          <w:highlight w:val="none"/>
        </w:rPr>
      </w:pPr>
    </w:p>
    <w:p>
      <w:pPr>
        <w:autoSpaceDE w:val="0"/>
        <w:autoSpaceDN w:val="0"/>
        <w:adjustRightInd w:val="0"/>
        <w:snapToGrid w:val="0"/>
        <w:spacing w:line="360" w:lineRule="auto"/>
        <w:rPr>
          <w:rFonts w:ascii="宋体" w:hAnsi="宋体"/>
          <w:color w:val="auto"/>
          <w:kern w:val="0"/>
          <w:sz w:val="20"/>
          <w:szCs w:val="20"/>
          <w:highlight w:val="none"/>
        </w:rPr>
      </w:pPr>
    </w:p>
    <w:p>
      <w:pPr>
        <w:pStyle w:val="8"/>
      </w:pPr>
    </w:p>
    <w:p>
      <w:pPr>
        <w:autoSpaceDE w:val="0"/>
        <w:autoSpaceDN w:val="0"/>
        <w:adjustRightInd w:val="0"/>
        <w:snapToGrid w:val="0"/>
        <w:spacing w:line="360" w:lineRule="auto"/>
        <w:rPr>
          <w:rFonts w:ascii="宋体" w:hAnsi="宋体"/>
          <w:color w:val="auto"/>
          <w:kern w:val="0"/>
          <w:sz w:val="20"/>
          <w:szCs w:val="20"/>
          <w:highlight w:val="none"/>
        </w:rPr>
      </w:pPr>
    </w:p>
    <w:p>
      <w:pPr>
        <w:tabs>
          <w:tab w:val="left" w:pos="6252"/>
        </w:tabs>
        <w:autoSpaceDE w:val="0"/>
        <w:autoSpaceDN w:val="0"/>
        <w:adjustRightInd w:val="0"/>
        <w:snapToGrid w:val="0"/>
        <w:spacing w:line="360" w:lineRule="auto"/>
        <w:jc w:val="center"/>
        <w:rPr>
          <w:rFonts w:ascii="宋体" w:hAnsi="宋体"/>
          <w:b/>
          <w:bCs w:val="0"/>
          <w:color w:val="auto"/>
          <w:spacing w:val="8"/>
          <w:kern w:val="0"/>
          <w:sz w:val="28"/>
          <w:szCs w:val="28"/>
          <w:highlight w:val="none"/>
        </w:rPr>
      </w:pPr>
      <w:r>
        <w:rPr>
          <w:rFonts w:ascii="宋体" w:hAnsi="宋体"/>
          <w:b/>
          <w:bCs w:val="0"/>
          <w:color w:val="auto"/>
          <w:spacing w:val="8"/>
          <w:kern w:val="0"/>
          <w:sz w:val="28"/>
          <w:szCs w:val="28"/>
          <w:highlight w:val="none"/>
        </w:rPr>
        <w:t>招标人：</w:t>
      </w:r>
      <w:r>
        <w:rPr>
          <w:rFonts w:hint="eastAsia" w:ascii="宋体" w:hAnsi="宋体"/>
          <w:b/>
          <w:bCs w:val="0"/>
          <w:color w:val="auto"/>
          <w:spacing w:val="8"/>
          <w:kern w:val="0"/>
          <w:sz w:val="28"/>
          <w:szCs w:val="28"/>
          <w:highlight w:val="none"/>
          <w:u w:val="single"/>
        </w:rPr>
        <w:t>重庆长安智慧城市运营管理有限公司</w:t>
      </w:r>
      <w:r>
        <w:rPr>
          <w:rFonts w:ascii="宋体" w:hAnsi="宋体"/>
          <w:b/>
          <w:bCs w:val="0"/>
          <w:color w:val="auto"/>
          <w:spacing w:val="8"/>
          <w:kern w:val="0"/>
          <w:sz w:val="28"/>
          <w:szCs w:val="28"/>
          <w:highlight w:val="none"/>
        </w:rPr>
        <w:t>（盖单位法人章）</w:t>
      </w:r>
    </w:p>
    <w:p>
      <w:pPr>
        <w:tabs>
          <w:tab w:val="left" w:pos="6252"/>
        </w:tabs>
        <w:autoSpaceDE w:val="0"/>
        <w:autoSpaceDN w:val="0"/>
        <w:adjustRightInd w:val="0"/>
        <w:snapToGrid w:val="0"/>
        <w:spacing w:line="360" w:lineRule="auto"/>
        <w:jc w:val="center"/>
        <w:rPr>
          <w:rFonts w:ascii="宋体" w:hAnsi="宋体"/>
          <w:b/>
          <w:color w:val="auto"/>
          <w:kern w:val="0"/>
          <w:sz w:val="28"/>
          <w:szCs w:val="28"/>
          <w:highlight w:val="none"/>
        </w:rPr>
      </w:pPr>
      <w:r>
        <w:rPr>
          <w:rFonts w:ascii="宋体" w:hAnsi="宋体"/>
          <w:b/>
          <w:bCs w:val="0"/>
          <w:color w:val="auto"/>
          <w:spacing w:val="8"/>
          <w:kern w:val="0"/>
          <w:sz w:val="28"/>
          <w:szCs w:val="28"/>
          <w:highlight w:val="none"/>
        </w:rPr>
        <w:t>招标代理机构：</w:t>
      </w:r>
      <w:r>
        <w:rPr>
          <w:rFonts w:hint="eastAsia" w:ascii="宋体" w:hAnsi="宋体"/>
          <w:b/>
          <w:bCs w:val="0"/>
          <w:color w:val="auto"/>
          <w:kern w:val="0"/>
          <w:sz w:val="28"/>
          <w:szCs w:val="28"/>
          <w:highlight w:val="none"/>
          <w:u w:val="single"/>
        </w:rPr>
        <w:t>凌辉建设工程咨询有限公司</w:t>
      </w:r>
      <w:r>
        <w:rPr>
          <w:rFonts w:ascii="宋体" w:hAnsi="宋体"/>
          <w:b/>
          <w:bCs w:val="0"/>
          <w:color w:val="auto"/>
          <w:spacing w:val="8"/>
          <w:kern w:val="0"/>
          <w:sz w:val="28"/>
          <w:szCs w:val="28"/>
          <w:highlight w:val="none"/>
        </w:rPr>
        <w:t>（盖单位法人章）</w:t>
      </w:r>
    </w:p>
    <w:p>
      <w:pPr>
        <w:autoSpaceDE w:val="0"/>
        <w:autoSpaceDN w:val="0"/>
        <w:adjustRightInd w:val="0"/>
        <w:snapToGrid w:val="0"/>
        <w:spacing w:line="360" w:lineRule="auto"/>
        <w:rPr>
          <w:rFonts w:ascii="宋体" w:hAnsi="宋体"/>
          <w:b/>
          <w:color w:val="auto"/>
          <w:kern w:val="0"/>
          <w:sz w:val="20"/>
          <w:szCs w:val="20"/>
          <w:highlight w:val="none"/>
        </w:rPr>
      </w:pPr>
    </w:p>
    <w:p>
      <w:pPr>
        <w:tabs>
          <w:tab w:val="left" w:pos="6252"/>
        </w:tabs>
        <w:autoSpaceDE w:val="0"/>
        <w:autoSpaceDN w:val="0"/>
        <w:adjustRightInd w:val="0"/>
        <w:snapToGrid w:val="0"/>
        <w:spacing w:line="360" w:lineRule="auto"/>
        <w:jc w:val="center"/>
        <w:rPr>
          <w:rFonts w:ascii="宋体" w:hAnsi="宋体"/>
          <w:bCs/>
          <w:color w:val="auto"/>
          <w:spacing w:val="8"/>
          <w:kern w:val="0"/>
          <w:sz w:val="28"/>
          <w:szCs w:val="28"/>
          <w:highlight w:val="none"/>
        </w:rPr>
      </w:pPr>
      <w:bookmarkStart w:id="1" w:name="_Toc536797277"/>
      <w:bookmarkStart w:id="2" w:name="_Toc13210649"/>
      <w:bookmarkStart w:id="3" w:name="_Toc536621766"/>
      <w:bookmarkStart w:id="4" w:name="_Toc509218549"/>
      <w:bookmarkStart w:id="5" w:name="_Toc536796736"/>
      <w:r>
        <w:rPr>
          <w:rFonts w:hint="eastAsia" w:ascii="宋体" w:hAnsi="宋体"/>
          <w:b/>
          <w:color w:val="auto"/>
          <w:spacing w:val="8"/>
          <w:kern w:val="0"/>
          <w:sz w:val="28"/>
          <w:szCs w:val="28"/>
          <w:highlight w:val="none"/>
          <w:u w:val="single"/>
          <w:lang w:val="en-US" w:eastAsia="zh-CN"/>
        </w:rPr>
        <w:t>2025</w:t>
      </w:r>
      <w:r>
        <w:rPr>
          <w:rFonts w:ascii="宋体" w:hAnsi="宋体"/>
          <w:b/>
          <w:color w:val="auto"/>
          <w:spacing w:val="8"/>
          <w:kern w:val="0"/>
          <w:sz w:val="28"/>
          <w:szCs w:val="28"/>
          <w:highlight w:val="none"/>
        </w:rPr>
        <w:t>年</w:t>
      </w:r>
      <w:r>
        <w:rPr>
          <w:rFonts w:hint="eastAsia" w:ascii="宋体" w:hAnsi="宋体"/>
          <w:b/>
          <w:color w:val="auto"/>
          <w:spacing w:val="8"/>
          <w:kern w:val="0"/>
          <w:sz w:val="28"/>
          <w:szCs w:val="28"/>
          <w:highlight w:val="none"/>
          <w:u w:val="single"/>
          <w:lang w:val="en-US" w:eastAsia="zh-CN"/>
        </w:rPr>
        <w:t>5</w:t>
      </w:r>
      <w:r>
        <w:rPr>
          <w:rFonts w:ascii="宋体" w:hAnsi="宋体"/>
          <w:b/>
          <w:color w:val="auto"/>
          <w:spacing w:val="8"/>
          <w:kern w:val="0"/>
          <w:sz w:val="28"/>
          <w:szCs w:val="28"/>
          <w:highlight w:val="none"/>
        </w:rPr>
        <w:t>月</w:t>
      </w:r>
      <w:bookmarkEnd w:id="1"/>
      <w:bookmarkEnd w:id="2"/>
      <w:bookmarkEnd w:id="3"/>
      <w:bookmarkEnd w:id="4"/>
      <w:bookmarkEnd w:id="5"/>
    </w:p>
    <w:p>
      <w:pPr>
        <w:pStyle w:val="2"/>
        <w:spacing w:line="360" w:lineRule="auto"/>
        <w:jc w:val="center"/>
        <w:rPr>
          <w:rFonts w:ascii="宋体" w:hAnsi="宋体"/>
          <w:color w:val="auto"/>
          <w:w w:val="99"/>
          <w:kern w:val="0"/>
          <w:sz w:val="24"/>
          <w:highlight w:val="none"/>
        </w:rPr>
        <w:sectPr>
          <w:headerReference r:id="rId4" w:type="default"/>
          <w:footerReference r:id="rId5" w:type="default"/>
          <w:pgSz w:w="11907" w:h="16840"/>
          <w:pgMar w:top="1304" w:right="1134" w:bottom="1304" w:left="1304" w:header="851" w:footer="992" w:gutter="0"/>
          <w:pgNumType w:fmt="numberInDash" w:start="1"/>
          <w:cols w:space="720" w:num="1"/>
          <w:docGrid w:linePitch="312" w:charSpace="0"/>
        </w:sectPr>
      </w:pPr>
    </w:p>
    <w:p>
      <w:pPr>
        <w:pStyle w:val="119"/>
        <w:jc w:val="center"/>
        <w:rPr>
          <w:rFonts w:ascii="宋体" w:hAnsi="宋体"/>
          <w:color w:val="auto"/>
          <w:sz w:val="56"/>
          <w:szCs w:val="56"/>
          <w:highlight w:val="none"/>
        </w:rPr>
      </w:pPr>
      <w:bookmarkStart w:id="6" w:name="_Toc5767"/>
      <w:bookmarkStart w:id="7" w:name="_Toc28843"/>
      <w:r>
        <w:rPr>
          <w:rFonts w:ascii="宋体" w:hAnsi="宋体"/>
          <w:color w:val="auto"/>
          <w:sz w:val="56"/>
          <w:szCs w:val="56"/>
          <w:highlight w:val="none"/>
          <w:lang w:val="zh-CN"/>
        </w:rPr>
        <w:t>目</w:t>
      </w:r>
      <w:r>
        <w:rPr>
          <w:rFonts w:hint="eastAsia" w:ascii="宋体" w:hAnsi="宋体"/>
          <w:color w:val="auto"/>
          <w:sz w:val="56"/>
          <w:szCs w:val="56"/>
          <w:highlight w:val="none"/>
          <w:lang w:val="zh-CN"/>
        </w:rPr>
        <w:t xml:space="preserve"> </w:t>
      </w:r>
      <w:r>
        <w:rPr>
          <w:rFonts w:ascii="宋体" w:hAnsi="宋体"/>
          <w:color w:val="auto"/>
          <w:sz w:val="56"/>
          <w:szCs w:val="56"/>
          <w:highlight w:val="none"/>
          <w:lang w:val="zh-CN"/>
        </w:rPr>
        <w:t>录</w:t>
      </w:r>
      <w:bookmarkEnd w:id="6"/>
      <w:bookmarkEnd w:id="7"/>
    </w:p>
    <w:p>
      <w:pPr>
        <w:pStyle w:val="31"/>
        <w:keepNext w:val="0"/>
        <w:keepLines w:val="0"/>
        <w:pageBreakBefore w:val="0"/>
        <w:widowControl w:val="0"/>
        <w:tabs>
          <w:tab w:val="right" w:leader="dot" w:pos="9459"/>
        </w:tabs>
        <w:kinsoku/>
        <w:wordWrap/>
        <w:overflowPunct/>
        <w:topLinePunct w:val="0"/>
        <w:autoSpaceDE/>
        <w:autoSpaceDN/>
        <w:bidi w:val="0"/>
        <w:adjustRightInd/>
        <w:snapToGrid/>
        <w:spacing w:line="480" w:lineRule="auto"/>
        <w:textAlignment w:val="auto"/>
        <w:rPr>
          <w:rFonts w:ascii="宋体" w:hAnsi="宋体"/>
          <w:color w:val="auto"/>
          <w:highlight w:val="none"/>
        </w:rPr>
      </w:pPr>
    </w:p>
    <w:p>
      <w:pPr>
        <w:pStyle w:val="31"/>
        <w:keepNext w:val="0"/>
        <w:keepLines w:val="0"/>
        <w:pageBreakBefore w:val="0"/>
        <w:widowControl w:val="0"/>
        <w:tabs>
          <w:tab w:val="right" w:leader="dot" w:pos="9459"/>
        </w:tabs>
        <w:kinsoku/>
        <w:wordWrap/>
        <w:overflowPunct/>
        <w:topLinePunct w:val="0"/>
        <w:autoSpaceDE/>
        <w:autoSpaceDN/>
        <w:bidi w:val="0"/>
        <w:adjustRightInd/>
        <w:snapToGrid/>
        <w:spacing w:line="480" w:lineRule="auto"/>
        <w:textAlignment w:val="auto"/>
        <w:rPr>
          <w:rFonts w:ascii="Calibri" w:hAnsi="Calibri"/>
          <w:b w:val="0"/>
          <w:bCs w:val="0"/>
          <w:caps w:val="0"/>
          <w:color w:val="auto"/>
          <w:sz w:val="28"/>
          <w:szCs w:val="32"/>
          <w:highlight w:val="none"/>
        </w:rPr>
      </w:pPr>
      <w:r>
        <w:rPr>
          <w:rFonts w:ascii="宋体" w:hAnsi="宋体"/>
          <w:color w:val="auto"/>
          <w:highlight w:val="none"/>
        </w:rPr>
        <w:fldChar w:fldCharType="begin"/>
      </w:r>
      <w:r>
        <w:rPr>
          <w:rFonts w:ascii="宋体" w:hAnsi="宋体"/>
          <w:color w:val="auto"/>
          <w:highlight w:val="none"/>
        </w:rPr>
        <w:instrText xml:space="preserve"> TOC \o "1-3" \h \z \u </w:instrText>
      </w:r>
      <w:r>
        <w:rPr>
          <w:rFonts w:ascii="宋体" w:hAnsi="宋体"/>
          <w:color w:val="auto"/>
          <w:highlight w:val="none"/>
        </w:rPr>
        <w:fldChar w:fldCharType="separate"/>
      </w:r>
      <w:r>
        <w:rPr>
          <w:color w:val="auto"/>
          <w:sz w:val="24"/>
          <w:szCs w:val="24"/>
          <w:highlight w:val="none"/>
        </w:rPr>
        <w:fldChar w:fldCharType="begin"/>
      </w:r>
      <w:r>
        <w:rPr>
          <w:color w:val="auto"/>
          <w:sz w:val="24"/>
          <w:szCs w:val="24"/>
          <w:highlight w:val="none"/>
        </w:rPr>
        <w:instrText xml:space="preserve"> HYPERLINK \l "_Toc57905811" </w:instrText>
      </w:r>
      <w:r>
        <w:rPr>
          <w:color w:val="auto"/>
          <w:sz w:val="24"/>
          <w:szCs w:val="24"/>
          <w:highlight w:val="none"/>
        </w:rPr>
        <w:fldChar w:fldCharType="separate"/>
      </w:r>
      <w:r>
        <w:rPr>
          <w:rStyle w:val="53"/>
          <w:rFonts w:hint="eastAsia" w:ascii="宋体" w:hAnsi="宋体"/>
          <w:snapToGrid w:val="0"/>
          <w:color w:val="auto"/>
          <w:kern w:val="0"/>
          <w:sz w:val="24"/>
          <w:szCs w:val="24"/>
          <w:highlight w:val="none"/>
        </w:rPr>
        <w:t>第一章</w:t>
      </w:r>
      <w:r>
        <w:rPr>
          <w:rStyle w:val="53"/>
          <w:rFonts w:ascii="宋体" w:hAnsi="宋体"/>
          <w:snapToGrid w:val="0"/>
          <w:color w:val="auto"/>
          <w:kern w:val="0"/>
          <w:sz w:val="24"/>
          <w:szCs w:val="24"/>
          <w:highlight w:val="none"/>
        </w:rPr>
        <w:t xml:space="preserve">  </w:t>
      </w:r>
      <w:r>
        <w:rPr>
          <w:rStyle w:val="53"/>
          <w:rFonts w:hint="eastAsia" w:ascii="宋体" w:hAnsi="宋体"/>
          <w:snapToGrid w:val="0"/>
          <w:color w:val="auto"/>
          <w:kern w:val="0"/>
          <w:sz w:val="24"/>
          <w:szCs w:val="24"/>
          <w:highlight w:val="none"/>
        </w:rPr>
        <w:t>招标公告</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_Toc57905811 \h </w:instrText>
      </w:r>
      <w:r>
        <w:rPr>
          <w:color w:val="auto"/>
          <w:sz w:val="24"/>
          <w:szCs w:val="24"/>
          <w:highlight w:val="none"/>
        </w:rPr>
        <w:fldChar w:fldCharType="separate"/>
      </w:r>
      <w:r>
        <w:rPr>
          <w:color w:val="auto"/>
          <w:sz w:val="24"/>
          <w:szCs w:val="24"/>
          <w:highlight w:val="none"/>
        </w:rPr>
        <w:t>3</w:t>
      </w:r>
      <w:r>
        <w:rPr>
          <w:color w:val="auto"/>
          <w:sz w:val="24"/>
          <w:szCs w:val="24"/>
          <w:highlight w:val="none"/>
        </w:rPr>
        <w:fldChar w:fldCharType="end"/>
      </w:r>
      <w:r>
        <w:rPr>
          <w:color w:val="auto"/>
          <w:sz w:val="24"/>
          <w:szCs w:val="24"/>
          <w:highlight w:val="none"/>
        </w:rPr>
        <w:fldChar w:fldCharType="end"/>
      </w:r>
    </w:p>
    <w:p>
      <w:pPr>
        <w:pStyle w:val="31"/>
        <w:keepNext w:val="0"/>
        <w:keepLines w:val="0"/>
        <w:pageBreakBefore w:val="0"/>
        <w:widowControl w:val="0"/>
        <w:tabs>
          <w:tab w:val="right" w:leader="dot" w:pos="9459"/>
        </w:tabs>
        <w:kinsoku/>
        <w:wordWrap/>
        <w:overflowPunct/>
        <w:topLinePunct w:val="0"/>
        <w:autoSpaceDE/>
        <w:autoSpaceDN/>
        <w:bidi w:val="0"/>
        <w:adjustRightInd/>
        <w:snapToGrid/>
        <w:spacing w:line="480" w:lineRule="auto"/>
        <w:textAlignment w:val="auto"/>
        <w:rPr>
          <w:rFonts w:ascii="Calibri" w:hAnsi="Calibri"/>
          <w:b w:val="0"/>
          <w:bCs w:val="0"/>
          <w:caps w:val="0"/>
          <w:color w:val="auto"/>
          <w:sz w:val="28"/>
          <w:szCs w:val="32"/>
          <w:highlight w:val="none"/>
        </w:rPr>
      </w:pPr>
      <w:r>
        <w:rPr>
          <w:color w:val="auto"/>
          <w:sz w:val="24"/>
          <w:szCs w:val="24"/>
          <w:highlight w:val="none"/>
        </w:rPr>
        <w:fldChar w:fldCharType="begin"/>
      </w:r>
      <w:r>
        <w:rPr>
          <w:color w:val="auto"/>
          <w:sz w:val="24"/>
          <w:szCs w:val="24"/>
          <w:highlight w:val="none"/>
        </w:rPr>
        <w:instrText xml:space="preserve"> HYPERLINK \l "_Toc57905828" </w:instrText>
      </w:r>
      <w:r>
        <w:rPr>
          <w:color w:val="auto"/>
          <w:sz w:val="24"/>
          <w:szCs w:val="24"/>
          <w:highlight w:val="none"/>
        </w:rPr>
        <w:fldChar w:fldCharType="separate"/>
      </w:r>
      <w:r>
        <w:rPr>
          <w:rStyle w:val="53"/>
          <w:rFonts w:hint="eastAsia" w:ascii="宋体" w:hAnsi="宋体"/>
          <w:snapToGrid w:val="0"/>
          <w:color w:val="auto"/>
          <w:kern w:val="0"/>
          <w:sz w:val="24"/>
          <w:szCs w:val="24"/>
          <w:highlight w:val="none"/>
        </w:rPr>
        <w:t>第二章</w:t>
      </w:r>
      <w:r>
        <w:rPr>
          <w:rStyle w:val="53"/>
          <w:rFonts w:ascii="宋体" w:hAnsi="宋体"/>
          <w:snapToGrid w:val="0"/>
          <w:color w:val="auto"/>
          <w:kern w:val="0"/>
          <w:sz w:val="24"/>
          <w:szCs w:val="24"/>
          <w:highlight w:val="none"/>
        </w:rPr>
        <w:t xml:space="preserve">  </w:t>
      </w:r>
      <w:r>
        <w:rPr>
          <w:rStyle w:val="53"/>
          <w:rFonts w:hint="eastAsia" w:ascii="宋体" w:hAnsi="宋体"/>
          <w:snapToGrid w:val="0"/>
          <w:color w:val="auto"/>
          <w:kern w:val="0"/>
          <w:sz w:val="24"/>
          <w:szCs w:val="24"/>
          <w:highlight w:val="none"/>
        </w:rPr>
        <w:t>投标人须知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_Toc57905828 \h </w:instrText>
      </w:r>
      <w:r>
        <w:rPr>
          <w:color w:val="auto"/>
          <w:sz w:val="24"/>
          <w:szCs w:val="24"/>
          <w:highlight w:val="none"/>
        </w:rPr>
        <w:fldChar w:fldCharType="separate"/>
      </w:r>
      <w:r>
        <w:rPr>
          <w:color w:val="auto"/>
          <w:sz w:val="24"/>
          <w:szCs w:val="24"/>
          <w:highlight w:val="none"/>
        </w:rPr>
        <w:t>5</w:t>
      </w:r>
      <w:r>
        <w:rPr>
          <w:color w:val="auto"/>
          <w:sz w:val="24"/>
          <w:szCs w:val="24"/>
          <w:highlight w:val="none"/>
        </w:rPr>
        <w:fldChar w:fldCharType="end"/>
      </w:r>
      <w:r>
        <w:rPr>
          <w:color w:val="auto"/>
          <w:sz w:val="24"/>
          <w:szCs w:val="24"/>
          <w:highlight w:val="none"/>
        </w:rPr>
        <w:fldChar w:fldCharType="end"/>
      </w:r>
    </w:p>
    <w:p>
      <w:pPr>
        <w:pStyle w:val="31"/>
        <w:keepNext w:val="0"/>
        <w:keepLines w:val="0"/>
        <w:pageBreakBefore w:val="0"/>
        <w:widowControl w:val="0"/>
        <w:tabs>
          <w:tab w:val="right" w:leader="dot" w:pos="9459"/>
        </w:tabs>
        <w:kinsoku/>
        <w:wordWrap/>
        <w:overflowPunct/>
        <w:topLinePunct w:val="0"/>
        <w:autoSpaceDE/>
        <w:autoSpaceDN/>
        <w:bidi w:val="0"/>
        <w:adjustRightInd/>
        <w:snapToGrid/>
        <w:spacing w:line="480" w:lineRule="auto"/>
        <w:textAlignment w:val="auto"/>
        <w:rPr>
          <w:rFonts w:ascii="Calibri" w:hAnsi="Calibri"/>
          <w:b w:val="0"/>
          <w:bCs w:val="0"/>
          <w:caps w:val="0"/>
          <w:color w:val="auto"/>
          <w:sz w:val="28"/>
          <w:szCs w:val="32"/>
          <w:highlight w:val="none"/>
        </w:rPr>
      </w:pPr>
      <w:r>
        <w:rPr>
          <w:color w:val="auto"/>
          <w:sz w:val="24"/>
          <w:szCs w:val="24"/>
          <w:highlight w:val="none"/>
        </w:rPr>
        <w:fldChar w:fldCharType="begin"/>
      </w:r>
      <w:r>
        <w:rPr>
          <w:color w:val="auto"/>
          <w:sz w:val="24"/>
          <w:szCs w:val="24"/>
          <w:highlight w:val="none"/>
        </w:rPr>
        <w:instrText xml:space="preserve"> HYPERLINK \l "_Toc57905884" </w:instrText>
      </w:r>
      <w:r>
        <w:rPr>
          <w:color w:val="auto"/>
          <w:sz w:val="24"/>
          <w:szCs w:val="24"/>
          <w:highlight w:val="none"/>
        </w:rPr>
        <w:fldChar w:fldCharType="separate"/>
      </w:r>
      <w:r>
        <w:rPr>
          <w:rStyle w:val="53"/>
          <w:rFonts w:hint="eastAsia" w:ascii="宋体" w:hAnsi="宋体"/>
          <w:snapToGrid w:val="0"/>
          <w:color w:val="auto"/>
          <w:kern w:val="0"/>
          <w:sz w:val="24"/>
          <w:szCs w:val="24"/>
          <w:highlight w:val="none"/>
        </w:rPr>
        <w:t>第三章</w:t>
      </w:r>
      <w:r>
        <w:rPr>
          <w:rStyle w:val="53"/>
          <w:rFonts w:ascii="宋体" w:hAnsi="宋体"/>
          <w:snapToGrid w:val="0"/>
          <w:color w:val="auto"/>
          <w:kern w:val="0"/>
          <w:sz w:val="24"/>
          <w:szCs w:val="24"/>
          <w:highlight w:val="none"/>
        </w:rPr>
        <w:t xml:space="preserve">  </w:t>
      </w:r>
      <w:r>
        <w:rPr>
          <w:rStyle w:val="53"/>
          <w:rFonts w:hint="eastAsia" w:ascii="宋体" w:hAnsi="宋体"/>
          <w:snapToGrid w:val="0"/>
          <w:color w:val="auto"/>
          <w:kern w:val="0"/>
          <w:sz w:val="24"/>
          <w:szCs w:val="24"/>
          <w:highlight w:val="none"/>
        </w:rPr>
        <w:t>评标办法（经评审的最低投标价法）</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_Toc57905884 \h </w:instrText>
      </w:r>
      <w:r>
        <w:rPr>
          <w:color w:val="auto"/>
          <w:sz w:val="24"/>
          <w:szCs w:val="24"/>
          <w:highlight w:val="none"/>
        </w:rPr>
        <w:fldChar w:fldCharType="separate"/>
      </w:r>
      <w:r>
        <w:rPr>
          <w:color w:val="auto"/>
          <w:sz w:val="24"/>
          <w:szCs w:val="24"/>
          <w:highlight w:val="none"/>
        </w:rPr>
        <w:t>31</w:t>
      </w:r>
      <w:r>
        <w:rPr>
          <w:color w:val="auto"/>
          <w:sz w:val="24"/>
          <w:szCs w:val="24"/>
          <w:highlight w:val="none"/>
        </w:rPr>
        <w:fldChar w:fldCharType="end"/>
      </w:r>
      <w:r>
        <w:rPr>
          <w:color w:val="auto"/>
          <w:sz w:val="24"/>
          <w:szCs w:val="24"/>
          <w:highlight w:val="none"/>
        </w:rPr>
        <w:fldChar w:fldCharType="end"/>
      </w:r>
    </w:p>
    <w:p>
      <w:pPr>
        <w:pStyle w:val="31"/>
        <w:keepNext w:val="0"/>
        <w:keepLines w:val="0"/>
        <w:pageBreakBefore w:val="0"/>
        <w:widowControl w:val="0"/>
        <w:tabs>
          <w:tab w:val="right" w:leader="dot" w:pos="9459"/>
        </w:tabs>
        <w:kinsoku/>
        <w:wordWrap/>
        <w:overflowPunct/>
        <w:topLinePunct w:val="0"/>
        <w:autoSpaceDE/>
        <w:autoSpaceDN/>
        <w:bidi w:val="0"/>
        <w:adjustRightInd/>
        <w:snapToGrid/>
        <w:spacing w:line="480" w:lineRule="auto"/>
        <w:textAlignment w:val="auto"/>
        <w:rPr>
          <w:rFonts w:ascii="Calibri" w:hAnsi="Calibri"/>
          <w:b w:val="0"/>
          <w:bCs w:val="0"/>
          <w:caps w:val="0"/>
          <w:color w:val="auto"/>
          <w:sz w:val="28"/>
          <w:szCs w:val="32"/>
          <w:highlight w:val="none"/>
        </w:rPr>
      </w:pPr>
      <w:r>
        <w:rPr>
          <w:color w:val="auto"/>
          <w:sz w:val="24"/>
          <w:szCs w:val="24"/>
          <w:highlight w:val="none"/>
        </w:rPr>
        <w:fldChar w:fldCharType="begin"/>
      </w:r>
      <w:r>
        <w:rPr>
          <w:color w:val="auto"/>
          <w:sz w:val="24"/>
          <w:szCs w:val="24"/>
          <w:highlight w:val="none"/>
        </w:rPr>
        <w:instrText xml:space="preserve"> HYPERLINK \l "_Toc57905906" </w:instrText>
      </w:r>
      <w:r>
        <w:rPr>
          <w:color w:val="auto"/>
          <w:sz w:val="24"/>
          <w:szCs w:val="24"/>
          <w:highlight w:val="none"/>
        </w:rPr>
        <w:fldChar w:fldCharType="separate"/>
      </w:r>
      <w:r>
        <w:rPr>
          <w:rStyle w:val="53"/>
          <w:rFonts w:hint="eastAsia" w:ascii="宋体" w:hAnsi="宋体"/>
          <w:color w:val="auto"/>
          <w:kern w:val="0"/>
          <w:sz w:val="24"/>
          <w:szCs w:val="24"/>
          <w:highlight w:val="none"/>
        </w:rPr>
        <w:t>第四章</w:t>
      </w:r>
      <w:r>
        <w:rPr>
          <w:rStyle w:val="53"/>
          <w:rFonts w:ascii="宋体" w:hAnsi="宋体"/>
          <w:color w:val="auto"/>
          <w:kern w:val="0"/>
          <w:sz w:val="24"/>
          <w:szCs w:val="24"/>
          <w:highlight w:val="none"/>
        </w:rPr>
        <w:t xml:space="preserve">  </w:t>
      </w:r>
      <w:r>
        <w:rPr>
          <w:rStyle w:val="53"/>
          <w:rFonts w:hint="eastAsia" w:ascii="宋体" w:hAnsi="宋体"/>
          <w:color w:val="auto"/>
          <w:kern w:val="0"/>
          <w:sz w:val="24"/>
          <w:szCs w:val="24"/>
          <w:highlight w:val="none"/>
        </w:rPr>
        <w:t>合同条款及格式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_Toc57905906 \h </w:instrText>
      </w:r>
      <w:r>
        <w:rPr>
          <w:color w:val="auto"/>
          <w:sz w:val="24"/>
          <w:szCs w:val="24"/>
          <w:highlight w:val="none"/>
        </w:rPr>
        <w:fldChar w:fldCharType="separate"/>
      </w:r>
      <w:r>
        <w:rPr>
          <w:color w:val="auto"/>
          <w:sz w:val="24"/>
          <w:szCs w:val="24"/>
          <w:highlight w:val="none"/>
        </w:rPr>
        <w:t>39</w:t>
      </w:r>
      <w:r>
        <w:rPr>
          <w:color w:val="auto"/>
          <w:sz w:val="24"/>
          <w:szCs w:val="24"/>
          <w:highlight w:val="none"/>
        </w:rPr>
        <w:fldChar w:fldCharType="end"/>
      </w:r>
      <w:r>
        <w:rPr>
          <w:color w:val="auto"/>
          <w:sz w:val="24"/>
          <w:szCs w:val="24"/>
          <w:highlight w:val="none"/>
        </w:rPr>
        <w:fldChar w:fldCharType="end"/>
      </w:r>
    </w:p>
    <w:p>
      <w:pPr>
        <w:pStyle w:val="31"/>
        <w:keepNext w:val="0"/>
        <w:keepLines w:val="0"/>
        <w:pageBreakBefore w:val="0"/>
        <w:widowControl w:val="0"/>
        <w:tabs>
          <w:tab w:val="right" w:leader="dot" w:pos="9459"/>
        </w:tabs>
        <w:kinsoku/>
        <w:wordWrap/>
        <w:overflowPunct/>
        <w:topLinePunct w:val="0"/>
        <w:autoSpaceDE/>
        <w:autoSpaceDN/>
        <w:bidi w:val="0"/>
        <w:adjustRightInd/>
        <w:snapToGrid/>
        <w:spacing w:line="480" w:lineRule="auto"/>
        <w:textAlignment w:val="auto"/>
        <w:rPr>
          <w:rFonts w:ascii="Calibri" w:hAnsi="Calibri"/>
          <w:b w:val="0"/>
          <w:bCs w:val="0"/>
          <w:caps w:val="0"/>
          <w:color w:val="auto"/>
          <w:sz w:val="28"/>
          <w:szCs w:val="32"/>
          <w:highlight w:val="none"/>
        </w:rPr>
      </w:pPr>
      <w:r>
        <w:rPr>
          <w:color w:val="auto"/>
          <w:sz w:val="24"/>
          <w:szCs w:val="24"/>
          <w:highlight w:val="none"/>
        </w:rPr>
        <w:fldChar w:fldCharType="begin"/>
      </w:r>
      <w:r>
        <w:rPr>
          <w:color w:val="auto"/>
          <w:sz w:val="24"/>
          <w:szCs w:val="24"/>
          <w:highlight w:val="none"/>
        </w:rPr>
        <w:instrText xml:space="preserve"> HYPERLINK \l "_Toc57905910" </w:instrText>
      </w:r>
      <w:r>
        <w:rPr>
          <w:color w:val="auto"/>
          <w:sz w:val="24"/>
          <w:szCs w:val="24"/>
          <w:highlight w:val="none"/>
        </w:rPr>
        <w:fldChar w:fldCharType="separate"/>
      </w:r>
      <w:r>
        <w:rPr>
          <w:rStyle w:val="53"/>
          <w:rFonts w:hint="eastAsia" w:ascii="宋体" w:hAnsi="宋体"/>
          <w:color w:val="auto"/>
          <w:sz w:val="24"/>
          <w:szCs w:val="24"/>
          <w:highlight w:val="none"/>
        </w:rPr>
        <w:t>第五章</w:t>
      </w:r>
      <w:r>
        <w:rPr>
          <w:rStyle w:val="53"/>
          <w:rFonts w:ascii="宋体" w:hAnsi="宋体"/>
          <w:color w:val="auto"/>
          <w:sz w:val="24"/>
          <w:szCs w:val="24"/>
          <w:highlight w:val="none"/>
        </w:rPr>
        <w:t xml:space="preserve">  </w:t>
      </w:r>
      <w:r>
        <w:rPr>
          <w:rStyle w:val="53"/>
          <w:rFonts w:hint="eastAsia" w:ascii="宋体" w:hAnsi="宋体"/>
          <w:color w:val="auto"/>
          <w:sz w:val="24"/>
          <w:szCs w:val="24"/>
          <w:highlight w:val="none"/>
        </w:rPr>
        <w:t>工程量清单</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_Toc57905910 \h </w:instrText>
      </w:r>
      <w:r>
        <w:rPr>
          <w:color w:val="auto"/>
          <w:sz w:val="24"/>
          <w:szCs w:val="24"/>
          <w:highlight w:val="none"/>
        </w:rPr>
        <w:fldChar w:fldCharType="separate"/>
      </w:r>
      <w:r>
        <w:rPr>
          <w:color w:val="auto"/>
          <w:sz w:val="24"/>
          <w:szCs w:val="24"/>
          <w:highlight w:val="none"/>
        </w:rPr>
        <w:t>40</w:t>
      </w:r>
      <w:r>
        <w:rPr>
          <w:color w:val="auto"/>
          <w:sz w:val="24"/>
          <w:szCs w:val="24"/>
          <w:highlight w:val="none"/>
        </w:rPr>
        <w:fldChar w:fldCharType="end"/>
      </w:r>
      <w:r>
        <w:rPr>
          <w:color w:val="auto"/>
          <w:sz w:val="24"/>
          <w:szCs w:val="24"/>
          <w:highlight w:val="none"/>
        </w:rPr>
        <w:fldChar w:fldCharType="end"/>
      </w:r>
    </w:p>
    <w:p>
      <w:pPr>
        <w:pStyle w:val="31"/>
        <w:keepNext w:val="0"/>
        <w:keepLines w:val="0"/>
        <w:pageBreakBefore w:val="0"/>
        <w:widowControl w:val="0"/>
        <w:tabs>
          <w:tab w:val="right" w:leader="dot" w:pos="9459"/>
        </w:tabs>
        <w:kinsoku/>
        <w:wordWrap/>
        <w:overflowPunct/>
        <w:topLinePunct w:val="0"/>
        <w:autoSpaceDE/>
        <w:autoSpaceDN/>
        <w:bidi w:val="0"/>
        <w:adjustRightInd/>
        <w:snapToGrid/>
        <w:spacing w:line="480" w:lineRule="auto"/>
        <w:textAlignment w:val="auto"/>
        <w:rPr>
          <w:rFonts w:ascii="Calibri" w:hAnsi="Calibri"/>
          <w:b w:val="0"/>
          <w:bCs w:val="0"/>
          <w:caps w:val="0"/>
          <w:color w:val="auto"/>
          <w:sz w:val="28"/>
          <w:szCs w:val="32"/>
          <w:highlight w:val="none"/>
        </w:rPr>
      </w:pPr>
      <w:r>
        <w:rPr>
          <w:color w:val="auto"/>
          <w:sz w:val="24"/>
          <w:szCs w:val="24"/>
          <w:highlight w:val="none"/>
        </w:rPr>
        <w:fldChar w:fldCharType="begin"/>
      </w:r>
      <w:r>
        <w:rPr>
          <w:color w:val="auto"/>
          <w:sz w:val="24"/>
          <w:szCs w:val="24"/>
          <w:highlight w:val="none"/>
        </w:rPr>
        <w:instrText xml:space="preserve"> HYPERLINK \l "_Toc57905912" </w:instrText>
      </w:r>
      <w:r>
        <w:rPr>
          <w:color w:val="auto"/>
          <w:sz w:val="24"/>
          <w:szCs w:val="24"/>
          <w:highlight w:val="none"/>
        </w:rPr>
        <w:fldChar w:fldCharType="separate"/>
      </w:r>
      <w:r>
        <w:rPr>
          <w:rStyle w:val="53"/>
          <w:rFonts w:hint="eastAsia" w:ascii="宋体" w:hAnsi="宋体"/>
          <w:color w:val="auto"/>
          <w:sz w:val="24"/>
          <w:szCs w:val="24"/>
          <w:highlight w:val="none"/>
        </w:rPr>
        <w:t>第六章</w:t>
      </w:r>
      <w:r>
        <w:rPr>
          <w:rStyle w:val="53"/>
          <w:rFonts w:ascii="宋体" w:hAnsi="宋体"/>
          <w:color w:val="auto"/>
          <w:sz w:val="24"/>
          <w:szCs w:val="24"/>
          <w:highlight w:val="none"/>
        </w:rPr>
        <w:t xml:space="preserve">  </w:t>
      </w:r>
      <w:r>
        <w:rPr>
          <w:rStyle w:val="53"/>
          <w:rFonts w:hint="eastAsia" w:ascii="宋体" w:hAnsi="宋体"/>
          <w:color w:val="auto"/>
          <w:sz w:val="24"/>
          <w:szCs w:val="24"/>
          <w:highlight w:val="none"/>
        </w:rPr>
        <w:t>图纸</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_Toc57905912 \h </w:instrText>
      </w:r>
      <w:r>
        <w:rPr>
          <w:color w:val="auto"/>
          <w:sz w:val="24"/>
          <w:szCs w:val="24"/>
          <w:highlight w:val="none"/>
        </w:rPr>
        <w:fldChar w:fldCharType="separate"/>
      </w:r>
      <w:r>
        <w:rPr>
          <w:color w:val="auto"/>
          <w:sz w:val="24"/>
          <w:szCs w:val="24"/>
          <w:highlight w:val="none"/>
        </w:rPr>
        <w:t>65</w:t>
      </w:r>
      <w:r>
        <w:rPr>
          <w:color w:val="auto"/>
          <w:sz w:val="24"/>
          <w:szCs w:val="24"/>
          <w:highlight w:val="none"/>
        </w:rPr>
        <w:fldChar w:fldCharType="end"/>
      </w:r>
      <w:r>
        <w:rPr>
          <w:color w:val="auto"/>
          <w:sz w:val="24"/>
          <w:szCs w:val="24"/>
          <w:highlight w:val="none"/>
        </w:rPr>
        <w:fldChar w:fldCharType="end"/>
      </w:r>
    </w:p>
    <w:p>
      <w:pPr>
        <w:pStyle w:val="31"/>
        <w:keepNext w:val="0"/>
        <w:keepLines w:val="0"/>
        <w:pageBreakBefore w:val="0"/>
        <w:widowControl w:val="0"/>
        <w:tabs>
          <w:tab w:val="right" w:leader="dot" w:pos="9459"/>
        </w:tabs>
        <w:kinsoku/>
        <w:wordWrap/>
        <w:overflowPunct/>
        <w:topLinePunct w:val="0"/>
        <w:autoSpaceDE/>
        <w:autoSpaceDN/>
        <w:bidi w:val="0"/>
        <w:adjustRightInd/>
        <w:snapToGrid/>
        <w:spacing w:line="480" w:lineRule="auto"/>
        <w:textAlignment w:val="auto"/>
        <w:rPr>
          <w:rFonts w:ascii="Calibri" w:hAnsi="Calibri"/>
          <w:b w:val="0"/>
          <w:bCs w:val="0"/>
          <w:caps w:val="0"/>
          <w:color w:val="auto"/>
          <w:sz w:val="28"/>
          <w:szCs w:val="32"/>
          <w:highlight w:val="none"/>
        </w:rPr>
      </w:pPr>
      <w:r>
        <w:rPr>
          <w:color w:val="auto"/>
          <w:sz w:val="24"/>
          <w:szCs w:val="24"/>
          <w:highlight w:val="none"/>
        </w:rPr>
        <w:fldChar w:fldCharType="begin"/>
      </w:r>
      <w:r>
        <w:rPr>
          <w:color w:val="auto"/>
          <w:sz w:val="24"/>
          <w:szCs w:val="24"/>
          <w:highlight w:val="none"/>
        </w:rPr>
        <w:instrText xml:space="preserve"> HYPERLINK \l "_Toc57905914" </w:instrText>
      </w:r>
      <w:r>
        <w:rPr>
          <w:color w:val="auto"/>
          <w:sz w:val="24"/>
          <w:szCs w:val="24"/>
          <w:highlight w:val="none"/>
        </w:rPr>
        <w:fldChar w:fldCharType="separate"/>
      </w:r>
      <w:r>
        <w:rPr>
          <w:rStyle w:val="53"/>
          <w:rFonts w:hint="eastAsia" w:ascii="宋体" w:hAnsi="宋体"/>
          <w:color w:val="auto"/>
          <w:sz w:val="24"/>
          <w:szCs w:val="24"/>
          <w:highlight w:val="none"/>
        </w:rPr>
        <w:t>第七章</w:t>
      </w:r>
      <w:r>
        <w:rPr>
          <w:rStyle w:val="53"/>
          <w:rFonts w:ascii="宋体" w:hAnsi="宋体"/>
          <w:color w:val="auto"/>
          <w:sz w:val="24"/>
          <w:szCs w:val="24"/>
          <w:highlight w:val="none"/>
        </w:rPr>
        <w:t xml:space="preserve">  </w:t>
      </w:r>
      <w:r>
        <w:rPr>
          <w:rStyle w:val="53"/>
          <w:rFonts w:hint="eastAsia" w:ascii="宋体" w:hAnsi="宋体"/>
          <w:color w:val="auto"/>
          <w:sz w:val="24"/>
          <w:szCs w:val="24"/>
          <w:highlight w:val="none"/>
        </w:rPr>
        <w:t>技术标准和要求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_Toc57905914 \h </w:instrText>
      </w:r>
      <w:r>
        <w:rPr>
          <w:color w:val="auto"/>
          <w:sz w:val="24"/>
          <w:szCs w:val="24"/>
          <w:highlight w:val="none"/>
        </w:rPr>
        <w:fldChar w:fldCharType="separate"/>
      </w:r>
      <w:r>
        <w:rPr>
          <w:color w:val="auto"/>
          <w:sz w:val="24"/>
          <w:szCs w:val="24"/>
          <w:highlight w:val="none"/>
        </w:rPr>
        <w:t>67</w:t>
      </w:r>
      <w:r>
        <w:rPr>
          <w:color w:val="auto"/>
          <w:sz w:val="24"/>
          <w:szCs w:val="24"/>
          <w:highlight w:val="none"/>
        </w:rPr>
        <w:fldChar w:fldCharType="end"/>
      </w:r>
      <w:r>
        <w:rPr>
          <w:color w:val="auto"/>
          <w:sz w:val="24"/>
          <w:szCs w:val="24"/>
          <w:highlight w:val="none"/>
        </w:rPr>
        <w:fldChar w:fldCharType="end"/>
      </w:r>
    </w:p>
    <w:p>
      <w:pPr>
        <w:pStyle w:val="31"/>
        <w:keepNext w:val="0"/>
        <w:keepLines w:val="0"/>
        <w:pageBreakBefore w:val="0"/>
        <w:widowControl w:val="0"/>
        <w:tabs>
          <w:tab w:val="right" w:leader="dot" w:pos="9459"/>
        </w:tabs>
        <w:kinsoku/>
        <w:wordWrap/>
        <w:overflowPunct/>
        <w:topLinePunct w:val="0"/>
        <w:autoSpaceDE/>
        <w:autoSpaceDN/>
        <w:bidi w:val="0"/>
        <w:adjustRightInd/>
        <w:snapToGrid/>
        <w:spacing w:line="480" w:lineRule="auto"/>
        <w:textAlignment w:val="auto"/>
        <w:rPr>
          <w:rFonts w:ascii="Calibri" w:hAnsi="Calibri"/>
          <w:b w:val="0"/>
          <w:bCs w:val="0"/>
          <w:caps w:val="0"/>
          <w:color w:val="auto"/>
          <w:sz w:val="21"/>
          <w:szCs w:val="22"/>
          <w:highlight w:val="none"/>
        </w:rPr>
      </w:pPr>
      <w:r>
        <w:rPr>
          <w:color w:val="auto"/>
          <w:sz w:val="24"/>
          <w:szCs w:val="24"/>
          <w:highlight w:val="none"/>
        </w:rPr>
        <w:fldChar w:fldCharType="begin"/>
      </w:r>
      <w:r>
        <w:rPr>
          <w:color w:val="auto"/>
          <w:sz w:val="24"/>
          <w:szCs w:val="24"/>
          <w:highlight w:val="none"/>
        </w:rPr>
        <w:instrText xml:space="preserve"> HYPERLINK \l "_Toc57905916" </w:instrText>
      </w:r>
      <w:r>
        <w:rPr>
          <w:color w:val="auto"/>
          <w:sz w:val="24"/>
          <w:szCs w:val="24"/>
          <w:highlight w:val="none"/>
        </w:rPr>
        <w:fldChar w:fldCharType="separate"/>
      </w:r>
      <w:r>
        <w:rPr>
          <w:rStyle w:val="53"/>
          <w:rFonts w:hint="eastAsia" w:ascii="宋体" w:hAnsi="宋体"/>
          <w:color w:val="auto"/>
          <w:sz w:val="24"/>
          <w:szCs w:val="24"/>
          <w:highlight w:val="none"/>
        </w:rPr>
        <w:t>第八章</w:t>
      </w:r>
      <w:r>
        <w:rPr>
          <w:rStyle w:val="53"/>
          <w:rFonts w:ascii="宋体" w:hAnsi="宋体"/>
          <w:color w:val="auto"/>
          <w:sz w:val="24"/>
          <w:szCs w:val="24"/>
          <w:highlight w:val="none"/>
        </w:rPr>
        <w:t xml:space="preserve">  </w:t>
      </w:r>
      <w:r>
        <w:rPr>
          <w:rStyle w:val="53"/>
          <w:rFonts w:hint="eastAsia" w:ascii="宋体" w:hAnsi="宋体"/>
          <w:color w:val="auto"/>
          <w:sz w:val="24"/>
          <w:szCs w:val="24"/>
          <w:highlight w:val="none"/>
        </w:rPr>
        <w:t>投标文件格式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_Toc57905916 \h </w:instrText>
      </w:r>
      <w:r>
        <w:rPr>
          <w:color w:val="auto"/>
          <w:sz w:val="24"/>
          <w:szCs w:val="24"/>
          <w:highlight w:val="none"/>
        </w:rPr>
        <w:fldChar w:fldCharType="separate"/>
      </w:r>
      <w:r>
        <w:rPr>
          <w:color w:val="auto"/>
          <w:sz w:val="24"/>
          <w:szCs w:val="24"/>
          <w:highlight w:val="none"/>
        </w:rPr>
        <w:t>69</w:t>
      </w:r>
      <w:r>
        <w:rPr>
          <w:color w:val="auto"/>
          <w:sz w:val="24"/>
          <w:szCs w:val="24"/>
          <w:highlight w:val="none"/>
        </w:rPr>
        <w:fldChar w:fldCharType="end"/>
      </w:r>
      <w:r>
        <w:rPr>
          <w:color w:val="auto"/>
          <w:sz w:val="24"/>
          <w:szCs w:val="24"/>
          <w:highlight w:val="none"/>
        </w:rPr>
        <w:fldChar w:fldCharType="end"/>
      </w:r>
    </w:p>
    <w:p>
      <w:pPr>
        <w:pStyle w:val="22"/>
        <w:tabs>
          <w:tab w:val="right" w:leader="dot" w:pos="9459"/>
        </w:tabs>
        <w:rPr>
          <w:rFonts w:ascii="Calibri" w:hAnsi="Calibri"/>
          <w:i w:val="0"/>
          <w:iCs w:val="0"/>
          <w:color w:val="auto"/>
          <w:sz w:val="21"/>
          <w:szCs w:val="22"/>
          <w:highlight w:val="none"/>
        </w:rPr>
      </w:pPr>
    </w:p>
    <w:p>
      <w:pPr>
        <w:rPr>
          <w:rFonts w:ascii="宋体" w:hAnsi="宋体"/>
          <w:color w:val="auto"/>
          <w:highlight w:val="none"/>
        </w:rPr>
      </w:pPr>
      <w:r>
        <w:rPr>
          <w:rFonts w:ascii="宋体" w:hAnsi="宋体"/>
          <w:bCs/>
          <w:color w:val="auto"/>
          <w:szCs w:val="20"/>
          <w:highlight w:val="none"/>
          <w:lang w:val="zh-CN"/>
        </w:rPr>
        <w:fldChar w:fldCharType="end"/>
      </w:r>
    </w:p>
    <w:bookmarkEnd w:id="0"/>
    <w:p>
      <w:pPr>
        <w:spacing w:line="20" w:lineRule="exact"/>
        <w:rPr>
          <w:rFonts w:ascii="宋体" w:hAnsi="宋体"/>
          <w:color w:val="auto"/>
          <w:highlight w:val="none"/>
        </w:rPr>
      </w:pPr>
      <w:bookmarkStart w:id="8" w:name="_Toc430530414"/>
    </w:p>
    <w:p>
      <w:pPr>
        <w:spacing w:line="20" w:lineRule="exact"/>
        <w:jc w:val="left"/>
        <w:rPr>
          <w:rFonts w:ascii="宋体" w:hAnsi="宋体"/>
          <w:color w:val="auto"/>
          <w:highlight w:val="none"/>
        </w:rPr>
        <w:sectPr>
          <w:footerReference r:id="rId6" w:type="default"/>
          <w:pgSz w:w="11907" w:h="16840"/>
          <w:pgMar w:top="1304" w:right="1134" w:bottom="1304" w:left="1304" w:header="851" w:footer="992" w:gutter="0"/>
          <w:pgNumType w:fmt="numberInDash" w:start="1"/>
          <w:cols w:space="720" w:num="1"/>
          <w:docGrid w:linePitch="312" w:charSpace="0"/>
        </w:sectPr>
      </w:pPr>
    </w:p>
    <w:bookmarkEnd w:id="8"/>
    <w:p>
      <w:pPr>
        <w:spacing w:line="360" w:lineRule="auto"/>
        <w:rPr>
          <w:rFonts w:ascii="宋体" w:hAnsi="宋体"/>
          <w:color w:val="auto"/>
          <w:highlight w:val="none"/>
        </w:rPr>
      </w:pPr>
    </w:p>
    <w:p>
      <w:pPr>
        <w:pStyle w:val="2"/>
        <w:spacing w:before="0" w:after="0" w:line="480" w:lineRule="auto"/>
        <w:jc w:val="center"/>
        <w:rPr>
          <w:rFonts w:ascii="宋体" w:hAnsi="宋体"/>
          <w:color w:val="auto"/>
          <w:sz w:val="52"/>
          <w:szCs w:val="52"/>
          <w:highlight w:val="none"/>
        </w:rPr>
      </w:pPr>
      <w:bookmarkStart w:id="9" w:name="_Toc509218690"/>
      <w:bookmarkStart w:id="10" w:name="_Toc9936"/>
      <w:bookmarkStart w:id="11" w:name="_Toc57905810"/>
      <w:r>
        <w:rPr>
          <w:rFonts w:hint="eastAsia" w:ascii="宋体" w:hAnsi="宋体"/>
          <w:color w:val="auto"/>
          <w:sz w:val="52"/>
          <w:szCs w:val="52"/>
          <w:highlight w:val="none"/>
        </w:rPr>
        <w:t>第 一 卷</w:t>
      </w:r>
      <w:bookmarkEnd w:id="9"/>
      <w:bookmarkEnd w:id="10"/>
      <w:bookmarkEnd w:id="11"/>
    </w:p>
    <w:p>
      <w:pPr>
        <w:spacing w:line="200" w:lineRule="exact"/>
        <w:rPr>
          <w:rFonts w:ascii="宋体" w:hAnsi="宋体"/>
          <w:color w:val="auto"/>
          <w:highlight w:val="none"/>
        </w:rPr>
      </w:pPr>
      <w:r>
        <w:rPr>
          <w:rFonts w:ascii="宋体" w:hAnsi="宋体"/>
          <w:color w:val="auto"/>
          <w:highlight w:val="none"/>
        </w:rPr>
        <w:br w:type="page"/>
      </w:r>
    </w:p>
    <w:p>
      <w:pPr>
        <w:pStyle w:val="2"/>
        <w:spacing w:line="360" w:lineRule="auto"/>
        <w:jc w:val="center"/>
        <w:rPr>
          <w:rFonts w:ascii="宋体" w:hAnsi="宋体"/>
          <w:snapToGrid w:val="0"/>
          <w:color w:val="auto"/>
          <w:kern w:val="0"/>
          <w:highlight w:val="none"/>
        </w:rPr>
      </w:pPr>
      <w:bookmarkStart w:id="12" w:name="_Toc509218691"/>
      <w:bookmarkStart w:id="13" w:name="_Toc12819"/>
      <w:bookmarkStart w:id="14" w:name="_Toc224103298"/>
      <w:bookmarkStart w:id="15" w:name="_Toc287620666"/>
      <w:bookmarkStart w:id="16" w:name="_Toc287607727"/>
      <w:bookmarkStart w:id="17" w:name="_Toc57905811"/>
      <w:bookmarkStart w:id="18" w:name="_Toc430530415"/>
      <w:bookmarkStart w:id="19" w:name="_Toc277082535"/>
      <w:r>
        <w:rPr>
          <w:rFonts w:ascii="宋体" w:hAnsi="宋体"/>
          <w:snapToGrid w:val="0"/>
          <w:color w:val="auto"/>
          <w:kern w:val="0"/>
          <w:highlight w:val="none"/>
        </w:rPr>
        <w:t>第一章  招标公告</w:t>
      </w:r>
      <w:bookmarkEnd w:id="12"/>
      <w:bookmarkEnd w:id="13"/>
      <w:bookmarkEnd w:id="14"/>
      <w:bookmarkEnd w:id="15"/>
      <w:bookmarkEnd w:id="16"/>
      <w:bookmarkEnd w:id="17"/>
      <w:bookmarkEnd w:id="18"/>
      <w:bookmarkEnd w:id="19"/>
    </w:p>
    <w:p>
      <w:pPr>
        <w:autoSpaceDE w:val="0"/>
        <w:autoSpaceDN w:val="0"/>
        <w:adjustRightInd w:val="0"/>
        <w:snapToGrid w:val="0"/>
        <w:spacing w:line="360" w:lineRule="auto"/>
        <w:jc w:val="center"/>
        <w:rPr>
          <w:rFonts w:ascii="宋体" w:hAnsi="宋体"/>
          <w:b/>
          <w:bCs/>
          <w:snapToGrid w:val="0"/>
          <w:color w:val="auto"/>
          <w:kern w:val="0"/>
          <w:sz w:val="28"/>
          <w:szCs w:val="28"/>
          <w:highlight w:val="none"/>
        </w:rPr>
      </w:pPr>
      <w:r>
        <w:rPr>
          <w:rFonts w:hint="eastAsia" w:ascii="宋体" w:hAnsi="宋体"/>
          <w:b/>
          <w:bCs/>
          <w:snapToGrid w:val="0"/>
          <w:color w:val="auto"/>
          <w:kern w:val="0"/>
          <w:sz w:val="28"/>
          <w:szCs w:val="28"/>
          <w:highlight w:val="none"/>
          <w:u w:val="single"/>
          <w:lang w:eastAsia="zh-CN"/>
        </w:rPr>
        <w:t>长安锦绣城4栋外墙及门头防水维修工程</w:t>
      </w:r>
      <w:r>
        <w:rPr>
          <w:rFonts w:ascii="宋体" w:hAnsi="宋体"/>
          <w:b/>
          <w:bCs/>
          <w:snapToGrid w:val="0"/>
          <w:color w:val="auto"/>
          <w:w w:val="99"/>
          <w:kern w:val="0"/>
          <w:sz w:val="28"/>
          <w:szCs w:val="28"/>
          <w:highlight w:val="none"/>
        </w:rPr>
        <w:t>招标公告</w:t>
      </w:r>
    </w:p>
    <w:p>
      <w:pPr>
        <w:pStyle w:val="3"/>
        <w:spacing w:before="100" w:after="100" w:line="460" w:lineRule="exact"/>
        <w:rPr>
          <w:rFonts w:ascii="宋体" w:hAnsi="宋体"/>
          <w:snapToGrid w:val="0"/>
          <w:color w:val="auto"/>
          <w:sz w:val="28"/>
          <w:szCs w:val="28"/>
          <w:highlight w:val="none"/>
        </w:rPr>
      </w:pPr>
      <w:bookmarkStart w:id="20" w:name="_Toc287607728"/>
      <w:bookmarkStart w:id="21" w:name="_Toc200359238"/>
      <w:bookmarkStart w:id="22" w:name="_Toc287620667"/>
      <w:bookmarkStart w:id="23" w:name="_Toc27491"/>
      <w:bookmarkStart w:id="24" w:name="_Toc57905812"/>
      <w:bookmarkStart w:id="25" w:name="_Toc430530416"/>
      <w:bookmarkStart w:id="26" w:name="_Toc200359427"/>
      <w:bookmarkStart w:id="27" w:name="_Toc277082536"/>
      <w:bookmarkStart w:id="28" w:name="_Toc224103299"/>
      <w:bookmarkStart w:id="29" w:name="_Toc509218692"/>
      <w:r>
        <w:rPr>
          <w:rFonts w:ascii="宋体" w:hAnsi="宋体"/>
          <w:snapToGrid w:val="0"/>
          <w:color w:val="auto"/>
          <w:sz w:val="28"/>
          <w:szCs w:val="28"/>
          <w:highlight w:val="none"/>
        </w:rPr>
        <w:t xml:space="preserve">1.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招标条件</w:t>
      </w:r>
      <w:bookmarkEnd w:id="20"/>
      <w:bookmarkEnd w:id="21"/>
      <w:bookmarkEnd w:id="22"/>
      <w:bookmarkEnd w:id="23"/>
      <w:bookmarkEnd w:id="24"/>
      <w:bookmarkEnd w:id="25"/>
      <w:bookmarkEnd w:id="26"/>
      <w:bookmarkEnd w:id="27"/>
      <w:bookmarkEnd w:id="28"/>
      <w:bookmarkEnd w:id="29"/>
    </w:p>
    <w:p>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color w:val="auto"/>
          <w:kern w:val="0"/>
          <w:szCs w:val="21"/>
          <w:highlight w:val="none"/>
        </w:rPr>
      </w:pPr>
      <w:r>
        <w:rPr>
          <w:rFonts w:ascii="宋体" w:hAnsi="宋体"/>
          <w:snapToGrid w:val="0"/>
          <w:color w:val="auto"/>
          <w:kern w:val="0"/>
          <w:szCs w:val="21"/>
          <w:highlight w:val="none"/>
        </w:rPr>
        <w:t>本招标项目</w:t>
      </w:r>
      <w:r>
        <w:rPr>
          <w:rFonts w:hint="eastAsia" w:ascii="宋体" w:hAnsi="宋体"/>
          <w:snapToGrid w:val="0"/>
          <w:color w:val="auto"/>
          <w:kern w:val="0"/>
          <w:szCs w:val="21"/>
          <w:highlight w:val="none"/>
          <w:u w:val="single"/>
          <w:lang w:eastAsia="zh-CN"/>
        </w:rPr>
        <w:t>长安锦绣城4栋外墙及门头防水维修工程</w:t>
      </w:r>
      <w:r>
        <w:rPr>
          <w:rFonts w:ascii="宋体" w:hAnsi="宋体"/>
          <w:snapToGrid w:val="0"/>
          <w:color w:val="auto"/>
          <w:kern w:val="0"/>
          <w:szCs w:val="21"/>
          <w:highlight w:val="none"/>
        </w:rPr>
        <w:t>，项目业主为</w:t>
      </w:r>
      <w:r>
        <w:rPr>
          <w:rFonts w:hint="eastAsia" w:ascii="宋体" w:hAnsi="宋体"/>
          <w:snapToGrid w:val="0"/>
          <w:color w:val="auto"/>
          <w:kern w:val="0"/>
          <w:szCs w:val="21"/>
          <w:highlight w:val="none"/>
          <w:u w:val="single"/>
        </w:rPr>
        <w:t>重庆长安智慧城市运营管理有限公司</w:t>
      </w:r>
      <w:r>
        <w:rPr>
          <w:rFonts w:ascii="宋体" w:hAnsi="宋体"/>
          <w:snapToGrid w:val="0"/>
          <w:color w:val="auto"/>
          <w:kern w:val="0"/>
          <w:szCs w:val="21"/>
          <w:highlight w:val="none"/>
        </w:rPr>
        <w:t>，建设资金来自</w:t>
      </w:r>
      <w:r>
        <w:rPr>
          <w:rFonts w:hint="eastAsia" w:ascii="宋体" w:hAnsi="宋体"/>
          <w:snapToGrid w:val="0"/>
          <w:color w:val="auto"/>
          <w:kern w:val="0"/>
          <w:szCs w:val="21"/>
          <w:highlight w:val="none"/>
          <w:u w:val="single"/>
          <w:lang w:val="en-US" w:eastAsia="zh-CN"/>
        </w:rPr>
        <w:t>专项维修资金</w:t>
      </w:r>
      <w:r>
        <w:rPr>
          <w:rFonts w:ascii="宋体" w:hAnsi="宋体"/>
          <w:snapToGrid w:val="0"/>
          <w:color w:val="auto"/>
          <w:kern w:val="0"/>
          <w:szCs w:val="21"/>
          <w:highlight w:val="none"/>
        </w:rPr>
        <w:t>，项目出资比例为</w:t>
      </w:r>
      <w:r>
        <w:rPr>
          <w:rFonts w:hint="eastAsia" w:ascii="宋体" w:hAnsi="宋体"/>
          <w:snapToGrid w:val="0"/>
          <w:color w:val="auto"/>
          <w:kern w:val="0"/>
          <w:szCs w:val="21"/>
          <w:highlight w:val="none"/>
          <w:u w:val="single"/>
          <w:lang w:val="en-US" w:eastAsia="zh-CN"/>
        </w:rPr>
        <w:t>100%</w:t>
      </w:r>
      <w:r>
        <w:rPr>
          <w:rFonts w:ascii="宋体" w:hAnsi="宋体"/>
          <w:snapToGrid w:val="0"/>
          <w:color w:val="auto"/>
          <w:kern w:val="0"/>
          <w:szCs w:val="21"/>
          <w:highlight w:val="none"/>
        </w:rPr>
        <w:t>，招标人</w:t>
      </w:r>
      <w:r>
        <w:rPr>
          <w:rFonts w:ascii="宋体" w:hAnsi="宋体"/>
          <w:snapToGrid w:val="0"/>
          <w:color w:val="auto"/>
          <w:kern w:val="0"/>
          <w:position w:val="-2"/>
          <w:szCs w:val="21"/>
          <w:highlight w:val="none"/>
        </w:rPr>
        <w:t>为</w:t>
      </w:r>
      <w:r>
        <w:rPr>
          <w:rFonts w:hint="eastAsia" w:ascii="宋体" w:hAnsi="宋体"/>
          <w:snapToGrid w:val="0"/>
          <w:color w:val="auto"/>
          <w:kern w:val="0"/>
          <w:szCs w:val="21"/>
          <w:highlight w:val="none"/>
          <w:u w:val="single"/>
        </w:rPr>
        <w:t>重庆长安智慧城市运营管理有限公司</w:t>
      </w:r>
      <w:r>
        <w:rPr>
          <w:rFonts w:ascii="宋体" w:hAnsi="宋体"/>
          <w:snapToGrid w:val="0"/>
          <w:color w:val="auto"/>
          <w:kern w:val="0"/>
          <w:position w:val="-2"/>
          <w:szCs w:val="21"/>
          <w:highlight w:val="none"/>
        </w:rPr>
        <w:t>。项目已具备招标条件，现对</w:t>
      </w:r>
      <w:r>
        <w:rPr>
          <w:rFonts w:hint="eastAsia" w:ascii="宋体" w:hAnsi="宋体"/>
          <w:snapToGrid w:val="0"/>
          <w:color w:val="auto"/>
          <w:kern w:val="0"/>
          <w:position w:val="-2"/>
          <w:szCs w:val="21"/>
          <w:highlight w:val="none"/>
          <w:u w:val="single"/>
        </w:rPr>
        <w:t>该项目的施工</w:t>
      </w:r>
      <w:r>
        <w:rPr>
          <w:rFonts w:ascii="宋体" w:hAnsi="宋体"/>
          <w:snapToGrid w:val="0"/>
          <w:color w:val="auto"/>
          <w:kern w:val="0"/>
          <w:position w:val="-2"/>
          <w:szCs w:val="21"/>
          <w:highlight w:val="none"/>
        </w:rPr>
        <w:t>进行公开招标。</w:t>
      </w:r>
    </w:p>
    <w:p>
      <w:pPr>
        <w:pStyle w:val="3"/>
        <w:spacing w:before="100" w:after="100" w:line="460" w:lineRule="exact"/>
        <w:rPr>
          <w:rFonts w:ascii="宋体" w:hAnsi="宋体"/>
          <w:snapToGrid w:val="0"/>
          <w:color w:val="auto"/>
          <w:sz w:val="28"/>
          <w:szCs w:val="28"/>
          <w:highlight w:val="none"/>
        </w:rPr>
      </w:pPr>
      <w:bookmarkStart w:id="30" w:name="_Toc16344"/>
      <w:bookmarkStart w:id="31" w:name="_Toc287620668"/>
      <w:bookmarkStart w:id="32" w:name="_Toc287607729"/>
      <w:bookmarkStart w:id="33" w:name="_Toc509218693"/>
      <w:bookmarkStart w:id="34" w:name="_Toc224103300"/>
      <w:bookmarkStart w:id="35" w:name="_Toc200359428"/>
      <w:bookmarkStart w:id="36" w:name="_Toc277082537"/>
      <w:bookmarkStart w:id="37" w:name="_Toc57905813"/>
      <w:bookmarkStart w:id="38" w:name="_Toc430530417"/>
      <w:bookmarkStart w:id="39" w:name="_Toc200359239"/>
      <w:r>
        <w:rPr>
          <w:rFonts w:ascii="宋体" w:hAnsi="宋体"/>
          <w:snapToGrid w:val="0"/>
          <w:color w:val="auto"/>
          <w:sz w:val="28"/>
          <w:szCs w:val="28"/>
          <w:highlight w:val="none"/>
        </w:rPr>
        <w:t>2.</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 xml:space="preserve"> 项目概况与招标范围</w:t>
      </w:r>
      <w:bookmarkEnd w:id="30"/>
      <w:bookmarkEnd w:id="31"/>
      <w:bookmarkEnd w:id="32"/>
      <w:bookmarkEnd w:id="33"/>
      <w:bookmarkEnd w:id="34"/>
      <w:bookmarkEnd w:id="35"/>
      <w:bookmarkEnd w:id="36"/>
      <w:bookmarkEnd w:id="37"/>
      <w:bookmarkEnd w:id="38"/>
      <w:bookmarkEnd w:id="39"/>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2.1 建设地点：</w:t>
      </w:r>
      <w:r>
        <w:rPr>
          <w:rFonts w:hint="eastAsia" w:ascii="宋体" w:hAnsi="宋体"/>
          <w:snapToGrid w:val="0"/>
          <w:color w:val="auto"/>
          <w:kern w:val="0"/>
          <w:szCs w:val="21"/>
          <w:highlight w:val="none"/>
          <w:u w:val="single"/>
        </w:rPr>
        <w:t>长安锦绣城4栋</w:t>
      </w:r>
    </w:p>
    <w:p>
      <w:pPr>
        <w:tabs>
          <w:tab w:val="left" w:pos="3840"/>
          <w:tab w:val="left" w:pos="5300"/>
        </w:tabs>
        <w:autoSpaceDE w:val="0"/>
        <w:autoSpaceDN w:val="0"/>
        <w:adjustRightInd w:val="0"/>
        <w:snapToGrid w:val="0"/>
        <w:spacing w:line="460" w:lineRule="exact"/>
        <w:ind w:firstLine="420" w:firstLineChars="200"/>
        <w:jc w:val="left"/>
        <w:rPr>
          <w:rFonts w:hint="default"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rPr>
        <w:t>2.2 项目概况与建设规模：</w:t>
      </w:r>
      <w:r>
        <w:rPr>
          <w:rFonts w:hint="eastAsia" w:ascii="宋体" w:hAnsi="宋体"/>
          <w:snapToGrid w:val="0"/>
          <w:color w:val="auto"/>
          <w:kern w:val="0"/>
          <w:szCs w:val="21"/>
          <w:highlight w:val="none"/>
          <w:u w:val="single"/>
        </w:rPr>
        <w:t>长安锦绣城4栋外墙及门头防水维修工程，位于渝北区龙溪街道，由于该栋楼外墙出现空鼓脱落、门头出现漏水现象，存在严重安全隐患</w:t>
      </w:r>
      <w:r>
        <w:rPr>
          <w:rFonts w:hint="eastAsia" w:ascii="宋体" w:hAnsi="宋体"/>
          <w:snapToGrid w:val="0"/>
          <w:color w:val="auto"/>
          <w:kern w:val="0"/>
          <w:szCs w:val="21"/>
          <w:highlight w:val="none"/>
          <w:u w:val="single"/>
          <w:lang w:val="en-US" w:eastAsia="zh-CN"/>
        </w:rPr>
        <w:t>，需要使用专项维修资金进行维修，具体详见本项目工程量清单。</w:t>
      </w:r>
    </w:p>
    <w:p>
      <w:pPr>
        <w:tabs>
          <w:tab w:val="left" w:pos="3840"/>
          <w:tab w:val="left" w:pos="5300"/>
        </w:tabs>
        <w:autoSpaceDE w:val="0"/>
        <w:autoSpaceDN w:val="0"/>
        <w:adjustRightInd w:val="0"/>
        <w:snapToGrid w:val="0"/>
        <w:spacing w:line="460" w:lineRule="exact"/>
        <w:ind w:firstLine="420" w:firstLineChars="200"/>
        <w:jc w:val="left"/>
        <w:rPr>
          <w:rFonts w:hint="default" w:ascii="宋体" w:hAnsi="宋体" w:eastAsia="宋体"/>
          <w:snapToGrid w:val="0"/>
          <w:color w:val="auto"/>
          <w:kern w:val="0"/>
          <w:szCs w:val="21"/>
          <w:highlight w:val="none"/>
          <w:u w:val="single"/>
          <w:lang w:val="en-US" w:eastAsia="zh-CN"/>
        </w:rPr>
      </w:pPr>
      <w:r>
        <w:rPr>
          <w:rFonts w:hint="eastAsia" w:ascii="宋体" w:hAnsi="宋体"/>
          <w:snapToGrid w:val="0"/>
          <w:color w:val="auto"/>
          <w:kern w:val="0"/>
          <w:szCs w:val="21"/>
          <w:highlight w:val="none"/>
        </w:rPr>
        <w:t>2.3 本次招标项目合同估算金额：</w:t>
      </w:r>
      <w:r>
        <w:rPr>
          <w:rFonts w:hint="eastAsia" w:ascii="宋体" w:hAnsi="宋体"/>
          <w:snapToGrid w:val="0"/>
          <w:color w:val="auto"/>
          <w:kern w:val="0"/>
          <w:szCs w:val="21"/>
          <w:highlight w:val="none"/>
          <w:u w:val="single"/>
          <w:lang w:val="en-US" w:eastAsia="zh-CN"/>
        </w:rPr>
        <w:t>453215.54元</w:t>
      </w:r>
    </w:p>
    <w:p>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color w:val="auto"/>
          <w:kern w:val="0"/>
          <w:szCs w:val="21"/>
          <w:highlight w:val="none"/>
          <w:u w:val="single"/>
          <w:lang w:eastAsia="zh-CN"/>
        </w:rPr>
      </w:pPr>
      <w:r>
        <w:rPr>
          <w:rFonts w:hint="eastAsia" w:ascii="宋体" w:hAnsi="宋体"/>
          <w:snapToGrid w:val="0"/>
          <w:color w:val="auto"/>
          <w:kern w:val="0"/>
          <w:szCs w:val="21"/>
          <w:highlight w:val="none"/>
        </w:rPr>
        <w:t>2.4 招标范围：</w:t>
      </w:r>
      <w:r>
        <w:rPr>
          <w:rFonts w:hint="eastAsia" w:ascii="宋体" w:hAnsi="宋体"/>
          <w:snapToGrid w:val="0"/>
          <w:color w:val="auto"/>
          <w:kern w:val="0"/>
          <w:szCs w:val="21"/>
          <w:highlight w:val="none"/>
          <w:u w:val="single"/>
        </w:rPr>
        <w:t>包含工程量清单、招标文件（含答疑、补遗、澄清通知）等范围内的全部工程内容, 具体以招标人提供的工程量清单的内容为准</w:t>
      </w:r>
      <w:r>
        <w:rPr>
          <w:rFonts w:hint="eastAsia" w:ascii="宋体" w:hAnsi="宋体"/>
          <w:snapToGrid w:val="0"/>
          <w:color w:val="auto"/>
          <w:kern w:val="0"/>
          <w:szCs w:val="21"/>
          <w:highlight w:val="none"/>
          <w:u w:val="single"/>
          <w:lang w:eastAsia="zh-CN"/>
        </w:rPr>
        <w:t>。</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2.5 工期要求：</w:t>
      </w:r>
      <w:r>
        <w:rPr>
          <w:rFonts w:hint="eastAsia" w:ascii="宋体" w:hAnsi="宋体"/>
          <w:snapToGrid w:val="0"/>
          <w:color w:val="auto"/>
          <w:kern w:val="0"/>
          <w:szCs w:val="21"/>
          <w:highlight w:val="none"/>
          <w:u w:val="single"/>
          <w:lang w:val="en-US" w:eastAsia="zh-CN"/>
        </w:rPr>
        <w:t>45</w:t>
      </w:r>
      <w:r>
        <w:rPr>
          <w:rFonts w:hint="eastAsia" w:ascii="宋体" w:hAnsi="宋体"/>
          <w:snapToGrid w:val="0"/>
          <w:color w:val="auto"/>
          <w:kern w:val="0"/>
          <w:szCs w:val="21"/>
          <w:highlight w:val="none"/>
          <w:u w:val="single"/>
        </w:rPr>
        <w:t>日历天</w:t>
      </w:r>
      <w:r>
        <w:rPr>
          <w:rFonts w:hint="eastAsia" w:ascii="宋体" w:hAnsi="宋体"/>
          <w:snapToGrid w:val="0"/>
          <w:color w:val="auto"/>
          <w:kern w:val="0"/>
          <w:szCs w:val="21"/>
          <w:highlight w:val="none"/>
          <w:u w:val="none"/>
          <w:lang w:eastAsia="zh-CN"/>
        </w:rPr>
        <w:t>。</w:t>
      </w:r>
      <w:r>
        <w:rPr>
          <w:rFonts w:hint="eastAsia" w:ascii="宋体" w:hAnsi="宋体"/>
          <w:snapToGrid w:val="0"/>
          <w:color w:val="auto"/>
          <w:kern w:val="0"/>
          <w:szCs w:val="21"/>
          <w:highlight w:val="none"/>
        </w:rPr>
        <w:t>质保期</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u w:val="single"/>
        </w:rPr>
        <w:t>五年</w:t>
      </w:r>
    </w:p>
    <w:p>
      <w:pPr>
        <w:pStyle w:val="3"/>
        <w:spacing w:before="100" w:after="100" w:line="460" w:lineRule="exact"/>
        <w:rPr>
          <w:rFonts w:ascii="宋体" w:hAnsi="宋体"/>
          <w:snapToGrid w:val="0"/>
          <w:color w:val="auto"/>
          <w:sz w:val="28"/>
          <w:szCs w:val="28"/>
          <w:highlight w:val="none"/>
        </w:rPr>
      </w:pPr>
      <w:bookmarkStart w:id="40" w:name="_Toc287607730"/>
      <w:bookmarkStart w:id="41" w:name="_Toc200359240"/>
      <w:bookmarkStart w:id="42" w:name="_Toc509218694"/>
      <w:bookmarkStart w:id="43" w:name="_Toc277082538"/>
      <w:bookmarkStart w:id="44" w:name="_Toc430530418"/>
      <w:bookmarkStart w:id="45" w:name="_Toc57905814"/>
      <w:bookmarkStart w:id="46" w:name="_Toc287620669"/>
      <w:bookmarkStart w:id="47" w:name="_Toc19513"/>
      <w:bookmarkStart w:id="48" w:name="_Toc200359429"/>
      <w:bookmarkStart w:id="49" w:name="_Toc224103301"/>
      <w:r>
        <w:rPr>
          <w:rFonts w:ascii="宋体" w:hAnsi="宋体"/>
          <w:snapToGrid w:val="0"/>
          <w:color w:val="auto"/>
          <w:sz w:val="28"/>
          <w:szCs w:val="28"/>
          <w:highlight w:val="none"/>
        </w:rPr>
        <w:t xml:space="preserve">3.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投标人资格要求</w:t>
      </w:r>
      <w:bookmarkEnd w:id="40"/>
      <w:bookmarkEnd w:id="41"/>
      <w:bookmarkEnd w:id="42"/>
      <w:bookmarkEnd w:id="43"/>
      <w:bookmarkEnd w:id="44"/>
      <w:bookmarkEnd w:id="45"/>
      <w:bookmarkEnd w:id="46"/>
      <w:bookmarkEnd w:id="47"/>
      <w:bookmarkEnd w:id="48"/>
      <w:bookmarkEnd w:id="49"/>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3.1  本次招标要求投标人须具备</w:t>
      </w:r>
      <w:r>
        <w:rPr>
          <w:rFonts w:hint="eastAsia" w:ascii="宋体" w:hAnsi="宋体"/>
          <w:snapToGrid w:val="0"/>
          <w:color w:val="auto"/>
          <w:kern w:val="0"/>
          <w:szCs w:val="21"/>
          <w:highlight w:val="none"/>
        </w:rPr>
        <w:t>以下条件：</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3.1.1 本次招标要求投标人具备的资质条件：</w:t>
      </w:r>
      <w:r>
        <w:rPr>
          <w:rFonts w:hint="eastAsia" w:ascii="宋体" w:hAnsi="宋体"/>
          <w:snapToGrid w:val="0"/>
          <w:color w:val="auto"/>
          <w:kern w:val="0"/>
          <w:szCs w:val="21"/>
          <w:highlight w:val="none"/>
          <w:u w:val="single"/>
        </w:rPr>
        <w:t>具备建设行政主管部门颁发的有效的防水防腐保温工程专业承包</w:t>
      </w:r>
      <w:r>
        <w:rPr>
          <w:rFonts w:hint="eastAsia" w:ascii="宋体" w:hAnsi="宋体"/>
          <w:snapToGrid w:val="0"/>
          <w:color w:val="auto"/>
          <w:kern w:val="0"/>
          <w:szCs w:val="21"/>
          <w:highlight w:val="none"/>
          <w:u w:val="single"/>
          <w:lang w:val="en-US" w:eastAsia="zh-CN"/>
        </w:rPr>
        <w:t>二</w:t>
      </w:r>
      <w:r>
        <w:rPr>
          <w:rFonts w:hint="eastAsia" w:ascii="宋体" w:hAnsi="宋体"/>
          <w:snapToGrid w:val="0"/>
          <w:color w:val="auto"/>
          <w:kern w:val="0"/>
          <w:szCs w:val="21"/>
          <w:highlight w:val="none"/>
          <w:u w:val="single"/>
        </w:rPr>
        <w:t>级及以上资质</w:t>
      </w:r>
      <w:r>
        <w:rPr>
          <w:rFonts w:hint="eastAsia" w:ascii="宋体" w:hAnsi="宋体"/>
          <w:snapToGrid w:val="0"/>
          <w:color w:val="auto"/>
          <w:kern w:val="0"/>
          <w:szCs w:val="21"/>
          <w:highlight w:val="none"/>
        </w:rPr>
        <w:t>；</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3.1.2 本次招标要求投标人具备的业绩条件：</w:t>
      </w:r>
      <w:r>
        <w:rPr>
          <w:rFonts w:hint="eastAsia" w:ascii="宋体" w:hAnsi="宋体"/>
          <w:snapToGrid w:val="0"/>
          <w:color w:val="auto"/>
          <w:kern w:val="0"/>
          <w:szCs w:val="21"/>
          <w:highlight w:val="none"/>
          <w:u w:val="single"/>
        </w:rPr>
        <w:t>详见招标文件第二章投标人须知前附表第1.4.1项内容</w:t>
      </w:r>
      <w:r>
        <w:rPr>
          <w:rFonts w:hint="eastAsia" w:ascii="宋体" w:hAnsi="宋体"/>
          <w:snapToGrid w:val="0"/>
          <w:color w:val="auto"/>
          <w:kern w:val="0"/>
          <w:szCs w:val="21"/>
          <w:highlight w:val="none"/>
        </w:rPr>
        <w:t>；</w:t>
      </w:r>
    </w:p>
    <w:p>
      <w:pPr>
        <w:tabs>
          <w:tab w:val="left" w:pos="3840"/>
          <w:tab w:val="left" w:pos="5300"/>
        </w:tabs>
        <w:autoSpaceDE w:val="0"/>
        <w:autoSpaceDN w:val="0"/>
        <w:adjustRightInd w:val="0"/>
        <w:snapToGrid w:val="0"/>
        <w:spacing w:line="460" w:lineRule="exact"/>
        <w:ind w:firstLine="420" w:firstLineChars="200"/>
        <w:jc w:val="left"/>
        <w:rPr>
          <w:rFonts w:ascii="宋体" w:hAnsi="宋体"/>
          <w:color w:val="auto"/>
          <w:szCs w:val="21"/>
          <w:highlight w:val="none"/>
        </w:rPr>
      </w:pPr>
      <w:r>
        <w:rPr>
          <w:rFonts w:hint="eastAsia" w:ascii="宋体" w:hAnsi="宋体"/>
          <w:snapToGrid w:val="0"/>
          <w:color w:val="auto"/>
          <w:kern w:val="0"/>
          <w:szCs w:val="21"/>
          <w:highlight w:val="none"/>
        </w:rPr>
        <w:t>3.1.3 投标人还应在人员、设备、资金等方面具有相应的施工能力，详见招标文件第二章投标人须知前附表第1.4.1项内容。</w:t>
      </w:r>
    </w:p>
    <w:p>
      <w:pPr>
        <w:tabs>
          <w:tab w:val="left" w:pos="3045"/>
          <w:tab w:val="left" w:pos="8310"/>
        </w:tabs>
        <w:autoSpaceDE w:val="0"/>
        <w:autoSpaceDN w:val="0"/>
        <w:adjustRightInd w:val="0"/>
        <w:snapToGrid w:val="0"/>
        <w:spacing w:line="46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  本次招标</w:t>
      </w:r>
      <w:r>
        <w:rPr>
          <w:rFonts w:hint="eastAsia" w:ascii="宋体" w:hAnsi="宋体"/>
          <w:snapToGrid w:val="0"/>
          <w:color w:val="auto"/>
          <w:kern w:val="0"/>
          <w:szCs w:val="21"/>
          <w:highlight w:val="none"/>
        </w:rPr>
        <w:t>不接受</w:t>
      </w:r>
      <w:r>
        <w:rPr>
          <w:rFonts w:ascii="宋体" w:hAnsi="宋体"/>
          <w:snapToGrid w:val="0"/>
          <w:color w:val="auto"/>
          <w:kern w:val="0"/>
          <w:szCs w:val="21"/>
          <w:highlight w:val="none"/>
        </w:rPr>
        <w:t>联合体投标。</w:t>
      </w:r>
    </w:p>
    <w:p>
      <w:pPr>
        <w:pStyle w:val="3"/>
        <w:spacing w:before="100" w:after="100" w:line="460" w:lineRule="exact"/>
        <w:rPr>
          <w:rFonts w:ascii="宋体" w:hAnsi="宋体"/>
          <w:snapToGrid w:val="0"/>
          <w:color w:val="auto"/>
          <w:sz w:val="28"/>
          <w:szCs w:val="28"/>
          <w:highlight w:val="none"/>
        </w:rPr>
      </w:pPr>
      <w:bookmarkStart w:id="50" w:name="_Toc224103302"/>
      <w:bookmarkStart w:id="51" w:name="_Toc430530419"/>
      <w:bookmarkStart w:id="52" w:name="_Toc200359430"/>
      <w:bookmarkStart w:id="53" w:name="_Toc287620670"/>
      <w:bookmarkStart w:id="54" w:name="_Toc200359241"/>
      <w:bookmarkStart w:id="55" w:name="_Toc57905815"/>
      <w:bookmarkStart w:id="56" w:name="_Toc509218695"/>
      <w:bookmarkStart w:id="57" w:name="_Toc277082539"/>
      <w:bookmarkStart w:id="58" w:name="_Toc10508"/>
      <w:bookmarkStart w:id="59" w:name="_Toc287607731"/>
      <w:r>
        <w:rPr>
          <w:rFonts w:ascii="宋体" w:hAnsi="宋体"/>
          <w:snapToGrid w:val="0"/>
          <w:color w:val="auto"/>
          <w:sz w:val="28"/>
          <w:szCs w:val="28"/>
          <w:highlight w:val="none"/>
        </w:rPr>
        <w:t xml:space="preserve">4.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招标文件的获取</w:t>
      </w:r>
      <w:bookmarkEnd w:id="50"/>
      <w:bookmarkEnd w:id="51"/>
      <w:bookmarkEnd w:id="52"/>
      <w:bookmarkEnd w:id="53"/>
      <w:bookmarkEnd w:id="54"/>
      <w:bookmarkEnd w:id="55"/>
      <w:bookmarkEnd w:id="56"/>
      <w:bookmarkEnd w:id="57"/>
      <w:bookmarkEnd w:id="58"/>
      <w:bookmarkEnd w:id="59"/>
    </w:p>
    <w:p>
      <w:pPr>
        <w:pageBreakBefore w:val="0"/>
        <w:kinsoku/>
        <w:wordWrap/>
        <w:overflowPunct/>
        <w:topLinePunct w:val="0"/>
        <w:autoSpaceDE/>
        <w:autoSpaceDN/>
        <w:bidi w:val="0"/>
        <w:adjustRightInd/>
        <w:snapToGrid w:val="0"/>
        <w:spacing w:line="540" w:lineRule="exact"/>
        <w:ind w:firstLine="420" w:firstLineChars="200"/>
        <w:jc w:val="left"/>
        <w:textAlignment w:val="auto"/>
        <w:rPr>
          <w:rFonts w:hint="eastAsia" w:ascii="宋体" w:hAnsi="宋体"/>
          <w:snapToGrid w:val="0"/>
          <w:color w:val="auto"/>
          <w:kern w:val="0"/>
          <w:szCs w:val="21"/>
          <w:highlight w:val="none"/>
          <w:lang w:eastAsia="zh-CN"/>
        </w:rPr>
      </w:pPr>
      <w:r>
        <w:rPr>
          <w:rFonts w:hint="eastAsia" w:ascii="宋体" w:hAnsi="宋体"/>
          <w:snapToGrid w:val="0"/>
          <w:color w:val="auto"/>
          <w:kern w:val="0"/>
          <w:szCs w:val="21"/>
          <w:highlight w:val="none"/>
        </w:rPr>
        <w:t xml:space="preserve">4.1  </w:t>
      </w:r>
      <w:r>
        <w:rPr>
          <w:rFonts w:hint="eastAsia" w:ascii="宋体" w:hAnsi="宋体"/>
          <w:snapToGrid w:val="0"/>
          <w:color w:val="auto"/>
          <w:kern w:val="0"/>
          <w:szCs w:val="21"/>
          <w:highlight w:val="none"/>
          <w:lang w:val="en-US" w:eastAsia="zh-CN"/>
        </w:rPr>
        <w:t>投标人</w:t>
      </w:r>
      <w:r>
        <w:rPr>
          <w:rFonts w:hint="eastAsia" w:ascii="宋体" w:hAnsi="宋体"/>
          <w:snapToGrid w:val="0"/>
          <w:color w:val="auto"/>
          <w:kern w:val="0"/>
          <w:szCs w:val="21"/>
          <w:highlight w:val="none"/>
        </w:rPr>
        <w:t>应通过“行采家”平台（https://www.gec123.com）进行注册，成为行采家平台</w:t>
      </w:r>
      <w:r>
        <w:rPr>
          <w:rFonts w:hint="eastAsia" w:ascii="宋体" w:hAnsi="宋体"/>
          <w:snapToGrid w:val="0"/>
          <w:color w:val="auto"/>
          <w:kern w:val="0"/>
          <w:szCs w:val="21"/>
          <w:highlight w:val="none"/>
          <w:lang w:val="en-US" w:eastAsia="zh-CN"/>
        </w:rPr>
        <w:t>的投标人</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凡有意参加投标</w:t>
      </w:r>
      <w:r>
        <w:rPr>
          <w:rFonts w:hint="eastAsia" w:ascii="宋体" w:hAnsi="宋体"/>
          <w:snapToGrid w:val="0"/>
          <w:color w:val="auto"/>
          <w:kern w:val="0"/>
          <w:szCs w:val="21"/>
          <w:highlight w:val="none"/>
          <w:lang w:val="en-US" w:eastAsia="zh-CN"/>
        </w:rPr>
        <w:t>人</w:t>
      </w:r>
      <w:r>
        <w:rPr>
          <w:rFonts w:ascii="宋体" w:hAnsi="宋体"/>
          <w:snapToGrid w:val="0"/>
          <w:color w:val="auto"/>
          <w:kern w:val="0"/>
          <w:szCs w:val="21"/>
          <w:highlight w:val="none"/>
        </w:rPr>
        <w:t>，请于</w:t>
      </w:r>
      <w:r>
        <w:rPr>
          <w:rFonts w:hint="eastAsia" w:ascii="宋体" w:hAnsi="宋体"/>
          <w:snapToGrid w:val="0"/>
          <w:color w:val="auto"/>
          <w:kern w:val="0"/>
          <w:szCs w:val="21"/>
          <w:highlight w:val="none"/>
          <w:u w:val="single"/>
          <w:lang w:val="en-US" w:eastAsia="zh-CN"/>
        </w:rPr>
        <w:t>2025</w:t>
      </w:r>
      <w:r>
        <w:rPr>
          <w:rFonts w:hint="eastAsia" w:ascii="宋体" w:hAnsi="宋体"/>
          <w:snapToGrid w:val="0"/>
          <w:color w:val="auto"/>
          <w:kern w:val="0"/>
          <w:szCs w:val="21"/>
          <w:highlight w:val="none"/>
          <w:u w:val="none"/>
          <w:lang w:val="en-US" w:eastAsia="zh-CN"/>
        </w:rPr>
        <w:t>年</w:t>
      </w:r>
      <w:r>
        <w:rPr>
          <w:rFonts w:hint="eastAsia" w:ascii="宋体" w:hAnsi="宋体"/>
          <w:snapToGrid w:val="0"/>
          <w:color w:val="auto"/>
          <w:kern w:val="0"/>
          <w:szCs w:val="21"/>
          <w:highlight w:val="none"/>
          <w:u w:val="single"/>
          <w:lang w:val="en-US" w:eastAsia="zh-CN"/>
        </w:rPr>
        <w:t>5</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lang w:val="en-US" w:eastAsia="zh-CN"/>
        </w:rPr>
        <w:t>13</w:t>
      </w:r>
      <w:r>
        <w:rPr>
          <w:rFonts w:ascii="宋体" w:hAnsi="宋体"/>
          <w:snapToGrid w:val="0"/>
          <w:color w:val="auto"/>
          <w:kern w:val="0"/>
          <w:szCs w:val="21"/>
          <w:highlight w:val="none"/>
        </w:rPr>
        <w:t>日</w:t>
      </w:r>
      <w:r>
        <w:rPr>
          <w:rFonts w:hint="eastAsia" w:ascii="宋体" w:hAnsi="宋体"/>
          <w:snapToGrid w:val="0"/>
          <w:color w:val="auto"/>
          <w:kern w:val="0"/>
          <w:szCs w:val="21"/>
          <w:highlight w:val="none"/>
          <w:lang w:val="en-US" w:eastAsia="zh-CN"/>
        </w:rPr>
        <w:t>至</w:t>
      </w:r>
      <w:r>
        <w:rPr>
          <w:rFonts w:hint="eastAsia" w:ascii="宋体" w:hAnsi="宋体"/>
          <w:snapToGrid w:val="0"/>
          <w:color w:val="auto"/>
          <w:kern w:val="0"/>
          <w:szCs w:val="21"/>
          <w:highlight w:val="none"/>
          <w:u w:val="single"/>
          <w:lang w:val="en-US" w:eastAsia="zh-CN"/>
        </w:rPr>
        <w:t>2025</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lang w:val="en-US" w:eastAsia="zh-CN"/>
        </w:rPr>
        <w:t>5</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lang w:val="en-US" w:eastAsia="zh-CN"/>
        </w:rPr>
        <w:t>23</w:t>
      </w:r>
      <w:r>
        <w:rPr>
          <w:rFonts w:ascii="宋体" w:hAnsi="宋体"/>
          <w:snapToGrid w:val="0"/>
          <w:color w:val="auto"/>
          <w:kern w:val="0"/>
          <w:szCs w:val="21"/>
          <w:highlight w:val="none"/>
        </w:rPr>
        <w:t>日</w:t>
      </w:r>
      <w:r>
        <w:rPr>
          <w:rFonts w:hint="eastAsia" w:ascii="宋体" w:hAnsi="宋体"/>
          <w:snapToGrid w:val="0"/>
          <w:color w:val="auto"/>
          <w:kern w:val="0"/>
          <w:szCs w:val="21"/>
          <w:highlight w:val="none"/>
          <w:lang w:val="en-US" w:eastAsia="zh-CN"/>
        </w:rPr>
        <w:t>17时30分内</w:t>
      </w:r>
      <w:r>
        <w:rPr>
          <w:rFonts w:hint="eastAsia" w:ascii="宋体" w:hAnsi="宋体"/>
          <w:snapToGrid w:val="0"/>
          <w:color w:val="auto"/>
          <w:kern w:val="0"/>
          <w:szCs w:val="21"/>
          <w:highlight w:val="none"/>
        </w:rPr>
        <w:t>向</w:t>
      </w:r>
      <w:r>
        <w:rPr>
          <w:rFonts w:hint="eastAsia" w:ascii="宋体" w:hAnsi="宋体"/>
          <w:snapToGrid w:val="0"/>
          <w:color w:val="auto"/>
          <w:kern w:val="0"/>
          <w:szCs w:val="21"/>
          <w:highlight w:val="none"/>
          <w:lang w:val="en-US" w:eastAsia="zh-CN"/>
        </w:rPr>
        <w:t>招标代理机构进行报名，并</w:t>
      </w:r>
      <w:r>
        <w:rPr>
          <w:rFonts w:hint="eastAsia" w:ascii="宋体" w:hAnsi="宋体"/>
          <w:snapToGrid w:val="0"/>
          <w:color w:val="auto"/>
          <w:kern w:val="0"/>
          <w:szCs w:val="21"/>
          <w:highlight w:val="none"/>
        </w:rPr>
        <w:t>购买</w:t>
      </w:r>
      <w:r>
        <w:rPr>
          <w:rFonts w:hint="eastAsia" w:ascii="宋体" w:hAnsi="宋体"/>
          <w:snapToGrid w:val="0"/>
          <w:color w:val="auto"/>
          <w:kern w:val="0"/>
          <w:szCs w:val="21"/>
          <w:highlight w:val="none"/>
          <w:lang w:val="en-US" w:eastAsia="zh-CN"/>
        </w:rPr>
        <w:t>招标</w:t>
      </w:r>
      <w:r>
        <w:rPr>
          <w:rFonts w:hint="eastAsia" w:ascii="宋体" w:hAnsi="宋体"/>
          <w:snapToGrid w:val="0"/>
          <w:color w:val="auto"/>
          <w:kern w:val="0"/>
          <w:szCs w:val="21"/>
          <w:highlight w:val="none"/>
        </w:rPr>
        <w:t>文件</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招标文件费用：500.00元（售后不退）。</w:t>
      </w:r>
    </w:p>
    <w:p>
      <w:pPr>
        <w:pageBreakBefore w:val="0"/>
        <w:kinsoku/>
        <w:wordWrap/>
        <w:overflowPunct/>
        <w:topLinePunct w:val="0"/>
        <w:autoSpaceDE/>
        <w:autoSpaceDN/>
        <w:bidi w:val="0"/>
        <w:adjustRightInd/>
        <w:snapToGrid w:val="0"/>
        <w:spacing w:line="540" w:lineRule="exact"/>
        <w:ind w:firstLine="420" w:firstLineChars="200"/>
        <w:jc w:val="left"/>
        <w:textAlignment w:val="auto"/>
        <w:rPr>
          <w:rFonts w:hint="eastAsia"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 xml:space="preserve">4.2  </w:t>
      </w:r>
      <w:r>
        <w:rPr>
          <w:rFonts w:hint="eastAsia" w:ascii="宋体" w:hAnsi="宋体"/>
          <w:b w:val="0"/>
          <w:bCs w:val="0"/>
          <w:snapToGrid w:val="0"/>
          <w:color w:val="auto"/>
          <w:kern w:val="0"/>
          <w:szCs w:val="21"/>
          <w:highlight w:val="none"/>
          <w:lang w:val="en-US" w:eastAsia="zh-CN"/>
        </w:rPr>
        <w:t>报名及购买方式</w:t>
      </w:r>
      <w:r>
        <w:rPr>
          <w:rFonts w:hint="eastAsia" w:ascii="宋体" w:hAnsi="宋体"/>
          <w:snapToGrid w:val="0"/>
          <w:color w:val="auto"/>
          <w:kern w:val="0"/>
          <w:szCs w:val="21"/>
          <w:highlight w:val="none"/>
          <w:lang w:val="en-US" w:eastAsia="zh-CN"/>
        </w:rPr>
        <w:t>：</w:t>
      </w:r>
      <w:r>
        <w:rPr>
          <w:rFonts w:ascii="宋体" w:hAnsi="宋体"/>
          <w:snapToGrid w:val="0"/>
          <w:color w:val="auto"/>
          <w:kern w:val="0"/>
          <w:szCs w:val="21"/>
          <w:highlight w:val="none"/>
        </w:rPr>
        <w:t>投标</w:t>
      </w:r>
      <w:r>
        <w:rPr>
          <w:rFonts w:hint="eastAsia" w:ascii="宋体" w:hAnsi="宋体"/>
          <w:snapToGrid w:val="0"/>
          <w:color w:val="auto"/>
          <w:kern w:val="0"/>
          <w:szCs w:val="21"/>
          <w:highlight w:val="none"/>
          <w:lang w:val="en-US" w:eastAsia="zh-CN"/>
        </w:rPr>
        <w:t>人</w:t>
      </w:r>
      <w:r>
        <w:rPr>
          <w:rFonts w:hint="eastAsia" w:ascii="宋体" w:hAnsi="宋体"/>
          <w:snapToGrid w:val="0"/>
          <w:color w:val="auto"/>
          <w:kern w:val="0"/>
          <w:szCs w:val="21"/>
          <w:highlight w:val="none"/>
        </w:rPr>
        <w:t>将</w:t>
      </w:r>
      <w:r>
        <w:rPr>
          <w:rFonts w:hint="eastAsia" w:ascii="宋体" w:hAnsi="宋体"/>
          <w:snapToGrid w:val="0"/>
          <w:color w:val="auto"/>
          <w:kern w:val="0"/>
          <w:szCs w:val="21"/>
          <w:highlight w:val="none"/>
          <w:lang w:val="en-US" w:eastAsia="zh-CN"/>
        </w:rPr>
        <w:t>《招标文件发售登记表》</w:t>
      </w:r>
      <w:r>
        <w:rPr>
          <w:rFonts w:hint="eastAsia" w:ascii="宋体" w:hAnsi="宋体"/>
          <w:snapToGrid w:val="0"/>
          <w:color w:val="auto"/>
          <w:kern w:val="0"/>
          <w:szCs w:val="21"/>
          <w:highlight w:val="none"/>
        </w:rPr>
        <w:t>购买费用汇至以下账户，并将</w:t>
      </w:r>
      <w:r>
        <w:rPr>
          <w:rFonts w:hint="eastAsia" w:ascii="宋体" w:hAnsi="宋体"/>
          <w:snapToGrid w:val="0"/>
          <w:color w:val="auto"/>
          <w:kern w:val="0"/>
          <w:szCs w:val="21"/>
          <w:highlight w:val="none"/>
          <w:lang w:val="en-US" w:eastAsia="zh-CN"/>
        </w:rPr>
        <w:t>《招标文件发售登记表》加盖投标人公章、《营业执照》加盖投标人公章、《汇款凭证》</w:t>
      </w:r>
      <w:r>
        <w:rPr>
          <w:rFonts w:hint="eastAsia" w:ascii="宋体" w:hAnsi="宋体"/>
          <w:snapToGrid w:val="0"/>
          <w:color w:val="auto"/>
          <w:kern w:val="0"/>
          <w:szCs w:val="21"/>
          <w:highlight w:val="none"/>
        </w:rPr>
        <w:t>扫描后发送至邮箱：</w:t>
      </w:r>
      <w:r>
        <w:rPr>
          <w:rFonts w:hint="eastAsia" w:ascii="宋体" w:hAnsi="宋体"/>
          <w:snapToGrid w:val="0"/>
          <w:color w:val="auto"/>
          <w:kern w:val="0"/>
          <w:szCs w:val="21"/>
          <w:highlight w:val="none"/>
          <w:lang w:val="en-US" w:eastAsia="zh-CN"/>
        </w:rPr>
        <w:t>952484964</w:t>
      </w:r>
      <w:r>
        <w:rPr>
          <w:rFonts w:hint="eastAsia" w:ascii="宋体" w:hAnsi="宋体"/>
          <w:snapToGrid w:val="0"/>
          <w:color w:val="auto"/>
          <w:kern w:val="0"/>
          <w:szCs w:val="21"/>
          <w:highlight w:val="none"/>
        </w:rPr>
        <w:t>@qq.com。</w:t>
      </w:r>
    </w:p>
    <w:p>
      <w:pPr>
        <w:pageBreakBefore w:val="0"/>
        <w:kinsoku/>
        <w:wordWrap/>
        <w:overflowPunct/>
        <w:topLinePunct w:val="0"/>
        <w:autoSpaceDE/>
        <w:autoSpaceDN/>
        <w:bidi w:val="0"/>
        <w:adjustRightInd/>
        <w:snapToGrid w:val="0"/>
        <w:spacing w:line="540" w:lineRule="exact"/>
        <w:ind w:firstLine="420" w:firstLineChars="200"/>
        <w:jc w:val="left"/>
        <w:textAlignment w:val="auto"/>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户名：凌辉建设工程咨询有限公司重庆分公司</w:t>
      </w:r>
    </w:p>
    <w:p>
      <w:pPr>
        <w:pageBreakBefore w:val="0"/>
        <w:kinsoku/>
        <w:wordWrap/>
        <w:overflowPunct/>
        <w:topLinePunct w:val="0"/>
        <w:autoSpaceDE/>
        <w:autoSpaceDN/>
        <w:bidi w:val="0"/>
        <w:adjustRightInd/>
        <w:snapToGrid w:val="0"/>
        <w:spacing w:line="540" w:lineRule="exact"/>
        <w:ind w:firstLine="420" w:firstLineChars="200"/>
        <w:jc w:val="left"/>
        <w:textAlignment w:val="auto"/>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账号：31011401040004837</w:t>
      </w:r>
    </w:p>
    <w:p>
      <w:pPr>
        <w:pageBreakBefore w:val="0"/>
        <w:kinsoku/>
        <w:wordWrap/>
        <w:overflowPunct/>
        <w:topLinePunct w:val="0"/>
        <w:autoSpaceDE/>
        <w:autoSpaceDN/>
        <w:bidi w:val="0"/>
        <w:adjustRightInd/>
        <w:snapToGrid w:val="0"/>
        <w:spacing w:line="540" w:lineRule="exact"/>
        <w:ind w:firstLine="420" w:firstLineChars="200"/>
        <w:jc w:val="left"/>
        <w:textAlignment w:val="auto"/>
        <w:rPr>
          <w:rFonts w:hint="default"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rPr>
        <w:t>开户行：中国农业银行股份有限公司重庆渝中鹅岭支行</w:t>
      </w:r>
    </w:p>
    <w:p>
      <w:pPr>
        <w:pStyle w:val="3"/>
        <w:spacing w:before="100" w:after="100" w:line="460" w:lineRule="exact"/>
        <w:rPr>
          <w:rFonts w:ascii="宋体" w:hAnsi="宋体"/>
          <w:snapToGrid w:val="0"/>
          <w:color w:val="auto"/>
          <w:sz w:val="28"/>
          <w:szCs w:val="28"/>
          <w:highlight w:val="none"/>
        </w:rPr>
      </w:pPr>
      <w:bookmarkStart w:id="60" w:name="_Toc28449"/>
      <w:bookmarkStart w:id="61" w:name="_Toc287620671"/>
      <w:bookmarkStart w:id="62" w:name="_Toc57905816"/>
      <w:bookmarkStart w:id="63" w:name="_Toc224103303"/>
      <w:bookmarkStart w:id="64" w:name="_Toc200359431"/>
      <w:bookmarkStart w:id="65" w:name="_Toc277082540"/>
      <w:bookmarkStart w:id="66" w:name="_Toc509218696"/>
      <w:bookmarkStart w:id="67" w:name="_Toc430530420"/>
      <w:bookmarkStart w:id="68" w:name="_Toc200359242"/>
      <w:bookmarkStart w:id="69" w:name="_Toc287607732"/>
      <w:r>
        <w:rPr>
          <w:rFonts w:ascii="宋体" w:hAnsi="宋体"/>
          <w:snapToGrid w:val="0"/>
          <w:color w:val="auto"/>
          <w:sz w:val="28"/>
          <w:szCs w:val="28"/>
          <w:highlight w:val="none"/>
        </w:rPr>
        <w:t xml:space="preserve">5.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投标文件的递交</w:t>
      </w:r>
      <w:bookmarkEnd w:id="60"/>
      <w:bookmarkEnd w:id="61"/>
      <w:bookmarkEnd w:id="62"/>
      <w:bookmarkEnd w:id="63"/>
      <w:bookmarkEnd w:id="64"/>
      <w:bookmarkEnd w:id="65"/>
      <w:bookmarkEnd w:id="66"/>
      <w:bookmarkEnd w:id="67"/>
      <w:bookmarkEnd w:id="68"/>
      <w:bookmarkEnd w:id="69"/>
    </w:p>
    <w:p>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5.1  投标文件递交的截止时间（投标截止时间，下同）为</w:t>
      </w:r>
      <w:r>
        <w:rPr>
          <w:rFonts w:hint="eastAsia" w:ascii="宋体" w:hAnsi="宋体"/>
          <w:snapToGrid w:val="0"/>
          <w:color w:val="auto"/>
          <w:kern w:val="0"/>
          <w:szCs w:val="21"/>
          <w:highlight w:val="none"/>
          <w:u w:val="single"/>
          <w:lang w:val="en-US" w:eastAsia="zh-CN"/>
        </w:rPr>
        <w:t>2025</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lang w:val="en-US" w:eastAsia="zh-CN"/>
        </w:rPr>
        <w:t>6</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lang w:val="en-US" w:eastAsia="zh-CN"/>
        </w:rPr>
        <w:t>4</w:t>
      </w:r>
      <w:r>
        <w:rPr>
          <w:rFonts w:ascii="宋体" w:hAnsi="宋体"/>
          <w:snapToGrid w:val="0"/>
          <w:color w:val="auto"/>
          <w:kern w:val="0"/>
          <w:szCs w:val="21"/>
          <w:highlight w:val="none"/>
        </w:rPr>
        <w:t>日</w:t>
      </w:r>
      <w:r>
        <w:rPr>
          <w:rFonts w:hint="eastAsia" w:ascii="宋体" w:hAnsi="宋体"/>
          <w:snapToGrid w:val="0"/>
          <w:color w:val="auto"/>
          <w:kern w:val="0"/>
          <w:szCs w:val="21"/>
          <w:highlight w:val="none"/>
          <w:u w:val="single"/>
          <w:lang w:val="en-US" w:eastAsia="zh-CN"/>
        </w:rPr>
        <w:t>10</w:t>
      </w:r>
      <w:r>
        <w:rPr>
          <w:rFonts w:ascii="宋体" w:hAnsi="宋体"/>
          <w:snapToGrid w:val="0"/>
          <w:color w:val="auto"/>
          <w:kern w:val="0"/>
          <w:szCs w:val="21"/>
          <w:highlight w:val="none"/>
        </w:rPr>
        <w:t>时</w:t>
      </w:r>
      <w:r>
        <w:rPr>
          <w:rFonts w:hint="eastAsia" w:ascii="宋体" w:hAnsi="宋体"/>
          <w:snapToGrid w:val="0"/>
          <w:color w:val="auto"/>
          <w:kern w:val="0"/>
          <w:szCs w:val="21"/>
          <w:highlight w:val="none"/>
          <w:u w:val="single"/>
          <w:lang w:val="en-US" w:eastAsia="zh-CN"/>
        </w:rPr>
        <w:t>00</w:t>
      </w:r>
      <w:r>
        <w:rPr>
          <w:rFonts w:ascii="宋体" w:hAnsi="宋体"/>
          <w:snapToGrid w:val="0"/>
          <w:color w:val="auto"/>
          <w:kern w:val="0"/>
          <w:szCs w:val="21"/>
          <w:highlight w:val="none"/>
        </w:rPr>
        <w:t>分，地点为</w:t>
      </w:r>
      <w:r>
        <w:rPr>
          <w:rFonts w:hint="eastAsia" w:ascii="宋体" w:hAnsi="宋体"/>
          <w:snapToGrid w:val="0"/>
          <w:color w:val="auto"/>
          <w:kern w:val="0"/>
          <w:szCs w:val="21"/>
          <w:highlight w:val="none"/>
          <w:u w:val="single"/>
        </w:rPr>
        <w:t>长安锦绣城14栋负一楼中心办公室</w:t>
      </w:r>
      <w:r>
        <w:rPr>
          <w:rFonts w:ascii="宋体" w:hAnsi="宋体"/>
          <w:snapToGrid w:val="0"/>
          <w:color w:val="auto"/>
          <w:kern w:val="0"/>
          <w:szCs w:val="21"/>
          <w:highlight w:val="none"/>
        </w:rPr>
        <w:t>。</w:t>
      </w:r>
    </w:p>
    <w:p>
      <w:pPr>
        <w:autoSpaceDE w:val="0"/>
        <w:autoSpaceDN w:val="0"/>
        <w:adjustRightInd w:val="0"/>
        <w:snapToGrid w:val="0"/>
        <w:spacing w:line="450" w:lineRule="exact"/>
        <w:ind w:firstLine="420" w:firstLineChars="200"/>
        <w:rPr>
          <w:rFonts w:hint="eastAsia" w:ascii="宋体" w:hAnsi="宋体" w:eastAsia="宋体"/>
          <w:snapToGrid w:val="0"/>
          <w:color w:val="auto"/>
          <w:kern w:val="0"/>
          <w:szCs w:val="21"/>
          <w:highlight w:val="none"/>
          <w:lang w:val="en-US" w:eastAsia="zh-CN"/>
        </w:rPr>
      </w:pPr>
      <w:r>
        <w:rPr>
          <w:rFonts w:ascii="宋体" w:hAnsi="宋体"/>
          <w:snapToGrid w:val="0"/>
          <w:color w:val="auto"/>
          <w:kern w:val="0"/>
          <w:szCs w:val="21"/>
          <w:highlight w:val="none"/>
        </w:rPr>
        <w:t>5.2  逾期送达的或者未送达指定地点的投标文件，招标人不予受理。</w:t>
      </w:r>
      <w:r>
        <w:rPr>
          <w:rFonts w:hint="eastAsia" w:ascii="宋体" w:hAnsi="宋体"/>
          <w:snapToGrid w:val="0"/>
          <w:color w:val="auto"/>
          <w:kern w:val="0"/>
          <w:szCs w:val="21"/>
          <w:highlight w:val="none"/>
          <w:lang w:val="en-US" w:eastAsia="zh-CN"/>
        </w:rPr>
        <w:t xml:space="preserve"> </w:t>
      </w:r>
    </w:p>
    <w:p>
      <w:pPr>
        <w:pStyle w:val="3"/>
        <w:spacing w:before="100" w:after="100" w:line="460" w:lineRule="exact"/>
        <w:rPr>
          <w:rFonts w:ascii="宋体" w:hAnsi="宋体"/>
          <w:snapToGrid w:val="0"/>
          <w:color w:val="auto"/>
          <w:sz w:val="28"/>
          <w:szCs w:val="28"/>
          <w:highlight w:val="none"/>
        </w:rPr>
      </w:pPr>
      <w:bookmarkStart w:id="70" w:name="_Toc287607733"/>
      <w:bookmarkStart w:id="71" w:name="_Toc287620672"/>
      <w:bookmarkStart w:id="72" w:name="_Toc224103304"/>
      <w:bookmarkStart w:id="73" w:name="_Toc509218697"/>
      <w:bookmarkStart w:id="74" w:name="_Toc8166"/>
      <w:bookmarkStart w:id="75" w:name="_Toc200359432"/>
      <w:bookmarkStart w:id="76" w:name="_Toc57905817"/>
      <w:bookmarkStart w:id="77" w:name="_Toc430530421"/>
      <w:bookmarkStart w:id="78" w:name="_Toc277082541"/>
      <w:bookmarkStart w:id="79" w:name="_Toc200359243"/>
      <w:r>
        <w:rPr>
          <w:rFonts w:ascii="宋体" w:hAnsi="宋体"/>
          <w:snapToGrid w:val="0"/>
          <w:color w:val="auto"/>
          <w:sz w:val="28"/>
          <w:szCs w:val="28"/>
          <w:highlight w:val="none"/>
        </w:rPr>
        <w:t xml:space="preserve">6.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发布公告的媒介</w:t>
      </w:r>
      <w:bookmarkEnd w:id="70"/>
      <w:bookmarkEnd w:id="71"/>
      <w:bookmarkEnd w:id="72"/>
      <w:bookmarkEnd w:id="73"/>
      <w:bookmarkEnd w:id="74"/>
      <w:bookmarkEnd w:id="75"/>
      <w:bookmarkEnd w:id="76"/>
      <w:bookmarkEnd w:id="77"/>
      <w:bookmarkEnd w:id="78"/>
      <w:bookmarkEnd w:id="79"/>
    </w:p>
    <w:p>
      <w:pPr>
        <w:tabs>
          <w:tab w:val="left" w:pos="4950"/>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本次招标公告在</w:t>
      </w:r>
      <w:r>
        <w:rPr>
          <w:rFonts w:hint="eastAsia" w:ascii="宋体" w:hAnsi="宋体"/>
          <w:snapToGrid w:val="0"/>
          <w:color w:val="auto"/>
          <w:kern w:val="0"/>
          <w:szCs w:val="21"/>
          <w:highlight w:val="none"/>
          <w:u w:val="single"/>
        </w:rPr>
        <w:t>行采家（https://www.gec123.com/）</w:t>
      </w:r>
      <w:r>
        <w:rPr>
          <w:rFonts w:ascii="宋体" w:hAnsi="宋体"/>
          <w:snapToGrid w:val="0"/>
          <w:color w:val="auto"/>
          <w:kern w:val="0"/>
          <w:szCs w:val="21"/>
          <w:highlight w:val="none"/>
        </w:rPr>
        <w:t>上发布。</w:t>
      </w:r>
    </w:p>
    <w:p>
      <w:pPr>
        <w:pStyle w:val="3"/>
        <w:spacing w:before="100" w:after="100" w:line="460" w:lineRule="exact"/>
        <w:rPr>
          <w:rFonts w:ascii="宋体" w:hAnsi="宋体"/>
          <w:snapToGrid w:val="0"/>
          <w:color w:val="auto"/>
          <w:sz w:val="28"/>
          <w:szCs w:val="28"/>
          <w:highlight w:val="none"/>
        </w:rPr>
      </w:pPr>
      <w:bookmarkStart w:id="80" w:name="_Toc31352"/>
      <w:bookmarkStart w:id="81" w:name="_Toc14240"/>
      <w:bookmarkStart w:id="82" w:name="_Toc277082542"/>
      <w:bookmarkStart w:id="83" w:name="_Toc287607734"/>
      <w:bookmarkStart w:id="84" w:name="_Toc57905818"/>
      <w:bookmarkStart w:id="85" w:name="_Toc287620673"/>
      <w:bookmarkStart w:id="86" w:name="_Toc509218698"/>
      <w:bookmarkStart w:id="87" w:name="_Toc430530422"/>
      <w:bookmarkStart w:id="88" w:name="_Toc224103305"/>
      <w:r>
        <w:rPr>
          <w:rFonts w:hint="eastAsia" w:ascii="宋体" w:hAnsi="宋体"/>
          <w:snapToGrid w:val="0"/>
          <w:color w:val="auto"/>
          <w:sz w:val="28"/>
          <w:szCs w:val="28"/>
          <w:highlight w:val="none"/>
        </w:rPr>
        <w:t>7</w:t>
      </w:r>
      <w:r>
        <w:rPr>
          <w:rFonts w:ascii="宋体" w:hAnsi="宋体"/>
          <w:snapToGrid w:val="0"/>
          <w:color w:val="auto"/>
          <w:sz w:val="28"/>
          <w:szCs w:val="28"/>
          <w:highlight w:val="none"/>
        </w:rPr>
        <w:t xml:space="preserve">. </w:t>
      </w:r>
      <w:r>
        <w:rPr>
          <w:rFonts w:hint="eastAsia" w:ascii="宋体" w:hAnsi="宋体"/>
          <w:snapToGrid w:val="0"/>
          <w:color w:val="auto"/>
          <w:sz w:val="28"/>
          <w:szCs w:val="28"/>
          <w:highlight w:val="none"/>
        </w:rPr>
        <w:t xml:space="preserve"> </w:t>
      </w:r>
      <w:bookmarkEnd w:id="80"/>
      <w:bookmarkEnd w:id="81"/>
      <w:bookmarkStart w:id="89" w:name="_Toc589"/>
      <w:r>
        <w:rPr>
          <w:rFonts w:ascii="宋体" w:hAnsi="宋体"/>
          <w:snapToGrid w:val="0"/>
          <w:color w:val="auto"/>
          <w:sz w:val="28"/>
          <w:szCs w:val="28"/>
          <w:highlight w:val="none"/>
        </w:rPr>
        <w:t>联系方式</w:t>
      </w:r>
      <w:bookmarkEnd w:id="82"/>
      <w:bookmarkEnd w:id="83"/>
      <w:bookmarkEnd w:id="84"/>
      <w:bookmarkEnd w:id="85"/>
      <w:bookmarkEnd w:id="86"/>
      <w:bookmarkEnd w:id="87"/>
      <w:bookmarkEnd w:id="88"/>
      <w:bookmarkEnd w:id="89"/>
    </w:p>
    <w:p>
      <w:pPr>
        <w:tabs>
          <w:tab w:val="left" w:pos="5140"/>
          <w:tab w:val="left" w:pos="8520"/>
        </w:tabs>
        <w:autoSpaceDE w:val="0"/>
        <w:autoSpaceDN w:val="0"/>
        <w:adjustRightInd w:val="0"/>
        <w:snapToGrid w:val="0"/>
        <w:spacing w:line="45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招 标 人：</w:t>
      </w:r>
      <w:r>
        <w:rPr>
          <w:rFonts w:hint="eastAsia" w:ascii="宋体" w:hAnsi="宋体"/>
          <w:snapToGrid w:val="0"/>
          <w:color w:val="auto"/>
          <w:kern w:val="0"/>
          <w:szCs w:val="21"/>
          <w:highlight w:val="none"/>
          <w:u w:val="single"/>
        </w:rPr>
        <w:t>重庆长安智慧城市运营管理有限公司</w:t>
      </w:r>
      <w:r>
        <w:rPr>
          <w:rFonts w:ascii="宋体" w:hAnsi="宋体"/>
          <w:snapToGrid w:val="0"/>
          <w:color w:val="auto"/>
          <w:kern w:val="0"/>
          <w:szCs w:val="21"/>
          <w:highlight w:val="none"/>
        </w:rPr>
        <w:t xml:space="preserve">  招标代理机构：</w:t>
      </w:r>
      <w:r>
        <w:rPr>
          <w:rFonts w:hint="eastAsia" w:ascii="宋体" w:hAnsi="宋体"/>
          <w:snapToGrid w:val="0"/>
          <w:color w:val="auto"/>
          <w:kern w:val="0"/>
          <w:szCs w:val="21"/>
          <w:highlight w:val="none"/>
          <w:u w:val="single"/>
        </w:rPr>
        <w:t>凌辉建设工程咨询有限公司</w:t>
      </w:r>
    </w:p>
    <w:p>
      <w:pPr>
        <w:tabs>
          <w:tab w:val="left" w:pos="5140"/>
          <w:tab w:val="left" w:pos="8420"/>
        </w:tabs>
        <w:autoSpaceDE w:val="0"/>
        <w:autoSpaceDN w:val="0"/>
        <w:adjustRightInd w:val="0"/>
        <w:snapToGrid w:val="0"/>
        <w:spacing w:line="450" w:lineRule="exact"/>
        <w:ind w:firstLine="420" w:firstLineChars="200"/>
        <w:jc w:val="left"/>
        <w:rPr>
          <w:rFonts w:hint="default" w:ascii="宋体" w:hAnsi="宋体" w:eastAsia="宋体"/>
          <w:snapToGrid w:val="0"/>
          <w:color w:val="auto"/>
          <w:kern w:val="0"/>
          <w:szCs w:val="21"/>
          <w:highlight w:val="none"/>
          <w:lang w:val="en-US" w:eastAsia="zh-CN"/>
        </w:rPr>
      </w:pPr>
      <w:r>
        <w:rPr>
          <w:rFonts w:ascii="宋体" w:hAnsi="宋体"/>
          <w:snapToGrid w:val="0"/>
          <w:color w:val="auto"/>
          <w:kern w:val="0"/>
          <w:szCs w:val="21"/>
          <w:highlight w:val="none"/>
        </w:rPr>
        <w:t>地    址：</w:t>
      </w:r>
      <w:r>
        <w:rPr>
          <w:rFonts w:hint="eastAsia" w:ascii="宋体" w:hAnsi="宋体"/>
          <w:snapToGrid w:val="0"/>
          <w:color w:val="auto"/>
          <w:kern w:val="0"/>
          <w:szCs w:val="21"/>
          <w:highlight w:val="none"/>
          <w:u w:val="single"/>
          <w:lang w:val="en-US" w:eastAsia="zh-CN"/>
        </w:rPr>
        <w:t>重庆市</w:t>
      </w:r>
      <w:r>
        <w:rPr>
          <w:rFonts w:hint="eastAsia" w:ascii="宋体" w:hAnsi="宋体"/>
          <w:snapToGrid w:val="0"/>
          <w:color w:val="auto"/>
          <w:kern w:val="0"/>
          <w:szCs w:val="21"/>
          <w:highlight w:val="none"/>
          <w:u w:val="single"/>
        </w:rPr>
        <w:t>渝北区五红路199号长安商务大厦</w:t>
      </w:r>
      <w:r>
        <w:rPr>
          <w:rFonts w:ascii="宋体" w:hAnsi="宋体"/>
          <w:snapToGrid w:val="0"/>
          <w:color w:val="auto"/>
          <w:kern w:val="0"/>
          <w:szCs w:val="21"/>
          <w:highlight w:val="none"/>
        </w:rPr>
        <w:t xml:space="preserve">   </w:t>
      </w:r>
      <w:bookmarkStart w:id="906" w:name="_GoBack"/>
      <w:bookmarkEnd w:id="906"/>
      <w:r>
        <w:rPr>
          <w:rFonts w:ascii="宋体" w:hAnsi="宋体"/>
          <w:snapToGrid w:val="0"/>
          <w:color w:val="auto"/>
          <w:kern w:val="0"/>
          <w:szCs w:val="21"/>
          <w:highlight w:val="none"/>
        </w:rPr>
        <w:t>地址：</w:t>
      </w:r>
      <w:r>
        <w:rPr>
          <w:rFonts w:hint="eastAsia" w:ascii="宋体" w:hAnsi="宋体"/>
          <w:snapToGrid w:val="0"/>
          <w:color w:val="auto"/>
          <w:kern w:val="0"/>
          <w:position w:val="-3"/>
          <w:szCs w:val="21"/>
          <w:highlight w:val="none"/>
          <w:u w:val="single"/>
          <w:lang w:val="en-US" w:eastAsia="zh-CN"/>
        </w:rPr>
        <w:t>重庆市渝中区地产大厦2号楼19楼</w:t>
      </w:r>
    </w:p>
    <w:p>
      <w:pPr>
        <w:tabs>
          <w:tab w:val="left" w:pos="5140"/>
          <w:tab w:val="left" w:pos="8420"/>
        </w:tabs>
        <w:autoSpaceDE w:val="0"/>
        <w:autoSpaceDN w:val="0"/>
        <w:adjustRightInd w:val="0"/>
        <w:snapToGrid w:val="0"/>
        <w:spacing w:line="450" w:lineRule="exact"/>
        <w:ind w:firstLine="420" w:firstLineChars="200"/>
        <w:jc w:val="left"/>
        <w:rPr>
          <w:rFonts w:hint="eastAsia" w:ascii="宋体" w:hAnsi="宋体" w:eastAsia="宋体"/>
          <w:snapToGrid w:val="0"/>
          <w:color w:val="auto"/>
          <w:kern w:val="0"/>
          <w:szCs w:val="21"/>
          <w:highlight w:val="none"/>
          <w:lang w:eastAsia="zh-CN"/>
        </w:rPr>
      </w:pPr>
      <w:r>
        <w:rPr>
          <w:rFonts w:ascii="宋体" w:hAnsi="宋体"/>
          <w:snapToGrid w:val="0"/>
          <w:color w:val="auto"/>
          <w:kern w:val="0"/>
          <w:szCs w:val="21"/>
          <w:highlight w:val="none"/>
        </w:rPr>
        <w:t>联 系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钟应奇</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联 系 人：</w:t>
      </w:r>
      <w:r>
        <w:rPr>
          <w:rFonts w:hint="eastAsia" w:ascii="宋体" w:hAnsi="宋体"/>
          <w:snapToGrid w:val="0"/>
          <w:color w:val="auto"/>
          <w:kern w:val="0"/>
          <w:szCs w:val="21"/>
          <w:highlight w:val="none"/>
          <w:u w:val="single"/>
          <w:lang w:val="en-US" w:eastAsia="zh-CN"/>
        </w:rPr>
        <w:t>李泯浚</w:t>
      </w:r>
    </w:p>
    <w:p>
      <w:pPr>
        <w:tabs>
          <w:tab w:val="left" w:pos="5140"/>
          <w:tab w:val="left" w:pos="8420"/>
        </w:tabs>
        <w:autoSpaceDE w:val="0"/>
        <w:autoSpaceDN w:val="0"/>
        <w:adjustRightInd w:val="0"/>
        <w:snapToGrid w:val="0"/>
        <w:spacing w:line="450" w:lineRule="exact"/>
        <w:ind w:firstLine="420" w:firstLineChars="200"/>
        <w:jc w:val="left"/>
        <w:rPr>
          <w:rFonts w:hint="default" w:ascii="宋体" w:hAnsi="宋体" w:eastAsia="宋体"/>
          <w:snapToGrid w:val="0"/>
          <w:color w:val="auto"/>
          <w:kern w:val="0"/>
          <w:szCs w:val="21"/>
          <w:highlight w:val="none"/>
          <w:lang w:val="en-US" w:eastAsia="zh-CN"/>
        </w:rPr>
      </w:pPr>
      <w:r>
        <w:rPr>
          <w:rFonts w:ascii="宋体" w:hAnsi="宋体"/>
          <w:snapToGrid w:val="0"/>
          <w:color w:val="auto"/>
          <w:kern w:val="0"/>
          <w:szCs w:val="21"/>
          <w:highlight w:val="none"/>
        </w:rPr>
        <w:t>电    话：</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15696280152</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电    话：</w:t>
      </w:r>
      <w:r>
        <w:rPr>
          <w:rFonts w:hint="eastAsia" w:ascii="宋体" w:hAnsi="宋体"/>
          <w:snapToGrid w:val="0"/>
          <w:color w:val="auto"/>
          <w:kern w:val="0"/>
          <w:szCs w:val="21"/>
          <w:highlight w:val="none"/>
          <w:u w:val="single"/>
          <w:lang w:val="en-US" w:eastAsia="zh-CN"/>
        </w:rPr>
        <w:t>15723465979</w:t>
      </w:r>
    </w:p>
    <w:p>
      <w:pPr>
        <w:tabs>
          <w:tab w:val="left" w:pos="5140"/>
          <w:tab w:val="left" w:pos="8420"/>
        </w:tabs>
        <w:autoSpaceDE w:val="0"/>
        <w:autoSpaceDN w:val="0"/>
        <w:adjustRightInd w:val="0"/>
        <w:snapToGrid w:val="0"/>
        <w:spacing w:line="400" w:lineRule="exact"/>
        <w:jc w:val="left"/>
        <w:rPr>
          <w:rFonts w:ascii="宋体" w:hAnsi="宋体"/>
          <w:snapToGrid w:val="0"/>
          <w:color w:val="auto"/>
          <w:kern w:val="0"/>
          <w:szCs w:val="21"/>
          <w:highlight w:val="none"/>
          <w:u w:val="single"/>
        </w:rPr>
      </w:pPr>
    </w:p>
    <w:p>
      <w:pPr>
        <w:autoSpaceDE w:val="0"/>
        <w:autoSpaceDN w:val="0"/>
        <w:adjustRightInd w:val="0"/>
        <w:snapToGrid w:val="0"/>
        <w:spacing w:line="440" w:lineRule="exact"/>
        <w:ind w:firstLine="3906" w:firstLineChars="1860"/>
        <w:jc w:val="right"/>
        <w:rPr>
          <w:rFonts w:ascii="宋体" w:hAnsi="宋体"/>
          <w:snapToGrid w:val="0"/>
          <w:color w:val="auto"/>
          <w:kern w:val="0"/>
          <w:sz w:val="20"/>
          <w:szCs w:val="20"/>
          <w:highlight w:val="none"/>
        </w:rPr>
      </w:pPr>
      <w:r>
        <w:rPr>
          <w:rFonts w:hint="eastAsia" w:ascii="宋体" w:hAnsi="宋体"/>
          <w:snapToGrid w:val="0"/>
          <w:color w:val="auto"/>
          <w:kern w:val="0"/>
          <w:szCs w:val="21"/>
          <w:highlight w:val="none"/>
          <w:u w:val="single"/>
          <w:lang w:val="en-US" w:eastAsia="zh-CN"/>
        </w:rPr>
        <w:t>2025</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lang w:val="en-US" w:eastAsia="zh-CN"/>
        </w:rPr>
        <w:t>5</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lang w:val="en-US" w:eastAsia="zh-CN"/>
        </w:rPr>
        <w:t>13</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pPr>
        <w:pStyle w:val="2"/>
        <w:spacing w:before="0" w:after="0" w:line="200" w:lineRule="exact"/>
        <w:jc w:val="center"/>
        <w:rPr>
          <w:rFonts w:ascii="宋体" w:hAnsi="宋体"/>
          <w:snapToGrid w:val="0"/>
          <w:color w:val="auto"/>
          <w:kern w:val="0"/>
          <w:szCs w:val="21"/>
          <w:highlight w:val="none"/>
        </w:rPr>
      </w:pPr>
      <w:r>
        <w:rPr>
          <w:rFonts w:ascii="宋体" w:hAnsi="宋体"/>
          <w:snapToGrid w:val="0"/>
          <w:color w:val="auto"/>
          <w:kern w:val="0"/>
          <w:szCs w:val="21"/>
          <w:highlight w:val="none"/>
        </w:rPr>
        <w:br w:type="page"/>
      </w:r>
      <w:bookmarkStart w:id="90" w:name="_Toc224103306"/>
      <w:bookmarkStart w:id="91" w:name="_Toc430530423"/>
      <w:bookmarkStart w:id="92" w:name="_Toc287620674"/>
      <w:bookmarkStart w:id="93" w:name="_Toc287607735"/>
    </w:p>
    <w:bookmarkEnd w:id="90"/>
    <w:bookmarkEnd w:id="91"/>
    <w:bookmarkEnd w:id="92"/>
    <w:bookmarkEnd w:id="93"/>
    <w:p>
      <w:pPr>
        <w:pStyle w:val="2"/>
        <w:spacing w:line="360" w:lineRule="auto"/>
        <w:jc w:val="center"/>
        <w:rPr>
          <w:rFonts w:ascii="宋体" w:hAnsi="宋体"/>
          <w:bCs w:val="0"/>
          <w:snapToGrid w:val="0"/>
          <w:color w:val="auto"/>
          <w:kern w:val="0"/>
          <w:highlight w:val="none"/>
        </w:rPr>
      </w:pPr>
      <w:bookmarkStart w:id="94" w:name="_Toc224103315"/>
      <w:bookmarkStart w:id="95" w:name="_Toc287620683"/>
      <w:bookmarkStart w:id="96" w:name="_Toc57905828"/>
      <w:bookmarkStart w:id="97" w:name="_Toc287607744"/>
      <w:bookmarkStart w:id="98" w:name="_Toc430530432"/>
      <w:bookmarkStart w:id="99" w:name="_Toc32148"/>
      <w:r>
        <w:rPr>
          <w:rFonts w:ascii="宋体" w:hAnsi="宋体"/>
          <w:snapToGrid w:val="0"/>
          <w:color w:val="auto"/>
          <w:kern w:val="0"/>
          <w:highlight w:val="none"/>
        </w:rPr>
        <w:t>第二章  投标人须知</w:t>
      </w:r>
      <w:bookmarkEnd w:id="94"/>
      <w:bookmarkEnd w:id="95"/>
      <w:bookmarkEnd w:id="96"/>
      <w:bookmarkEnd w:id="97"/>
      <w:bookmarkEnd w:id="98"/>
      <w:bookmarkEnd w:id="99"/>
      <w:bookmarkStart w:id="100" w:name="_Toc287607745"/>
      <w:bookmarkStart w:id="101" w:name="_Toc277082551"/>
      <w:bookmarkStart w:id="102" w:name="_Toc224103316"/>
      <w:bookmarkStart w:id="103" w:name="_Toc287620684"/>
      <w:bookmarkStart w:id="104" w:name="_Toc430530433"/>
    </w:p>
    <w:p>
      <w:pPr>
        <w:pStyle w:val="3"/>
        <w:spacing w:before="100" w:after="100" w:line="360" w:lineRule="auto"/>
        <w:rPr>
          <w:rFonts w:ascii="宋体" w:hAnsi="宋体"/>
          <w:color w:val="auto"/>
          <w:highlight w:val="none"/>
        </w:rPr>
      </w:pPr>
      <w:bookmarkStart w:id="105" w:name="_Toc8005"/>
      <w:bookmarkStart w:id="106" w:name="_Toc57905829"/>
      <w:bookmarkStart w:id="107" w:name="_Toc509218708"/>
      <w:r>
        <w:rPr>
          <w:rFonts w:hint="eastAsia" w:ascii="宋体" w:hAnsi="宋体"/>
          <w:color w:val="auto"/>
          <w:highlight w:val="none"/>
        </w:rPr>
        <w:t>投标人须知前附表</w:t>
      </w:r>
      <w:bookmarkEnd w:id="100"/>
      <w:bookmarkEnd w:id="101"/>
      <w:bookmarkEnd w:id="102"/>
      <w:bookmarkEnd w:id="103"/>
      <w:bookmarkEnd w:id="104"/>
      <w:bookmarkEnd w:id="105"/>
      <w:bookmarkEnd w:id="106"/>
      <w:bookmarkEnd w:id="107"/>
    </w:p>
    <w:p>
      <w:pPr>
        <w:spacing w:line="360" w:lineRule="auto"/>
        <w:ind w:firstLine="420" w:firstLineChars="200"/>
        <w:rPr>
          <w:rFonts w:ascii="宋体" w:hAnsi="宋体"/>
          <w:color w:val="auto"/>
          <w:szCs w:val="21"/>
          <w:highlight w:val="none"/>
        </w:rPr>
      </w:pPr>
      <w:r>
        <w:rPr>
          <w:rFonts w:ascii="宋体" w:hAnsi="宋体"/>
          <w:color w:val="auto"/>
          <w:szCs w:val="21"/>
          <w:highlight w:val="none"/>
        </w:rPr>
        <w:t>正文内容不允许修改。若投标人须知前附表与正文不一致的地方，以投标人须知前附表为准。</w:t>
      </w:r>
    </w:p>
    <w:tbl>
      <w:tblPr>
        <w:tblStyle w:val="45"/>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 款 号</w:t>
            </w:r>
          </w:p>
        </w:tc>
        <w:tc>
          <w:tcPr>
            <w:tcW w:w="1644" w:type="dxa"/>
            <w:vAlign w:val="center"/>
          </w:tcPr>
          <w:p>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条款名称</w:t>
            </w:r>
          </w:p>
        </w:tc>
        <w:tc>
          <w:tcPr>
            <w:tcW w:w="6490" w:type="dxa"/>
            <w:vAlign w:val="center"/>
          </w:tcPr>
          <w:p>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1.1.2</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招标人</w:t>
            </w:r>
          </w:p>
        </w:tc>
        <w:tc>
          <w:tcPr>
            <w:tcW w:w="6490" w:type="dxa"/>
            <w:vAlign w:val="center"/>
          </w:tcPr>
          <w:p>
            <w:pPr>
              <w:snapToGrid w:val="0"/>
              <w:spacing w:line="400" w:lineRule="exact"/>
              <w:rPr>
                <w:rFonts w:ascii="宋体" w:hAnsi="宋体"/>
                <w:color w:val="auto"/>
                <w:kern w:val="0"/>
                <w:szCs w:val="21"/>
                <w:highlight w:val="none"/>
              </w:rPr>
            </w:pPr>
            <w:r>
              <w:rPr>
                <w:rFonts w:ascii="宋体" w:hAnsi="宋体"/>
                <w:color w:val="auto"/>
                <w:kern w:val="0"/>
                <w:szCs w:val="21"/>
                <w:highlight w:val="none"/>
              </w:rPr>
              <w:t>名称：</w:t>
            </w:r>
            <w:r>
              <w:rPr>
                <w:rFonts w:hint="eastAsia" w:ascii="宋体" w:hAnsi="宋体"/>
                <w:color w:val="auto"/>
                <w:kern w:val="0"/>
                <w:szCs w:val="21"/>
                <w:highlight w:val="none"/>
              </w:rPr>
              <w:t>重庆长安智慧城市运营管理有限公司</w:t>
            </w:r>
          </w:p>
          <w:p>
            <w:pPr>
              <w:snapToGrid w:val="0"/>
              <w:spacing w:line="400" w:lineRule="exact"/>
              <w:rPr>
                <w:rFonts w:hint="default" w:ascii="宋体" w:hAnsi="宋体" w:eastAsia="宋体"/>
                <w:color w:val="auto"/>
                <w:kern w:val="0"/>
                <w:szCs w:val="21"/>
                <w:highlight w:val="none"/>
                <w:lang w:val="en-US" w:eastAsia="zh-CN"/>
              </w:rPr>
            </w:pPr>
            <w:r>
              <w:rPr>
                <w:rFonts w:ascii="宋体" w:hAnsi="宋体"/>
                <w:color w:val="auto"/>
                <w:kern w:val="0"/>
                <w:szCs w:val="21"/>
                <w:highlight w:val="none"/>
              </w:rPr>
              <w:t>地址：</w:t>
            </w:r>
            <w:r>
              <w:rPr>
                <w:rFonts w:hint="eastAsia" w:ascii="宋体" w:hAnsi="宋体"/>
                <w:color w:val="auto"/>
                <w:kern w:val="0"/>
                <w:szCs w:val="21"/>
                <w:highlight w:val="none"/>
                <w:lang w:val="en-US" w:eastAsia="zh-CN"/>
              </w:rPr>
              <w:t>渝北区五红路199号长安商务大厦</w:t>
            </w:r>
          </w:p>
          <w:p>
            <w:pPr>
              <w:snapToGrid w:val="0"/>
              <w:spacing w:line="400" w:lineRule="exact"/>
              <w:rPr>
                <w:rFonts w:hint="default" w:ascii="宋体" w:hAnsi="宋体" w:eastAsia="宋体"/>
                <w:color w:val="auto"/>
                <w:kern w:val="0"/>
                <w:szCs w:val="21"/>
                <w:highlight w:val="none"/>
                <w:lang w:val="en-US" w:eastAsia="zh-CN"/>
              </w:rPr>
            </w:pPr>
            <w:r>
              <w:rPr>
                <w:rFonts w:ascii="宋体" w:hAnsi="宋体"/>
                <w:color w:val="auto"/>
                <w:kern w:val="0"/>
                <w:szCs w:val="21"/>
                <w:highlight w:val="none"/>
              </w:rPr>
              <w:t>联系人：</w:t>
            </w:r>
            <w:r>
              <w:rPr>
                <w:rFonts w:hint="eastAsia" w:ascii="宋体" w:hAnsi="宋体"/>
                <w:color w:val="auto"/>
                <w:kern w:val="0"/>
                <w:szCs w:val="21"/>
                <w:highlight w:val="none"/>
                <w:lang w:val="en-US" w:eastAsia="zh-CN"/>
              </w:rPr>
              <w:t>钟应奇</w:t>
            </w:r>
          </w:p>
          <w:p>
            <w:pPr>
              <w:snapToGrid w:val="0"/>
              <w:spacing w:line="400" w:lineRule="exact"/>
              <w:rPr>
                <w:rFonts w:hint="default" w:ascii="宋体" w:hAnsi="宋体" w:eastAsia="宋体"/>
                <w:color w:val="auto"/>
                <w:kern w:val="0"/>
                <w:szCs w:val="21"/>
                <w:highlight w:val="none"/>
                <w:lang w:val="en-US" w:eastAsia="zh-CN"/>
              </w:rPr>
            </w:pPr>
            <w:r>
              <w:rPr>
                <w:rFonts w:ascii="宋体" w:hAnsi="宋体"/>
                <w:color w:val="auto"/>
                <w:kern w:val="0"/>
                <w:szCs w:val="21"/>
                <w:highlight w:val="none"/>
              </w:rPr>
              <w:t>电话：</w:t>
            </w:r>
            <w:r>
              <w:rPr>
                <w:rFonts w:hint="eastAsia" w:ascii="宋体" w:hAnsi="宋体"/>
                <w:color w:val="auto"/>
                <w:kern w:val="0"/>
                <w:szCs w:val="21"/>
                <w:highlight w:val="none"/>
                <w:lang w:val="en-US" w:eastAsia="zh-CN"/>
              </w:rPr>
              <w:t>15696280152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1.1.3</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招标代理机构</w:t>
            </w:r>
          </w:p>
        </w:tc>
        <w:tc>
          <w:tcPr>
            <w:tcW w:w="6490" w:type="dxa"/>
            <w:vAlign w:val="center"/>
          </w:tcPr>
          <w:p>
            <w:pPr>
              <w:snapToGrid w:val="0"/>
              <w:spacing w:line="400" w:lineRule="exact"/>
              <w:rPr>
                <w:rFonts w:ascii="宋体" w:hAnsi="宋体"/>
                <w:color w:val="auto"/>
                <w:kern w:val="0"/>
                <w:szCs w:val="21"/>
                <w:highlight w:val="none"/>
              </w:rPr>
            </w:pPr>
            <w:r>
              <w:rPr>
                <w:rFonts w:ascii="宋体" w:hAnsi="宋体"/>
                <w:color w:val="auto"/>
                <w:kern w:val="0"/>
                <w:szCs w:val="21"/>
                <w:highlight w:val="none"/>
              </w:rPr>
              <w:t>名称：</w:t>
            </w:r>
            <w:r>
              <w:rPr>
                <w:rFonts w:hint="eastAsia" w:ascii="宋体" w:hAnsi="宋体"/>
                <w:color w:val="auto"/>
                <w:kern w:val="0"/>
                <w:szCs w:val="21"/>
                <w:highlight w:val="none"/>
              </w:rPr>
              <w:t>凌辉建设工程咨询有限公司</w:t>
            </w:r>
          </w:p>
          <w:p>
            <w:pPr>
              <w:snapToGrid w:val="0"/>
              <w:spacing w:line="400" w:lineRule="exact"/>
              <w:rPr>
                <w:rFonts w:ascii="宋体" w:hAnsi="宋体"/>
                <w:color w:val="auto"/>
                <w:kern w:val="0"/>
                <w:szCs w:val="21"/>
                <w:highlight w:val="none"/>
              </w:rPr>
            </w:pPr>
            <w:r>
              <w:rPr>
                <w:rFonts w:ascii="宋体" w:hAnsi="宋体"/>
                <w:color w:val="auto"/>
                <w:kern w:val="0"/>
                <w:szCs w:val="21"/>
                <w:highlight w:val="none"/>
              </w:rPr>
              <w:t>地址：</w:t>
            </w:r>
            <w:r>
              <w:rPr>
                <w:rFonts w:hint="eastAsia" w:ascii="宋体" w:hAnsi="宋体"/>
                <w:color w:val="auto"/>
                <w:kern w:val="0"/>
                <w:szCs w:val="21"/>
                <w:highlight w:val="none"/>
              </w:rPr>
              <w:t>重庆市渝中区地产大厦2号楼19楼</w:t>
            </w:r>
          </w:p>
          <w:p>
            <w:pPr>
              <w:snapToGrid w:val="0"/>
              <w:spacing w:line="400" w:lineRule="exact"/>
              <w:rPr>
                <w:rFonts w:hint="eastAsia" w:ascii="宋体" w:hAnsi="宋体" w:eastAsia="宋体"/>
                <w:color w:val="auto"/>
                <w:kern w:val="0"/>
                <w:szCs w:val="21"/>
                <w:highlight w:val="none"/>
                <w:lang w:val="en-US" w:eastAsia="zh-CN"/>
              </w:rPr>
            </w:pPr>
            <w:r>
              <w:rPr>
                <w:rFonts w:ascii="宋体" w:hAnsi="宋体"/>
                <w:color w:val="auto"/>
                <w:kern w:val="0"/>
                <w:szCs w:val="21"/>
                <w:highlight w:val="none"/>
              </w:rPr>
              <w:t>联系人：</w:t>
            </w:r>
            <w:r>
              <w:rPr>
                <w:rFonts w:hint="eastAsia" w:ascii="宋体" w:hAnsi="宋体"/>
                <w:color w:val="auto"/>
                <w:kern w:val="0"/>
                <w:szCs w:val="21"/>
                <w:highlight w:val="none"/>
                <w:lang w:val="en-US" w:eastAsia="zh-CN"/>
              </w:rPr>
              <w:t>李泯浚</w:t>
            </w:r>
          </w:p>
          <w:p>
            <w:pPr>
              <w:snapToGrid w:val="0"/>
              <w:spacing w:line="400" w:lineRule="exact"/>
              <w:rPr>
                <w:rFonts w:ascii="宋体" w:hAnsi="宋体"/>
                <w:color w:val="auto"/>
                <w:kern w:val="0"/>
                <w:szCs w:val="21"/>
                <w:highlight w:val="none"/>
              </w:rPr>
            </w:pPr>
            <w:r>
              <w:rPr>
                <w:rFonts w:ascii="宋体" w:hAnsi="宋体"/>
                <w:color w:val="auto"/>
                <w:kern w:val="0"/>
                <w:szCs w:val="21"/>
                <w:highlight w:val="none"/>
              </w:rPr>
              <w:t>电话：</w:t>
            </w:r>
            <w:r>
              <w:rPr>
                <w:rFonts w:hint="eastAsia" w:ascii="宋体" w:hAnsi="宋体"/>
                <w:color w:val="auto"/>
                <w:kern w:val="0"/>
                <w:szCs w:val="21"/>
                <w:highlight w:val="none"/>
              </w:rPr>
              <w:t xml:space="preserve">15723465979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1.1.4</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项目名称</w:t>
            </w:r>
          </w:p>
        </w:tc>
        <w:tc>
          <w:tcPr>
            <w:tcW w:w="6490" w:type="dxa"/>
            <w:vAlign w:val="center"/>
          </w:tcPr>
          <w:p>
            <w:pPr>
              <w:snapToGrid w:val="0"/>
              <w:spacing w:line="400" w:lineRule="exact"/>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长安锦绣城4栋外墙及门头防水维修工程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1.1.5</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建设地点</w:t>
            </w:r>
          </w:p>
        </w:tc>
        <w:tc>
          <w:tcPr>
            <w:tcW w:w="6490" w:type="dxa"/>
            <w:vAlign w:val="center"/>
          </w:tcPr>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长安锦绣城</w:t>
            </w:r>
            <w:r>
              <w:rPr>
                <w:rFonts w:hint="eastAsia" w:ascii="宋体" w:hAnsi="宋体"/>
                <w:color w:val="auto"/>
                <w:szCs w:val="21"/>
                <w:highlight w:val="none"/>
                <w:lang w:val="en-US" w:eastAsia="zh-CN"/>
              </w:rPr>
              <w:t>4</w:t>
            </w:r>
            <w:r>
              <w:rPr>
                <w:rFonts w:hint="eastAsia" w:ascii="宋体" w:hAnsi="宋体"/>
                <w:color w:val="auto"/>
                <w:szCs w:val="21"/>
                <w:highlight w:val="none"/>
              </w:rPr>
              <w:t>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1.1.6</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建设规模</w:t>
            </w:r>
          </w:p>
        </w:tc>
        <w:tc>
          <w:tcPr>
            <w:tcW w:w="6490" w:type="dxa"/>
            <w:vAlign w:val="center"/>
          </w:tcPr>
          <w:p>
            <w:pPr>
              <w:tabs>
                <w:tab w:val="left" w:pos="3840"/>
                <w:tab w:val="left" w:pos="5300"/>
              </w:tabs>
              <w:autoSpaceDE w:val="0"/>
              <w:autoSpaceDN w:val="0"/>
              <w:adjustRightInd w:val="0"/>
              <w:snapToGrid w:val="0"/>
              <w:spacing w:line="460" w:lineRule="exact"/>
              <w:ind w:firstLine="420" w:firstLineChars="200"/>
              <w:rPr>
                <w:rFonts w:ascii="宋体" w:hAnsi="宋体"/>
                <w:i/>
                <w:snapToGrid w:val="0"/>
                <w:color w:val="auto"/>
                <w:kern w:val="0"/>
                <w:szCs w:val="21"/>
                <w:highlight w:val="none"/>
              </w:rPr>
            </w:pPr>
            <w:r>
              <w:rPr>
                <w:rFonts w:hint="eastAsia" w:ascii="宋体" w:hAnsi="宋体"/>
                <w:snapToGrid w:val="0"/>
                <w:color w:val="auto"/>
                <w:kern w:val="0"/>
                <w:szCs w:val="21"/>
                <w:highlight w:val="none"/>
                <w:u w:val="single"/>
              </w:rPr>
              <w:t>长安锦绣城4栋外墙及门头防水维修工程，位于渝北区龙溪街道，由于该栋楼外墙出现空鼓脱落、门头出现漏水现象，存在严重安全隐患，需要使用专项维修资金进行维修，具体详见本项目工程量清单。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1.2.1</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资金来源</w:t>
            </w:r>
          </w:p>
        </w:tc>
        <w:tc>
          <w:tcPr>
            <w:tcW w:w="6490" w:type="dxa"/>
            <w:vAlign w:val="center"/>
          </w:tcPr>
          <w:p>
            <w:pPr>
              <w:snapToGrid w:val="0"/>
              <w:spacing w:line="400" w:lineRule="exact"/>
              <w:ind w:firstLine="420" w:firstLineChars="200"/>
              <w:rPr>
                <w:rFonts w:ascii="宋体" w:hAnsi="宋体"/>
                <w:color w:val="auto"/>
                <w:szCs w:val="21"/>
                <w:highlight w:val="none"/>
              </w:rPr>
            </w:pPr>
            <w:r>
              <w:rPr>
                <w:rFonts w:hint="eastAsia" w:ascii="宋体" w:hAnsi="宋体"/>
                <w:snapToGrid w:val="0"/>
                <w:color w:val="auto"/>
                <w:kern w:val="0"/>
                <w:szCs w:val="21"/>
                <w:highlight w:val="none"/>
                <w:u w:val="single"/>
                <w:lang w:val="en-US" w:eastAsia="zh-CN"/>
              </w:rPr>
              <w:t>专项维修资金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1.2.2</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出资比例</w:t>
            </w:r>
          </w:p>
        </w:tc>
        <w:tc>
          <w:tcPr>
            <w:tcW w:w="6490" w:type="dxa"/>
            <w:vAlign w:val="center"/>
          </w:tcPr>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u w:val="single"/>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1.2.3</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资金落实情况</w:t>
            </w:r>
          </w:p>
        </w:tc>
        <w:tc>
          <w:tcPr>
            <w:tcW w:w="6490" w:type="dxa"/>
            <w:vAlign w:val="center"/>
          </w:tcPr>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u w:val="single"/>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1.3.1</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招标范围</w:t>
            </w:r>
          </w:p>
        </w:tc>
        <w:tc>
          <w:tcPr>
            <w:tcW w:w="6490" w:type="dxa"/>
            <w:vAlign w:val="center"/>
          </w:tcPr>
          <w:p>
            <w:pPr>
              <w:snapToGrid w:val="0"/>
              <w:spacing w:line="400" w:lineRule="exact"/>
              <w:ind w:firstLine="420" w:firstLineChars="200"/>
              <w:rPr>
                <w:rFonts w:ascii="宋体" w:hAnsi="宋体"/>
                <w:i/>
                <w:color w:val="auto"/>
                <w:szCs w:val="21"/>
                <w:highlight w:val="none"/>
              </w:rPr>
            </w:pPr>
            <w:r>
              <w:rPr>
                <w:rFonts w:hint="eastAsia" w:ascii="宋体" w:hAnsi="宋体"/>
                <w:snapToGrid w:val="0"/>
                <w:color w:val="auto"/>
                <w:kern w:val="0"/>
                <w:szCs w:val="21"/>
                <w:highlight w:val="none"/>
                <w:u w:val="single"/>
              </w:rPr>
              <w:t>包含工程量清单、招标文件（含答疑、补遗、澄清通知）等范围内的全部工程内容, 具体以招标人提供的工程量清单的内容为准</w:t>
            </w:r>
            <w:r>
              <w:rPr>
                <w:rFonts w:hint="eastAsia" w:ascii="宋体" w:hAnsi="宋体"/>
                <w:snapToGrid w:val="0"/>
                <w:color w:val="auto"/>
                <w:kern w:val="0"/>
                <w:szCs w:val="21"/>
                <w:highlight w:val="none"/>
                <w:u w:val="singl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1.3.2</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计划工期</w:t>
            </w:r>
          </w:p>
          <w:p>
            <w:pPr>
              <w:snapToGrid w:val="0"/>
              <w:spacing w:line="400" w:lineRule="exact"/>
              <w:jc w:val="center"/>
              <w:rPr>
                <w:rFonts w:ascii="宋体" w:hAnsi="宋体"/>
                <w:color w:val="auto"/>
                <w:kern w:val="0"/>
                <w:szCs w:val="21"/>
                <w:highlight w:val="none"/>
              </w:rPr>
            </w:pPr>
            <w:r>
              <w:rPr>
                <w:rFonts w:hint="eastAsia" w:ascii="宋体" w:hAnsi="宋体"/>
                <w:snapToGrid w:val="0"/>
                <w:color w:val="auto"/>
                <w:kern w:val="0"/>
                <w:szCs w:val="21"/>
                <w:highlight w:val="none"/>
              </w:rPr>
              <w:t>质保期</w:t>
            </w:r>
          </w:p>
        </w:tc>
        <w:tc>
          <w:tcPr>
            <w:tcW w:w="6490" w:type="dxa"/>
            <w:vAlign w:val="center"/>
          </w:tcPr>
          <w:p>
            <w:pPr>
              <w:snapToGrid w:val="0"/>
              <w:spacing w:line="400" w:lineRule="exact"/>
              <w:ind w:firstLine="420" w:firstLineChars="200"/>
              <w:rPr>
                <w:rFonts w:ascii="宋体" w:hAnsi="宋体"/>
                <w:snapToGrid w:val="0"/>
                <w:color w:val="auto"/>
                <w:kern w:val="0"/>
                <w:szCs w:val="21"/>
                <w:highlight w:val="none"/>
                <w:u w:val="single"/>
              </w:rPr>
            </w:pPr>
            <w:r>
              <w:rPr>
                <w:rFonts w:hint="eastAsia" w:ascii="宋体" w:hAnsi="宋体"/>
                <w:color w:val="auto"/>
                <w:kern w:val="0"/>
                <w:szCs w:val="21"/>
                <w:highlight w:val="none"/>
              </w:rPr>
              <w:t>工期：</w:t>
            </w:r>
            <w:r>
              <w:rPr>
                <w:rFonts w:hint="eastAsia" w:ascii="宋体" w:hAnsi="宋体"/>
                <w:snapToGrid w:val="0"/>
                <w:color w:val="auto"/>
                <w:kern w:val="0"/>
                <w:szCs w:val="21"/>
                <w:highlight w:val="none"/>
                <w:u w:val="single"/>
                <w:lang w:val="en-US" w:eastAsia="zh-CN"/>
              </w:rPr>
              <w:t>45</w:t>
            </w:r>
            <w:r>
              <w:rPr>
                <w:rFonts w:hint="eastAsia" w:ascii="宋体" w:hAnsi="宋体"/>
                <w:snapToGrid w:val="0"/>
                <w:color w:val="auto"/>
                <w:kern w:val="0"/>
                <w:szCs w:val="21"/>
                <w:highlight w:val="none"/>
                <w:u w:val="single"/>
              </w:rPr>
              <w:t>日历天</w:t>
            </w:r>
          </w:p>
          <w:p>
            <w:pPr>
              <w:snapToGrid w:val="0"/>
              <w:spacing w:line="400" w:lineRule="exact"/>
              <w:ind w:firstLine="420" w:firstLineChars="200"/>
              <w:rPr>
                <w:rFonts w:ascii="宋体" w:hAnsi="宋体"/>
                <w:color w:val="auto"/>
                <w:kern w:val="0"/>
                <w:szCs w:val="21"/>
                <w:highlight w:val="none"/>
              </w:rPr>
            </w:pPr>
            <w:r>
              <w:rPr>
                <w:rFonts w:hint="eastAsia" w:ascii="宋体" w:hAnsi="宋体"/>
                <w:snapToGrid w:val="0"/>
                <w:color w:val="auto"/>
                <w:kern w:val="0"/>
                <w:szCs w:val="21"/>
                <w:highlight w:val="none"/>
              </w:rPr>
              <w:t>质保期</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rPr>
              <w:t>五年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1.3.3</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质量要求</w:t>
            </w:r>
          </w:p>
        </w:tc>
        <w:tc>
          <w:tcPr>
            <w:tcW w:w="6490" w:type="dxa"/>
            <w:vAlign w:val="center"/>
          </w:tcPr>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符合强制性质量标准，</w:t>
            </w:r>
            <w:r>
              <w:rPr>
                <w:rFonts w:hint="eastAsia" w:ascii="宋体" w:hAnsi="宋体"/>
                <w:color w:val="auto"/>
                <w:szCs w:val="21"/>
                <w:highlight w:val="none"/>
                <w:u w:val="single"/>
              </w:rPr>
              <w:t>符合</w:t>
            </w:r>
            <w:r>
              <w:rPr>
                <w:rFonts w:ascii="宋体" w:hAnsi="宋体"/>
                <w:color w:val="auto"/>
                <w:szCs w:val="21"/>
                <w:highlight w:val="none"/>
                <w:u w:val="single"/>
              </w:rPr>
              <w:t>国家和重庆市现行有关施工质量验收规范要求，并达到合格标准</w:t>
            </w:r>
            <w:r>
              <w:rPr>
                <w:rFonts w:ascii="宋体" w:hAnsi="宋体"/>
                <w:color w:val="auto"/>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1335" w:type="dxa"/>
            <w:vAlign w:val="center"/>
          </w:tcPr>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both"/>
              <w:rPr>
                <w:rFonts w:ascii="宋体" w:hAnsi="宋体"/>
                <w:color w:val="auto"/>
                <w:kern w:val="0"/>
                <w:szCs w:val="21"/>
                <w:highlight w:val="none"/>
              </w:rPr>
            </w:pPr>
          </w:p>
        </w:tc>
        <w:tc>
          <w:tcPr>
            <w:tcW w:w="1644" w:type="dxa"/>
            <w:vAlign w:val="center"/>
          </w:tcPr>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投标人资质条件、能力和信誉</w:t>
            </w: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both"/>
              <w:rPr>
                <w:rFonts w:ascii="宋体" w:hAnsi="宋体"/>
                <w:color w:val="auto"/>
                <w:kern w:val="0"/>
                <w:szCs w:val="21"/>
                <w:highlight w:val="none"/>
              </w:rPr>
            </w:pPr>
          </w:p>
        </w:tc>
        <w:tc>
          <w:tcPr>
            <w:tcW w:w="6490" w:type="dxa"/>
            <w:vAlign w:val="center"/>
          </w:tcPr>
          <w:p>
            <w:pPr>
              <w:autoSpaceDE w:val="0"/>
              <w:autoSpaceDN w:val="0"/>
              <w:adjustRightInd w:val="0"/>
              <w:snapToGrid w:val="0"/>
              <w:spacing w:line="400" w:lineRule="exact"/>
              <w:ind w:firstLine="420" w:firstLineChars="200"/>
              <w:rPr>
                <w:rFonts w:ascii="宋体" w:hAnsi="宋体"/>
                <w:color w:val="auto"/>
                <w:szCs w:val="21"/>
                <w:highlight w:val="none"/>
              </w:rPr>
            </w:pPr>
            <w:bookmarkStart w:id="108" w:name="OLE_LINK1"/>
            <w:r>
              <w:rPr>
                <w:rFonts w:ascii="宋体" w:hAnsi="宋体"/>
                <w:color w:val="auto"/>
                <w:szCs w:val="21"/>
                <w:highlight w:val="none"/>
              </w:rPr>
              <w:t>本工程施工招标实行资格后审，投标人应</w:t>
            </w:r>
            <w:bookmarkStart w:id="109" w:name="一是"/>
            <w:bookmarkEnd w:id="109"/>
            <w:r>
              <w:rPr>
                <w:rFonts w:ascii="宋体" w:hAnsi="宋体"/>
                <w:color w:val="auto"/>
                <w:szCs w:val="21"/>
                <w:highlight w:val="none"/>
              </w:rPr>
              <w:t>具备以下资格条件：</w:t>
            </w:r>
          </w:p>
          <w:bookmarkEnd w:id="108"/>
          <w:p>
            <w:pPr>
              <w:autoSpaceDE w:val="0"/>
              <w:autoSpaceDN w:val="0"/>
              <w:adjustRightInd w:val="0"/>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1.资质条件、营业执照及安全生产条件</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具备建设行政主管部门颁发的有效的</w:t>
            </w:r>
            <w:r>
              <w:rPr>
                <w:rFonts w:hint="eastAsia" w:ascii="宋体" w:hAnsi="宋体"/>
                <w:color w:val="auto"/>
                <w:szCs w:val="21"/>
                <w:highlight w:val="none"/>
                <w:u w:val="single"/>
              </w:rPr>
              <w:t>防水防腐保温工程专业承包二级及以上资质</w:t>
            </w:r>
            <w:r>
              <w:rPr>
                <w:rFonts w:ascii="宋体" w:hAnsi="宋体"/>
                <w:color w:val="auto"/>
                <w:szCs w:val="21"/>
                <w:highlight w:val="none"/>
              </w:rPr>
              <w:t>。</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rPr>
              <w:t>须</w:t>
            </w:r>
            <w:r>
              <w:rPr>
                <w:rFonts w:hint="eastAsia" w:ascii="宋体" w:hAnsi="宋体"/>
                <w:color w:val="auto"/>
                <w:szCs w:val="21"/>
                <w:highlight w:val="none"/>
              </w:rPr>
              <w:t>在投标文件资格审查部分</w:t>
            </w:r>
            <w:r>
              <w:rPr>
                <w:rFonts w:ascii="宋体" w:hAnsi="宋体"/>
                <w:color w:val="auto"/>
                <w:szCs w:val="21"/>
                <w:highlight w:val="none"/>
              </w:rPr>
              <w:t>提供</w:t>
            </w:r>
            <w:r>
              <w:rPr>
                <w:rFonts w:hint="eastAsia" w:ascii="宋体" w:hAnsi="宋体"/>
                <w:color w:val="auto"/>
                <w:szCs w:val="21"/>
                <w:highlight w:val="none"/>
              </w:rPr>
              <w:t>有效的资质证书</w:t>
            </w:r>
            <w:r>
              <w:rPr>
                <w:rFonts w:ascii="宋体" w:hAnsi="宋体"/>
                <w:color w:val="auto"/>
                <w:szCs w:val="21"/>
                <w:highlight w:val="none"/>
              </w:rPr>
              <w:t>复印件。</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（2）具备有效的营业执照。</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rPr>
              <w:t>须</w:t>
            </w:r>
            <w:r>
              <w:rPr>
                <w:rFonts w:hint="eastAsia" w:ascii="宋体" w:hAnsi="宋体"/>
                <w:color w:val="auto"/>
                <w:szCs w:val="21"/>
                <w:highlight w:val="none"/>
              </w:rPr>
              <w:t>在投标文件资格审查部分</w:t>
            </w:r>
            <w:r>
              <w:rPr>
                <w:rFonts w:ascii="宋体" w:hAnsi="宋体"/>
                <w:color w:val="auto"/>
                <w:szCs w:val="21"/>
                <w:highlight w:val="none"/>
              </w:rPr>
              <w:t>提供有效的营业执照复印件。</w:t>
            </w:r>
            <w:r>
              <w:rPr>
                <w:rFonts w:hint="eastAsia" w:ascii="宋体" w:hAnsi="宋体"/>
                <w:color w:val="auto"/>
                <w:szCs w:val="21"/>
                <w:highlight w:val="none"/>
              </w:rPr>
              <w:t>注：不得将投标人营业执照记载的经营范围作为评审因素。</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（3）具备建设行政主管部门颁发的有效的安全生产许可证，</w:t>
            </w:r>
            <w:r>
              <w:rPr>
                <w:rFonts w:hint="eastAsia" w:ascii="宋体" w:hAnsi="宋体"/>
                <w:color w:val="auto"/>
                <w:szCs w:val="21"/>
                <w:highlight w:val="none"/>
              </w:rPr>
              <w:t>投标人须在投标文件资格审查部分提供有效的安全生产许可证</w:t>
            </w:r>
            <w:r>
              <w:rPr>
                <w:rFonts w:ascii="宋体" w:hAnsi="宋体"/>
                <w:color w:val="auto"/>
                <w:szCs w:val="21"/>
                <w:highlight w:val="none"/>
              </w:rPr>
              <w:t>。</w:t>
            </w:r>
          </w:p>
          <w:p>
            <w:pPr>
              <w:autoSpaceDE w:val="0"/>
              <w:autoSpaceDN w:val="0"/>
              <w:adjustRightInd w:val="0"/>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2.财务要求</w:t>
            </w:r>
          </w:p>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u w:val="single"/>
                <w:lang w:val="en-US" w:eastAsia="zh-CN"/>
              </w:rPr>
              <w:t>无</w:t>
            </w:r>
            <w:r>
              <w:rPr>
                <w:rFonts w:hint="eastAsia" w:ascii="宋体" w:hAnsi="宋体"/>
                <w:color w:val="auto"/>
                <w:kern w:val="0"/>
                <w:szCs w:val="21"/>
                <w:highlight w:val="none"/>
              </w:rPr>
              <w:t>。</w:t>
            </w:r>
          </w:p>
          <w:p>
            <w:pPr>
              <w:autoSpaceDE w:val="0"/>
              <w:autoSpaceDN w:val="0"/>
              <w:adjustRightInd w:val="0"/>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3.业绩要求</w:t>
            </w:r>
          </w:p>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投标人提供的类似业绩应同时满足以下要求：</w:t>
            </w:r>
          </w:p>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3.1业绩时间要求：</w:t>
            </w:r>
          </w:p>
          <w:p>
            <w:pPr>
              <w:autoSpaceDE w:val="0"/>
              <w:autoSpaceDN w:val="0"/>
              <w:adjustRightInd w:val="0"/>
              <w:snapToGrid w:val="0"/>
              <w:spacing w:line="400" w:lineRule="exact"/>
              <w:ind w:firstLine="420" w:firstLineChars="200"/>
              <w:rPr>
                <w:rFonts w:ascii="宋体" w:hAnsi="宋体"/>
                <w:color w:val="auto"/>
                <w:szCs w:val="21"/>
                <w:highlight w:val="none"/>
                <w:u w:val="single"/>
              </w:rPr>
            </w:pPr>
            <w:r>
              <w:rPr>
                <w:rFonts w:ascii="宋体" w:hAnsi="宋体"/>
                <w:color w:val="auto"/>
                <w:kern w:val="0"/>
                <w:szCs w:val="21"/>
                <w:highlight w:val="none"/>
              </w:rPr>
              <w:t>投标截止日前</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3</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5□8</w:t>
            </w:r>
            <w:r>
              <w:rPr>
                <w:rFonts w:ascii="宋体" w:hAnsi="宋体"/>
                <w:color w:val="auto"/>
                <w:szCs w:val="21"/>
                <w:highlight w:val="none"/>
              </w:rPr>
              <w:t>年</w:t>
            </w:r>
            <w:r>
              <w:rPr>
                <w:rFonts w:hint="eastAsia" w:ascii="宋体" w:hAnsi="宋体"/>
                <w:color w:val="auto"/>
                <w:szCs w:val="21"/>
                <w:highlight w:val="none"/>
              </w:rPr>
              <w:t>，指</w:t>
            </w:r>
            <w:r>
              <w:rPr>
                <w:rFonts w:hint="eastAsia" w:ascii="宋体" w:hAnsi="宋体"/>
                <w:color w:val="auto"/>
                <w:szCs w:val="21"/>
                <w:highlight w:val="none"/>
                <w:lang w:val="en-US" w:eastAsia="zh-CN"/>
              </w:rPr>
              <w:t>投标人2022</w:t>
            </w:r>
            <w:r>
              <w:rPr>
                <w:rFonts w:hint="eastAsia" w:ascii="宋体" w:hAnsi="宋体"/>
                <w:color w:val="auto"/>
                <w:szCs w:val="21"/>
                <w:highlight w:val="none"/>
              </w:rPr>
              <w:t>年1月1日起至投标截止日止（以</w:t>
            </w:r>
            <w:r>
              <w:rPr>
                <w:rFonts w:hint="eastAsia" w:ascii="宋体" w:hAnsi="宋体"/>
                <w:color w:val="auto"/>
                <w:szCs w:val="21"/>
                <w:highlight w:val="none"/>
                <w:lang w:val="en-US" w:eastAsia="zh-CN"/>
              </w:rPr>
              <w:t>合同签订</w:t>
            </w:r>
            <w:r>
              <w:rPr>
                <w:rFonts w:hint="eastAsia" w:ascii="宋体" w:hAnsi="宋体"/>
                <w:color w:val="auto"/>
                <w:szCs w:val="21"/>
                <w:highlight w:val="none"/>
              </w:rPr>
              <w:t>时间为准）</w:t>
            </w:r>
            <w:r>
              <w:rPr>
                <w:rFonts w:hint="eastAsia" w:ascii="宋体" w:hAnsi="宋体"/>
                <w:color w:val="auto"/>
                <w:szCs w:val="21"/>
                <w:highlight w:val="none"/>
                <w:lang w:val="en-US" w:eastAsia="zh-CN"/>
              </w:rPr>
              <w:t>完成</w:t>
            </w:r>
            <w:r>
              <w:rPr>
                <w:rFonts w:hint="eastAsia" w:ascii="宋体" w:hAnsi="宋体"/>
                <w:color w:val="auto"/>
                <w:szCs w:val="21"/>
                <w:highlight w:val="none"/>
              </w:rPr>
              <w:t>的1个类似项目业绩。</w:t>
            </w:r>
          </w:p>
          <w:p>
            <w:pPr>
              <w:autoSpaceDE w:val="0"/>
              <w:autoSpaceDN w:val="0"/>
              <w:adjustRightInd w:val="0"/>
              <w:snapToGrid w:val="0"/>
              <w:spacing w:line="400" w:lineRule="exact"/>
              <w:ind w:firstLine="415" w:firstLineChars="198"/>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2</w:t>
            </w:r>
            <w:r>
              <w:rPr>
                <w:rFonts w:hint="eastAsia" w:ascii="宋体" w:hAnsi="宋体"/>
                <w:color w:val="auto"/>
                <w:szCs w:val="21"/>
                <w:highlight w:val="none"/>
              </w:rPr>
              <w:t>业绩证明材料要求：</w:t>
            </w:r>
          </w:p>
          <w:p>
            <w:pPr>
              <w:autoSpaceDE w:val="0"/>
              <w:autoSpaceDN w:val="0"/>
              <w:adjustRightInd w:val="0"/>
              <w:snapToGrid w:val="0"/>
              <w:spacing w:line="400" w:lineRule="exact"/>
              <w:ind w:firstLine="415" w:firstLineChars="198"/>
              <w:rPr>
                <w:rFonts w:ascii="宋体" w:hAnsi="宋体"/>
                <w:color w:val="auto"/>
                <w:szCs w:val="21"/>
                <w:highlight w:val="none"/>
              </w:rPr>
            </w:pPr>
            <w:r>
              <w:rPr>
                <w:rFonts w:hint="eastAsia" w:ascii="宋体" w:hAnsi="宋体"/>
                <w:color w:val="auto"/>
                <w:szCs w:val="21"/>
                <w:highlight w:val="none"/>
                <w:lang w:val="en-US" w:eastAsia="zh-CN"/>
              </w:rPr>
              <w:t>提供合同复印件或扫描件</w:t>
            </w:r>
            <w:r>
              <w:rPr>
                <w:rFonts w:hint="eastAsia" w:ascii="宋体" w:hAnsi="宋体"/>
                <w:color w:val="auto"/>
                <w:szCs w:val="21"/>
                <w:highlight w:val="none"/>
              </w:rPr>
              <w:t>。</w:t>
            </w:r>
          </w:p>
          <w:p>
            <w:pPr>
              <w:autoSpaceDE w:val="0"/>
              <w:autoSpaceDN w:val="0"/>
              <w:adjustRightInd w:val="0"/>
              <w:snapToGrid w:val="0"/>
              <w:spacing w:line="400" w:lineRule="exact"/>
              <w:ind w:firstLine="415" w:firstLineChars="198"/>
              <w:rPr>
                <w:rFonts w:ascii="宋体" w:hAnsi="宋体"/>
                <w:color w:val="auto"/>
                <w:szCs w:val="21"/>
                <w:highlight w:val="none"/>
              </w:rPr>
            </w:pPr>
            <w:r>
              <w:rPr>
                <w:rFonts w:hint="eastAsia" w:ascii="宋体" w:hAnsi="宋体"/>
                <w:color w:val="auto"/>
                <w:szCs w:val="21"/>
                <w:highlight w:val="none"/>
              </w:rPr>
              <w:t>注：投标人应对其提供的业绩证明材料的真实性负责。</w:t>
            </w:r>
          </w:p>
          <w:p>
            <w:pPr>
              <w:autoSpaceDE w:val="0"/>
              <w:autoSpaceDN w:val="0"/>
              <w:adjustRightInd w:val="0"/>
              <w:snapToGrid w:val="0"/>
              <w:spacing w:line="400" w:lineRule="exact"/>
              <w:ind w:firstLine="415" w:firstLineChars="198"/>
              <w:rPr>
                <w:rFonts w:ascii="宋体" w:hAnsi="宋体"/>
                <w:color w:val="auto"/>
                <w:szCs w:val="21"/>
                <w:highlight w:val="none"/>
              </w:rPr>
            </w:pPr>
            <w:r>
              <w:rPr>
                <w:rFonts w:hint="eastAsia" w:ascii="宋体" w:hAnsi="宋体"/>
                <w:color w:val="auto"/>
                <w:szCs w:val="21"/>
                <w:highlight w:val="none"/>
              </w:rPr>
              <w:t>不满足上述业绩要求的业绩无效。</w:t>
            </w:r>
          </w:p>
          <w:p>
            <w:pPr>
              <w:adjustRightInd w:val="0"/>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4.投标截止日投标资格情况</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投标人自行承诺（格式见第八章投标文件格式）不得存在下列情形之一：</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（3）被列入《重庆市工程建设领域招标投标信用管理暂行办法》规定的重庆市工程建设领域招标投标失信惩戒对象名单（以下称黑名单）且在记分有效期内；</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（5）被重庆市</w:t>
            </w:r>
            <w:r>
              <w:rPr>
                <w:rFonts w:hint="eastAsia" w:asciiTheme="minorEastAsia" w:hAnsiTheme="minorEastAsia" w:eastAsiaTheme="minorEastAsia" w:cstheme="minorEastAsia"/>
                <w:color w:val="auto"/>
                <w:szCs w:val="21"/>
                <w:highlight w:val="none"/>
                <w:lang w:val="en-US" w:eastAsia="zh-CN"/>
              </w:rPr>
              <w:t>市级有关行业</w:t>
            </w:r>
            <w:r>
              <w:rPr>
                <w:rFonts w:hint="eastAsia" w:ascii="宋体" w:hAnsi="宋体"/>
                <w:color w:val="auto"/>
                <w:szCs w:val="21"/>
                <w:highlight w:val="none"/>
              </w:rPr>
              <w:t>主管部门暂停在渝承揽新业务且在暂停期内。</w:t>
            </w:r>
          </w:p>
          <w:p>
            <w:pPr>
              <w:snapToGrid w:val="0"/>
              <w:spacing w:line="400" w:lineRule="exact"/>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投标人须在投标文件资格审查部分提供承诺。</w:t>
            </w:r>
          </w:p>
          <w:p>
            <w:pPr>
              <w:numPr>
                <w:ilvl w:val="0"/>
                <w:numId w:val="0"/>
              </w:numPr>
              <w:snapToGrid w:val="0"/>
              <w:spacing w:line="400" w:lineRule="exact"/>
              <w:ind w:firstLine="422" w:firstLineChars="200"/>
              <w:rPr>
                <w:rFonts w:hint="eastAsia"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5.其他要求：</w:t>
            </w:r>
          </w:p>
          <w:p>
            <w:pPr>
              <w:numPr>
                <w:ilvl w:val="0"/>
                <w:numId w:val="0"/>
              </w:numPr>
              <w:snapToGrid w:val="0"/>
              <w:spacing w:line="400" w:lineRule="exact"/>
              <w:ind w:firstLine="422" w:firstLineChars="200"/>
              <w:rPr>
                <w:rFonts w:hint="default"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5.1拟派的高空作业人员。</w:t>
            </w:r>
          </w:p>
          <w:p>
            <w:pPr>
              <w:numPr>
                <w:ilvl w:val="0"/>
                <w:numId w:val="0"/>
              </w:numPr>
              <w:snapToGrid w:val="0"/>
              <w:spacing w:line="400" w:lineRule="exact"/>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高空作业人员必须经过专业的技术培训和考试，持证上岗，现场作业人员必须与投标文件一致。</w:t>
            </w:r>
          </w:p>
          <w:p>
            <w:pPr>
              <w:autoSpaceDE w:val="0"/>
              <w:autoSpaceDN w:val="0"/>
              <w:adjustRightInd w:val="0"/>
              <w:snapToGrid w:val="0"/>
              <w:spacing w:line="400" w:lineRule="exact"/>
              <w:ind w:firstLine="417" w:firstLineChars="198"/>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注：需提供证书复印件或扫描件。投标</w:t>
            </w:r>
            <w:r>
              <w:rPr>
                <w:rFonts w:hint="eastAsia" w:ascii="宋体" w:hAnsi="宋体" w:cs="宋体"/>
                <w:b/>
                <w:bCs w:val="0"/>
                <w:color w:val="auto"/>
                <w:szCs w:val="21"/>
                <w:highlight w:val="none"/>
                <w:lang w:val="en-US" w:eastAsia="zh-CN"/>
              </w:rPr>
              <w:t>人承诺：中标后，拟派的</w:t>
            </w:r>
            <w:r>
              <w:rPr>
                <w:rFonts w:hint="eastAsia" w:asciiTheme="minorEastAsia" w:hAnsiTheme="minorEastAsia" w:eastAsiaTheme="minorEastAsia" w:cstheme="minorEastAsia"/>
                <w:b/>
                <w:bCs w:val="0"/>
                <w:color w:val="auto"/>
                <w:szCs w:val="21"/>
                <w:highlight w:val="none"/>
                <w:lang w:val="en-US" w:eastAsia="zh-CN"/>
              </w:rPr>
              <w:t>高空作业人员到本项目任职。</w:t>
            </w:r>
          </w:p>
          <w:p>
            <w:pPr>
              <w:snapToGrid w:val="0"/>
              <w:spacing w:line="400" w:lineRule="exact"/>
              <w:ind w:firstLine="422" w:firstLineChars="200"/>
              <w:rPr>
                <w:rFonts w:hint="eastAsia"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5.2投标人为企业法人须具有实缴资本、参保人员、生产经营场所三方面内容，且缺一不可。</w:t>
            </w:r>
          </w:p>
          <w:p>
            <w:pPr>
              <w:snapToGrid w:val="0"/>
              <w:spacing w:line="400" w:lineRule="exact"/>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lang w:val="en-US" w:eastAsia="zh-CN"/>
              </w:rPr>
              <w:t>须提供的相关证明材料包含:①实缴资本证明材料:提供验资报告或者备注有投资款的银行缴款回单或上年度资产负债表(审核实收资本科目)或在投标截止时间之前 30天内从“国家企业信用信息公示系统”www.gsxt.gov.cn下载的《企业信用信息公示报告》(能显示实缴出资额内容);②参保人员证明材料:投标截止日前六个月内任意一个月的在职员工参保证明材料(提供社保机构出具的参保证明或税务机关出具的社保缴费证明);③生产经营场所证明材料:提供以企业法人作为承租人的房屋租赁合同或产权人为企业法人的房产证明或其他可以证明企业法人具有生产经营场所的有效证明材料。</w:t>
            </w:r>
          </w:p>
          <w:p>
            <w:pPr>
              <w:autoSpaceDE w:val="0"/>
              <w:autoSpaceDN w:val="0"/>
              <w:adjustRightInd w:val="0"/>
              <w:snapToGrid w:val="0"/>
              <w:spacing w:line="400" w:lineRule="exact"/>
              <w:ind w:firstLine="417" w:firstLineChars="198"/>
              <w:rPr>
                <w:rFonts w:ascii="宋体" w:hAnsi="宋体" w:cs="宋体"/>
                <w:b/>
                <w:color w:val="auto"/>
                <w:szCs w:val="21"/>
                <w:highlight w:val="none"/>
              </w:rPr>
            </w:pPr>
            <w:r>
              <w:rPr>
                <w:rFonts w:hint="eastAsia" w:ascii="宋体" w:hAnsi="宋体" w:cs="宋体"/>
                <w:b/>
                <w:color w:val="auto"/>
                <w:szCs w:val="21"/>
                <w:highlight w:val="none"/>
              </w:rPr>
              <w:t>特别说明：</w:t>
            </w:r>
          </w:p>
          <w:p>
            <w:pPr>
              <w:autoSpaceDE w:val="0"/>
              <w:autoSpaceDN w:val="0"/>
              <w:adjustRightInd w:val="0"/>
              <w:snapToGrid w:val="0"/>
              <w:spacing w:line="400" w:lineRule="exact"/>
              <w:ind w:firstLine="415" w:firstLineChars="198"/>
              <w:rPr>
                <w:rFonts w:ascii="宋体" w:hAnsi="宋体" w:cs="宋体"/>
                <w:color w:val="auto"/>
                <w:kern w:val="0"/>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上述要求须提交的相关证明材料复印件</w:t>
            </w:r>
            <w:r>
              <w:rPr>
                <w:rFonts w:hint="eastAsia" w:ascii="宋体" w:hAnsi="宋体" w:cs="宋体"/>
                <w:color w:val="auto"/>
                <w:szCs w:val="21"/>
                <w:highlight w:val="none"/>
                <w:lang w:val="en-US" w:eastAsia="zh-CN"/>
              </w:rPr>
              <w:t>或扫描件</w:t>
            </w:r>
            <w:r>
              <w:rPr>
                <w:rFonts w:hint="eastAsia" w:ascii="宋体" w:hAnsi="宋体" w:cs="宋体"/>
                <w:color w:val="auto"/>
                <w:szCs w:val="21"/>
                <w:highlight w:val="none"/>
              </w:rPr>
              <w:t>均应加盖投标单位法人章并装入投标文件资格审查部分中。上述要求</w:t>
            </w:r>
            <w:r>
              <w:rPr>
                <w:rFonts w:hint="eastAsia" w:ascii="宋体" w:hAnsi="宋体" w:cs="宋体"/>
                <w:color w:val="auto"/>
                <w:kern w:val="0"/>
                <w:szCs w:val="21"/>
                <w:highlight w:val="none"/>
              </w:rPr>
              <w:t>，有一条不满足则投标文件由评标委员会</w:t>
            </w:r>
            <w:r>
              <w:rPr>
                <w:rFonts w:hint="eastAsia" w:ascii="宋体" w:hAnsi="宋体" w:cs="宋体"/>
                <w:color w:val="auto"/>
                <w:szCs w:val="21"/>
                <w:highlight w:val="none"/>
              </w:rPr>
              <w:t>作否决投标处理</w:t>
            </w:r>
            <w:r>
              <w:rPr>
                <w:rFonts w:hint="eastAsia" w:ascii="宋体" w:hAnsi="宋体" w:cs="宋体"/>
                <w:color w:val="auto"/>
                <w:kern w:val="0"/>
                <w:szCs w:val="21"/>
                <w:highlight w:val="none"/>
              </w:rPr>
              <w:t>。</w:t>
            </w:r>
          </w:p>
          <w:p>
            <w:pPr>
              <w:autoSpaceDE w:val="0"/>
              <w:autoSpaceDN w:val="0"/>
              <w:adjustRightInd w:val="0"/>
              <w:snapToGrid w:val="0"/>
              <w:spacing w:line="400" w:lineRule="exact"/>
              <w:ind w:firstLine="415" w:firstLineChars="198"/>
              <w:rPr>
                <w:rFonts w:hint="eastAsia" w:ascii="宋体" w:hAnsi="宋体" w:eastAsia="宋体"/>
                <w:bCs/>
                <w:snapToGrid w:val="0"/>
                <w:color w:val="auto"/>
                <w:kern w:val="0"/>
                <w:szCs w:val="21"/>
                <w:highlight w:val="none"/>
                <w:lang w:eastAsia="zh-CN"/>
              </w:rPr>
            </w:pPr>
            <w:r>
              <w:rPr>
                <w:rFonts w:hint="eastAsia" w:ascii="宋体" w:hAnsi="宋体" w:cs="宋体"/>
                <w:color w:val="auto"/>
                <w:szCs w:val="21"/>
                <w:highlight w:val="none"/>
              </w:rPr>
              <w:t>（2）投标人须自行承诺其提供的上述相关证明材料真实有效，不存在弄虚作假情形（格式见第八章投标文件格式）。</w:t>
            </w:r>
            <w:r>
              <w:rPr>
                <w:rFonts w:hint="eastAsia" w:ascii="宋体" w:hAnsi="宋体" w:cs="宋体"/>
                <w:color w:val="auto"/>
                <w:szCs w:val="21"/>
                <w:highlight w:val="none"/>
                <w:u w:val="single"/>
              </w:rPr>
              <w:t>招标人在合同签订前均有权对投标人提供的资料进行核实，若发现弄虚作假，</w:t>
            </w:r>
            <w:r>
              <w:rPr>
                <w:rFonts w:hint="eastAsia" w:ascii="宋体" w:hAnsi="宋体" w:cs="宋体"/>
                <w:color w:val="auto"/>
                <w:szCs w:val="21"/>
                <w:highlight w:val="none"/>
                <w:u w:val="single"/>
                <w:lang w:val="en-US" w:eastAsia="zh-CN"/>
              </w:rPr>
              <w:t>按相关规定</w:t>
            </w:r>
            <w:r>
              <w:rPr>
                <w:rFonts w:hint="eastAsia" w:ascii="宋体" w:hAnsi="宋体" w:cs="宋体"/>
                <w:color w:val="auto"/>
                <w:szCs w:val="21"/>
                <w:highlight w:val="none"/>
                <w:u w:val="single"/>
              </w:rPr>
              <w:t>取消其中标资格，并按相关法律法规报招标投标监督部门，其投标保证金不予退还，投标人承担因此造成的相关责任并赔偿相应损失</w:t>
            </w:r>
            <w:r>
              <w:rPr>
                <w:rFonts w:hint="eastAsia" w:ascii="宋体" w:hAnsi="宋体" w:cs="宋体"/>
                <w:color w:val="auto"/>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1.4.2</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是否接受联合体投标</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不接受</w:t>
            </w:r>
          </w:p>
          <w:p>
            <w:pPr>
              <w:snapToGrid w:val="0"/>
              <w:spacing w:after="15" w:afterLines="5"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接受，应满足下列要求：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1.9.1</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踏勘现场</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不组织</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组织，</w:t>
            </w:r>
            <w:r>
              <w:rPr>
                <w:rFonts w:hint="eastAsia" w:ascii="宋体" w:hAnsi="宋体"/>
                <w:color w:val="auto"/>
                <w:kern w:val="0"/>
                <w:szCs w:val="21"/>
                <w:highlight w:val="none"/>
              </w:rPr>
              <w:t>集中</w:t>
            </w:r>
            <w:r>
              <w:rPr>
                <w:rFonts w:ascii="宋体" w:hAnsi="宋体"/>
                <w:color w:val="auto"/>
                <w:kern w:val="0"/>
                <w:szCs w:val="21"/>
                <w:highlight w:val="none"/>
              </w:rPr>
              <w:t>踏勘时间：</w:t>
            </w:r>
          </w:p>
          <w:p>
            <w:pPr>
              <w:snapToGrid w:val="0"/>
              <w:spacing w:line="400" w:lineRule="exact"/>
              <w:ind w:firstLine="1260" w:firstLineChars="600"/>
              <w:rPr>
                <w:rFonts w:ascii="宋体" w:hAnsi="宋体"/>
                <w:color w:val="auto"/>
                <w:kern w:val="0"/>
                <w:szCs w:val="21"/>
                <w:highlight w:val="none"/>
              </w:rPr>
            </w:pPr>
            <w:r>
              <w:rPr>
                <w:rFonts w:ascii="宋体" w:hAnsi="宋体"/>
                <w:color w:val="auto"/>
                <w:kern w:val="0"/>
                <w:szCs w:val="21"/>
                <w:highlight w:val="none"/>
              </w:rPr>
              <w:t>集中踏勘地点：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1.10.1</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投标预备会</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不召开</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召开，召开时间：</w:t>
            </w:r>
          </w:p>
          <w:p>
            <w:pPr>
              <w:snapToGrid w:val="0"/>
              <w:spacing w:after="15" w:afterLines="5" w:line="400" w:lineRule="exact"/>
              <w:ind w:firstLine="1260" w:firstLineChars="600"/>
              <w:rPr>
                <w:rFonts w:ascii="宋体" w:hAnsi="宋体"/>
                <w:color w:val="auto"/>
                <w:kern w:val="0"/>
                <w:szCs w:val="21"/>
                <w:highlight w:val="none"/>
              </w:rPr>
            </w:pPr>
            <w:r>
              <w:rPr>
                <w:rFonts w:ascii="宋体" w:hAnsi="宋体"/>
                <w:color w:val="auto"/>
                <w:kern w:val="0"/>
                <w:szCs w:val="21"/>
                <w:highlight w:val="none"/>
              </w:rPr>
              <w:t>召开地点：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1.11</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分包</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2.1</w:t>
            </w:r>
          </w:p>
        </w:tc>
        <w:tc>
          <w:tcPr>
            <w:tcW w:w="1644" w:type="dxa"/>
            <w:vAlign w:val="center"/>
          </w:tcPr>
          <w:p>
            <w:pPr>
              <w:snapToGrid w:val="0"/>
              <w:spacing w:after="15" w:afterLines="5" w:line="400" w:lineRule="exact"/>
              <w:jc w:val="center"/>
              <w:rPr>
                <w:rFonts w:ascii="宋体" w:hAnsi="宋体"/>
                <w:color w:val="auto"/>
                <w:kern w:val="0"/>
                <w:szCs w:val="21"/>
                <w:highlight w:val="none"/>
              </w:rPr>
            </w:pPr>
            <w:r>
              <w:rPr>
                <w:rFonts w:ascii="宋体" w:hAnsi="宋体"/>
                <w:color w:val="auto"/>
                <w:kern w:val="0"/>
                <w:szCs w:val="21"/>
                <w:highlight w:val="none"/>
              </w:rPr>
              <w:t>构成招标文件的其他材料</w:t>
            </w:r>
          </w:p>
        </w:tc>
        <w:tc>
          <w:tcPr>
            <w:tcW w:w="6490" w:type="dxa"/>
            <w:vAlign w:val="center"/>
          </w:tcPr>
          <w:p>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招标人发出的</w:t>
            </w:r>
            <w:r>
              <w:rPr>
                <w:rFonts w:hint="eastAsia" w:ascii="宋体" w:hAnsi="宋体"/>
                <w:color w:val="auto"/>
                <w:szCs w:val="21"/>
                <w:highlight w:val="none"/>
              </w:rPr>
              <w:t>澄清</w:t>
            </w:r>
            <w:r>
              <w:rPr>
                <w:rFonts w:ascii="宋体" w:hAnsi="宋体"/>
                <w:color w:val="auto"/>
                <w:szCs w:val="21"/>
                <w:highlight w:val="none"/>
              </w:rPr>
              <w:t>及</w:t>
            </w:r>
            <w:r>
              <w:rPr>
                <w:rFonts w:hint="eastAsia" w:ascii="宋体" w:hAnsi="宋体"/>
                <w:color w:val="auto"/>
                <w:szCs w:val="21"/>
                <w:highlight w:val="none"/>
              </w:rPr>
              <w:t>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1</w:t>
            </w:r>
          </w:p>
        </w:tc>
        <w:tc>
          <w:tcPr>
            <w:tcW w:w="1644" w:type="dxa"/>
            <w:tcBorders>
              <w:bottom w:val="single" w:color="auto" w:sz="4" w:space="0"/>
            </w:tcBorders>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投标人对招标文件提出</w:t>
            </w:r>
            <w:r>
              <w:rPr>
                <w:rFonts w:hint="eastAsia" w:ascii="宋体" w:hAnsi="宋体"/>
                <w:color w:val="auto"/>
                <w:kern w:val="0"/>
                <w:szCs w:val="21"/>
                <w:highlight w:val="none"/>
              </w:rPr>
              <w:t>疑问</w:t>
            </w:r>
            <w:r>
              <w:rPr>
                <w:rFonts w:ascii="宋体" w:hAnsi="宋体"/>
                <w:color w:val="auto"/>
                <w:kern w:val="0"/>
                <w:szCs w:val="21"/>
                <w:highlight w:val="none"/>
              </w:rPr>
              <w:t>的截止时间</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投标人应仔细</w:t>
            </w:r>
            <w:r>
              <w:rPr>
                <w:rFonts w:hint="eastAsia" w:ascii="宋体" w:hAnsi="宋体"/>
                <w:color w:val="auto"/>
                <w:kern w:val="0"/>
                <w:szCs w:val="21"/>
                <w:highlight w:val="none"/>
              </w:rPr>
              <w:t>阅读</w:t>
            </w:r>
            <w:r>
              <w:rPr>
                <w:rFonts w:ascii="宋体" w:hAnsi="宋体"/>
                <w:color w:val="auto"/>
                <w:kern w:val="0"/>
                <w:szCs w:val="21"/>
                <w:highlight w:val="none"/>
              </w:rPr>
              <w:t>招标文件</w:t>
            </w:r>
            <w:r>
              <w:rPr>
                <w:rFonts w:hint="eastAsia" w:ascii="宋体" w:hAnsi="宋体"/>
                <w:color w:val="auto"/>
                <w:kern w:val="0"/>
                <w:szCs w:val="21"/>
                <w:highlight w:val="none"/>
              </w:rPr>
              <w:t>及附件</w:t>
            </w:r>
            <w:r>
              <w:rPr>
                <w:rFonts w:ascii="宋体" w:hAnsi="宋体"/>
                <w:color w:val="auto"/>
                <w:kern w:val="0"/>
                <w:szCs w:val="21"/>
                <w:highlight w:val="none"/>
              </w:rPr>
              <w:t>的所有内容，如有文字表述不清，图纸尺寸标注不明以及存在错、漏、缺、概念模糊和有可能出现歧义或理解上的偏差的内容等应</w:t>
            </w:r>
            <w:r>
              <w:rPr>
                <w:rFonts w:hint="eastAsia" w:ascii="宋体" w:hAnsi="宋体" w:cs="宋体"/>
                <w:color w:val="auto"/>
                <w:kern w:val="0"/>
                <w:szCs w:val="21"/>
                <w:highlight w:val="none"/>
              </w:rPr>
              <w:t>在</w:t>
            </w:r>
            <w:r>
              <w:rPr>
                <w:rFonts w:hint="eastAsia" w:ascii="宋体" w:hAnsi="宋体" w:cs="宋体"/>
                <w:b/>
                <w:bCs/>
                <w:color w:val="auto"/>
                <w:kern w:val="0"/>
                <w:szCs w:val="21"/>
                <w:highlight w:val="none"/>
                <w:u w:val="single"/>
                <w:lang w:val="en-US" w:eastAsia="zh-CN"/>
              </w:rPr>
              <w:t>2025年5月18日17时30分</w:t>
            </w:r>
            <w:r>
              <w:rPr>
                <w:rFonts w:ascii="宋体" w:hAnsi="宋体"/>
                <w:color w:val="auto"/>
                <w:kern w:val="0"/>
                <w:szCs w:val="21"/>
                <w:highlight w:val="none"/>
              </w:rPr>
              <w:t>前</w:t>
            </w:r>
            <w:r>
              <w:rPr>
                <w:rFonts w:hint="eastAsia" w:ascii="宋体" w:hAnsi="宋体"/>
                <w:color w:val="auto"/>
                <w:kern w:val="0"/>
                <w:szCs w:val="21"/>
                <w:highlight w:val="none"/>
                <w:lang w:val="en-US" w:eastAsia="zh-CN"/>
              </w:rPr>
              <w:t>提出。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Merge w:val="restart"/>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2.2.2</w:t>
            </w:r>
          </w:p>
        </w:tc>
        <w:tc>
          <w:tcPr>
            <w:tcW w:w="1644" w:type="dxa"/>
            <w:tcBorders>
              <w:top w:val="single" w:color="auto" w:sz="4" w:space="0"/>
            </w:tcBorders>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招标人对招标文件</w:t>
            </w:r>
            <w:r>
              <w:rPr>
                <w:rFonts w:hint="eastAsia" w:ascii="宋体" w:hAnsi="宋体"/>
                <w:color w:val="auto"/>
                <w:kern w:val="0"/>
                <w:szCs w:val="21"/>
                <w:highlight w:val="none"/>
              </w:rPr>
              <w:t>澄清</w:t>
            </w:r>
            <w:r>
              <w:rPr>
                <w:rFonts w:ascii="宋体" w:hAnsi="宋体"/>
                <w:color w:val="auto"/>
                <w:kern w:val="0"/>
                <w:szCs w:val="21"/>
                <w:highlight w:val="none"/>
              </w:rPr>
              <w:t>的截止时间</w:t>
            </w:r>
          </w:p>
        </w:tc>
        <w:tc>
          <w:tcPr>
            <w:tcW w:w="6490" w:type="dxa"/>
            <w:vAlign w:val="center"/>
          </w:tcPr>
          <w:p>
            <w:pPr>
              <w:snapToGrid w:val="0"/>
              <w:spacing w:line="400" w:lineRule="exact"/>
              <w:ind w:firstLine="422" w:firstLineChars="200"/>
              <w:rPr>
                <w:rFonts w:ascii="宋体" w:hAnsi="宋体"/>
                <w:snapToGrid w:val="0"/>
                <w:color w:val="auto"/>
                <w:kern w:val="0"/>
                <w:szCs w:val="21"/>
                <w:highlight w:val="none"/>
              </w:rPr>
            </w:pPr>
            <w:r>
              <w:rPr>
                <w:rFonts w:hint="eastAsia" w:ascii="宋体" w:hAnsi="宋体"/>
                <w:b/>
                <w:bCs/>
                <w:color w:val="auto"/>
                <w:szCs w:val="21"/>
                <w:highlight w:val="none"/>
                <w:u w:val="single"/>
                <w:lang w:val="en-US" w:eastAsia="zh-CN"/>
              </w:rPr>
              <w:t>2025年5月19日17时30分</w:t>
            </w:r>
            <w:r>
              <w:rPr>
                <w:rFonts w:hint="eastAsia" w:ascii="宋体" w:hAnsi="宋体"/>
                <w:color w:val="auto"/>
                <w:szCs w:val="21"/>
                <w:highlight w:val="none"/>
                <w:lang w:val="en-US" w:eastAsia="zh-CN"/>
              </w:rPr>
              <w:t>前</w:t>
            </w:r>
            <w:r>
              <w:rPr>
                <w:rFonts w:ascii="宋体" w:hAnsi="宋体"/>
                <w:color w:val="auto"/>
                <w:kern w:val="0"/>
                <w:szCs w:val="21"/>
                <w:highlight w:val="none"/>
              </w:rPr>
              <w:t>发布</w:t>
            </w:r>
            <w:r>
              <w:rPr>
                <w:rFonts w:hint="eastAsia" w:ascii="宋体" w:hAnsi="宋体"/>
                <w:color w:val="auto"/>
                <w:kern w:val="0"/>
                <w:szCs w:val="21"/>
                <w:highlight w:val="none"/>
              </w:rPr>
              <w:t>澄清</w:t>
            </w:r>
            <w:r>
              <w:rPr>
                <w:rFonts w:ascii="宋体" w:hAnsi="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5" w:type="dxa"/>
            <w:vMerge w:val="continue"/>
            <w:vAlign w:val="center"/>
          </w:tcPr>
          <w:p>
            <w:pPr>
              <w:snapToGrid w:val="0"/>
              <w:spacing w:line="400" w:lineRule="exact"/>
              <w:jc w:val="center"/>
              <w:rPr>
                <w:rFonts w:ascii="宋体" w:hAnsi="宋体"/>
                <w:color w:val="auto"/>
                <w:kern w:val="0"/>
                <w:szCs w:val="21"/>
                <w:highlight w:val="none"/>
              </w:rPr>
            </w:pPr>
          </w:p>
        </w:tc>
        <w:tc>
          <w:tcPr>
            <w:tcW w:w="164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投标截止时间</w:t>
            </w:r>
          </w:p>
        </w:tc>
        <w:tc>
          <w:tcPr>
            <w:tcW w:w="6490" w:type="dxa"/>
            <w:vAlign w:val="center"/>
          </w:tcPr>
          <w:p>
            <w:pPr>
              <w:snapToGrid w:val="0"/>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详见招标公告规定的投标截止时间。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2.2.3</w:t>
            </w:r>
          </w:p>
        </w:tc>
        <w:tc>
          <w:tcPr>
            <w:tcW w:w="1644" w:type="dxa"/>
            <w:vAlign w:val="center"/>
          </w:tcPr>
          <w:p>
            <w:pPr>
              <w:snapToGrid w:val="0"/>
              <w:spacing w:after="15" w:afterLines="5" w:line="400" w:lineRule="exact"/>
              <w:jc w:val="center"/>
              <w:rPr>
                <w:rFonts w:ascii="宋体" w:hAnsi="宋体"/>
                <w:color w:val="auto"/>
                <w:kern w:val="0"/>
                <w:szCs w:val="21"/>
                <w:highlight w:val="none"/>
              </w:rPr>
            </w:pPr>
            <w:r>
              <w:rPr>
                <w:rFonts w:ascii="宋体" w:hAnsi="宋体"/>
                <w:color w:val="auto"/>
                <w:kern w:val="0"/>
                <w:szCs w:val="21"/>
                <w:highlight w:val="none"/>
              </w:rPr>
              <w:t>招标人对招标文件进行</w:t>
            </w:r>
            <w:r>
              <w:rPr>
                <w:rFonts w:hint="eastAsia" w:ascii="宋体" w:hAnsi="宋体"/>
                <w:color w:val="auto"/>
                <w:kern w:val="0"/>
                <w:szCs w:val="21"/>
                <w:highlight w:val="none"/>
              </w:rPr>
              <w:t>修改</w:t>
            </w:r>
            <w:r>
              <w:rPr>
                <w:rFonts w:ascii="宋体" w:hAnsi="宋体"/>
                <w:color w:val="auto"/>
                <w:kern w:val="0"/>
                <w:szCs w:val="21"/>
                <w:highlight w:val="none"/>
              </w:rPr>
              <w:t>的时间</w:t>
            </w:r>
          </w:p>
        </w:tc>
        <w:tc>
          <w:tcPr>
            <w:tcW w:w="6490" w:type="dxa"/>
            <w:vAlign w:val="center"/>
          </w:tcPr>
          <w:p>
            <w:pPr>
              <w:snapToGrid w:val="0"/>
              <w:spacing w:line="400" w:lineRule="exact"/>
              <w:ind w:firstLine="420" w:firstLineChars="200"/>
              <w:rPr>
                <w:rFonts w:ascii="宋体" w:hAnsi="宋体"/>
                <w:color w:val="auto"/>
                <w:szCs w:val="21"/>
                <w:highlight w:val="none"/>
              </w:rPr>
            </w:pP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内容可能影响投标文件编制的，须在投标截止时间15日前发布，发布时间至投标截止时间不足15日的，须相应延后投标截止时间。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2.2.4</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投标人对招标文件及澄清修改提出异议的截止时间</w:t>
            </w:r>
          </w:p>
        </w:tc>
        <w:tc>
          <w:tcPr>
            <w:tcW w:w="6490" w:type="dxa"/>
            <w:vAlign w:val="center"/>
          </w:tcPr>
          <w:p>
            <w:pPr>
              <w:snapToGri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投标人对招标文件和</w:t>
            </w:r>
            <w:r>
              <w:rPr>
                <w:rFonts w:hint="eastAsia" w:ascii="宋体" w:hAnsi="宋体"/>
                <w:snapToGrid w:val="0"/>
                <w:color w:val="auto"/>
                <w:kern w:val="0"/>
                <w:szCs w:val="21"/>
                <w:highlight w:val="none"/>
              </w:rPr>
              <w:t>澄清修改</w:t>
            </w:r>
            <w:r>
              <w:rPr>
                <w:rFonts w:ascii="宋体" w:hAnsi="宋体"/>
                <w:snapToGrid w:val="0"/>
                <w:color w:val="auto"/>
                <w:kern w:val="0"/>
                <w:szCs w:val="21"/>
                <w:highlight w:val="none"/>
              </w:rPr>
              <w:t>有异议的，应当在投标截止时间10日前，</w:t>
            </w:r>
            <w:r>
              <w:rPr>
                <w:rFonts w:hint="eastAsia" w:ascii="宋体" w:hAnsi="宋体"/>
                <w:snapToGrid w:val="0"/>
                <w:color w:val="auto"/>
                <w:kern w:val="0"/>
                <w:szCs w:val="21"/>
                <w:highlight w:val="none"/>
              </w:rPr>
              <w:t>以书面形式通知招标人或招标代理机构</w:t>
            </w:r>
            <w:r>
              <w:rPr>
                <w:rFonts w:ascii="宋体" w:hAnsi="宋体"/>
                <w:snapToGrid w:val="0"/>
                <w:color w:val="auto"/>
                <w:kern w:val="0"/>
                <w:szCs w:val="21"/>
                <w:highlight w:val="none"/>
              </w:rPr>
              <w:t>。招标人应当自收到异议之日起3日内做出答复，</w:t>
            </w:r>
            <w:r>
              <w:rPr>
                <w:rFonts w:hint="eastAsia" w:ascii="宋体" w:hAnsi="宋体"/>
                <w:snapToGrid w:val="0"/>
                <w:color w:val="auto"/>
                <w:kern w:val="0"/>
                <w:szCs w:val="21"/>
                <w:highlight w:val="none"/>
              </w:rPr>
              <w:t>答复内容可能影响投标文件编制的，将以修改的形式于投标截止时间15日前发布。发布时间至投标截止时间不足15日的，须相应延后投标截止时间</w:t>
            </w:r>
            <w:r>
              <w:rPr>
                <w:rFonts w:ascii="宋体" w:hAnsi="宋体"/>
                <w:snapToGrid w:val="0"/>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3.1.1</w:t>
            </w:r>
          </w:p>
        </w:tc>
        <w:tc>
          <w:tcPr>
            <w:tcW w:w="1644" w:type="dxa"/>
            <w:vAlign w:val="center"/>
          </w:tcPr>
          <w:p>
            <w:pPr>
              <w:snapToGrid w:val="0"/>
              <w:spacing w:after="31" w:afterLines="10" w:line="400" w:lineRule="exact"/>
              <w:jc w:val="center"/>
              <w:rPr>
                <w:rFonts w:ascii="宋体" w:hAnsi="宋体"/>
                <w:color w:val="auto"/>
                <w:kern w:val="0"/>
                <w:szCs w:val="21"/>
                <w:highlight w:val="none"/>
              </w:rPr>
            </w:pPr>
            <w:r>
              <w:rPr>
                <w:rFonts w:ascii="宋体" w:hAnsi="宋体"/>
                <w:color w:val="auto"/>
                <w:kern w:val="0"/>
                <w:szCs w:val="21"/>
                <w:highlight w:val="none"/>
              </w:rPr>
              <w:t>构成投标文件的其他材料</w:t>
            </w:r>
          </w:p>
        </w:tc>
        <w:tc>
          <w:tcPr>
            <w:tcW w:w="6490" w:type="dxa"/>
            <w:vAlign w:val="center"/>
          </w:tcPr>
          <w:p>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投标人的书面澄清、说明和补正（但不得改变投标文件的实质性内容）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3.2</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投标报价</w:t>
            </w:r>
          </w:p>
        </w:tc>
        <w:tc>
          <w:tcPr>
            <w:tcW w:w="6490" w:type="dxa"/>
            <w:vAlign w:val="center"/>
          </w:tcPr>
          <w:p>
            <w:pPr>
              <w:pStyle w:val="17"/>
              <w:tabs>
                <w:tab w:val="left" w:pos="546"/>
                <w:tab w:val="left" w:pos="711"/>
              </w:tabs>
              <w:snapToGrid w:val="0"/>
              <w:spacing w:after="0" w:line="400" w:lineRule="exact"/>
              <w:ind w:firstLine="420" w:firstLineChars="200"/>
              <w:rPr>
                <w:rFonts w:ascii="宋体" w:hAnsi="宋体" w:cs="宋体"/>
                <w:color w:val="auto"/>
                <w:szCs w:val="21"/>
                <w:highlight w:val="none"/>
              </w:rPr>
            </w:pPr>
            <w:r>
              <w:rPr>
                <w:rFonts w:ascii="宋体" w:hAnsi="宋体"/>
                <w:color w:val="auto"/>
                <w:szCs w:val="21"/>
                <w:highlight w:val="none"/>
              </w:rPr>
              <w:t>1.</w:t>
            </w:r>
            <w:r>
              <w:rPr>
                <w:rFonts w:hint="eastAsia" w:ascii="宋体" w:hAnsi="宋体" w:cs="宋体"/>
                <w:color w:val="auto"/>
                <w:szCs w:val="21"/>
                <w:highlight w:val="none"/>
              </w:rPr>
              <w:t>必须采用工程量清单计价。</w:t>
            </w:r>
          </w:p>
          <w:p>
            <w:pPr>
              <w:pStyle w:val="17"/>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投标人应按《建设工程工程量清单计价规范》（GB50500-2013）及重庆市相关工程量清单计价规则的要求填写相应清单表格。投标人应按本须知、《重庆市建设工程费用定额》（CQFYDE-2018）、《重庆市住房和城乡建设委员会关于适用增值税新税率调整建设工程计价依据的通知》（渝建〔2019〕143号）和第五章“工程量清单”的要求填写相应清单表格。投标人的投标报价应是本章投标人须知前附表第1.3.1项中所述的本工程合同段招标范围内的全部工程的投标报价，并以投标人在工程量清单中提出的单价或总价</w:t>
            </w:r>
            <w:r>
              <w:rPr>
                <w:rFonts w:ascii="宋体" w:hAnsi="宋体" w:cs="宋体"/>
                <w:color w:val="auto"/>
                <w:szCs w:val="21"/>
                <w:highlight w:val="none"/>
              </w:rPr>
              <w:footnoteReference w:id="0"/>
            </w:r>
            <w:r>
              <w:rPr>
                <w:rFonts w:hint="eastAsia" w:ascii="宋体" w:hAnsi="宋体" w:cs="宋体"/>
                <w:color w:val="auto"/>
                <w:szCs w:val="21"/>
                <w:highlight w:val="none"/>
              </w:rPr>
              <w:t>为依据。</w:t>
            </w:r>
          </w:p>
          <w:p>
            <w:pPr>
              <w:tabs>
                <w:tab w:val="left" w:pos="546"/>
                <w:tab w:val="left" w:pos="711"/>
              </w:tabs>
              <w:snapToGrid w:val="0"/>
              <w:spacing w:line="400" w:lineRule="exact"/>
              <w:ind w:left="6" w:leftChars="3" w:firstLine="420" w:firstLineChars="200"/>
              <w:rPr>
                <w:rFonts w:ascii="宋体" w:hAnsi="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投标人应认真填写工程量清单中所列的本合同各工程子目的单价或总价。投标人没有填入单价或总价的工程子目，招标人将认为该子目的价款已包括在工程量清单其他子目的单价和总价中。投标人必须按招标工程量清单填报价格。项目编码、项目名称、项目特征、计量单位、工程量必须与招标工程量清单一致。</w:t>
            </w:r>
          </w:p>
          <w:p>
            <w:pPr>
              <w:tabs>
                <w:tab w:val="left" w:pos="546"/>
                <w:tab w:val="left" w:pos="711"/>
              </w:tabs>
              <w:snapToGrid w:val="0"/>
              <w:spacing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投标函中的总报价必须与已标价工程量清单总报价一致。否则由评标委员会作否决投标处理。</w:t>
            </w:r>
          </w:p>
          <w:p>
            <w:pPr>
              <w:pStyle w:val="17"/>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增值税计税方法由招标人依据国家税法规定选择：</w:t>
            </w:r>
          </w:p>
          <w:p>
            <w:pPr>
              <w:pStyle w:val="17"/>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一般计税法</w:t>
            </w:r>
          </w:p>
          <w:p>
            <w:pPr>
              <w:pStyle w:val="17"/>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hint="eastAsia" w:ascii="宋体" w:hAnsi="宋体" w:cs="宋体"/>
                <w:color w:val="auto"/>
                <w:szCs w:val="21"/>
                <w:highlight w:val="none"/>
              </w:rPr>
              <w:t>□简易计税法</w:t>
            </w:r>
          </w:p>
          <w:p>
            <w:pPr>
              <w:pStyle w:val="17"/>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如发现工程量清单中的数量与图纸中数量不一致，应于本须知第2.2.1项中规定的时间前书面通知招标人核查，除非招标人以修改的形式予以更正，否则，应以工程量清单中列出的数量为准。</w:t>
            </w:r>
          </w:p>
          <w:p>
            <w:pPr>
              <w:tabs>
                <w:tab w:val="left" w:pos="546"/>
                <w:tab w:val="left" w:pos="711"/>
              </w:tabs>
              <w:snapToGrid w:val="0"/>
              <w:spacing w:line="400" w:lineRule="exact"/>
              <w:ind w:firstLine="420" w:firstLineChars="200"/>
              <w:rPr>
                <w:rFonts w:ascii="宋体" w:hAnsi="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招标人在工程量清单中所列出的暂列金额、暂估价等</w:t>
            </w:r>
            <w:r>
              <w:rPr>
                <w:rFonts w:hint="eastAsia" w:ascii="宋体" w:hAnsi="宋体" w:cs="宋体"/>
                <w:color w:val="auto"/>
                <w:szCs w:val="21"/>
                <w:highlight w:val="none"/>
                <w:lang w:eastAsia="zh-CN"/>
              </w:rPr>
              <w:t>暂定金额</w:t>
            </w:r>
            <w:r>
              <w:rPr>
                <w:rFonts w:hint="eastAsia" w:ascii="宋体" w:hAnsi="宋体" w:cs="宋体"/>
                <w:color w:val="auto"/>
                <w:szCs w:val="21"/>
                <w:highlight w:val="none"/>
              </w:rPr>
              <w:t>，投标人不得修改</w:t>
            </w:r>
            <w:r>
              <w:rPr>
                <w:rFonts w:hint="eastAsia" w:ascii="宋体" w:hAnsi="宋体"/>
                <w:color w:val="auto"/>
                <w:szCs w:val="21"/>
                <w:highlight w:val="none"/>
              </w:rPr>
              <w:t>。</w:t>
            </w:r>
          </w:p>
          <w:p>
            <w:pPr>
              <w:tabs>
                <w:tab w:val="left" w:pos="546"/>
                <w:tab w:val="left" w:pos="711"/>
              </w:tabs>
              <w:snapToGrid w:val="0"/>
              <w:spacing w:line="400" w:lineRule="exact"/>
              <w:ind w:firstLine="422" w:firstLineChars="200"/>
              <w:rPr>
                <w:rFonts w:ascii="宋体" w:hAnsi="宋体"/>
                <w:b/>
                <w:bCs/>
                <w:color w:val="auto"/>
                <w:szCs w:val="21"/>
                <w:highlight w:val="none"/>
              </w:rPr>
            </w:pPr>
            <w:r>
              <w:rPr>
                <w:rFonts w:ascii="宋体" w:hAnsi="宋体" w:cs="宋体"/>
                <w:b/>
                <w:bCs/>
                <w:color w:val="auto"/>
                <w:szCs w:val="21"/>
                <w:highlight w:val="none"/>
              </w:rPr>
              <w:t>8.</w:t>
            </w:r>
            <w:r>
              <w:rPr>
                <w:rFonts w:hint="eastAsia" w:ascii="宋体" w:hAnsi="宋体" w:cs="宋体"/>
                <w:b/>
                <w:bCs/>
                <w:color w:val="auto"/>
                <w:szCs w:val="21"/>
                <w:highlight w:val="none"/>
              </w:rPr>
              <w:t>本工程招标将设置投标总报价最高限价，投标总报价最高限价</w:t>
            </w:r>
            <w:r>
              <w:rPr>
                <w:rFonts w:hint="eastAsia" w:ascii="宋体" w:hAnsi="宋体" w:cs="宋体"/>
                <w:b/>
                <w:bCs/>
                <w:color w:val="auto"/>
                <w:szCs w:val="21"/>
                <w:highlight w:val="none"/>
                <w:lang w:val="en-US" w:eastAsia="zh-CN"/>
              </w:rPr>
              <w:t>为：</w:t>
            </w:r>
            <w:r>
              <w:rPr>
                <w:rFonts w:hint="eastAsia" w:ascii="宋体" w:hAnsi="宋体" w:cs="宋体"/>
                <w:b/>
                <w:bCs/>
                <w:color w:val="auto"/>
                <w:szCs w:val="21"/>
                <w:highlight w:val="none"/>
                <w:u w:val="single"/>
                <w:lang w:val="en-US" w:eastAsia="zh-CN"/>
              </w:rPr>
              <w:t>453215.54元</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其中安全文明施工费为：</w:t>
            </w:r>
            <w:r>
              <w:rPr>
                <w:rFonts w:hint="eastAsia" w:ascii="宋体" w:hAnsi="宋体" w:cs="宋体"/>
                <w:b/>
                <w:bCs/>
                <w:color w:val="auto"/>
                <w:szCs w:val="21"/>
                <w:highlight w:val="none"/>
                <w:u w:val="single"/>
                <w:lang w:val="en-US" w:eastAsia="zh-CN"/>
              </w:rPr>
              <w:t>14130.91元</w:t>
            </w:r>
            <w:r>
              <w:rPr>
                <w:rFonts w:hint="eastAsia" w:ascii="宋体" w:hAnsi="宋体" w:cs="宋体"/>
                <w:b/>
                <w:bCs/>
                <w:color w:val="auto"/>
                <w:szCs w:val="21"/>
                <w:highlight w:val="none"/>
                <w:lang w:val="en-US" w:eastAsia="zh-CN"/>
              </w:rPr>
              <w:t>。</w:t>
            </w:r>
            <w:r>
              <w:rPr>
                <w:rFonts w:hint="eastAsia" w:ascii="宋体" w:hAnsi="宋体" w:cs="宋体"/>
                <w:b/>
                <w:bCs/>
                <w:color w:val="auto"/>
                <w:szCs w:val="21"/>
                <w:highlight w:val="none"/>
              </w:rPr>
              <w:t>投标人的投标总报价不得超过投标总报价最高限价，否则由评标委员会作</w:t>
            </w:r>
            <w:r>
              <w:rPr>
                <w:rFonts w:hint="eastAsia" w:ascii="宋体" w:hAnsi="宋体"/>
                <w:b/>
                <w:bCs/>
                <w:color w:val="auto"/>
                <w:szCs w:val="21"/>
                <w:highlight w:val="none"/>
              </w:rPr>
              <w:t>否决投标处理。</w:t>
            </w:r>
          </w:p>
          <w:p>
            <w:pPr>
              <w:tabs>
                <w:tab w:val="left" w:pos="546"/>
                <w:tab w:val="left" w:pos="711"/>
              </w:tabs>
              <w:snapToGrid w:val="0"/>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本工程招标将设置全部工程量清单综合单价最高限价，投标人的每项清单综合单价报价不得超过每项清单综合单价最高限价。</w:t>
            </w:r>
          </w:p>
          <w:p>
            <w:pPr>
              <w:tabs>
                <w:tab w:val="left" w:pos="546"/>
                <w:tab w:val="left" w:pos="711"/>
              </w:tabs>
              <w:snapToGrid w:val="0"/>
              <w:spacing w:line="40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招标人在合同签订前将对中标人已标价工程量清单进行清标。若发现中标人的工程量清单综合单价报价超过招标时给出的工程量清单综合单价最高限价的，在工程结算时招标人将以发出的工程量清单综合单价最高限价为基础，按照中标人的中标总报价与本工程的总价最高限价的下浮比例进行同比例下调，中标人必须无条件接受，否则按中标人违约处理。</w:t>
            </w:r>
            <w:r>
              <w:rPr>
                <w:rFonts w:hint="eastAsia" w:ascii="宋体" w:hAnsi="宋体" w:cs="宋体"/>
                <w:b/>
                <w:bCs/>
                <w:color w:val="auto"/>
                <w:szCs w:val="21"/>
                <w:highlight w:val="none"/>
              </w:rPr>
              <w:t>投标人须在投标文件资格审查部分提供承诺函，承诺函包括以下内容：</w:t>
            </w:r>
          </w:p>
          <w:p>
            <w:pPr>
              <w:tabs>
                <w:tab w:val="left" w:pos="546"/>
                <w:tab w:val="left" w:pos="711"/>
              </w:tabs>
              <w:snapToGrid w:val="0"/>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（1）符合第五章“工程量清单”给出的范围及数量。</w:t>
            </w:r>
          </w:p>
          <w:p>
            <w:pPr>
              <w:tabs>
                <w:tab w:val="left" w:pos="546"/>
                <w:tab w:val="left" w:pos="711"/>
              </w:tabs>
              <w:snapToGrid w:val="0"/>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（2）招标文件中规定工程量清单不允许修改的内容不得修改。</w:t>
            </w:r>
          </w:p>
          <w:p>
            <w:pPr>
              <w:tabs>
                <w:tab w:val="left" w:pos="546"/>
                <w:tab w:val="left" w:pos="711"/>
              </w:tabs>
              <w:snapToGrid w:val="0"/>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（3）每项工程量清单综合单价报价不得高于对应工程量清单综合单价最高限价。</w:t>
            </w:r>
          </w:p>
          <w:p>
            <w:pPr>
              <w:pStyle w:val="17"/>
              <w:spacing w:after="0" w:line="400" w:lineRule="exact"/>
              <w:ind w:firstLine="420" w:firstLineChars="200"/>
              <w:rPr>
                <w:rFonts w:ascii="宋体" w:hAnsi="宋体" w:cs="宋体"/>
                <w:color w:val="auto"/>
                <w:szCs w:val="21"/>
                <w:highlight w:val="none"/>
              </w:rPr>
            </w:pPr>
            <w:r>
              <w:rPr>
                <w:rFonts w:ascii="宋体" w:hAnsi="宋体" w:cs="宋体"/>
                <w:color w:val="auto"/>
                <w:szCs w:val="21"/>
                <w:highlight w:val="none"/>
              </w:rPr>
              <w:t>9.安全文明施工费：</w:t>
            </w:r>
          </w:p>
          <w:p>
            <w:pPr>
              <w:pStyle w:val="17"/>
              <w:tabs>
                <w:tab w:val="left" w:pos="546"/>
                <w:tab w:val="left" w:pos="711"/>
              </w:tabs>
              <w:snapToGrid w:val="0"/>
              <w:spacing w:after="0" w:line="400" w:lineRule="exact"/>
              <w:ind w:firstLine="420" w:firstLineChars="200"/>
              <w:rPr>
                <w:rFonts w:ascii="宋体" w:hAnsi="宋体" w:cs="宋体"/>
                <w:color w:val="auto"/>
                <w:szCs w:val="21"/>
                <w:highlight w:val="none"/>
              </w:rPr>
            </w:pPr>
            <w:r>
              <w:rPr>
                <w:rFonts w:ascii="宋体" w:hAnsi="宋体" w:cs="宋体"/>
                <w:color w:val="auto"/>
                <w:szCs w:val="21"/>
                <w:highlight w:val="none"/>
              </w:rPr>
              <w:t>9.1</w:t>
            </w:r>
            <w:r>
              <w:rPr>
                <w:rFonts w:hint="eastAsia" w:ascii="宋体" w:hAnsi="宋体" w:cs="宋体"/>
                <w:color w:val="auto"/>
                <w:szCs w:val="21"/>
                <w:highlight w:val="none"/>
              </w:rPr>
              <w:t>根据《重庆城乡建设委员会关于印发</w:t>
            </w:r>
            <w:r>
              <w:rPr>
                <w:rFonts w:ascii="宋体" w:hAnsi="宋体" w:cs="宋体"/>
                <w:color w:val="auto"/>
                <w:szCs w:val="21"/>
                <w:highlight w:val="none"/>
              </w:rPr>
              <w:t>&lt;</w:t>
            </w:r>
            <w:r>
              <w:rPr>
                <w:rFonts w:hint="eastAsia" w:ascii="宋体" w:hAnsi="宋体" w:cs="宋体"/>
                <w:color w:val="auto"/>
                <w:szCs w:val="21"/>
                <w:highlight w:val="none"/>
              </w:rPr>
              <w:t>重庆市建设工程安全文明施工费计取及使用管理规定</w:t>
            </w:r>
            <w:r>
              <w:rPr>
                <w:rFonts w:ascii="宋体" w:hAnsi="宋体" w:cs="宋体"/>
                <w:color w:val="auto"/>
                <w:szCs w:val="21"/>
                <w:highlight w:val="none"/>
              </w:rPr>
              <w:t>&gt;</w:t>
            </w:r>
            <w:r>
              <w:rPr>
                <w:rFonts w:hint="eastAsia" w:ascii="宋体" w:hAnsi="宋体" w:cs="宋体"/>
                <w:color w:val="auto"/>
                <w:szCs w:val="21"/>
                <w:highlight w:val="none"/>
              </w:rPr>
              <w:t>的通知》（渝建发〔2014〕25号）规定，安全文明施工费由安全施工费、文明施工费、环境保护费及临时设施费组成。</w:t>
            </w:r>
          </w:p>
          <w:p>
            <w:pPr>
              <w:pStyle w:val="97"/>
              <w:spacing w:line="400" w:lineRule="exact"/>
              <w:ind w:firstLineChars="200"/>
              <w:rPr>
                <w:color w:val="auto"/>
                <w:sz w:val="21"/>
                <w:szCs w:val="21"/>
                <w:highlight w:val="none"/>
              </w:rPr>
            </w:pPr>
            <w:r>
              <w:rPr>
                <w:color w:val="auto"/>
                <w:sz w:val="21"/>
                <w:szCs w:val="21"/>
                <w:highlight w:val="none"/>
              </w:rPr>
              <w:t>9.2本工程安全文明施工费由招标人根据《建设工程工程量清单计价规范》（GB50500-2013）、《重庆市建设工程工程量清单计价规则》（CQJJGZ-2013）、《</w:t>
            </w:r>
            <w:r>
              <w:rPr>
                <w:rFonts w:hint="eastAsia"/>
                <w:color w:val="auto"/>
                <w:sz w:val="21"/>
                <w:szCs w:val="21"/>
                <w:highlight w:val="none"/>
              </w:rPr>
              <w:t>重庆市城乡建设委员会</w:t>
            </w:r>
            <w:r>
              <w:rPr>
                <w:color w:val="auto"/>
                <w:sz w:val="21"/>
                <w:szCs w:val="21"/>
                <w:highlight w:val="none"/>
              </w:rPr>
              <w:t>关于印发&lt;重庆市建设工程安全文明施工费计取及使用管理规定&gt;的通知》（渝建发</w:t>
            </w:r>
            <w:r>
              <w:rPr>
                <w:rFonts w:hint="eastAsia"/>
                <w:color w:val="auto"/>
                <w:sz w:val="21"/>
                <w:szCs w:val="21"/>
                <w:highlight w:val="none"/>
              </w:rPr>
              <w:t>〔</w:t>
            </w:r>
            <w:r>
              <w:rPr>
                <w:color w:val="auto"/>
                <w:sz w:val="21"/>
                <w:szCs w:val="21"/>
                <w:highlight w:val="none"/>
              </w:rPr>
              <w:t>2014</w:t>
            </w:r>
            <w:r>
              <w:rPr>
                <w:rFonts w:hint="eastAsia"/>
                <w:color w:val="auto"/>
                <w:sz w:val="21"/>
                <w:szCs w:val="21"/>
                <w:highlight w:val="none"/>
              </w:rPr>
              <w:t>〕</w:t>
            </w:r>
            <w:r>
              <w:rPr>
                <w:color w:val="auto"/>
                <w:sz w:val="21"/>
                <w:szCs w:val="21"/>
                <w:highlight w:val="none"/>
              </w:rPr>
              <w:t>25号）</w:t>
            </w:r>
            <w:r>
              <w:rPr>
                <w:rFonts w:hint="eastAsia"/>
                <w:color w:val="auto"/>
                <w:sz w:val="21"/>
                <w:szCs w:val="21"/>
                <w:highlight w:val="none"/>
              </w:rPr>
              <w:t>、《重庆市住房和城乡建设委员会关于调整建设施工现场形象品质提升安全文明施工费计取的通知》（渝建管〔2020〕97号）</w:t>
            </w:r>
            <w:r>
              <w:rPr>
                <w:color w:val="auto"/>
                <w:sz w:val="21"/>
                <w:szCs w:val="21"/>
                <w:highlight w:val="none"/>
              </w:rPr>
              <w:t>、</w:t>
            </w:r>
            <w:r>
              <w:rPr>
                <w:rFonts w:hint="eastAsia"/>
                <w:color w:val="auto"/>
                <w:sz w:val="21"/>
                <w:szCs w:val="21"/>
                <w:highlight w:val="none"/>
              </w:rPr>
              <w:t>《重庆市建设工程费用定额》（CQFYDE-2018）、《重庆市住房和城乡建设委员会关于适用增值税新税率调整建设工程计价依据的通知》（渝建〔2019〕143号）</w:t>
            </w:r>
            <w:r>
              <w:rPr>
                <w:color w:val="auto"/>
                <w:sz w:val="21"/>
                <w:szCs w:val="21"/>
                <w:highlight w:val="none"/>
              </w:rPr>
              <w:t>的相关规定和费用标准单列计算，安全文明施工费为暂定金额，与最高限价一起公布。《投标函》中的安全文明施工费</w:t>
            </w:r>
            <w:r>
              <w:rPr>
                <w:rFonts w:hint="eastAsia"/>
                <w:color w:val="auto"/>
                <w:sz w:val="21"/>
                <w:szCs w:val="21"/>
                <w:highlight w:val="none"/>
                <w:lang w:val="en-US" w:eastAsia="zh-CN"/>
              </w:rPr>
              <w:t>金额或工程量清单中安全文明施工费的汇总金额未</w:t>
            </w:r>
            <w:r>
              <w:rPr>
                <w:color w:val="auto"/>
                <w:sz w:val="21"/>
                <w:szCs w:val="21"/>
                <w:highlight w:val="none"/>
              </w:rPr>
              <w:t>按照招标人给出的暂定金额填报</w:t>
            </w:r>
            <w:r>
              <w:rPr>
                <w:rFonts w:hint="eastAsia"/>
                <w:color w:val="auto"/>
                <w:sz w:val="21"/>
                <w:szCs w:val="21"/>
                <w:highlight w:val="none"/>
                <w:lang w:val="en-US" w:eastAsia="zh-CN"/>
              </w:rPr>
              <w:t>的</w:t>
            </w:r>
            <w:r>
              <w:rPr>
                <w:color w:val="auto"/>
                <w:sz w:val="21"/>
                <w:szCs w:val="21"/>
                <w:highlight w:val="none"/>
              </w:rPr>
              <w:t>，视为对招标文件不作实质性响应，其投标文件</w:t>
            </w:r>
            <w:r>
              <w:rPr>
                <w:rFonts w:hint="eastAsia"/>
                <w:color w:val="auto"/>
                <w:sz w:val="21"/>
                <w:szCs w:val="21"/>
                <w:highlight w:val="none"/>
              </w:rPr>
              <w:t>由评标委员会</w:t>
            </w:r>
            <w:r>
              <w:rPr>
                <w:color w:val="auto"/>
                <w:sz w:val="21"/>
                <w:szCs w:val="21"/>
                <w:highlight w:val="none"/>
              </w:rPr>
              <w:t>作否决投标处理。</w:t>
            </w:r>
            <w:r>
              <w:rPr>
                <w:rFonts w:hint="eastAsia"/>
                <w:color w:val="auto"/>
                <w:sz w:val="21"/>
                <w:szCs w:val="21"/>
                <w:highlight w:val="none"/>
              </w:rPr>
              <w:t>注：采用全费用清单计价的项目，安全文明施工费仅针对《投标函》中的安全文明施工费进行评审。</w:t>
            </w:r>
          </w:p>
          <w:p>
            <w:pPr>
              <w:tabs>
                <w:tab w:val="left" w:pos="546"/>
                <w:tab w:val="left" w:pos="711"/>
              </w:tabs>
              <w:snapToGrid w:val="0"/>
              <w:spacing w:line="400" w:lineRule="exact"/>
              <w:ind w:firstLine="420" w:firstLineChars="200"/>
              <w:rPr>
                <w:rFonts w:ascii="宋体" w:hAnsi="宋体" w:cs="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本工程所需材料（含设备）价格由投标人参照重庆市建设工</w:t>
            </w:r>
            <w:r>
              <w:rPr>
                <w:rFonts w:hint="eastAsia" w:ascii="宋体" w:hAnsi="宋体" w:cs="宋体"/>
                <w:color w:val="auto"/>
                <w:szCs w:val="21"/>
                <w:highlight w:val="none"/>
              </w:rPr>
              <w:t>程造价管理总站发布的《重庆工程造价信息》或工程造价管理机构发布的工程造价信息（造价信息引用时限为招标公告发布日期前一期），并结合市场行情及自身实力进行自主报价。</w:t>
            </w:r>
          </w:p>
          <w:p>
            <w:pPr>
              <w:pStyle w:val="17"/>
              <w:tabs>
                <w:tab w:val="left" w:pos="546"/>
                <w:tab w:val="left" w:pos="711"/>
              </w:tabs>
              <w:snapToGrid w:val="0"/>
              <w:spacing w:after="0" w:line="400" w:lineRule="exact"/>
              <w:ind w:firstLine="420" w:firstLineChars="20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11.本项目建筑安装材料价格风险按照《重庆市城乡建设委员会关于进一步加强建筑安装材料价格风险管控的指导意见》（渝建〔2018〕61号）执行。本项目主要材料及设备价格风险内容、范围及调整方法为：</w:t>
            </w:r>
            <w:r>
              <w:rPr>
                <w:rFonts w:hint="eastAsia" w:ascii="宋体" w:hAnsi="宋体" w:cs="宋体"/>
                <w:color w:val="auto"/>
                <w:szCs w:val="21"/>
                <w:highlight w:val="none"/>
                <w:u w:val="single"/>
                <w:lang w:val="en-US" w:eastAsia="zh-CN"/>
              </w:rPr>
              <w:t>不</w:t>
            </w:r>
            <w:r>
              <w:rPr>
                <w:rFonts w:hint="eastAsia" w:ascii="宋体" w:hAnsi="宋体" w:cs="宋体"/>
                <w:color w:val="auto"/>
                <w:szCs w:val="21"/>
                <w:highlight w:val="none"/>
                <w:u w:val="single"/>
              </w:rPr>
              <w:t>调整</w:t>
            </w:r>
            <w:r>
              <w:rPr>
                <w:rFonts w:hint="eastAsia" w:ascii="宋体" w:hAnsi="宋体" w:cs="宋体"/>
                <w:color w:val="auto"/>
                <w:szCs w:val="21"/>
                <w:highlight w:val="none"/>
                <w:u w:val="single"/>
                <w:lang w:eastAsia="zh-CN"/>
              </w:rPr>
              <w:t>。</w:t>
            </w:r>
          </w:p>
          <w:p>
            <w:pPr>
              <w:pStyle w:val="17"/>
              <w:tabs>
                <w:tab w:val="left" w:pos="546"/>
                <w:tab w:val="left" w:pos="711"/>
              </w:tabs>
              <w:snapToGrid w:val="0"/>
              <w:spacing w:after="0" w:line="400" w:lineRule="exact"/>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本项目所采用技术、工艺和产品等必须执行重庆市住房和城乡建设委员会关于发布《重庆市建设领域禁止、限制使用落后技术通告（2019年版）（渝建发〔2019〕25号）的规定。</w:t>
            </w:r>
          </w:p>
          <w:p>
            <w:pPr>
              <w:pStyle w:val="17"/>
              <w:tabs>
                <w:tab w:val="left" w:pos="546"/>
                <w:tab w:val="left" w:pos="711"/>
              </w:tabs>
              <w:snapToGrid w:val="0"/>
              <w:spacing w:after="0" w:line="400" w:lineRule="exact"/>
              <w:ind w:firstLine="420" w:firstLineChars="200"/>
              <w:rPr>
                <w:rFonts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w:t>
            </w:r>
            <w:r>
              <w:rPr>
                <w:rFonts w:ascii="宋体" w:hAnsi="宋体" w:cs="宋体"/>
                <w:color w:val="auto"/>
                <w:szCs w:val="21"/>
                <w:highlight w:val="none"/>
              </w:rPr>
              <w:t>.</w:t>
            </w:r>
            <w:r>
              <w:rPr>
                <w:rFonts w:hint="eastAsia" w:ascii="宋体" w:hAnsi="宋体" w:cs="宋体"/>
                <w:color w:val="auto"/>
                <w:szCs w:val="21"/>
                <w:highlight w:val="none"/>
              </w:rPr>
              <w:t>本工程主体结构若需混凝土，则必须使用商品混凝土，不得自建搅拌站。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3.3.1</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投标有效期</w:t>
            </w:r>
          </w:p>
        </w:tc>
        <w:tc>
          <w:tcPr>
            <w:tcW w:w="6490" w:type="dxa"/>
            <w:vAlign w:val="center"/>
          </w:tcPr>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u w:val="single"/>
                <w:lang w:val="en-US" w:eastAsia="zh-CN"/>
              </w:rPr>
              <w:t>90</w:t>
            </w:r>
            <w:r>
              <w:rPr>
                <w:rFonts w:ascii="宋体" w:hAnsi="宋体"/>
                <w:color w:val="auto"/>
                <w:szCs w:val="21"/>
                <w:highlight w:val="none"/>
              </w:rPr>
              <w:t>日历天（从提交投标文件截止日起计算）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3.4</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投标保证金</w:t>
            </w:r>
          </w:p>
        </w:tc>
        <w:tc>
          <w:tcPr>
            <w:tcW w:w="6490" w:type="dxa"/>
            <w:vAlign w:val="center"/>
          </w:tcPr>
          <w:p>
            <w:pPr>
              <w:numPr>
                <w:ilvl w:val="0"/>
                <w:numId w:val="0"/>
              </w:numPr>
              <w:shd w:val="clear"/>
              <w:adjustRightInd w:val="0"/>
              <w:snapToGrid w:val="0"/>
              <w:spacing w:line="40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1.投标人投标时应提供投标保证金，作为其投标的一部分，投标保证金金额</w:t>
            </w:r>
            <w:r>
              <w:rPr>
                <w:rFonts w:hint="eastAsia" w:ascii="宋体" w:hAnsi="宋体" w:cs="宋体"/>
                <w:b/>
                <w:bCs/>
                <w:color w:val="auto"/>
                <w:kern w:val="0"/>
                <w:sz w:val="21"/>
                <w:szCs w:val="21"/>
                <w:highlight w:val="none"/>
                <w:u w:val="single"/>
                <w:lang w:val="en-US" w:eastAsia="zh-CN" w:bidi="ar-SA"/>
              </w:rPr>
              <w:t>8</w:t>
            </w:r>
            <w:r>
              <w:rPr>
                <w:rFonts w:hint="eastAsia" w:ascii="宋体" w:hAnsi="宋体" w:eastAsia="宋体" w:cs="宋体"/>
                <w:b/>
                <w:bCs/>
                <w:color w:val="auto"/>
                <w:kern w:val="0"/>
                <w:sz w:val="21"/>
                <w:szCs w:val="21"/>
                <w:highlight w:val="none"/>
                <w:u w:val="single"/>
                <w:lang w:val="en-US" w:eastAsia="zh-CN" w:bidi="ar-SA"/>
              </w:rPr>
              <w:t>000.00元</w:t>
            </w:r>
            <w:r>
              <w:rPr>
                <w:rFonts w:hint="eastAsia" w:ascii="宋体" w:hAnsi="宋体" w:eastAsia="宋体" w:cs="宋体"/>
                <w:color w:val="auto"/>
                <w:kern w:val="0"/>
                <w:sz w:val="21"/>
                <w:szCs w:val="21"/>
                <w:highlight w:val="none"/>
                <w:lang w:val="en-US" w:eastAsia="zh-CN" w:bidi="ar-SA"/>
              </w:rPr>
              <w:t>；各投标人应于开标时间前将投标保证金付至招标代理机构账户，应从投标人基本账户转出。</w:t>
            </w:r>
          </w:p>
          <w:p>
            <w:pPr>
              <w:numPr>
                <w:ilvl w:val="0"/>
                <w:numId w:val="0"/>
              </w:numPr>
              <w:shd w:val="clear"/>
              <w:adjustRightInd w:val="0"/>
              <w:snapToGrid w:val="0"/>
              <w:spacing w:line="400" w:lineRule="exact"/>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2.保证金形式：转账。</w:t>
            </w:r>
          </w:p>
          <w:p>
            <w:pPr>
              <w:numPr>
                <w:ilvl w:val="0"/>
                <w:numId w:val="0"/>
              </w:numPr>
              <w:shd w:val="clear"/>
              <w:adjustRightInd w:val="0"/>
              <w:snapToGrid w:val="0"/>
              <w:spacing w:line="400" w:lineRule="exact"/>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3.投标保证金接收账户：</w:t>
            </w:r>
          </w:p>
          <w:p>
            <w:pPr>
              <w:numPr>
                <w:ilvl w:val="0"/>
                <w:numId w:val="0"/>
              </w:numPr>
              <w:shd w:val="clear"/>
              <w:adjustRightInd w:val="0"/>
              <w:snapToGrid w:val="0"/>
              <w:spacing w:line="400" w:lineRule="exact"/>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 xml:space="preserve">开户名称：凌辉建设工程咨询有限公司重庆分公司 </w:t>
            </w:r>
          </w:p>
          <w:p>
            <w:pPr>
              <w:numPr>
                <w:ilvl w:val="0"/>
                <w:numId w:val="0"/>
              </w:numPr>
              <w:shd w:val="clear"/>
              <w:adjustRightInd w:val="0"/>
              <w:snapToGrid w:val="0"/>
              <w:spacing w:line="400" w:lineRule="exact"/>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 xml:space="preserve">开户银行：中国农业银行股份有限公司重庆渝中鹅岭支行 </w:t>
            </w:r>
          </w:p>
          <w:p>
            <w:pPr>
              <w:numPr>
                <w:ilvl w:val="0"/>
                <w:numId w:val="0"/>
              </w:numPr>
              <w:shd w:val="clear"/>
              <w:adjustRightInd w:val="0"/>
              <w:snapToGrid w:val="0"/>
              <w:spacing w:line="400" w:lineRule="exact"/>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帐 号：31011401040004837。</w:t>
            </w:r>
          </w:p>
          <w:p>
            <w:pPr>
              <w:numPr>
                <w:ilvl w:val="0"/>
                <w:numId w:val="0"/>
              </w:numPr>
              <w:shd w:val="clear"/>
              <w:adjustRightInd w:val="0"/>
              <w:snapToGrid w:val="0"/>
              <w:spacing w:line="40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4.投标保证金的退还：</w:t>
            </w:r>
          </w:p>
          <w:p>
            <w:pPr>
              <w:snapToGrid w:val="0"/>
              <w:spacing w:line="400" w:lineRule="exact"/>
              <w:ind w:firstLine="420" w:firstLineChars="200"/>
              <w:rPr>
                <w:rFonts w:ascii="宋体" w:hAnsi="宋体"/>
                <w:color w:val="auto"/>
                <w:kern w:val="0"/>
                <w:szCs w:val="21"/>
                <w:highlight w:val="none"/>
              </w:rPr>
            </w:pPr>
            <w:r>
              <w:rPr>
                <w:rFonts w:hint="eastAsia" w:ascii="宋体" w:hAnsi="宋体" w:eastAsia="宋体" w:cs="宋体"/>
                <w:color w:val="auto"/>
                <w:kern w:val="0"/>
                <w:sz w:val="21"/>
                <w:szCs w:val="21"/>
                <w:highlight w:val="none"/>
                <w:lang w:val="en-US" w:eastAsia="zh-CN" w:bidi="ar-SA"/>
              </w:rPr>
              <w:t>（1）除中标候选人以外的投标人的投标保证金在中标通知书发出后5个工作日内退还。</w:t>
            </w:r>
            <w:r>
              <w:rPr>
                <w:rFonts w:hint="eastAsia" w:ascii="宋体" w:hAnsi="宋体" w:eastAsia="宋体" w:cs="宋体"/>
                <w:color w:val="auto"/>
                <w:kern w:val="0"/>
                <w:sz w:val="21"/>
                <w:szCs w:val="21"/>
                <w:highlight w:val="none"/>
                <w:lang w:val="en-US" w:eastAsia="zh-CN" w:bidi="ar-SA"/>
              </w:rPr>
              <w:br w:type="textWrapping"/>
            </w:r>
            <w:r>
              <w:rPr>
                <w:rFonts w:hint="eastAsia" w:ascii="宋体" w:hAnsi="宋体" w:eastAsia="宋体" w:cs="宋体"/>
                <w:color w:val="auto"/>
                <w:kern w:val="0"/>
                <w:sz w:val="21"/>
                <w:szCs w:val="21"/>
                <w:highlight w:val="none"/>
                <w:lang w:val="en-US" w:eastAsia="zh-CN" w:bidi="ar-SA"/>
              </w:rPr>
              <w:t xml:space="preserve">    （2）中标候选人的投标保证金在招标人和中标人签订合同后5个工作日内退还。</w:t>
            </w:r>
            <w:r>
              <w:rPr>
                <w:rFonts w:hint="eastAsia" w:ascii="宋体" w:hAnsi="宋体" w:eastAsia="宋体" w:cs="宋体"/>
                <w:color w:val="auto"/>
                <w:kern w:val="0"/>
                <w:sz w:val="21"/>
                <w:szCs w:val="21"/>
                <w:highlight w:val="none"/>
                <w:lang w:val="en-US" w:eastAsia="zh-CN" w:bidi="ar-SA"/>
              </w:rPr>
              <w:br w:type="textWrapping"/>
            </w:r>
            <w:r>
              <w:rPr>
                <w:rFonts w:hint="eastAsia" w:ascii="宋体" w:hAnsi="宋体" w:eastAsia="宋体" w:cs="宋体"/>
                <w:color w:val="auto"/>
                <w:kern w:val="0"/>
                <w:sz w:val="21"/>
                <w:szCs w:val="21"/>
                <w:highlight w:val="none"/>
                <w:lang w:val="en-US" w:eastAsia="zh-CN" w:bidi="ar-SA"/>
              </w:rPr>
              <w:t xml:space="preserve">    5.投标保证金有效期与投标有效期一致。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3.6</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是否允许递交</w:t>
            </w:r>
          </w:p>
          <w:p>
            <w:pPr>
              <w:snapToGrid w:val="0"/>
              <w:spacing w:after="93" w:afterLines="30" w:line="400" w:lineRule="exact"/>
              <w:jc w:val="center"/>
              <w:rPr>
                <w:rFonts w:ascii="宋体" w:hAnsi="宋体"/>
                <w:color w:val="auto"/>
                <w:kern w:val="0"/>
                <w:szCs w:val="21"/>
                <w:highlight w:val="none"/>
              </w:rPr>
            </w:pPr>
            <w:r>
              <w:rPr>
                <w:rFonts w:ascii="宋体" w:hAnsi="宋体"/>
                <w:color w:val="auto"/>
                <w:kern w:val="0"/>
                <w:szCs w:val="21"/>
                <w:highlight w:val="none"/>
              </w:rPr>
              <w:t>备选投标方案</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3.7.1</w:t>
            </w:r>
          </w:p>
        </w:tc>
        <w:tc>
          <w:tcPr>
            <w:tcW w:w="1644" w:type="dxa"/>
            <w:vAlign w:val="center"/>
          </w:tcPr>
          <w:p>
            <w:pPr>
              <w:snapToGrid w:val="0"/>
              <w:spacing w:after="93" w:afterLines="30" w:line="400" w:lineRule="exact"/>
              <w:jc w:val="center"/>
              <w:rPr>
                <w:rFonts w:ascii="宋体" w:hAnsi="宋体"/>
                <w:color w:val="auto"/>
                <w:kern w:val="0"/>
                <w:szCs w:val="21"/>
                <w:highlight w:val="none"/>
              </w:rPr>
            </w:pPr>
            <w:r>
              <w:rPr>
                <w:rFonts w:hint="eastAsia" w:ascii="宋体" w:hAnsi="宋体"/>
                <w:color w:val="auto"/>
                <w:kern w:val="0"/>
                <w:szCs w:val="21"/>
                <w:highlight w:val="none"/>
              </w:rPr>
              <w:t>投标文件格式要求</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编制投标文件时不得对第八章“投标文件格式”的相应要素作实质性修改，否则由评标委员会作否决投标处理。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3.7.3</w:t>
            </w:r>
          </w:p>
        </w:tc>
        <w:tc>
          <w:tcPr>
            <w:tcW w:w="164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签名</w:t>
            </w:r>
            <w:r>
              <w:rPr>
                <w:rFonts w:ascii="宋体" w:hAnsi="宋体"/>
                <w:color w:val="auto"/>
                <w:kern w:val="0"/>
                <w:szCs w:val="21"/>
                <w:highlight w:val="none"/>
              </w:rPr>
              <w:t>盖章要求</w:t>
            </w:r>
          </w:p>
        </w:tc>
        <w:tc>
          <w:tcPr>
            <w:tcW w:w="6490" w:type="dxa"/>
            <w:vAlign w:val="center"/>
          </w:tcPr>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文件应用不褪色的材料书写或打印，并由投标人的法定代表人或其委托代理人在招标文件规定的位置按招标文件要求签名或盖章、盖单位法人章。委托代理人签名的，投标文件应附法定代表人签署的授权委托书。投标文件应尽量避免涂改、行间插字或删除。如果出现上述情况，改动之处应加盖单位法人章或由投标人的法定代表人或其授权的代理人签名确认。</w:t>
            </w:r>
          </w:p>
          <w:p>
            <w:pPr>
              <w:snapToGrid w:val="0"/>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未按上述规定执行的，交由评标委员会作否决投标处理。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3.7.4</w:t>
            </w:r>
          </w:p>
        </w:tc>
        <w:tc>
          <w:tcPr>
            <w:tcW w:w="1644" w:type="dxa"/>
            <w:vAlign w:val="center"/>
          </w:tcPr>
          <w:p>
            <w:pPr>
              <w:snapToGrid w:val="0"/>
              <w:spacing w:line="400" w:lineRule="exact"/>
              <w:rPr>
                <w:rFonts w:ascii="宋体" w:hAnsi="宋体"/>
                <w:color w:val="auto"/>
                <w:spacing w:val="-6"/>
                <w:kern w:val="0"/>
                <w:szCs w:val="21"/>
                <w:highlight w:val="none"/>
              </w:rPr>
            </w:pPr>
            <w:r>
              <w:rPr>
                <w:rFonts w:ascii="宋体" w:hAnsi="宋体"/>
                <w:color w:val="auto"/>
                <w:spacing w:val="-6"/>
                <w:kern w:val="0"/>
                <w:szCs w:val="21"/>
                <w:highlight w:val="none"/>
              </w:rPr>
              <w:t>投标文件的份数</w:t>
            </w:r>
          </w:p>
        </w:tc>
        <w:tc>
          <w:tcPr>
            <w:tcW w:w="6490" w:type="dxa"/>
            <w:vAlign w:val="center"/>
          </w:tcPr>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投标文件正本</w:t>
            </w:r>
            <w:r>
              <w:rPr>
                <w:rFonts w:hint="eastAsia" w:ascii="宋体" w:hAnsi="宋体"/>
                <w:color w:val="auto"/>
                <w:kern w:val="0"/>
                <w:szCs w:val="21"/>
                <w:highlight w:val="none"/>
              </w:rPr>
              <w:t>1份、副本</w:t>
            </w:r>
            <w:r>
              <w:rPr>
                <w:rFonts w:hint="eastAsia" w:ascii="宋体" w:hAnsi="宋体"/>
                <w:color w:val="auto"/>
                <w:kern w:val="0"/>
                <w:szCs w:val="21"/>
                <w:highlight w:val="none"/>
                <w:lang w:val="en-US" w:eastAsia="zh-CN"/>
              </w:rPr>
              <w:t>1</w:t>
            </w:r>
            <w:r>
              <w:rPr>
                <w:rFonts w:hint="eastAsia" w:ascii="宋体" w:hAnsi="宋体"/>
                <w:color w:val="auto"/>
                <w:kern w:val="0"/>
                <w:szCs w:val="21"/>
                <w:highlight w:val="none"/>
              </w:rPr>
              <w:t>份，电子版形式（</w:t>
            </w:r>
            <w:r>
              <w:rPr>
                <w:rFonts w:hint="eastAsia" w:ascii="宋体" w:hAnsi="宋体"/>
                <w:color w:val="auto"/>
                <w:kern w:val="0"/>
                <w:szCs w:val="21"/>
                <w:highlight w:val="none"/>
                <w:lang w:val="en-US" w:eastAsia="zh-CN"/>
              </w:rPr>
              <w:t>U盘</w:t>
            </w:r>
            <w:r>
              <w:rPr>
                <w:rFonts w:hint="eastAsia" w:ascii="宋体" w:hAnsi="宋体"/>
                <w:color w:val="auto"/>
                <w:kern w:val="0"/>
                <w:szCs w:val="21"/>
                <w:highlight w:val="none"/>
              </w:rPr>
              <w:t>）1份。当副本和正本不一致时，以正本为准。否则由评标委员会作否决投标处理。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3.7.5</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装订要求</w:t>
            </w:r>
          </w:p>
        </w:tc>
        <w:tc>
          <w:tcPr>
            <w:tcW w:w="6490" w:type="dxa"/>
            <w:vAlign w:val="center"/>
          </w:tcPr>
          <w:p>
            <w:pPr>
              <w:adjustRightInd w:val="0"/>
              <w:snapToGrid w:val="0"/>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所有投标文件不论使用任何方式进行装订，必须保证投标书装订牢固，否则，比选人对由于投标文件装订松散而造成的丢失或其他后果不承担任何责任</w:t>
            </w:r>
            <w:r>
              <w:rPr>
                <w:rFonts w:hint="eastAsia" w:ascii="宋体" w:hAnsi="宋体"/>
                <w:color w:val="auto"/>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4.1.1</w:t>
            </w:r>
          </w:p>
        </w:tc>
        <w:tc>
          <w:tcPr>
            <w:tcW w:w="1644" w:type="dxa"/>
            <w:vAlign w:val="center"/>
          </w:tcPr>
          <w:p>
            <w:pPr>
              <w:snapToGrid w:val="0"/>
              <w:spacing w:line="400" w:lineRule="exact"/>
              <w:jc w:val="center"/>
              <w:rPr>
                <w:rFonts w:ascii="宋体" w:hAnsi="宋体"/>
                <w:color w:val="auto"/>
                <w:spacing w:val="-6"/>
                <w:kern w:val="0"/>
                <w:szCs w:val="21"/>
                <w:highlight w:val="none"/>
              </w:rPr>
            </w:pPr>
            <w:r>
              <w:rPr>
                <w:rFonts w:ascii="宋体" w:hAnsi="宋体"/>
                <w:color w:val="auto"/>
                <w:spacing w:val="-6"/>
                <w:kern w:val="0"/>
                <w:szCs w:val="21"/>
                <w:highlight w:val="none"/>
              </w:rPr>
              <w:t>投标文件的密封</w:t>
            </w:r>
          </w:p>
        </w:tc>
        <w:tc>
          <w:tcPr>
            <w:tcW w:w="6490" w:type="dxa"/>
            <w:vAlign w:val="center"/>
          </w:tcPr>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投标文件正本、副本应分别装订密封，加盖投标人鲜章。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4.1.2</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封套上写明</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招标人名称：</w:t>
            </w:r>
            <w:r>
              <w:rPr>
                <w:rFonts w:hint="eastAsia" w:ascii="宋体" w:hAnsi="宋体"/>
                <w:color w:val="auto"/>
                <w:kern w:val="0"/>
                <w:szCs w:val="21"/>
                <w:highlight w:val="none"/>
                <w:u w:val="single"/>
              </w:rPr>
              <w:t xml:space="preserve">            </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投标人名称：</w:t>
            </w:r>
            <w:r>
              <w:rPr>
                <w:rFonts w:hint="eastAsia" w:ascii="宋体" w:hAnsi="宋体"/>
                <w:color w:val="auto"/>
                <w:kern w:val="0"/>
                <w:szCs w:val="21"/>
                <w:highlight w:val="none"/>
                <w:u w:val="single"/>
              </w:rPr>
              <w:t xml:space="preserve">            </w:t>
            </w:r>
          </w:p>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u w:val="single"/>
              </w:rPr>
              <w:t xml:space="preserve">                （项目名称）</w:t>
            </w:r>
            <w:r>
              <w:rPr>
                <w:rFonts w:ascii="宋体" w:hAnsi="宋体"/>
                <w:color w:val="auto"/>
                <w:kern w:val="0"/>
                <w:szCs w:val="21"/>
                <w:highlight w:val="none"/>
              </w:rPr>
              <w:t>投标文件</w:t>
            </w:r>
          </w:p>
          <w:p>
            <w:pPr>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在</w:t>
            </w: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时</w:t>
            </w:r>
            <w:r>
              <w:rPr>
                <w:rFonts w:hint="eastAsia" w:ascii="宋体" w:hAnsi="宋体"/>
                <w:color w:val="auto"/>
                <w:kern w:val="0"/>
                <w:szCs w:val="21"/>
                <w:highlight w:val="none"/>
                <w:u w:val="single"/>
              </w:rPr>
              <w:t xml:space="preserve">    </w:t>
            </w:r>
            <w:r>
              <w:rPr>
                <w:rFonts w:ascii="宋体" w:hAnsi="宋体"/>
                <w:color w:val="auto"/>
                <w:kern w:val="0"/>
                <w:szCs w:val="21"/>
                <w:highlight w:val="none"/>
              </w:rPr>
              <w:t>分前不得开启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4.2.2</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递交投标文件地点</w:t>
            </w:r>
          </w:p>
        </w:tc>
        <w:tc>
          <w:tcPr>
            <w:tcW w:w="6490" w:type="dxa"/>
            <w:vAlign w:val="center"/>
          </w:tcPr>
          <w:p>
            <w:pPr>
              <w:snapToGrid w:val="0"/>
              <w:spacing w:line="400" w:lineRule="exact"/>
              <w:ind w:firstLine="420" w:firstLineChars="200"/>
              <w:rPr>
                <w:rFonts w:ascii="宋体" w:hAnsi="宋体"/>
                <w:bCs/>
                <w:i/>
                <w:color w:val="auto"/>
                <w:szCs w:val="21"/>
                <w:highlight w:val="none"/>
              </w:rPr>
            </w:pPr>
            <w:r>
              <w:rPr>
                <w:rFonts w:hint="eastAsia" w:ascii="宋体" w:hAnsi="宋体"/>
                <w:bCs/>
                <w:color w:val="auto"/>
                <w:szCs w:val="21"/>
                <w:highlight w:val="none"/>
                <w:u w:val="single"/>
                <w:lang w:val="en-US" w:eastAsia="zh-CN"/>
              </w:rPr>
              <w:t>长安锦绣城14栋负一楼中心办公室</w:t>
            </w:r>
            <w:r>
              <w:rPr>
                <w:rFonts w:ascii="宋体" w:hAnsi="宋体"/>
                <w:bCs/>
                <w:color w:val="auto"/>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4.2.3</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是否退还投标文件</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否</w:t>
            </w:r>
          </w:p>
          <w:p>
            <w:pPr>
              <w:snapToGrid w:val="0"/>
              <w:spacing w:after="31" w:afterLines="1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5.1</w:t>
            </w:r>
            <w:r>
              <w:rPr>
                <w:rFonts w:hint="eastAsia" w:ascii="宋体" w:hAnsi="宋体"/>
                <w:color w:val="auto"/>
                <w:kern w:val="0"/>
                <w:szCs w:val="21"/>
                <w:highlight w:val="none"/>
              </w:rPr>
              <w:t>.1</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开标时间和</w:t>
            </w:r>
          </w:p>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地点</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开标时间：同投标截止时间</w:t>
            </w:r>
          </w:p>
          <w:p>
            <w:pPr>
              <w:snapToGrid w:val="0"/>
              <w:spacing w:line="400" w:lineRule="exact"/>
              <w:ind w:firstLine="420" w:firstLineChars="200"/>
              <w:rPr>
                <w:rFonts w:ascii="宋体" w:hAnsi="宋体"/>
                <w:bCs/>
                <w:i/>
                <w:color w:val="auto"/>
                <w:szCs w:val="21"/>
                <w:highlight w:val="none"/>
              </w:rPr>
            </w:pPr>
            <w:r>
              <w:rPr>
                <w:rFonts w:ascii="宋体" w:hAnsi="宋体"/>
                <w:color w:val="auto"/>
                <w:kern w:val="0"/>
                <w:szCs w:val="21"/>
                <w:highlight w:val="none"/>
              </w:rPr>
              <w:t>开标地点：</w:t>
            </w:r>
            <w:r>
              <w:rPr>
                <w:rFonts w:hint="eastAsia" w:ascii="宋体" w:hAnsi="宋体"/>
                <w:color w:val="auto"/>
                <w:kern w:val="0"/>
                <w:szCs w:val="21"/>
                <w:highlight w:val="none"/>
                <w:u w:val="single"/>
                <w:lang w:val="en-US" w:eastAsia="zh-CN"/>
              </w:rPr>
              <w:t>长安锦绣城14栋负一楼中心办公室</w:t>
            </w:r>
            <w:r>
              <w:rPr>
                <w:rFonts w:ascii="宋体" w:hAnsi="宋体"/>
                <w:bCs/>
                <w:color w:val="auto"/>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szCs w:val="21"/>
                <w:highlight w:val="none"/>
              </w:rPr>
            </w:pPr>
            <w:r>
              <w:rPr>
                <w:rFonts w:ascii="宋体" w:hAnsi="宋体"/>
                <w:color w:val="auto"/>
                <w:szCs w:val="21"/>
                <w:highlight w:val="none"/>
              </w:rPr>
              <w:t>5.2</w:t>
            </w:r>
          </w:p>
        </w:tc>
        <w:tc>
          <w:tcPr>
            <w:tcW w:w="1644" w:type="dxa"/>
            <w:vAlign w:val="center"/>
          </w:tcPr>
          <w:p>
            <w:pPr>
              <w:snapToGrid w:val="0"/>
              <w:spacing w:line="400" w:lineRule="exact"/>
              <w:jc w:val="center"/>
              <w:rPr>
                <w:rFonts w:ascii="宋体" w:hAnsi="宋体"/>
                <w:color w:val="auto"/>
                <w:szCs w:val="21"/>
                <w:highlight w:val="none"/>
              </w:rPr>
            </w:pPr>
            <w:r>
              <w:rPr>
                <w:rFonts w:ascii="宋体" w:hAnsi="宋体"/>
                <w:color w:val="auto"/>
                <w:szCs w:val="21"/>
                <w:highlight w:val="none"/>
              </w:rPr>
              <w:t>开标程序</w:t>
            </w:r>
          </w:p>
        </w:tc>
        <w:tc>
          <w:tcPr>
            <w:tcW w:w="6490" w:type="dxa"/>
            <w:vAlign w:val="center"/>
          </w:tcPr>
          <w:p>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主持人按下列程序进行开标：</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 核验参加开标会议的投标人的法定代表人或</w:t>
            </w:r>
            <w:r>
              <w:rPr>
                <w:rFonts w:hint="eastAsia" w:ascii="宋体" w:hAnsi="宋体"/>
                <w:color w:val="auto"/>
                <w:szCs w:val="21"/>
                <w:highlight w:val="none"/>
              </w:rPr>
              <w:t>委托代理人</w:t>
            </w:r>
            <w:r>
              <w:rPr>
                <w:rFonts w:ascii="宋体" w:hAnsi="宋体"/>
                <w:color w:val="auto"/>
                <w:szCs w:val="21"/>
                <w:highlight w:val="none"/>
              </w:rPr>
              <w:t>本人身份证（原件），核验委托代理人的授权委托书</w:t>
            </w:r>
            <w:r>
              <w:rPr>
                <w:rFonts w:hint="eastAsia" w:ascii="宋体" w:hAnsi="宋体"/>
                <w:color w:val="auto"/>
                <w:szCs w:val="21"/>
                <w:highlight w:val="none"/>
              </w:rPr>
              <w:t>、养老保险证明材料复印件</w:t>
            </w:r>
            <w:r>
              <w:rPr>
                <w:rFonts w:ascii="宋体" w:hAnsi="宋体"/>
                <w:color w:val="auto"/>
                <w:szCs w:val="21"/>
                <w:highlight w:val="none"/>
              </w:rPr>
              <w:t>，以确认其身份合法有效；</w:t>
            </w:r>
            <w:r>
              <w:rPr>
                <w:rFonts w:hint="eastAsia" w:ascii="宋体" w:hAnsi="宋体"/>
                <w:color w:val="auto"/>
                <w:szCs w:val="21"/>
                <w:highlight w:val="none"/>
              </w:rPr>
              <w:t>若经核实委托代理人提供资料与实际不符的，不得参加开标会。核验合格的法定代表人或委托代理人可自行选择是否参加开标会，不参加开标会的视为默认开标结果。</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 xml:space="preserve"> </w:t>
            </w:r>
            <w:r>
              <w:rPr>
                <w:rFonts w:ascii="宋体" w:hAnsi="宋体"/>
                <w:color w:val="auto"/>
                <w:szCs w:val="21"/>
                <w:highlight w:val="none"/>
              </w:rPr>
              <w:t>宣布开标纪律</w:t>
            </w:r>
            <w:r>
              <w:rPr>
                <w:rFonts w:hint="eastAsia" w:ascii="宋体" w:hAnsi="宋体"/>
                <w:color w:val="auto"/>
                <w:szCs w:val="21"/>
                <w:highlight w:val="none"/>
              </w:rPr>
              <w:t>。</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3. 宣布开标人、唱标人、记录人、监标人等有关人员姓名</w:t>
            </w:r>
            <w:r>
              <w:rPr>
                <w:rFonts w:hint="eastAsia" w:ascii="宋体" w:hAnsi="宋体"/>
                <w:color w:val="auto"/>
                <w:szCs w:val="21"/>
                <w:highlight w:val="none"/>
              </w:rPr>
              <w:t>。</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4. 公布在投标截止时间前递交投标文件的投标人名称</w:t>
            </w:r>
            <w:r>
              <w:rPr>
                <w:rFonts w:hint="eastAsia" w:ascii="宋体" w:hAnsi="宋体"/>
                <w:color w:val="auto"/>
                <w:szCs w:val="21"/>
                <w:highlight w:val="none"/>
              </w:rPr>
              <w:t>。</w:t>
            </w:r>
          </w:p>
          <w:p>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 xml:space="preserve">5. </w:t>
            </w:r>
            <w:r>
              <w:rPr>
                <w:rFonts w:hint="eastAsia" w:ascii="宋体" w:hAnsi="宋体"/>
                <w:color w:val="auto"/>
                <w:szCs w:val="21"/>
                <w:highlight w:val="none"/>
              </w:rPr>
              <w:t>投标文件的密封检查：投标人可对自己的投标文件封装情况进行检查，以确认其投标文件密封完好。</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 汇总投标保证金交纳情况</w:t>
            </w:r>
          </w:p>
          <w:p>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7. 公布最高限价</w:t>
            </w:r>
            <w:r>
              <w:rPr>
                <w:rFonts w:hint="eastAsia" w:ascii="宋体" w:hAnsi="宋体"/>
                <w:color w:val="auto"/>
                <w:szCs w:val="21"/>
                <w:highlight w:val="none"/>
              </w:rPr>
              <w:t>。</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8</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随机开启投标文件并记录在案</w:t>
            </w:r>
            <w:r>
              <w:rPr>
                <w:rFonts w:hint="eastAsia" w:ascii="宋体" w:hAnsi="宋体"/>
                <w:color w:val="auto"/>
                <w:szCs w:val="21"/>
                <w:highlight w:val="none"/>
              </w:rPr>
              <w:t>。</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9</w:t>
            </w:r>
            <w:r>
              <w:rPr>
                <w:rFonts w:hint="eastAsia" w:ascii="宋体" w:hAnsi="宋体"/>
                <w:color w:val="auto"/>
                <w:szCs w:val="21"/>
                <w:highlight w:val="none"/>
              </w:rPr>
              <w:t>. 投标人对开标有异议的，应当场提出，由招标人或代理机构当场答复，并记录到开标记录表中。异议处理完毕后，汇总开标情况，打印开标记录表。</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0</w:t>
            </w:r>
            <w:r>
              <w:rPr>
                <w:rFonts w:ascii="宋体" w:hAnsi="宋体"/>
                <w:color w:val="auto"/>
                <w:szCs w:val="21"/>
                <w:highlight w:val="none"/>
              </w:rPr>
              <w:t>. 投标人代表、招标人代表、监标人等有关人员在开标记录上</w:t>
            </w:r>
            <w:r>
              <w:rPr>
                <w:rFonts w:hint="eastAsia" w:ascii="宋体" w:hAnsi="宋体"/>
                <w:color w:val="auto"/>
                <w:szCs w:val="21"/>
                <w:highlight w:val="none"/>
              </w:rPr>
              <w:t>签名</w:t>
            </w:r>
            <w:r>
              <w:rPr>
                <w:rFonts w:ascii="宋体" w:hAnsi="宋体"/>
                <w:color w:val="auto"/>
                <w:szCs w:val="21"/>
                <w:highlight w:val="none"/>
              </w:rPr>
              <w:t>确认</w:t>
            </w:r>
            <w:r>
              <w:rPr>
                <w:rFonts w:hint="eastAsia" w:ascii="宋体" w:hAnsi="宋体"/>
                <w:color w:val="auto"/>
                <w:szCs w:val="21"/>
                <w:highlight w:val="none"/>
              </w:rPr>
              <w:t>。因其他原因未能签名的，视为默认开标结果。</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1</w:t>
            </w:r>
            <w:r>
              <w:rPr>
                <w:rFonts w:ascii="宋体" w:hAnsi="宋体"/>
                <w:color w:val="auto"/>
                <w:szCs w:val="21"/>
                <w:highlight w:val="none"/>
              </w:rPr>
              <w:t>. 开标结束。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6.1.1</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评标委员会的组建</w:t>
            </w:r>
          </w:p>
        </w:tc>
        <w:tc>
          <w:tcPr>
            <w:tcW w:w="6490" w:type="dxa"/>
            <w:vAlign w:val="center"/>
          </w:tcPr>
          <w:p>
            <w:pPr>
              <w:autoSpaceDE w:val="0"/>
              <w:autoSpaceDN w:val="0"/>
              <w:adjustRightInd w:val="0"/>
              <w:snapToGrid w:val="0"/>
              <w:spacing w:line="400" w:lineRule="exact"/>
              <w:ind w:firstLine="436" w:firstLineChars="200"/>
              <w:rPr>
                <w:rFonts w:ascii="宋体" w:hAnsi="宋体"/>
                <w:color w:val="auto"/>
                <w:kern w:val="0"/>
                <w:szCs w:val="21"/>
                <w:highlight w:val="none"/>
              </w:rPr>
            </w:pPr>
            <w:r>
              <w:rPr>
                <w:rFonts w:hint="eastAsia" w:ascii="宋体" w:hAnsi="宋体"/>
                <w:color w:val="auto"/>
                <w:spacing w:val="4"/>
                <w:kern w:val="0"/>
                <w:szCs w:val="21"/>
                <w:highlight w:val="none"/>
              </w:rPr>
              <w:t>按法律法规及相关规定依法组建评标委员会</w:t>
            </w:r>
            <w:r>
              <w:rPr>
                <w:rFonts w:hint="eastAsia" w:ascii="宋体" w:hAnsi="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7.1</w:t>
            </w:r>
          </w:p>
        </w:tc>
        <w:tc>
          <w:tcPr>
            <w:tcW w:w="1644" w:type="dxa"/>
            <w:vAlign w:val="center"/>
          </w:tcPr>
          <w:p>
            <w:pPr>
              <w:snapToGrid w:val="0"/>
              <w:spacing w:after="62" w:afterLines="20" w:line="400" w:lineRule="exact"/>
              <w:jc w:val="center"/>
              <w:rPr>
                <w:rFonts w:ascii="宋体" w:hAnsi="宋体"/>
                <w:color w:val="auto"/>
                <w:kern w:val="0"/>
                <w:szCs w:val="21"/>
                <w:highlight w:val="none"/>
              </w:rPr>
            </w:pPr>
            <w:r>
              <w:rPr>
                <w:rFonts w:ascii="宋体" w:hAnsi="宋体"/>
                <w:color w:val="auto"/>
                <w:kern w:val="0"/>
                <w:szCs w:val="21"/>
                <w:highlight w:val="none"/>
              </w:rPr>
              <w:t>是否授权评标委员会确定中标人</w:t>
            </w:r>
          </w:p>
        </w:tc>
        <w:tc>
          <w:tcPr>
            <w:tcW w:w="6490" w:type="dxa"/>
            <w:vAlign w:val="center"/>
          </w:tcPr>
          <w:p>
            <w:pPr>
              <w:snapToGrid w:val="0"/>
              <w:spacing w:line="400" w:lineRule="exact"/>
              <w:ind w:firstLine="420" w:firstLineChars="200"/>
              <w:rPr>
                <w:rFonts w:ascii="宋体" w:hAnsi="宋体"/>
                <w:i/>
                <w:color w:val="auto"/>
                <w:kern w:val="0"/>
                <w:szCs w:val="21"/>
                <w:highlight w:val="none"/>
              </w:rPr>
            </w:pPr>
            <w:r>
              <w:rPr>
                <w:rFonts w:ascii="宋体" w:hAnsi="宋体"/>
                <w:color w:val="auto"/>
                <w:kern w:val="0"/>
                <w:szCs w:val="21"/>
                <w:highlight w:val="none"/>
              </w:rPr>
              <w:t>否，推荐经评审合格的</w:t>
            </w:r>
            <w:r>
              <w:rPr>
                <w:rFonts w:hint="eastAsia" w:ascii="宋体" w:hAnsi="宋体"/>
                <w:color w:val="auto"/>
                <w:kern w:val="0"/>
                <w:szCs w:val="21"/>
                <w:highlight w:val="none"/>
              </w:rPr>
              <w:t>报价</w:t>
            </w:r>
            <w:r>
              <w:rPr>
                <w:rFonts w:ascii="宋体" w:hAnsi="宋体"/>
                <w:color w:val="auto"/>
                <w:kern w:val="0"/>
                <w:szCs w:val="21"/>
                <w:highlight w:val="none"/>
              </w:rPr>
              <w:t>由低到高排名前三名为中标候选人。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7.2</w:t>
            </w:r>
          </w:p>
        </w:tc>
        <w:tc>
          <w:tcPr>
            <w:tcW w:w="1644" w:type="dxa"/>
            <w:vAlign w:val="center"/>
          </w:tcPr>
          <w:p>
            <w:pPr>
              <w:snapToGrid w:val="0"/>
              <w:spacing w:after="62" w:afterLines="20" w:line="400" w:lineRule="exact"/>
              <w:jc w:val="center"/>
              <w:rPr>
                <w:rFonts w:ascii="宋体" w:hAnsi="宋体"/>
                <w:color w:val="auto"/>
                <w:kern w:val="0"/>
                <w:szCs w:val="21"/>
                <w:highlight w:val="none"/>
              </w:rPr>
            </w:pPr>
            <w:r>
              <w:rPr>
                <w:rFonts w:ascii="宋体" w:hAnsi="宋体"/>
                <w:color w:val="auto"/>
                <w:kern w:val="0"/>
                <w:szCs w:val="21"/>
                <w:highlight w:val="none"/>
              </w:rPr>
              <w:t>中标公示</w:t>
            </w:r>
          </w:p>
        </w:tc>
        <w:tc>
          <w:tcPr>
            <w:tcW w:w="6490" w:type="dxa"/>
            <w:vAlign w:val="center"/>
          </w:tcPr>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招标人在收到评标报告后3日内将评标结果在</w:t>
            </w:r>
            <w:r>
              <w:rPr>
                <w:rFonts w:hint="eastAsia" w:ascii="宋体" w:hAnsi="宋体" w:cs="宋体"/>
                <w:color w:val="auto"/>
                <w:szCs w:val="21"/>
                <w:highlight w:val="none"/>
                <w:u w:val="single"/>
              </w:rPr>
              <w:t>行采家（https://www.gec123.com/）</w:t>
            </w:r>
            <w:r>
              <w:rPr>
                <w:rFonts w:hint="eastAsia" w:ascii="宋体" w:hAnsi="宋体" w:cs="宋体"/>
                <w:color w:val="auto"/>
                <w:szCs w:val="21"/>
                <w:highlight w:val="none"/>
              </w:rPr>
              <w:t>上进行公示，公示期为3日。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7.3.1</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履约担保</w:t>
            </w:r>
          </w:p>
        </w:tc>
        <w:tc>
          <w:tcPr>
            <w:tcW w:w="6490" w:type="dxa"/>
            <w:vAlign w:val="center"/>
          </w:tcPr>
          <w:p>
            <w:pPr>
              <w:numPr>
                <w:ilvl w:val="0"/>
                <w:numId w:val="0"/>
              </w:numPr>
              <w:snapToGrid w:val="0"/>
              <w:spacing w:line="400" w:lineRule="exact"/>
              <w:rPr>
                <w:rFonts w:ascii="宋体" w:hAnsi="宋体"/>
                <w:color w:val="auto"/>
                <w:kern w:val="0"/>
                <w:szCs w:val="21"/>
                <w:highlight w:val="none"/>
              </w:rPr>
            </w:pPr>
            <w:r>
              <w:rPr>
                <w:rFonts w:hint="eastAsia" w:ascii="宋体" w:hAnsi="宋体"/>
                <w:color w:val="auto"/>
                <w:kern w:val="0"/>
                <w:szCs w:val="21"/>
                <w:highlight w:val="none"/>
              </w:rPr>
              <w:t>中标人是否提供履约担保：</w:t>
            </w:r>
            <w:r>
              <w:rPr>
                <w:rFonts w:hint="eastAsia" w:ascii="宋体" w:hAnsi="宋体"/>
                <w:color w:val="auto"/>
                <w:kern w:val="0"/>
                <w:szCs w:val="21"/>
                <w:highlight w:val="none"/>
                <w:u w:val="single"/>
                <w:lang w:val="en-US" w:eastAsia="zh-CN"/>
              </w:rPr>
              <w:t>不</w:t>
            </w:r>
            <w:r>
              <w:rPr>
                <w:rFonts w:hint="eastAsia" w:ascii="宋体" w:hAnsi="宋体"/>
                <w:color w:val="auto"/>
                <w:kern w:val="0"/>
                <w:szCs w:val="21"/>
                <w:highlight w:val="none"/>
                <w:u w:val="single"/>
              </w:rPr>
              <w:t>提供</w:t>
            </w:r>
            <w:r>
              <w:rPr>
                <w:rFonts w:hint="eastAsia" w:ascii="宋体" w:hAnsi="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7.4.1</w:t>
            </w:r>
          </w:p>
        </w:tc>
        <w:tc>
          <w:tcPr>
            <w:tcW w:w="164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签订合同</w:t>
            </w:r>
          </w:p>
        </w:tc>
        <w:tc>
          <w:tcPr>
            <w:tcW w:w="6490" w:type="dxa"/>
            <w:vAlign w:val="center"/>
          </w:tcPr>
          <w:p>
            <w:pPr>
              <w:snapToGrid w:val="0"/>
              <w:spacing w:after="62" w:afterLines="2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依法必须进行招标的项目，中标候选人有《招标投标法实施条例》第七十四条规定行为的，视为特别严重信用不良行为且情节特别严重，按信用记分上限一次性记12分，纳入黑名单管理；中标人有《招标投标法实施条例》第七十四条规定行为的，按中标项目金额10‰罚款上限予以行政处罚，按信用记分上限一次性并处记12分，纳入黑名单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8.1</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重新招标</w:t>
            </w:r>
            <w:r>
              <w:rPr>
                <w:rFonts w:hint="eastAsia" w:ascii="宋体" w:hAnsi="宋体"/>
                <w:color w:val="auto"/>
                <w:kern w:val="0"/>
                <w:szCs w:val="21"/>
                <w:highlight w:val="none"/>
              </w:rPr>
              <w:t>的情形</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1.按投标人须知第8.1（1）执行；</w:t>
            </w:r>
          </w:p>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2.按投标人须知第8.1（2）执行；</w:t>
            </w:r>
          </w:p>
          <w:p>
            <w:pPr>
              <w:widowControl/>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ascii="宋体" w:hAnsi="宋体"/>
                <w:color w:val="auto"/>
                <w:kern w:val="0"/>
                <w:szCs w:val="21"/>
                <w:highlight w:val="none"/>
              </w:rPr>
              <w:t>按投标人须知第8.1（3）执行；</w:t>
            </w:r>
          </w:p>
          <w:p>
            <w:pPr>
              <w:widowControl/>
              <w:spacing w:after="62" w:afterLines="20" w:line="400" w:lineRule="exact"/>
              <w:ind w:firstLine="420" w:firstLineChars="200"/>
              <w:rPr>
                <w:rFonts w:ascii="宋体" w:hAnsi="宋体"/>
                <w:color w:val="auto"/>
                <w:kern w:val="0"/>
                <w:szCs w:val="21"/>
                <w:highlight w:val="none"/>
              </w:rPr>
            </w:pPr>
            <w:r>
              <w:rPr>
                <w:rFonts w:ascii="宋体" w:hAnsi="宋体"/>
                <w:snapToGrid w:val="0"/>
                <w:color w:val="auto"/>
                <w:kern w:val="0"/>
                <w:szCs w:val="21"/>
                <w:highlight w:val="none"/>
              </w:rPr>
              <w:t>4.</w:t>
            </w:r>
            <w:r>
              <w:rPr>
                <w:rFonts w:ascii="宋体" w:hAnsi="宋体"/>
                <w:color w:val="auto"/>
                <w:kern w:val="0"/>
                <w:szCs w:val="21"/>
                <w:highlight w:val="none"/>
              </w:rPr>
              <w:t>按投标人须知第8.1（4）执行</w:t>
            </w:r>
            <w:r>
              <w:rPr>
                <w:rFonts w:hint="eastAsia" w:ascii="宋体" w:hAnsi="宋体"/>
                <w:color w:val="auto"/>
                <w:kern w:val="0"/>
                <w:szCs w:val="21"/>
                <w:highlight w:val="none"/>
              </w:rPr>
              <w:t>。</w:t>
            </w:r>
          </w:p>
          <w:p>
            <w:pPr>
              <w:widowControl/>
              <w:spacing w:after="62" w:afterLines="2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注：本款只适用于首次招标。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8.2</w:t>
            </w:r>
          </w:p>
        </w:tc>
        <w:tc>
          <w:tcPr>
            <w:tcW w:w="1644" w:type="dxa"/>
            <w:vAlign w:val="center"/>
          </w:tcPr>
          <w:p>
            <w:pPr>
              <w:snapToGrid w:val="0"/>
              <w:spacing w:line="400" w:lineRule="exact"/>
              <w:jc w:val="center"/>
              <w:rPr>
                <w:color w:val="auto"/>
                <w:highlight w:val="none"/>
              </w:rPr>
            </w:pPr>
            <w:bookmarkStart w:id="110" w:name="_Toc13210670"/>
            <w:bookmarkStart w:id="111" w:name="_Toc430530434"/>
            <w:bookmarkStart w:id="112" w:name="_Toc509218709"/>
            <w:bookmarkStart w:id="113" w:name="_Toc536628250"/>
            <w:bookmarkStart w:id="114" w:name="_Toc16930431"/>
            <w:r>
              <w:rPr>
                <w:rFonts w:hint="eastAsia" w:ascii="宋体" w:hAnsi="宋体"/>
                <w:color w:val="auto"/>
                <w:kern w:val="0"/>
                <w:szCs w:val="21"/>
                <w:highlight w:val="none"/>
              </w:rPr>
              <w:t>重新</w:t>
            </w:r>
            <w:r>
              <w:rPr>
                <w:rFonts w:ascii="宋体" w:hAnsi="宋体"/>
                <w:color w:val="auto"/>
                <w:kern w:val="0"/>
                <w:szCs w:val="21"/>
                <w:highlight w:val="none"/>
              </w:rPr>
              <w:t>招标和不再招标</w:t>
            </w:r>
            <w:bookmarkEnd w:id="110"/>
            <w:bookmarkEnd w:id="111"/>
            <w:bookmarkEnd w:id="112"/>
            <w:bookmarkEnd w:id="113"/>
            <w:bookmarkEnd w:id="114"/>
          </w:p>
        </w:tc>
        <w:tc>
          <w:tcPr>
            <w:tcW w:w="6490" w:type="dxa"/>
            <w:vAlign w:val="center"/>
          </w:tcPr>
          <w:p>
            <w:pPr>
              <w:autoSpaceDE w:val="0"/>
              <w:autoSpaceDN w:val="0"/>
              <w:adjustRightInd w:val="0"/>
              <w:snapToGrid w:val="0"/>
              <w:spacing w:after="62" w:afterLines="20"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w:t>
            </w:r>
          </w:p>
        </w:tc>
        <w:tc>
          <w:tcPr>
            <w:tcW w:w="8134" w:type="dxa"/>
            <w:gridSpan w:val="2"/>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10.1</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支付担保</w:t>
            </w:r>
          </w:p>
        </w:tc>
        <w:tc>
          <w:tcPr>
            <w:tcW w:w="6490" w:type="dxa"/>
            <w:vAlign w:val="center"/>
          </w:tcPr>
          <w:p>
            <w:pPr>
              <w:snapToGrid w:val="0"/>
              <w:spacing w:after="124" w:afterLines="40" w:line="400" w:lineRule="exact"/>
              <w:ind w:firstLine="420" w:firstLineChars="200"/>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10.2</w:t>
            </w:r>
          </w:p>
        </w:tc>
        <w:tc>
          <w:tcPr>
            <w:tcW w:w="164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项目经理答辩</w:t>
            </w:r>
          </w:p>
        </w:tc>
        <w:tc>
          <w:tcPr>
            <w:tcW w:w="6490" w:type="dxa"/>
            <w:vAlign w:val="center"/>
          </w:tcPr>
          <w:p>
            <w:pPr>
              <w:widowControl/>
              <w:spacing w:after="124" w:afterLines="4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10.3</w:t>
            </w:r>
          </w:p>
        </w:tc>
        <w:tc>
          <w:tcPr>
            <w:tcW w:w="164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异议、</w:t>
            </w:r>
            <w:r>
              <w:rPr>
                <w:rFonts w:ascii="宋体" w:hAnsi="宋体"/>
                <w:color w:val="auto"/>
                <w:kern w:val="0"/>
                <w:szCs w:val="21"/>
                <w:highlight w:val="none"/>
              </w:rPr>
              <w:t>投诉处理</w:t>
            </w:r>
          </w:p>
        </w:tc>
        <w:tc>
          <w:tcPr>
            <w:tcW w:w="6490" w:type="dxa"/>
            <w:vAlign w:val="center"/>
          </w:tcPr>
          <w:p>
            <w:pPr>
              <w:widowControl/>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rPr>
              <w:t xml:space="preserve"> </w:t>
            </w:r>
            <w:r>
              <w:rPr>
                <w:rFonts w:ascii="宋体" w:hAnsi="宋体"/>
                <w:color w:val="auto"/>
                <w:kern w:val="0"/>
                <w:szCs w:val="21"/>
                <w:highlight w:val="none"/>
              </w:rPr>
              <w:t>投标人或者其他利害关系人就本项目的招标文件</w:t>
            </w:r>
            <w:r>
              <w:rPr>
                <w:rFonts w:hint="eastAsia" w:ascii="宋体" w:hAnsi="宋体"/>
                <w:color w:val="auto"/>
                <w:kern w:val="0"/>
                <w:szCs w:val="21"/>
                <w:highlight w:val="none"/>
              </w:rPr>
              <w:t>（含澄清修改）、开标情况、</w:t>
            </w:r>
            <w:r>
              <w:rPr>
                <w:rFonts w:ascii="宋体" w:hAnsi="宋体"/>
                <w:color w:val="auto"/>
                <w:kern w:val="0"/>
                <w:szCs w:val="21"/>
                <w:highlight w:val="none"/>
              </w:rPr>
              <w:t>评标结果等事项提出异议或投诉</w:t>
            </w:r>
            <w:r>
              <w:rPr>
                <w:rFonts w:hint="eastAsia" w:ascii="宋体" w:hAnsi="宋体"/>
                <w:color w:val="auto"/>
                <w:kern w:val="0"/>
                <w:szCs w:val="21"/>
                <w:highlight w:val="none"/>
              </w:rPr>
              <w:t>的</w:t>
            </w:r>
            <w:r>
              <w:rPr>
                <w:rFonts w:ascii="宋体" w:hAnsi="宋体"/>
                <w:color w:val="auto"/>
                <w:kern w:val="0"/>
                <w:szCs w:val="21"/>
                <w:highlight w:val="none"/>
              </w:rPr>
              <w:t>，应当先向招标人提出异议；招标人应当在规定时间内答复；对招标人的答复不满意，可向行政监督部门投诉。</w:t>
            </w:r>
          </w:p>
          <w:p>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提出异议或投诉时应当包括下列内容：</w:t>
            </w:r>
          </w:p>
          <w:p>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（1）异议</w:t>
            </w:r>
            <w:r>
              <w:rPr>
                <w:rFonts w:hint="eastAsia" w:ascii="宋体" w:hAnsi="宋体"/>
                <w:color w:val="auto"/>
                <w:kern w:val="0"/>
                <w:szCs w:val="21"/>
                <w:highlight w:val="none"/>
                <w:lang w:val="en-US" w:eastAsia="zh-CN"/>
              </w:rPr>
              <w:t>人</w:t>
            </w:r>
            <w:r>
              <w:rPr>
                <w:rFonts w:hint="eastAsia" w:ascii="宋体" w:hAnsi="宋体"/>
                <w:color w:val="auto"/>
                <w:kern w:val="0"/>
                <w:szCs w:val="21"/>
                <w:highlight w:val="none"/>
              </w:rPr>
              <w:t>或投诉人的名称、地址及有效联系方式；</w:t>
            </w:r>
          </w:p>
          <w:p>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（2）被异议</w:t>
            </w:r>
            <w:r>
              <w:rPr>
                <w:rFonts w:hint="eastAsia" w:ascii="宋体" w:hAnsi="宋体"/>
                <w:color w:val="auto"/>
                <w:kern w:val="0"/>
                <w:szCs w:val="21"/>
                <w:highlight w:val="none"/>
                <w:lang w:val="en-US" w:eastAsia="zh-CN"/>
              </w:rPr>
              <w:t>人</w:t>
            </w:r>
            <w:r>
              <w:rPr>
                <w:rFonts w:hint="eastAsia" w:ascii="宋体" w:hAnsi="宋体"/>
                <w:color w:val="auto"/>
                <w:kern w:val="0"/>
                <w:szCs w:val="21"/>
                <w:highlight w:val="none"/>
              </w:rPr>
              <w:t>或</w:t>
            </w:r>
            <w:r>
              <w:rPr>
                <w:rFonts w:hint="eastAsia" w:ascii="宋体" w:hAnsi="宋体"/>
                <w:color w:val="auto"/>
                <w:kern w:val="0"/>
                <w:szCs w:val="21"/>
                <w:highlight w:val="none"/>
                <w:lang w:val="en-US" w:eastAsia="zh-CN"/>
              </w:rPr>
              <w:t>被</w:t>
            </w:r>
            <w:r>
              <w:rPr>
                <w:rFonts w:hint="eastAsia" w:ascii="宋体" w:hAnsi="宋体"/>
                <w:color w:val="auto"/>
                <w:kern w:val="0"/>
                <w:szCs w:val="21"/>
                <w:highlight w:val="none"/>
              </w:rPr>
              <w:t>投诉人的名称、地址及有效联系方式；</w:t>
            </w:r>
          </w:p>
          <w:p>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（3）异议或投诉事项的基本事实；</w:t>
            </w:r>
          </w:p>
          <w:p>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（4）请求及主张；</w:t>
            </w:r>
          </w:p>
          <w:p>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（5）涉及事项的证据、证明材料。</w:t>
            </w:r>
          </w:p>
          <w:p>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pPr>
              <w:widowControl/>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rPr>
              <w:t xml:space="preserve"> </w:t>
            </w:r>
            <w:r>
              <w:rPr>
                <w:rFonts w:ascii="宋体" w:hAnsi="宋体"/>
                <w:color w:val="auto"/>
                <w:kern w:val="0"/>
                <w:szCs w:val="21"/>
                <w:highlight w:val="none"/>
              </w:rPr>
              <w:t>行政监督部门依照《</w:t>
            </w:r>
            <w:r>
              <w:rPr>
                <w:rFonts w:hint="eastAsia" w:ascii="宋体" w:hAnsi="宋体"/>
                <w:color w:val="auto"/>
                <w:kern w:val="0"/>
                <w:szCs w:val="21"/>
                <w:highlight w:val="none"/>
              </w:rPr>
              <w:t>中华人民共和国</w:t>
            </w:r>
            <w:r>
              <w:rPr>
                <w:rFonts w:ascii="宋体" w:hAnsi="宋体"/>
                <w:color w:val="auto"/>
                <w:kern w:val="0"/>
                <w:szCs w:val="21"/>
                <w:highlight w:val="none"/>
              </w:rPr>
              <w:t>招标投标法》、《</w:t>
            </w:r>
            <w:r>
              <w:rPr>
                <w:rFonts w:hint="eastAsia" w:ascii="宋体" w:hAnsi="宋体"/>
                <w:color w:val="auto"/>
                <w:kern w:val="0"/>
                <w:szCs w:val="21"/>
                <w:highlight w:val="none"/>
              </w:rPr>
              <w:t>中华人民共和国</w:t>
            </w:r>
            <w:r>
              <w:rPr>
                <w:rFonts w:ascii="宋体" w:hAnsi="宋体"/>
                <w:color w:val="auto"/>
                <w:kern w:val="0"/>
                <w:szCs w:val="21"/>
                <w:highlight w:val="none"/>
              </w:rPr>
              <w:t>招标投标法实施条例》、《重庆市招标投标条例》、《工程建设项目招标投标活动投诉处理办法》（七部委令第11号（根据九部门2013年第23号令修正））、</w:t>
            </w:r>
            <w:r>
              <w:rPr>
                <w:rFonts w:hint="eastAsia" w:asciiTheme="minorEastAsia" w:hAnsiTheme="minorEastAsia" w:eastAsiaTheme="minorEastAsia" w:cstheme="minorEastAsia"/>
                <w:color w:val="auto"/>
                <w:kern w:val="0"/>
                <w:szCs w:val="21"/>
                <w:highlight w:val="none"/>
              </w:rPr>
              <w:t>《关于印发&lt;重庆市招标投标活动投诉处理实施细则（修订）&gt;的通知》（渝公管发〔2021〕54号）</w:t>
            </w:r>
            <w:r>
              <w:rPr>
                <w:rFonts w:ascii="宋体" w:hAnsi="宋体"/>
                <w:color w:val="auto"/>
                <w:kern w:val="0"/>
                <w:szCs w:val="21"/>
                <w:highlight w:val="none"/>
              </w:rPr>
              <w:t>等法律法规文件处理投诉。</w:t>
            </w:r>
          </w:p>
          <w:p>
            <w:pPr>
              <w:snapToGrid w:val="0"/>
              <w:spacing w:after="124" w:afterLines="40" w:line="400" w:lineRule="exact"/>
              <w:ind w:firstLine="420" w:firstLineChars="200"/>
              <w:rPr>
                <w:rFonts w:hint="eastAsia" w:ascii="宋体" w:hAnsi="宋体" w:eastAsia="宋体" w:cs="Times New Roman"/>
                <w:color w:val="auto"/>
                <w:kern w:val="0"/>
                <w:szCs w:val="21"/>
                <w:highlight w:val="none"/>
              </w:rPr>
            </w:pPr>
            <w:r>
              <w:rPr>
                <w:rFonts w:hint="eastAsia" w:ascii="宋体" w:hAnsi="宋体"/>
                <w:color w:val="auto"/>
                <w:kern w:val="0"/>
                <w:szCs w:val="21"/>
                <w:highlight w:val="none"/>
              </w:rPr>
              <w:t>3. 根据《重庆市工程建设领域招标投标信用管理暂行办法》的规定，投标人捏造事实、伪造材料，或者以非法手段获取证明材料进行质疑或者投诉的，将被列入黑名单管理；</w:t>
            </w:r>
            <w:r>
              <w:rPr>
                <w:rFonts w:ascii="宋体" w:hAnsi="宋体"/>
                <w:color w:val="auto"/>
                <w:kern w:val="0"/>
                <w:szCs w:val="21"/>
                <w:highlight w:val="none"/>
              </w:rPr>
              <w:t>给他人造成损失的，依法承担赔</w:t>
            </w:r>
            <w:r>
              <w:rPr>
                <w:rFonts w:hint="eastAsia" w:ascii="宋体" w:hAnsi="宋体" w:eastAsia="宋体" w:cs="Times New Roman"/>
                <w:color w:val="auto"/>
                <w:kern w:val="0"/>
                <w:szCs w:val="21"/>
                <w:highlight w:val="none"/>
              </w:rPr>
              <w:t>偿责任。</w:t>
            </w:r>
          </w:p>
          <w:p>
            <w:pPr>
              <w:snapToGrid w:val="0"/>
              <w:spacing w:after="124" w:afterLines="40" w:line="40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 异议受理单位：重庆长安智慧城市运营管理有限公司</w:t>
            </w:r>
          </w:p>
          <w:p>
            <w:pPr>
              <w:snapToGrid w:val="0"/>
              <w:spacing w:after="124" w:afterLines="40" w:line="400" w:lineRule="exact"/>
              <w:ind w:firstLine="420" w:firstLineChars="200"/>
              <w:rPr>
                <w:rFonts w:ascii="宋体" w:hAnsi="宋体"/>
                <w:color w:val="auto"/>
                <w:kern w:val="0"/>
                <w:szCs w:val="21"/>
                <w:highlight w:val="none"/>
              </w:rPr>
            </w:pPr>
            <w:r>
              <w:rPr>
                <w:rFonts w:hint="eastAsia" w:ascii="宋体" w:hAnsi="宋体" w:eastAsia="宋体" w:cs="Times New Roman"/>
                <w:color w:val="auto"/>
                <w:kern w:val="0"/>
                <w:szCs w:val="21"/>
                <w:highlight w:val="none"/>
              </w:rPr>
              <w:t>联系电话：</w:t>
            </w:r>
            <w:r>
              <w:rPr>
                <w:rFonts w:hint="eastAsia" w:ascii="宋体" w:hAnsi="宋体" w:eastAsia="宋体" w:cs="Times New Roman"/>
                <w:color w:val="auto"/>
                <w:kern w:val="0"/>
                <w:szCs w:val="21"/>
                <w:highlight w:val="none"/>
                <w:lang w:val="en-US" w:eastAsia="zh-CN"/>
              </w:rPr>
              <w:t>15825960816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10.4</w:t>
            </w:r>
          </w:p>
        </w:tc>
        <w:tc>
          <w:tcPr>
            <w:tcW w:w="164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工程量清单</w:t>
            </w:r>
          </w:p>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编制说明</w:t>
            </w:r>
          </w:p>
        </w:tc>
        <w:tc>
          <w:tcPr>
            <w:tcW w:w="6490" w:type="dxa"/>
            <w:vAlign w:val="center"/>
          </w:tcPr>
          <w:p>
            <w:pPr>
              <w:widowControl/>
              <w:spacing w:line="400" w:lineRule="exact"/>
              <w:ind w:firstLine="420" w:firstLineChars="200"/>
              <w:rPr>
                <w:rFonts w:hint="eastAsia" w:ascii="宋体" w:hAnsi="宋体" w:eastAsia="宋体"/>
                <w:color w:val="auto"/>
                <w:kern w:val="0"/>
                <w:szCs w:val="21"/>
                <w:highlight w:val="none"/>
                <w:lang w:eastAsia="zh-CN"/>
              </w:rPr>
            </w:pPr>
            <w:r>
              <w:rPr>
                <w:rFonts w:hint="eastAsia" w:ascii="宋体" w:hAnsi="宋体"/>
                <w:i/>
                <w:color w:val="auto"/>
                <w:kern w:val="0"/>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10.</w:t>
            </w:r>
            <w:r>
              <w:rPr>
                <w:rFonts w:hint="eastAsia" w:ascii="宋体" w:hAnsi="宋体"/>
                <w:color w:val="auto"/>
                <w:kern w:val="0"/>
                <w:szCs w:val="21"/>
                <w:highlight w:val="none"/>
                <w:lang w:val="en-US" w:eastAsia="zh-CN"/>
              </w:rPr>
              <w:t>5</w:t>
            </w:r>
          </w:p>
        </w:tc>
        <w:tc>
          <w:tcPr>
            <w:tcW w:w="164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关于对招标文件及投标争议的解释</w:t>
            </w:r>
          </w:p>
        </w:tc>
        <w:tc>
          <w:tcPr>
            <w:tcW w:w="6490" w:type="dxa"/>
            <w:vAlign w:val="center"/>
          </w:tcPr>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对资格预审文件或者招标文件的评标标准和方法，以及资格审查和否决投标条款理解有争议的，应当作出不利于招标人的解释，但违背国家利益、社会公共利益的除外。</w:t>
            </w:r>
          </w:p>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对投标文件理解有争议的，应当作出不利于提交该投标文件的投标人的解释。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10.6</w:t>
            </w:r>
          </w:p>
        </w:tc>
        <w:tc>
          <w:tcPr>
            <w:tcW w:w="1644" w:type="dxa"/>
            <w:vAlign w:val="center"/>
          </w:tcPr>
          <w:p>
            <w:pPr>
              <w:snapToGrid w:val="0"/>
              <w:spacing w:line="400" w:lineRule="exact"/>
              <w:jc w:val="center"/>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不允许负数报价</w:t>
            </w:r>
          </w:p>
        </w:tc>
        <w:tc>
          <w:tcPr>
            <w:tcW w:w="6490" w:type="dxa"/>
            <w:vAlign w:val="center"/>
          </w:tcPr>
          <w:p>
            <w:pPr>
              <w:autoSpaceDE w:val="0"/>
              <w:autoSpaceDN w:val="0"/>
              <w:adjustRightInd w:val="0"/>
              <w:snapToGrid w:val="0"/>
              <w:spacing w:line="400" w:lineRule="exact"/>
              <w:ind w:firstLine="420" w:firstLineChars="200"/>
              <w:rPr>
                <w:rFonts w:hint="default" w:ascii="宋体" w:hAnsi="宋体"/>
                <w:color w:val="auto"/>
                <w:kern w:val="0"/>
                <w:szCs w:val="21"/>
                <w:highlight w:val="none"/>
                <w:u w:val="single"/>
              </w:rPr>
            </w:pPr>
            <w:r>
              <w:rPr>
                <w:rFonts w:hint="default" w:ascii="宋体" w:hAnsi="宋体"/>
                <w:color w:val="auto"/>
                <w:kern w:val="0"/>
                <w:szCs w:val="21"/>
                <w:highlight w:val="none"/>
                <w:u w:val="single"/>
              </w:rPr>
              <w:t>投标人的</w:t>
            </w:r>
            <w:r>
              <w:rPr>
                <w:rFonts w:hint="eastAsia" w:ascii="宋体" w:hAnsi="宋体"/>
                <w:color w:val="auto"/>
                <w:kern w:val="0"/>
                <w:szCs w:val="21"/>
                <w:highlight w:val="none"/>
                <w:u w:val="single"/>
                <w:lang w:val="en-US" w:eastAsia="zh-CN"/>
              </w:rPr>
              <w:t>各项</w:t>
            </w:r>
            <w:r>
              <w:rPr>
                <w:rFonts w:hint="default" w:ascii="宋体" w:hAnsi="宋体"/>
                <w:color w:val="auto"/>
                <w:kern w:val="0"/>
                <w:szCs w:val="21"/>
                <w:highlight w:val="none"/>
                <w:u w:val="single"/>
              </w:rPr>
              <w:t>报价不得</w:t>
            </w:r>
            <w:r>
              <w:rPr>
                <w:rFonts w:hint="eastAsia" w:ascii="宋体" w:hAnsi="宋体"/>
                <w:color w:val="auto"/>
                <w:kern w:val="0"/>
                <w:szCs w:val="21"/>
                <w:highlight w:val="none"/>
                <w:u w:val="single"/>
                <w:lang w:val="en-US" w:eastAsia="zh-CN"/>
              </w:rPr>
              <w:t>为负数</w:t>
            </w:r>
            <w:r>
              <w:rPr>
                <w:rFonts w:hint="default" w:ascii="宋体" w:hAnsi="宋体"/>
                <w:color w:val="auto"/>
                <w:kern w:val="0"/>
                <w:szCs w:val="21"/>
                <w:highlight w:val="none"/>
                <w:u w:val="single"/>
              </w:rPr>
              <w:t>。招标人在发出中标通知书前将对中标人</w:t>
            </w:r>
            <w:r>
              <w:rPr>
                <w:rFonts w:hint="eastAsia" w:ascii="宋体" w:hAnsi="宋体"/>
                <w:color w:val="auto"/>
                <w:kern w:val="0"/>
                <w:szCs w:val="21"/>
                <w:highlight w:val="none"/>
                <w:u w:val="single"/>
                <w:lang w:val="en-US" w:eastAsia="zh-CN"/>
              </w:rPr>
              <w:t>的各项报价</w:t>
            </w:r>
            <w:r>
              <w:rPr>
                <w:rFonts w:hint="default" w:ascii="宋体" w:hAnsi="宋体"/>
                <w:color w:val="auto"/>
                <w:kern w:val="0"/>
                <w:szCs w:val="21"/>
                <w:highlight w:val="none"/>
                <w:u w:val="single"/>
              </w:rPr>
              <w:t>进行复核，若发现中标人</w:t>
            </w:r>
            <w:r>
              <w:rPr>
                <w:rFonts w:hint="eastAsia" w:ascii="宋体" w:hAnsi="宋体"/>
                <w:color w:val="auto"/>
                <w:kern w:val="0"/>
                <w:szCs w:val="21"/>
                <w:highlight w:val="none"/>
                <w:u w:val="single"/>
                <w:lang w:val="en-US" w:eastAsia="zh-CN"/>
              </w:rPr>
              <w:t>各项报价</w:t>
            </w:r>
            <w:r>
              <w:rPr>
                <w:rFonts w:hint="default" w:ascii="宋体" w:hAnsi="宋体"/>
                <w:color w:val="auto"/>
                <w:kern w:val="0"/>
                <w:szCs w:val="21"/>
                <w:highlight w:val="none"/>
                <w:u w:val="single"/>
              </w:rPr>
              <w:t>中存在</w:t>
            </w:r>
            <w:r>
              <w:rPr>
                <w:rFonts w:hint="eastAsia" w:ascii="宋体" w:hAnsi="宋体"/>
                <w:color w:val="auto"/>
                <w:kern w:val="0"/>
                <w:szCs w:val="21"/>
                <w:highlight w:val="none"/>
                <w:u w:val="single"/>
                <w:lang w:val="en-US" w:eastAsia="zh-CN"/>
              </w:rPr>
              <w:t>负数报价</w:t>
            </w:r>
            <w:r>
              <w:rPr>
                <w:rFonts w:hint="default" w:ascii="宋体" w:hAnsi="宋体"/>
                <w:color w:val="auto"/>
                <w:kern w:val="0"/>
                <w:szCs w:val="21"/>
                <w:highlight w:val="none"/>
                <w:u w:val="single"/>
              </w:rPr>
              <w:t>的情形，招标人按相关规定取消其中标资格，其投标保证金不予退还，中标人承担因此造成的相关责任并赔偿相应损失。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default" w:ascii="宋体" w:hAnsi="宋体" w:eastAsia="宋体"/>
                <w:b/>
                <w:bCs/>
                <w:color w:val="auto"/>
                <w:kern w:val="0"/>
                <w:szCs w:val="21"/>
                <w:highlight w:val="none"/>
                <w:lang w:val="en-US" w:eastAsia="zh-CN"/>
              </w:rPr>
            </w:pPr>
            <w:r>
              <w:rPr>
                <w:rFonts w:hint="eastAsia" w:ascii="宋体" w:hAnsi="宋体"/>
                <w:b/>
                <w:bCs/>
                <w:color w:val="auto"/>
                <w:kern w:val="0"/>
                <w:szCs w:val="21"/>
                <w:highlight w:val="none"/>
              </w:rPr>
              <w:t>10.</w:t>
            </w:r>
            <w:r>
              <w:rPr>
                <w:rFonts w:hint="eastAsia" w:ascii="宋体" w:hAnsi="宋体"/>
                <w:b/>
                <w:bCs/>
                <w:color w:val="auto"/>
                <w:kern w:val="0"/>
                <w:szCs w:val="21"/>
                <w:highlight w:val="none"/>
                <w:lang w:val="en-US" w:eastAsia="zh-CN"/>
              </w:rPr>
              <w:t>7</w:t>
            </w:r>
          </w:p>
        </w:tc>
        <w:tc>
          <w:tcPr>
            <w:tcW w:w="1644" w:type="dxa"/>
            <w:vAlign w:val="center"/>
          </w:tcPr>
          <w:p>
            <w:pPr>
              <w:snapToGrid w:val="0"/>
              <w:spacing w:line="400" w:lineRule="exact"/>
              <w:jc w:val="center"/>
              <w:rPr>
                <w:rFonts w:hint="default" w:ascii="宋体" w:hAnsi="宋体" w:eastAsia="宋体"/>
                <w:b/>
                <w:bCs/>
                <w:color w:val="auto"/>
                <w:kern w:val="0"/>
                <w:szCs w:val="21"/>
                <w:highlight w:val="none"/>
                <w:lang w:val="en-US" w:eastAsia="zh-CN"/>
              </w:rPr>
            </w:pPr>
            <w:r>
              <w:rPr>
                <w:rFonts w:hint="eastAsia" w:ascii="宋体" w:hAnsi="宋体"/>
                <w:b/>
                <w:bCs/>
                <w:color w:val="auto"/>
                <w:kern w:val="0"/>
                <w:szCs w:val="21"/>
                <w:highlight w:val="none"/>
                <w:lang w:val="en-US" w:eastAsia="zh-CN"/>
              </w:rPr>
              <w:t>招标代理服务费</w:t>
            </w:r>
          </w:p>
        </w:tc>
        <w:tc>
          <w:tcPr>
            <w:tcW w:w="6490" w:type="dxa"/>
            <w:vAlign w:val="center"/>
          </w:tcPr>
          <w:p>
            <w:pPr>
              <w:autoSpaceDE w:val="0"/>
              <w:autoSpaceDN w:val="0"/>
              <w:adjustRightInd w:val="0"/>
              <w:snapToGrid w:val="0"/>
              <w:spacing w:line="400" w:lineRule="exact"/>
              <w:ind w:firstLine="420"/>
              <w:rPr>
                <w:rFonts w:hint="eastAsia" w:ascii="宋体" w:hAnsi="宋体" w:eastAsia="宋体"/>
                <w:b/>
                <w:bCs/>
                <w:i/>
                <w:color w:val="auto"/>
                <w:kern w:val="0"/>
                <w:szCs w:val="21"/>
                <w:highlight w:val="none"/>
                <w:lang w:eastAsia="zh-CN"/>
              </w:rPr>
            </w:pPr>
            <w:r>
              <w:rPr>
                <w:rFonts w:hint="eastAsia" w:ascii="宋体" w:hAnsi="宋体"/>
                <w:b/>
                <w:bCs/>
                <w:color w:val="auto"/>
                <w:kern w:val="0"/>
                <w:szCs w:val="21"/>
                <w:highlight w:val="none"/>
              </w:rPr>
              <w:t>以中标金额为计算基数参照原国家计委计价格[2002]1980号、发改办价格[2003]857号及发改办价格[2011]534号通知规定的招标收费标准下浮10%收取（单个项目中标金额小于70万元（含）的按10000元收取），由中标人在收到中标通知书5个工作日内向招标代理机构交纳招标服务费</w:t>
            </w:r>
            <w:r>
              <w:rPr>
                <w:rFonts w:hint="eastAsia" w:ascii="宋体" w:hAnsi="宋体"/>
                <w:b/>
                <w:bCs/>
                <w:color w:val="auto"/>
                <w:kern w:val="0"/>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default" w:ascii="宋体" w:hAnsi="宋体" w:eastAsia="宋体"/>
                <w:b/>
                <w:bCs/>
                <w:color w:val="auto"/>
                <w:kern w:val="0"/>
                <w:szCs w:val="21"/>
                <w:highlight w:val="none"/>
                <w:lang w:val="en-US" w:eastAsia="zh-CN"/>
              </w:rPr>
            </w:pPr>
            <w:bookmarkStart w:id="115" w:name="_Toc224103317"/>
            <w:bookmarkStart w:id="116" w:name="_Toc430530435"/>
            <w:bookmarkStart w:id="117" w:name="_Toc277082552"/>
            <w:bookmarkStart w:id="118" w:name="_Toc200513126"/>
            <w:bookmarkStart w:id="119" w:name="_Toc287620685"/>
            <w:bookmarkStart w:id="120" w:name="_Toc287607746"/>
            <w:r>
              <w:rPr>
                <w:rFonts w:hint="eastAsia" w:ascii="宋体" w:hAnsi="宋体"/>
                <w:b/>
                <w:bCs/>
                <w:color w:val="auto"/>
                <w:kern w:val="0"/>
                <w:szCs w:val="21"/>
                <w:highlight w:val="none"/>
                <w:lang w:val="en-US" w:eastAsia="zh-CN"/>
              </w:rPr>
              <w:t>10.8</w:t>
            </w:r>
          </w:p>
        </w:tc>
        <w:tc>
          <w:tcPr>
            <w:tcW w:w="1644" w:type="dxa"/>
            <w:vAlign w:val="center"/>
          </w:tcPr>
          <w:p>
            <w:pPr>
              <w:snapToGrid w:val="0"/>
              <w:spacing w:line="400" w:lineRule="exact"/>
              <w:jc w:val="center"/>
              <w:rPr>
                <w:rFonts w:hint="default" w:ascii="宋体" w:hAnsi="宋体"/>
                <w:b/>
                <w:bCs/>
                <w:color w:val="auto"/>
                <w:kern w:val="0"/>
                <w:szCs w:val="21"/>
                <w:highlight w:val="none"/>
                <w:lang w:val="en-US" w:eastAsia="zh-CN"/>
              </w:rPr>
            </w:pPr>
            <w:r>
              <w:rPr>
                <w:rFonts w:hint="eastAsia" w:ascii="宋体" w:hAnsi="宋体"/>
                <w:b/>
                <w:bCs/>
                <w:color w:val="auto"/>
                <w:kern w:val="0"/>
                <w:szCs w:val="21"/>
                <w:highlight w:val="none"/>
                <w:lang w:val="en-US" w:eastAsia="zh-CN"/>
              </w:rPr>
              <w:t>工程款支付</w:t>
            </w:r>
          </w:p>
        </w:tc>
        <w:tc>
          <w:tcPr>
            <w:tcW w:w="6490" w:type="dxa"/>
            <w:vAlign w:val="center"/>
          </w:tcPr>
          <w:p>
            <w:pPr>
              <w:spacing w:after="120" w:line="360" w:lineRule="auto"/>
              <w:ind w:firstLine="404" w:firstLineChars="200"/>
              <w:rPr>
                <w:rFonts w:hint="eastAsia" w:ascii="宋体" w:hAnsi="宋体" w:cs="宋体"/>
                <w:color w:val="auto"/>
                <w:spacing w:val="-4"/>
                <w:highlight w:val="none"/>
                <w:u w:val="none"/>
                <w:lang w:val="en-US" w:eastAsia="zh-CN"/>
              </w:rPr>
            </w:pPr>
            <w:r>
              <w:rPr>
                <w:rFonts w:hint="eastAsia" w:ascii="宋体" w:hAnsi="宋体" w:cs="宋体"/>
                <w:b w:val="0"/>
                <w:bCs w:val="0"/>
                <w:color w:val="auto"/>
                <w:spacing w:val="-4"/>
                <w:kern w:val="2"/>
                <w:sz w:val="21"/>
                <w:szCs w:val="24"/>
                <w:highlight w:val="none"/>
                <w:u w:val="none"/>
                <w:lang w:val="en-US" w:eastAsia="zh-CN" w:bidi="ar-SA"/>
              </w:rPr>
              <w:t>本工程施工完成后，</w:t>
            </w:r>
            <w:r>
              <w:rPr>
                <w:rFonts w:hint="eastAsia" w:ascii="宋体" w:hAnsi="宋体" w:cs="宋体"/>
                <w:color w:val="auto"/>
                <w:spacing w:val="-4"/>
                <w:highlight w:val="none"/>
                <w:u w:val="none"/>
                <w:lang w:val="en-US" w:eastAsia="zh-CN"/>
              </w:rPr>
              <w:t>经甲、乙双方和相关单位竣工验收合格后，甲方报送结算资料，经第三方重庆市渝北区物业专项维修资金管理中心聘请的第三方审价机构出具结算审核报告。乙方承诺按照规定以申请物业专项维修资金的方式支付工程款。工程款乙方开增值税专用发票（税率：9%）金额以结算审核报告金额为准，发票开具购买方信息:重庆市渝北区物业专项维修资金管理中心。在物业专项维修资金申批过程中的延误支付，不视为付款违约行为。</w:t>
            </w:r>
          </w:p>
          <w:p>
            <w:pPr>
              <w:spacing w:after="120" w:line="360" w:lineRule="auto"/>
              <w:ind w:firstLine="404" w:firstLineChars="200"/>
              <w:jc w:val="left"/>
              <w:rPr>
                <w:rFonts w:hint="eastAsia" w:ascii="宋体" w:hAnsi="宋体" w:cs="宋体"/>
                <w:b w:val="0"/>
                <w:bCs w:val="0"/>
                <w:color w:val="auto"/>
                <w:spacing w:val="-4"/>
                <w:kern w:val="2"/>
                <w:sz w:val="21"/>
                <w:szCs w:val="24"/>
                <w:highlight w:val="none"/>
                <w:u w:val="none"/>
                <w:lang w:val="en-US" w:eastAsia="zh-CN" w:bidi="ar-SA"/>
              </w:rPr>
            </w:pPr>
            <w:r>
              <w:rPr>
                <w:rFonts w:hint="eastAsia" w:ascii="宋体" w:hAnsi="宋体" w:cs="宋体"/>
                <w:color w:val="auto"/>
                <w:spacing w:val="-4"/>
                <w:sz w:val="21"/>
                <w:szCs w:val="24"/>
                <w:highlight w:val="none"/>
                <w:u w:val="none"/>
                <w:lang w:val="en-US" w:eastAsia="zh-CN"/>
              </w:rPr>
              <w:t>该工程在资金管理中心验收合格出具结算报告后10个工作日内，乙方向甲方缴纳结算</w:t>
            </w:r>
            <w:r>
              <w:rPr>
                <w:rFonts w:hint="eastAsia" w:ascii="宋体" w:hAnsi="宋体" w:eastAsia="宋体" w:cs="宋体"/>
                <w:color w:val="auto"/>
                <w:spacing w:val="-4"/>
                <w:sz w:val="21"/>
                <w:szCs w:val="24"/>
                <w:highlight w:val="none"/>
                <w:u w:val="none"/>
              </w:rPr>
              <w:t>总额的</w:t>
            </w:r>
            <w:r>
              <w:rPr>
                <w:rFonts w:hint="eastAsia" w:ascii="宋体" w:hAnsi="宋体" w:cs="宋体"/>
                <w:color w:val="auto"/>
                <w:spacing w:val="-4"/>
                <w:sz w:val="21"/>
                <w:szCs w:val="24"/>
                <w:highlight w:val="none"/>
                <w:u w:val="single"/>
                <w:lang w:val="en-US" w:eastAsia="zh-CN"/>
              </w:rPr>
              <w:t xml:space="preserve">  3％ </w:t>
            </w:r>
            <w:r>
              <w:rPr>
                <w:rFonts w:hint="eastAsia" w:ascii="宋体" w:hAnsi="宋体" w:cs="宋体"/>
                <w:color w:val="auto"/>
                <w:spacing w:val="-4"/>
                <w:sz w:val="21"/>
                <w:szCs w:val="24"/>
                <w:highlight w:val="none"/>
                <w:u w:val="none"/>
                <w:lang w:val="en-US" w:eastAsia="zh-CN"/>
              </w:rPr>
              <w:t>至甲方对公账户作为工程质量保证金，甲方在收到乙方缴纳的工程质量保证金后出具相应金额的回执单给乙方。质保期届满</w:t>
            </w:r>
            <w:r>
              <w:rPr>
                <w:rFonts w:hint="eastAsia" w:ascii="宋体" w:hAnsi="宋体" w:cs="宋体"/>
                <w:color w:val="auto"/>
                <w:spacing w:val="-4"/>
                <w:sz w:val="21"/>
                <w:szCs w:val="24"/>
                <w:highlight w:val="none"/>
                <w:u w:val="single"/>
                <w:lang w:val="en-US" w:eastAsia="zh-CN"/>
              </w:rPr>
              <w:t xml:space="preserve">  5  </w:t>
            </w:r>
            <w:r>
              <w:rPr>
                <w:rFonts w:hint="eastAsia" w:ascii="宋体" w:hAnsi="宋体" w:cs="宋体"/>
                <w:color w:val="auto"/>
                <w:spacing w:val="-4"/>
                <w:sz w:val="21"/>
                <w:szCs w:val="24"/>
                <w:highlight w:val="none"/>
                <w:u w:val="none"/>
                <w:lang w:val="en-US" w:eastAsia="zh-CN"/>
              </w:rPr>
              <w:t>年后且工程无质量问题，此工程质量保证金无息返还，质量保修期从该工程竣工验收合格之日起计算。</w:t>
            </w:r>
          </w:p>
          <w:p>
            <w:pPr>
              <w:numPr>
                <w:ilvl w:val="0"/>
                <w:numId w:val="0"/>
              </w:numPr>
              <w:spacing w:after="120" w:line="360" w:lineRule="auto"/>
              <w:ind w:firstLine="404" w:firstLineChars="200"/>
              <w:rPr>
                <w:rFonts w:hint="eastAsia" w:ascii="宋体" w:hAnsi="宋体"/>
                <w:b/>
                <w:bCs/>
                <w:color w:val="auto"/>
                <w:kern w:val="0"/>
                <w:szCs w:val="21"/>
                <w:highlight w:val="none"/>
              </w:rPr>
            </w:pPr>
            <w:r>
              <w:rPr>
                <w:rFonts w:hint="eastAsia" w:ascii="宋体" w:hAnsi="宋体" w:cs="宋体"/>
                <w:color w:val="auto"/>
                <w:spacing w:val="-4"/>
                <w:sz w:val="21"/>
                <w:szCs w:val="24"/>
                <w:highlight w:val="none"/>
                <w:u w:val="none"/>
                <w:lang w:val="en-US" w:eastAsia="zh-CN"/>
              </w:rPr>
              <w:t>质保期内若工程出现缺陷问题，乙方在接到甲方通知后3日内需安排相关人员对接甲方并进行维修；若乙方3日内未派人对接甲方和进场维修，甲方有权使用质保金聘请第三方单位对该缺陷问题进行维修处理且无需征得乙方同意；质保金不够承担维修费用的，甲方有权向乙方索赔不足部分维修费用，同时乙方还将向甲方赔偿结算总价</w:t>
            </w:r>
            <w:r>
              <w:rPr>
                <w:rFonts w:hint="eastAsia" w:ascii="宋体" w:hAnsi="宋体" w:cs="宋体"/>
                <w:color w:val="auto"/>
                <w:spacing w:val="-4"/>
                <w:sz w:val="21"/>
                <w:szCs w:val="24"/>
                <w:highlight w:val="none"/>
                <w:u w:val="single"/>
                <w:lang w:val="en-US" w:eastAsia="zh-CN"/>
              </w:rPr>
              <w:t xml:space="preserve">  3％ </w:t>
            </w:r>
            <w:r>
              <w:rPr>
                <w:rFonts w:hint="eastAsia" w:ascii="宋体" w:hAnsi="宋体" w:cs="宋体"/>
                <w:color w:val="auto"/>
                <w:spacing w:val="-4"/>
                <w:sz w:val="21"/>
                <w:szCs w:val="24"/>
                <w:highlight w:val="none"/>
                <w:u w:val="none"/>
                <w:lang w:val="en-US" w:eastAsia="zh-CN"/>
              </w:rPr>
              <w:t>的违约金。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default" w:ascii="宋体" w:hAnsi="宋体" w:eastAsia="宋体"/>
                <w:b/>
                <w:bCs/>
                <w:color w:val="auto"/>
                <w:kern w:val="0"/>
                <w:szCs w:val="21"/>
                <w:highlight w:val="none"/>
                <w:lang w:val="en-US" w:eastAsia="zh-CN"/>
              </w:rPr>
            </w:pPr>
            <w:r>
              <w:rPr>
                <w:rFonts w:hint="eastAsia" w:ascii="宋体" w:hAnsi="宋体"/>
                <w:b/>
                <w:bCs/>
                <w:color w:val="auto"/>
                <w:kern w:val="0"/>
                <w:szCs w:val="21"/>
                <w:highlight w:val="none"/>
                <w:lang w:val="en-US" w:eastAsia="zh-CN"/>
              </w:rPr>
              <w:t>10.9</w:t>
            </w:r>
          </w:p>
        </w:tc>
        <w:tc>
          <w:tcPr>
            <w:tcW w:w="1644" w:type="dxa"/>
            <w:vAlign w:val="center"/>
          </w:tcPr>
          <w:p>
            <w:pPr>
              <w:snapToGrid w:val="0"/>
              <w:spacing w:line="400" w:lineRule="exact"/>
              <w:jc w:val="center"/>
              <w:rPr>
                <w:rFonts w:hint="eastAsia" w:ascii="宋体" w:hAnsi="宋体"/>
                <w:b/>
                <w:bCs/>
                <w:color w:val="auto"/>
                <w:kern w:val="0"/>
                <w:szCs w:val="21"/>
                <w:highlight w:val="none"/>
                <w:lang w:val="en-US" w:eastAsia="zh-CN"/>
              </w:rPr>
            </w:pPr>
            <w:r>
              <w:rPr>
                <w:rFonts w:hint="eastAsia" w:ascii="宋体" w:hAnsi="宋体"/>
                <w:b/>
                <w:bCs/>
                <w:color w:val="auto"/>
                <w:kern w:val="0"/>
                <w:szCs w:val="21"/>
                <w:highlight w:val="none"/>
              </w:rPr>
              <w:t>低价风险担保</w:t>
            </w:r>
          </w:p>
        </w:tc>
        <w:tc>
          <w:tcPr>
            <w:tcW w:w="6490" w:type="dxa"/>
            <w:vAlign w:val="center"/>
          </w:tcPr>
          <w:p>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1、低价风险担保：中标价低于最高限价的85%时</w:t>
            </w:r>
            <w:r>
              <w:rPr>
                <w:rFonts w:hint="eastAsia" w:asciiTheme="minorEastAsia" w:hAnsiTheme="minorEastAsia" w:eastAsiaTheme="minorEastAsia" w:cstheme="minorEastAsia"/>
                <w:color w:val="auto"/>
                <w:kern w:val="0"/>
                <w:sz w:val="21"/>
                <w:szCs w:val="21"/>
                <w:highlight w:val="none"/>
                <w:lang w:val="en-US" w:eastAsia="zh-CN"/>
              </w:rPr>
              <w:t>向招标人</w:t>
            </w:r>
            <w:r>
              <w:rPr>
                <w:rFonts w:hint="eastAsia" w:asciiTheme="minorEastAsia" w:hAnsiTheme="minorEastAsia" w:eastAsiaTheme="minorEastAsia" w:cstheme="minorEastAsia"/>
                <w:color w:val="auto"/>
                <w:kern w:val="0"/>
                <w:sz w:val="21"/>
                <w:szCs w:val="21"/>
                <w:highlight w:val="none"/>
              </w:rPr>
              <w:t>提供，如不按时足额提供，视为中标人放弃中标，招标人有权不退还其投标保证金，</w:t>
            </w:r>
            <w:r>
              <w:rPr>
                <w:rFonts w:hint="eastAsia" w:asciiTheme="minorEastAsia" w:hAnsiTheme="minorEastAsia" w:eastAsiaTheme="minorEastAsia" w:cstheme="minorEastAsia"/>
                <w:color w:val="auto"/>
                <w:sz w:val="21"/>
                <w:szCs w:val="21"/>
                <w:highlight w:val="none"/>
              </w:rPr>
              <w:t>并报招标投标监督部门，纳入重点关注名单</w:t>
            </w:r>
            <w:r>
              <w:rPr>
                <w:rFonts w:hint="eastAsia" w:asciiTheme="minorEastAsia" w:hAnsiTheme="minorEastAsia" w:eastAsiaTheme="minorEastAsia" w:cstheme="minorEastAsia"/>
                <w:color w:val="auto"/>
                <w:kern w:val="0"/>
                <w:sz w:val="21"/>
                <w:szCs w:val="21"/>
                <w:highlight w:val="none"/>
              </w:rPr>
              <w:t>。</w:t>
            </w:r>
          </w:p>
          <w:p>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2、中标人提供低价风险担保的形式、金额及期限：</w:t>
            </w:r>
          </w:p>
          <w:p>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（1）低价风险担保的形式：现金或银行保函</w:t>
            </w:r>
            <w:r>
              <w:rPr>
                <w:rFonts w:hint="eastAsia" w:asciiTheme="minorEastAsia" w:hAnsiTheme="minorEastAsia" w:eastAsiaTheme="minorEastAsia" w:cstheme="minorEastAsia"/>
                <w:color w:val="auto"/>
                <w:sz w:val="21"/>
                <w:szCs w:val="21"/>
                <w:highlight w:val="none"/>
              </w:rPr>
              <w:t>或现金+银行保函的组合；采用银行保函形式的，保函必须为不可撤销、不可转让且见索即付的独立保函</w:t>
            </w:r>
            <w:r>
              <w:rPr>
                <w:rFonts w:hint="eastAsia" w:asciiTheme="minorEastAsia" w:hAnsiTheme="minorEastAsia" w:eastAsiaTheme="minorEastAsia" w:cstheme="minorEastAsia"/>
                <w:color w:val="auto"/>
                <w:kern w:val="0"/>
                <w:sz w:val="21"/>
                <w:szCs w:val="21"/>
                <w:highlight w:val="none"/>
              </w:rPr>
              <w:t>。</w:t>
            </w:r>
          </w:p>
          <w:p>
            <w:pPr>
              <w:autoSpaceDE w:val="0"/>
              <w:autoSpaceDN w:val="0"/>
              <w:adjustRightInd w:val="0"/>
              <w:snapToGrid w:val="0"/>
              <w:spacing w:line="400" w:lineRule="exact"/>
              <w:ind w:firstLine="420" w:firstLineChars="200"/>
              <w:rPr>
                <w:rStyle w:val="54"/>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（2）低价风险担保的金额：（最高限价×85%-中标价）×□1□2</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3</w:t>
            </w:r>
            <w:r>
              <w:rPr>
                <w:rStyle w:val="54"/>
                <w:rFonts w:hint="eastAsia" w:asciiTheme="minorEastAsia" w:hAnsiTheme="minorEastAsia" w:eastAsiaTheme="minorEastAsia" w:cstheme="minorEastAsia"/>
                <w:color w:val="auto"/>
                <w:sz w:val="21"/>
                <w:szCs w:val="21"/>
                <w:highlight w:val="none"/>
              </w:rPr>
              <w:t>，且最高不超过最高限价的85%</w:t>
            </w:r>
            <w:r>
              <w:rPr>
                <w:rStyle w:val="54"/>
                <w:rFonts w:hint="eastAsia" w:asciiTheme="minorEastAsia" w:hAnsiTheme="minorEastAsia" w:eastAsiaTheme="minorEastAsia" w:cstheme="minorEastAsia"/>
                <w:color w:val="auto"/>
                <w:sz w:val="21"/>
                <w:szCs w:val="21"/>
                <w:highlight w:val="none"/>
                <w:lang w:eastAsia="zh-CN"/>
              </w:rPr>
              <w:t>。</w:t>
            </w:r>
          </w:p>
          <w:p>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（3）低价风险担保的提交时间：</w:t>
            </w:r>
            <w:r>
              <w:rPr>
                <w:rFonts w:hint="eastAsia" w:asciiTheme="minorEastAsia" w:hAnsiTheme="minorEastAsia" w:eastAsiaTheme="minorEastAsia" w:cstheme="minorEastAsia"/>
                <w:color w:val="auto"/>
                <w:kern w:val="0"/>
                <w:sz w:val="21"/>
                <w:szCs w:val="21"/>
                <w:highlight w:val="none"/>
                <w:u w:val="single"/>
              </w:rPr>
              <w:t>合同签订前</w:t>
            </w:r>
            <w:r>
              <w:rPr>
                <w:rFonts w:hint="eastAsia" w:asciiTheme="minorEastAsia" w:hAnsiTheme="minorEastAsia" w:eastAsiaTheme="minorEastAsia" w:cstheme="minorEastAsia"/>
                <w:color w:val="auto"/>
                <w:kern w:val="0"/>
                <w:sz w:val="21"/>
                <w:szCs w:val="21"/>
                <w:highlight w:val="none"/>
              </w:rPr>
              <w:t>。</w:t>
            </w:r>
          </w:p>
          <w:p>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（4）中标人因自身原因未按中标通知书规定的时限与招标人签订合同的，招标人有权扣除其低价风险担保并取消中标资格。</w:t>
            </w:r>
          </w:p>
          <w:p>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（5）低价风险担保的期限：</w:t>
            </w:r>
            <w:r>
              <w:rPr>
                <w:rFonts w:hint="eastAsia" w:asciiTheme="minorEastAsia" w:hAnsiTheme="minorEastAsia" w:eastAsiaTheme="minorEastAsia" w:cstheme="minorEastAsia"/>
                <w:color w:val="auto"/>
                <w:kern w:val="0"/>
                <w:sz w:val="21"/>
                <w:szCs w:val="21"/>
                <w:highlight w:val="none"/>
                <w:u w:val="single"/>
              </w:rPr>
              <w:t>自低价风险担保生效之日起至竣工验收合格之日止</w:t>
            </w:r>
            <w:r>
              <w:rPr>
                <w:rFonts w:hint="eastAsia" w:asciiTheme="minorEastAsia" w:hAnsiTheme="minorEastAsia" w:eastAsiaTheme="minorEastAsia" w:cstheme="minorEastAsia"/>
                <w:color w:val="auto"/>
                <w:kern w:val="0"/>
                <w:sz w:val="21"/>
                <w:szCs w:val="21"/>
                <w:highlight w:val="none"/>
              </w:rPr>
              <w:t>。</w:t>
            </w:r>
          </w:p>
          <w:p>
            <w:pPr>
              <w:widowControl/>
              <w:spacing w:line="40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3、低价风险担保的退还时间：采用现金担保的，工程竣工验收合格后14天内退还，合同履行期间允许承包人用符合要求的银行保函进行置换；采用银行保函的，工程竣工验收合格后14天内退还。</w:t>
            </w:r>
          </w:p>
          <w:p>
            <w:pPr>
              <w:widowControl/>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拟中标人或者中标人放弃中标项目，无正当理由不与招标人签订合同，在签订合同时向招标人提出附加条件或者更改合同实质性内容，或者拒不按照招标文件规定提交低价风险担保或履约担保的，取消其中标资格，投标保证金不予退还，给招标人造成的损失超过投标保证金数额的，拟中标人或中标人应对超过部分予以赔偿。</w:t>
            </w:r>
          </w:p>
          <w:p>
            <w:pPr>
              <w:widowControl/>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备注：当中标人或拟中标人未按时提交低价风险担保，且属于可以延长低价风险担保提交期限的特殊情形时，经招标人同意，可适当延长低价风险担保的提交期限。</w:t>
            </w:r>
          </w:p>
          <w:p>
            <w:pPr>
              <w:pStyle w:val="17"/>
              <w:widowControl/>
              <w:spacing w:line="400" w:lineRule="exact"/>
              <w:ind w:firstLine="420" w:firstLineChars="200"/>
              <w:rPr>
                <w:rFonts w:hint="eastAsia" w:ascii="宋体" w:hAnsi="宋体"/>
                <w:b/>
                <w:bCs/>
                <w:color w:val="auto"/>
                <w:kern w:val="0"/>
                <w:szCs w:val="21"/>
                <w:highlight w:val="none"/>
              </w:rPr>
            </w:pPr>
            <w:r>
              <w:rPr>
                <w:rFonts w:hint="eastAsia" w:asciiTheme="minorEastAsia" w:hAnsiTheme="minorEastAsia" w:eastAsiaTheme="minorEastAsia" w:cstheme="minorEastAsia"/>
                <w:color w:val="auto"/>
                <w:sz w:val="21"/>
                <w:szCs w:val="21"/>
                <w:highlight w:val="none"/>
              </w:rPr>
              <w:t>5、投标总报价低于最高限价85%的，投标人应在编制投标文件时，在投标函部分中递交低价风险担保提交承诺书。承诺书格式详见第八章投标文件格式。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default" w:ascii="宋体" w:hAnsi="宋体"/>
                <w:b/>
                <w:bCs/>
                <w:color w:val="auto"/>
                <w:kern w:val="0"/>
                <w:szCs w:val="21"/>
                <w:highlight w:val="none"/>
                <w:lang w:val="en-US" w:eastAsia="zh-CN"/>
              </w:rPr>
            </w:pPr>
            <w:r>
              <w:rPr>
                <w:rFonts w:hint="eastAsia" w:ascii="宋体" w:hAnsi="宋体"/>
                <w:b/>
                <w:bCs/>
                <w:color w:val="auto"/>
                <w:kern w:val="0"/>
                <w:szCs w:val="21"/>
                <w:highlight w:val="none"/>
                <w:lang w:val="en-US" w:eastAsia="zh-CN"/>
              </w:rPr>
              <w:t>10.10</w:t>
            </w:r>
          </w:p>
        </w:tc>
        <w:tc>
          <w:tcPr>
            <w:tcW w:w="1644" w:type="dxa"/>
            <w:vAlign w:val="center"/>
          </w:tcPr>
          <w:p>
            <w:pPr>
              <w:snapToGrid w:val="0"/>
              <w:spacing w:line="400" w:lineRule="exact"/>
              <w:jc w:val="center"/>
              <w:rPr>
                <w:rFonts w:hint="eastAsia" w:ascii="宋体" w:hAnsi="宋体"/>
                <w:color w:val="auto"/>
                <w:kern w:val="0"/>
                <w:szCs w:val="21"/>
                <w:highlight w:val="none"/>
              </w:rPr>
            </w:pPr>
            <w:r>
              <w:rPr>
                <w:rFonts w:ascii="宋体" w:hAnsi="宋体"/>
                <w:b/>
                <w:bCs/>
                <w:color w:val="auto"/>
                <w:kern w:val="0"/>
                <w:szCs w:val="21"/>
                <w:highlight w:val="none"/>
              </w:rPr>
              <w:t>履约担保</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1、中标人是否提供履约担保：</w:t>
            </w:r>
            <w:r>
              <w:rPr>
                <w:rFonts w:hint="eastAsia" w:ascii="宋体" w:hAnsi="宋体"/>
                <w:color w:val="auto"/>
                <w:kern w:val="0"/>
                <w:szCs w:val="21"/>
                <w:highlight w:val="none"/>
                <w:u w:val="single"/>
              </w:rPr>
              <w:t>向招标人提供</w:t>
            </w:r>
            <w:r>
              <w:rPr>
                <w:rFonts w:hint="eastAsia" w:ascii="宋体" w:hAnsi="宋体"/>
                <w:color w:val="auto"/>
                <w:kern w:val="0"/>
                <w:szCs w:val="21"/>
                <w:highlight w:val="none"/>
              </w:rPr>
              <w:t>。</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2、中标人提供履约担保的形式、金额及期限：</w:t>
            </w:r>
          </w:p>
          <w:p>
            <w:pPr>
              <w:snapToGrid w:val="0"/>
              <w:spacing w:line="400" w:lineRule="exact"/>
              <w:ind w:firstLine="420" w:firstLineChars="200"/>
              <w:rPr>
                <w:rFonts w:hint="eastAsia" w:ascii="宋体" w:hAnsi="宋体"/>
                <w:color w:val="auto"/>
                <w:kern w:val="0"/>
                <w:szCs w:val="21"/>
                <w:highlight w:val="none"/>
                <w:lang w:val="en-US" w:eastAsia="zh-CN"/>
              </w:rPr>
            </w:pPr>
            <w:r>
              <w:rPr>
                <w:rFonts w:hint="eastAsia" w:ascii="宋体" w:hAnsi="宋体"/>
                <w:color w:val="auto"/>
                <w:kern w:val="0"/>
                <w:szCs w:val="21"/>
                <w:highlight w:val="none"/>
              </w:rPr>
              <w:t>（1）履约担保的形式：</w:t>
            </w:r>
            <w:r>
              <w:rPr>
                <w:rFonts w:hint="eastAsia" w:ascii="宋体" w:hAnsi="宋体"/>
                <w:color w:val="auto"/>
                <w:kern w:val="0"/>
                <w:szCs w:val="21"/>
                <w:highlight w:val="none"/>
                <w:u w:val="single"/>
              </w:rPr>
              <w:t>现金或</w:t>
            </w:r>
            <w:r>
              <w:rPr>
                <w:rFonts w:hint="eastAsia" w:ascii="宋体" w:hAnsi="宋体"/>
                <w:color w:val="auto"/>
                <w:kern w:val="0"/>
                <w:szCs w:val="21"/>
                <w:highlight w:val="none"/>
                <w:u w:val="single"/>
                <w:lang w:val="en-US" w:eastAsia="zh-CN"/>
              </w:rPr>
              <w:t>履约</w:t>
            </w:r>
            <w:r>
              <w:rPr>
                <w:rFonts w:hint="eastAsia" w:ascii="宋体" w:hAnsi="宋体"/>
                <w:color w:val="auto"/>
                <w:kern w:val="0"/>
                <w:szCs w:val="21"/>
                <w:highlight w:val="none"/>
                <w:u w:val="single"/>
              </w:rPr>
              <w:t>保函或现金+</w:t>
            </w:r>
            <w:r>
              <w:rPr>
                <w:rFonts w:hint="eastAsia" w:ascii="宋体" w:hAnsi="宋体"/>
                <w:color w:val="auto"/>
                <w:kern w:val="0"/>
                <w:szCs w:val="21"/>
                <w:highlight w:val="none"/>
                <w:u w:val="single"/>
                <w:lang w:val="en-US" w:eastAsia="zh-CN"/>
              </w:rPr>
              <w:t>履约</w:t>
            </w:r>
            <w:r>
              <w:rPr>
                <w:rFonts w:hint="eastAsia" w:ascii="宋体" w:hAnsi="宋体"/>
                <w:color w:val="auto"/>
                <w:kern w:val="0"/>
                <w:szCs w:val="21"/>
                <w:highlight w:val="none"/>
                <w:u w:val="single"/>
              </w:rPr>
              <w:t>保函的组合</w:t>
            </w:r>
            <w:r>
              <w:rPr>
                <w:rFonts w:hint="eastAsia" w:ascii="宋体" w:hAnsi="宋体"/>
                <w:color w:val="auto"/>
                <w:kern w:val="0"/>
                <w:szCs w:val="21"/>
                <w:highlight w:val="none"/>
                <w:u w:val="single"/>
                <w:lang w:eastAsia="zh-CN"/>
              </w:rPr>
              <w:t>，履约</w:t>
            </w:r>
            <w:r>
              <w:rPr>
                <w:rFonts w:hint="eastAsia" w:ascii="宋体" w:hAnsi="宋体"/>
                <w:color w:val="auto"/>
                <w:kern w:val="0"/>
                <w:szCs w:val="21"/>
                <w:highlight w:val="none"/>
                <w:u w:val="single"/>
              </w:rPr>
              <w:t>保函包括银行保函、保证保险和担保保函</w:t>
            </w:r>
            <w:r>
              <w:rPr>
                <w:rFonts w:hint="eastAsia" w:ascii="宋体" w:hAnsi="宋体"/>
                <w:color w:val="auto"/>
                <w:szCs w:val="21"/>
                <w:highlight w:val="none"/>
                <w:lang w:val="en-US" w:eastAsia="zh-CN"/>
              </w:rPr>
              <w:t>。</w:t>
            </w:r>
          </w:p>
          <w:p>
            <w:pPr>
              <w:snapToGrid w:val="0"/>
              <w:spacing w:line="400" w:lineRule="exact"/>
              <w:ind w:firstLine="420" w:firstLineChars="200"/>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（2）具体要求：履约保函</w:t>
            </w:r>
            <w:r>
              <w:rPr>
                <w:rFonts w:hint="eastAsia" w:ascii="宋体" w:hAnsi="宋体"/>
                <w:color w:val="auto"/>
                <w:kern w:val="0"/>
                <w:szCs w:val="21"/>
                <w:highlight w:val="none"/>
              </w:rPr>
              <w:t>的开立人应当是具有相应资格的银行、保险机构、融资担保公司，其信用资质、履约能力、担保能力、赔付流程、安全保密等应符合</w:t>
            </w:r>
            <w:r>
              <w:rPr>
                <w:rFonts w:hint="eastAsia" w:ascii="宋体" w:hAnsi="宋体"/>
                <w:color w:val="auto"/>
                <w:kern w:val="0"/>
                <w:szCs w:val="21"/>
                <w:highlight w:val="none"/>
                <w:lang w:eastAsia="zh-CN"/>
              </w:rPr>
              <w:t>履约</w:t>
            </w:r>
            <w:r>
              <w:rPr>
                <w:rFonts w:hint="eastAsia" w:ascii="宋体" w:hAnsi="宋体"/>
                <w:color w:val="auto"/>
                <w:kern w:val="0"/>
                <w:szCs w:val="21"/>
                <w:highlight w:val="none"/>
              </w:rPr>
              <w:t>保函业务条件</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履约保函</w:t>
            </w:r>
            <w:r>
              <w:rPr>
                <w:rFonts w:hint="eastAsia" w:ascii="宋体" w:hAnsi="宋体"/>
                <w:color w:val="auto"/>
                <w:kern w:val="0"/>
                <w:szCs w:val="21"/>
                <w:highlight w:val="none"/>
                <w:lang w:eastAsia="zh-CN"/>
              </w:rPr>
              <w:t>应合法合规，符合招投标行政监督部门、行业主管部门和金融监管部门的相关规定，满足招标文件约定要求。</w:t>
            </w:r>
            <w:r>
              <w:rPr>
                <w:rFonts w:hint="eastAsia" w:ascii="宋体" w:hAnsi="宋体"/>
                <w:color w:val="auto"/>
                <w:kern w:val="0"/>
                <w:szCs w:val="21"/>
                <w:highlight w:val="none"/>
                <w:lang w:val="en-US" w:eastAsia="zh-CN"/>
              </w:rPr>
              <w:t>中标人</w:t>
            </w:r>
            <w:r>
              <w:rPr>
                <w:rFonts w:hint="eastAsia" w:ascii="宋体" w:hAnsi="宋体"/>
                <w:color w:val="auto"/>
                <w:kern w:val="0"/>
                <w:szCs w:val="21"/>
                <w:highlight w:val="none"/>
              </w:rPr>
              <w:t>应选择在渝依法设立总部或者设有分支机构的金融机构开具</w:t>
            </w:r>
            <w:r>
              <w:rPr>
                <w:rFonts w:hint="eastAsia" w:ascii="宋体" w:hAnsi="宋体"/>
                <w:color w:val="auto"/>
                <w:kern w:val="0"/>
                <w:szCs w:val="21"/>
                <w:highlight w:val="none"/>
                <w:lang w:val="en-US" w:eastAsia="zh-CN"/>
              </w:rPr>
              <w:t>履约保函（包括纸质保函或电子保函）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履约保函为纸质保函的，纸质保函应注明在</w:t>
            </w:r>
            <w:r>
              <w:rPr>
                <w:rFonts w:hint="eastAsia" w:ascii="宋体" w:hAnsi="宋体"/>
                <w:color w:val="auto"/>
                <w:kern w:val="0"/>
                <w:szCs w:val="21"/>
                <w:highlight w:val="none"/>
              </w:rPr>
              <w:t>重庆市辖区范围内的核验地址和核验方式</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并确保该纸质保函能在开立人在渝的总部或者分支机构进行核验</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中标人对所提交的履约保函的真实性、合法性、有效性负责。</w:t>
            </w:r>
          </w:p>
          <w:p>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）履约担保的金额：</w:t>
            </w:r>
            <w:r>
              <w:rPr>
                <w:rFonts w:hint="eastAsia" w:ascii="宋体" w:hAnsi="宋体"/>
                <w:color w:val="auto"/>
                <w:kern w:val="0"/>
                <w:szCs w:val="21"/>
                <w:highlight w:val="none"/>
                <w:u w:val="single"/>
              </w:rPr>
              <w:t>中标合同金额的10%</w:t>
            </w:r>
            <w:r>
              <w:rPr>
                <w:rFonts w:hint="eastAsia" w:ascii="宋体" w:hAnsi="宋体"/>
                <w:color w:val="auto"/>
                <w:kern w:val="0"/>
                <w:szCs w:val="21"/>
                <w:highlight w:val="none"/>
              </w:rPr>
              <w:t>。</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rPr>
              <w:t>）履约担保的提交时间：合同签订前。</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5</w:t>
            </w:r>
            <w:r>
              <w:rPr>
                <w:rFonts w:hint="eastAsia" w:ascii="宋体" w:hAnsi="宋体"/>
                <w:color w:val="auto"/>
                <w:kern w:val="0"/>
                <w:szCs w:val="21"/>
                <w:highlight w:val="none"/>
              </w:rPr>
              <w:t>）履约担保的期限：</w:t>
            </w:r>
            <w:r>
              <w:rPr>
                <w:rFonts w:hint="eastAsia" w:ascii="宋体" w:hAnsi="宋体" w:eastAsia="宋体" w:cs="Times New Roman"/>
                <w:color w:val="auto"/>
                <w:kern w:val="0"/>
                <w:szCs w:val="21"/>
                <w:highlight w:val="none"/>
                <w:u w:val="single"/>
              </w:rPr>
              <w:t>自承包人法定代表人（或其委托代理人）签名并加盖单位公章之日起至发包人签发工程竣工报告之日止</w:t>
            </w:r>
            <w:r>
              <w:rPr>
                <w:rFonts w:hint="eastAsia" w:ascii="宋体" w:hAnsi="宋体"/>
                <w:color w:val="auto"/>
                <w:kern w:val="0"/>
                <w:szCs w:val="21"/>
                <w:highlight w:val="none"/>
              </w:rPr>
              <w:t>。</w:t>
            </w:r>
          </w:p>
          <w:p>
            <w:pPr>
              <w:snapToGrid w:val="0"/>
              <w:spacing w:after="62" w:afterLines="20"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6</w:t>
            </w:r>
            <w:r>
              <w:rPr>
                <w:rFonts w:hint="eastAsia" w:ascii="宋体" w:hAnsi="宋体"/>
                <w:color w:val="auto"/>
                <w:kern w:val="0"/>
                <w:szCs w:val="21"/>
                <w:highlight w:val="none"/>
              </w:rPr>
              <w:t>）履约担保的退还时间：</w:t>
            </w:r>
            <w:r>
              <w:rPr>
                <w:rFonts w:hint="eastAsia" w:ascii="宋体" w:hAnsi="宋体" w:eastAsia="宋体" w:cs="Times New Roman"/>
                <w:color w:val="auto"/>
                <w:kern w:val="0"/>
                <w:szCs w:val="21"/>
                <w:highlight w:val="none"/>
                <w:u w:val="single"/>
              </w:rPr>
              <w:t>采用现金担保的，工程竣工验收合格后一个月内退还；采用履约保函的，工程竣工验收合格后一个月内退还</w:t>
            </w:r>
            <w:r>
              <w:rPr>
                <w:rFonts w:hint="eastAsia" w:ascii="宋体" w:hAnsi="宋体"/>
                <w:color w:val="auto"/>
                <w:kern w:val="0"/>
                <w:szCs w:val="21"/>
                <w:highlight w:val="none"/>
              </w:rPr>
              <w:t>。</w:t>
            </w:r>
          </w:p>
        </w:tc>
      </w:tr>
    </w:tbl>
    <w:p>
      <w:pPr>
        <w:pStyle w:val="3"/>
        <w:spacing w:before="0" w:after="0" w:line="20" w:lineRule="exact"/>
        <w:rPr>
          <w:rFonts w:ascii="宋体" w:hAnsi="宋体"/>
          <w:b w:val="0"/>
          <w:snapToGrid w:val="0"/>
          <w:color w:val="auto"/>
          <w:highlight w:val="none"/>
        </w:rPr>
      </w:pPr>
    </w:p>
    <w:p>
      <w:pPr>
        <w:pStyle w:val="3"/>
        <w:spacing w:before="0" w:after="0" w:line="200" w:lineRule="exact"/>
        <w:rPr>
          <w:rFonts w:ascii="宋体" w:hAnsi="宋体"/>
          <w:b w:val="0"/>
          <w:snapToGrid w:val="0"/>
          <w:color w:val="auto"/>
          <w:highlight w:val="none"/>
        </w:rPr>
      </w:pPr>
      <w:r>
        <w:rPr>
          <w:rFonts w:ascii="宋体" w:hAnsi="宋体"/>
          <w:b w:val="0"/>
          <w:snapToGrid w:val="0"/>
          <w:color w:val="auto"/>
          <w:highlight w:val="none"/>
        </w:rPr>
        <w:br w:type="page"/>
      </w:r>
    </w:p>
    <w:p>
      <w:pPr>
        <w:pStyle w:val="3"/>
        <w:spacing w:before="0" w:after="0" w:line="360" w:lineRule="auto"/>
        <w:rPr>
          <w:rFonts w:ascii="宋体" w:hAnsi="宋体"/>
          <w:b w:val="0"/>
          <w:snapToGrid w:val="0"/>
          <w:color w:val="auto"/>
          <w:highlight w:val="none"/>
        </w:rPr>
      </w:pPr>
      <w:bookmarkStart w:id="121" w:name="_Toc840"/>
      <w:bookmarkStart w:id="122" w:name="_Toc57905830"/>
      <w:bookmarkStart w:id="123" w:name="_Toc509218710"/>
      <w:r>
        <w:rPr>
          <w:rFonts w:ascii="宋体" w:hAnsi="宋体"/>
          <w:b w:val="0"/>
          <w:snapToGrid w:val="0"/>
          <w:color w:val="auto"/>
          <w:highlight w:val="none"/>
        </w:rPr>
        <w:t>1.  总则</w:t>
      </w:r>
      <w:bookmarkEnd w:id="115"/>
      <w:bookmarkEnd w:id="116"/>
      <w:bookmarkEnd w:id="117"/>
      <w:bookmarkEnd w:id="118"/>
      <w:bookmarkEnd w:id="119"/>
      <w:bookmarkEnd w:id="120"/>
      <w:bookmarkEnd w:id="121"/>
      <w:bookmarkEnd w:id="122"/>
      <w:bookmarkEnd w:id="123"/>
    </w:p>
    <w:p>
      <w:pPr>
        <w:pStyle w:val="4"/>
        <w:snapToGrid w:val="0"/>
        <w:spacing w:before="0" w:after="0" w:line="360" w:lineRule="auto"/>
        <w:rPr>
          <w:rFonts w:ascii="宋体" w:hAnsi="宋体"/>
          <w:b w:val="0"/>
          <w:snapToGrid w:val="0"/>
          <w:color w:val="auto"/>
          <w:sz w:val="24"/>
          <w:szCs w:val="24"/>
          <w:highlight w:val="none"/>
        </w:rPr>
      </w:pPr>
      <w:bookmarkStart w:id="124" w:name="_Toc277082553"/>
      <w:bookmarkStart w:id="125" w:name="_Toc509218711"/>
      <w:bookmarkStart w:id="126" w:name="_Toc200513127"/>
      <w:bookmarkStart w:id="127" w:name="_Toc32232"/>
      <w:bookmarkStart w:id="128" w:name="_Toc287607747"/>
      <w:bookmarkStart w:id="129" w:name="_Toc287620686"/>
      <w:bookmarkStart w:id="130" w:name="_Toc224103318"/>
      <w:bookmarkStart w:id="131" w:name="_Toc430530436"/>
      <w:bookmarkStart w:id="132" w:name="_Toc57905831"/>
      <w:r>
        <w:rPr>
          <w:rFonts w:ascii="宋体" w:hAnsi="宋体"/>
          <w:b w:val="0"/>
          <w:snapToGrid w:val="0"/>
          <w:color w:val="auto"/>
          <w:sz w:val="24"/>
          <w:szCs w:val="24"/>
          <w:highlight w:val="none"/>
        </w:rPr>
        <w:t>1.1  项目概况</w:t>
      </w:r>
      <w:bookmarkEnd w:id="124"/>
      <w:bookmarkEnd w:id="125"/>
      <w:bookmarkEnd w:id="126"/>
      <w:bookmarkEnd w:id="127"/>
      <w:bookmarkEnd w:id="128"/>
      <w:bookmarkEnd w:id="129"/>
      <w:bookmarkEnd w:id="130"/>
      <w:bookmarkEnd w:id="131"/>
      <w:bookmarkEnd w:id="132"/>
    </w:p>
    <w:p>
      <w:pPr>
        <w:autoSpaceDE w:val="0"/>
        <w:autoSpaceDN w:val="0"/>
        <w:adjustRightInd w:val="0"/>
        <w:snapToGrid w:val="0"/>
        <w:spacing w:line="360" w:lineRule="auto"/>
        <w:ind w:firstLine="357" w:firstLineChars="170"/>
        <w:rPr>
          <w:rFonts w:ascii="宋体" w:hAnsi="宋体"/>
          <w:snapToGrid w:val="0"/>
          <w:color w:val="auto"/>
          <w:kern w:val="0"/>
          <w:szCs w:val="21"/>
          <w:highlight w:val="none"/>
        </w:rPr>
      </w:pPr>
      <w:r>
        <w:rPr>
          <w:rFonts w:ascii="宋体" w:hAnsi="宋体"/>
          <w:snapToGrid w:val="0"/>
          <w:color w:val="auto"/>
          <w:kern w:val="0"/>
          <w:szCs w:val="21"/>
          <w:highlight w:val="none"/>
        </w:rPr>
        <w:t>1.1.1  根据《中华人民共和国招标投标法》等有关法律、法规和规章的规定，本招标项目已具备招标条件，现对本</w:t>
      </w:r>
      <w:r>
        <w:rPr>
          <w:rFonts w:hint="eastAsia" w:ascii="宋体" w:hAnsi="宋体"/>
          <w:snapToGrid w:val="0"/>
          <w:color w:val="auto"/>
          <w:kern w:val="0"/>
          <w:szCs w:val="21"/>
          <w:highlight w:val="none"/>
        </w:rPr>
        <w:t>项目</w:t>
      </w:r>
      <w:r>
        <w:rPr>
          <w:rFonts w:ascii="宋体" w:hAnsi="宋体"/>
          <w:snapToGrid w:val="0"/>
          <w:color w:val="auto"/>
          <w:kern w:val="0"/>
          <w:szCs w:val="21"/>
          <w:highlight w:val="none"/>
        </w:rPr>
        <w:t>施工进行招标。</w:t>
      </w:r>
    </w:p>
    <w:p>
      <w:pPr>
        <w:autoSpaceDE w:val="0"/>
        <w:autoSpaceDN w:val="0"/>
        <w:adjustRightInd w:val="0"/>
        <w:snapToGrid w:val="0"/>
        <w:spacing w:line="360" w:lineRule="auto"/>
        <w:ind w:firstLine="357" w:firstLineChars="170"/>
        <w:rPr>
          <w:rFonts w:ascii="宋体" w:hAnsi="宋体"/>
          <w:snapToGrid w:val="0"/>
          <w:color w:val="auto"/>
          <w:kern w:val="0"/>
          <w:szCs w:val="21"/>
          <w:highlight w:val="none"/>
        </w:rPr>
      </w:pPr>
      <w:r>
        <w:rPr>
          <w:rFonts w:ascii="宋体" w:hAnsi="宋体"/>
          <w:snapToGrid w:val="0"/>
          <w:color w:val="auto"/>
          <w:kern w:val="0"/>
          <w:szCs w:val="21"/>
          <w:highlight w:val="none"/>
        </w:rPr>
        <w:t>1.1.2  本招标项目招标人：见投标人须知前附表。</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1.1.3  本招标项目招标代理机构：见投标人须知前附表。</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w:t>
      </w:r>
      <w:r>
        <w:rPr>
          <w:rFonts w:hint="eastAsia" w:ascii="宋体" w:hAnsi="宋体"/>
          <w:snapToGrid w:val="0"/>
          <w:color w:val="auto"/>
          <w:kern w:val="0"/>
          <w:szCs w:val="21"/>
          <w:highlight w:val="none"/>
        </w:rPr>
        <w:t>4</w:t>
      </w:r>
      <w:r>
        <w:rPr>
          <w:rFonts w:ascii="宋体" w:hAnsi="宋体"/>
          <w:snapToGrid w:val="0"/>
          <w:color w:val="auto"/>
          <w:kern w:val="0"/>
          <w:szCs w:val="21"/>
          <w:highlight w:val="none"/>
        </w:rPr>
        <w:t xml:space="preserve">  本招标项目名称：见投标人须知前附表。</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1.1.5  本招标项目建设地点：见投标人须知前附表。</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1.1.6  本招标项目建设规模：见投标人须知前附表。</w:t>
      </w:r>
    </w:p>
    <w:p>
      <w:pPr>
        <w:pStyle w:val="4"/>
        <w:snapToGrid w:val="0"/>
        <w:spacing w:before="0" w:after="0" w:line="360" w:lineRule="auto"/>
        <w:rPr>
          <w:rFonts w:ascii="宋体" w:hAnsi="宋体"/>
          <w:b w:val="0"/>
          <w:snapToGrid w:val="0"/>
          <w:color w:val="auto"/>
          <w:sz w:val="24"/>
          <w:szCs w:val="24"/>
          <w:highlight w:val="none"/>
        </w:rPr>
      </w:pPr>
      <w:bookmarkStart w:id="133" w:name="_Toc287620687"/>
      <w:bookmarkStart w:id="134" w:name="_Toc57905832"/>
      <w:bookmarkStart w:id="135" w:name="_Toc287607748"/>
      <w:bookmarkStart w:id="136" w:name="_Toc224103319"/>
      <w:bookmarkStart w:id="137" w:name="_Toc21567"/>
      <w:bookmarkStart w:id="138" w:name="_Toc430530437"/>
      <w:bookmarkStart w:id="139" w:name="_Toc277082554"/>
      <w:bookmarkStart w:id="140" w:name="_Toc200513128"/>
      <w:bookmarkStart w:id="141" w:name="_Toc509218712"/>
      <w:r>
        <w:rPr>
          <w:rFonts w:ascii="宋体" w:hAnsi="宋体"/>
          <w:b w:val="0"/>
          <w:snapToGrid w:val="0"/>
          <w:color w:val="auto"/>
          <w:sz w:val="24"/>
          <w:szCs w:val="24"/>
          <w:highlight w:val="none"/>
        </w:rPr>
        <w:t>1.2  资金来源和落实情况</w:t>
      </w:r>
      <w:bookmarkEnd w:id="133"/>
      <w:bookmarkEnd w:id="134"/>
      <w:bookmarkEnd w:id="135"/>
      <w:bookmarkEnd w:id="136"/>
      <w:bookmarkEnd w:id="137"/>
      <w:bookmarkEnd w:id="138"/>
      <w:bookmarkEnd w:id="139"/>
      <w:bookmarkEnd w:id="140"/>
      <w:bookmarkEnd w:id="141"/>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1.2.1  本招标项目的资金来源：见投标人须知前附表。</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1.2.2  本招标项目的出资比例：见投标人须知前附表。</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1.2.3  本招标项目的资金落实情况：见投标人须知前附表。</w:t>
      </w:r>
    </w:p>
    <w:p>
      <w:pPr>
        <w:pStyle w:val="4"/>
        <w:snapToGrid w:val="0"/>
        <w:spacing w:before="0" w:after="0" w:line="360" w:lineRule="auto"/>
        <w:rPr>
          <w:rFonts w:ascii="宋体" w:hAnsi="宋体"/>
          <w:b w:val="0"/>
          <w:snapToGrid w:val="0"/>
          <w:color w:val="auto"/>
          <w:sz w:val="24"/>
          <w:szCs w:val="24"/>
          <w:highlight w:val="none"/>
        </w:rPr>
      </w:pPr>
      <w:bookmarkStart w:id="142" w:name="_Toc4104"/>
      <w:bookmarkStart w:id="143" w:name="_Toc287607749"/>
      <w:bookmarkStart w:id="144" w:name="_Toc200513129"/>
      <w:bookmarkStart w:id="145" w:name="_Toc224103320"/>
      <w:bookmarkStart w:id="146" w:name="_Toc430530438"/>
      <w:bookmarkStart w:id="147" w:name="_Toc287620688"/>
      <w:bookmarkStart w:id="148" w:name="_Toc277082555"/>
      <w:bookmarkStart w:id="149" w:name="_Toc57905833"/>
      <w:bookmarkStart w:id="150" w:name="_Toc509218713"/>
      <w:r>
        <w:rPr>
          <w:rFonts w:ascii="宋体" w:hAnsi="宋体"/>
          <w:b w:val="0"/>
          <w:snapToGrid w:val="0"/>
          <w:color w:val="auto"/>
          <w:sz w:val="24"/>
          <w:szCs w:val="24"/>
          <w:highlight w:val="none"/>
        </w:rPr>
        <w:t>1.3  招标范围、计划工期和质量要求</w:t>
      </w:r>
      <w:bookmarkEnd w:id="142"/>
      <w:bookmarkEnd w:id="143"/>
      <w:bookmarkEnd w:id="144"/>
      <w:bookmarkEnd w:id="145"/>
      <w:bookmarkEnd w:id="146"/>
      <w:bookmarkEnd w:id="147"/>
      <w:bookmarkEnd w:id="148"/>
      <w:bookmarkEnd w:id="149"/>
      <w:bookmarkEnd w:id="150"/>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1.3.1  招标范围：见投标人须知前附表。</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1.3.2  计划工期：见投标人须知前附表。</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1.3.3  质量要求：见投标人须知前附表。</w:t>
      </w:r>
    </w:p>
    <w:p>
      <w:pPr>
        <w:pStyle w:val="4"/>
        <w:snapToGrid w:val="0"/>
        <w:spacing w:before="0" w:after="0" w:line="360" w:lineRule="auto"/>
        <w:rPr>
          <w:rFonts w:ascii="宋体" w:hAnsi="宋体"/>
          <w:b w:val="0"/>
          <w:snapToGrid w:val="0"/>
          <w:color w:val="auto"/>
          <w:sz w:val="24"/>
          <w:szCs w:val="24"/>
          <w:highlight w:val="none"/>
        </w:rPr>
      </w:pPr>
      <w:bookmarkStart w:id="151" w:name="_Toc200513131"/>
      <w:bookmarkStart w:id="152" w:name="_Toc57905835"/>
      <w:bookmarkStart w:id="153" w:name="_Toc287620690"/>
      <w:bookmarkStart w:id="154" w:name="_Toc1894"/>
      <w:bookmarkStart w:id="155" w:name="_Toc509218715"/>
      <w:bookmarkStart w:id="156" w:name="_Toc277082557"/>
      <w:bookmarkStart w:id="157" w:name="_Toc224103322"/>
      <w:bookmarkStart w:id="158" w:name="_Toc287607751"/>
      <w:bookmarkStart w:id="159" w:name="_Toc430530440"/>
      <w:r>
        <w:rPr>
          <w:rFonts w:ascii="宋体" w:hAnsi="宋体"/>
          <w:b w:val="0"/>
          <w:snapToGrid w:val="0"/>
          <w:color w:val="auto"/>
          <w:sz w:val="24"/>
          <w:szCs w:val="24"/>
          <w:highlight w:val="none"/>
        </w:rPr>
        <w:t>1.4  投标人资格要求</w:t>
      </w:r>
      <w:bookmarkEnd w:id="151"/>
      <w:bookmarkEnd w:id="152"/>
      <w:bookmarkEnd w:id="153"/>
      <w:bookmarkEnd w:id="154"/>
      <w:bookmarkEnd w:id="155"/>
      <w:bookmarkEnd w:id="156"/>
      <w:bookmarkEnd w:id="157"/>
      <w:bookmarkEnd w:id="158"/>
      <w:bookmarkEnd w:id="159"/>
    </w:p>
    <w:p>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1.4.1 投标人应具备承担本标段施工的资质条件、能力和信誉。</w:t>
      </w:r>
    </w:p>
    <w:p>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ascii="宋体" w:hAnsi="宋体"/>
          <w:color w:val="auto"/>
          <w:szCs w:val="21"/>
          <w:highlight w:val="none"/>
        </w:rPr>
        <w:t>资质条件、营业执照及安全生产条件</w:t>
      </w:r>
      <w:r>
        <w:rPr>
          <w:rFonts w:ascii="宋体" w:hAnsi="宋体"/>
          <w:snapToGrid w:val="0"/>
          <w:color w:val="auto"/>
          <w:kern w:val="0"/>
          <w:szCs w:val="21"/>
          <w:highlight w:val="none"/>
        </w:rPr>
        <w:t>：见投标人须知前附表；</w:t>
      </w:r>
    </w:p>
    <w:p>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（2）财务要求：见投标人须知前附表；</w:t>
      </w:r>
    </w:p>
    <w:p>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（3）业绩要求：见投标人须知前附表；</w:t>
      </w:r>
    </w:p>
    <w:p>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（4）</w:t>
      </w:r>
      <w:r>
        <w:rPr>
          <w:rFonts w:hint="eastAsia" w:ascii="宋体" w:hAnsi="宋体"/>
          <w:snapToGrid w:val="0"/>
          <w:color w:val="auto"/>
          <w:kern w:val="0"/>
          <w:szCs w:val="21"/>
          <w:highlight w:val="none"/>
        </w:rPr>
        <w:t>投标截止日投标资格情况</w:t>
      </w:r>
      <w:r>
        <w:rPr>
          <w:rFonts w:ascii="宋体" w:hAnsi="宋体"/>
          <w:snapToGrid w:val="0"/>
          <w:color w:val="auto"/>
          <w:kern w:val="0"/>
          <w:szCs w:val="21"/>
          <w:highlight w:val="none"/>
        </w:rPr>
        <w:t>：见投标人须知前附表；</w:t>
      </w:r>
    </w:p>
    <w:p>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（5）项目经理资格</w:t>
      </w:r>
      <w:r>
        <w:rPr>
          <w:rFonts w:hint="eastAsia" w:ascii="宋体" w:hAnsi="宋体"/>
          <w:snapToGrid w:val="0"/>
          <w:color w:val="auto"/>
          <w:kern w:val="0"/>
          <w:szCs w:val="21"/>
          <w:highlight w:val="none"/>
        </w:rPr>
        <w:t>要求</w:t>
      </w:r>
      <w:r>
        <w:rPr>
          <w:rFonts w:ascii="宋体" w:hAnsi="宋体"/>
          <w:snapToGrid w:val="0"/>
          <w:color w:val="auto"/>
          <w:kern w:val="0"/>
          <w:szCs w:val="21"/>
          <w:highlight w:val="none"/>
        </w:rPr>
        <w:t>：见投标人须知前附表；</w:t>
      </w:r>
    </w:p>
    <w:p>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（6）其他要求：见投标人须知前附表。</w:t>
      </w:r>
    </w:p>
    <w:p>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1.4.2  投标人须知前附表规定接受联合体投标的，除应符合本章第1.4.1项和投标人须知前附表的要求外，还应遵守以下规定：</w:t>
      </w:r>
    </w:p>
    <w:p>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（1）联合体各方应按招标文件提供的格式签订联合体协议书，明确联合体牵头人和各方权利义务；</w:t>
      </w:r>
    </w:p>
    <w:p>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（2）联合体各方均应当具备承担招标项目的相应能力；联合体协议约定同一专业分工由两个及以上单位共同承担的，</w:t>
      </w:r>
      <w:r>
        <w:rPr>
          <w:rFonts w:hint="eastAsia" w:ascii="宋体" w:hAnsi="宋体"/>
          <w:snapToGrid w:val="0"/>
          <w:color w:val="auto"/>
          <w:kern w:val="0"/>
          <w:szCs w:val="21"/>
          <w:highlight w:val="none"/>
        </w:rPr>
        <w:t>按照资质等级较低的单位确定资质等级</w:t>
      </w:r>
      <w:r>
        <w:rPr>
          <w:rFonts w:ascii="宋体" w:hAnsi="宋体"/>
          <w:snapToGrid w:val="0"/>
          <w:color w:val="auto"/>
          <w:kern w:val="0"/>
          <w:szCs w:val="21"/>
          <w:highlight w:val="none"/>
        </w:rPr>
        <w:t>；</w:t>
      </w:r>
    </w:p>
    <w:p>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（3）联合体各方不得再以自己名义单独或参加其他联合体在同一标段中投标。</w:t>
      </w:r>
    </w:p>
    <w:p>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1.4.3  投标人不得存在下列情形之一：</w:t>
      </w:r>
    </w:p>
    <w:p>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position w:val="-2"/>
          <w:szCs w:val="21"/>
          <w:highlight w:val="none"/>
        </w:rPr>
        <w:t>（1）与招标人存在利害关系可能影响招标公正性的法人、其他组织或者个人；</w:t>
      </w:r>
    </w:p>
    <w:p>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（2）为本标段前期准备提供设计或咨询服务的，但设计施工总承包的除外；</w:t>
      </w:r>
    </w:p>
    <w:p>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（3）为本标段的监理人；</w:t>
      </w:r>
    </w:p>
    <w:p>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（4）为本标段的代建人；</w:t>
      </w:r>
    </w:p>
    <w:p>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（5）为本标段提供招标代理服务的；</w:t>
      </w:r>
    </w:p>
    <w:p>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（6）与本标段的监理人或代建人或招标代理机构同为一个法定代表人的；</w:t>
      </w:r>
    </w:p>
    <w:p>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（7）与本标段的监理人或代建人或招标代理机构</w:t>
      </w:r>
      <w:r>
        <w:rPr>
          <w:rFonts w:hint="eastAsia" w:ascii="宋体" w:hAnsi="宋体"/>
          <w:snapToGrid w:val="0"/>
          <w:color w:val="auto"/>
          <w:kern w:val="0"/>
          <w:szCs w:val="21"/>
          <w:highlight w:val="none"/>
          <w:lang w:val="en-US" w:eastAsia="zh-CN"/>
        </w:rPr>
        <w:t>存在</w:t>
      </w:r>
      <w:r>
        <w:rPr>
          <w:rFonts w:ascii="宋体" w:hAnsi="宋体"/>
          <w:snapToGrid w:val="0"/>
          <w:color w:val="auto"/>
          <w:kern w:val="0"/>
          <w:szCs w:val="21"/>
          <w:highlight w:val="none"/>
        </w:rPr>
        <w:t>控股或参股的；</w:t>
      </w:r>
    </w:p>
    <w:p>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（8）与本标段的监理人或代建人或招标代理机构</w:t>
      </w:r>
      <w:r>
        <w:rPr>
          <w:rFonts w:hint="default" w:ascii="宋体" w:hAnsi="宋体"/>
          <w:snapToGrid w:val="0"/>
          <w:color w:val="auto"/>
          <w:kern w:val="0"/>
          <w:szCs w:val="21"/>
          <w:highlight w:val="none"/>
          <w:lang w:val="en-US"/>
        </w:rPr>
        <w:t>相互</w:t>
      </w:r>
      <w:r>
        <w:rPr>
          <w:rFonts w:ascii="宋体" w:hAnsi="宋体"/>
          <w:snapToGrid w:val="0"/>
          <w:color w:val="auto"/>
          <w:kern w:val="0"/>
          <w:szCs w:val="21"/>
          <w:highlight w:val="none"/>
        </w:rPr>
        <w:t>任职或工作的；</w:t>
      </w:r>
    </w:p>
    <w:p>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（9）</w:t>
      </w:r>
      <w:r>
        <w:rPr>
          <w:rFonts w:asciiTheme="minorEastAsia" w:hAnsiTheme="minorEastAsia" w:eastAsiaTheme="minorEastAsia"/>
          <w:color w:val="auto"/>
          <w:szCs w:val="21"/>
          <w:highlight w:val="none"/>
        </w:rPr>
        <w:t>被责令停产停业、暂扣或者吊销许可证、暂扣或者吊销执照</w:t>
      </w:r>
      <w:r>
        <w:rPr>
          <w:rFonts w:ascii="宋体" w:hAnsi="宋体"/>
          <w:snapToGrid w:val="0"/>
          <w:color w:val="auto"/>
          <w:kern w:val="0"/>
          <w:szCs w:val="21"/>
          <w:highlight w:val="none"/>
        </w:rPr>
        <w:t>；</w:t>
      </w:r>
    </w:p>
    <w:p>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（10）</w:t>
      </w:r>
      <w:r>
        <w:rPr>
          <w:rFonts w:hint="eastAsia" w:ascii="宋体" w:hAnsi="宋体"/>
          <w:snapToGrid w:val="0"/>
          <w:color w:val="auto"/>
          <w:kern w:val="0"/>
          <w:szCs w:val="21"/>
          <w:highlight w:val="none"/>
        </w:rPr>
        <w:t>被国家、重庆市（含市或任意区县）有关行政部门处以暂停投标资格行政处罚，且在处罚期限内的</w:t>
      </w:r>
      <w:r>
        <w:rPr>
          <w:rFonts w:ascii="宋体" w:hAnsi="宋体"/>
          <w:snapToGrid w:val="0"/>
          <w:color w:val="auto"/>
          <w:kern w:val="0"/>
          <w:szCs w:val="21"/>
          <w:highlight w:val="none"/>
        </w:rPr>
        <w:t>；</w:t>
      </w:r>
    </w:p>
    <w:p>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（11）</w:t>
      </w:r>
      <w:r>
        <w:rPr>
          <w:rFonts w:asciiTheme="minorEastAsia" w:hAnsiTheme="minorEastAsia" w:eastAsiaTheme="minorEastAsia"/>
          <w:color w:val="auto"/>
          <w:szCs w:val="21"/>
          <w:highlight w:val="none"/>
        </w:rPr>
        <w:t>进入清算程序，或被宣告破产，或其他丧失履约能力的情形</w:t>
      </w:r>
      <w:r>
        <w:rPr>
          <w:rFonts w:ascii="宋体" w:hAnsi="宋体"/>
          <w:snapToGrid w:val="0"/>
          <w:color w:val="auto"/>
          <w:kern w:val="0"/>
          <w:szCs w:val="21"/>
          <w:highlight w:val="none"/>
        </w:rPr>
        <w:t>；</w:t>
      </w:r>
    </w:p>
    <w:p>
      <w:pPr>
        <w:autoSpaceDE w:val="0"/>
        <w:autoSpaceDN w:val="0"/>
        <w:adjustRightInd w:val="0"/>
        <w:snapToGrid w:val="0"/>
        <w:spacing w:line="360" w:lineRule="auto"/>
        <w:ind w:left="459" w:leftChars="190" w:hanging="60" w:hangingChars="29"/>
        <w:rPr>
          <w:rFonts w:ascii="宋体" w:hAnsi="宋体"/>
          <w:snapToGrid w:val="0"/>
          <w:color w:val="auto"/>
          <w:kern w:val="0"/>
          <w:szCs w:val="21"/>
          <w:highlight w:val="none"/>
        </w:rPr>
      </w:pPr>
      <w:r>
        <w:rPr>
          <w:rFonts w:ascii="宋体" w:hAnsi="宋体"/>
          <w:snapToGrid w:val="0"/>
          <w:color w:val="auto"/>
          <w:kern w:val="0"/>
          <w:szCs w:val="21"/>
          <w:highlight w:val="none"/>
        </w:rPr>
        <w:t>（12）</w:t>
      </w:r>
      <w:r>
        <w:rPr>
          <w:rFonts w:ascii="宋体" w:hAnsi="宋体"/>
          <w:color w:val="auto"/>
          <w:sz w:val="22"/>
          <w:szCs w:val="22"/>
          <w:highlight w:val="none"/>
        </w:rPr>
        <w:t>单位负责人为同一人或者存在控股、管理关系的不同单位，不得在同一标段中同时投</w:t>
      </w:r>
      <w:r>
        <w:rPr>
          <w:rFonts w:hint="eastAsia" w:ascii="宋体" w:hAnsi="宋体"/>
          <w:color w:val="auto"/>
          <w:sz w:val="22"/>
          <w:szCs w:val="22"/>
          <w:highlight w:val="none"/>
        </w:rPr>
        <w:t>标。</w:t>
      </w:r>
    </w:p>
    <w:p>
      <w:pPr>
        <w:pStyle w:val="4"/>
        <w:snapToGrid w:val="0"/>
        <w:spacing w:before="0" w:after="0" w:line="360" w:lineRule="auto"/>
        <w:rPr>
          <w:rFonts w:ascii="宋体" w:hAnsi="宋体"/>
          <w:b w:val="0"/>
          <w:snapToGrid w:val="0"/>
          <w:color w:val="auto"/>
          <w:sz w:val="24"/>
          <w:szCs w:val="24"/>
          <w:highlight w:val="none"/>
        </w:rPr>
      </w:pPr>
      <w:bookmarkStart w:id="160" w:name="_Toc200513132"/>
      <w:bookmarkStart w:id="161" w:name="_Toc57905836"/>
      <w:bookmarkStart w:id="162" w:name="_Toc287607752"/>
      <w:bookmarkStart w:id="163" w:name="_Toc509218716"/>
      <w:bookmarkStart w:id="164" w:name="_Toc20662"/>
      <w:bookmarkStart w:id="165" w:name="_Toc277082558"/>
      <w:bookmarkStart w:id="166" w:name="_Toc287620691"/>
      <w:bookmarkStart w:id="167" w:name="_Toc430530441"/>
      <w:bookmarkStart w:id="168" w:name="_Toc224103323"/>
      <w:r>
        <w:rPr>
          <w:rFonts w:ascii="宋体" w:hAnsi="宋体"/>
          <w:b w:val="0"/>
          <w:snapToGrid w:val="0"/>
          <w:color w:val="auto"/>
          <w:sz w:val="24"/>
          <w:szCs w:val="24"/>
          <w:highlight w:val="none"/>
        </w:rPr>
        <w:t>1.5  费用承担</w:t>
      </w:r>
      <w:bookmarkEnd w:id="160"/>
      <w:bookmarkEnd w:id="161"/>
      <w:bookmarkEnd w:id="162"/>
      <w:bookmarkEnd w:id="163"/>
      <w:bookmarkEnd w:id="164"/>
      <w:bookmarkEnd w:id="165"/>
      <w:bookmarkEnd w:id="166"/>
      <w:bookmarkEnd w:id="167"/>
      <w:bookmarkEnd w:id="168"/>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投标人准备和参加投标活动发生的费用自理。</w:t>
      </w:r>
    </w:p>
    <w:p>
      <w:pPr>
        <w:pStyle w:val="4"/>
        <w:snapToGrid w:val="0"/>
        <w:spacing w:before="0" w:after="0" w:line="360" w:lineRule="auto"/>
        <w:rPr>
          <w:rFonts w:ascii="宋体" w:hAnsi="宋体"/>
          <w:b w:val="0"/>
          <w:snapToGrid w:val="0"/>
          <w:color w:val="auto"/>
          <w:sz w:val="24"/>
          <w:szCs w:val="24"/>
          <w:highlight w:val="none"/>
        </w:rPr>
      </w:pPr>
      <w:bookmarkStart w:id="169" w:name="_Toc277082559"/>
      <w:bookmarkStart w:id="170" w:name="_Toc57905837"/>
      <w:bookmarkStart w:id="171" w:name="_Toc287620692"/>
      <w:bookmarkStart w:id="172" w:name="_Toc200513133"/>
      <w:bookmarkStart w:id="173" w:name="_Toc26130"/>
      <w:bookmarkStart w:id="174" w:name="_Toc287607753"/>
      <w:bookmarkStart w:id="175" w:name="_Toc224103324"/>
      <w:bookmarkStart w:id="176" w:name="_Toc430530442"/>
      <w:bookmarkStart w:id="177" w:name="_Toc509218717"/>
      <w:r>
        <w:rPr>
          <w:rFonts w:ascii="宋体" w:hAnsi="宋体"/>
          <w:b w:val="0"/>
          <w:snapToGrid w:val="0"/>
          <w:color w:val="auto"/>
          <w:sz w:val="24"/>
          <w:szCs w:val="24"/>
          <w:highlight w:val="none"/>
        </w:rPr>
        <w:t>1.6  保密</w:t>
      </w:r>
      <w:bookmarkEnd w:id="169"/>
      <w:bookmarkEnd w:id="170"/>
      <w:bookmarkEnd w:id="171"/>
      <w:bookmarkEnd w:id="172"/>
      <w:bookmarkEnd w:id="173"/>
      <w:bookmarkEnd w:id="174"/>
      <w:bookmarkEnd w:id="175"/>
      <w:bookmarkEnd w:id="176"/>
      <w:bookmarkEnd w:id="177"/>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参与招标投标活动的各方应对招标文件和投标文件中的商业和技术等秘密保密，违者应对由此造成的后果承担法律责任。</w:t>
      </w:r>
    </w:p>
    <w:p>
      <w:pPr>
        <w:pStyle w:val="4"/>
        <w:snapToGrid w:val="0"/>
        <w:spacing w:before="0" w:after="0" w:line="360" w:lineRule="auto"/>
        <w:rPr>
          <w:rFonts w:ascii="宋体" w:hAnsi="宋体"/>
          <w:b w:val="0"/>
          <w:snapToGrid w:val="0"/>
          <w:color w:val="auto"/>
          <w:sz w:val="24"/>
          <w:szCs w:val="24"/>
          <w:highlight w:val="none"/>
        </w:rPr>
      </w:pPr>
      <w:bookmarkStart w:id="178" w:name="_Toc430530443"/>
      <w:bookmarkStart w:id="179" w:name="_Toc287620693"/>
      <w:bookmarkStart w:id="180" w:name="_Toc277082560"/>
      <w:bookmarkStart w:id="181" w:name="_Toc509218718"/>
      <w:bookmarkStart w:id="182" w:name="_Toc57905838"/>
      <w:bookmarkStart w:id="183" w:name="_Toc287607754"/>
      <w:bookmarkStart w:id="184" w:name="_Toc200513134"/>
      <w:bookmarkStart w:id="185" w:name="_Toc1222"/>
      <w:bookmarkStart w:id="186" w:name="_Toc224103325"/>
      <w:r>
        <w:rPr>
          <w:rFonts w:ascii="宋体" w:hAnsi="宋体"/>
          <w:b w:val="0"/>
          <w:snapToGrid w:val="0"/>
          <w:color w:val="auto"/>
          <w:sz w:val="24"/>
          <w:szCs w:val="24"/>
          <w:highlight w:val="none"/>
        </w:rPr>
        <w:t>1.7  语言文字</w:t>
      </w:r>
      <w:bookmarkEnd w:id="178"/>
      <w:bookmarkEnd w:id="179"/>
      <w:bookmarkEnd w:id="180"/>
      <w:bookmarkEnd w:id="181"/>
      <w:bookmarkEnd w:id="182"/>
      <w:bookmarkEnd w:id="183"/>
      <w:bookmarkEnd w:id="184"/>
      <w:bookmarkEnd w:id="185"/>
      <w:bookmarkEnd w:id="186"/>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除专用术语外，与招标投标有关的语言均使用中文。必要时专用术语应附有中文注释。</w:t>
      </w:r>
    </w:p>
    <w:p>
      <w:pPr>
        <w:pStyle w:val="4"/>
        <w:snapToGrid w:val="0"/>
        <w:spacing w:before="0" w:after="0" w:line="360" w:lineRule="auto"/>
        <w:rPr>
          <w:rFonts w:ascii="宋体" w:hAnsi="宋体"/>
          <w:b w:val="0"/>
          <w:snapToGrid w:val="0"/>
          <w:color w:val="auto"/>
          <w:sz w:val="24"/>
          <w:szCs w:val="24"/>
          <w:highlight w:val="none"/>
        </w:rPr>
      </w:pPr>
      <w:bookmarkStart w:id="187" w:name="_Toc224103326"/>
      <w:bookmarkStart w:id="188" w:name="_Toc287620694"/>
      <w:bookmarkStart w:id="189" w:name="_Toc277082561"/>
      <w:bookmarkStart w:id="190" w:name="_Toc509218719"/>
      <w:bookmarkStart w:id="191" w:name="_Toc287607755"/>
      <w:bookmarkStart w:id="192" w:name="_Toc200513135"/>
      <w:bookmarkStart w:id="193" w:name="_Toc430530444"/>
      <w:bookmarkStart w:id="194" w:name="_Toc13374"/>
      <w:bookmarkStart w:id="195" w:name="_Toc57905839"/>
      <w:r>
        <w:rPr>
          <w:rFonts w:ascii="宋体" w:hAnsi="宋体"/>
          <w:b w:val="0"/>
          <w:snapToGrid w:val="0"/>
          <w:color w:val="auto"/>
          <w:sz w:val="24"/>
          <w:szCs w:val="24"/>
          <w:highlight w:val="none"/>
        </w:rPr>
        <w:t>1.8  计量单位</w:t>
      </w:r>
      <w:bookmarkEnd w:id="187"/>
      <w:bookmarkEnd w:id="188"/>
      <w:bookmarkEnd w:id="189"/>
      <w:bookmarkEnd w:id="190"/>
      <w:bookmarkEnd w:id="191"/>
      <w:bookmarkEnd w:id="192"/>
      <w:bookmarkEnd w:id="193"/>
      <w:bookmarkEnd w:id="194"/>
      <w:bookmarkEnd w:id="195"/>
    </w:p>
    <w:p>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所有计量均采用中华人民共和国法定计量单位。</w:t>
      </w:r>
    </w:p>
    <w:p>
      <w:pPr>
        <w:pStyle w:val="4"/>
        <w:snapToGrid w:val="0"/>
        <w:spacing w:before="0" w:after="0" w:line="360" w:lineRule="auto"/>
        <w:rPr>
          <w:rFonts w:ascii="宋体" w:hAnsi="宋体"/>
          <w:b w:val="0"/>
          <w:snapToGrid w:val="0"/>
          <w:color w:val="auto"/>
          <w:sz w:val="24"/>
          <w:szCs w:val="24"/>
          <w:highlight w:val="none"/>
        </w:rPr>
      </w:pPr>
      <w:bookmarkStart w:id="196" w:name="_Toc19275"/>
      <w:bookmarkStart w:id="197" w:name="_Toc287607756"/>
      <w:bookmarkStart w:id="198" w:name="_Toc200513136"/>
      <w:bookmarkStart w:id="199" w:name="_Toc430530445"/>
      <w:bookmarkStart w:id="200" w:name="_Toc57905840"/>
      <w:bookmarkStart w:id="201" w:name="_Toc224103327"/>
      <w:bookmarkStart w:id="202" w:name="_Toc287620695"/>
      <w:bookmarkStart w:id="203" w:name="_Toc509218720"/>
      <w:bookmarkStart w:id="204" w:name="_Toc277082562"/>
      <w:r>
        <w:rPr>
          <w:rFonts w:ascii="宋体" w:hAnsi="宋体"/>
          <w:b w:val="0"/>
          <w:snapToGrid w:val="0"/>
          <w:color w:val="auto"/>
          <w:sz w:val="24"/>
          <w:szCs w:val="24"/>
          <w:highlight w:val="none"/>
        </w:rPr>
        <w:t>1.9  踏勘现场</w:t>
      </w:r>
      <w:bookmarkEnd w:id="196"/>
      <w:bookmarkEnd w:id="197"/>
      <w:bookmarkEnd w:id="198"/>
      <w:bookmarkEnd w:id="199"/>
      <w:bookmarkEnd w:id="200"/>
      <w:bookmarkEnd w:id="201"/>
      <w:bookmarkEnd w:id="202"/>
      <w:bookmarkEnd w:id="203"/>
      <w:bookmarkEnd w:id="204"/>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1.9.1  投标人须知前附表规定组织踏勘现场的，招标人按投标人须知前附表规定的时间、 地点组织投标人踏勘项目现场。</w:t>
      </w:r>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1.9.2  投标人踏勘现场发生的费用自理。</w:t>
      </w:r>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1.9.3  除招标人的原因外，投标人自行负责在踏勘现场中所发生的人员伤亡和财产损失。</w:t>
      </w:r>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1.9.4  招标人在踏勘现场中介绍的工程场地和相关的周边环境情况，供投标人在编制投标文件时参考，招标人不对投标人据此做出的判断和决策负责。</w:t>
      </w:r>
    </w:p>
    <w:p>
      <w:pPr>
        <w:pStyle w:val="4"/>
        <w:snapToGrid w:val="0"/>
        <w:spacing w:before="0" w:after="0" w:line="360" w:lineRule="auto"/>
        <w:rPr>
          <w:rFonts w:ascii="宋体" w:hAnsi="宋体"/>
          <w:b w:val="0"/>
          <w:snapToGrid w:val="0"/>
          <w:color w:val="auto"/>
          <w:sz w:val="24"/>
          <w:szCs w:val="24"/>
          <w:highlight w:val="none"/>
        </w:rPr>
      </w:pPr>
      <w:bookmarkStart w:id="205" w:name="_Toc277082563"/>
      <w:bookmarkStart w:id="206" w:name="_Toc200513137"/>
      <w:bookmarkStart w:id="207" w:name="_Toc509218721"/>
      <w:bookmarkStart w:id="208" w:name="_Toc287607757"/>
      <w:bookmarkStart w:id="209" w:name="_Toc224103328"/>
      <w:bookmarkStart w:id="210" w:name="_Toc287620696"/>
      <w:bookmarkStart w:id="211" w:name="_Toc32057"/>
      <w:bookmarkStart w:id="212" w:name="_Toc430530446"/>
      <w:bookmarkStart w:id="213" w:name="_Toc57905841"/>
      <w:r>
        <w:rPr>
          <w:rFonts w:ascii="宋体" w:hAnsi="宋体"/>
          <w:b w:val="0"/>
          <w:snapToGrid w:val="0"/>
          <w:color w:val="auto"/>
          <w:sz w:val="24"/>
          <w:szCs w:val="24"/>
          <w:highlight w:val="none"/>
        </w:rPr>
        <w:t>1.10  投标预备会</w:t>
      </w:r>
      <w:bookmarkEnd w:id="205"/>
      <w:bookmarkEnd w:id="206"/>
      <w:bookmarkEnd w:id="207"/>
      <w:bookmarkEnd w:id="208"/>
      <w:bookmarkEnd w:id="209"/>
      <w:bookmarkEnd w:id="210"/>
      <w:bookmarkEnd w:id="211"/>
      <w:bookmarkEnd w:id="212"/>
      <w:bookmarkEnd w:id="213"/>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1.10.1  投标人须知前附表规定召开投标预备会的，招标人按投标人须知前附表规定的时间和地点召开投标预备会，澄清投标人提出的问题。</w:t>
      </w:r>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1.10.2  投标人应在投标人须知前附表</w:t>
      </w:r>
      <w:r>
        <w:rPr>
          <w:rFonts w:hint="eastAsia" w:ascii="宋体" w:hAnsi="宋体"/>
          <w:snapToGrid w:val="0"/>
          <w:color w:val="auto"/>
          <w:kern w:val="0"/>
          <w:szCs w:val="21"/>
          <w:highlight w:val="none"/>
        </w:rPr>
        <w:t>第</w:t>
      </w:r>
      <w:r>
        <w:rPr>
          <w:rFonts w:ascii="宋体" w:hAnsi="宋体"/>
          <w:color w:val="auto"/>
          <w:kern w:val="0"/>
          <w:szCs w:val="21"/>
          <w:highlight w:val="none"/>
        </w:rPr>
        <w:t>2.2.4</w:t>
      </w:r>
      <w:r>
        <w:rPr>
          <w:rFonts w:hint="eastAsia" w:ascii="宋体" w:hAnsi="宋体"/>
          <w:color w:val="auto"/>
          <w:kern w:val="0"/>
          <w:szCs w:val="21"/>
          <w:highlight w:val="none"/>
        </w:rPr>
        <w:t>项</w:t>
      </w:r>
      <w:r>
        <w:rPr>
          <w:rFonts w:ascii="宋体" w:hAnsi="宋体"/>
          <w:snapToGrid w:val="0"/>
          <w:color w:val="auto"/>
          <w:kern w:val="0"/>
          <w:szCs w:val="21"/>
          <w:highlight w:val="none"/>
        </w:rPr>
        <w:t>规定的时间前，以书面形式将提出的问题送达招标人，以便招标人澄清。</w:t>
      </w:r>
    </w:p>
    <w:p>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1.10.3  招标人在投标人须知前附表规定的时间内，将对投标人所提</w:t>
      </w:r>
      <w:r>
        <w:rPr>
          <w:rFonts w:ascii="宋体" w:hAnsi="宋体"/>
          <w:snapToGrid w:val="0"/>
          <w:color w:val="auto"/>
          <w:kern w:val="0"/>
          <w:position w:val="-2"/>
          <w:szCs w:val="21"/>
          <w:highlight w:val="none"/>
        </w:rPr>
        <w:t>的</w:t>
      </w:r>
      <w:r>
        <w:rPr>
          <w:rFonts w:ascii="宋体" w:hAnsi="宋体"/>
          <w:snapToGrid w:val="0"/>
          <w:color w:val="auto"/>
          <w:kern w:val="0"/>
          <w:szCs w:val="21"/>
          <w:highlight w:val="none"/>
        </w:rPr>
        <w:t>问题</w:t>
      </w:r>
      <w:r>
        <w:rPr>
          <w:rFonts w:ascii="宋体" w:hAnsi="宋体"/>
          <w:snapToGrid w:val="0"/>
          <w:color w:val="auto"/>
          <w:kern w:val="0"/>
          <w:position w:val="-2"/>
          <w:szCs w:val="21"/>
          <w:highlight w:val="none"/>
        </w:rPr>
        <w:t>进行澄清。该澄清内容为招标文件的组成部分。</w:t>
      </w:r>
    </w:p>
    <w:p>
      <w:pPr>
        <w:pStyle w:val="4"/>
        <w:snapToGrid w:val="0"/>
        <w:spacing w:before="0" w:after="0" w:line="360" w:lineRule="auto"/>
        <w:rPr>
          <w:rFonts w:ascii="宋体" w:hAnsi="宋体"/>
          <w:b w:val="0"/>
          <w:snapToGrid w:val="0"/>
          <w:color w:val="auto"/>
          <w:sz w:val="24"/>
          <w:szCs w:val="24"/>
          <w:highlight w:val="none"/>
        </w:rPr>
      </w:pPr>
      <w:bookmarkStart w:id="214" w:name="_Toc224103329"/>
      <w:bookmarkStart w:id="215" w:name="_Toc287607758"/>
      <w:bookmarkStart w:id="216" w:name="_Toc277082564"/>
      <w:bookmarkStart w:id="217" w:name="_Toc430530447"/>
      <w:bookmarkStart w:id="218" w:name="_Toc509218722"/>
      <w:bookmarkStart w:id="219" w:name="_Toc287620697"/>
      <w:bookmarkStart w:id="220" w:name="_Toc200513138"/>
      <w:bookmarkStart w:id="221" w:name="_Toc57905842"/>
      <w:bookmarkStart w:id="222" w:name="_Toc3036"/>
      <w:r>
        <w:rPr>
          <w:rFonts w:ascii="宋体" w:hAnsi="宋体"/>
          <w:b w:val="0"/>
          <w:snapToGrid w:val="0"/>
          <w:color w:val="auto"/>
          <w:sz w:val="24"/>
          <w:szCs w:val="24"/>
          <w:highlight w:val="none"/>
        </w:rPr>
        <w:t>1.11  分包</w:t>
      </w:r>
      <w:bookmarkEnd w:id="214"/>
      <w:bookmarkEnd w:id="215"/>
      <w:bookmarkEnd w:id="216"/>
      <w:bookmarkEnd w:id="217"/>
      <w:bookmarkEnd w:id="218"/>
      <w:bookmarkEnd w:id="219"/>
      <w:bookmarkEnd w:id="220"/>
      <w:bookmarkEnd w:id="221"/>
      <w:bookmarkEnd w:id="222"/>
    </w:p>
    <w:p>
      <w:pPr>
        <w:autoSpaceDE w:val="0"/>
        <w:autoSpaceDN w:val="0"/>
        <w:adjustRightInd w:val="0"/>
        <w:snapToGrid w:val="0"/>
        <w:spacing w:line="360" w:lineRule="auto"/>
        <w:ind w:firstLine="426"/>
        <w:rPr>
          <w:rFonts w:ascii="宋体" w:hAnsi="宋体"/>
          <w:snapToGrid w:val="0"/>
          <w:color w:val="auto"/>
          <w:kern w:val="0"/>
          <w:szCs w:val="21"/>
          <w:highlight w:val="none"/>
        </w:rPr>
      </w:pPr>
      <w:r>
        <w:rPr>
          <w:rFonts w:ascii="宋体" w:hAnsi="宋体"/>
          <w:snapToGrid w:val="0"/>
          <w:color w:val="auto"/>
          <w:kern w:val="0"/>
          <w:szCs w:val="21"/>
          <w:highlight w:val="none"/>
        </w:rPr>
        <w:t>投标人拟在中标后将中标项目的部分非主体、非关键性工作进行分包的，应符合投标人须知前附表规定的分包内容、分包金额和接受分包的第三人资质要求等限制性条件。</w:t>
      </w:r>
    </w:p>
    <w:p>
      <w:pPr>
        <w:pStyle w:val="4"/>
        <w:snapToGrid w:val="0"/>
        <w:spacing w:before="0" w:after="0" w:line="360" w:lineRule="auto"/>
        <w:rPr>
          <w:rFonts w:ascii="宋体" w:hAnsi="宋体"/>
          <w:b w:val="0"/>
          <w:snapToGrid w:val="0"/>
          <w:color w:val="auto"/>
          <w:sz w:val="24"/>
          <w:szCs w:val="24"/>
          <w:highlight w:val="none"/>
        </w:rPr>
      </w:pPr>
      <w:bookmarkStart w:id="223" w:name="_Toc277082565"/>
      <w:bookmarkStart w:id="224" w:name="_Toc57905843"/>
      <w:bookmarkStart w:id="225" w:name="_Toc430530448"/>
      <w:bookmarkStart w:id="226" w:name="_Toc509218723"/>
      <w:bookmarkStart w:id="227" w:name="_Toc224103330"/>
      <w:bookmarkStart w:id="228" w:name="_Toc287620698"/>
      <w:bookmarkStart w:id="229" w:name="_Toc5536"/>
      <w:bookmarkStart w:id="230" w:name="_Toc287607759"/>
      <w:bookmarkStart w:id="231" w:name="_Toc200513139"/>
      <w:r>
        <w:rPr>
          <w:rFonts w:ascii="宋体" w:hAnsi="宋体"/>
          <w:b w:val="0"/>
          <w:snapToGrid w:val="0"/>
          <w:color w:val="auto"/>
          <w:sz w:val="24"/>
          <w:szCs w:val="24"/>
          <w:highlight w:val="none"/>
        </w:rPr>
        <w:t>1.12  偏离</w:t>
      </w:r>
      <w:bookmarkEnd w:id="223"/>
      <w:bookmarkEnd w:id="224"/>
      <w:bookmarkEnd w:id="225"/>
      <w:bookmarkEnd w:id="226"/>
      <w:bookmarkEnd w:id="227"/>
      <w:bookmarkEnd w:id="228"/>
      <w:bookmarkEnd w:id="229"/>
      <w:bookmarkEnd w:id="230"/>
      <w:bookmarkEnd w:id="231"/>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投标人须知前附表允许投标文件偏离招标文件某些要求的，偏离应当符合招标文件规定 的偏离范围和幅度。</w:t>
      </w:r>
    </w:p>
    <w:p>
      <w:pPr>
        <w:pStyle w:val="3"/>
        <w:spacing w:before="0" w:after="0" w:line="360" w:lineRule="auto"/>
        <w:rPr>
          <w:rFonts w:ascii="宋体" w:hAnsi="宋体"/>
          <w:b w:val="0"/>
          <w:snapToGrid w:val="0"/>
          <w:color w:val="auto"/>
          <w:highlight w:val="none"/>
        </w:rPr>
      </w:pPr>
      <w:bookmarkStart w:id="232" w:name="_Toc11902"/>
      <w:bookmarkStart w:id="233" w:name="_Toc200513140"/>
      <w:bookmarkStart w:id="234" w:name="_Toc277082566"/>
      <w:bookmarkStart w:id="235" w:name="_Toc287607760"/>
      <w:bookmarkStart w:id="236" w:name="_Toc509218724"/>
      <w:bookmarkStart w:id="237" w:name="_Toc430530449"/>
      <w:bookmarkStart w:id="238" w:name="_Toc287620699"/>
      <w:bookmarkStart w:id="239" w:name="_Toc57905844"/>
      <w:bookmarkStart w:id="240" w:name="_Toc224103331"/>
      <w:r>
        <w:rPr>
          <w:rFonts w:ascii="宋体" w:hAnsi="宋体"/>
          <w:b w:val="0"/>
          <w:snapToGrid w:val="0"/>
          <w:color w:val="auto"/>
          <w:highlight w:val="none"/>
        </w:rPr>
        <w:t>2.  招标文件</w:t>
      </w:r>
      <w:bookmarkEnd w:id="232"/>
      <w:bookmarkEnd w:id="233"/>
      <w:bookmarkEnd w:id="234"/>
      <w:bookmarkEnd w:id="235"/>
      <w:bookmarkEnd w:id="236"/>
      <w:bookmarkEnd w:id="237"/>
      <w:bookmarkEnd w:id="238"/>
      <w:bookmarkEnd w:id="239"/>
      <w:bookmarkEnd w:id="240"/>
    </w:p>
    <w:p>
      <w:pPr>
        <w:pStyle w:val="4"/>
        <w:snapToGrid w:val="0"/>
        <w:spacing w:before="0" w:after="0" w:line="360" w:lineRule="auto"/>
        <w:rPr>
          <w:rFonts w:ascii="宋体" w:hAnsi="宋体"/>
          <w:b w:val="0"/>
          <w:snapToGrid w:val="0"/>
          <w:color w:val="auto"/>
          <w:sz w:val="24"/>
          <w:szCs w:val="24"/>
          <w:highlight w:val="none"/>
        </w:rPr>
      </w:pPr>
      <w:bookmarkStart w:id="241" w:name="_Toc277082567"/>
      <w:bookmarkStart w:id="242" w:name="_Toc430530450"/>
      <w:bookmarkStart w:id="243" w:name="_Toc200513141"/>
      <w:bookmarkStart w:id="244" w:name="_Toc57905845"/>
      <w:bookmarkStart w:id="245" w:name="_Toc287607761"/>
      <w:bookmarkStart w:id="246" w:name="_Toc224103332"/>
      <w:bookmarkStart w:id="247" w:name="_Toc287620700"/>
      <w:bookmarkStart w:id="248" w:name="_Toc31696"/>
      <w:bookmarkStart w:id="249" w:name="_Toc509218725"/>
      <w:r>
        <w:rPr>
          <w:rFonts w:ascii="宋体" w:hAnsi="宋体"/>
          <w:b w:val="0"/>
          <w:snapToGrid w:val="0"/>
          <w:color w:val="auto"/>
          <w:sz w:val="24"/>
          <w:szCs w:val="24"/>
          <w:highlight w:val="none"/>
        </w:rPr>
        <w:t>2.1  招标文件的组成</w:t>
      </w:r>
      <w:bookmarkEnd w:id="241"/>
      <w:bookmarkEnd w:id="242"/>
      <w:bookmarkEnd w:id="243"/>
      <w:bookmarkEnd w:id="244"/>
      <w:bookmarkEnd w:id="245"/>
      <w:bookmarkEnd w:id="246"/>
      <w:bookmarkEnd w:id="247"/>
      <w:bookmarkEnd w:id="248"/>
      <w:bookmarkEnd w:id="249"/>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本招标文件包括：</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（1）招标公告；</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（2）投标人须知；</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（3）评标办法；</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（4）合同条款及格式；</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（5）工程量清单；</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（6）图纸；</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（7）技术标准和要求；</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（8）投标文件格式；</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（9）投标人须知前附表规定的其他材料。</w:t>
      </w:r>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根据本章第1.10款、第2.2款和第2.3款对招标文件所作的澄清、修改，构成招标文件的组成部分。</w:t>
      </w:r>
    </w:p>
    <w:p>
      <w:pPr>
        <w:pStyle w:val="4"/>
        <w:snapToGrid w:val="0"/>
        <w:spacing w:before="0" w:after="0" w:line="360" w:lineRule="auto"/>
        <w:rPr>
          <w:rFonts w:ascii="宋体" w:hAnsi="宋体"/>
          <w:b w:val="0"/>
          <w:snapToGrid w:val="0"/>
          <w:color w:val="auto"/>
          <w:sz w:val="24"/>
          <w:szCs w:val="24"/>
          <w:highlight w:val="none"/>
        </w:rPr>
      </w:pPr>
      <w:bookmarkStart w:id="250" w:name="_Toc430530451"/>
      <w:bookmarkStart w:id="251" w:name="_Toc509218726"/>
      <w:bookmarkStart w:id="252" w:name="_Toc57905846"/>
      <w:bookmarkStart w:id="253" w:name="_Toc23750"/>
      <w:r>
        <w:rPr>
          <w:rFonts w:ascii="宋体" w:hAnsi="宋体"/>
          <w:b w:val="0"/>
          <w:snapToGrid w:val="0"/>
          <w:color w:val="auto"/>
          <w:sz w:val="24"/>
          <w:szCs w:val="24"/>
          <w:highlight w:val="none"/>
        </w:rPr>
        <w:t>2.2  招标文件的澄清</w:t>
      </w:r>
      <w:bookmarkEnd w:id="250"/>
      <w:bookmarkEnd w:id="251"/>
      <w:bookmarkEnd w:id="252"/>
      <w:bookmarkEnd w:id="253"/>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2.2.1  投标人应仔细阅读和检查招标文件的全部内容。如发现缺页或附件不全，应及时向招标人提出，以便补齐。如有疑问，应在投标人须知前附表规定的时间前</w:t>
      </w:r>
      <w:r>
        <w:rPr>
          <w:rFonts w:ascii="宋体" w:hAnsi="宋体"/>
          <w:color w:val="auto"/>
          <w:kern w:val="0"/>
          <w:szCs w:val="21"/>
          <w:highlight w:val="none"/>
        </w:rPr>
        <w:t>在</w:t>
      </w:r>
      <w:r>
        <w:rPr>
          <w:rFonts w:hint="eastAsia" w:ascii="宋体" w:hAnsi="宋体"/>
          <w:color w:val="auto"/>
          <w:kern w:val="0"/>
          <w:szCs w:val="21"/>
          <w:highlight w:val="none"/>
        </w:rPr>
        <w:t>相应法定网站提问</w:t>
      </w:r>
      <w:r>
        <w:rPr>
          <w:rFonts w:ascii="宋体" w:hAnsi="宋体"/>
          <w:snapToGrid w:val="0"/>
          <w:color w:val="auto"/>
          <w:kern w:val="0"/>
          <w:szCs w:val="21"/>
          <w:highlight w:val="none"/>
        </w:rPr>
        <w:t>，要求招标人对招标文件予以澄清。</w:t>
      </w:r>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2.2.2  招标文件的澄清将在投标人须知前附表规定的投标截止时间15天前</w:t>
      </w:r>
      <w:r>
        <w:rPr>
          <w:rFonts w:ascii="宋体" w:hAnsi="宋体"/>
          <w:color w:val="auto"/>
          <w:kern w:val="0"/>
          <w:szCs w:val="21"/>
          <w:highlight w:val="none"/>
        </w:rPr>
        <w:t>在</w:t>
      </w:r>
      <w:r>
        <w:rPr>
          <w:rFonts w:hint="eastAsia" w:ascii="宋体" w:hAnsi="宋体"/>
          <w:color w:val="auto"/>
          <w:kern w:val="0"/>
          <w:szCs w:val="21"/>
          <w:highlight w:val="none"/>
        </w:rPr>
        <w:t>相应法定网站</w:t>
      </w:r>
      <w:r>
        <w:rPr>
          <w:rFonts w:ascii="宋体" w:hAnsi="宋体"/>
          <w:color w:val="auto"/>
          <w:kern w:val="0"/>
          <w:szCs w:val="21"/>
          <w:highlight w:val="none"/>
        </w:rPr>
        <w:t>发布，</w:t>
      </w:r>
      <w:r>
        <w:rPr>
          <w:rFonts w:ascii="宋体" w:hAnsi="宋体"/>
          <w:snapToGrid w:val="0"/>
          <w:color w:val="auto"/>
          <w:kern w:val="0"/>
          <w:szCs w:val="21"/>
          <w:highlight w:val="none"/>
        </w:rPr>
        <w:t>但不指明澄清问题的来源。如果澄清发出的时间距投标截止时间不足15天，相应延长投标截止时间。</w:t>
      </w:r>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2.2.3  </w:t>
      </w:r>
      <w:r>
        <w:rPr>
          <w:rFonts w:ascii="宋体" w:hAnsi="宋体"/>
          <w:color w:val="auto"/>
          <w:kern w:val="0"/>
          <w:szCs w:val="21"/>
          <w:highlight w:val="none"/>
        </w:rPr>
        <w:t>招标人对招标文件的</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内容可能影响投标文件编制的，须在投标截止时间15日前发布，发布时间至投标截止时间不足15日的，须相应延后投标截止时间。</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2.2.4  投标人对招标文件和澄清修改仍有</w:t>
      </w:r>
      <w:r>
        <w:rPr>
          <w:rFonts w:hint="eastAsia" w:ascii="宋体" w:hAnsi="宋体"/>
          <w:snapToGrid w:val="0"/>
          <w:color w:val="auto"/>
          <w:kern w:val="0"/>
          <w:position w:val="-2"/>
          <w:szCs w:val="21"/>
          <w:highlight w:val="none"/>
        </w:rPr>
        <w:t>异议</w:t>
      </w:r>
      <w:r>
        <w:rPr>
          <w:rFonts w:ascii="宋体" w:hAnsi="宋体"/>
          <w:snapToGrid w:val="0"/>
          <w:color w:val="auto"/>
          <w:kern w:val="0"/>
          <w:position w:val="-2"/>
          <w:szCs w:val="21"/>
          <w:highlight w:val="none"/>
        </w:rPr>
        <w:t>的，可于投标截止时间10日前，以书面形式通知招标</w:t>
      </w:r>
      <w:r>
        <w:rPr>
          <w:rFonts w:ascii="宋体" w:hAnsi="宋体"/>
          <w:snapToGrid w:val="0"/>
          <w:color w:val="auto"/>
          <w:kern w:val="0"/>
          <w:szCs w:val="21"/>
          <w:highlight w:val="none"/>
        </w:rPr>
        <w:t>人或招标代理机构。招标人应将答复以</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的形式</w:t>
      </w:r>
      <w:r>
        <w:rPr>
          <w:rFonts w:ascii="宋体" w:hAnsi="宋体"/>
          <w:color w:val="auto"/>
          <w:kern w:val="0"/>
          <w:szCs w:val="21"/>
          <w:highlight w:val="none"/>
        </w:rPr>
        <w:t>在</w:t>
      </w:r>
      <w:r>
        <w:rPr>
          <w:rFonts w:hint="eastAsia" w:ascii="宋体" w:hAnsi="宋体"/>
          <w:color w:val="auto"/>
          <w:kern w:val="0"/>
          <w:szCs w:val="21"/>
          <w:highlight w:val="none"/>
        </w:rPr>
        <w:t>相应法定网站</w:t>
      </w:r>
      <w:r>
        <w:rPr>
          <w:rFonts w:ascii="宋体" w:hAnsi="宋体"/>
          <w:color w:val="auto"/>
          <w:kern w:val="0"/>
          <w:szCs w:val="21"/>
          <w:highlight w:val="none"/>
        </w:rPr>
        <w:t>发布</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内容可能影响投标文件编制的，须在投标截止时间15日前发布，发布时间至投标截止时间不足15日的，须相应延后投标截止时间。</w:t>
      </w:r>
    </w:p>
    <w:p>
      <w:pPr>
        <w:pStyle w:val="4"/>
        <w:snapToGrid w:val="0"/>
        <w:spacing w:before="0" w:after="0" w:line="360" w:lineRule="auto"/>
        <w:rPr>
          <w:rFonts w:ascii="宋体" w:hAnsi="宋体"/>
          <w:b w:val="0"/>
          <w:snapToGrid w:val="0"/>
          <w:color w:val="auto"/>
          <w:sz w:val="24"/>
          <w:szCs w:val="24"/>
          <w:highlight w:val="none"/>
        </w:rPr>
      </w:pPr>
      <w:bookmarkStart w:id="254" w:name="_Toc509218727"/>
      <w:bookmarkStart w:id="255" w:name="_Toc277082569"/>
      <w:bookmarkStart w:id="256" w:name="_Toc287607763"/>
      <w:bookmarkStart w:id="257" w:name="_Toc224103334"/>
      <w:bookmarkStart w:id="258" w:name="_Toc200513143"/>
      <w:bookmarkStart w:id="259" w:name="_Toc430530452"/>
      <w:bookmarkStart w:id="260" w:name="_Toc27922"/>
      <w:bookmarkStart w:id="261" w:name="_Toc57905847"/>
      <w:bookmarkStart w:id="262" w:name="_Toc287620702"/>
      <w:r>
        <w:rPr>
          <w:rFonts w:ascii="宋体" w:hAnsi="宋体"/>
          <w:b w:val="0"/>
          <w:snapToGrid w:val="0"/>
          <w:color w:val="auto"/>
          <w:sz w:val="24"/>
          <w:szCs w:val="24"/>
          <w:highlight w:val="none"/>
        </w:rPr>
        <w:t>2.3  招标文件的修改</w:t>
      </w:r>
      <w:bookmarkEnd w:id="254"/>
      <w:bookmarkEnd w:id="255"/>
      <w:bookmarkEnd w:id="256"/>
      <w:bookmarkEnd w:id="257"/>
      <w:bookmarkEnd w:id="258"/>
      <w:bookmarkEnd w:id="259"/>
      <w:bookmarkEnd w:id="260"/>
      <w:bookmarkEnd w:id="261"/>
      <w:bookmarkEnd w:id="262"/>
    </w:p>
    <w:p>
      <w:pPr>
        <w:autoSpaceDE w:val="0"/>
        <w:autoSpaceDN w:val="0"/>
        <w:adjustRightInd w:val="0"/>
        <w:snapToGrid w:val="0"/>
        <w:spacing w:line="360" w:lineRule="auto"/>
        <w:ind w:firstLine="420"/>
        <w:rPr>
          <w:rFonts w:ascii="宋体" w:hAnsi="宋体"/>
          <w:snapToGrid w:val="0"/>
          <w:color w:val="auto"/>
          <w:highlight w:val="none"/>
        </w:rPr>
      </w:pPr>
      <w:bookmarkStart w:id="263" w:name="_Toc277082570"/>
      <w:bookmarkStart w:id="264" w:name="_Toc224103335"/>
      <w:bookmarkStart w:id="265" w:name="_Toc200513144"/>
      <w:bookmarkStart w:id="266" w:name="_Toc287620703"/>
      <w:bookmarkStart w:id="267" w:name="_Toc287607764"/>
      <w:r>
        <w:rPr>
          <w:rFonts w:ascii="宋体" w:hAnsi="宋体"/>
          <w:snapToGrid w:val="0"/>
          <w:color w:val="auto"/>
          <w:highlight w:val="none"/>
        </w:rPr>
        <w:t>按照本章</w:t>
      </w:r>
      <w:r>
        <w:rPr>
          <w:rFonts w:hint="eastAsia" w:ascii="宋体" w:hAnsi="宋体"/>
          <w:snapToGrid w:val="0"/>
          <w:color w:val="auto"/>
          <w:highlight w:val="none"/>
        </w:rPr>
        <w:t>第</w:t>
      </w:r>
      <w:r>
        <w:rPr>
          <w:rFonts w:ascii="宋体" w:hAnsi="宋体"/>
          <w:snapToGrid w:val="0"/>
          <w:color w:val="auto"/>
          <w:highlight w:val="none"/>
        </w:rPr>
        <w:t>2.2</w:t>
      </w:r>
      <w:r>
        <w:rPr>
          <w:rFonts w:hint="eastAsia" w:ascii="宋体" w:hAnsi="宋体"/>
          <w:snapToGrid w:val="0"/>
          <w:color w:val="auto"/>
          <w:highlight w:val="none"/>
        </w:rPr>
        <w:t>款</w:t>
      </w:r>
      <w:r>
        <w:rPr>
          <w:rFonts w:ascii="宋体" w:hAnsi="宋体"/>
          <w:snapToGrid w:val="0"/>
          <w:color w:val="auto"/>
          <w:highlight w:val="none"/>
        </w:rPr>
        <w:t>招标文件的澄清相关内容及方式执行。</w:t>
      </w:r>
    </w:p>
    <w:p>
      <w:pPr>
        <w:pStyle w:val="3"/>
        <w:spacing w:before="0" w:after="0" w:line="360" w:lineRule="auto"/>
        <w:rPr>
          <w:rFonts w:ascii="宋体" w:hAnsi="宋体"/>
          <w:b w:val="0"/>
          <w:snapToGrid w:val="0"/>
          <w:color w:val="auto"/>
          <w:highlight w:val="none"/>
        </w:rPr>
      </w:pPr>
      <w:bookmarkStart w:id="268" w:name="_Toc14543"/>
      <w:bookmarkStart w:id="269" w:name="_Toc57905848"/>
      <w:bookmarkStart w:id="270" w:name="_Toc509218728"/>
      <w:bookmarkStart w:id="271" w:name="_Toc430530453"/>
      <w:r>
        <w:rPr>
          <w:rFonts w:ascii="宋体" w:hAnsi="宋体"/>
          <w:b w:val="0"/>
          <w:snapToGrid w:val="0"/>
          <w:color w:val="auto"/>
          <w:highlight w:val="none"/>
        </w:rPr>
        <w:t>3.  投标文件</w:t>
      </w:r>
      <w:bookmarkEnd w:id="263"/>
      <w:bookmarkEnd w:id="264"/>
      <w:bookmarkEnd w:id="265"/>
      <w:bookmarkEnd w:id="266"/>
      <w:bookmarkEnd w:id="267"/>
      <w:bookmarkEnd w:id="268"/>
      <w:bookmarkEnd w:id="269"/>
      <w:bookmarkEnd w:id="270"/>
      <w:bookmarkEnd w:id="271"/>
    </w:p>
    <w:p>
      <w:pPr>
        <w:pStyle w:val="4"/>
        <w:snapToGrid w:val="0"/>
        <w:spacing w:before="0" w:after="0" w:line="360" w:lineRule="auto"/>
        <w:rPr>
          <w:rFonts w:ascii="宋体" w:hAnsi="宋体"/>
          <w:b w:val="0"/>
          <w:snapToGrid w:val="0"/>
          <w:color w:val="auto"/>
          <w:sz w:val="24"/>
          <w:szCs w:val="24"/>
          <w:highlight w:val="none"/>
        </w:rPr>
      </w:pPr>
      <w:bookmarkStart w:id="272" w:name="_Toc509218729"/>
      <w:bookmarkStart w:id="273" w:name="_Toc57905849"/>
      <w:bookmarkStart w:id="274" w:name="_Toc200513145"/>
      <w:bookmarkStart w:id="275" w:name="_Toc277082571"/>
      <w:bookmarkStart w:id="276" w:name="_Toc287607765"/>
      <w:bookmarkStart w:id="277" w:name="_Toc8482"/>
      <w:bookmarkStart w:id="278" w:name="_Toc287620704"/>
      <w:bookmarkStart w:id="279" w:name="_Toc430530454"/>
      <w:bookmarkStart w:id="280" w:name="_Toc224103336"/>
      <w:r>
        <w:rPr>
          <w:rFonts w:ascii="宋体" w:hAnsi="宋体"/>
          <w:b w:val="0"/>
          <w:snapToGrid w:val="0"/>
          <w:color w:val="auto"/>
          <w:sz w:val="24"/>
          <w:szCs w:val="24"/>
          <w:highlight w:val="none"/>
        </w:rPr>
        <w:t>3.1  投标文件的组成</w:t>
      </w:r>
      <w:bookmarkEnd w:id="272"/>
      <w:bookmarkEnd w:id="273"/>
      <w:bookmarkEnd w:id="274"/>
      <w:bookmarkEnd w:id="275"/>
      <w:bookmarkEnd w:id="276"/>
      <w:bookmarkEnd w:id="277"/>
      <w:bookmarkEnd w:id="278"/>
      <w:bookmarkEnd w:id="279"/>
      <w:bookmarkEnd w:id="280"/>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3.1.1 投标文件应包括下列内容：</w:t>
      </w:r>
    </w:p>
    <w:p>
      <w:pPr>
        <w:spacing w:line="360" w:lineRule="auto"/>
        <w:ind w:firstLine="420" w:firstLineChars="200"/>
        <w:rPr>
          <w:rFonts w:ascii="宋体" w:hAnsi="宋体"/>
          <w:color w:val="auto"/>
          <w:highlight w:val="none"/>
        </w:rPr>
      </w:pPr>
      <w:r>
        <w:rPr>
          <w:rFonts w:hint="eastAsia" w:ascii="宋体" w:hAnsi="宋体"/>
          <w:color w:val="auto"/>
          <w:highlight w:val="none"/>
        </w:rPr>
        <w:t>3.1.1.2投标函部分</w:t>
      </w:r>
    </w:p>
    <w:p>
      <w:pPr>
        <w:spacing w:line="360" w:lineRule="auto"/>
        <w:ind w:firstLine="420" w:firstLineChars="200"/>
        <w:rPr>
          <w:rFonts w:ascii="宋体" w:hAnsi="宋体"/>
          <w:color w:val="auto"/>
          <w:highlight w:val="none"/>
        </w:rPr>
      </w:pPr>
      <w:r>
        <w:rPr>
          <w:rFonts w:hint="eastAsia" w:ascii="宋体" w:hAnsi="宋体"/>
          <w:color w:val="auto"/>
          <w:highlight w:val="none"/>
        </w:rPr>
        <w:t>（1）投标函</w:t>
      </w:r>
    </w:p>
    <w:p>
      <w:pPr>
        <w:spacing w:line="360" w:lineRule="auto"/>
        <w:ind w:firstLine="420" w:firstLineChars="200"/>
        <w:rPr>
          <w:rFonts w:ascii="宋体" w:hAnsi="宋体"/>
          <w:color w:val="auto"/>
          <w:highlight w:val="none"/>
        </w:rPr>
      </w:pPr>
      <w:r>
        <w:rPr>
          <w:rFonts w:hint="eastAsia" w:ascii="宋体" w:hAnsi="宋体"/>
          <w:color w:val="auto"/>
          <w:highlight w:val="none"/>
        </w:rPr>
        <w:t>（2）投标函附录</w:t>
      </w:r>
    </w:p>
    <w:p>
      <w:pPr>
        <w:spacing w:line="360" w:lineRule="auto"/>
        <w:ind w:firstLine="420" w:firstLineChars="200"/>
        <w:rPr>
          <w:rFonts w:ascii="宋体" w:hAnsi="宋体"/>
          <w:color w:val="auto"/>
          <w:highlight w:val="none"/>
        </w:rPr>
      </w:pPr>
      <w:r>
        <w:rPr>
          <w:rFonts w:hint="eastAsia" w:ascii="宋体" w:hAnsi="宋体"/>
          <w:color w:val="auto"/>
          <w:highlight w:val="none"/>
        </w:rPr>
        <w:t>（3）法定代表人身份证明或附有法定代表人身份证明的授权委托书</w:t>
      </w:r>
    </w:p>
    <w:p>
      <w:pPr>
        <w:spacing w:line="360" w:lineRule="auto"/>
        <w:ind w:firstLine="420" w:firstLineChars="200"/>
        <w:rPr>
          <w:rFonts w:ascii="宋体" w:hAnsi="宋体"/>
          <w:color w:val="auto"/>
          <w:highlight w:val="none"/>
        </w:rPr>
      </w:pPr>
      <w:r>
        <w:rPr>
          <w:rFonts w:hint="eastAsia" w:ascii="宋体" w:hAnsi="宋体"/>
          <w:color w:val="auto"/>
          <w:highlight w:val="none"/>
        </w:rPr>
        <w:t>3.1.1.3经济部分</w:t>
      </w:r>
    </w:p>
    <w:p>
      <w:pPr>
        <w:spacing w:line="360" w:lineRule="auto"/>
        <w:ind w:firstLine="420" w:firstLineChars="200"/>
        <w:rPr>
          <w:rFonts w:ascii="宋体" w:hAnsi="宋体"/>
          <w:color w:val="auto"/>
          <w:highlight w:val="none"/>
        </w:rPr>
      </w:pPr>
      <w:r>
        <w:rPr>
          <w:rFonts w:hint="eastAsia" w:ascii="宋体" w:hAnsi="宋体"/>
          <w:color w:val="auto"/>
          <w:highlight w:val="none"/>
        </w:rPr>
        <w:t>（1）已标价工程量清单</w:t>
      </w:r>
    </w:p>
    <w:p>
      <w:pPr>
        <w:spacing w:line="360" w:lineRule="auto"/>
        <w:ind w:firstLine="420" w:firstLineChars="200"/>
        <w:rPr>
          <w:rFonts w:ascii="宋体" w:hAnsi="宋体"/>
          <w:color w:val="auto"/>
          <w:highlight w:val="none"/>
        </w:rPr>
      </w:pPr>
      <w:r>
        <w:rPr>
          <w:rFonts w:hint="eastAsia" w:ascii="宋体" w:hAnsi="宋体"/>
          <w:color w:val="auto"/>
          <w:highlight w:val="none"/>
        </w:rPr>
        <w:t>3.1.1.4技术部分3.1.1.5资格审查部分</w:t>
      </w:r>
    </w:p>
    <w:p>
      <w:pPr>
        <w:spacing w:line="360" w:lineRule="auto"/>
        <w:ind w:firstLine="420" w:firstLineChars="200"/>
        <w:rPr>
          <w:rFonts w:ascii="宋体" w:hAnsi="宋体"/>
          <w:color w:val="auto"/>
          <w:highlight w:val="none"/>
        </w:rPr>
      </w:pPr>
      <w:r>
        <w:rPr>
          <w:rFonts w:hint="eastAsia" w:ascii="宋体" w:hAnsi="宋体"/>
          <w:color w:val="auto"/>
          <w:highlight w:val="none"/>
        </w:rPr>
        <w:t>（1）法定代表人身份证明或附有法定代表人身份证明的授权委托书</w:t>
      </w:r>
    </w:p>
    <w:p>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2</w:t>
      </w:r>
      <w:r>
        <w:rPr>
          <w:rFonts w:hint="eastAsia" w:ascii="宋体" w:hAnsi="宋体"/>
          <w:color w:val="auto"/>
          <w:highlight w:val="none"/>
        </w:rPr>
        <w:t>）投标人基本情况表</w:t>
      </w:r>
    </w:p>
    <w:p>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）项目管理机构</w:t>
      </w:r>
    </w:p>
    <w:p>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4</w:t>
      </w:r>
      <w:r>
        <w:rPr>
          <w:rFonts w:hint="eastAsia" w:ascii="宋体" w:hAnsi="宋体"/>
          <w:color w:val="auto"/>
          <w:highlight w:val="none"/>
        </w:rPr>
        <w:t>）类似项目情况表</w:t>
      </w:r>
    </w:p>
    <w:p>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5</w:t>
      </w:r>
      <w:r>
        <w:rPr>
          <w:rFonts w:hint="eastAsia" w:ascii="宋体" w:hAnsi="宋体"/>
          <w:color w:val="auto"/>
          <w:highlight w:val="none"/>
        </w:rPr>
        <w:t>）承诺</w:t>
      </w:r>
    </w:p>
    <w:p>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6</w:t>
      </w:r>
      <w:r>
        <w:rPr>
          <w:rFonts w:hint="eastAsia" w:ascii="宋体" w:hAnsi="宋体"/>
          <w:color w:val="auto"/>
          <w:highlight w:val="none"/>
        </w:rPr>
        <w:t>）其他资料</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3.1.2  投标人须知前附表规定不接受联合体投标的，或投标人没有组成联合体的，投标文件不包括联合体协议书。</w:t>
      </w:r>
    </w:p>
    <w:p>
      <w:pPr>
        <w:pStyle w:val="4"/>
        <w:snapToGrid w:val="0"/>
        <w:spacing w:before="0" w:after="0" w:line="360" w:lineRule="auto"/>
        <w:rPr>
          <w:rFonts w:ascii="宋体" w:hAnsi="宋体"/>
          <w:b w:val="0"/>
          <w:snapToGrid w:val="0"/>
          <w:color w:val="auto"/>
          <w:sz w:val="24"/>
          <w:szCs w:val="24"/>
          <w:highlight w:val="none"/>
        </w:rPr>
      </w:pPr>
      <w:bookmarkStart w:id="281" w:name="_Toc224103337"/>
      <w:bookmarkStart w:id="282" w:name="_Toc200513146"/>
      <w:bookmarkStart w:id="283" w:name="_Toc430530455"/>
      <w:bookmarkStart w:id="284" w:name="_Toc287620705"/>
      <w:bookmarkStart w:id="285" w:name="_Toc287607766"/>
      <w:bookmarkStart w:id="286" w:name="_Toc509218730"/>
      <w:bookmarkStart w:id="287" w:name="_Toc11028"/>
      <w:bookmarkStart w:id="288" w:name="_Toc277082572"/>
      <w:bookmarkStart w:id="289" w:name="_Toc57905850"/>
      <w:r>
        <w:rPr>
          <w:rFonts w:ascii="宋体" w:hAnsi="宋体"/>
          <w:b w:val="0"/>
          <w:snapToGrid w:val="0"/>
          <w:color w:val="auto"/>
          <w:sz w:val="24"/>
          <w:szCs w:val="24"/>
          <w:highlight w:val="none"/>
        </w:rPr>
        <w:t>3.2  投标报价</w:t>
      </w:r>
      <w:bookmarkEnd w:id="281"/>
      <w:bookmarkEnd w:id="282"/>
      <w:bookmarkEnd w:id="283"/>
      <w:bookmarkEnd w:id="284"/>
      <w:bookmarkEnd w:id="285"/>
      <w:bookmarkEnd w:id="286"/>
      <w:bookmarkEnd w:id="287"/>
      <w:bookmarkEnd w:id="288"/>
      <w:bookmarkEnd w:id="289"/>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3.2.1  投标人应按第五章“工程量清单”的要求填写相应表格。</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投标人在投标截止时间前修改投标函中的投标总报价，应同时修改第五章“工程量清单”中的相应报价。此修改须符合本章第 4.3 款的有关要求。</w:t>
      </w:r>
    </w:p>
    <w:p>
      <w:pPr>
        <w:pStyle w:val="4"/>
        <w:snapToGrid w:val="0"/>
        <w:spacing w:before="0" w:after="0" w:line="360" w:lineRule="auto"/>
        <w:rPr>
          <w:rFonts w:ascii="宋体" w:hAnsi="宋体"/>
          <w:b w:val="0"/>
          <w:snapToGrid w:val="0"/>
          <w:color w:val="auto"/>
          <w:sz w:val="24"/>
          <w:szCs w:val="24"/>
          <w:highlight w:val="none"/>
        </w:rPr>
      </w:pPr>
      <w:bookmarkStart w:id="290" w:name="_Toc200513147"/>
      <w:bookmarkStart w:id="291" w:name="_Toc277082573"/>
      <w:bookmarkStart w:id="292" w:name="_Toc4304"/>
      <w:bookmarkStart w:id="293" w:name="_Toc287607767"/>
      <w:bookmarkStart w:id="294" w:name="_Toc224103338"/>
      <w:bookmarkStart w:id="295" w:name="_Toc509218731"/>
      <w:bookmarkStart w:id="296" w:name="_Toc287620706"/>
      <w:bookmarkStart w:id="297" w:name="_Toc57905851"/>
      <w:bookmarkStart w:id="298" w:name="_Toc430530456"/>
      <w:r>
        <w:rPr>
          <w:rFonts w:ascii="宋体" w:hAnsi="宋体"/>
          <w:b w:val="0"/>
          <w:snapToGrid w:val="0"/>
          <w:color w:val="auto"/>
          <w:sz w:val="24"/>
          <w:szCs w:val="24"/>
          <w:highlight w:val="none"/>
        </w:rPr>
        <w:t>3.3  投标有效期</w:t>
      </w:r>
      <w:bookmarkEnd w:id="290"/>
      <w:bookmarkEnd w:id="291"/>
      <w:bookmarkEnd w:id="292"/>
      <w:bookmarkEnd w:id="293"/>
      <w:bookmarkEnd w:id="294"/>
      <w:bookmarkEnd w:id="295"/>
      <w:bookmarkEnd w:id="296"/>
      <w:bookmarkEnd w:id="297"/>
      <w:bookmarkEnd w:id="298"/>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3.3.1  在投标人须知前附表规定的投标有效期内，投标人不得要求撤销或修改其投标文件。</w:t>
      </w:r>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3.3.2  出现特殊情况需要延长投标有效期的，招标人以书面形式通知所有投标人延长投标有效期。投标人同意延长的，应相应延长其投标保函的有效期，但不得要求或被允许修改或撤销其投标文件；投标人拒绝延长的，其投标失效，但投标人有权收回其投标保函。</w:t>
      </w:r>
      <w:r>
        <w:rPr>
          <w:rFonts w:hint="eastAsia" w:ascii="宋体" w:hAnsi="宋体"/>
          <w:snapToGrid w:val="0"/>
          <w:color w:val="auto"/>
          <w:kern w:val="0"/>
          <w:szCs w:val="21"/>
          <w:highlight w:val="none"/>
        </w:rPr>
        <w:t>（适用于投标保证金采用投标保函形式的）</w:t>
      </w:r>
    </w:p>
    <w:p>
      <w:pPr>
        <w:autoSpaceDE w:val="0"/>
        <w:autoSpaceDN w:val="0"/>
        <w:adjustRightInd w:val="0"/>
        <w:snapToGrid w:val="0"/>
        <w:spacing w:line="360" w:lineRule="auto"/>
        <w:ind w:firstLine="420"/>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适用于投标保证金采用银行转账形式的）</w:t>
      </w:r>
    </w:p>
    <w:p>
      <w:pPr>
        <w:pStyle w:val="4"/>
        <w:keepNext w:val="0"/>
        <w:keepLines w:val="0"/>
        <w:snapToGrid w:val="0"/>
        <w:spacing w:before="0" w:after="0" w:line="360" w:lineRule="auto"/>
        <w:rPr>
          <w:rFonts w:ascii="宋体" w:hAnsi="宋体"/>
          <w:b w:val="0"/>
          <w:snapToGrid w:val="0"/>
          <w:color w:val="auto"/>
          <w:sz w:val="24"/>
          <w:szCs w:val="24"/>
          <w:highlight w:val="none"/>
        </w:rPr>
      </w:pPr>
      <w:bookmarkStart w:id="299" w:name="_Toc430530457"/>
      <w:bookmarkStart w:id="300" w:name="_Toc287607768"/>
      <w:bookmarkStart w:id="301" w:name="_Toc277082574"/>
      <w:bookmarkStart w:id="302" w:name="_Toc200513148"/>
      <w:bookmarkStart w:id="303" w:name="_Toc509218732"/>
      <w:bookmarkStart w:id="304" w:name="_Toc287620707"/>
      <w:bookmarkStart w:id="305" w:name="_Toc224103339"/>
      <w:bookmarkStart w:id="306" w:name="_Toc1366"/>
      <w:bookmarkStart w:id="307" w:name="_Toc57905852"/>
      <w:r>
        <w:rPr>
          <w:rFonts w:ascii="宋体" w:hAnsi="宋体"/>
          <w:b w:val="0"/>
          <w:snapToGrid w:val="0"/>
          <w:color w:val="auto"/>
          <w:sz w:val="24"/>
          <w:szCs w:val="24"/>
          <w:highlight w:val="none"/>
        </w:rPr>
        <w:t xml:space="preserve">3.4  </w:t>
      </w:r>
      <w:bookmarkEnd w:id="299"/>
      <w:bookmarkEnd w:id="300"/>
      <w:bookmarkEnd w:id="301"/>
      <w:bookmarkEnd w:id="302"/>
      <w:bookmarkEnd w:id="303"/>
      <w:bookmarkEnd w:id="304"/>
      <w:bookmarkEnd w:id="305"/>
      <w:r>
        <w:rPr>
          <w:rFonts w:ascii="宋体" w:hAnsi="宋体"/>
          <w:b w:val="0"/>
          <w:snapToGrid w:val="0"/>
          <w:color w:val="auto"/>
          <w:sz w:val="24"/>
          <w:szCs w:val="24"/>
          <w:highlight w:val="none"/>
        </w:rPr>
        <w:t>投标</w:t>
      </w:r>
      <w:bookmarkEnd w:id="306"/>
      <w:r>
        <w:rPr>
          <w:rFonts w:hint="eastAsia" w:ascii="宋体" w:hAnsi="宋体"/>
          <w:b w:val="0"/>
          <w:snapToGrid w:val="0"/>
          <w:color w:val="auto"/>
          <w:sz w:val="24"/>
          <w:szCs w:val="24"/>
          <w:highlight w:val="none"/>
        </w:rPr>
        <w:t>保证金</w:t>
      </w:r>
      <w:bookmarkEnd w:id="307"/>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3.4.1  投标人在递交投标文件的同时，应按投标人须知前附表的规定递交投标保证金，并作为其投标文件的组成部分。联合体投标的，其投标保证金由牵头人递交，并应符合投标人须知前附表的规定。</w:t>
      </w:r>
    </w:p>
    <w:p>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3.4.2  投标人不按本章第 3.4.1 项要求提交投标保证金的，其投标文件作否决投标处理。</w:t>
      </w:r>
    </w:p>
    <w:p>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3.4.3  投标</w:t>
      </w:r>
      <w:r>
        <w:rPr>
          <w:rFonts w:ascii="宋体" w:hAnsi="宋体"/>
          <w:snapToGrid w:val="0"/>
          <w:color w:val="auto"/>
          <w:kern w:val="0"/>
          <w:position w:val="-2"/>
          <w:szCs w:val="21"/>
          <w:highlight w:val="none"/>
        </w:rPr>
        <w:t>保证金（投标保函）</w:t>
      </w:r>
      <w:r>
        <w:rPr>
          <w:rFonts w:ascii="宋体" w:hAnsi="宋体"/>
          <w:snapToGrid w:val="0"/>
          <w:color w:val="auto"/>
          <w:kern w:val="0"/>
          <w:szCs w:val="21"/>
          <w:highlight w:val="none"/>
        </w:rPr>
        <w:t>退还：见投标人须知前附表</w:t>
      </w:r>
      <w:r>
        <w:rPr>
          <w:rFonts w:ascii="宋体" w:hAnsi="宋体"/>
          <w:snapToGrid w:val="0"/>
          <w:color w:val="auto"/>
          <w:kern w:val="0"/>
          <w:position w:val="-2"/>
          <w:szCs w:val="21"/>
          <w:highlight w:val="none"/>
        </w:rPr>
        <w:t>。</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3.4.4  有下列情形之一的，投标保证金将不予退还：</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（1）投标人在规定的投标有效期内撤销或修改其投标文件；</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w:t>
      </w:r>
      <w:r>
        <w:rPr>
          <w:rFonts w:hint="eastAsia" w:ascii="宋体" w:hAnsi="宋体"/>
          <w:color w:val="auto"/>
          <w:kern w:val="0"/>
          <w:szCs w:val="21"/>
          <w:highlight w:val="none"/>
        </w:rPr>
        <w:t>中标人在收到中标通知书后，无正当理由不与招标人订立合同，在签订合同时向招标人提出附加条件，或者不按照招标文件要求提交履约保证金</w:t>
      </w:r>
      <w:r>
        <w:rPr>
          <w:rFonts w:ascii="宋体" w:hAnsi="宋体"/>
          <w:snapToGrid w:val="0"/>
          <w:color w:val="auto"/>
          <w:kern w:val="0"/>
          <w:szCs w:val="21"/>
          <w:highlight w:val="none"/>
        </w:rPr>
        <w:t>；</w:t>
      </w:r>
    </w:p>
    <w:p>
      <w:pPr>
        <w:autoSpaceDE w:val="0"/>
        <w:autoSpaceDN w:val="0"/>
        <w:adjustRightInd w:val="0"/>
        <w:snapToGrid w:val="0"/>
        <w:spacing w:line="360" w:lineRule="auto"/>
        <w:ind w:firstLine="420" w:firstLineChars="200"/>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3</w:t>
      </w:r>
      <w:r>
        <w:rPr>
          <w:rFonts w:hint="eastAsia" w:ascii="宋体" w:hAnsi="宋体"/>
          <w:snapToGrid w:val="0"/>
          <w:color w:val="auto"/>
          <w:kern w:val="0"/>
          <w:szCs w:val="21"/>
          <w:highlight w:val="none"/>
          <w:lang w:eastAsia="zh-CN"/>
        </w:rPr>
        <w:t>）</w:t>
      </w:r>
      <w:r>
        <w:rPr>
          <w:rFonts w:hint="eastAsia" w:ascii="宋体" w:hAnsi="宋体"/>
          <w:color w:val="auto"/>
          <w:kern w:val="0"/>
          <w:szCs w:val="21"/>
          <w:highlight w:val="none"/>
        </w:rPr>
        <w:t>中标人</w:t>
      </w:r>
      <w:r>
        <w:rPr>
          <w:rFonts w:hint="eastAsia" w:ascii="宋体" w:hAnsi="宋体"/>
          <w:color w:val="auto"/>
          <w:kern w:val="0"/>
          <w:szCs w:val="21"/>
          <w:highlight w:val="none"/>
          <w:lang w:eastAsia="zh-CN"/>
        </w:rPr>
        <w:t>（或拟中标人）</w:t>
      </w:r>
      <w:r>
        <w:rPr>
          <w:rFonts w:hint="eastAsia" w:ascii="宋体" w:hAnsi="宋体"/>
          <w:color w:val="auto"/>
          <w:kern w:val="0"/>
          <w:szCs w:val="21"/>
          <w:highlight w:val="none"/>
        </w:rPr>
        <w:t>拒不提供或者不按时提供低价风险担保（适用于经评审的最低投标价法）</w:t>
      </w:r>
      <w:r>
        <w:rPr>
          <w:rFonts w:hint="eastAsia" w:ascii="宋体" w:hAnsi="宋体"/>
          <w:color w:val="auto"/>
          <w:kern w:val="0"/>
          <w:szCs w:val="21"/>
          <w:highlight w:val="none"/>
          <w:lang w:eastAsia="zh-CN"/>
        </w:rPr>
        <w:t>；</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4</w:t>
      </w:r>
      <w:r>
        <w:rPr>
          <w:rFonts w:ascii="宋体" w:hAnsi="宋体"/>
          <w:snapToGrid w:val="0"/>
          <w:color w:val="auto"/>
          <w:kern w:val="0"/>
          <w:szCs w:val="21"/>
          <w:highlight w:val="none"/>
        </w:rPr>
        <w:t>）违反本章</w:t>
      </w:r>
      <w:r>
        <w:rPr>
          <w:rFonts w:hint="eastAsia" w:ascii="宋体" w:hAnsi="宋体"/>
          <w:snapToGrid w:val="0"/>
          <w:color w:val="auto"/>
          <w:kern w:val="0"/>
          <w:szCs w:val="21"/>
          <w:highlight w:val="none"/>
        </w:rPr>
        <w:t>第</w:t>
      </w:r>
      <w:r>
        <w:rPr>
          <w:rFonts w:ascii="宋体" w:hAnsi="宋体"/>
          <w:snapToGrid w:val="0"/>
          <w:color w:val="auto"/>
          <w:kern w:val="0"/>
          <w:szCs w:val="21"/>
          <w:highlight w:val="none"/>
        </w:rPr>
        <w:t>9.2</w:t>
      </w:r>
      <w:r>
        <w:rPr>
          <w:rFonts w:hint="eastAsia" w:ascii="宋体" w:hAnsi="宋体"/>
          <w:snapToGrid w:val="0"/>
          <w:color w:val="auto"/>
          <w:kern w:val="0"/>
          <w:szCs w:val="21"/>
          <w:highlight w:val="none"/>
        </w:rPr>
        <w:t>款</w:t>
      </w:r>
      <w:r>
        <w:rPr>
          <w:rFonts w:ascii="宋体" w:hAnsi="宋体"/>
          <w:snapToGrid w:val="0"/>
          <w:color w:val="auto"/>
          <w:kern w:val="0"/>
          <w:szCs w:val="21"/>
          <w:highlight w:val="none"/>
        </w:rPr>
        <w:t>对投标人的纪律要求的；</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5</w:t>
      </w:r>
      <w:r>
        <w:rPr>
          <w:rFonts w:ascii="宋体" w:hAnsi="宋体"/>
          <w:snapToGrid w:val="0"/>
          <w:color w:val="auto"/>
          <w:kern w:val="0"/>
          <w:szCs w:val="21"/>
          <w:highlight w:val="none"/>
        </w:rPr>
        <w:t>）法律法规规定的其他情形。</w:t>
      </w:r>
    </w:p>
    <w:p>
      <w:pPr>
        <w:tabs>
          <w:tab w:val="left" w:pos="611"/>
          <w:tab w:val="left" w:pos="669"/>
        </w:tabs>
        <w:snapToGrid w:val="0"/>
        <w:spacing w:line="360" w:lineRule="auto"/>
        <w:ind w:firstLine="420" w:firstLineChars="200"/>
        <w:rPr>
          <w:rFonts w:ascii="宋体" w:hAnsi="宋体"/>
          <w:color w:val="auto"/>
          <w:kern w:val="0"/>
          <w:highlight w:val="none"/>
        </w:rPr>
      </w:pPr>
      <w:r>
        <w:rPr>
          <w:rFonts w:ascii="宋体" w:hAnsi="宋体"/>
          <w:snapToGrid w:val="0"/>
          <w:color w:val="auto"/>
          <w:kern w:val="0"/>
          <w:szCs w:val="21"/>
          <w:highlight w:val="none"/>
        </w:rPr>
        <w:t>3.4.5</w:t>
      </w:r>
      <w:r>
        <w:rPr>
          <w:rFonts w:ascii="宋体" w:hAnsi="宋体"/>
          <w:color w:val="auto"/>
          <w:kern w:val="0"/>
          <w:highlight w:val="none"/>
        </w:rPr>
        <w:t>（1）投标保证金为无条件担保；</w:t>
      </w:r>
    </w:p>
    <w:p>
      <w:pPr>
        <w:tabs>
          <w:tab w:val="left" w:pos="611"/>
          <w:tab w:val="left" w:pos="669"/>
        </w:tabs>
        <w:snapToGrid w:val="0"/>
        <w:spacing w:line="360" w:lineRule="auto"/>
        <w:ind w:firstLine="945" w:firstLineChars="450"/>
        <w:rPr>
          <w:rFonts w:ascii="宋体" w:hAnsi="宋体"/>
          <w:color w:val="auto"/>
          <w:kern w:val="0"/>
          <w:highlight w:val="none"/>
        </w:rPr>
      </w:pPr>
      <w:r>
        <w:rPr>
          <w:rFonts w:ascii="宋体" w:hAnsi="宋体"/>
          <w:color w:val="auto"/>
          <w:kern w:val="0"/>
          <w:highlight w:val="none"/>
        </w:rPr>
        <w:t>（2）投标保证金的受益人为招标人</w:t>
      </w:r>
      <w:r>
        <w:rPr>
          <w:rFonts w:hint="eastAsia" w:ascii="宋体" w:hAnsi="宋体"/>
          <w:color w:val="auto"/>
          <w:kern w:val="0"/>
          <w:highlight w:val="none"/>
        </w:rPr>
        <w:t>。</w:t>
      </w:r>
    </w:p>
    <w:p>
      <w:pPr>
        <w:pStyle w:val="4"/>
        <w:keepNext w:val="0"/>
        <w:keepLines w:val="0"/>
        <w:snapToGrid w:val="0"/>
        <w:spacing w:before="0" w:after="0" w:line="360" w:lineRule="auto"/>
        <w:rPr>
          <w:rFonts w:ascii="宋体" w:hAnsi="宋体"/>
          <w:b w:val="0"/>
          <w:snapToGrid w:val="0"/>
          <w:color w:val="auto"/>
          <w:sz w:val="24"/>
          <w:szCs w:val="24"/>
          <w:highlight w:val="none"/>
        </w:rPr>
      </w:pPr>
      <w:bookmarkStart w:id="308" w:name="_Toc200513150"/>
      <w:bookmarkStart w:id="309" w:name="_Toc287607770"/>
      <w:bookmarkStart w:id="310" w:name="_Toc57905854"/>
      <w:bookmarkStart w:id="311" w:name="_Toc224103341"/>
      <w:bookmarkStart w:id="312" w:name="_Toc277082576"/>
      <w:bookmarkStart w:id="313" w:name="_Toc509218734"/>
      <w:bookmarkStart w:id="314" w:name="_Toc16639"/>
      <w:bookmarkStart w:id="315" w:name="_Toc430530459"/>
      <w:bookmarkStart w:id="316" w:name="_Toc287620709"/>
      <w:r>
        <w:rPr>
          <w:rFonts w:ascii="宋体" w:hAnsi="宋体"/>
          <w:b w:val="0"/>
          <w:snapToGrid w:val="0"/>
          <w:color w:val="auto"/>
          <w:sz w:val="24"/>
          <w:szCs w:val="24"/>
          <w:highlight w:val="none"/>
        </w:rPr>
        <w:t>3.5  资格审查资料</w:t>
      </w:r>
      <w:bookmarkEnd w:id="308"/>
      <w:bookmarkEnd w:id="309"/>
      <w:bookmarkEnd w:id="310"/>
      <w:bookmarkEnd w:id="311"/>
      <w:bookmarkEnd w:id="312"/>
      <w:bookmarkEnd w:id="313"/>
      <w:bookmarkEnd w:id="314"/>
      <w:bookmarkEnd w:id="315"/>
      <w:bookmarkEnd w:id="316"/>
    </w:p>
    <w:p>
      <w:pPr>
        <w:autoSpaceDE w:val="0"/>
        <w:autoSpaceDN w:val="0"/>
        <w:adjustRightInd w:val="0"/>
        <w:snapToGrid w:val="0"/>
        <w:spacing w:line="360" w:lineRule="auto"/>
        <w:ind w:left="103" w:leftChars="49" w:right="37" w:firstLine="420" w:firstLineChars="200"/>
        <w:rPr>
          <w:rFonts w:ascii="宋体" w:hAnsi="宋体"/>
          <w:color w:val="auto"/>
          <w:szCs w:val="21"/>
          <w:highlight w:val="none"/>
        </w:rPr>
      </w:pPr>
      <w:r>
        <w:rPr>
          <w:rFonts w:ascii="宋体" w:hAnsi="宋体"/>
          <w:color w:val="auto"/>
          <w:szCs w:val="21"/>
          <w:highlight w:val="none"/>
        </w:rPr>
        <w:t>投标人</w:t>
      </w:r>
      <w:r>
        <w:rPr>
          <w:rFonts w:hint="eastAsia" w:ascii="宋体" w:hAnsi="宋体"/>
          <w:color w:val="auto"/>
          <w:szCs w:val="21"/>
          <w:highlight w:val="none"/>
        </w:rPr>
        <w:t>应附</w:t>
      </w:r>
      <w:r>
        <w:rPr>
          <w:rFonts w:hint="eastAsia" w:ascii="宋体" w:hAnsi="宋体"/>
          <w:color w:val="auto"/>
          <w:kern w:val="0"/>
          <w:szCs w:val="21"/>
          <w:highlight w:val="none"/>
        </w:rPr>
        <w:t>投标人须知前附表第1</w:t>
      </w:r>
      <w:r>
        <w:rPr>
          <w:rFonts w:ascii="宋体" w:hAnsi="宋体"/>
          <w:color w:val="auto"/>
          <w:kern w:val="0"/>
          <w:szCs w:val="21"/>
          <w:highlight w:val="none"/>
        </w:rPr>
        <w:t>.4.1</w:t>
      </w:r>
      <w:r>
        <w:rPr>
          <w:rFonts w:hint="eastAsia" w:ascii="宋体" w:hAnsi="宋体"/>
          <w:color w:val="auto"/>
          <w:kern w:val="0"/>
          <w:szCs w:val="21"/>
          <w:highlight w:val="none"/>
        </w:rPr>
        <w:t>项中要求的相关证明材料</w:t>
      </w:r>
      <w:r>
        <w:rPr>
          <w:rFonts w:ascii="宋体" w:hAnsi="宋体"/>
          <w:color w:val="auto"/>
          <w:szCs w:val="21"/>
          <w:highlight w:val="none"/>
        </w:rPr>
        <w:t>。</w:t>
      </w:r>
    </w:p>
    <w:p>
      <w:pPr>
        <w:autoSpaceDE w:val="0"/>
        <w:autoSpaceDN w:val="0"/>
        <w:adjustRightInd w:val="0"/>
        <w:snapToGrid w:val="0"/>
        <w:spacing w:line="360" w:lineRule="auto"/>
        <w:ind w:left="103" w:leftChars="49" w:right="37"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投标人须知前附表规定接受联合体投标的，详见投标人须知前附表联合体投标相关内容。</w:t>
      </w:r>
    </w:p>
    <w:p>
      <w:pPr>
        <w:pStyle w:val="4"/>
        <w:snapToGrid w:val="0"/>
        <w:spacing w:before="0" w:after="0" w:line="360" w:lineRule="auto"/>
        <w:rPr>
          <w:rFonts w:ascii="宋体" w:hAnsi="宋体"/>
          <w:b w:val="0"/>
          <w:snapToGrid w:val="0"/>
          <w:color w:val="auto"/>
          <w:sz w:val="24"/>
          <w:szCs w:val="24"/>
          <w:highlight w:val="none"/>
        </w:rPr>
      </w:pPr>
      <w:bookmarkStart w:id="317" w:name="_Toc224103342"/>
      <w:bookmarkStart w:id="318" w:name="_Toc509218735"/>
      <w:bookmarkStart w:id="319" w:name="_Toc57905855"/>
      <w:bookmarkStart w:id="320" w:name="_Toc287607771"/>
      <w:bookmarkStart w:id="321" w:name="_Toc277082577"/>
      <w:bookmarkStart w:id="322" w:name="_Toc200513151"/>
      <w:bookmarkStart w:id="323" w:name="_Toc287620710"/>
      <w:bookmarkStart w:id="324" w:name="_Toc430530460"/>
      <w:bookmarkStart w:id="325" w:name="_Toc24446"/>
      <w:r>
        <w:rPr>
          <w:rFonts w:ascii="宋体" w:hAnsi="宋体"/>
          <w:b w:val="0"/>
          <w:snapToGrid w:val="0"/>
          <w:color w:val="auto"/>
          <w:sz w:val="24"/>
          <w:szCs w:val="24"/>
          <w:highlight w:val="none"/>
        </w:rPr>
        <w:t>3.6  备选投标方案</w:t>
      </w:r>
      <w:bookmarkEnd w:id="317"/>
      <w:bookmarkEnd w:id="318"/>
      <w:bookmarkEnd w:id="319"/>
      <w:bookmarkEnd w:id="320"/>
      <w:bookmarkEnd w:id="321"/>
      <w:bookmarkEnd w:id="322"/>
      <w:bookmarkEnd w:id="323"/>
      <w:bookmarkEnd w:id="324"/>
      <w:bookmarkEnd w:id="325"/>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除投标人须知前附表另有规定外，投标人不得递交备选投标方案。允许投标人递交备选投标方案的，只有中标人所递交的备选投标方案方可予以考虑。评标委员会认为中标人的备 选投标方案优于其按照招标文件要求编制的投标方案的，招标人可以接受该备选投标方案。</w:t>
      </w:r>
    </w:p>
    <w:p>
      <w:pPr>
        <w:pStyle w:val="4"/>
        <w:snapToGrid w:val="0"/>
        <w:spacing w:before="0" w:after="0" w:line="360" w:lineRule="auto"/>
        <w:rPr>
          <w:rFonts w:ascii="宋体" w:hAnsi="宋体"/>
          <w:b w:val="0"/>
          <w:snapToGrid w:val="0"/>
          <w:color w:val="auto"/>
          <w:sz w:val="24"/>
          <w:szCs w:val="24"/>
          <w:highlight w:val="none"/>
        </w:rPr>
      </w:pPr>
      <w:bookmarkStart w:id="326" w:name="_Toc224103343"/>
      <w:bookmarkStart w:id="327" w:name="_Toc287607772"/>
      <w:bookmarkStart w:id="328" w:name="_Toc16951"/>
      <w:bookmarkStart w:id="329" w:name="_Toc57905856"/>
      <w:bookmarkStart w:id="330" w:name="_Toc509218736"/>
      <w:bookmarkStart w:id="331" w:name="_Toc277082578"/>
      <w:bookmarkStart w:id="332" w:name="_Toc430530461"/>
      <w:bookmarkStart w:id="333" w:name="_Toc200513152"/>
      <w:bookmarkStart w:id="334" w:name="_Toc287620711"/>
      <w:r>
        <w:rPr>
          <w:rFonts w:ascii="宋体" w:hAnsi="宋体"/>
          <w:b w:val="0"/>
          <w:snapToGrid w:val="0"/>
          <w:color w:val="auto"/>
          <w:sz w:val="24"/>
          <w:szCs w:val="24"/>
          <w:highlight w:val="none"/>
        </w:rPr>
        <w:t>3.7  投标文件的编制</w:t>
      </w:r>
      <w:bookmarkEnd w:id="326"/>
      <w:bookmarkEnd w:id="327"/>
      <w:bookmarkEnd w:id="328"/>
      <w:bookmarkEnd w:id="329"/>
      <w:bookmarkEnd w:id="330"/>
      <w:bookmarkEnd w:id="331"/>
      <w:bookmarkEnd w:id="332"/>
      <w:bookmarkEnd w:id="333"/>
      <w:bookmarkEnd w:id="334"/>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3.7.1  投标文件应按第八章“投标文件格式”进行编写，如有必要，可以增加附页，作为投标文件的组成部分。其中，投标函附录在满足招标文件实质性要求的基础上，可以提出比招标文件要求更有利于招标人的承诺。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3.7.2  投标文件应当对招标文件有关工期、投标有效期、质量要求、技术标准和要求、招标范围等实质性内容做出响应。</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 xml:space="preserve">3.7.3  </w:t>
      </w:r>
      <w:r>
        <w:rPr>
          <w:rFonts w:hint="eastAsia" w:ascii="宋体" w:hAnsi="宋体"/>
          <w:snapToGrid w:val="0"/>
          <w:color w:val="auto"/>
          <w:kern w:val="0"/>
          <w:position w:val="-2"/>
          <w:szCs w:val="21"/>
          <w:highlight w:val="none"/>
        </w:rPr>
        <w:t>投标文件的签名盖章要求：按本章投标人须知前附表第3.7.3项执行。</w:t>
      </w:r>
    </w:p>
    <w:p>
      <w:pPr>
        <w:autoSpaceDE w:val="0"/>
        <w:autoSpaceDN w:val="0"/>
        <w:adjustRightInd w:val="0"/>
        <w:snapToGrid w:val="0"/>
        <w:spacing w:line="360" w:lineRule="auto"/>
        <w:ind w:right="-164" w:firstLine="420" w:firstLineChars="200"/>
        <w:rPr>
          <w:rFonts w:ascii="宋体" w:hAnsi="宋体"/>
          <w:i/>
          <w:snapToGrid w:val="0"/>
          <w:color w:val="auto"/>
          <w:kern w:val="0"/>
          <w:szCs w:val="21"/>
          <w:highlight w:val="none"/>
        </w:rPr>
      </w:pPr>
      <w:r>
        <w:rPr>
          <w:rFonts w:ascii="宋体" w:hAnsi="宋体"/>
          <w:snapToGrid w:val="0"/>
          <w:color w:val="auto"/>
          <w:kern w:val="0"/>
          <w:szCs w:val="21"/>
          <w:highlight w:val="none"/>
        </w:rPr>
        <w:t>3.7.4  投标文件的份数</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见投标人须知前附表。当副本和正本不一致时，以正本为准。</w:t>
      </w:r>
    </w:p>
    <w:p>
      <w:pPr>
        <w:autoSpaceDE w:val="0"/>
        <w:autoSpaceDN w:val="0"/>
        <w:adjustRightInd w:val="0"/>
        <w:snapToGrid w:val="0"/>
        <w:spacing w:line="360" w:lineRule="auto"/>
        <w:ind w:right="-109"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3.7.5  投标文件的正本与副本应分别装订成册，并编制目录，具体装订要求见投标人须知前附表规定。</w:t>
      </w:r>
    </w:p>
    <w:p>
      <w:pPr>
        <w:pStyle w:val="3"/>
        <w:keepNext w:val="0"/>
        <w:keepLines w:val="0"/>
        <w:spacing w:before="0" w:after="0" w:line="360" w:lineRule="auto"/>
        <w:rPr>
          <w:rFonts w:ascii="宋体" w:hAnsi="宋体"/>
          <w:b w:val="0"/>
          <w:snapToGrid w:val="0"/>
          <w:color w:val="auto"/>
          <w:highlight w:val="none"/>
        </w:rPr>
      </w:pPr>
      <w:bookmarkStart w:id="335" w:name="_Toc287620712"/>
      <w:bookmarkStart w:id="336" w:name="_Toc509218737"/>
      <w:bookmarkStart w:id="337" w:name="_Toc430530462"/>
      <w:bookmarkStart w:id="338" w:name="_Toc287607773"/>
      <w:bookmarkStart w:id="339" w:name="_Toc277082579"/>
      <w:bookmarkStart w:id="340" w:name="_Toc57905857"/>
      <w:bookmarkStart w:id="341" w:name="_Toc9499"/>
      <w:bookmarkStart w:id="342" w:name="_Toc200513153"/>
      <w:bookmarkStart w:id="343" w:name="_Toc224103344"/>
      <w:r>
        <w:rPr>
          <w:rFonts w:ascii="宋体" w:hAnsi="宋体"/>
          <w:b w:val="0"/>
          <w:snapToGrid w:val="0"/>
          <w:color w:val="auto"/>
          <w:highlight w:val="none"/>
        </w:rPr>
        <w:t>4.  投标</w:t>
      </w:r>
      <w:bookmarkEnd w:id="335"/>
      <w:bookmarkEnd w:id="336"/>
      <w:bookmarkEnd w:id="337"/>
      <w:bookmarkEnd w:id="338"/>
      <w:bookmarkEnd w:id="339"/>
      <w:bookmarkEnd w:id="340"/>
      <w:bookmarkEnd w:id="341"/>
      <w:bookmarkEnd w:id="342"/>
      <w:bookmarkEnd w:id="343"/>
    </w:p>
    <w:p>
      <w:pPr>
        <w:pStyle w:val="4"/>
        <w:keepNext w:val="0"/>
        <w:keepLines w:val="0"/>
        <w:snapToGrid w:val="0"/>
        <w:spacing w:before="0" w:after="0" w:line="360" w:lineRule="auto"/>
        <w:rPr>
          <w:rFonts w:ascii="宋体" w:hAnsi="宋体"/>
          <w:b w:val="0"/>
          <w:snapToGrid w:val="0"/>
          <w:color w:val="auto"/>
          <w:sz w:val="24"/>
          <w:szCs w:val="24"/>
          <w:highlight w:val="none"/>
        </w:rPr>
      </w:pPr>
      <w:bookmarkStart w:id="344" w:name="_Toc287620713"/>
      <w:bookmarkStart w:id="345" w:name="_Toc200513154"/>
      <w:bookmarkStart w:id="346" w:name="_Toc430530463"/>
      <w:bookmarkStart w:id="347" w:name="_Toc277082580"/>
      <w:bookmarkStart w:id="348" w:name="_Toc18995"/>
      <w:bookmarkStart w:id="349" w:name="_Toc287607774"/>
      <w:bookmarkStart w:id="350" w:name="_Toc224103345"/>
      <w:bookmarkStart w:id="351" w:name="_Toc509218738"/>
      <w:bookmarkStart w:id="352" w:name="_Toc57905858"/>
      <w:r>
        <w:rPr>
          <w:rFonts w:ascii="宋体" w:hAnsi="宋体"/>
          <w:b w:val="0"/>
          <w:snapToGrid w:val="0"/>
          <w:color w:val="auto"/>
          <w:sz w:val="24"/>
          <w:szCs w:val="24"/>
          <w:highlight w:val="none"/>
        </w:rPr>
        <w:t>4.1  投标文件的密封和标记</w:t>
      </w:r>
      <w:bookmarkEnd w:id="344"/>
      <w:bookmarkEnd w:id="345"/>
      <w:bookmarkEnd w:id="346"/>
      <w:bookmarkEnd w:id="347"/>
      <w:bookmarkEnd w:id="348"/>
      <w:bookmarkEnd w:id="349"/>
      <w:bookmarkEnd w:id="350"/>
      <w:bookmarkEnd w:id="351"/>
      <w:bookmarkEnd w:id="352"/>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bookmarkStart w:id="353" w:name="_Toc200513155"/>
      <w:r>
        <w:rPr>
          <w:rFonts w:ascii="宋体" w:hAnsi="宋体"/>
          <w:snapToGrid w:val="0"/>
          <w:color w:val="auto"/>
          <w:kern w:val="0"/>
          <w:szCs w:val="21"/>
          <w:highlight w:val="none"/>
        </w:rPr>
        <w:t>4.1.1  投标文件的正本与副本密封</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4.1.2  投标文件的封套上应写明的内容</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见投标人须知前附表。</w:t>
      </w:r>
    </w:p>
    <w:p>
      <w:pPr>
        <w:pStyle w:val="4"/>
        <w:keepNext w:val="0"/>
        <w:keepLines w:val="0"/>
        <w:snapToGrid w:val="0"/>
        <w:spacing w:before="0" w:after="0" w:line="360" w:lineRule="auto"/>
        <w:rPr>
          <w:rFonts w:ascii="宋体" w:hAnsi="宋体"/>
          <w:b w:val="0"/>
          <w:snapToGrid w:val="0"/>
          <w:color w:val="auto"/>
          <w:sz w:val="24"/>
          <w:szCs w:val="24"/>
          <w:highlight w:val="none"/>
        </w:rPr>
      </w:pPr>
      <w:bookmarkStart w:id="354" w:name="_Toc509218739"/>
      <w:bookmarkStart w:id="355" w:name="_Toc57905859"/>
      <w:bookmarkStart w:id="356" w:name="_Toc287607775"/>
      <w:bookmarkStart w:id="357" w:name="_Toc430530464"/>
      <w:bookmarkStart w:id="358" w:name="_Toc25809"/>
      <w:bookmarkStart w:id="359" w:name="_Toc287620714"/>
      <w:bookmarkStart w:id="360" w:name="_Toc224103346"/>
      <w:bookmarkStart w:id="361" w:name="_Toc277082581"/>
      <w:r>
        <w:rPr>
          <w:rFonts w:ascii="宋体" w:hAnsi="宋体"/>
          <w:b w:val="0"/>
          <w:snapToGrid w:val="0"/>
          <w:color w:val="auto"/>
          <w:sz w:val="24"/>
          <w:szCs w:val="24"/>
          <w:highlight w:val="none"/>
        </w:rPr>
        <w:t>4.2  投标文件的递交</w:t>
      </w:r>
      <w:bookmarkEnd w:id="353"/>
      <w:bookmarkEnd w:id="354"/>
      <w:bookmarkEnd w:id="355"/>
      <w:bookmarkEnd w:id="356"/>
      <w:bookmarkEnd w:id="357"/>
      <w:bookmarkEnd w:id="358"/>
      <w:bookmarkEnd w:id="359"/>
      <w:bookmarkEnd w:id="360"/>
      <w:bookmarkEnd w:id="361"/>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4.2.1  投标人应在投标人须知前附表第 2.2.2 项规定的投标截止时间前递交投标文件。</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4.2.2  投标人递交投标文件的地点：见投标人须知前附表。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4.2.3  除投标人须知前附表另有规定外，投标人所递交的投标文件不予退还。</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4.2.4  招标人收到投标文件后，向投标人出具签收凭证。</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4.2.5  逾期送达的或者未送达指定地点的投标文件，招标人不予受理。</w:t>
      </w:r>
    </w:p>
    <w:p>
      <w:pPr>
        <w:pStyle w:val="4"/>
        <w:keepNext w:val="0"/>
        <w:keepLines w:val="0"/>
        <w:snapToGrid w:val="0"/>
        <w:spacing w:before="0" w:after="0" w:line="360" w:lineRule="auto"/>
        <w:rPr>
          <w:rFonts w:ascii="宋体" w:hAnsi="宋体"/>
          <w:b w:val="0"/>
          <w:snapToGrid w:val="0"/>
          <w:color w:val="auto"/>
          <w:sz w:val="24"/>
          <w:szCs w:val="24"/>
          <w:highlight w:val="none"/>
        </w:rPr>
      </w:pPr>
      <w:bookmarkStart w:id="362" w:name="_Toc200513156"/>
      <w:bookmarkStart w:id="363" w:name="_Toc509218740"/>
      <w:bookmarkStart w:id="364" w:name="_Toc430530465"/>
      <w:bookmarkStart w:id="365" w:name="_Toc287607776"/>
      <w:bookmarkStart w:id="366" w:name="_Toc224103347"/>
      <w:bookmarkStart w:id="367" w:name="_Toc23986"/>
      <w:bookmarkStart w:id="368" w:name="_Toc277082582"/>
      <w:bookmarkStart w:id="369" w:name="_Toc57905860"/>
      <w:bookmarkStart w:id="370" w:name="_Toc287620715"/>
      <w:r>
        <w:rPr>
          <w:rFonts w:ascii="宋体" w:hAnsi="宋体"/>
          <w:b w:val="0"/>
          <w:snapToGrid w:val="0"/>
          <w:color w:val="auto"/>
          <w:sz w:val="24"/>
          <w:szCs w:val="24"/>
          <w:highlight w:val="none"/>
        </w:rPr>
        <w:t>4.3  投标文件的修改与撤回</w:t>
      </w:r>
      <w:bookmarkEnd w:id="362"/>
      <w:bookmarkEnd w:id="363"/>
      <w:bookmarkEnd w:id="364"/>
      <w:bookmarkEnd w:id="365"/>
      <w:bookmarkEnd w:id="366"/>
      <w:bookmarkEnd w:id="367"/>
      <w:bookmarkEnd w:id="368"/>
      <w:bookmarkEnd w:id="369"/>
      <w:bookmarkEnd w:id="370"/>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4.3.1  在投标人须知前附表第2.2.2项规定的投标截止时间前，投标人可以修改或撤回已递交的投标文件，但应以书面形式通知招标人。</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4.3.2  投标人修改或撤回已递交投标文件的书面通知应按照本章第3.7.3项的要求</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或盖章。招标人收到书面通知后，向投标人出具签收凭证。</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4.3.3  修改的内容为投标文件的组成部分。修改的投标文件应按照本章第3条、第4条规定进行编制、密封、标记和递交，并标明“修改”字样。</w:t>
      </w:r>
    </w:p>
    <w:p>
      <w:pPr>
        <w:pStyle w:val="3"/>
        <w:keepNext w:val="0"/>
        <w:keepLines w:val="0"/>
        <w:spacing w:before="0" w:after="0" w:line="360" w:lineRule="auto"/>
        <w:rPr>
          <w:rFonts w:ascii="宋体" w:hAnsi="宋体"/>
          <w:b w:val="0"/>
          <w:snapToGrid w:val="0"/>
          <w:color w:val="auto"/>
          <w:highlight w:val="none"/>
        </w:rPr>
      </w:pPr>
      <w:bookmarkStart w:id="371" w:name="_Toc277082583"/>
      <w:bookmarkStart w:id="372" w:name="_Toc57905861"/>
      <w:bookmarkStart w:id="373" w:name="_Toc287607777"/>
      <w:bookmarkStart w:id="374" w:name="_Toc287620716"/>
      <w:bookmarkStart w:id="375" w:name="_Toc224103348"/>
      <w:bookmarkStart w:id="376" w:name="_Toc9614"/>
      <w:bookmarkStart w:id="377" w:name="_Toc509218741"/>
      <w:bookmarkStart w:id="378" w:name="_Toc200513157"/>
      <w:bookmarkStart w:id="379" w:name="_Toc430530466"/>
      <w:r>
        <w:rPr>
          <w:rFonts w:ascii="宋体" w:hAnsi="宋体"/>
          <w:b w:val="0"/>
          <w:snapToGrid w:val="0"/>
          <w:color w:val="auto"/>
          <w:highlight w:val="none"/>
        </w:rPr>
        <w:t>5.  开标</w:t>
      </w:r>
      <w:bookmarkEnd w:id="371"/>
      <w:bookmarkEnd w:id="372"/>
      <w:bookmarkEnd w:id="373"/>
      <w:bookmarkEnd w:id="374"/>
      <w:bookmarkEnd w:id="375"/>
      <w:bookmarkEnd w:id="376"/>
      <w:bookmarkEnd w:id="377"/>
      <w:bookmarkEnd w:id="378"/>
      <w:bookmarkEnd w:id="379"/>
    </w:p>
    <w:p>
      <w:pPr>
        <w:pStyle w:val="4"/>
        <w:keepNext w:val="0"/>
        <w:keepLines w:val="0"/>
        <w:snapToGrid w:val="0"/>
        <w:spacing w:before="0" w:after="0" w:line="360" w:lineRule="auto"/>
        <w:rPr>
          <w:rFonts w:ascii="宋体" w:hAnsi="宋体"/>
          <w:b w:val="0"/>
          <w:snapToGrid w:val="0"/>
          <w:color w:val="auto"/>
          <w:sz w:val="24"/>
          <w:szCs w:val="24"/>
          <w:highlight w:val="none"/>
        </w:rPr>
      </w:pPr>
      <w:bookmarkStart w:id="380" w:name="_Toc509218742"/>
      <w:bookmarkStart w:id="381" w:name="_Toc430530467"/>
      <w:bookmarkStart w:id="382" w:name="_Toc287620717"/>
      <w:bookmarkStart w:id="383" w:name="_Toc200513158"/>
      <w:bookmarkStart w:id="384" w:name="_Toc277082584"/>
      <w:bookmarkStart w:id="385" w:name="_Toc20593"/>
      <w:bookmarkStart w:id="386" w:name="_Toc287607778"/>
      <w:bookmarkStart w:id="387" w:name="_Toc57905862"/>
      <w:bookmarkStart w:id="388" w:name="_Toc224103349"/>
      <w:r>
        <w:rPr>
          <w:rFonts w:ascii="宋体" w:hAnsi="宋体"/>
          <w:b w:val="0"/>
          <w:snapToGrid w:val="0"/>
          <w:color w:val="auto"/>
          <w:sz w:val="24"/>
          <w:szCs w:val="24"/>
          <w:highlight w:val="none"/>
        </w:rPr>
        <w:t>5.1  开标时间和地点</w:t>
      </w:r>
      <w:bookmarkEnd w:id="380"/>
      <w:bookmarkEnd w:id="381"/>
      <w:bookmarkEnd w:id="382"/>
      <w:bookmarkEnd w:id="383"/>
      <w:bookmarkEnd w:id="384"/>
      <w:bookmarkEnd w:id="385"/>
      <w:bookmarkEnd w:id="386"/>
      <w:bookmarkEnd w:id="387"/>
      <w:bookmarkEnd w:id="388"/>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招标人在投标人须知前附表第 2.2.2 项规定的投标截止时间（开标时间）和投标人须知前附表规定的地点公开开标，并邀请所有投标人的法定代表人或其委托代理人准时参加。</w:t>
      </w:r>
    </w:p>
    <w:p>
      <w:pPr>
        <w:pStyle w:val="4"/>
        <w:keepNext w:val="0"/>
        <w:keepLines w:val="0"/>
        <w:snapToGrid w:val="0"/>
        <w:spacing w:before="0" w:after="0" w:line="360" w:lineRule="auto"/>
        <w:rPr>
          <w:rFonts w:ascii="宋体" w:hAnsi="宋体"/>
          <w:b w:val="0"/>
          <w:snapToGrid w:val="0"/>
          <w:color w:val="auto"/>
          <w:sz w:val="24"/>
          <w:szCs w:val="24"/>
          <w:highlight w:val="none"/>
        </w:rPr>
      </w:pPr>
      <w:bookmarkStart w:id="389" w:name="_Toc287607779"/>
      <w:bookmarkStart w:id="390" w:name="_Toc57905863"/>
      <w:bookmarkStart w:id="391" w:name="_Toc277082585"/>
      <w:bookmarkStart w:id="392" w:name="_Toc200513159"/>
      <w:bookmarkStart w:id="393" w:name="_Toc224103350"/>
      <w:bookmarkStart w:id="394" w:name="_Toc509218743"/>
      <w:bookmarkStart w:id="395" w:name="_Toc287620718"/>
      <w:bookmarkStart w:id="396" w:name="_Toc14994"/>
      <w:bookmarkStart w:id="397" w:name="_Toc430530468"/>
      <w:r>
        <w:rPr>
          <w:rFonts w:ascii="宋体" w:hAnsi="宋体"/>
          <w:b w:val="0"/>
          <w:snapToGrid w:val="0"/>
          <w:color w:val="auto"/>
          <w:sz w:val="24"/>
          <w:szCs w:val="24"/>
          <w:highlight w:val="none"/>
        </w:rPr>
        <w:t>5.2  开标程序</w:t>
      </w:r>
      <w:bookmarkEnd w:id="389"/>
      <w:bookmarkEnd w:id="390"/>
      <w:bookmarkEnd w:id="391"/>
      <w:bookmarkEnd w:id="392"/>
      <w:bookmarkEnd w:id="393"/>
      <w:bookmarkEnd w:id="394"/>
      <w:bookmarkEnd w:id="395"/>
      <w:bookmarkEnd w:id="396"/>
      <w:bookmarkEnd w:id="397"/>
    </w:p>
    <w:p>
      <w:pPr>
        <w:autoSpaceDE w:val="0"/>
        <w:autoSpaceDN w:val="0"/>
        <w:adjustRightInd w:val="0"/>
        <w:snapToGrid w:val="0"/>
        <w:spacing w:line="360" w:lineRule="auto"/>
        <w:ind w:firstLine="420" w:firstLineChars="200"/>
        <w:rPr>
          <w:rFonts w:ascii="宋体" w:hAnsi="宋体"/>
          <w:color w:val="auto"/>
          <w:szCs w:val="21"/>
          <w:highlight w:val="none"/>
        </w:rPr>
      </w:pPr>
      <w:bookmarkStart w:id="398" w:name="_Toc287620719"/>
      <w:bookmarkStart w:id="399" w:name="_Toc277082586"/>
      <w:bookmarkStart w:id="400" w:name="_Toc200513160"/>
      <w:bookmarkStart w:id="401" w:name="_Toc224103351"/>
      <w:bookmarkStart w:id="402" w:name="_Toc287607780"/>
      <w:r>
        <w:rPr>
          <w:rFonts w:ascii="宋体" w:hAnsi="宋体"/>
          <w:color w:val="auto"/>
          <w:szCs w:val="21"/>
          <w:highlight w:val="none"/>
        </w:rPr>
        <w:t>详见投标人须知前附表</w:t>
      </w:r>
      <w:r>
        <w:rPr>
          <w:rFonts w:hint="eastAsia" w:ascii="宋体" w:hAnsi="宋体"/>
          <w:color w:val="auto"/>
          <w:szCs w:val="21"/>
          <w:highlight w:val="none"/>
        </w:rPr>
        <w:t>第</w:t>
      </w:r>
      <w:r>
        <w:rPr>
          <w:rFonts w:ascii="宋体" w:hAnsi="宋体"/>
          <w:color w:val="auto"/>
          <w:szCs w:val="21"/>
          <w:highlight w:val="none"/>
        </w:rPr>
        <w:t>5.2</w:t>
      </w:r>
      <w:r>
        <w:rPr>
          <w:rFonts w:hint="eastAsia" w:ascii="宋体" w:hAnsi="宋体"/>
          <w:color w:val="auto"/>
          <w:szCs w:val="21"/>
          <w:highlight w:val="none"/>
        </w:rPr>
        <w:t>款</w:t>
      </w:r>
      <w:r>
        <w:rPr>
          <w:rFonts w:ascii="宋体" w:hAnsi="宋体"/>
          <w:color w:val="auto"/>
          <w:szCs w:val="21"/>
          <w:highlight w:val="none"/>
        </w:rPr>
        <w:t>开标程序。</w:t>
      </w:r>
    </w:p>
    <w:p>
      <w:pPr>
        <w:pStyle w:val="4"/>
        <w:keepNext w:val="0"/>
        <w:keepLines w:val="0"/>
        <w:snapToGrid w:val="0"/>
        <w:spacing w:before="0" w:after="0" w:line="360" w:lineRule="auto"/>
        <w:rPr>
          <w:rFonts w:ascii="宋体" w:hAnsi="宋体"/>
          <w:b w:val="0"/>
          <w:snapToGrid w:val="0"/>
          <w:color w:val="auto"/>
          <w:sz w:val="24"/>
          <w:szCs w:val="24"/>
          <w:highlight w:val="none"/>
        </w:rPr>
      </w:pPr>
      <w:bookmarkStart w:id="403" w:name="_Toc57905864"/>
      <w:bookmarkStart w:id="404" w:name="_Toc57820594"/>
      <w:r>
        <w:rPr>
          <w:rFonts w:ascii="宋体" w:hAnsi="宋体"/>
          <w:b w:val="0"/>
          <w:snapToGrid w:val="0"/>
          <w:color w:val="auto"/>
          <w:sz w:val="24"/>
          <w:szCs w:val="24"/>
          <w:highlight w:val="none"/>
        </w:rPr>
        <w:t>5.</w:t>
      </w:r>
      <w:r>
        <w:rPr>
          <w:rFonts w:hint="eastAsia" w:ascii="宋体" w:hAnsi="宋体"/>
          <w:b w:val="0"/>
          <w:snapToGrid w:val="0"/>
          <w:color w:val="auto"/>
          <w:sz w:val="24"/>
          <w:szCs w:val="24"/>
          <w:highlight w:val="none"/>
        </w:rPr>
        <w:t>3</w:t>
      </w:r>
      <w:r>
        <w:rPr>
          <w:rFonts w:ascii="宋体" w:hAnsi="宋体"/>
          <w:b w:val="0"/>
          <w:snapToGrid w:val="0"/>
          <w:color w:val="auto"/>
          <w:sz w:val="24"/>
          <w:szCs w:val="24"/>
          <w:highlight w:val="none"/>
        </w:rPr>
        <w:t xml:space="preserve">  </w:t>
      </w:r>
      <w:r>
        <w:rPr>
          <w:rFonts w:hint="eastAsia" w:ascii="宋体" w:hAnsi="宋体"/>
          <w:b w:val="0"/>
          <w:snapToGrid w:val="0"/>
          <w:color w:val="auto"/>
          <w:sz w:val="24"/>
          <w:szCs w:val="24"/>
          <w:highlight w:val="none"/>
        </w:rPr>
        <w:t>开标异议</w:t>
      </w:r>
      <w:bookmarkEnd w:id="403"/>
      <w:bookmarkEnd w:id="404"/>
    </w:p>
    <w:p>
      <w:p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对开标有异议的，应在开标现场提出，同时应出示法定代表人身份证明或附有法定代表人身份证明的授权委托书。招标人当场作出答复，并制作记录，有异议的投标人代表、招标人代表、主持人、记录人等有关人员在记录上签名确认</w:t>
      </w:r>
      <w:r>
        <w:rPr>
          <w:rFonts w:ascii="宋体" w:hAnsi="宋体"/>
          <w:color w:val="auto"/>
          <w:szCs w:val="21"/>
          <w:highlight w:val="none"/>
        </w:rPr>
        <w:t>。</w:t>
      </w:r>
    </w:p>
    <w:p>
      <w:pPr>
        <w:pStyle w:val="3"/>
        <w:keepNext w:val="0"/>
        <w:keepLines w:val="0"/>
        <w:spacing w:before="0" w:after="0" w:line="360" w:lineRule="auto"/>
        <w:rPr>
          <w:rFonts w:ascii="宋体" w:hAnsi="宋体"/>
          <w:b w:val="0"/>
          <w:snapToGrid w:val="0"/>
          <w:color w:val="auto"/>
          <w:highlight w:val="none"/>
        </w:rPr>
      </w:pPr>
      <w:bookmarkStart w:id="405" w:name="_Toc9533"/>
      <w:bookmarkStart w:id="406" w:name="_Toc57905865"/>
      <w:bookmarkStart w:id="407" w:name="_Toc430530469"/>
      <w:bookmarkStart w:id="408" w:name="_Toc509218744"/>
      <w:r>
        <w:rPr>
          <w:rFonts w:ascii="宋体" w:hAnsi="宋体"/>
          <w:b w:val="0"/>
          <w:snapToGrid w:val="0"/>
          <w:color w:val="auto"/>
          <w:highlight w:val="none"/>
        </w:rPr>
        <w:t>6.  评标</w:t>
      </w:r>
      <w:bookmarkEnd w:id="398"/>
      <w:bookmarkEnd w:id="399"/>
      <w:bookmarkEnd w:id="400"/>
      <w:bookmarkEnd w:id="401"/>
      <w:bookmarkEnd w:id="402"/>
      <w:bookmarkEnd w:id="405"/>
      <w:bookmarkEnd w:id="406"/>
      <w:bookmarkEnd w:id="407"/>
      <w:bookmarkEnd w:id="408"/>
    </w:p>
    <w:p>
      <w:pPr>
        <w:pStyle w:val="4"/>
        <w:keepNext w:val="0"/>
        <w:keepLines w:val="0"/>
        <w:snapToGrid w:val="0"/>
        <w:spacing w:before="0" w:after="0" w:line="360" w:lineRule="auto"/>
        <w:rPr>
          <w:rFonts w:ascii="宋体" w:hAnsi="宋体"/>
          <w:b w:val="0"/>
          <w:snapToGrid w:val="0"/>
          <w:color w:val="auto"/>
          <w:sz w:val="24"/>
          <w:szCs w:val="24"/>
          <w:highlight w:val="none"/>
        </w:rPr>
      </w:pPr>
      <w:bookmarkStart w:id="409" w:name="_Toc287607781"/>
      <w:bookmarkStart w:id="410" w:name="_Toc224103352"/>
      <w:bookmarkStart w:id="411" w:name="_Toc430530470"/>
      <w:bookmarkStart w:id="412" w:name="_Toc28100"/>
      <w:bookmarkStart w:id="413" w:name="_Toc287620720"/>
      <w:bookmarkStart w:id="414" w:name="_Toc277082587"/>
      <w:bookmarkStart w:id="415" w:name="_Toc200513161"/>
      <w:bookmarkStart w:id="416" w:name="_Toc57905866"/>
      <w:bookmarkStart w:id="417" w:name="_Toc509218745"/>
      <w:r>
        <w:rPr>
          <w:rFonts w:ascii="宋体" w:hAnsi="宋体"/>
          <w:b w:val="0"/>
          <w:snapToGrid w:val="0"/>
          <w:color w:val="auto"/>
          <w:sz w:val="24"/>
          <w:szCs w:val="24"/>
          <w:highlight w:val="none"/>
        </w:rPr>
        <w:t>6.1  评标委员会</w:t>
      </w:r>
      <w:bookmarkEnd w:id="409"/>
      <w:bookmarkEnd w:id="410"/>
      <w:bookmarkEnd w:id="411"/>
      <w:bookmarkEnd w:id="412"/>
      <w:bookmarkEnd w:id="413"/>
      <w:bookmarkEnd w:id="414"/>
      <w:bookmarkEnd w:id="415"/>
      <w:bookmarkEnd w:id="416"/>
      <w:bookmarkEnd w:id="417"/>
    </w:p>
    <w:p>
      <w:pPr>
        <w:autoSpaceDE w:val="0"/>
        <w:autoSpaceDN w:val="0"/>
        <w:adjustRightInd w:val="0"/>
        <w:snapToGrid w:val="0"/>
        <w:spacing w:line="360" w:lineRule="auto"/>
        <w:ind w:firstLine="420" w:firstLineChars="200"/>
        <w:rPr>
          <w:rFonts w:ascii="宋体" w:hAnsi="宋体"/>
          <w:b/>
          <w:snapToGrid w:val="0"/>
          <w:color w:val="auto"/>
          <w:kern w:val="0"/>
          <w:szCs w:val="21"/>
          <w:highlight w:val="none"/>
        </w:rPr>
      </w:pPr>
      <w:r>
        <w:rPr>
          <w:rFonts w:ascii="宋体" w:hAnsi="宋体"/>
          <w:snapToGrid w:val="0"/>
          <w:color w:val="auto"/>
          <w:kern w:val="0"/>
          <w:szCs w:val="21"/>
          <w:highlight w:val="none"/>
        </w:rPr>
        <w:t>6.1.1  评标由招标人依据法律法规和相关规范性文件组建的评标委员会负责。</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6.1.2  评标委员会成员有下列情形之一的，应当回避：</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（1）投标人或投标人的主要负责人的近亲属；</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（2）项目主管部门或者项目行政监督部门的人员；</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（3）与投标人有利害关系，可能影响对投标公正评审的；</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（4）曾因在招标、评标以及其他与招标投标有关活动中从事违法行为而受过行政处罚或刑事处罚的</w:t>
      </w:r>
      <w:r>
        <w:rPr>
          <w:rFonts w:hint="eastAsia" w:ascii="宋体" w:hAnsi="宋体"/>
          <w:snapToGrid w:val="0"/>
          <w:color w:val="auto"/>
          <w:kern w:val="0"/>
          <w:szCs w:val="21"/>
          <w:highlight w:val="none"/>
        </w:rPr>
        <w:t>；</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（5）法律法规规定的其他情形。</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cs="宋体"/>
          <w:color w:val="auto"/>
          <w:szCs w:val="21"/>
          <w:highlight w:val="none"/>
        </w:rPr>
        <w:t>6.1.3  评标过程中，评标委员会成员有回避事由、擅离职守或者因健康等原因不能继续评标的，应当及时更换。被更换的评标委员会成员作出的评审结论无效，由更换后的评标委员会成员重新进行评审。</w:t>
      </w:r>
    </w:p>
    <w:p>
      <w:pPr>
        <w:pStyle w:val="4"/>
        <w:snapToGrid w:val="0"/>
        <w:spacing w:before="0" w:after="0" w:line="360" w:lineRule="auto"/>
        <w:rPr>
          <w:rFonts w:ascii="宋体" w:hAnsi="宋体"/>
          <w:b w:val="0"/>
          <w:snapToGrid w:val="0"/>
          <w:color w:val="auto"/>
          <w:sz w:val="24"/>
          <w:szCs w:val="24"/>
          <w:highlight w:val="none"/>
        </w:rPr>
      </w:pPr>
      <w:bookmarkStart w:id="418" w:name="_Toc277082588"/>
      <w:bookmarkStart w:id="419" w:name="_Toc287607782"/>
      <w:bookmarkStart w:id="420" w:name="_Toc12166"/>
      <w:bookmarkStart w:id="421" w:name="_Toc200513162"/>
      <w:bookmarkStart w:id="422" w:name="_Toc430530471"/>
      <w:bookmarkStart w:id="423" w:name="_Toc287620721"/>
      <w:bookmarkStart w:id="424" w:name="_Toc224103353"/>
      <w:bookmarkStart w:id="425" w:name="_Toc509218746"/>
      <w:bookmarkStart w:id="426" w:name="_Toc57905867"/>
      <w:r>
        <w:rPr>
          <w:rFonts w:ascii="宋体" w:hAnsi="宋体"/>
          <w:b w:val="0"/>
          <w:snapToGrid w:val="0"/>
          <w:color w:val="auto"/>
          <w:sz w:val="24"/>
          <w:szCs w:val="24"/>
          <w:highlight w:val="none"/>
        </w:rPr>
        <w:t>6.2  评标原则</w:t>
      </w:r>
      <w:bookmarkEnd w:id="418"/>
      <w:bookmarkEnd w:id="419"/>
      <w:bookmarkEnd w:id="420"/>
      <w:bookmarkEnd w:id="421"/>
      <w:bookmarkEnd w:id="422"/>
      <w:bookmarkEnd w:id="423"/>
      <w:bookmarkEnd w:id="424"/>
      <w:bookmarkEnd w:id="425"/>
      <w:bookmarkEnd w:id="426"/>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评标活动遵循公平、公正、科学和择优的原则。</w:t>
      </w:r>
    </w:p>
    <w:p>
      <w:pPr>
        <w:pStyle w:val="4"/>
        <w:snapToGrid w:val="0"/>
        <w:spacing w:before="0" w:after="0" w:line="360" w:lineRule="auto"/>
        <w:rPr>
          <w:rFonts w:ascii="宋体" w:hAnsi="宋体"/>
          <w:b w:val="0"/>
          <w:snapToGrid w:val="0"/>
          <w:color w:val="auto"/>
          <w:sz w:val="24"/>
          <w:szCs w:val="24"/>
          <w:highlight w:val="none"/>
        </w:rPr>
      </w:pPr>
      <w:bookmarkStart w:id="427" w:name="_Toc287620722"/>
      <w:bookmarkStart w:id="428" w:name="_Toc430530472"/>
      <w:bookmarkStart w:id="429" w:name="_Toc509218747"/>
      <w:bookmarkStart w:id="430" w:name="_Toc14701"/>
      <w:bookmarkStart w:id="431" w:name="_Toc200513163"/>
      <w:bookmarkStart w:id="432" w:name="_Toc224103354"/>
      <w:bookmarkStart w:id="433" w:name="_Toc57905868"/>
      <w:bookmarkStart w:id="434" w:name="_Toc287607783"/>
      <w:bookmarkStart w:id="435" w:name="_Toc277082589"/>
      <w:r>
        <w:rPr>
          <w:rFonts w:ascii="宋体" w:hAnsi="宋体"/>
          <w:b w:val="0"/>
          <w:snapToGrid w:val="0"/>
          <w:color w:val="auto"/>
          <w:sz w:val="24"/>
          <w:szCs w:val="24"/>
          <w:highlight w:val="none"/>
        </w:rPr>
        <w:t>6.3  评标</w:t>
      </w:r>
      <w:bookmarkEnd w:id="427"/>
      <w:bookmarkEnd w:id="428"/>
      <w:bookmarkEnd w:id="429"/>
      <w:bookmarkEnd w:id="430"/>
      <w:bookmarkEnd w:id="431"/>
      <w:bookmarkEnd w:id="432"/>
      <w:bookmarkEnd w:id="433"/>
      <w:bookmarkEnd w:id="434"/>
      <w:bookmarkEnd w:id="435"/>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评标委员会按照第三章“评标办法”规定的方法、评审因素、标准和程序对投标文件进行评审。第三章“评标办法”没有规定的方法、评审因素和标准，不得作为评标依据。</w:t>
      </w:r>
    </w:p>
    <w:p>
      <w:pPr>
        <w:pStyle w:val="3"/>
        <w:spacing w:before="0" w:after="0" w:line="360" w:lineRule="auto"/>
        <w:rPr>
          <w:rFonts w:ascii="宋体" w:hAnsi="宋体"/>
          <w:b w:val="0"/>
          <w:snapToGrid w:val="0"/>
          <w:color w:val="auto"/>
          <w:highlight w:val="none"/>
        </w:rPr>
      </w:pPr>
      <w:bookmarkStart w:id="436" w:name="_Toc224103355"/>
      <w:bookmarkStart w:id="437" w:name="_Toc287607784"/>
      <w:bookmarkStart w:id="438" w:name="_Toc277082590"/>
      <w:bookmarkStart w:id="439" w:name="_Toc287620723"/>
      <w:bookmarkStart w:id="440" w:name="_Toc200513164"/>
      <w:bookmarkStart w:id="441" w:name="_Toc430530473"/>
      <w:bookmarkStart w:id="442" w:name="_Toc57905869"/>
      <w:bookmarkStart w:id="443" w:name="_Toc509218748"/>
      <w:bookmarkStart w:id="444" w:name="_Toc2723"/>
      <w:r>
        <w:rPr>
          <w:rFonts w:ascii="宋体" w:hAnsi="宋体"/>
          <w:b w:val="0"/>
          <w:snapToGrid w:val="0"/>
          <w:color w:val="auto"/>
          <w:highlight w:val="none"/>
        </w:rPr>
        <w:t>7.  合同授予</w:t>
      </w:r>
      <w:bookmarkEnd w:id="436"/>
      <w:bookmarkEnd w:id="437"/>
      <w:bookmarkEnd w:id="438"/>
      <w:bookmarkEnd w:id="439"/>
      <w:bookmarkEnd w:id="440"/>
      <w:bookmarkEnd w:id="441"/>
      <w:bookmarkEnd w:id="442"/>
      <w:bookmarkEnd w:id="443"/>
      <w:bookmarkEnd w:id="444"/>
    </w:p>
    <w:p>
      <w:pPr>
        <w:pStyle w:val="4"/>
        <w:snapToGrid w:val="0"/>
        <w:spacing w:before="0" w:after="0" w:line="360" w:lineRule="auto"/>
        <w:rPr>
          <w:rFonts w:ascii="宋体" w:hAnsi="宋体"/>
          <w:b w:val="0"/>
          <w:snapToGrid w:val="0"/>
          <w:color w:val="auto"/>
          <w:sz w:val="24"/>
          <w:szCs w:val="24"/>
          <w:highlight w:val="none"/>
        </w:rPr>
      </w:pPr>
      <w:bookmarkStart w:id="445" w:name="_Toc287620724"/>
      <w:bookmarkStart w:id="446" w:name="_Toc29937"/>
      <w:bookmarkStart w:id="447" w:name="_Toc287607785"/>
      <w:bookmarkStart w:id="448" w:name="_Toc224103356"/>
      <w:bookmarkStart w:id="449" w:name="_Toc277082591"/>
      <w:bookmarkStart w:id="450" w:name="_Toc57905870"/>
      <w:bookmarkStart w:id="451" w:name="_Toc430530474"/>
      <w:bookmarkStart w:id="452" w:name="_Toc200513165"/>
      <w:bookmarkStart w:id="453" w:name="_Toc509218749"/>
      <w:r>
        <w:rPr>
          <w:rFonts w:ascii="宋体" w:hAnsi="宋体"/>
          <w:b w:val="0"/>
          <w:snapToGrid w:val="0"/>
          <w:color w:val="auto"/>
          <w:sz w:val="24"/>
          <w:szCs w:val="24"/>
          <w:highlight w:val="none"/>
        </w:rPr>
        <w:t>7.1  定标方式</w:t>
      </w:r>
      <w:bookmarkEnd w:id="445"/>
      <w:bookmarkEnd w:id="446"/>
      <w:bookmarkEnd w:id="447"/>
      <w:bookmarkEnd w:id="448"/>
      <w:bookmarkEnd w:id="449"/>
      <w:bookmarkEnd w:id="450"/>
      <w:bookmarkEnd w:id="451"/>
      <w:bookmarkEnd w:id="452"/>
      <w:bookmarkEnd w:id="453"/>
    </w:p>
    <w:p>
      <w:pPr>
        <w:spacing w:line="360" w:lineRule="auto"/>
        <w:ind w:firstLine="420" w:firstLineChars="200"/>
        <w:rPr>
          <w:rFonts w:ascii="宋体" w:hAnsi="宋体"/>
          <w:color w:val="auto"/>
          <w:szCs w:val="21"/>
          <w:highlight w:val="none"/>
        </w:rPr>
      </w:pPr>
      <w:r>
        <w:rPr>
          <w:rFonts w:ascii="宋体" w:hAnsi="宋体"/>
          <w:color w:val="auto"/>
          <w:szCs w:val="21"/>
          <w:highlight w:val="none"/>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360" w:lineRule="auto"/>
        <w:ind w:firstLine="420" w:firstLineChars="200"/>
        <w:rPr>
          <w:rFonts w:ascii="宋体" w:hAnsi="宋体"/>
          <w:color w:val="auto"/>
          <w:szCs w:val="21"/>
          <w:highlight w:val="none"/>
        </w:rPr>
      </w:pPr>
      <w:r>
        <w:rPr>
          <w:rFonts w:ascii="宋体" w:hAnsi="宋体"/>
          <w:snapToGrid w:val="0"/>
          <w:color w:val="auto"/>
          <w:kern w:val="0"/>
          <w:szCs w:val="21"/>
          <w:highlight w:val="none"/>
        </w:rPr>
        <w:t>评标委员会推荐中标候选人的人数</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见投标人须知前附表。</w:t>
      </w:r>
    </w:p>
    <w:p>
      <w:pPr>
        <w:pStyle w:val="4"/>
        <w:snapToGrid w:val="0"/>
        <w:spacing w:before="0" w:after="0" w:line="360" w:lineRule="auto"/>
        <w:rPr>
          <w:rFonts w:ascii="宋体" w:hAnsi="宋体"/>
          <w:b w:val="0"/>
          <w:snapToGrid w:val="0"/>
          <w:color w:val="auto"/>
          <w:sz w:val="24"/>
          <w:szCs w:val="24"/>
          <w:highlight w:val="none"/>
        </w:rPr>
      </w:pPr>
      <w:bookmarkStart w:id="454" w:name="_Toc509218750"/>
      <w:bookmarkStart w:id="455" w:name="_Toc430530475"/>
      <w:bookmarkStart w:id="456" w:name="_Toc23594"/>
      <w:bookmarkStart w:id="457" w:name="_Toc57905871"/>
      <w:r>
        <w:rPr>
          <w:rFonts w:ascii="宋体" w:hAnsi="宋体"/>
          <w:b w:val="0"/>
          <w:snapToGrid w:val="0"/>
          <w:color w:val="auto"/>
          <w:sz w:val="24"/>
          <w:szCs w:val="24"/>
          <w:highlight w:val="none"/>
        </w:rPr>
        <w:t>7.2  中标公示及中标通知</w:t>
      </w:r>
      <w:bookmarkEnd w:id="454"/>
      <w:bookmarkEnd w:id="455"/>
      <w:bookmarkEnd w:id="456"/>
      <w:bookmarkEnd w:id="457"/>
    </w:p>
    <w:p>
      <w:pPr>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snapToGrid w:val="0"/>
          <w:color w:val="auto"/>
          <w:kern w:val="0"/>
          <w:szCs w:val="21"/>
          <w:highlight w:val="none"/>
        </w:rPr>
        <w:t>招标人在收到评标报告之日起3日内公示中标候选人，公示期不得少于3日</w:t>
      </w:r>
      <w:r>
        <w:rPr>
          <w:rFonts w:hint="eastAsia" w:ascii="宋体" w:hAnsi="宋体"/>
          <w:color w:val="auto"/>
          <w:szCs w:val="21"/>
          <w:highlight w:val="none"/>
        </w:rPr>
        <w:t>。</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在本章第 3.3 款规定的投标有效期内，且未有投标人的异议与投诉，招标人以书面形式向中标人发出中标通知书。</w:t>
      </w:r>
    </w:p>
    <w:p>
      <w:pPr>
        <w:pStyle w:val="4"/>
        <w:snapToGrid w:val="0"/>
        <w:spacing w:before="0" w:after="0" w:line="360" w:lineRule="auto"/>
        <w:rPr>
          <w:rFonts w:ascii="宋体" w:hAnsi="宋体"/>
          <w:b w:val="0"/>
          <w:snapToGrid w:val="0"/>
          <w:color w:val="auto"/>
          <w:sz w:val="24"/>
          <w:szCs w:val="24"/>
          <w:highlight w:val="none"/>
        </w:rPr>
      </w:pPr>
      <w:bookmarkStart w:id="458" w:name="_Toc277082593"/>
      <w:bookmarkStart w:id="459" w:name="_Toc509218751"/>
      <w:bookmarkStart w:id="460" w:name="_Toc13383"/>
      <w:bookmarkStart w:id="461" w:name="_Toc224103358"/>
      <w:bookmarkStart w:id="462" w:name="_Toc430530476"/>
      <w:bookmarkStart w:id="463" w:name="_Toc287620726"/>
      <w:bookmarkStart w:id="464" w:name="_Toc287607787"/>
      <w:bookmarkStart w:id="465" w:name="_Toc200513167"/>
      <w:bookmarkStart w:id="466" w:name="_Toc57905872"/>
      <w:r>
        <w:rPr>
          <w:rFonts w:ascii="宋体" w:hAnsi="宋体"/>
          <w:b w:val="0"/>
          <w:snapToGrid w:val="0"/>
          <w:color w:val="auto"/>
          <w:sz w:val="24"/>
          <w:szCs w:val="24"/>
          <w:highlight w:val="none"/>
        </w:rPr>
        <w:t>7.3  履约担保</w:t>
      </w:r>
      <w:bookmarkEnd w:id="458"/>
      <w:bookmarkEnd w:id="459"/>
      <w:bookmarkEnd w:id="460"/>
      <w:bookmarkEnd w:id="461"/>
      <w:bookmarkEnd w:id="462"/>
      <w:bookmarkEnd w:id="463"/>
      <w:bookmarkEnd w:id="464"/>
      <w:bookmarkEnd w:id="465"/>
      <w:bookmarkEnd w:id="466"/>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7.3.1  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7.3.2  中标人不能按本章第 7.3.1 项要求提交履约担保的，视为放弃中标，其投标保证金不予退还，给招标人造成的损失超过投标保证金数额的，中标人还应当对超过部分予以赔偿。</w:t>
      </w:r>
    </w:p>
    <w:p>
      <w:pPr>
        <w:pStyle w:val="4"/>
        <w:snapToGrid w:val="0"/>
        <w:spacing w:before="0" w:after="0" w:line="360" w:lineRule="auto"/>
        <w:rPr>
          <w:rFonts w:ascii="宋体" w:hAnsi="宋体"/>
          <w:b w:val="0"/>
          <w:snapToGrid w:val="0"/>
          <w:color w:val="auto"/>
          <w:sz w:val="24"/>
          <w:szCs w:val="24"/>
          <w:highlight w:val="none"/>
        </w:rPr>
      </w:pPr>
      <w:bookmarkStart w:id="467" w:name="_Toc200513168"/>
      <w:bookmarkStart w:id="468" w:name="_Toc287620727"/>
      <w:bookmarkStart w:id="469" w:name="_Toc16900"/>
      <w:bookmarkStart w:id="470" w:name="_Toc430530477"/>
      <w:bookmarkStart w:id="471" w:name="_Toc509218752"/>
      <w:bookmarkStart w:id="472" w:name="_Toc57905873"/>
      <w:bookmarkStart w:id="473" w:name="_Toc287607788"/>
      <w:bookmarkStart w:id="474" w:name="_Toc277082594"/>
      <w:bookmarkStart w:id="475" w:name="_Toc224103359"/>
      <w:r>
        <w:rPr>
          <w:rFonts w:ascii="宋体" w:hAnsi="宋体"/>
          <w:b w:val="0"/>
          <w:snapToGrid w:val="0"/>
          <w:color w:val="auto"/>
          <w:sz w:val="24"/>
          <w:szCs w:val="24"/>
          <w:highlight w:val="none"/>
        </w:rPr>
        <w:t>7.4  签订合同</w:t>
      </w:r>
      <w:bookmarkEnd w:id="467"/>
      <w:bookmarkEnd w:id="468"/>
      <w:bookmarkEnd w:id="469"/>
      <w:bookmarkEnd w:id="470"/>
      <w:bookmarkEnd w:id="471"/>
      <w:bookmarkEnd w:id="472"/>
      <w:bookmarkEnd w:id="473"/>
      <w:bookmarkEnd w:id="474"/>
      <w:bookmarkEnd w:id="475"/>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7.4.1 招标人和中标人应当自中标通知书发出之日起 30 天内，根据招标文件和中标人的投标文件订立书面合同。中标人</w:t>
      </w:r>
      <w:r>
        <w:rPr>
          <w:rFonts w:hint="eastAsia" w:ascii="宋体" w:hAnsi="宋体"/>
          <w:snapToGrid w:val="0"/>
          <w:color w:val="auto"/>
          <w:kern w:val="0"/>
          <w:szCs w:val="21"/>
          <w:highlight w:val="none"/>
        </w:rPr>
        <w:t>放弃中标项目，</w:t>
      </w:r>
      <w:r>
        <w:rPr>
          <w:rFonts w:ascii="宋体" w:hAnsi="宋体"/>
          <w:snapToGrid w:val="0"/>
          <w:color w:val="auto"/>
          <w:kern w:val="0"/>
          <w:szCs w:val="21"/>
          <w:highlight w:val="none"/>
        </w:rPr>
        <w:t>无正当理由</w:t>
      </w:r>
      <w:r>
        <w:rPr>
          <w:rFonts w:hint="eastAsia" w:ascii="宋体" w:hAnsi="宋体"/>
          <w:snapToGrid w:val="0"/>
          <w:color w:val="auto"/>
          <w:kern w:val="0"/>
          <w:szCs w:val="21"/>
          <w:highlight w:val="none"/>
        </w:rPr>
        <w:t>不与招标人</w:t>
      </w:r>
      <w:r>
        <w:rPr>
          <w:rFonts w:ascii="宋体" w:hAnsi="宋体"/>
          <w:snapToGrid w:val="0"/>
          <w:color w:val="auto"/>
          <w:kern w:val="0"/>
          <w:szCs w:val="21"/>
          <w:highlight w:val="none"/>
        </w:rPr>
        <w:t>签</w:t>
      </w:r>
      <w:r>
        <w:rPr>
          <w:rFonts w:hint="eastAsia" w:ascii="宋体" w:hAnsi="宋体"/>
          <w:snapToGrid w:val="0"/>
          <w:color w:val="auto"/>
          <w:kern w:val="0"/>
          <w:szCs w:val="21"/>
          <w:highlight w:val="none"/>
        </w:rPr>
        <w:t>订</w:t>
      </w:r>
      <w:r>
        <w:rPr>
          <w:rFonts w:ascii="宋体" w:hAnsi="宋体"/>
          <w:snapToGrid w:val="0"/>
          <w:color w:val="auto"/>
          <w:kern w:val="0"/>
          <w:szCs w:val="21"/>
          <w:highlight w:val="none"/>
        </w:rPr>
        <w:t>合同，</w:t>
      </w:r>
      <w:r>
        <w:rPr>
          <w:rFonts w:hint="eastAsia" w:ascii="宋体" w:hAnsi="宋体"/>
          <w:snapToGrid w:val="0"/>
          <w:color w:val="auto"/>
          <w:kern w:val="0"/>
          <w:szCs w:val="21"/>
          <w:highlight w:val="none"/>
        </w:rPr>
        <w:t>在签订合同时向招标人提出附加条件或者更改合同实质性内容的</w:t>
      </w:r>
      <w:r>
        <w:rPr>
          <w:rFonts w:ascii="宋体" w:hAnsi="宋体"/>
          <w:snapToGrid w:val="0"/>
          <w:color w:val="auto"/>
          <w:kern w:val="0"/>
          <w:szCs w:val="21"/>
          <w:highlight w:val="none"/>
        </w:rPr>
        <w:t>，</w:t>
      </w:r>
      <w:r>
        <w:rPr>
          <w:rFonts w:hint="eastAsia" w:ascii="宋体" w:hAnsi="宋体" w:cs="宋体"/>
          <w:color w:val="auto"/>
          <w:szCs w:val="21"/>
          <w:highlight w:val="none"/>
        </w:rPr>
        <w:t>或不按照招标文件要求提交低价风险担保（适用于经评审最低投标价法）或履约保证金的，</w:t>
      </w:r>
      <w:r>
        <w:rPr>
          <w:rFonts w:ascii="宋体" w:hAnsi="宋体"/>
          <w:snapToGrid w:val="0"/>
          <w:color w:val="auto"/>
          <w:kern w:val="0"/>
          <w:szCs w:val="21"/>
          <w:highlight w:val="none"/>
        </w:rPr>
        <w:t>招标人取消其中标资格，其投标保证金不予退还；给招标人造成的损失超过投标保证金数额的，中标人还应当对超过部分予以赔偿。</w:t>
      </w:r>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7.4.2  发出中标通知书后，招标人无正当理由拒签合同的，招标人向中标人退还投标保证金；给中标人造成损失的，还应当赔偿损失。</w:t>
      </w:r>
    </w:p>
    <w:p>
      <w:pPr>
        <w:pStyle w:val="3"/>
        <w:spacing w:before="0" w:after="0" w:line="360" w:lineRule="auto"/>
        <w:rPr>
          <w:rFonts w:ascii="宋体" w:hAnsi="宋体"/>
          <w:b w:val="0"/>
          <w:snapToGrid w:val="0"/>
          <w:color w:val="auto"/>
          <w:highlight w:val="none"/>
        </w:rPr>
      </w:pPr>
      <w:bookmarkStart w:id="476" w:name="_Toc277082595"/>
      <w:bookmarkStart w:id="477" w:name="_Toc509218753"/>
      <w:bookmarkStart w:id="478" w:name="_Toc57905874"/>
      <w:bookmarkStart w:id="479" w:name="_Toc287620728"/>
      <w:bookmarkStart w:id="480" w:name="_Toc22591"/>
      <w:bookmarkStart w:id="481" w:name="_Toc287607789"/>
      <w:bookmarkStart w:id="482" w:name="_Toc200513169"/>
      <w:bookmarkStart w:id="483" w:name="_Toc430530478"/>
      <w:bookmarkStart w:id="484" w:name="_Toc224103360"/>
      <w:r>
        <w:rPr>
          <w:rFonts w:ascii="宋体" w:hAnsi="宋体"/>
          <w:b w:val="0"/>
          <w:snapToGrid w:val="0"/>
          <w:color w:val="auto"/>
          <w:highlight w:val="none"/>
        </w:rPr>
        <w:t>8.  重新招标和不再招标</w:t>
      </w:r>
      <w:bookmarkEnd w:id="476"/>
      <w:bookmarkEnd w:id="477"/>
      <w:bookmarkEnd w:id="478"/>
      <w:bookmarkEnd w:id="479"/>
      <w:bookmarkEnd w:id="480"/>
      <w:bookmarkEnd w:id="481"/>
      <w:bookmarkEnd w:id="482"/>
      <w:bookmarkEnd w:id="483"/>
      <w:bookmarkEnd w:id="484"/>
    </w:p>
    <w:p>
      <w:pPr>
        <w:pStyle w:val="4"/>
        <w:snapToGrid w:val="0"/>
        <w:spacing w:before="0" w:after="0" w:line="360" w:lineRule="auto"/>
        <w:rPr>
          <w:rFonts w:ascii="宋体" w:hAnsi="宋体"/>
          <w:b w:val="0"/>
          <w:snapToGrid w:val="0"/>
          <w:color w:val="auto"/>
          <w:sz w:val="24"/>
          <w:szCs w:val="24"/>
          <w:highlight w:val="none"/>
        </w:rPr>
      </w:pPr>
      <w:bookmarkStart w:id="485" w:name="_Toc57905875"/>
      <w:bookmarkStart w:id="486" w:name="_Toc200513170"/>
      <w:bookmarkStart w:id="487" w:name="_Toc430530479"/>
      <w:bookmarkStart w:id="488" w:name="_Toc224103361"/>
      <w:bookmarkStart w:id="489" w:name="_Toc287607790"/>
      <w:bookmarkStart w:id="490" w:name="_Toc277082596"/>
      <w:bookmarkStart w:id="491" w:name="_Toc509218754"/>
      <w:bookmarkStart w:id="492" w:name="_Toc287620729"/>
      <w:bookmarkStart w:id="493" w:name="_Toc4647"/>
      <w:r>
        <w:rPr>
          <w:rFonts w:ascii="宋体" w:hAnsi="宋体"/>
          <w:b w:val="0"/>
          <w:snapToGrid w:val="0"/>
          <w:color w:val="auto"/>
          <w:sz w:val="24"/>
          <w:szCs w:val="24"/>
          <w:highlight w:val="none"/>
        </w:rPr>
        <w:t>8.1  重新招标</w:t>
      </w:r>
      <w:bookmarkEnd w:id="485"/>
      <w:bookmarkEnd w:id="486"/>
      <w:bookmarkEnd w:id="487"/>
      <w:bookmarkEnd w:id="488"/>
      <w:bookmarkEnd w:id="489"/>
      <w:bookmarkEnd w:id="490"/>
      <w:bookmarkEnd w:id="491"/>
      <w:bookmarkEnd w:id="492"/>
      <w:bookmarkEnd w:id="493"/>
      <w:r>
        <w:rPr>
          <w:rFonts w:hint="eastAsia" w:ascii="宋体" w:hAnsi="宋体"/>
          <w:b w:val="0"/>
          <w:snapToGrid w:val="0"/>
          <w:color w:val="auto"/>
          <w:sz w:val="24"/>
          <w:szCs w:val="24"/>
          <w:highlight w:val="none"/>
        </w:rPr>
        <w:t>的情形</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有下列情形之一的，招标人将重新招标：</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（1）投标截止时间止，投标人少于 3 个的；</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（2）经评标委员会评审后否决所有投标的；</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经评标委员会评审后部分投标被否决，导致有效投标人不足三个的，评标委员会应当否决所有投标。但是有效投标人的经济、技术等指标仍然具有市场竞争力，能够满足招标文件要求的，评标委员会可以继续评标并确定中标候选人；</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（4）法律法规规定的其他情形。</w:t>
      </w:r>
    </w:p>
    <w:p>
      <w:pPr>
        <w:pStyle w:val="4"/>
        <w:snapToGrid w:val="0"/>
        <w:spacing w:before="0" w:after="0" w:line="360" w:lineRule="auto"/>
        <w:rPr>
          <w:rFonts w:ascii="宋体" w:hAnsi="宋体"/>
          <w:b w:val="0"/>
          <w:snapToGrid w:val="0"/>
          <w:color w:val="auto"/>
          <w:sz w:val="24"/>
          <w:szCs w:val="24"/>
          <w:highlight w:val="none"/>
        </w:rPr>
      </w:pPr>
      <w:bookmarkStart w:id="494" w:name="_Toc287620730"/>
      <w:bookmarkStart w:id="495" w:name="_Toc287607791"/>
      <w:bookmarkStart w:id="496" w:name="_Toc509218755"/>
      <w:bookmarkStart w:id="497" w:name="_Toc57905876"/>
      <w:bookmarkStart w:id="498" w:name="_Toc200513171"/>
      <w:bookmarkStart w:id="499" w:name="_Toc277082597"/>
      <w:bookmarkStart w:id="500" w:name="_Toc224103362"/>
      <w:bookmarkStart w:id="501" w:name="_Toc430530480"/>
      <w:bookmarkStart w:id="502" w:name="_Toc32210"/>
      <w:r>
        <w:rPr>
          <w:rFonts w:ascii="宋体" w:hAnsi="宋体"/>
          <w:b w:val="0"/>
          <w:snapToGrid w:val="0"/>
          <w:color w:val="auto"/>
          <w:sz w:val="24"/>
          <w:szCs w:val="24"/>
          <w:highlight w:val="none"/>
        </w:rPr>
        <w:t xml:space="preserve">8.2  </w:t>
      </w:r>
      <w:r>
        <w:rPr>
          <w:rFonts w:hint="eastAsia" w:ascii="宋体" w:hAnsi="宋体"/>
          <w:b w:val="0"/>
          <w:snapToGrid w:val="0"/>
          <w:color w:val="auto"/>
          <w:sz w:val="24"/>
          <w:szCs w:val="24"/>
          <w:highlight w:val="none"/>
        </w:rPr>
        <w:t>重新</w:t>
      </w:r>
      <w:r>
        <w:rPr>
          <w:rFonts w:ascii="宋体" w:hAnsi="宋体"/>
          <w:b w:val="0"/>
          <w:snapToGrid w:val="0"/>
          <w:color w:val="auto"/>
          <w:sz w:val="24"/>
          <w:szCs w:val="24"/>
          <w:highlight w:val="none"/>
        </w:rPr>
        <w:t>招标和不再招标</w:t>
      </w:r>
      <w:bookmarkEnd w:id="494"/>
      <w:bookmarkEnd w:id="495"/>
      <w:bookmarkEnd w:id="496"/>
      <w:bookmarkEnd w:id="497"/>
      <w:bookmarkEnd w:id="498"/>
      <w:bookmarkEnd w:id="499"/>
      <w:bookmarkEnd w:id="500"/>
      <w:bookmarkEnd w:id="501"/>
      <w:bookmarkEnd w:id="502"/>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hint="eastAsia" w:ascii="宋体" w:hAnsi="宋体"/>
          <w:snapToGrid w:val="0"/>
          <w:color w:val="auto"/>
          <w:kern w:val="0"/>
          <w:szCs w:val="21"/>
          <w:highlight w:val="none"/>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color w:val="auto"/>
          <w:kern w:val="0"/>
          <w:szCs w:val="21"/>
          <w:highlight w:val="none"/>
        </w:rPr>
        <w:t>。</w:t>
      </w:r>
    </w:p>
    <w:p>
      <w:pPr>
        <w:pStyle w:val="3"/>
        <w:spacing w:before="0" w:after="0" w:line="360" w:lineRule="auto"/>
        <w:rPr>
          <w:rFonts w:ascii="宋体" w:hAnsi="宋体"/>
          <w:b w:val="0"/>
          <w:snapToGrid w:val="0"/>
          <w:color w:val="auto"/>
          <w:highlight w:val="none"/>
        </w:rPr>
      </w:pPr>
      <w:bookmarkStart w:id="503" w:name="_Toc287607792"/>
      <w:bookmarkStart w:id="504" w:name="_Toc285"/>
      <w:bookmarkStart w:id="505" w:name="_Toc277082598"/>
      <w:bookmarkStart w:id="506" w:name="_Toc430530481"/>
      <w:bookmarkStart w:id="507" w:name="_Toc509218756"/>
      <w:bookmarkStart w:id="508" w:name="_Toc57905877"/>
      <w:bookmarkStart w:id="509" w:name="_Toc224103363"/>
      <w:bookmarkStart w:id="510" w:name="_Toc200513172"/>
      <w:bookmarkStart w:id="511" w:name="_Toc287620731"/>
      <w:r>
        <w:rPr>
          <w:rFonts w:ascii="宋体" w:hAnsi="宋体"/>
          <w:b w:val="0"/>
          <w:snapToGrid w:val="0"/>
          <w:color w:val="auto"/>
          <w:highlight w:val="none"/>
        </w:rPr>
        <w:t>9.  纪律和监督</w:t>
      </w:r>
      <w:bookmarkEnd w:id="503"/>
      <w:bookmarkEnd w:id="504"/>
      <w:bookmarkEnd w:id="505"/>
      <w:bookmarkEnd w:id="506"/>
      <w:bookmarkEnd w:id="507"/>
      <w:bookmarkEnd w:id="508"/>
      <w:bookmarkEnd w:id="509"/>
      <w:bookmarkEnd w:id="510"/>
      <w:bookmarkEnd w:id="511"/>
    </w:p>
    <w:p>
      <w:pPr>
        <w:pStyle w:val="4"/>
        <w:snapToGrid w:val="0"/>
        <w:spacing w:before="0" w:after="0" w:line="360" w:lineRule="auto"/>
        <w:rPr>
          <w:rFonts w:ascii="宋体" w:hAnsi="宋体"/>
          <w:b w:val="0"/>
          <w:snapToGrid w:val="0"/>
          <w:color w:val="auto"/>
          <w:sz w:val="24"/>
          <w:szCs w:val="24"/>
          <w:highlight w:val="none"/>
        </w:rPr>
      </w:pPr>
      <w:bookmarkStart w:id="512" w:name="_Toc11532"/>
      <w:bookmarkStart w:id="513" w:name="_Toc57905878"/>
      <w:bookmarkStart w:id="514" w:name="_Toc287607793"/>
      <w:bookmarkStart w:id="515" w:name="_Toc200513173"/>
      <w:bookmarkStart w:id="516" w:name="_Toc277082599"/>
      <w:bookmarkStart w:id="517" w:name="_Toc287620732"/>
      <w:bookmarkStart w:id="518" w:name="_Toc509218757"/>
      <w:bookmarkStart w:id="519" w:name="_Toc430530482"/>
      <w:bookmarkStart w:id="520" w:name="_Toc224103364"/>
      <w:r>
        <w:rPr>
          <w:rFonts w:ascii="宋体" w:hAnsi="宋体"/>
          <w:b w:val="0"/>
          <w:snapToGrid w:val="0"/>
          <w:color w:val="auto"/>
          <w:sz w:val="24"/>
          <w:szCs w:val="24"/>
          <w:highlight w:val="none"/>
        </w:rPr>
        <w:t>9.1  对招标人的纪律要求</w:t>
      </w:r>
      <w:bookmarkEnd w:id="512"/>
      <w:bookmarkEnd w:id="513"/>
      <w:bookmarkEnd w:id="514"/>
      <w:bookmarkEnd w:id="515"/>
      <w:bookmarkEnd w:id="516"/>
      <w:bookmarkEnd w:id="517"/>
      <w:bookmarkEnd w:id="518"/>
      <w:bookmarkEnd w:id="519"/>
      <w:bookmarkEnd w:id="520"/>
    </w:p>
    <w:p>
      <w:pPr>
        <w:autoSpaceDE w:val="0"/>
        <w:autoSpaceDN w:val="0"/>
        <w:adjustRightInd w:val="0"/>
        <w:snapToGrid w:val="0"/>
        <w:spacing w:line="360" w:lineRule="auto"/>
        <w:ind w:firstLine="420"/>
        <w:rPr>
          <w:rFonts w:ascii="宋体" w:hAnsi="宋体"/>
          <w:color w:val="auto"/>
          <w:highlight w:val="none"/>
        </w:rPr>
      </w:pPr>
      <w:r>
        <w:rPr>
          <w:rFonts w:ascii="宋体" w:hAnsi="宋体"/>
          <w:snapToGrid w:val="0"/>
          <w:color w:val="auto"/>
          <w:kern w:val="0"/>
          <w:szCs w:val="21"/>
          <w:highlight w:val="none"/>
        </w:rPr>
        <w:t>招标人不得泄漏招标投标活动中应当保密的情况和资料，不得与投标人串通损害国家利 益、社会公共利益或者他人合法权益，</w:t>
      </w:r>
      <w:r>
        <w:rPr>
          <w:rFonts w:ascii="宋体" w:hAnsi="宋体"/>
          <w:color w:val="auto"/>
          <w:highlight w:val="none"/>
        </w:rPr>
        <w:t>禁止招标人与投标人串通投标。</w:t>
      </w:r>
    </w:p>
    <w:p>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有下列情形之一的，属于招标人与投标人串通投标：</w:t>
      </w:r>
    </w:p>
    <w:p>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（1）招标人在开标前开启投标文件并将有关信息泄露给其他投标人</w:t>
      </w:r>
      <w:r>
        <w:rPr>
          <w:rFonts w:hint="eastAsia" w:ascii="宋体" w:hAnsi="宋体"/>
          <w:color w:val="auto"/>
          <w:highlight w:val="none"/>
        </w:rPr>
        <w:t>；</w:t>
      </w:r>
    </w:p>
    <w:p>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（2）招标人直接或者间接向投标人泄露标底、评标委员会成员等信息；</w:t>
      </w:r>
    </w:p>
    <w:p>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（3）招标人明示或者暗示投标人压低或者抬高投标报价；</w:t>
      </w:r>
    </w:p>
    <w:p>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（4）招标人授意投标人撤换、修改投标文件；</w:t>
      </w:r>
    </w:p>
    <w:p>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（5）招标人明示或者暗示投标人为特定投标人中标提供方便；</w:t>
      </w:r>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color w:val="auto"/>
          <w:highlight w:val="none"/>
        </w:rPr>
        <w:t>（6）招标人与投标人为谋求特定投标人中标而采取的其他串通行为。</w:t>
      </w:r>
    </w:p>
    <w:p>
      <w:pPr>
        <w:pStyle w:val="4"/>
        <w:snapToGrid w:val="0"/>
        <w:spacing w:before="0" w:after="0" w:line="360" w:lineRule="auto"/>
        <w:rPr>
          <w:rFonts w:ascii="宋体" w:hAnsi="宋体"/>
          <w:b w:val="0"/>
          <w:snapToGrid w:val="0"/>
          <w:color w:val="auto"/>
          <w:sz w:val="24"/>
          <w:szCs w:val="24"/>
          <w:highlight w:val="none"/>
        </w:rPr>
      </w:pPr>
      <w:bookmarkStart w:id="521" w:name="_Toc430530483"/>
      <w:bookmarkStart w:id="522" w:name="_Toc200513174"/>
      <w:bookmarkStart w:id="523" w:name="_Toc57905879"/>
      <w:bookmarkStart w:id="524" w:name="_Toc224103365"/>
      <w:bookmarkStart w:id="525" w:name="_Toc11710"/>
      <w:bookmarkStart w:id="526" w:name="_Toc287620733"/>
      <w:bookmarkStart w:id="527" w:name="_Toc509218758"/>
      <w:bookmarkStart w:id="528" w:name="_Toc287607794"/>
      <w:bookmarkStart w:id="529" w:name="_Toc277082600"/>
      <w:r>
        <w:rPr>
          <w:rFonts w:ascii="宋体" w:hAnsi="宋体"/>
          <w:b w:val="0"/>
          <w:snapToGrid w:val="0"/>
          <w:color w:val="auto"/>
          <w:sz w:val="24"/>
          <w:szCs w:val="24"/>
          <w:highlight w:val="none"/>
        </w:rPr>
        <w:t>9.2  对投标人的纪律要求</w:t>
      </w:r>
      <w:bookmarkEnd w:id="521"/>
      <w:bookmarkEnd w:id="522"/>
      <w:bookmarkEnd w:id="523"/>
      <w:bookmarkEnd w:id="524"/>
      <w:bookmarkEnd w:id="525"/>
      <w:bookmarkEnd w:id="526"/>
      <w:bookmarkEnd w:id="527"/>
      <w:bookmarkEnd w:id="528"/>
      <w:bookmarkEnd w:id="529"/>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r>
        <w:rPr>
          <w:rFonts w:hint="eastAsia" w:ascii="宋体" w:hAnsi="宋体"/>
          <w:snapToGrid w:val="0"/>
          <w:color w:val="auto"/>
          <w:kern w:val="0"/>
          <w:szCs w:val="21"/>
          <w:highlight w:val="none"/>
        </w:rPr>
        <w:t>。</w:t>
      </w:r>
    </w:p>
    <w:p>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9.2.1  </w:t>
      </w:r>
      <w:r>
        <w:rPr>
          <w:rFonts w:ascii="宋体" w:hAnsi="宋体"/>
          <w:color w:val="auto"/>
          <w:highlight w:val="none"/>
        </w:rPr>
        <w:t>有下列情形之一的，属于投标人相互串通投标：</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（1）投标人之间协商投标报价等投标文件的实质性内容；</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（2）投标人之间约定中标人；</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（3）投标人之间约定部分投标人放弃投标或者中标；</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（4）属于同一集团、协会、商会等组织成员的投标人按照该组织要求协同投标；</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（5）投标人之间为谋取中标或者排斥特定投标人而采取的其他联合行动。</w:t>
      </w:r>
    </w:p>
    <w:p>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9.2.2  </w:t>
      </w:r>
      <w:r>
        <w:rPr>
          <w:rFonts w:ascii="宋体" w:hAnsi="宋体"/>
          <w:color w:val="auto"/>
          <w:highlight w:val="none"/>
        </w:rPr>
        <w:t>有下列情形之一的，视为投标人相互串通投标：</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（1）不同投标人的投标文件由同一单位或者个人编制；</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（2）不同投标人委托同一单位或者个人办理投标事宜；</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（3）不同投标人的投标文件载明的项目管理成员为同一人；</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（4）不同投标人的投标文件异常一致或者投标报价呈规律性差异；</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（5）不同投标人的投标文件相互混装；</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（6）不同投标人的投标保证金从同一单位或者个人的账户转出。</w:t>
      </w:r>
    </w:p>
    <w:p>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9.2.3  </w:t>
      </w:r>
      <w:r>
        <w:rPr>
          <w:rFonts w:ascii="宋体" w:hAnsi="宋体"/>
          <w:color w:val="auto"/>
          <w:highlight w:val="none"/>
        </w:rPr>
        <w:t>使用通过受让或者租借等方式获取的资格、资质证书投标的，属于以他人名义投标。</w:t>
      </w:r>
    </w:p>
    <w:p>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9.2.4  </w:t>
      </w:r>
      <w:r>
        <w:rPr>
          <w:rFonts w:ascii="宋体" w:hAnsi="宋体"/>
          <w:color w:val="auto"/>
          <w:highlight w:val="none"/>
        </w:rPr>
        <w:t>投标人有下列情形之一的，属于以其他方式弄虚作假的行为：</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1</w:t>
      </w:r>
      <w:r>
        <w:rPr>
          <w:rFonts w:ascii="宋体" w:hAnsi="宋体"/>
          <w:color w:val="auto"/>
          <w:highlight w:val="none"/>
        </w:rPr>
        <w:t>）使用伪造、变造的许可证件；</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2</w:t>
      </w:r>
      <w:r>
        <w:rPr>
          <w:rFonts w:ascii="宋体" w:hAnsi="宋体"/>
          <w:color w:val="auto"/>
          <w:highlight w:val="none"/>
        </w:rPr>
        <w:t>）提供虚假的财务状况或者业绩；</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3</w:t>
      </w:r>
      <w:r>
        <w:rPr>
          <w:rFonts w:ascii="宋体" w:hAnsi="宋体"/>
          <w:color w:val="auto"/>
          <w:highlight w:val="none"/>
        </w:rPr>
        <w:t>）提供虚假的项目负责人或者主要技术人员简历、劳动关系证明；</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4</w:t>
      </w:r>
      <w:r>
        <w:rPr>
          <w:rFonts w:ascii="宋体" w:hAnsi="宋体"/>
          <w:color w:val="auto"/>
          <w:highlight w:val="none"/>
        </w:rPr>
        <w:t>）提供虚假的信用状况；</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color w:val="auto"/>
          <w:highlight w:val="none"/>
        </w:rPr>
        <w:t>（</w:t>
      </w:r>
      <w:r>
        <w:rPr>
          <w:rFonts w:hint="eastAsia" w:ascii="宋体" w:hAnsi="宋体"/>
          <w:color w:val="auto"/>
          <w:highlight w:val="none"/>
        </w:rPr>
        <w:t>5</w:t>
      </w:r>
      <w:r>
        <w:rPr>
          <w:rFonts w:ascii="宋体" w:hAnsi="宋体"/>
          <w:color w:val="auto"/>
          <w:highlight w:val="none"/>
        </w:rPr>
        <w:t>）其他弄虚作假的行为。</w:t>
      </w:r>
    </w:p>
    <w:p>
      <w:pPr>
        <w:pStyle w:val="4"/>
        <w:snapToGrid w:val="0"/>
        <w:spacing w:before="0" w:after="0" w:line="360" w:lineRule="auto"/>
        <w:rPr>
          <w:rFonts w:ascii="宋体" w:hAnsi="宋体"/>
          <w:b w:val="0"/>
          <w:snapToGrid w:val="0"/>
          <w:color w:val="auto"/>
          <w:sz w:val="24"/>
          <w:szCs w:val="24"/>
          <w:highlight w:val="none"/>
        </w:rPr>
      </w:pPr>
      <w:bookmarkStart w:id="530" w:name="_Toc287607795"/>
      <w:bookmarkStart w:id="531" w:name="_Toc200513175"/>
      <w:bookmarkStart w:id="532" w:name="_Toc277082601"/>
      <w:bookmarkStart w:id="533" w:name="_Toc27742"/>
      <w:bookmarkStart w:id="534" w:name="_Toc224103366"/>
      <w:bookmarkStart w:id="535" w:name="_Toc430530484"/>
      <w:bookmarkStart w:id="536" w:name="_Toc57905880"/>
      <w:bookmarkStart w:id="537" w:name="_Toc509218759"/>
      <w:bookmarkStart w:id="538" w:name="_Toc287620734"/>
      <w:r>
        <w:rPr>
          <w:rFonts w:ascii="宋体" w:hAnsi="宋体"/>
          <w:b w:val="0"/>
          <w:snapToGrid w:val="0"/>
          <w:color w:val="auto"/>
          <w:sz w:val="24"/>
          <w:szCs w:val="24"/>
          <w:highlight w:val="none"/>
        </w:rPr>
        <w:t>9.3  对评标委员会成员的纪律要求</w:t>
      </w:r>
      <w:bookmarkEnd w:id="530"/>
      <w:bookmarkEnd w:id="531"/>
      <w:bookmarkEnd w:id="532"/>
      <w:bookmarkEnd w:id="533"/>
      <w:bookmarkEnd w:id="534"/>
      <w:bookmarkEnd w:id="535"/>
      <w:bookmarkEnd w:id="536"/>
      <w:bookmarkEnd w:id="537"/>
      <w:bookmarkEnd w:id="538"/>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r>
        <w:rPr>
          <w:rFonts w:hint="eastAsia" w:ascii="宋体" w:hAnsi="宋体"/>
          <w:snapToGrid w:val="0"/>
          <w:color w:val="auto"/>
          <w:kern w:val="0"/>
          <w:szCs w:val="21"/>
          <w:highlight w:val="none"/>
        </w:rPr>
        <w:t>，不得对招标文件中《否决投标情况一览表》以外的内容予以否决投标，否则对评标委员会成员按《重庆市综合评标专家库和评标专家管理暂行办法》进行处理</w:t>
      </w:r>
      <w:r>
        <w:rPr>
          <w:rFonts w:ascii="宋体" w:hAnsi="宋体"/>
          <w:snapToGrid w:val="0"/>
          <w:color w:val="auto"/>
          <w:kern w:val="0"/>
          <w:szCs w:val="21"/>
          <w:highlight w:val="none"/>
        </w:rPr>
        <w:t>。</w:t>
      </w:r>
    </w:p>
    <w:p>
      <w:pPr>
        <w:pStyle w:val="4"/>
        <w:snapToGrid w:val="0"/>
        <w:spacing w:before="0" w:after="0" w:line="360" w:lineRule="auto"/>
        <w:rPr>
          <w:rFonts w:ascii="宋体" w:hAnsi="宋体"/>
          <w:b w:val="0"/>
          <w:snapToGrid w:val="0"/>
          <w:color w:val="auto"/>
          <w:sz w:val="24"/>
          <w:szCs w:val="24"/>
          <w:highlight w:val="none"/>
        </w:rPr>
      </w:pPr>
      <w:bookmarkStart w:id="539" w:name="_Toc277082602"/>
      <w:bookmarkStart w:id="540" w:name="_Toc430530485"/>
      <w:bookmarkStart w:id="541" w:name="_Toc224103367"/>
      <w:bookmarkStart w:id="542" w:name="_Toc509218760"/>
      <w:bookmarkStart w:id="543" w:name="_Toc200513176"/>
      <w:bookmarkStart w:id="544" w:name="_Toc57905881"/>
      <w:bookmarkStart w:id="545" w:name="_Toc287607796"/>
      <w:bookmarkStart w:id="546" w:name="_Toc17353"/>
      <w:bookmarkStart w:id="547" w:name="_Toc287620735"/>
      <w:r>
        <w:rPr>
          <w:rFonts w:ascii="宋体" w:hAnsi="宋体"/>
          <w:b w:val="0"/>
          <w:snapToGrid w:val="0"/>
          <w:color w:val="auto"/>
          <w:sz w:val="24"/>
          <w:szCs w:val="24"/>
          <w:highlight w:val="none"/>
        </w:rPr>
        <w:t>9.4  对与评标活动有关的工作人员的纪律要求</w:t>
      </w:r>
      <w:bookmarkEnd w:id="539"/>
      <w:bookmarkEnd w:id="540"/>
      <w:bookmarkEnd w:id="541"/>
      <w:bookmarkEnd w:id="542"/>
      <w:bookmarkEnd w:id="543"/>
      <w:bookmarkEnd w:id="544"/>
      <w:bookmarkEnd w:id="545"/>
      <w:bookmarkEnd w:id="546"/>
      <w:bookmarkEnd w:id="547"/>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p>
    <w:p>
      <w:pPr>
        <w:pStyle w:val="4"/>
        <w:snapToGrid w:val="0"/>
        <w:spacing w:before="0" w:after="0" w:line="360" w:lineRule="auto"/>
        <w:rPr>
          <w:rFonts w:ascii="宋体" w:hAnsi="宋体"/>
          <w:b w:val="0"/>
          <w:snapToGrid w:val="0"/>
          <w:color w:val="auto"/>
          <w:sz w:val="24"/>
          <w:szCs w:val="24"/>
          <w:highlight w:val="none"/>
        </w:rPr>
      </w:pPr>
      <w:bookmarkStart w:id="548" w:name="_Toc57905882"/>
      <w:bookmarkStart w:id="549" w:name="_Toc200513177"/>
      <w:bookmarkStart w:id="550" w:name="_Toc430530486"/>
      <w:bookmarkStart w:id="551" w:name="_Toc509218761"/>
      <w:bookmarkStart w:id="552" w:name="_Toc277082603"/>
      <w:bookmarkStart w:id="553" w:name="_Toc224103368"/>
      <w:bookmarkStart w:id="554" w:name="_Toc287607797"/>
      <w:bookmarkStart w:id="555" w:name="_Toc287620736"/>
      <w:bookmarkStart w:id="556" w:name="_Toc17234"/>
      <w:r>
        <w:rPr>
          <w:rFonts w:ascii="宋体" w:hAnsi="宋体"/>
          <w:b w:val="0"/>
          <w:snapToGrid w:val="0"/>
          <w:color w:val="auto"/>
          <w:sz w:val="24"/>
          <w:szCs w:val="24"/>
          <w:highlight w:val="none"/>
        </w:rPr>
        <w:t>9.5  投诉</w:t>
      </w:r>
      <w:bookmarkEnd w:id="548"/>
      <w:bookmarkEnd w:id="549"/>
      <w:bookmarkEnd w:id="550"/>
      <w:bookmarkEnd w:id="551"/>
      <w:bookmarkEnd w:id="552"/>
      <w:bookmarkEnd w:id="553"/>
      <w:bookmarkEnd w:id="554"/>
      <w:bookmarkEnd w:id="555"/>
      <w:bookmarkEnd w:id="556"/>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投标人和其他利害关系人认为本次招标活动违反法律、法规和规章规定的，有权向有关行政监督部门投诉。</w:t>
      </w:r>
    </w:p>
    <w:p>
      <w:pPr>
        <w:pStyle w:val="3"/>
        <w:spacing w:before="0" w:after="0" w:line="360" w:lineRule="auto"/>
        <w:rPr>
          <w:rFonts w:ascii="宋体" w:hAnsi="宋体"/>
          <w:b w:val="0"/>
          <w:snapToGrid w:val="0"/>
          <w:color w:val="auto"/>
          <w:highlight w:val="none"/>
        </w:rPr>
      </w:pPr>
      <w:bookmarkStart w:id="557" w:name="_Toc13382"/>
      <w:bookmarkStart w:id="558" w:name="_Toc430530487"/>
      <w:bookmarkStart w:id="559" w:name="_Toc287620737"/>
      <w:bookmarkStart w:id="560" w:name="_Toc57905883"/>
      <w:bookmarkStart w:id="561" w:name="_Toc224103369"/>
      <w:bookmarkStart w:id="562" w:name="_Toc200513178"/>
      <w:bookmarkStart w:id="563" w:name="_Toc277082604"/>
      <w:bookmarkStart w:id="564" w:name="_Toc287607798"/>
      <w:bookmarkStart w:id="565" w:name="_Toc509218762"/>
      <w:r>
        <w:rPr>
          <w:rFonts w:ascii="宋体" w:hAnsi="宋体"/>
          <w:b w:val="0"/>
          <w:snapToGrid w:val="0"/>
          <w:color w:val="auto"/>
          <w:highlight w:val="none"/>
        </w:rPr>
        <w:t>10. 需要补充的其他内容</w:t>
      </w:r>
      <w:bookmarkEnd w:id="557"/>
      <w:bookmarkEnd w:id="558"/>
      <w:bookmarkEnd w:id="559"/>
      <w:bookmarkEnd w:id="560"/>
      <w:bookmarkEnd w:id="561"/>
      <w:bookmarkEnd w:id="562"/>
      <w:bookmarkEnd w:id="563"/>
      <w:bookmarkEnd w:id="564"/>
      <w:bookmarkEnd w:id="565"/>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sectPr>
          <w:footerReference r:id="rId7" w:type="default"/>
          <w:footerReference r:id="rId8" w:type="even"/>
          <w:pgSz w:w="11906" w:h="16838"/>
          <w:pgMar w:top="1304" w:right="1134" w:bottom="1304" w:left="1304" w:header="851" w:footer="992" w:gutter="0"/>
          <w:cols w:space="720" w:num="1"/>
          <w:docGrid w:type="lines" w:linePitch="312" w:charSpace="0"/>
        </w:sectPr>
      </w:pPr>
      <w:r>
        <w:rPr>
          <w:rFonts w:ascii="宋体" w:hAnsi="宋体"/>
          <w:snapToGrid w:val="0"/>
          <w:color w:val="auto"/>
          <w:kern w:val="0"/>
          <w:szCs w:val="21"/>
          <w:highlight w:val="none"/>
        </w:rPr>
        <w:t>需要补充的其他内容：见投标人须知前附表。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p>
    <w:p>
      <w:pPr>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highlight w:val="none"/>
        </w:rPr>
        <w:t>附表一：开标记录表</w:t>
      </w:r>
    </w:p>
    <w:p>
      <w:pPr>
        <w:autoSpaceDE w:val="0"/>
        <w:autoSpaceDN w:val="0"/>
        <w:adjustRightInd w:val="0"/>
        <w:snapToGrid w:val="0"/>
        <w:spacing w:line="360" w:lineRule="auto"/>
        <w:jc w:val="left"/>
        <w:rPr>
          <w:rFonts w:ascii="宋体" w:hAnsi="宋体"/>
          <w:b/>
          <w:snapToGrid w:val="0"/>
          <w:color w:val="auto"/>
          <w:kern w:val="0"/>
          <w:highlight w:val="none"/>
        </w:rPr>
      </w:pPr>
    </w:p>
    <w:p>
      <w:pPr>
        <w:tabs>
          <w:tab w:val="left" w:pos="3529"/>
          <w:tab w:val="left" w:pos="5060"/>
        </w:tabs>
        <w:autoSpaceDE w:val="0"/>
        <w:autoSpaceDN w:val="0"/>
        <w:adjustRightInd w:val="0"/>
        <w:snapToGrid w:val="0"/>
        <w:spacing w:line="360" w:lineRule="auto"/>
        <w:ind w:firstLine="3324" w:firstLineChars="600"/>
        <w:jc w:val="left"/>
        <w:rPr>
          <w:rFonts w:ascii="宋体" w:hAnsi="宋体"/>
          <w:b/>
          <w:snapToGrid w:val="0"/>
          <w:color w:val="auto"/>
          <w:kern w:val="0"/>
          <w:sz w:val="28"/>
          <w:szCs w:val="28"/>
          <w:highlight w:val="none"/>
        </w:rPr>
      </w:pPr>
      <w:r>
        <w:rPr>
          <w:rFonts w:hint="eastAsia" w:ascii="宋体" w:hAnsi="宋体" w:cs="MingLiU"/>
          <w:snapToGrid w:val="0"/>
          <w:color w:val="auto"/>
          <w:w w:val="198"/>
          <w:kern w:val="0"/>
          <w:sz w:val="28"/>
          <w:szCs w:val="28"/>
          <w:highlight w:val="none"/>
          <w:u w:val="single"/>
        </w:rPr>
        <w:t xml:space="preserve">              </w:t>
      </w:r>
      <w:r>
        <w:rPr>
          <w:rFonts w:hint="eastAsia" w:ascii="宋体" w:hAnsi="宋体"/>
          <w:snapToGrid w:val="0"/>
          <w:color w:val="auto"/>
          <w:kern w:val="0"/>
          <w:sz w:val="28"/>
          <w:szCs w:val="28"/>
          <w:highlight w:val="none"/>
          <w:u w:val="single"/>
        </w:rPr>
        <w:t xml:space="preserve"> </w:t>
      </w:r>
      <w:r>
        <w:rPr>
          <w:rFonts w:ascii="宋体" w:hAnsi="宋体"/>
          <w:b/>
          <w:snapToGrid w:val="0"/>
          <w:color w:val="auto"/>
          <w:w w:val="99"/>
          <w:kern w:val="0"/>
          <w:sz w:val="28"/>
          <w:szCs w:val="28"/>
          <w:highlight w:val="none"/>
          <w:u w:val="single"/>
        </w:rPr>
        <w:t>（项目名称）</w:t>
      </w:r>
      <w:r>
        <w:rPr>
          <w:rFonts w:ascii="宋体" w:hAnsi="宋体"/>
          <w:b/>
          <w:snapToGrid w:val="0"/>
          <w:color w:val="auto"/>
          <w:w w:val="99"/>
          <w:kern w:val="0"/>
          <w:sz w:val="28"/>
          <w:szCs w:val="28"/>
          <w:highlight w:val="none"/>
        </w:rPr>
        <w:t>开标记录表</w:t>
      </w:r>
    </w:p>
    <w:p>
      <w:pPr>
        <w:tabs>
          <w:tab w:val="left" w:pos="2260"/>
          <w:tab w:val="left" w:pos="5060"/>
        </w:tabs>
        <w:autoSpaceDE w:val="0"/>
        <w:autoSpaceDN w:val="0"/>
        <w:adjustRightInd w:val="0"/>
        <w:snapToGrid w:val="0"/>
        <w:spacing w:line="360" w:lineRule="auto"/>
        <w:jc w:val="right"/>
        <w:rPr>
          <w:rFonts w:ascii="宋体" w:hAnsi="宋体"/>
          <w:snapToGrid w:val="0"/>
          <w:color w:val="auto"/>
          <w:kern w:val="0"/>
          <w:szCs w:val="21"/>
          <w:highlight w:val="none"/>
        </w:rPr>
      </w:pPr>
      <w:r>
        <w:rPr>
          <w:rFonts w:ascii="宋体" w:hAnsi="宋体"/>
          <w:b/>
          <w:snapToGrid w:val="0"/>
          <w:color w:val="auto"/>
          <w:kern w:val="0"/>
          <w:sz w:val="28"/>
          <w:szCs w:val="28"/>
          <w:highlight w:val="none"/>
        </w:rPr>
        <w:t xml:space="preserve">                             </w:t>
      </w:r>
      <w:r>
        <w:rPr>
          <w:rFonts w:ascii="宋体" w:hAnsi="宋体"/>
          <w:snapToGrid w:val="0"/>
          <w:color w:val="auto"/>
          <w:kern w:val="0"/>
          <w:szCs w:val="21"/>
          <w:highlight w:val="none"/>
        </w:rPr>
        <w:t>开标时间：</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时</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分</w:t>
      </w:r>
    </w:p>
    <w:tbl>
      <w:tblPr>
        <w:tblStyle w:val="45"/>
        <w:tblW w:w="13757"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433"/>
        <w:gridCol w:w="3260"/>
        <w:gridCol w:w="1134"/>
        <w:gridCol w:w="1559"/>
        <w:gridCol w:w="1560"/>
        <w:gridCol w:w="1275"/>
        <w:gridCol w:w="993"/>
        <w:gridCol w:w="1369"/>
        <w:gridCol w:w="863"/>
        <w:gridCol w:w="13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433" w:type="dxa"/>
            <w:vAlign w:val="center"/>
          </w:tcPr>
          <w:p>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序号</w:t>
            </w:r>
          </w:p>
        </w:tc>
        <w:tc>
          <w:tcPr>
            <w:tcW w:w="3260" w:type="dxa"/>
            <w:vAlign w:val="center"/>
          </w:tcPr>
          <w:p>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投标人</w:t>
            </w:r>
          </w:p>
        </w:tc>
        <w:tc>
          <w:tcPr>
            <w:tcW w:w="1134" w:type="dxa"/>
            <w:vAlign w:val="center"/>
          </w:tcPr>
          <w:p>
            <w:pPr>
              <w:autoSpaceDE w:val="0"/>
              <w:autoSpaceDN w:val="0"/>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密封情况</w:t>
            </w:r>
          </w:p>
        </w:tc>
        <w:tc>
          <w:tcPr>
            <w:tcW w:w="1559" w:type="dxa"/>
            <w:tcBorders>
              <w:right w:val="single" w:color="auto" w:sz="4" w:space="0"/>
            </w:tcBorders>
            <w:vAlign w:val="center"/>
          </w:tcPr>
          <w:p>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投标总报价</w:t>
            </w:r>
          </w:p>
        </w:tc>
        <w:tc>
          <w:tcPr>
            <w:tcW w:w="1560" w:type="dxa"/>
            <w:tcBorders>
              <w:left w:val="single" w:color="auto" w:sz="4" w:space="0"/>
            </w:tcBorders>
            <w:vAlign w:val="center"/>
          </w:tcPr>
          <w:p>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安全文明施工费暂定金额</w:t>
            </w:r>
          </w:p>
        </w:tc>
        <w:tc>
          <w:tcPr>
            <w:tcW w:w="1275" w:type="dxa"/>
            <w:vAlign w:val="center"/>
          </w:tcPr>
          <w:p>
            <w:pPr>
              <w:autoSpaceDE w:val="0"/>
              <w:autoSpaceDN w:val="0"/>
              <w:adjustRightInd w:val="0"/>
              <w:snapToGrid w:val="0"/>
              <w:jc w:val="center"/>
              <w:rPr>
                <w:rFonts w:hint="eastAsia" w:ascii="宋体" w:hAnsi="宋体" w:eastAsia="宋体"/>
                <w:snapToGrid w:val="0"/>
                <w:color w:val="auto"/>
                <w:kern w:val="0"/>
                <w:szCs w:val="21"/>
                <w:highlight w:val="none"/>
                <w:lang w:eastAsia="zh-CN"/>
              </w:rPr>
            </w:pPr>
            <w:r>
              <w:rPr>
                <w:rFonts w:ascii="宋体" w:hAnsi="宋体"/>
                <w:snapToGrid w:val="0"/>
                <w:color w:val="auto"/>
                <w:kern w:val="0"/>
                <w:szCs w:val="21"/>
                <w:highlight w:val="none"/>
              </w:rPr>
              <w:t>质量</w:t>
            </w:r>
            <w:r>
              <w:rPr>
                <w:rFonts w:hint="eastAsia" w:ascii="宋体" w:hAnsi="宋体"/>
                <w:snapToGrid w:val="0"/>
                <w:color w:val="auto"/>
                <w:kern w:val="0"/>
                <w:szCs w:val="21"/>
                <w:highlight w:val="none"/>
                <w:lang w:val="en-US" w:eastAsia="zh-CN"/>
              </w:rPr>
              <w:t>要求</w:t>
            </w:r>
          </w:p>
        </w:tc>
        <w:tc>
          <w:tcPr>
            <w:tcW w:w="993" w:type="dxa"/>
            <w:vAlign w:val="center"/>
          </w:tcPr>
          <w:p>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工期</w:t>
            </w:r>
          </w:p>
        </w:tc>
        <w:tc>
          <w:tcPr>
            <w:tcW w:w="1369" w:type="dxa"/>
            <w:vAlign w:val="center"/>
          </w:tcPr>
          <w:p>
            <w:pPr>
              <w:autoSpaceDE w:val="0"/>
              <w:autoSpaceDN w:val="0"/>
              <w:adjustRightInd w:val="0"/>
              <w:snapToGrid w:val="0"/>
              <w:jc w:val="center"/>
              <w:rPr>
                <w:rFonts w:hint="eastAsia"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是否递交投标保证金</w:t>
            </w:r>
          </w:p>
        </w:tc>
        <w:tc>
          <w:tcPr>
            <w:tcW w:w="863" w:type="dxa"/>
            <w:vAlign w:val="center"/>
          </w:tcPr>
          <w:p>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备注</w:t>
            </w:r>
          </w:p>
        </w:tc>
        <w:tc>
          <w:tcPr>
            <w:tcW w:w="1311" w:type="dxa"/>
            <w:vAlign w:val="center"/>
          </w:tcPr>
          <w:p>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签名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50" w:hRule="exact"/>
          <w:jc w:val="center"/>
        </w:trPr>
        <w:tc>
          <w:tcPr>
            <w:tcW w:w="433"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559"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560"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275"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93"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369"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863"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311"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559"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560"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275"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93"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369"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863"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311"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559"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560"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275"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93"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369"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863"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311"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559"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560"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275"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93"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369"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863"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311"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559"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560"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275"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93"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369"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863"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311"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559"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560"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275"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93"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369"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863"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311"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559"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560"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275"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93"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369"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863"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311"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98" w:hRule="exact"/>
          <w:jc w:val="center"/>
        </w:trPr>
        <w:tc>
          <w:tcPr>
            <w:tcW w:w="3693" w:type="dxa"/>
            <w:gridSpan w:val="2"/>
            <w:tcBorders>
              <w:bottom w:val="single" w:color="auto" w:sz="4" w:space="0"/>
            </w:tcBorders>
            <w:vAlign w:val="center"/>
          </w:tcPr>
          <w:p>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最高限价</w:t>
            </w:r>
          </w:p>
        </w:tc>
        <w:tc>
          <w:tcPr>
            <w:tcW w:w="10064" w:type="dxa"/>
            <w:gridSpan w:val="8"/>
            <w:tcBorders>
              <w:bottom w:val="single" w:color="auto" w:sz="4" w:space="0"/>
            </w:tcBorders>
            <w:vAlign w:val="center"/>
          </w:tcPr>
          <w:p>
            <w:pPr>
              <w:autoSpaceDE w:val="0"/>
              <w:autoSpaceDN w:val="0"/>
              <w:adjustRightInd w:val="0"/>
              <w:snapToGrid w:val="0"/>
              <w:jc w:val="left"/>
              <w:rPr>
                <w:rFonts w:ascii="宋体" w:hAnsi="宋体"/>
                <w:snapToGrid w:val="0"/>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26" w:hRule="exact"/>
          <w:jc w:val="center"/>
        </w:trPr>
        <w:tc>
          <w:tcPr>
            <w:tcW w:w="3693" w:type="dxa"/>
            <w:gridSpan w:val="2"/>
            <w:tcBorders>
              <w:top w:val="single" w:color="auto" w:sz="4" w:space="0"/>
            </w:tcBorders>
            <w:vAlign w:val="center"/>
          </w:tcPr>
          <w:p>
            <w:pPr>
              <w:autoSpaceDE w:val="0"/>
              <w:autoSpaceDN w:val="0"/>
              <w:adjustRightInd w:val="0"/>
              <w:snapToGrid w:val="0"/>
              <w:jc w:val="center"/>
              <w:rPr>
                <w:rFonts w:ascii="宋体" w:hAnsi="宋体"/>
                <w:snapToGrid w:val="0"/>
                <w:color w:val="auto"/>
                <w:kern w:val="0"/>
                <w:szCs w:val="21"/>
                <w:highlight w:val="none"/>
              </w:rPr>
            </w:pPr>
            <w:r>
              <w:rPr>
                <w:rFonts w:hint="eastAsia"/>
                <w:color w:val="auto"/>
                <w:szCs w:val="21"/>
                <w:highlight w:val="none"/>
              </w:rPr>
              <w:t>最高限价的8</w:t>
            </w:r>
            <w:r>
              <w:rPr>
                <w:color w:val="auto"/>
                <w:szCs w:val="21"/>
                <w:highlight w:val="none"/>
              </w:rPr>
              <w:t>5</w:t>
            </w:r>
            <w:r>
              <w:rPr>
                <w:rFonts w:hint="eastAsia"/>
                <w:color w:val="auto"/>
                <w:szCs w:val="21"/>
                <w:highlight w:val="none"/>
              </w:rPr>
              <w:t>%</w:t>
            </w:r>
          </w:p>
        </w:tc>
        <w:tc>
          <w:tcPr>
            <w:tcW w:w="10064" w:type="dxa"/>
            <w:gridSpan w:val="8"/>
            <w:tcBorders>
              <w:top w:val="single" w:color="auto" w:sz="4" w:space="0"/>
            </w:tcBorders>
            <w:vAlign w:val="center"/>
          </w:tcPr>
          <w:p>
            <w:pPr>
              <w:autoSpaceDE w:val="0"/>
              <w:autoSpaceDN w:val="0"/>
              <w:adjustRightInd w:val="0"/>
              <w:snapToGrid w:val="0"/>
              <w:jc w:val="left"/>
              <w:rPr>
                <w:rFonts w:ascii="宋体" w:hAnsi="宋体"/>
                <w:snapToGrid w:val="0"/>
                <w:color w:val="auto"/>
                <w:kern w:val="0"/>
                <w:szCs w:val="21"/>
                <w:highlight w:val="none"/>
              </w:rPr>
            </w:pPr>
            <w:r>
              <w:rPr>
                <w:rFonts w:hint="eastAsia" w:ascii="宋体" w:hAnsi="宋体"/>
                <w:i/>
                <w:color w:val="auto"/>
                <w:kern w:val="0"/>
                <w:szCs w:val="21"/>
                <w:highlight w:val="none"/>
              </w:rPr>
              <w:t>[提示：经评审的最低投标价法适用]</w:t>
            </w:r>
          </w:p>
        </w:tc>
      </w:tr>
    </w:tbl>
    <w:p>
      <w:pPr>
        <w:tabs>
          <w:tab w:val="left" w:pos="2740"/>
          <w:tab w:val="left" w:pos="4940"/>
          <w:tab w:val="left" w:pos="7140"/>
        </w:tabs>
        <w:autoSpaceDE w:val="0"/>
        <w:autoSpaceDN w:val="0"/>
        <w:adjustRightInd w:val="0"/>
        <w:snapToGrid w:val="0"/>
        <w:spacing w:line="360" w:lineRule="auto"/>
        <w:jc w:val="left"/>
        <w:rPr>
          <w:rFonts w:ascii="宋体" w:hAnsi="宋体"/>
          <w:snapToGrid w:val="0"/>
          <w:color w:val="auto"/>
          <w:kern w:val="0"/>
          <w:szCs w:val="21"/>
          <w:highlight w:val="none"/>
        </w:rPr>
      </w:pPr>
    </w:p>
    <w:p>
      <w:pPr>
        <w:tabs>
          <w:tab w:val="left" w:pos="2740"/>
          <w:tab w:val="left" w:pos="4940"/>
          <w:tab w:val="left" w:pos="6930"/>
        </w:tabs>
        <w:autoSpaceDE w:val="0"/>
        <w:autoSpaceDN w:val="0"/>
        <w:adjustRightInd w:val="0"/>
        <w:snapToGrid w:val="0"/>
        <w:spacing w:line="360" w:lineRule="auto"/>
        <w:ind w:firstLine="420"/>
        <w:jc w:val="left"/>
        <w:rPr>
          <w:rFonts w:ascii="宋体" w:hAnsi="宋体" w:cs="MingLiU"/>
          <w:snapToGrid w:val="0"/>
          <w:color w:val="auto"/>
          <w:w w:val="200"/>
          <w:kern w:val="0"/>
          <w:szCs w:val="21"/>
          <w:highlight w:val="none"/>
          <w:u w:val="single"/>
        </w:rPr>
      </w:pPr>
      <w:r>
        <w:rPr>
          <w:rFonts w:ascii="宋体" w:hAnsi="宋体"/>
          <w:snapToGrid w:val="0"/>
          <w:color w:val="auto"/>
          <w:kern w:val="0"/>
          <w:szCs w:val="21"/>
          <w:highlight w:val="none"/>
        </w:rPr>
        <w:t>招标人代表：</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w w:val="200"/>
          <w:kern w:val="0"/>
          <w:szCs w:val="21"/>
          <w:highlight w:val="none"/>
        </w:rPr>
        <w:t xml:space="preserve">      </w:t>
      </w:r>
      <w:r>
        <w:rPr>
          <w:rFonts w:ascii="宋体" w:hAnsi="宋体"/>
          <w:snapToGrid w:val="0"/>
          <w:color w:val="auto"/>
          <w:kern w:val="0"/>
          <w:szCs w:val="21"/>
          <w:highlight w:val="none"/>
        </w:rPr>
        <w:t>监标人：</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w w:val="200"/>
          <w:kern w:val="0"/>
          <w:szCs w:val="21"/>
          <w:highlight w:val="none"/>
        </w:rPr>
        <w:t xml:space="preserve">      </w:t>
      </w:r>
      <w:r>
        <w:rPr>
          <w:rFonts w:hint="eastAsia" w:ascii="宋体" w:hAnsi="宋体"/>
          <w:snapToGrid w:val="0"/>
          <w:color w:val="auto"/>
          <w:kern w:val="0"/>
          <w:szCs w:val="21"/>
          <w:highlight w:val="none"/>
        </w:rPr>
        <w:t>主持人</w:t>
      </w:r>
      <w:r>
        <w:rPr>
          <w:rFonts w:ascii="宋体" w:hAnsi="宋体"/>
          <w:snapToGrid w:val="0"/>
          <w:color w:val="auto"/>
          <w:kern w:val="0"/>
          <w:szCs w:val="21"/>
          <w:highlight w:val="none"/>
        </w:rPr>
        <w:t>：</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w w:val="200"/>
          <w:kern w:val="0"/>
          <w:szCs w:val="21"/>
          <w:highlight w:val="none"/>
        </w:rPr>
        <w:t xml:space="preserve">      </w:t>
      </w:r>
      <w:r>
        <w:rPr>
          <w:rFonts w:ascii="宋体" w:hAnsi="宋体"/>
          <w:snapToGrid w:val="0"/>
          <w:color w:val="auto"/>
          <w:kern w:val="0"/>
          <w:szCs w:val="21"/>
          <w:highlight w:val="none"/>
        </w:rPr>
        <w:t>记录人：</w:t>
      </w:r>
      <w:r>
        <w:rPr>
          <w:rFonts w:hint="eastAsia" w:ascii="宋体" w:hAnsi="宋体" w:cs="MingLiU"/>
          <w:snapToGrid w:val="0"/>
          <w:color w:val="auto"/>
          <w:w w:val="200"/>
          <w:kern w:val="0"/>
          <w:szCs w:val="21"/>
          <w:highlight w:val="none"/>
          <w:u w:val="single"/>
        </w:rPr>
        <w:t xml:space="preserve">      </w:t>
      </w:r>
    </w:p>
    <w:p>
      <w:pPr>
        <w:autoSpaceDE w:val="0"/>
        <w:autoSpaceDN w:val="0"/>
        <w:adjustRightInd w:val="0"/>
        <w:snapToGrid w:val="0"/>
        <w:spacing w:before="62" w:beforeLines="20" w:line="360" w:lineRule="auto"/>
        <w:jc w:val="right"/>
        <w:rPr>
          <w:rFonts w:ascii="宋体" w:hAnsi="宋体"/>
          <w:snapToGrid w:val="0"/>
          <w:color w:val="auto"/>
          <w:kern w:val="0"/>
          <w:sz w:val="24"/>
          <w:highlight w:val="none"/>
        </w:rPr>
      </w:pPr>
      <w:r>
        <w:rPr>
          <w:rFonts w:ascii="宋体" w:hAnsi="宋体"/>
          <w:snapToGrid w:val="0"/>
          <w:color w:val="auto"/>
          <w:kern w:val="0"/>
          <w:sz w:val="24"/>
          <w:highlight w:val="none"/>
        </w:rPr>
        <w:t xml:space="preserve">                                       </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年</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月</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日</w:t>
      </w:r>
    </w:p>
    <w:p>
      <w:pPr>
        <w:autoSpaceDE w:val="0"/>
        <w:autoSpaceDN w:val="0"/>
        <w:adjustRightInd w:val="0"/>
        <w:snapToGrid w:val="0"/>
        <w:spacing w:before="62" w:beforeLines="20" w:line="360" w:lineRule="auto"/>
        <w:rPr>
          <w:rFonts w:ascii="宋体" w:hAnsi="宋体"/>
          <w:snapToGrid w:val="0"/>
          <w:color w:val="auto"/>
          <w:kern w:val="0"/>
          <w:sz w:val="24"/>
          <w:highlight w:val="none"/>
        </w:rPr>
      </w:pPr>
      <w:r>
        <w:rPr>
          <w:rFonts w:ascii="宋体" w:hAnsi="宋体"/>
          <w:snapToGrid w:val="0"/>
          <w:color w:val="auto"/>
          <w:kern w:val="0"/>
          <w:sz w:val="24"/>
          <w:highlight w:val="none"/>
        </w:rPr>
        <w:br w:type="page"/>
      </w:r>
      <w:r>
        <w:rPr>
          <w:rFonts w:ascii="宋体" w:hAnsi="宋体"/>
          <w:b/>
          <w:snapToGrid w:val="0"/>
          <w:color w:val="auto"/>
          <w:kern w:val="0"/>
          <w:highlight w:val="none"/>
        </w:rPr>
        <w:t>附表</w:t>
      </w:r>
      <w:r>
        <w:rPr>
          <w:rFonts w:hint="eastAsia" w:ascii="宋体" w:hAnsi="宋体"/>
          <w:b/>
          <w:snapToGrid w:val="0"/>
          <w:color w:val="auto"/>
          <w:kern w:val="0"/>
          <w:highlight w:val="none"/>
        </w:rPr>
        <w:t>二</w:t>
      </w:r>
      <w:r>
        <w:rPr>
          <w:rFonts w:ascii="宋体" w:hAnsi="宋体"/>
          <w:b/>
          <w:snapToGrid w:val="0"/>
          <w:color w:val="auto"/>
          <w:kern w:val="0"/>
          <w:highlight w:val="none"/>
        </w:rPr>
        <w:t>：纸质投标保函递交情况一览表（如有）</w:t>
      </w:r>
    </w:p>
    <w:p>
      <w:pPr>
        <w:autoSpaceDE w:val="0"/>
        <w:autoSpaceDN w:val="0"/>
        <w:adjustRightInd w:val="0"/>
        <w:snapToGrid w:val="0"/>
        <w:spacing w:before="62" w:beforeLines="20" w:line="360" w:lineRule="auto"/>
        <w:jc w:val="center"/>
        <w:rPr>
          <w:rFonts w:ascii="宋体" w:hAnsi="宋体"/>
          <w:color w:val="auto"/>
          <w:szCs w:val="21"/>
          <w:highlight w:val="none"/>
        </w:rPr>
      </w:pPr>
      <w:r>
        <w:rPr>
          <w:rFonts w:hint="eastAsia" w:ascii="宋体" w:hAnsi="宋体" w:cs="MingLiU"/>
          <w:snapToGrid w:val="0"/>
          <w:color w:val="auto"/>
          <w:w w:val="198"/>
          <w:kern w:val="0"/>
          <w:sz w:val="28"/>
          <w:szCs w:val="28"/>
          <w:highlight w:val="none"/>
          <w:u w:val="single"/>
        </w:rPr>
        <w:t xml:space="preserve">              </w:t>
      </w:r>
      <w:r>
        <w:rPr>
          <w:rFonts w:hint="eastAsia" w:ascii="宋体" w:hAnsi="宋体"/>
          <w:snapToGrid w:val="0"/>
          <w:color w:val="auto"/>
          <w:kern w:val="0"/>
          <w:sz w:val="28"/>
          <w:szCs w:val="28"/>
          <w:highlight w:val="none"/>
          <w:u w:val="single"/>
        </w:rPr>
        <w:t xml:space="preserve"> </w:t>
      </w:r>
      <w:r>
        <w:rPr>
          <w:rFonts w:ascii="宋体" w:hAnsi="宋体"/>
          <w:b/>
          <w:snapToGrid w:val="0"/>
          <w:color w:val="auto"/>
          <w:w w:val="99"/>
          <w:kern w:val="0"/>
          <w:sz w:val="28"/>
          <w:szCs w:val="28"/>
          <w:highlight w:val="none"/>
          <w:u w:val="single"/>
        </w:rPr>
        <w:t>（项目名称）纸质投标保函</w:t>
      </w:r>
      <w:r>
        <w:rPr>
          <w:rFonts w:hint="eastAsia" w:ascii="宋体" w:hAnsi="宋体"/>
          <w:b/>
          <w:snapToGrid w:val="0"/>
          <w:color w:val="auto"/>
          <w:w w:val="99"/>
          <w:kern w:val="0"/>
          <w:sz w:val="28"/>
          <w:szCs w:val="28"/>
          <w:highlight w:val="none"/>
          <w:u w:val="single"/>
        </w:rPr>
        <w:t>递交</w:t>
      </w:r>
      <w:r>
        <w:rPr>
          <w:rFonts w:ascii="宋体" w:hAnsi="宋体"/>
          <w:b/>
          <w:snapToGrid w:val="0"/>
          <w:color w:val="auto"/>
          <w:w w:val="99"/>
          <w:kern w:val="0"/>
          <w:sz w:val="28"/>
          <w:szCs w:val="28"/>
          <w:highlight w:val="none"/>
          <w:u w:val="single"/>
        </w:rPr>
        <w:t>情况一览表</w:t>
      </w:r>
    </w:p>
    <w:p>
      <w:pPr>
        <w:autoSpaceDE w:val="0"/>
        <w:autoSpaceDN w:val="0"/>
        <w:adjustRightInd w:val="0"/>
        <w:snapToGrid w:val="0"/>
        <w:spacing w:before="62" w:beforeLines="20" w:line="360" w:lineRule="auto"/>
        <w:ind w:firstLine="8610" w:firstLineChars="4100"/>
        <w:rPr>
          <w:rFonts w:ascii="宋体" w:hAnsi="宋体"/>
          <w:color w:val="auto"/>
          <w:szCs w:val="21"/>
          <w:highlight w:val="none"/>
        </w:rPr>
      </w:pPr>
      <w:r>
        <w:rPr>
          <w:rFonts w:hint="eastAsia" w:ascii="宋体" w:hAnsi="宋体"/>
          <w:snapToGrid w:val="0"/>
          <w:color w:val="auto"/>
          <w:kern w:val="0"/>
          <w:szCs w:val="21"/>
          <w:highlight w:val="none"/>
        </w:rPr>
        <w:t>投标截止时间</w:t>
      </w:r>
      <w:r>
        <w:rPr>
          <w:rFonts w:ascii="宋体" w:hAnsi="宋体"/>
          <w:snapToGrid w:val="0"/>
          <w:color w:val="auto"/>
          <w:kern w:val="0"/>
          <w:szCs w:val="21"/>
          <w:highlight w:val="none"/>
        </w:rPr>
        <w:t>：</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时</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分</w:t>
      </w:r>
    </w:p>
    <w:tbl>
      <w:tblPr>
        <w:tblStyle w:val="46"/>
        <w:tblW w:w="14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160"/>
        <w:gridCol w:w="3088"/>
        <w:gridCol w:w="2987"/>
        <w:gridCol w:w="3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4160" w:type="dxa"/>
          </w:tcPr>
          <w:p>
            <w:pPr>
              <w:autoSpaceDE w:val="0"/>
              <w:autoSpaceDN w:val="0"/>
              <w:adjustRightInd w:val="0"/>
              <w:snapToGrid w:val="0"/>
              <w:spacing w:before="62" w:beforeLines="20" w:line="360" w:lineRule="auto"/>
              <w:jc w:val="center"/>
              <w:rPr>
                <w:rFonts w:ascii="宋体" w:hAnsi="宋体"/>
                <w:color w:val="auto"/>
                <w:szCs w:val="21"/>
                <w:highlight w:val="none"/>
              </w:rPr>
            </w:pPr>
            <w:r>
              <w:rPr>
                <w:rFonts w:hint="eastAsia" w:ascii="宋体" w:hAnsi="宋体"/>
                <w:color w:val="auto"/>
                <w:szCs w:val="21"/>
                <w:highlight w:val="none"/>
              </w:rPr>
              <w:t>投标人</w:t>
            </w:r>
          </w:p>
        </w:tc>
        <w:tc>
          <w:tcPr>
            <w:tcW w:w="3088" w:type="dxa"/>
          </w:tcPr>
          <w:p>
            <w:pPr>
              <w:autoSpaceDE w:val="0"/>
              <w:autoSpaceDN w:val="0"/>
              <w:adjustRightInd w:val="0"/>
              <w:snapToGrid w:val="0"/>
              <w:spacing w:before="62" w:beforeLines="20" w:line="360" w:lineRule="auto"/>
              <w:jc w:val="center"/>
              <w:rPr>
                <w:rFonts w:ascii="宋体" w:hAnsi="宋体"/>
                <w:color w:val="auto"/>
                <w:szCs w:val="21"/>
                <w:highlight w:val="none"/>
              </w:rPr>
            </w:pPr>
            <w:r>
              <w:rPr>
                <w:rFonts w:hint="eastAsia" w:ascii="宋体" w:hAnsi="宋体"/>
                <w:color w:val="auto"/>
                <w:szCs w:val="21"/>
                <w:highlight w:val="none"/>
              </w:rPr>
              <w:t>金额（元）</w:t>
            </w:r>
          </w:p>
        </w:tc>
        <w:tc>
          <w:tcPr>
            <w:tcW w:w="2987" w:type="dxa"/>
          </w:tcPr>
          <w:p>
            <w:pPr>
              <w:autoSpaceDE w:val="0"/>
              <w:autoSpaceDN w:val="0"/>
              <w:adjustRightInd w:val="0"/>
              <w:snapToGrid w:val="0"/>
              <w:spacing w:before="62" w:beforeLines="20" w:line="360" w:lineRule="auto"/>
              <w:jc w:val="center"/>
              <w:rPr>
                <w:rFonts w:ascii="宋体" w:hAnsi="宋体"/>
                <w:color w:val="auto"/>
                <w:szCs w:val="21"/>
                <w:highlight w:val="none"/>
              </w:rPr>
            </w:pPr>
            <w:r>
              <w:rPr>
                <w:rFonts w:hint="eastAsia" w:ascii="宋体" w:hAnsi="宋体"/>
                <w:color w:val="auto"/>
                <w:szCs w:val="21"/>
                <w:highlight w:val="none"/>
              </w:rPr>
              <w:t>递交时间</w:t>
            </w:r>
          </w:p>
        </w:tc>
        <w:tc>
          <w:tcPr>
            <w:tcW w:w="3175" w:type="dxa"/>
          </w:tcPr>
          <w:p>
            <w:pPr>
              <w:autoSpaceDE w:val="0"/>
              <w:autoSpaceDN w:val="0"/>
              <w:adjustRightInd w:val="0"/>
              <w:snapToGrid w:val="0"/>
              <w:spacing w:before="62" w:beforeLines="20" w:line="360" w:lineRule="auto"/>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pPr>
              <w:autoSpaceDE w:val="0"/>
              <w:autoSpaceDN w:val="0"/>
              <w:adjustRightInd w:val="0"/>
              <w:snapToGrid w:val="0"/>
              <w:spacing w:before="62" w:beforeLines="20"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pPr>
              <w:autoSpaceDE w:val="0"/>
              <w:autoSpaceDN w:val="0"/>
              <w:adjustRightInd w:val="0"/>
              <w:snapToGrid w:val="0"/>
              <w:spacing w:before="62" w:beforeLines="20"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pPr>
              <w:autoSpaceDE w:val="0"/>
              <w:autoSpaceDN w:val="0"/>
              <w:adjustRightInd w:val="0"/>
              <w:snapToGrid w:val="0"/>
              <w:spacing w:before="62" w:beforeLines="20"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pPr>
              <w:autoSpaceDE w:val="0"/>
              <w:autoSpaceDN w:val="0"/>
              <w:adjustRightInd w:val="0"/>
              <w:snapToGrid w:val="0"/>
              <w:spacing w:before="62" w:beforeLines="20"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pPr>
              <w:autoSpaceDE w:val="0"/>
              <w:autoSpaceDN w:val="0"/>
              <w:adjustRightInd w:val="0"/>
              <w:snapToGrid w:val="0"/>
              <w:spacing w:before="62" w:beforeLines="20"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pPr>
              <w:autoSpaceDE w:val="0"/>
              <w:autoSpaceDN w:val="0"/>
              <w:adjustRightInd w:val="0"/>
              <w:snapToGrid w:val="0"/>
              <w:spacing w:before="62" w:beforeLines="20"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pPr>
              <w:autoSpaceDE w:val="0"/>
              <w:autoSpaceDN w:val="0"/>
              <w:adjustRightInd w:val="0"/>
              <w:snapToGrid w:val="0"/>
              <w:spacing w:before="62" w:beforeLines="20"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pPr>
              <w:autoSpaceDE w:val="0"/>
              <w:autoSpaceDN w:val="0"/>
              <w:adjustRightInd w:val="0"/>
              <w:snapToGrid w:val="0"/>
              <w:spacing w:before="62" w:beforeLines="20"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pPr>
              <w:autoSpaceDE w:val="0"/>
              <w:autoSpaceDN w:val="0"/>
              <w:adjustRightInd w:val="0"/>
              <w:snapToGrid w:val="0"/>
              <w:spacing w:before="62" w:beforeLines="20"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pPr>
              <w:autoSpaceDE w:val="0"/>
              <w:autoSpaceDN w:val="0"/>
              <w:adjustRightInd w:val="0"/>
              <w:snapToGrid w:val="0"/>
              <w:spacing w:before="62" w:beforeLines="20"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pPr>
              <w:autoSpaceDE w:val="0"/>
              <w:autoSpaceDN w:val="0"/>
              <w:adjustRightInd w:val="0"/>
              <w:snapToGrid w:val="0"/>
              <w:spacing w:before="62" w:beforeLines="20"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pPr>
              <w:autoSpaceDE w:val="0"/>
              <w:autoSpaceDN w:val="0"/>
              <w:adjustRightInd w:val="0"/>
              <w:snapToGrid w:val="0"/>
              <w:spacing w:before="62" w:beforeLines="20" w:line="360" w:lineRule="auto"/>
              <w:rPr>
                <w:rFonts w:ascii="宋体" w:hAnsi="宋体"/>
                <w:color w:val="auto"/>
                <w:szCs w:val="21"/>
                <w:highlight w:val="none"/>
              </w:rPr>
            </w:pPr>
          </w:p>
        </w:tc>
      </w:tr>
    </w:tbl>
    <w:p>
      <w:pPr>
        <w:tabs>
          <w:tab w:val="left" w:pos="2740"/>
          <w:tab w:val="left" w:pos="4940"/>
          <w:tab w:val="left" w:pos="6930"/>
        </w:tabs>
        <w:autoSpaceDE w:val="0"/>
        <w:autoSpaceDN w:val="0"/>
        <w:adjustRightInd w:val="0"/>
        <w:snapToGrid w:val="0"/>
        <w:spacing w:line="360" w:lineRule="auto"/>
        <w:ind w:firstLine="420"/>
        <w:jc w:val="left"/>
        <w:rPr>
          <w:rFonts w:ascii="宋体" w:hAnsi="宋体"/>
          <w:snapToGrid w:val="0"/>
          <w:color w:val="auto"/>
          <w:kern w:val="0"/>
          <w:szCs w:val="21"/>
          <w:highlight w:val="none"/>
        </w:rPr>
      </w:pPr>
    </w:p>
    <w:p>
      <w:pPr>
        <w:tabs>
          <w:tab w:val="left" w:pos="2740"/>
          <w:tab w:val="left" w:pos="4940"/>
          <w:tab w:val="left" w:pos="6930"/>
        </w:tabs>
        <w:autoSpaceDE w:val="0"/>
        <w:autoSpaceDN w:val="0"/>
        <w:adjustRightInd w:val="0"/>
        <w:snapToGrid w:val="0"/>
        <w:spacing w:line="360" w:lineRule="auto"/>
        <w:ind w:firstLine="420"/>
        <w:jc w:val="left"/>
        <w:rPr>
          <w:rFonts w:ascii="宋体" w:hAnsi="宋体" w:cs="MingLiU"/>
          <w:snapToGrid w:val="0"/>
          <w:color w:val="auto"/>
          <w:w w:val="200"/>
          <w:kern w:val="0"/>
          <w:szCs w:val="21"/>
          <w:highlight w:val="none"/>
          <w:u w:val="single"/>
        </w:rPr>
      </w:pPr>
      <w:r>
        <w:rPr>
          <w:rFonts w:ascii="宋体" w:hAnsi="宋体"/>
          <w:snapToGrid w:val="0"/>
          <w:color w:val="auto"/>
          <w:kern w:val="0"/>
          <w:szCs w:val="21"/>
          <w:highlight w:val="none"/>
        </w:rPr>
        <w:t>招标人代表：</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w w:val="200"/>
          <w:kern w:val="0"/>
          <w:szCs w:val="21"/>
          <w:highlight w:val="none"/>
        </w:rPr>
        <w:t xml:space="preserve">            </w:t>
      </w:r>
      <w:r>
        <w:rPr>
          <w:rFonts w:ascii="宋体" w:hAnsi="宋体"/>
          <w:snapToGrid w:val="0"/>
          <w:color w:val="auto"/>
          <w:kern w:val="0"/>
          <w:szCs w:val="21"/>
          <w:highlight w:val="none"/>
        </w:rPr>
        <w:t>监标人：</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w w:val="200"/>
          <w:kern w:val="0"/>
          <w:szCs w:val="21"/>
          <w:highlight w:val="none"/>
        </w:rPr>
        <w:t xml:space="preserve">            </w:t>
      </w:r>
      <w:r>
        <w:rPr>
          <w:rFonts w:ascii="宋体" w:hAnsi="宋体"/>
          <w:snapToGrid w:val="0"/>
          <w:color w:val="auto"/>
          <w:kern w:val="0"/>
          <w:szCs w:val="21"/>
          <w:highlight w:val="none"/>
        </w:rPr>
        <w:t>记录人：</w:t>
      </w:r>
      <w:r>
        <w:rPr>
          <w:rFonts w:hint="eastAsia" w:ascii="宋体" w:hAnsi="宋体" w:cs="MingLiU"/>
          <w:snapToGrid w:val="0"/>
          <w:color w:val="auto"/>
          <w:w w:val="200"/>
          <w:kern w:val="0"/>
          <w:szCs w:val="21"/>
          <w:highlight w:val="none"/>
          <w:u w:val="single"/>
        </w:rPr>
        <w:t xml:space="preserve">      </w:t>
      </w:r>
    </w:p>
    <w:p>
      <w:pPr>
        <w:pStyle w:val="17"/>
        <w:jc w:val="right"/>
        <w:rPr>
          <w:color w:val="auto"/>
          <w:highlight w:val="none"/>
        </w:rPr>
      </w:pP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年</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月</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日</w:t>
      </w:r>
    </w:p>
    <w:p>
      <w:pPr>
        <w:autoSpaceDE w:val="0"/>
        <w:autoSpaceDN w:val="0"/>
        <w:adjustRightInd w:val="0"/>
        <w:snapToGrid w:val="0"/>
        <w:spacing w:before="62" w:beforeLines="20" w:line="360" w:lineRule="auto"/>
        <w:rPr>
          <w:rFonts w:ascii="宋体" w:hAnsi="宋体"/>
          <w:color w:val="auto"/>
          <w:szCs w:val="21"/>
          <w:highlight w:val="none"/>
        </w:rPr>
      </w:pPr>
    </w:p>
    <w:p>
      <w:pPr>
        <w:tabs>
          <w:tab w:val="left" w:pos="2740"/>
          <w:tab w:val="left" w:pos="4940"/>
          <w:tab w:val="left" w:pos="6930"/>
        </w:tabs>
        <w:autoSpaceDE w:val="0"/>
        <w:autoSpaceDN w:val="0"/>
        <w:adjustRightInd w:val="0"/>
        <w:snapToGrid w:val="0"/>
        <w:spacing w:line="360" w:lineRule="auto"/>
        <w:ind w:firstLine="420"/>
        <w:jc w:val="left"/>
        <w:rPr>
          <w:rFonts w:ascii="宋体" w:hAnsi="宋体" w:cs="MingLiU"/>
          <w:snapToGrid w:val="0"/>
          <w:color w:val="auto"/>
          <w:w w:val="200"/>
          <w:kern w:val="0"/>
          <w:szCs w:val="21"/>
          <w:highlight w:val="none"/>
          <w:u w:val="single"/>
        </w:rPr>
        <w:sectPr>
          <w:pgSz w:w="16838" w:h="11906" w:orient="landscape"/>
          <w:pgMar w:top="1304" w:right="1304" w:bottom="1134" w:left="1304" w:header="851" w:footer="992" w:gutter="0"/>
          <w:cols w:space="720" w:num="1"/>
          <w:docGrid w:type="lines" w:linePitch="312" w:charSpace="0"/>
        </w:sectPr>
      </w:pPr>
    </w:p>
    <w:p>
      <w:pPr>
        <w:autoSpaceDE w:val="0"/>
        <w:autoSpaceDN w:val="0"/>
        <w:adjustRightInd w:val="0"/>
        <w:snapToGrid w:val="0"/>
        <w:spacing w:line="360" w:lineRule="auto"/>
        <w:jc w:val="left"/>
        <w:rPr>
          <w:rFonts w:ascii="宋体" w:hAnsi="宋体"/>
          <w:b/>
          <w:snapToGrid w:val="0"/>
          <w:color w:val="auto"/>
          <w:kern w:val="0"/>
          <w:highlight w:val="none"/>
        </w:rPr>
      </w:pPr>
    </w:p>
    <w:p>
      <w:pPr>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highlight w:val="none"/>
        </w:rPr>
        <w:t>附表</w:t>
      </w:r>
      <w:r>
        <w:rPr>
          <w:rFonts w:hint="eastAsia" w:ascii="宋体" w:hAnsi="宋体"/>
          <w:b/>
          <w:snapToGrid w:val="0"/>
          <w:color w:val="auto"/>
          <w:kern w:val="0"/>
          <w:highlight w:val="none"/>
        </w:rPr>
        <w:t>三</w:t>
      </w:r>
      <w:r>
        <w:rPr>
          <w:rFonts w:ascii="宋体" w:hAnsi="宋体"/>
          <w:b/>
          <w:snapToGrid w:val="0"/>
          <w:color w:val="auto"/>
          <w:kern w:val="0"/>
          <w:highlight w:val="none"/>
        </w:rPr>
        <w:t>：问题澄清通知</w:t>
      </w:r>
    </w:p>
    <w:p>
      <w:pPr>
        <w:autoSpaceDE w:val="0"/>
        <w:autoSpaceDN w:val="0"/>
        <w:adjustRightInd w:val="0"/>
        <w:snapToGrid w:val="0"/>
        <w:spacing w:line="360" w:lineRule="auto"/>
        <w:jc w:val="left"/>
        <w:rPr>
          <w:rFonts w:ascii="宋体" w:hAnsi="宋体"/>
          <w:b/>
          <w:snapToGrid w:val="0"/>
          <w:color w:val="auto"/>
          <w:kern w:val="0"/>
          <w:sz w:val="24"/>
          <w:highlight w:val="none"/>
        </w:rPr>
      </w:pPr>
    </w:p>
    <w:p>
      <w:pPr>
        <w:autoSpaceDE w:val="0"/>
        <w:autoSpaceDN w:val="0"/>
        <w:adjustRightInd w:val="0"/>
        <w:snapToGrid w:val="0"/>
        <w:spacing w:line="360" w:lineRule="auto"/>
        <w:jc w:val="center"/>
        <w:rPr>
          <w:rFonts w:ascii="宋体" w:hAnsi="宋体"/>
          <w:b/>
          <w:snapToGrid w:val="0"/>
          <w:color w:val="auto"/>
          <w:w w:val="99"/>
          <w:kern w:val="0"/>
          <w:sz w:val="32"/>
          <w:szCs w:val="32"/>
          <w:highlight w:val="none"/>
        </w:rPr>
      </w:pPr>
      <w:r>
        <w:rPr>
          <w:rFonts w:hint="eastAsia" w:ascii="宋体" w:hAnsi="宋体"/>
          <w:b/>
          <w:snapToGrid w:val="0"/>
          <w:color w:val="auto"/>
          <w:w w:val="99"/>
          <w:kern w:val="0"/>
          <w:sz w:val="32"/>
          <w:szCs w:val="32"/>
          <w:highlight w:val="none"/>
        </w:rPr>
        <w:t>问题澄清通知</w:t>
      </w:r>
    </w:p>
    <w:p>
      <w:pPr>
        <w:autoSpaceDE w:val="0"/>
        <w:autoSpaceDN w:val="0"/>
        <w:adjustRightInd w:val="0"/>
        <w:snapToGrid w:val="0"/>
        <w:spacing w:line="360" w:lineRule="auto"/>
        <w:jc w:val="left"/>
        <w:rPr>
          <w:rFonts w:ascii="宋体" w:hAnsi="宋体"/>
          <w:b/>
          <w:snapToGrid w:val="0"/>
          <w:color w:val="auto"/>
          <w:kern w:val="0"/>
          <w:sz w:val="24"/>
          <w:highlight w:val="none"/>
        </w:rPr>
      </w:pPr>
    </w:p>
    <w:p>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编号：</w:t>
      </w:r>
      <w:r>
        <w:rPr>
          <w:rFonts w:hint="eastAsia" w:ascii="宋体" w:hAnsi="宋体"/>
          <w:snapToGrid w:val="0"/>
          <w:color w:val="auto"/>
          <w:kern w:val="0"/>
          <w:szCs w:val="21"/>
          <w:highlight w:val="none"/>
          <w:u w:val="single"/>
        </w:rPr>
        <w:t xml:space="preserve">                     </w:t>
      </w:r>
    </w:p>
    <w:p>
      <w:pPr>
        <w:autoSpaceDE w:val="0"/>
        <w:autoSpaceDN w:val="0"/>
        <w:adjustRightInd w:val="0"/>
        <w:snapToGrid w:val="0"/>
        <w:spacing w:line="360" w:lineRule="auto"/>
        <w:jc w:val="left"/>
        <w:rPr>
          <w:rFonts w:ascii="宋体" w:hAnsi="宋体"/>
          <w:b/>
          <w:snapToGrid w:val="0"/>
          <w:color w:val="auto"/>
          <w:kern w:val="0"/>
          <w:sz w:val="24"/>
          <w:highlight w:val="none"/>
        </w:rPr>
      </w:pPr>
    </w:p>
    <w:p>
      <w:pPr>
        <w:autoSpaceDE w:val="0"/>
        <w:autoSpaceDN w:val="0"/>
        <w:adjustRightInd w:val="0"/>
        <w:snapToGrid w:val="0"/>
        <w:spacing w:line="360" w:lineRule="auto"/>
        <w:rPr>
          <w:rFonts w:ascii="宋体" w:hAnsi="宋体"/>
          <w:snapToGrid w:val="0"/>
          <w:color w:val="auto"/>
          <w:kern w:val="0"/>
          <w:sz w:val="28"/>
          <w:szCs w:val="28"/>
          <w:highlight w:val="none"/>
        </w:rPr>
      </w:pPr>
    </w:p>
    <w:p>
      <w:pPr>
        <w:tabs>
          <w:tab w:val="left" w:pos="158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（投标人名称）：</w:t>
      </w:r>
    </w:p>
    <w:p>
      <w:pPr>
        <w:tabs>
          <w:tab w:val="left" w:pos="2320"/>
          <w:tab w:val="left" w:pos="4460"/>
        </w:tabs>
        <w:autoSpaceDE w:val="0"/>
        <w:autoSpaceDN w:val="0"/>
        <w:adjustRightInd w:val="0"/>
        <w:snapToGrid w:val="0"/>
        <w:spacing w:line="480" w:lineRule="auto"/>
        <w:ind w:firstLine="424" w:firstLineChars="101"/>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ascii="宋体" w:hAnsi="宋体"/>
          <w:snapToGrid w:val="0"/>
          <w:color w:val="auto"/>
          <w:kern w:val="0"/>
          <w:szCs w:val="21"/>
          <w:highlight w:val="none"/>
        </w:rPr>
        <w:t>的评标委员会，对你方的投标文件进行了仔细的审查，现需你方对下列问题以书面形式予以澄清：</w:t>
      </w:r>
    </w:p>
    <w:p>
      <w:pPr>
        <w:autoSpaceDE w:val="0"/>
        <w:autoSpaceDN w:val="0"/>
        <w:adjustRightInd w:val="0"/>
        <w:snapToGrid w:val="0"/>
        <w:spacing w:line="360" w:lineRule="auto"/>
        <w:jc w:val="left"/>
        <w:rPr>
          <w:rFonts w:ascii="宋体" w:hAnsi="宋体"/>
          <w:snapToGrid w:val="0"/>
          <w:color w:val="auto"/>
          <w:kern w:val="0"/>
          <w:sz w:val="24"/>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1. </w:t>
      </w:r>
    </w:p>
    <w:p>
      <w:pPr>
        <w:autoSpaceDE w:val="0"/>
        <w:autoSpaceDN w:val="0"/>
        <w:adjustRightInd w:val="0"/>
        <w:snapToGrid w:val="0"/>
        <w:spacing w:line="360" w:lineRule="auto"/>
        <w:jc w:val="left"/>
        <w:rPr>
          <w:rFonts w:ascii="宋体" w:hAnsi="宋体"/>
          <w:snapToGrid w:val="0"/>
          <w:color w:val="auto"/>
          <w:kern w:val="0"/>
          <w:szCs w:val="21"/>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2. </w:t>
      </w:r>
    </w:p>
    <w:p>
      <w:pPr>
        <w:autoSpaceDE w:val="0"/>
        <w:autoSpaceDN w:val="0"/>
        <w:adjustRightInd w:val="0"/>
        <w:snapToGrid w:val="0"/>
        <w:spacing w:line="360" w:lineRule="auto"/>
        <w:jc w:val="left"/>
        <w:rPr>
          <w:rFonts w:ascii="宋体" w:hAnsi="宋体"/>
          <w:snapToGrid w:val="0"/>
          <w:color w:val="auto"/>
          <w:kern w:val="0"/>
          <w:szCs w:val="21"/>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w:t>
      </w:r>
    </w:p>
    <w:p>
      <w:pPr>
        <w:autoSpaceDE w:val="0"/>
        <w:autoSpaceDN w:val="0"/>
        <w:adjustRightInd w:val="0"/>
        <w:snapToGrid w:val="0"/>
        <w:spacing w:line="360" w:lineRule="auto"/>
        <w:jc w:val="left"/>
        <w:rPr>
          <w:rFonts w:ascii="宋体" w:hAnsi="宋体"/>
          <w:snapToGrid w:val="0"/>
          <w:color w:val="auto"/>
          <w:kern w:val="0"/>
          <w:sz w:val="14"/>
          <w:szCs w:val="14"/>
          <w:highlight w:val="none"/>
        </w:rPr>
      </w:pPr>
    </w:p>
    <w:p>
      <w:pPr>
        <w:autoSpaceDE w:val="0"/>
        <w:autoSpaceDN w:val="0"/>
        <w:adjustRightInd w:val="0"/>
        <w:snapToGrid w:val="0"/>
        <w:spacing w:line="360" w:lineRule="auto"/>
        <w:jc w:val="left"/>
        <w:rPr>
          <w:rFonts w:ascii="宋体" w:hAnsi="宋体"/>
          <w:snapToGrid w:val="0"/>
          <w:color w:val="auto"/>
          <w:kern w:val="0"/>
          <w:sz w:val="14"/>
          <w:szCs w:val="14"/>
          <w:highlight w:val="none"/>
        </w:rPr>
      </w:pPr>
    </w:p>
    <w:p>
      <w:pPr>
        <w:autoSpaceDE w:val="0"/>
        <w:autoSpaceDN w:val="0"/>
        <w:adjustRightInd w:val="0"/>
        <w:snapToGrid w:val="0"/>
        <w:spacing w:line="360" w:lineRule="auto"/>
        <w:jc w:val="left"/>
        <w:rPr>
          <w:rFonts w:ascii="宋体" w:hAnsi="宋体"/>
          <w:snapToGrid w:val="0"/>
          <w:color w:val="auto"/>
          <w:kern w:val="0"/>
          <w:sz w:val="14"/>
          <w:szCs w:val="14"/>
          <w:highlight w:val="none"/>
        </w:rPr>
      </w:pPr>
    </w:p>
    <w:p>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请将上述问题的澄清于</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时前递交至</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（详细地址）或传真至</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（传真号码）。采用传真方式的，应在</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时前将原件递交至</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（详细地址）。</w:t>
      </w: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autoSpaceDE w:val="0"/>
        <w:autoSpaceDN w:val="0"/>
        <w:adjustRightInd w:val="0"/>
        <w:snapToGrid w:val="0"/>
        <w:spacing w:line="360" w:lineRule="auto"/>
        <w:jc w:val="left"/>
        <w:rPr>
          <w:rFonts w:ascii="宋体" w:hAnsi="宋体"/>
          <w:snapToGrid w:val="0"/>
          <w:color w:val="auto"/>
          <w:kern w:val="0"/>
          <w:sz w:val="28"/>
          <w:szCs w:val="28"/>
          <w:highlight w:val="none"/>
        </w:rPr>
      </w:pPr>
    </w:p>
    <w:p>
      <w:pPr>
        <w:tabs>
          <w:tab w:val="left" w:pos="6400"/>
        </w:tabs>
        <w:autoSpaceDE w:val="0"/>
        <w:autoSpaceDN w:val="0"/>
        <w:adjustRightInd w:val="0"/>
        <w:snapToGrid w:val="0"/>
        <w:spacing w:line="360" w:lineRule="auto"/>
        <w:jc w:val="right"/>
        <w:rPr>
          <w:rFonts w:ascii="宋体" w:hAnsi="宋体"/>
          <w:snapToGrid w:val="0"/>
          <w:color w:val="auto"/>
          <w:kern w:val="0"/>
          <w:sz w:val="24"/>
          <w:highlight w:val="none"/>
        </w:rPr>
      </w:pPr>
      <w:r>
        <w:rPr>
          <w:rFonts w:ascii="宋体" w:hAnsi="宋体"/>
          <w:snapToGrid w:val="0"/>
          <w:color w:val="auto"/>
          <w:kern w:val="0"/>
          <w:szCs w:val="21"/>
          <w:highlight w:val="none"/>
        </w:rPr>
        <w:t xml:space="preserve">                             评标委员会：</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w:t>
      </w:r>
      <w:r>
        <w:rPr>
          <w:rFonts w:ascii="宋体" w:hAnsi="宋体"/>
          <w:snapToGrid w:val="0"/>
          <w:color w:val="auto"/>
          <w:kern w:val="0"/>
          <w:sz w:val="24"/>
          <w:highlight w:val="none"/>
        </w:rPr>
        <w:t xml:space="preserve"> </w:t>
      </w:r>
    </w:p>
    <w:p>
      <w:pPr>
        <w:autoSpaceDE w:val="0"/>
        <w:autoSpaceDN w:val="0"/>
        <w:adjustRightInd w:val="0"/>
        <w:snapToGrid w:val="0"/>
        <w:spacing w:line="360" w:lineRule="auto"/>
        <w:ind w:firstLine="315" w:firstLineChars="150"/>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p>
    <w:p>
      <w:pPr>
        <w:wordWrap w:val="0"/>
        <w:autoSpaceDE w:val="0"/>
        <w:autoSpaceDN w:val="0"/>
        <w:adjustRightInd w:val="0"/>
        <w:snapToGrid w:val="0"/>
        <w:spacing w:line="360" w:lineRule="auto"/>
        <w:ind w:firstLine="850" w:firstLineChars="405"/>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pPr>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sz w:val="24"/>
          <w:highlight w:val="none"/>
        </w:rPr>
        <w:br w:type="page"/>
      </w:r>
      <w:r>
        <w:rPr>
          <w:rFonts w:ascii="宋体" w:hAnsi="宋体"/>
          <w:b/>
          <w:snapToGrid w:val="0"/>
          <w:color w:val="auto"/>
          <w:kern w:val="0"/>
          <w:highlight w:val="none"/>
        </w:rPr>
        <w:t>附表</w:t>
      </w:r>
      <w:r>
        <w:rPr>
          <w:rFonts w:hint="eastAsia" w:ascii="宋体" w:hAnsi="宋体"/>
          <w:b/>
          <w:snapToGrid w:val="0"/>
          <w:color w:val="auto"/>
          <w:kern w:val="0"/>
          <w:highlight w:val="none"/>
        </w:rPr>
        <w:t>四</w:t>
      </w:r>
      <w:r>
        <w:rPr>
          <w:rFonts w:ascii="宋体" w:hAnsi="宋体"/>
          <w:b/>
          <w:snapToGrid w:val="0"/>
          <w:color w:val="auto"/>
          <w:kern w:val="0"/>
          <w:highlight w:val="none"/>
        </w:rPr>
        <w:t>：问题的澄清</w:t>
      </w:r>
    </w:p>
    <w:p>
      <w:pPr>
        <w:autoSpaceDE w:val="0"/>
        <w:autoSpaceDN w:val="0"/>
        <w:adjustRightInd w:val="0"/>
        <w:snapToGrid w:val="0"/>
        <w:spacing w:line="360" w:lineRule="auto"/>
        <w:jc w:val="left"/>
        <w:rPr>
          <w:rFonts w:ascii="宋体" w:hAnsi="宋体"/>
          <w:b/>
          <w:snapToGrid w:val="0"/>
          <w:color w:val="auto"/>
          <w:kern w:val="0"/>
          <w:sz w:val="10"/>
          <w:szCs w:val="10"/>
          <w:highlight w:val="none"/>
        </w:rPr>
      </w:pPr>
    </w:p>
    <w:p>
      <w:pPr>
        <w:autoSpaceDE w:val="0"/>
        <w:autoSpaceDN w:val="0"/>
        <w:adjustRightInd w:val="0"/>
        <w:snapToGrid w:val="0"/>
        <w:spacing w:line="360" w:lineRule="auto"/>
        <w:jc w:val="center"/>
        <w:rPr>
          <w:rFonts w:ascii="宋体" w:hAnsi="宋体"/>
          <w:b/>
          <w:snapToGrid w:val="0"/>
          <w:color w:val="auto"/>
          <w:kern w:val="0"/>
          <w:sz w:val="32"/>
          <w:szCs w:val="32"/>
          <w:highlight w:val="none"/>
        </w:rPr>
      </w:pPr>
      <w:r>
        <w:rPr>
          <w:rFonts w:ascii="宋体" w:hAnsi="宋体"/>
          <w:b/>
          <w:snapToGrid w:val="0"/>
          <w:color w:val="auto"/>
          <w:w w:val="99"/>
          <w:kern w:val="0"/>
          <w:sz w:val="32"/>
          <w:szCs w:val="32"/>
          <w:highlight w:val="none"/>
        </w:rPr>
        <w:t>问题的澄清</w:t>
      </w:r>
    </w:p>
    <w:p>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rPr>
      </w:pPr>
    </w:p>
    <w:p>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编号：</w:t>
      </w:r>
      <w:r>
        <w:rPr>
          <w:rFonts w:hint="eastAsia" w:ascii="宋体" w:hAnsi="宋体"/>
          <w:snapToGrid w:val="0"/>
          <w:color w:val="auto"/>
          <w:kern w:val="0"/>
          <w:szCs w:val="21"/>
          <w:highlight w:val="none"/>
          <w:u w:val="single"/>
        </w:rPr>
        <w:t xml:space="preserve">                     </w:t>
      </w:r>
    </w:p>
    <w:p>
      <w:pPr>
        <w:autoSpaceDE w:val="0"/>
        <w:autoSpaceDN w:val="0"/>
        <w:adjustRightInd w:val="0"/>
        <w:snapToGrid w:val="0"/>
        <w:spacing w:line="360" w:lineRule="auto"/>
        <w:ind w:firstLine="3150" w:firstLineChars="1500"/>
        <w:rPr>
          <w:rFonts w:ascii="宋体" w:hAnsi="宋体"/>
          <w:snapToGrid w:val="0"/>
          <w:color w:val="auto"/>
          <w:kern w:val="0"/>
          <w:szCs w:val="21"/>
          <w:highlight w:val="none"/>
        </w:rPr>
      </w:pPr>
    </w:p>
    <w:p>
      <w:pPr>
        <w:autoSpaceDE w:val="0"/>
        <w:autoSpaceDN w:val="0"/>
        <w:adjustRightInd w:val="0"/>
        <w:snapToGrid w:val="0"/>
        <w:spacing w:line="360" w:lineRule="auto"/>
        <w:ind w:firstLine="3150" w:firstLineChars="1500"/>
        <w:rPr>
          <w:rFonts w:ascii="宋体" w:hAnsi="宋体"/>
          <w:snapToGrid w:val="0"/>
          <w:color w:val="auto"/>
          <w:kern w:val="0"/>
          <w:szCs w:val="21"/>
          <w:highlight w:val="none"/>
        </w:rPr>
      </w:pPr>
    </w:p>
    <w:p>
      <w:pPr>
        <w:tabs>
          <w:tab w:val="left" w:pos="2415"/>
          <w:tab w:val="left" w:pos="3480"/>
          <w:tab w:val="left" w:pos="4200"/>
        </w:tabs>
        <w:autoSpaceDE w:val="0"/>
        <w:autoSpaceDN w:val="0"/>
        <w:adjustRightInd w:val="0"/>
        <w:snapToGrid w:val="0"/>
        <w:spacing w:line="480" w:lineRule="auto"/>
        <w:ind w:firstLine="840" w:firstLineChars="200"/>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ascii="宋体" w:hAnsi="宋体"/>
          <w:snapToGrid w:val="0"/>
          <w:color w:val="auto"/>
          <w:kern w:val="0"/>
          <w:szCs w:val="21"/>
          <w:highlight w:val="none"/>
        </w:rPr>
        <w:t>评标委员会：</w:t>
      </w:r>
    </w:p>
    <w:p>
      <w:pPr>
        <w:tabs>
          <w:tab w:val="left" w:pos="2000"/>
          <w:tab w:val="left" w:pos="3480"/>
          <w:tab w:val="left" w:pos="420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问题澄清通知（编号：</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）已收悉，现澄清如下：</w:t>
      </w:r>
    </w:p>
    <w:p>
      <w:pPr>
        <w:tabs>
          <w:tab w:val="left" w:pos="2000"/>
          <w:tab w:val="left" w:pos="3480"/>
          <w:tab w:val="left" w:pos="4200"/>
        </w:tabs>
        <w:autoSpaceDE w:val="0"/>
        <w:autoSpaceDN w:val="0"/>
        <w:adjustRightInd w:val="0"/>
        <w:snapToGrid w:val="0"/>
        <w:spacing w:line="360" w:lineRule="auto"/>
        <w:jc w:val="left"/>
        <w:rPr>
          <w:rFonts w:ascii="宋体" w:hAnsi="宋体"/>
          <w:snapToGrid w:val="0"/>
          <w:color w:val="auto"/>
          <w:kern w:val="0"/>
          <w:szCs w:val="21"/>
          <w:highlight w:val="none"/>
        </w:rPr>
      </w:pPr>
    </w:p>
    <w:p>
      <w:pPr>
        <w:tabs>
          <w:tab w:val="left" w:pos="2000"/>
          <w:tab w:val="left" w:pos="3480"/>
          <w:tab w:val="left" w:pos="4200"/>
        </w:tabs>
        <w:autoSpaceDE w:val="0"/>
        <w:autoSpaceDN w:val="0"/>
        <w:adjustRightInd w:val="0"/>
        <w:snapToGrid w:val="0"/>
        <w:spacing w:line="360" w:lineRule="auto"/>
        <w:jc w:val="left"/>
        <w:rPr>
          <w:rFonts w:ascii="宋体" w:hAnsi="宋体"/>
          <w:snapToGrid w:val="0"/>
          <w:color w:val="auto"/>
          <w:kern w:val="0"/>
          <w:szCs w:val="21"/>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1. </w:t>
      </w:r>
    </w:p>
    <w:p>
      <w:pPr>
        <w:autoSpaceDE w:val="0"/>
        <w:autoSpaceDN w:val="0"/>
        <w:adjustRightInd w:val="0"/>
        <w:snapToGrid w:val="0"/>
        <w:spacing w:line="360" w:lineRule="auto"/>
        <w:jc w:val="left"/>
        <w:rPr>
          <w:rFonts w:ascii="宋体" w:hAnsi="宋体"/>
          <w:snapToGrid w:val="0"/>
          <w:color w:val="auto"/>
          <w:kern w:val="0"/>
          <w:sz w:val="18"/>
          <w:szCs w:val="18"/>
          <w:highlight w:val="none"/>
        </w:rPr>
      </w:pPr>
    </w:p>
    <w:p>
      <w:pPr>
        <w:autoSpaceDE w:val="0"/>
        <w:autoSpaceDN w:val="0"/>
        <w:adjustRightInd w:val="0"/>
        <w:snapToGrid w:val="0"/>
        <w:spacing w:line="360" w:lineRule="auto"/>
        <w:jc w:val="left"/>
        <w:rPr>
          <w:rFonts w:ascii="宋体" w:hAnsi="宋体"/>
          <w:snapToGrid w:val="0"/>
          <w:color w:val="auto"/>
          <w:kern w:val="0"/>
          <w:sz w:val="18"/>
          <w:szCs w:val="18"/>
          <w:highlight w:val="none"/>
        </w:rPr>
      </w:pPr>
    </w:p>
    <w:p>
      <w:pPr>
        <w:autoSpaceDE w:val="0"/>
        <w:autoSpaceDN w:val="0"/>
        <w:adjustRightInd w:val="0"/>
        <w:snapToGrid w:val="0"/>
        <w:spacing w:line="360" w:lineRule="auto"/>
        <w:jc w:val="left"/>
        <w:rPr>
          <w:rFonts w:ascii="宋体" w:hAnsi="宋体"/>
          <w:snapToGrid w:val="0"/>
          <w:color w:val="auto"/>
          <w:kern w:val="0"/>
          <w:sz w:val="18"/>
          <w:szCs w:val="18"/>
          <w:highlight w:val="none"/>
        </w:rPr>
      </w:pPr>
    </w:p>
    <w:p>
      <w:pPr>
        <w:autoSpaceDE w:val="0"/>
        <w:autoSpaceDN w:val="0"/>
        <w:adjustRightInd w:val="0"/>
        <w:snapToGrid w:val="0"/>
        <w:spacing w:line="360" w:lineRule="auto"/>
        <w:jc w:val="left"/>
        <w:rPr>
          <w:rFonts w:ascii="宋体" w:hAnsi="宋体"/>
          <w:snapToGrid w:val="0"/>
          <w:color w:val="auto"/>
          <w:kern w:val="0"/>
          <w:sz w:val="18"/>
          <w:szCs w:val="18"/>
          <w:highlight w:val="none"/>
        </w:rPr>
      </w:pPr>
    </w:p>
    <w:p>
      <w:pPr>
        <w:autoSpaceDE w:val="0"/>
        <w:autoSpaceDN w:val="0"/>
        <w:adjustRightInd w:val="0"/>
        <w:snapToGrid w:val="0"/>
        <w:spacing w:line="360" w:lineRule="auto"/>
        <w:jc w:val="left"/>
        <w:rPr>
          <w:rFonts w:ascii="宋体" w:hAnsi="宋体"/>
          <w:snapToGrid w:val="0"/>
          <w:color w:val="auto"/>
          <w:kern w:val="0"/>
          <w:sz w:val="18"/>
          <w:szCs w:val="18"/>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2. </w:t>
      </w: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autoSpaceDE w:val="0"/>
        <w:autoSpaceDN w:val="0"/>
        <w:adjustRightInd w:val="0"/>
        <w:snapToGrid w:val="0"/>
        <w:spacing w:line="360" w:lineRule="auto"/>
        <w:jc w:val="left"/>
        <w:rPr>
          <w:rFonts w:ascii="宋体" w:hAnsi="宋体"/>
          <w:snapToGrid w:val="0"/>
          <w:color w:val="auto"/>
          <w:kern w:val="0"/>
          <w:sz w:val="22"/>
          <w:szCs w:val="22"/>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w:t>
      </w:r>
    </w:p>
    <w:p>
      <w:pPr>
        <w:autoSpaceDE w:val="0"/>
        <w:autoSpaceDN w:val="0"/>
        <w:adjustRightInd w:val="0"/>
        <w:snapToGrid w:val="0"/>
        <w:spacing w:line="360" w:lineRule="auto"/>
        <w:jc w:val="left"/>
        <w:rPr>
          <w:rFonts w:ascii="宋体" w:hAnsi="宋体"/>
          <w:snapToGrid w:val="0"/>
          <w:color w:val="auto"/>
          <w:kern w:val="0"/>
          <w:sz w:val="18"/>
          <w:szCs w:val="18"/>
          <w:highlight w:val="none"/>
        </w:rPr>
      </w:pP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tabs>
          <w:tab w:val="left" w:pos="7035"/>
        </w:tabs>
        <w:autoSpaceDE w:val="0"/>
        <w:autoSpaceDN w:val="0"/>
        <w:adjustRightInd w:val="0"/>
        <w:snapToGrid w:val="0"/>
        <w:spacing w:line="480" w:lineRule="auto"/>
        <w:ind w:firstLine="2551" w:firstLineChars="1215"/>
        <w:jc w:val="right"/>
        <w:rPr>
          <w:rFonts w:ascii="宋体" w:hAnsi="宋体"/>
          <w:snapToGrid w:val="0"/>
          <w:color w:val="auto"/>
          <w:kern w:val="0"/>
          <w:szCs w:val="21"/>
          <w:highlight w:val="none"/>
        </w:rPr>
      </w:pPr>
      <w:r>
        <w:rPr>
          <w:rFonts w:ascii="宋体" w:hAnsi="宋体"/>
          <w:snapToGrid w:val="0"/>
          <w:color w:val="auto"/>
          <w:kern w:val="0"/>
          <w:szCs w:val="21"/>
          <w:highlight w:val="none"/>
        </w:rPr>
        <w:t>投标人：</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rPr>
        <w:t xml:space="preserve">（盖单位法人章） </w:t>
      </w:r>
    </w:p>
    <w:p>
      <w:pPr>
        <w:tabs>
          <w:tab w:val="left" w:pos="6620"/>
          <w:tab w:val="left" w:pos="7040"/>
        </w:tabs>
        <w:autoSpaceDE w:val="0"/>
        <w:autoSpaceDN w:val="0"/>
        <w:adjustRightInd w:val="0"/>
        <w:snapToGrid w:val="0"/>
        <w:spacing w:line="480" w:lineRule="auto"/>
        <w:ind w:firstLine="2551" w:firstLineChars="1215"/>
        <w:jc w:val="right"/>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pPr>
        <w:autoSpaceDE w:val="0"/>
        <w:autoSpaceDN w:val="0"/>
        <w:adjustRightInd w:val="0"/>
        <w:snapToGrid w:val="0"/>
        <w:spacing w:line="360" w:lineRule="auto"/>
        <w:jc w:val="right"/>
        <w:rPr>
          <w:rFonts w:ascii="宋体" w:hAnsi="宋体"/>
          <w:snapToGrid w:val="0"/>
          <w:color w:val="auto"/>
          <w:kern w:val="0"/>
          <w:sz w:val="20"/>
          <w:szCs w:val="20"/>
          <w:highlight w:val="none"/>
        </w:rPr>
      </w:pPr>
    </w:p>
    <w:p>
      <w:pPr>
        <w:wordWrap w:val="0"/>
        <w:autoSpaceDE w:val="0"/>
        <w:autoSpaceDN w:val="0"/>
        <w:adjustRightInd w:val="0"/>
        <w:snapToGrid w:val="0"/>
        <w:spacing w:line="360" w:lineRule="auto"/>
        <w:ind w:firstLine="315" w:firstLineChars="150"/>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pPr>
        <w:autoSpaceDE w:val="0"/>
        <w:autoSpaceDN w:val="0"/>
        <w:adjustRightInd w:val="0"/>
        <w:snapToGrid w:val="0"/>
        <w:spacing w:line="360" w:lineRule="auto"/>
        <w:jc w:val="left"/>
        <w:rPr>
          <w:rFonts w:ascii="宋体" w:hAnsi="宋体"/>
          <w:b/>
          <w:snapToGrid w:val="0"/>
          <w:color w:val="auto"/>
          <w:kern w:val="0"/>
          <w:sz w:val="24"/>
          <w:highlight w:val="none"/>
        </w:rPr>
      </w:pPr>
    </w:p>
    <w:p>
      <w:pPr>
        <w:autoSpaceDE w:val="0"/>
        <w:autoSpaceDN w:val="0"/>
        <w:adjustRightInd w:val="0"/>
        <w:snapToGrid w:val="0"/>
        <w:spacing w:line="360" w:lineRule="auto"/>
        <w:jc w:val="left"/>
        <w:rPr>
          <w:rFonts w:ascii="宋体" w:hAnsi="宋体"/>
          <w:snapToGrid w:val="0"/>
          <w:color w:val="auto"/>
          <w:kern w:val="0"/>
          <w:sz w:val="20"/>
          <w:szCs w:val="20"/>
          <w:highlight w:val="none"/>
        </w:rPr>
      </w:pPr>
      <w:r>
        <w:rPr>
          <w:rFonts w:ascii="宋体" w:hAnsi="宋体"/>
          <w:b/>
          <w:snapToGrid w:val="0"/>
          <w:color w:val="auto"/>
          <w:kern w:val="0"/>
          <w:highlight w:val="none"/>
        </w:rPr>
        <w:t>附表</w:t>
      </w:r>
      <w:r>
        <w:rPr>
          <w:rFonts w:hint="eastAsia" w:ascii="宋体" w:hAnsi="宋体"/>
          <w:b/>
          <w:snapToGrid w:val="0"/>
          <w:color w:val="auto"/>
          <w:kern w:val="0"/>
          <w:highlight w:val="none"/>
        </w:rPr>
        <w:t>五</w:t>
      </w:r>
      <w:r>
        <w:rPr>
          <w:rFonts w:ascii="宋体" w:hAnsi="宋体"/>
          <w:b/>
          <w:snapToGrid w:val="0"/>
          <w:color w:val="auto"/>
          <w:kern w:val="0"/>
          <w:highlight w:val="none"/>
        </w:rPr>
        <w:t>：中标通知书</w:t>
      </w:r>
    </w:p>
    <w:p>
      <w:pPr>
        <w:autoSpaceDE w:val="0"/>
        <w:autoSpaceDN w:val="0"/>
        <w:adjustRightInd w:val="0"/>
        <w:spacing w:line="360" w:lineRule="auto"/>
        <w:jc w:val="left"/>
        <w:rPr>
          <w:rFonts w:ascii="宋体" w:hAnsi="宋体"/>
          <w:snapToGrid w:val="0"/>
          <w:color w:val="auto"/>
          <w:kern w:val="0"/>
          <w:sz w:val="20"/>
          <w:szCs w:val="20"/>
          <w:highlight w:val="none"/>
        </w:rPr>
      </w:pPr>
    </w:p>
    <w:p>
      <w:pPr>
        <w:autoSpaceDE w:val="0"/>
        <w:autoSpaceDN w:val="0"/>
        <w:adjustRightInd w:val="0"/>
        <w:spacing w:line="360" w:lineRule="auto"/>
        <w:jc w:val="left"/>
        <w:rPr>
          <w:rFonts w:ascii="宋体" w:hAnsi="宋体"/>
          <w:snapToGrid w:val="0"/>
          <w:color w:val="auto"/>
          <w:kern w:val="0"/>
          <w:sz w:val="20"/>
          <w:szCs w:val="20"/>
          <w:highlight w:val="none"/>
        </w:rPr>
      </w:pPr>
    </w:p>
    <w:p>
      <w:pPr>
        <w:autoSpaceDE w:val="0"/>
        <w:autoSpaceDN w:val="0"/>
        <w:adjustRightInd w:val="0"/>
        <w:spacing w:line="360" w:lineRule="auto"/>
        <w:jc w:val="left"/>
        <w:rPr>
          <w:rFonts w:ascii="宋体" w:hAnsi="宋体"/>
          <w:snapToGrid w:val="0"/>
          <w:color w:val="auto"/>
          <w:kern w:val="0"/>
          <w:sz w:val="20"/>
          <w:szCs w:val="20"/>
          <w:highlight w:val="none"/>
        </w:rPr>
      </w:pPr>
    </w:p>
    <w:p>
      <w:pPr>
        <w:autoSpaceDE w:val="0"/>
        <w:autoSpaceDN w:val="0"/>
        <w:adjustRightInd w:val="0"/>
        <w:snapToGrid w:val="0"/>
        <w:spacing w:line="360" w:lineRule="auto"/>
        <w:jc w:val="center"/>
        <w:rPr>
          <w:rFonts w:ascii="宋体" w:hAnsi="宋体"/>
          <w:b/>
          <w:snapToGrid w:val="0"/>
          <w:color w:val="auto"/>
          <w:w w:val="99"/>
          <w:kern w:val="0"/>
          <w:sz w:val="32"/>
          <w:szCs w:val="32"/>
          <w:highlight w:val="none"/>
        </w:rPr>
      </w:pPr>
      <w:r>
        <w:rPr>
          <w:rFonts w:hint="eastAsia" w:ascii="宋体" w:hAnsi="宋体"/>
          <w:b/>
          <w:snapToGrid w:val="0"/>
          <w:color w:val="auto"/>
          <w:w w:val="99"/>
          <w:kern w:val="0"/>
          <w:sz w:val="32"/>
          <w:szCs w:val="32"/>
          <w:highlight w:val="none"/>
        </w:rPr>
        <w:t>重庆市建设工程中标通知书</w:t>
      </w:r>
    </w:p>
    <w:p>
      <w:pPr>
        <w:spacing w:line="360" w:lineRule="auto"/>
        <w:rPr>
          <w:rFonts w:ascii="宋体" w:hAnsi="宋体"/>
          <w:bCs/>
          <w:color w:val="auto"/>
          <w:kern w:val="0"/>
          <w:szCs w:val="21"/>
          <w:highlight w:val="none"/>
          <w:u w:val="single"/>
        </w:rPr>
      </w:pPr>
      <w:r>
        <w:rPr>
          <w:rFonts w:ascii="宋体" w:hAnsi="宋体"/>
          <w:bCs/>
          <w:color w:val="auto"/>
          <w:kern w:val="0"/>
          <w:szCs w:val="21"/>
          <w:highlight w:val="none"/>
          <w:u w:val="single"/>
        </w:rPr>
        <w:t xml:space="preserve">       </w:t>
      </w:r>
      <w:r>
        <w:rPr>
          <w:rFonts w:ascii="宋体" w:hAnsi="宋体"/>
          <w:color w:val="auto"/>
          <w:kern w:val="0"/>
          <w:szCs w:val="21"/>
          <w:highlight w:val="none"/>
          <w:u w:val="single"/>
        </w:rPr>
        <w:t>中标单位</w:t>
      </w:r>
      <w:r>
        <w:rPr>
          <w:rFonts w:ascii="宋体" w:hAnsi="宋体"/>
          <w:bCs/>
          <w:color w:val="auto"/>
          <w:kern w:val="0"/>
          <w:szCs w:val="21"/>
          <w:highlight w:val="none"/>
          <w:u w:val="single"/>
        </w:rPr>
        <w:t xml:space="preserve">               </w:t>
      </w:r>
      <w:r>
        <w:rPr>
          <w:rFonts w:ascii="宋体" w:hAnsi="宋体"/>
          <w:bCs/>
          <w:color w:val="auto"/>
          <w:kern w:val="0"/>
          <w:szCs w:val="21"/>
          <w:highlight w:val="none"/>
        </w:rPr>
        <w:t>：</w:t>
      </w:r>
    </w:p>
    <w:p>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我单位拟建的 </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（项目名称）</w:t>
      </w:r>
      <w:r>
        <w:rPr>
          <w:rFonts w:ascii="宋体" w:hAnsi="宋体"/>
          <w:bCs/>
          <w:color w:val="auto"/>
          <w:kern w:val="0"/>
          <w:szCs w:val="21"/>
          <w:highlight w:val="none"/>
          <w:u w:val="single"/>
        </w:rPr>
        <w:t xml:space="preserve">     </w:t>
      </w:r>
      <w:r>
        <w:rPr>
          <w:rFonts w:ascii="宋体" w:hAnsi="宋体"/>
          <w:color w:val="auto"/>
          <w:kern w:val="0"/>
          <w:szCs w:val="21"/>
          <w:highlight w:val="none"/>
        </w:rPr>
        <w:t>于</w:t>
      </w:r>
      <w:r>
        <w:rPr>
          <w:rFonts w:ascii="宋体" w:hAnsi="宋体"/>
          <w:bCs/>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bCs/>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bCs/>
          <w:color w:val="auto"/>
          <w:kern w:val="0"/>
          <w:szCs w:val="21"/>
          <w:highlight w:val="none"/>
          <w:u w:val="single"/>
        </w:rPr>
        <w:t xml:space="preserve">    </w:t>
      </w:r>
      <w:r>
        <w:rPr>
          <w:rFonts w:ascii="宋体" w:hAnsi="宋体"/>
          <w:color w:val="auto"/>
          <w:kern w:val="0"/>
          <w:szCs w:val="21"/>
          <w:highlight w:val="none"/>
        </w:rPr>
        <w:t>日开标，经评标委员会评定，确定你单位为中标人，中标额为</w:t>
      </w:r>
      <w:r>
        <w:rPr>
          <w:rFonts w:hint="eastAsia" w:ascii="宋体" w:hAnsi="宋体"/>
          <w:color w:val="auto"/>
          <w:kern w:val="0"/>
          <w:szCs w:val="21"/>
          <w:highlight w:val="none"/>
        </w:rPr>
        <w:t>（大写）</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 xml:space="preserve">  </w:t>
      </w:r>
      <w:r>
        <w:rPr>
          <w:rFonts w:ascii="宋体" w:hAnsi="宋体"/>
          <w:bCs/>
          <w:color w:val="auto"/>
          <w:kern w:val="0"/>
          <w:szCs w:val="21"/>
          <w:highlight w:val="none"/>
          <w:u w:val="single"/>
        </w:rPr>
        <w:t xml:space="preserve">  </w:t>
      </w:r>
      <w:r>
        <w:rPr>
          <w:rFonts w:ascii="宋体" w:hAnsi="宋体"/>
          <w:color w:val="auto"/>
          <w:kern w:val="0"/>
          <w:szCs w:val="21"/>
          <w:highlight w:val="none"/>
        </w:rPr>
        <w:t xml:space="preserve">（其中含安全文明施工费 </w:t>
      </w:r>
      <w:r>
        <w:rPr>
          <w:rFonts w:ascii="宋体" w:hAnsi="宋体"/>
          <w:bCs/>
          <w:color w:val="auto"/>
          <w:kern w:val="0"/>
          <w:szCs w:val="21"/>
          <w:highlight w:val="none"/>
          <w:u w:val="single"/>
        </w:rPr>
        <w:t xml:space="preserve">￥    </w:t>
      </w:r>
      <w:r>
        <w:rPr>
          <w:rFonts w:ascii="宋体" w:hAnsi="宋体"/>
          <w:color w:val="auto"/>
          <w:kern w:val="0"/>
          <w:szCs w:val="21"/>
          <w:highlight w:val="none"/>
        </w:rPr>
        <w:t>）。中标工程范围：</w:t>
      </w:r>
      <w:r>
        <w:rPr>
          <w:rFonts w:ascii="宋体" w:hAnsi="宋体"/>
          <w:bCs/>
          <w:color w:val="auto"/>
          <w:kern w:val="0"/>
          <w:szCs w:val="21"/>
          <w:highlight w:val="none"/>
          <w:u w:val="single"/>
        </w:rPr>
        <w:t xml:space="preserve">     </w:t>
      </w:r>
      <w:r>
        <w:rPr>
          <w:rFonts w:ascii="宋体" w:hAnsi="宋体"/>
          <w:color w:val="auto"/>
          <w:kern w:val="0"/>
          <w:szCs w:val="21"/>
          <w:highlight w:val="none"/>
        </w:rPr>
        <w:t xml:space="preserve">，工程规模为 </w:t>
      </w:r>
      <w:r>
        <w:rPr>
          <w:rFonts w:ascii="宋体" w:hAnsi="宋体"/>
          <w:bCs/>
          <w:color w:val="auto"/>
          <w:kern w:val="0"/>
          <w:szCs w:val="21"/>
          <w:highlight w:val="none"/>
          <w:u w:val="single"/>
        </w:rPr>
        <w:t xml:space="preserve">      </w:t>
      </w:r>
      <w:r>
        <w:rPr>
          <w:rFonts w:ascii="宋体" w:hAnsi="宋体"/>
          <w:color w:val="auto"/>
          <w:kern w:val="0"/>
          <w:szCs w:val="21"/>
          <w:highlight w:val="none"/>
        </w:rPr>
        <w:t xml:space="preserve">，中标工期 </w:t>
      </w:r>
      <w:r>
        <w:rPr>
          <w:rFonts w:ascii="宋体" w:hAnsi="宋体"/>
          <w:bCs/>
          <w:color w:val="auto"/>
          <w:kern w:val="0"/>
          <w:szCs w:val="21"/>
          <w:highlight w:val="none"/>
          <w:u w:val="single"/>
        </w:rPr>
        <w:t xml:space="preserve">   </w:t>
      </w:r>
      <w:r>
        <w:rPr>
          <w:rFonts w:ascii="宋体" w:hAnsi="宋体"/>
          <w:color w:val="auto"/>
          <w:kern w:val="0"/>
          <w:szCs w:val="21"/>
          <w:highlight w:val="none"/>
          <w:u w:val="single"/>
        </w:rPr>
        <w:t>日历天</w:t>
      </w:r>
      <w:r>
        <w:rPr>
          <w:rFonts w:ascii="宋体" w:hAnsi="宋体"/>
          <w:color w:val="auto"/>
          <w:kern w:val="0"/>
          <w:szCs w:val="21"/>
          <w:highlight w:val="none"/>
        </w:rPr>
        <w:t>，工程质量达到国家施工验收规范标准。 项目经理由</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 xml:space="preserve">      </w:t>
      </w:r>
      <w:r>
        <w:rPr>
          <w:rFonts w:ascii="宋体" w:hAnsi="宋体"/>
          <w:bCs/>
          <w:color w:val="auto"/>
          <w:kern w:val="0"/>
          <w:szCs w:val="21"/>
          <w:highlight w:val="none"/>
          <w:u w:val="single"/>
        </w:rPr>
        <w:t xml:space="preserve">  </w:t>
      </w:r>
      <w:r>
        <w:rPr>
          <w:rFonts w:ascii="宋体" w:hAnsi="宋体"/>
          <w:color w:val="auto"/>
          <w:kern w:val="0"/>
          <w:szCs w:val="21"/>
          <w:highlight w:val="none"/>
        </w:rPr>
        <w:t>担任。</w:t>
      </w:r>
    </w:p>
    <w:p>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你单位收到中标通知书后，在 </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 xml:space="preserve">      </w:t>
      </w:r>
      <w:r>
        <w:rPr>
          <w:rFonts w:ascii="宋体" w:hAnsi="宋体"/>
          <w:bCs/>
          <w:color w:val="auto"/>
          <w:kern w:val="0"/>
          <w:szCs w:val="21"/>
          <w:highlight w:val="none"/>
          <w:u w:val="single"/>
        </w:rPr>
        <w:t xml:space="preserve">   </w:t>
      </w:r>
      <w:r>
        <w:rPr>
          <w:rFonts w:ascii="宋体" w:hAnsi="宋体"/>
          <w:color w:val="auto"/>
          <w:kern w:val="0"/>
          <w:szCs w:val="21"/>
          <w:highlight w:val="none"/>
        </w:rPr>
        <w:t>日内到我单位签订承发包合同。</w:t>
      </w:r>
      <w:r>
        <w:rPr>
          <w:rFonts w:hint="eastAsia" w:ascii="宋体" w:hAnsi="宋体"/>
          <w:color w:val="auto"/>
          <w:kern w:val="0"/>
          <w:szCs w:val="21"/>
          <w:highlight w:val="none"/>
        </w:rPr>
        <w:t>在此之前按招标文件第二章“投标人须知”第7.3款规定向我方提交履约担保。</w:t>
      </w:r>
    </w:p>
    <w:p>
      <w:pPr>
        <w:spacing w:line="360" w:lineRule="auto"/>
        <w:rPr>
          <w:rFonts w:ascii="宋体" w:hAnsi="宋体"/>
          <w:color w:val="auto"/>
          <w:kern w:val="0"/>
          <w:szCs w:val="21"/>
          <w:highlight w:val="none"/>
        </w:rPr>
      </w:pPr>
      <w:r>
        <w:rPr>
          <w:rFonts w:ascii="宋体" w:hAnsi="宋体"/>
          <w:color w:val="auto"/>
          <w:kern w:val="0"/>
          <w:szCs w:val="21"/>
          <w:highlight w:val="none"/>
        </w:rPr>
        <w:t xml:space="preserve">    特此通知。</w:t>
      </w:r>
    </w:p>
    <w:p>
      <w:pPr>
        <w:spacing w:line="480" w:lineRule="auto"/>
        <w:rPr>
          <w:rFonts w:ascii="宋体" w:hAnsi="宋体"/>
          <w:color w:val="auto"/>
          <w:kern w:val="0"/>
          <w:sz w:val="24"/>
          <w:highlight w:val="none"/>
        </w:rPr>
      </w:pPr>
    </w:p>
    <w:p>
      <w:pPr>
        <w:spacing w:line="480" w:lineRule="auto"/>
        <w:rPr>
          <w:rFonts w:ascii="宋体" w:hAnsi="宋体"/>
          <w:color w:val="auto"/>
          <w:kern w:val="0"/>
          <w:sz w:val="24"/>
          <w:highlight w:val="none"/>
        </w:rPr>
      </w:pPr>
    </w:p>
    <w:p>
      <w:pPr>
        <w:spacing w:line="480" w:lineRule="auto"/>
        <w:rPr>
          <w:rFonts w:ascii="宋体" w:hAnsi="宋体"/>
          <w:color w:val="auto"/>
          <w:kern w:val="0"/>
          <w:sz w:val="24"/>
          <w:highlight w:val="none"/>
        </w:rPr>
      </w:pPr>
    </w:p>
    <w:p>
      <w:pPr>
        <w:spacing w:line="480" w:lineRule="auto"/>
        <w:jc w:val="left"/>
        <w:rPr>
          <w:rFonts w:ascii="宋体" w:hAnsi="宋体"/>
          <w:color w:val="auto"/>
          <w:kern w:val="0"/>
          <w:sz w:val="24"/>
          <w:highlight w:val="none"/>
        </w:rPr>
      </w:pPr>
      <w:r>
        <w:rPr>
          <w:rFonts w:ascii="宋体" w:hAnsi="宋体"/>
          <w:color w:val="auto"/>
          <w:kern w:val="0"/>
          <w:sz w:val="24"/>
          <w:highlight w:val="none"/>
        </w:rPr>
        <w:t xml:space="preserve">                                 招标人</w:t>
      </w:r>
      <w:r>
        <w:rPr>
          <w:rFonts w:ascii="宋体" w:hAnsi="宋体"/>
          <w:snapToGrid w:val="0"/>
          <w:color w:val="auto"/>
          <w:kern w:val="0"/>
          <w:szCs w:val="21"/>
          <w:highlight w:val="none"/>
        </w:rPr>
        <w:t>：</w:t>
      </w:r>
      <w:r>
        <w:rPr>
          <w:rFonts w:ascii="宋体" w:hAnsi="宋体"/>
          <w:color w:val="auto"/>
          <w:kern w:val="0"/>
          <w:sz w:val="24"/>
          <w:highlight w:val="none"/>
          <w:u w:val="single"/>
        </w:rPr>
        <w:t xml:space="preserve">                          </w:t>
      </w:r>
      <w:r>
        <w:rPr>
          <w:rFonts w:ascii="宋体" w:hAnsi="宋体"/>
          <w:color w:val="auto"/>
          <w:kern w:val="0"/>
          <w:sz w:val="24"/>
          <w:highlight w:val="none"/>
        </w:rPr>
        <w:t>（</w:t>
      </w:r>
      <w:r>
        <w:rPr>
          <w:rFonts w:ascii="宋体" w:hAnsi="宋体"/>
          <w:snapToGrid w:val="0"/>
          <w:color w:val="auto"/>
          <w:kern w:val="0"/>
          <w:szCs w:val="21"/>
          <w:highlight w:val="none"/>
        </w:rPr>
        <w:t>盖单位法人章</w:t>
      </w:r>
      <w:r>
        <w:rPr>
          <w:rFonts w:ascii="宋体" w:hAnsi="宋体"/>
          <w:color w:val="auto"/>
          <w:kern w:val="0"/>
          <w:sz w:val="24"/>
          <w:highlight w:val="none"/>
        </w:rPr>
        <w:t>）</w:t>
      </w:r>
    </w:p>
    <w:p>
      <w:pPr>
        <w:spacing w:line="480" w:lineRule="auto"/>
        <w:jc w:val="left"/>
        <w:rPr>
          <w:rFonts w:ascii="宋体" w:hAnsi="宋体"/>
          <w:color w:val="auto"/>
          <w:kern w:val="0"/>
          <w:sz w:val="24"/>
          <w:highlight w:val="none"/>
        </w:rPr>
      </w:pPr>
      <w:r>
        <w:rPr>
          <w:rFonts w:ascii="宋体" w:hAnsi="宋体"/>
          <w:color w:val="auto"/>
          <w:kern w:val="0"/>
          <w:sz w:val="24"/>
          <w:highlight w:val="none"/>
        </w:rPr>
        <w:t xml:space="preserve">                                 法定代表人</w:t>
      </w:r>
      <w:r>
        <w:rPr>
          <w:rFonts w:ascii="宋体" w:hAnsi="宋体"/>
          <w:snapToGrid w:val="0"/>
          <w:color w:val="auto"/>
          <w:kern w:val="0"/>
          <w:szCs w:val="21"/>
          <w:highlight w:val="none"/>
        </w:rPr>
        <w:t>：</w:t>
      </w:r>
      <w:r>
        <w:rPr>
          <w:rFonts w:ascii="宋体" w:hAnsi="宋体"/>
          <w:color w:val="auto"/>
          <w:kern w:val="0"/>
          <w:sz w:val="24"/>
          <w:highlight w:val="none"/>
          <w:u w:val="single"/>
        </w:rPr>
        <w:t xml:space="preserve">                      </w:t>
      </w:r>
      <w:r>
        <w:rPr>
          <w:rFonts w:ascii="宋体" w:hAnsi="宋体"/>
          <w:color w:val="auto"/>
          <w:kern w:val="0"/>
          <w:sz w:val="24"/>
          <w:highlight w:val="none"/>
        </w:rPr>
        <w:t>（</w:t>
      </w:r>
      <w:r>
        <w:rPr>
          <w:rFonts w:hint="eastAsia" w:ascii="宋体" w:hAnsi="宋体"/>
          <w:color w:val="auto"/>
          <w:kern w:val="0"/>
          <w:sz w:val="24"/>
          <w:highlight w:val="none"/>
        </w:rPr>
        <w:t>签名</w:t>
      </w:r>
      <w:r>
        <w:rPr>
          <w:rFonts w:ascii="宋体" w:hAnsi="宋体"/>
          <w:color w:val="auto"/>
          <w:kern w:val="0"/>
          <w:sz w:val="24"/>
          <w:highlight w:val="none"/>
        </w:rPr>
        <w:t>或盖章）</w:t>
      </w:r>
    </w:p>
    <w:p>
      <w:pPr>
        <w:spacing w:line="480" w:lineRule="auto"/>
        <w:jc w:val="left"/>
        <w:rPr>
          <w:rFonts w:ascii="宋体" w:hAnsi="宋体"/>
          <w:color w:val="auto"/>
          <w:kern w:val="0"/>
          <w:sz w:val="24"/>
          <w:highlight w:val="none"/>
          <w:u w:val="single"/>
        </w:rPr>
      </w:pPr>
      <w:r>
        <w:rPr>
          <w:rFonts w:ascii="宋体" w:hAnsi="宋体"/>
          <w:color w:val="auto"/>
          <w:kern w:val="0"/>
          <w:sz w:val="24"/>
          <w:highlight w:val="none"/>
        </w:rPr>
        <w:t xml:space="preserve">                                 联系人</w:t>
      </w:r>
      <w:r>
        <w:rPr>
          <w:rFonts w:ascii="宋体" w:hAnsi="宋体"/>
          <w:snapToGrid w:val="0"/>
          <w:color w:val="auto"/>
          <w:kern w:val="0"/>
          <w:szCs w:val="21"/>
          <w:highlight w:val="none"/>
        </w:rPr>
        <w:t>：</w:t>
      </w:r>
      <w:r>
        <w:rPr>
          <w:rFonts w:ascii="宋体" w:hAnsi="宋体"/>
          <w:color w:val="auto"/>
          <w:kern w:val="0"/>
          <w:sz w:val="24"/>
          <w:highlight w:val="none"/>
          <w:u w:val="single"/>
        </w:rPr>
        <w:t xml:space="preserve">                          </w:t>
      </w:r>
    </w:p>
    <w:p>
      <w:pPr>
        <w:spacing w:line="480" w:lineRule="auto"/>
        <w:jc w:val="left"/>
        <w:rPr>
          <w:rFonts w:ascii="宋体" w:hAnsi="宋体"/>
          <w:color w:val="auto"/>
          <w:kern w:val="0"/>
          <w:sz w:val="24"/>
          <w:highlight w:val="none"/>
        </w:rPr>
      </w:pPr>
      <w:r>
        <w:rPr>
          <w:rFonts w:ascii="宋体" w:hAnsi="宋体"/>
          <w:color w:val="auto"/>
          <w:kern w:val="0"/>
          <w:sz w:val="24"/>
          <w:highlight w:val="none"/>
        </w:rPr>
        <w:t xml:space="preserve">                                 联系电话</w:t>
      </w:r>
      <w:r>
        <w:rPr>
          <w:rFonts w:ascii="宋体" w:hAnsi="宋体"/>
          <w:snapToGrid w:val="0"/>
          <w:color w:val="auto"/>
          <w:kern w:val="0"/>
          <w:szCs w:val="21"/>
          <w:highlight w:val="none"/>
        </w:rPr>
        <w:t>：</w:t>
      </w:r>
      <w:r>
        <w:rPr>
          <w:rFonts w:ascii="宋体" w:hAnsi="宋体"/>
          <w:color w:val="auto"/>
          <w:kern w:val="0"/>
          <w:sz w:val="24"/>
          <w:highlight w:val="none"/>
          <w:u w:val="single"/>
        </w:rPr>
        <w:t xml:space="preserve">                        </w:t>
      </w:r>
    </w:p>
    <w:p>
      <w:pPr>
        <w:spacing w:line="480" w:lineRule="auto"/>
        <w:jc w:val="right"/>
        <w:rPr>
          <w:rFonts w:ascii="宋体" w:hAnsi="宋体"/>
          <w:color w:val="auto"/>
          <w:kern w:val="0"/>
          <w:sz w:val="24"/>
          <w:highlight w:val="none"/>
        </w:rPr>
      </w:pPr>
    </w:p>
    <w:p>
      <w:pPr>
        <w:spacing w:line="480" w:lineRule="auto"/>
        <w:jc w:val="right"/>
        <w:rPr>
          <w:rFonts w:ascii="宋体" w:hAnsi="宋体"/>
          <w:color w:val="auto"/>
          <w:kern w:val="0"/>
          <w:sz w:val="24"/>
          <w:highlight w:val="none"/>
        </w:rPr>
      </w:pPr>
    </w:p>
    <w:p>
      <w:pPr>
        <w:spacing w:line="480" w:lineRule="auto"/>
        <w:jc w:val="right"/>
        <w:rPr>
          <w:rFonts w:ascii="宋体" w:hAnsi="宋体"/>
          <w:color w:val="auto"/>
          <w:kern w:val="0"/>
          <w:sz w:val="24"/>
          <w:highlight w:val="none"/>
        </w:rPr>
      </w:pPr>
      <w:r>
        <w:rPr>
          <w:rFonts w:ascii="宋体" w:hAnsi="宋体"/>
          <w:color w:val="auto"/>
          <w:kern w:val="0"/>
          <w:sz w:val="24"/>
          <w:highlight w:val="none"/>
        </w:rPr>
        <w:t xml:space="preserve">                   签发日期</w:t>
      </w:r>
      <w:r>
        <w:rPr>
          <w:rFonts w:ascii="宋体" w:hAnsi="宋体"/>
          <w:snapToGrid w:val="0"/>
          <w:color w:val="auto"/>
          <w:kern w:val="0"/>
          <w:szCs w:val="21"/>
          <w:highlight w:val="none"/>
        </w:rPr>
        <w:t>：</w:t>
      </w:r>
      <w:r>
        <w:rPr>
          <w:rFonts w:ascii="宋体" w:hAnsi="宋体"/>
          <w:color w:val="auto"/>
          <w:kern w:val="0"/>
          <w:sz w:val="24"/>
          <w:highlight w:val="none"/>
          <w:u w:val="single"/>
        </w:rPr>
        <w:t xml:space="preserve">        </w:t>
      </w:r>
      <w:r>
        <w:rPr>
          <w:rFonts w:ascii="宋体" w:hAnsi="宋体"/>
          <w:color w:val="auto"/>
          <w:kern w:val="0"/>
          <w:sz w:val="24"/>
          <w:highlight w:val="none"/>
        </w:rPr>
        <w:t>年</w:t>
      </w:r>
      <w:r>
        <w:rPr>
          <w:rFonts w:ascii="宋体" w:hAnsi="宋体"/>
          <w:color w:val="auto"/>
          <w:kern w:val="0"/>
          <w:sz w:val="24"/>
          <w:highlight w:val="none"/>
          <w:u w:val="single"/>
        </w:rPr>
        <w:t xml:space="preserve">     </w:t>
      </w:r>
      <w:r>
        <w:rPr>
          <w:rFonts w:ascii="宋体" w:hAnsi="宋体"/>
          <w:color w:val="auto"/>
          <w:kern w:val="0"/>
          <w:sz w:val="24"/>
          <w:highlight w:val="none"/>
        </w:rPr>
        <w:t>月</w:t>
      </w:r>
      <w:r>
        <w:rPr>
          <w:rFonts w:ascii="宋体" w:hAnsi="宋体"/>
          <w:color w:val="auto"/>
          <w:kern w:val="0"/>
          <w:sz w:val="24"/>
          <w:highlight w:val="none"/>
          <w:u w:val="single"/>
        </w:rPr>
        <w:t xml:space="preserve">     </w:t>
      </w:r>
      <w:r>
        <w:rPr>
          <w:rFonts w:ascii="宋体" w:hAnsi="宋体"/>
          <w:color w:val="auto"/>
          <w:kern w:val="0"/>
          <w:sz w:val="24"/>
          <w:highlight w:val="none"/>
        </w:rPr>
        <w:t>日</w:t>
      </w:r>
    </w:p>
    <w:p>
      <w:pPr>
        <w:pStyle w:val="2"/>
        <w:spacing w:line="360" w:lineRule="auto"/>
        <w:jc w:val="center"/>
        <w:rPr>
          <w:rFonts w:ascii="宋体" w:hAnsi="宋体"/>
          <w:snapToGrid w:val="0"/>
          <w:color w:val="auto"/>
          <w:kern w:val="0"/>
          <w:highlight w:val="none"/>
        </w:rPr>
      </w:pPr>
      <w:r>
        <w:rPr>
          <w:rFonts w:ascii="宋体" w:hAnsi="宋体"/>
          <w:color w:val="auto"/>
          <w:kern w:val="0"/>
          <w:sz w:val="24"/>
          <w:highlight w:val="none"/>
        </w:rPr>
        <w:br w:type="page"/>
      </w:r>
      <w:bookmarkStart w:id="566" w:name="_Toc20466"/>
      <w:bookmarkStart w:id="567" w:name="_Toc57905884"/>
      <w:r>
        <w:rPr>
          <w:rFonts w:ascii="宋体" w:hAnsi="宋体"/>
          <w:snapToGrid w:val="0"/>
          <w:color w:val="auto"/>
          <w:kern w:val="0"/>
          <w:highlight w:val="none"/>
        </w:rPr>
        <w:t xml:space="preserve">第三章 </w:t>
      </w:r>
      <w:r>
        <w:rPr>
          <w:rFonts w:hint="eastAsia" w:ascii="宋体" w:hAnsi="宋体"/>
          <w:snapToGrid w:val="0"/>
          <w:color w:val="auto"/>
          <w:kern w:val="0"/>
          <w:highlight w:val="none"/>
        </w:rPr>
        <w:t xml:space="preserve"> </w:t>
      </w:r>
      <w:r>
        <w:rPr>
          <w:rFonts w:ascii="宋体" w:hAnsi="宋体"/>
          <w:snapToGrid w:val="0"/>
          <w:color w:val="auto"/>
          <w:kern w:val="0"/>
          <w:highlight w:val="none"/>
        </w:rPr>
        <w:t>评标办法（</w:t>
      </w:r>
      <w:r>
        <w:rPr>
          <w:rFonts w:hint="eastAsia" w:ascii="宋体" w:hAnsi="宋体"/>
          <w:snapToGrid w:val="0"/>
          <w:color w:val="auto"/>
          <w:kern w:val="0"/>
          <w:highlight w:val="none"/>
        </w:rPr>
        <w:t>经评审的最低投标价法</w:t>
      </w:r>
      <w:r>
        <w:rPr>
          <w:rFonts w:ascii="宋体" w:hAnsi="宋体"/>
          <w:snapToGrid w:val="0"/>
          <w:color w:val="auto"/>
          <w:kern w:val="0"/>
          <w:highlight w:val="none"/>
        </w:rPr>
        <w:t>）</w:t>
      </w:r>
      <w:bookmarkEnd w:id="566"/>
      <w:bookmarkEnd w:id="567"/>
    </w:p>
    <w:p>
      <w:pPr>
        <w:keepNext/>
        <w:keepLines/>
        <w:spacing w:before="100" w:after="100" w:line="360" w:lineRule="auto"/>
        <w:outlineLvl w:val="1"/>
        <w:rPr>
          <w:rFonts w:ascii="宋体" w:hAnsi="宋体"/>
          <w:b/>
          <w:color w:val="auto"/>
          <w:sz w:val="32"/>
          <w:szCs w:val="32"/>
          <w:highlight w:val="none"/>
        </w:rPr>
      </w:pPr>
      <w:bookmarkStart w:id="568" w:name="_Toc57905885"/>
      <w:bookmarkStart w:id="569" w:name="_Toc14792"/>
      <w:r>
        <w:rPr>
          <w:rFonts w:hint="eastAsia" w:ascii="宋体" w:hAnsi="宋体"/>
          <w:b/>
          <w:color w:val="auto"/>
          <w:sz w:val="32"/>
          <w:szCs w:val="32"/>
          <w:highlight w:val="none"/>
        </w:rPr>
        <w:t>评标办法前附表</w:t>
      </w:r>
      <w:bookmarkEnd w:id="568"/>
      <w:bookmarkEnd w:id="569"/>
    </w:p>
    <w:p>
      <w:pPr>
        <w:spacing w:line="400" w:lineRule="exact"/>
        <w:ind w:firstLine="427" w:firstLineChars="196"/>
        <w:rPr>
          <w:rFonts w:ascii="宋体" w:hAnsi="宋体"/>
          <w:color w:val="auto"/>
          <w:spacing w:val="4"/>
          <w:kern w:val="0"/>
          <w:szCs w:val="21"/>
          <w:highlight w:val="none"/>
        </w:rPr>
      </w:pPr>
      <w:bookmarkStart w:id="570" w:name="_Toc13210726"/>
      <w:r>
        <w:rPr>
          <w:rFonts w:ascii="宋体" w:hAnsi="宋体"/>
          <w:color w:val="auto"/>
          <w:spacing w:val="4"/>
          <w:kern w:val="0"/>
          <w:szCs w:val="21"/>
          <w:highlight w:val="none"/>
        </w:rPr>
        <w:t>评标办法中的评审内容必须和投标人须知中的对应内容一致，若投标人须知中未作要求的内容，不得列入评标办法作为评定依据。</w:t>
      </w:r>
      <w:bookmarkEnd w:id="570"/>
    </w:p>
    <w:tbl>
      <w:tblPr>
        <w:tblStyle w:val="45"/>
        <w:tblW w:w="9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267"/>
        <w:gridCol w:w="4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243" w:type="dxa"/>
            <w:tcBorders>
              <w:right w:val="single" w:color="auto" w:sz="4" w:space="0"/>
            </w:tcBorders>
            <w:vAlign w:val="center"/>
          </w:tcPr>
          <w:p>
            <w:pPr>
              <w:spacing w:line="400" w:lineRule="exact"/>
              <w:jc w:val="center"/>
              <w:rPr>
                <w:rFonts w:ascii="宋体" w:hAnsi="宋体"/>
                <w:b/>
                <w:color w:val="auto"/>
                <w:kern w:val="0"/>
                <w:highlight w:val="none"/>
              </w:rPr>
            </w:pPr>
            <w:r>
              <w:rPr>
                <w:rFonts w:ascii="宋体" w:hAnsi="宋体"/>
                <w:b/>
                <w:color w:val="auto"/>
                <w:kern w:val="0"/>
                <w:highlight w:val="none"/>
              </w:rPr>
              <w:t>条款号</w:t>
            </w:r>
          </w:p>
        </w:tc>
        <w:tc>
          <w:tcPr>
            <w:tcW w:w="1560" w:type="dxa"/>
            <w:tcBorders>
              <w:left w:val="single" w:color="auto" w:sz="4" w:space="0"/>
            </w:tcBorders>
            <w:vAlign w:val="center"/>
          </w:tcPr>
          <w:p>
            <w:pPr>
              <w:spacing w:line="400" w:lineRule="exact"/>
              <w:jc w:val="center"/>
              <w:rPr>
                <w:rFonts w:ascii="宋体" w:hAnsi="宋体"/>
                <w:b/>
                <w:color w:val="auto"/>
                <w:kern w:val="0"/>
                <w:highlight w:val="none"/>
              </w:rPr>
            </w:pPr>
            <w:r>
              <w:rPr>
                <w:rFonts w:ascii="宋体" w:hAnsi="宋体"/>
                <w:b/>
                <w:color w:val="auto"/>
                <w:kern w:val="0"/>
                <w:highlight w:val="none"/>
              </w:rPr>
              <w:t>评审因素</w:t>
            </w:r>
          </w:p>
        </w:tc>
        <w:tc>
          <w:tcPr>
            <w:tcW w:w="6882" w:type="dxa"/>
            <w:gridSpan w:val="2"/>
            <w:vAlign w:val="center"/>
          </w:tcPr>
          <w:p>
            <w:pPr>
              <w:spacing w:line="400" w:lineRule="exact"/>
              <w:jc w:val="center"/>
              <w:rPr>
                <w:rFonts w:ascii="宋体" w:hAnsi="宋体"/>
                <w:b/>
                <w:color w:val="auto"/>
                <w:kern w:val="0"/>
                <w:highlight w:val="none"/>
              </w:rPr>
            </w:pPr>
            <w:r>
              <w:rPr>
                <w:rFonts w:ascii="宋体" w:hAnsi="宋体"/>
                <w:b/>
                <w:color w:val="auto"/>
                <w:kern w:val="0"/>
                <w:highlight w:val="none"/>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pPr>
              <w:pStyle w:val="86"/>
              <w:spacing w:line="400" w:lineRule="exact"/>
              <w:ind w:firstLine="420"/>
              <w:rPr>
                <w:color w:val="auto"/>
                <w:sz w:val="21"/>
                <w:szCs w:val="21"/>
                <w:highlight w:val="none"/>
              </w:rPr>
            </w:pPr>
            <w:r>
              <w:rPr>
                <w:color w:val="auto"/>
                <w:sz w:val="21"/>
                <w:szCs w:val="21"/>
                <w:highlight w:val="none"/>
              </w:rPr>
              <w:t>1</w:t>
            </w:r>
          </w:p>
        </w:tc>
        <w:tc>
          <w:tcPr>
            <w:tcW w:w="1560" w:type="dxa"/>
            <w:tcBorders>
              <w:left w:val="single" w:color="auto" w:sz="4" w:space="0"/>
            </w:tcBorders>
            <w:vAlign w:val="center"/>
          </w:tcPr>
          <w:p>
            <w:pPr>
              <w:pStyle w:val="86"/>
              <w:spacing w:line="400" w:lineRule="exact"/>
              <w:ind w:firstLine="0" w:firstLineChars="0"/>
              <w:jc w:val="center"/>
              <w:rPr>
                <w:color w:val="auto"/>
                <w:sz w:val="21"/>
                <w:szCs w:val="21"/>
                <w:highlight w:val="none"/>
              </w:rPr>
            </w:pPr>
            <w:r>
              <w:rPr>
                <w:rFonts w:hint="eastAsia"/>
                <w:color w:val="auto"/>
                <w:sz w:val="21"/>
                <w:szCs w:val="21"/>
                <w:highlight w:val="none"/>
              </w:rPr>
              <w:t>评标办法</w:t>
            </w:r>
          </w:p>
        </w:tc>
        <w:tc>
          <w:tcPr>
            <w:tcW w:w="6882" w:type="dxa"/>
            <w:gridSpan w:val="2"/>
            <w:vAlign w:val="center"/>
          </w:tcPr>
          <w:p>
            <w:pPr>
              <w:spacing w:line="400" w:lineRule="exact"/>
              <w:ind w:firstLine="436" w:firstLineChars="200"/>
              <w:rPr>
                <w:rFonts w:ascii="宋体" w:hAnsi="宋体"/>
                <w:color w:val="auto"/>
                <w:spacing w:val="4"/>
                <w:kern w:val="0"/>
                <w:szCs w:val="21"/>
                <w:highlight w:val="none"/>
              </w:rPr>
            </w:pPr>
            <w:r>
              <w:rPr>
                <w:rFonts w:hint="eastAsia" w:ascii="宋体" w:hAnsi="宋体"/>
                <w:color w:val="auto"/>
                <w:spacing w:val="4"/>
                <w:kern w:val="0"/>
                <w:szCs w:val="21"/>
                <w:highlight w:val="none"/>
              </w:rPr>
              <w:t>本次评标采用经评审的最低投标价法，评标委员会按照本章第2.1款进行报价排序，按照本章第2.2款进行符合性审查，符合性审查合格的投标人中按报价由低到高推荐中标候选人，或根据招标人授权直接确定中标人。</w:t>
            </w:r>
            <w:r>
              <w:rPr>
                <w:rFonts w:hint="eastAsia" w:ascii="宋体" w:hAnsi="宋体"/>
                <w:b/>
                <w:bCs/>
                <w:color w:val="auto"/>
                <w:spacing w:val="4"/>
                <w:kern w:val="0"/>
                <w:szCs w:val="21"/>
                <w:highlight w:val="none"/>
              </w:rPr>
              <w:t>若出现投标人投标报价相同的，由评标委员会按照</w:t>
            </w:r>
            <w:r>
              <w:rPr>
                <w:rFonts w:hint="eastAsia" w:ascii="宋体" w:hAnsi="宋体"/>
                <w:b/>
                <w:bCs/>
                <w:color w:val="auto"/>
                <w:spacing w:val="4"/>
                <w:kern w:val="0"/>
                <w:szCs w:val="21"/>
                <w:highlight w:val="none"/>
                <w:u w:val="single"/>
                <w:lang w:val="en-US" w:eastAsia="zh-CN"/>
              </w:rPr>
              <w:t>业绩金额高到低</w:t>
            </w:r>
            <w:r>
              <w:rPr>
                <w:rFonts w:hint="eastAsia" w:ascii="宋体" w:hAnsi="宋体"/>
                <w:b/>
                <w:bCs/>
                <w:color w:val="auto"/>
                <w:spacing w:val="4"/>
                <w:kern w:val="0"/>
                <w:szCs w:val="21"/>
                <w:highlight w:val="none"/>
              </w:rPr>
              <w:t>原则排序。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243" w:type="dxa"/>
            <w:tcBorders>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2.1</w:t>
            </w:r>
          </w:p>
        </w:tc>
        <w:tc>
          <w:tcPr>
            <w:tcW w:w="1560" w:type="dxa"/>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r>
              <w:rPr>
                <w:rFonts w:ascii="宋体" w:hAnsi="宋体"/>
                <w:color w:val="auto"/>
                <w:kern w:val="0"/>
                <w:highlight w:val="none"/>
              </w:rPr>
              <w:t>报价</w:t>
            </w:r>
            <w:r>
              <w:rPr>
                <w:rFonts w:hint="eastAsia" w:ascii="宋体" w:hAnsi="宋体"/>
                <w:color w:val="auto"/>
                <w:kern w:val="0"/>
                <w:highlight w:val="none"/>
              </w:rPr>
              <w:t>排序</w:t>
            </w:r>
          </w:p>
        </w:tc>
        <w:tc>
          <w:tcPr>
            <w:tcW w:w="6882" w:type="dxa"/>
            <w:gridSpan w:val="2"/>
            <w:tcBorders>
              <w:left w:val="single" w:color="auto" w:sz="4" w:space="0"/>
            </w:tcBorders>
            <w:vAlign w:val="center"/>
          </w:tcPr>
          <w:p>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对报价不高于最高限价的所有投标人的投标文件，按照报价由低到高的顺序排列。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2.2</w:t>
            </w:r>
          </w:p>
        </w:tc>
        <w:tc>
          <w:tcPr>
            <w:tcW w:w="1560" w:type="dxa"/>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符合性审查</w:t>
            </w:r>
          </w:p>
        </w:tc>
        <w:tc>
          <w:tcPr>
            <w:tcW w:w="6882" w:type="dxa"/>
            <w:gridSpan w:val="2"/>
            <w:tcBorders>
              <w:left w:val="single" w:color="auto" w:sz="4" w:space="0"/>
            </w:tcBorders>
            <w:vAlign w:val="center"/>
          </w:tcPr>
          <w:p>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取报价排序前</w:t>
            </w:r>
            <w:r>
              <w:rPr>
                <w:rFonts w:hint="eastAsia" w:ascii="宋体" w:hAnsi="宋体"/>
                <w:color w:val="auto"/>
                <w:kern w:val="0"/>
                <w:highlight w:val="none"/>
                <w:lang w:eastAsia="zh-CN"/>
              </w:rPr>
              <w:t>☑</w:t>
            </w:r>
            <w:r>
              <w:rPr>
                <w:rFonts w:hint="eastAsia" w:ascii="宋体" w:hAnsi="宋体"/>
                <w:color w:val="auto"/>
                <w:kern w:val="0"/>
                <w:highlight w:val="none"/>
              </w:rPr>
              <w:t>5□6□7名（若实际投标人数量小于勾选数量，</w:t>
            </w:r>
            <w:r>
              <w:rPr>
                <w:rFonts w:hint="eastAsia" w:ascii="宋体" w:hAnsi="宋体"/>
                <w:color w:val="auto"/>
                <w:spacing w:val="4"/>
                <w:kern w:val="0"/>
                <w:szCs w:val="21"/>
                <w:highlight w:val="none"/>
              </w:rPr>
              <w:t>则全部纳入）进行符合性审查。符合性审查内容：</w:t>
            </w:r>
            <w:r>
              <w:rPr>
                <w:rFonts w:hint="eastAsia" w:ascii="宋体" w:hAnsi="宋体"/>
                <w:color w:val="auto"/>
                <w:spacing w:val="4"/>
                <w:kern w:val="0"/>
                <w:szCs w:val="21"/>
                <w:highlight w:val="none"/>
                <w:lang w:eastAsia="zh-CN"/>
              </w:rPr>
              <w:t>□</w:t>
            </w:r>
            <w:r>
              <w:rPr>
                <w:rFonts w:hint="eastAsia" w:ascii="宋体" w:hAnsi="宋体"/>
                <w:color w:val="auto"/>
                <w:spacing w:val="4"/>
                <w:kern w:val="0"/>
                <w:szCs w:val="21"/>
                <w:highlight w:val="none"/>
              </w:rPr>
              <w:t>技术方案评审、资格评审、形式评审、响应性评审。符合性审查</w:t>
            </w:r>
            <w:r>
              <w:rPr>
                <w:rFonts w:hint="eastAsia" w:ascii="宋体" w:hAnsi="宋体"/>
                <w:color w:val="auto"/>
                <w:kern w:val="0"/>
                <w:highlight w:val="none"/>
              </w:rPr>
              <w:t>合格的投标人中，报价最低的成为第一中标候选人，报价次低的成为第二中标候选人，依次类推。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restart"/>
            <w:tcBorders>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2.2.2</w:t>
            </w:r>
          </w:p>
        </w:tc>
        <w:tc>
          <w:tcPr>
            <w:tcW w:w="1560" w:type="dxa"/>
            <w:vMerge w:val="restart"/>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资格评审标准</w:t>
            </w: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资质条件</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营业执照</w:t>
            </w:r>
          </w:p>
        </w:tc>
        <w:tc>
          <w:tcPr>
            <w:tcW w:w="4615" w:type="dxa"/>
            <w:tcBorders>
              <w:top w:val="single" w:color="auto" w:sz="4" w:space="0"/>
              <w:left w:val="single" w:color="auto" w:sz="4" w:space="0"/>
            </w:tcBorders>
            <w:vAlign w:val="center"/>
          </w:tcPr>
          <w:p>
            <w:pPr>
              <w:snapToGrid w:val="0"/>
              <w:spacing w:after="78" w:afterLines="25"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安全生产条件</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after="78" w:afterLines="25" w:line="400" w:lineRule="exact"/>
              <w:jc w:val="left"/>
              <w:rPr>
                <w:rFonts w:ascii="宋体" w:hAnsi="宋体" w:cs="宋体"/>
                <w:color w:val="auto"/>
                <w:kern w:val="0"/>
                <w:highlight w:val="none"/>
              </w:rPr>
            </w:pPr>
            <w:r>
              <w:rPr>
                <w:rFonts w:hint="eastAsia" w:ascii="宋体" w:hAnsi="宋体" w:cs="宋体"/>
                <w:color w:val="auto"/>
                <w:kern w:val="0"/>
                <w:highlight w:val="none"/>
              </w:rPr>
              <w:t>业绩要求</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after="78" w:afterLines="25" w:line="400" w:lineRule="exact"/>
              <w:jc w:val="left"/>
              <w:rPr>
                <w:rFonts w:ascii="宋体" w:hAnsi="宋体" w:cs="宋体"/>
                <w:color w:val="auto"/>
                <w:kern w:val="0"/>
                <w:highlight w:val="none"/>
              </w:rPr>
            </w:pPr>
            <w:r>
              <w:rPr>
                <w:rFonts w:hint="eastAsia" w:ascii="宋体" w:hAnsi="宋体" w:cs="宋体"/>
                <w:color w:val="auto"/>
                <w:szCs w:val="21"/>
                <w:highlight w:val="none"/>
              </w:rPr>
              <w:t>投标截止日投标资格情况</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其他要求</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highlight w:val="none"/>
                <w:u w:val="single"/>
              </w:rPr>
            </w:pPr>
            <w:r>
              <w:rPr>
                <w:rFonts w:hint="eastAsia" w:ascii="宋体" w:hAnsi="宋体" w:cs="宋体"/>
                <w:color w:val="auto"/>
                <w:kern w:val="0"/>
                <w:highlight w:val="none"/>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vAlign w:val="center"/>
          </w:tcPr>
          <w:p>
            <w:pPr>
              <w:spacing w:line="400" w:lineRule="exact"/>
              <w:jc w:val="center"/>
              <w:rPr>
                <w:rFonts w:ascii="宋体" w:hAnsi="宋体"/>
                <w:color w:val="auto"/>
                <w:kern w:val="0"/>
                <w:highlight w:val="none"/>
              </w:rPr>
            </w:pPr>
            <w:r>
              <w:rPr>
                <w:rFonts w:ascii="宋体" w:hAnsi="宋体"/>
                <w:color w:val="auto"/>
                <w:kern w:val="0"/>
                <w:highlight w:val="none"/>
              </w:rPr>
              <w:t>2.</w:t>
            </w:r>
            <w:r>
              <w:rPr>
                <w:rFonts w:hint="eastAsia" w:ascii="宋体" w:hAnsi="宋体"/>
                <w:color w:val="auto"/>
                <w:kern w:val="0"/>
                <w:highlight w:val="none"/>
              </w:rPr>
              <w:t>2</w:t>
            </w:r>
            <w:r>
              <w:rPr>
                <w:rFonts w:ascii="宋体" w:hAnsi="宋体"/>
                <w:color w:val="auto"/>
                <w:kern w:val="0"/>
                <w:highlight w:val="none"/>
              </w:rPr>
              <w:t>.</w:t>
            </w:r>
            <w:r>
              <w:rPr>
                <w:rFonts w:hint="eastAsia" w:ascii="宋体" w:hAnsi="宋体"/>
                <w:color w:val="auto"/>
                <w:kern w:val="0"/>
                <w:highlight w:val="none"/>
              </w:rPr>
              <w:t>3</w:t>
            </w:r>
          </w:p>
        </w:tc>
        <w:tc>
          <w:tcPr>
            <w:tcW w:w="1560" w:type="dxa"/>
            <w:vMerge w:val="restart"/>
            <w:tcBorders>
              <w:lef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形式评审标准</w:t>
            </w: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投标人名称</w:t>
            </w:r>
          </w:p>
        </w:tc>
        <w:tc>
          <w:tcPr>
            <w:tcW w:w="4615" w:type="dxa"/>
            <w:tcBorders>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与营业执照、资质证书、安全生产许可证一致，依法变更名称的应提交相应证明材料。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投标函签名盖章</w:t>
            </w:r>
          </w:p>
        </w:tc>
        <w:tc>
          <w:tcPr>
            <w:tcW w:w="4615" w:type="dxa"/>
            <w:tcBorders>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投标函格式规定签名、盖章的位置有法定代表人或其委托代理人签名（或盖章）、加盖单位法人章。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投标文件格式</w:t>
            </w:r>
          </w:p>
        </w:tc>
        <w:tc>
          <w:tcPr>
            <w:tcW w:w="4615" w:type="dxa"/>
            <w:tcBorders>
              <w:left w:val="single" w:color="auto" w:sz="4" w:space="0"/>
            </w:tcBorders>
            <w:vAlign w:val="center"/>
          </w:tcPr>
          <w:p>
            <w:pPr>
              <w:snapToGrid w:val="0"/>
              <w:spacing w:line="400" w:lineRule="exact"/>
              <w:ind w:firstLine="380" w:firstLineChars="181"/>
              <w:rPr>
                <w:rFonts w:ascii="宋体" w:hAnsi="宋体" w:cs="宋体"/>
                <w:color w:val="auto"/>
                <w:kern w:val="0"/>
                <w:highlight w:val="none"/>
              </w:rPr>
            </w:pPr>
            <w:r>
              <w:rPr>
                <w:rFonts w:hint="eastAsia" w:ascii="宋体" w:hAnsi="宋体" w:cs="宋体"/>
                <w:color w:val="auto"/>
                <w:kern w:val="0"/>
                <w:highlight w:val="none"/>
              </w:rPr>
              <w:t>符合第二章“投标人须知”第3.7款的要求。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投标文件份数</w:t>
            </w:r>
          </w:p>
        </w:tc>
        <w:tc>
          <w:tcPr>
            <w:tcW w:w="4615" w:type="dxa"/>
            <w:tcBorders>
              <w:left w:val="single" w:color="auto" w:sz="4" w:space="0"/>
            </w:tcBorders>
            <w:vAlign w:val="center"/>
          </w:tcPr>
          <w:p>
            <w:pPr>
              <w:snapToGrid w:val="0"/>
              <w:spacing w:line="400" w:lineRule="exact"/>
              <w:ind w:firstLine="380" w:firstLineChars="181"/>
              <w:rPr>
                <w:rFonts w:ascii="宋体" w:hAnsi="宋体" w:cs="宋体"/>
                <w:color w:val="auto"/>
                <w:kern w:val="0"/>
                <w:highlight w:val="none"/>
              </w:rPr>
            </w:pPr>
            <w:r>
              <w:rPr>
                <w:rFonts w:hint="eastAsia" w:ascii="宋体" w:hAnsi="宋体" w:cs="宋体"/>
                <w:color w:val="auto"/>
                <w:kern w:val="0"/>
                <w:highlight w:val="none"/>
              </w:rPr>
              <w:t>符合第二章“投标人须知”第3.7.4项规定。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报价唯一</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只能有一个有效报价。在招标文件没有规定的情况下，不得提交选择性报价。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投标文件的签署</w:t>
            </w:r>
          </w:p>
        </w:tc>
        <w:tc>
          <w:tcPr>
            <w:tcW w:w="4615" w:type="dxa"/>
            <w:tcBorders>
              <w:left w:val="single" w:color="auto" w:sz="4" w:space="0"/>
            </w:tcBorders>
            <w:vAlign w:val="center"/>
          </w:tcPr>
          <w:p>
            <w:pPr>
              <w:autoSpaceDE w:val="0"/>
              <w:autoSpaceDN w:val="0"/>
              <w:adjustRightInd w:val="0"/>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第八章 投标文件格式要求法定代表人或其委托代理人签名（或盖章）的须齐全。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委托代理人</w:t>
            </w:r>
          </w:p>
        </w:tc>
        <w:tc>
          <w:tcPr>
            <w:tcW w:w="4615" w:type="dxa"/>
            <w:tcBorders>
              <w:left w:val="single" w:color="auto" w:sz="4" w:space="0"/>
            </w:tcBorders>
            <w:vAlign w:val="center"/>
          </w:tcPr>
          <w:p>
            <w:pPr>
              <w:snapToGrid w:val="0"/>
              <w:spacing w:after="78" w:afterLines="25"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投标人法定代表人的委托代理人有法定代表人签署的授权委托书和投标人为其缴纳的养老保险。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2.2.4</w:t>
            </w:r>
          </w:p>
        </w:tc>
        <w:tc>
          <w:tcPr>
            <w:tcW w:w="1560" w:type="dxa"/>
            <w:vMerge w:val="restart"/>
            <w:tcBorders>
              <w:lef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响应性评审标准</w:t>
            </w: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投标总报价</w:t>
            </w:r>
          </w:p>
        </w:tc>
        <w:tc>
          <w:tcPr>
            <w:tcW w:w="4615" w:type="dxa"/>
            <w:tcBorders>
              <w:left w:val="single" w:color="auto" w:sz="4" w:space="0"/>
            </w:tcBorders>
            <w:vAlign w:val="center"/>
          </w:tcPr>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1.投标总报价必须与已标价工程量清单总报价一致。</w:t>
            </w:r>
          </w:p>
          <w:p>
            <w:pPr>
              <w:snapToGrid w:val="0"/>
              <w:spacing w:line="40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投标总报价不得高于招标人公布的投标总报价最高限价。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暂定金额</w:t>
            </w:r>
          </w:p>
        </w:tc>
        <w:tc>
          <w:tcPr>
            <w:tcW w:w="4615" w:type="dxa"/>
            <w:tcBorders>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暂列金额、暂估价、安全文明施工费等暂定金额必须按照招标文件给定的金额填报。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投标内容</w:t>
            </w:r>
          </w:p>
        </w:tc>
        <w:tc>
          <w:tcPr>
            <w:tcW w:w="4615" w:type="dxa"/>
            <w:tcBorders>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工期</w:t>
            </w:r>
          </w:p>
        </w:tc>
        <w:tc>
          <w:tcPr>
            <w:tcW w:w="4615" w:type="dxa"/>
            <w:tcBorders>
              <w:left w:val="single" w:color="auto" w:sz="4" w:space="0"/>
            </w:tcBorders>
            <w:vAlign w:val="center"/>
          </w:tcPr>
          <w:p>
            <w:pPr>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符合第二章“投标人须知”第1.3.2项规定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工程质量</w:t>
            </w:r>
          </w:p>
        </w:tc>
        <w:tc>
          <w:tcPr>
            <w:tcW w:w="4615" w:type="dxa"/>
            <w:tcBorders>
              <w:left w:val="single" w:color="auto" w:sz="4" w:space="0"/>
            </w:tcBorders>
            <w:vAlign w:val="center"/>
          </w:tcPr>
          <w:p>
            <w:pPr>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符合第二章“投标人须知”第1.3.3项规定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投标有效期</w:t>
            </w:r>
          </w:p>
        </w:tc>
        <w:tc>
          <w:tcPr>
            <w:tcW w:w="4615" w:type="dxa"/>
            <w:tcBorders>
              <w:left w:val="single" w:color="auto" w:sz="4" w:space="0"/>
            </w:tcBorders>
            <w:vAlign w:val="center"/>
          </w:tcPr>
          <w:p>
            <w:pPr>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符合第二章“投标人须知”第3.3.1项规定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投标保证金</w:t>
            </w:r>
          </w:p>
        </w:tc>
        <w:tc>
          <w:tcPr>
            <w:tcW w:w="4615" w:type="dxa"/>
            <w:tcBorders>
              <w:left w:val="single" w:color="auto" w:sz="4" w:space="0"/>
            </w:tcBorders>
            <w:vAlign w:val="center"/>
          </w:tcPr>
          <w:p>
            <w:pPr>
              <w:tabs>
                <w:tab w:val="left" w:pos="611"/>
                <w:tab w:val="left" w:pos="669"/>
              </w:tabs>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符合第二章“投标人须知前附表”第3.4项规定。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权利义务</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符合第四章“合同条款及格式”规定，投标文件不应附有招标人不能接受的条件。（由投标人承诺，承诺书格式详见第八章投标文件格式。）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技术标准和要求</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符合第七章“技术标准和要求”规定。（由投标人承诺，承诺书格式详见第八章投标文件格式。）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已标价工程量清单</w:t>
            </w:r>
          </w:p>
        </w:tc>
        <w:tc>
          <w:tcPr>
            <w:tcW w:w="4615" w:type="dxa"/>
            <w:tcBorders>
              <w:left w:val="single" w:color="auto" w:sz="4" w:space="0"/>
            </w:tcBorders>
            <w:vAlign w:val="center"/>
          </w:tcPr>
          <w:p>
            <w:pPr>
              <w:spacing w:after="62" w:afterLines="2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投标人承诺满足以下内容：</w:t>
            </w:r>
          </w:p>
          <w:p>
            <w:pPr>
              <w:spacing w:after="62" w:afterLines="2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1.符合第五章“工程量清单”给出的范围及数量。</w:t>
            </w:r>
          </w:p>
          <w:p>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2.招标文件中规定工程量清单不允许修改的内容不得修改。</w:t>
            </w:r>
          </w:p>
          <w:p>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3.每项工程量清单综合单价报价不得高于对应工程量清单综合单价最高限价。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投标报价算术错误修正</w:t>
            </w:r>
          </w:p>
        </w:tc>
        <w:tc>
          <w:tcPr>
            <w:tcW w:w="4615" w:type="dxa"/>
            <w:tcBorders>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符合第三章3.评标程序第3.2.3项规定。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实质性要求</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符合第二章“投标人须知”第1.4.3项规定。</w:t>
            </w:r>
          </w:p>
          <w:p>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本次投标不得有串通投标、弄虚作假等其他违反招投标相关法律、法规行为。</w:t>
            </w:r>
          </w:p>
          <w:p>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按评标委员会要求澄清、说明或补正。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pPr>
              <w:spacing w:line="400" w:lineRule="exact"/>
              <w:jc w:val="center"/>
              <w:rPr>
                <w:rFonts w:ascii="宋体" w:hAnsi="宋体"/>
                <w:color w:val="auto"/>
                <w:highlight w:val="none"/>
              </w:rPr>
            </w:pPr>
            <w:r>
              <w:rPr>
                <w:rFonts w:ascii="宋体" w:hAnsi="宋体"/>
                <w:color w:val="auto"/>
                <w:highlight w:val="none"/>
              </w:rPr>
              <w:t>3</w:t>
            </w:r>
          </w:p>
        </w:tc>
        <w:tc>
          <w:tcPr>
            <w:tcW w:w="1560" w:type="dxa"/>
            <w:tcBorders>
              <w:left w:val="single" w:color="auto" w:sz="4" w:space="0"/>
              <w:right w:val="single" w:color="auto" w:sz="4" w:space="0"/>
            </w:tcBorders>
            <w:vAlign w:val="center"/>
          </w:tcPr>
          <w:p>
            <w:pPr>
              <w:spacing w:line="400" w:lineRule="exact"/>
              <w:jc w:val="center"/>
              <w:rPr>
                <w:rFonts w:ascii="宋体" w:hAnsi="宋体"/>
                <w:color w:val="auto"/>
                <w:highlight w:val="none"/>
              </w:rPr>
            </w:pPr>
            <w:r>
              <w:rPr>
                <w:rFonts w:hint="eastAsia" w:ascii="宋体" w:hAnsi="宋体"/>
                <w:color w:val="auto"/>
                <w:highlight w:val="none"/>
              </w:rPr>
              <w:t>评标程序</w:t>
            </w:r>
          </w:p>
        </w:tc>
        <w:tc>
          <w:tcPr>
            <w:tcW w:w="6882" w:type="dxa"/>
            <w:gridSpan w:val="2"/>
            <w:tcBorders>
              <w:left w:val="single" w:color="auto" w:sz="4" w:space="0"/>
            </w:tcBorders>
            <w:vAlign w:val="center"/>
          </w:tcPr>
          <w:p>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1.对报价不高于最高限价的所有投标人的投标文件，按照报价由低到高的顺序排序。</w:t>
            </w:r>
          </w:p>
          <w:p>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2.根据本章第2.2款约定进行符合性审查</w:t>
            </w:r>
            <w:r>
              <w:rPr>
                <w:rFonts w:hint="eastAsia" w:ascii="宋体" w:hAnsi="宋体"/>
                <w:color w:val="auto"/>
                <w:spacing w:val="4"/>
                <w:kern w:val="0"/>
                <w:szCs w:val="21"/>
                <w:highlight w:val="none"/>
              </w:rPr>
              <w:t>。符合性审查</w:t>
            </w:r>
            <w:r>
              <w:rPr>
                <w:rFonts w:hint="eastAsia" w:ascii="宋体" w:hAnsi="宋体"/>
                <w:color w:val="auto"/>
                <w:kern w:val="0"/>
                <w:szCs w:val="21"/>
                <w:highlight w:val="none"/>
              </w:rPr>
              <w:t>合格的投标人中，报价最低的成为第一中标候选人，报价次低的成为第二中标候选人，依次类推。</w:t>
            </w:r>
          </w:p>
          <w:p>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w:t>
            </w:r>
            <w:r>
              <w:rPr>
                <w:rFonts w:hint="eastAsia" w:ascii="宋体" w:hAnsi="宋体"/>
                <w:color w:val="auto"/>
                <w:spacing w:val="4"/>
                <w:kern w:val="0"/>
                <w:szCs w:val="21"/>
                <w:highlight w:val="none"/>
              </w:rPr>
              <w:t>若上述程序未能评出三名中标候选人</w:t>
            </w:r>
            <w:r>
              <w:rPr>
                <w:rFonts w:hint="eastAsia" w:ascii="宋体" w:hAnsi="宋体"/>
                <w:color w:val="auto"/>
                <w:kern w:val="0"/>
                <w:szCs w:val="21"/>
                <w:highlight w:val="none"/>
              </w:rPr>
              <w:t>，则评标委员会对剩余投标文件继续按上述第2条进行评审，直至评出三名中标候选人，或者评审完所有投标文件。</w:t>
            </w:r>
          </w:p>
          <w:p>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w:t>
            </w:r>
            <w:r>
              <w:rPr>
                <w:rFonts w:hint="eastAsia"/>
                <w:color w:val="auto"/>
                <w:highlight w:val="none"/>
              </w:rPr>
              <w:t xml:space="preserve"> </w:t>
            </w:r>
            <w:r>
              <w:rPr>
                <w:rFonts w:hint="eastAsia" w:ascii="宋体" w:hAnsi="宋体"/>
                <w:color w:val="auto"/>
                <w:kern w:val="0"/>
                <w:szCs w:val="21"/>
                <w:highlight w:val="none"/>
              </w:rPr>
              <w:t>因评标委员会作否决投标处理，导致有效投标人不足三个的，评标委员会应当否决所有投标。但是有效投标人的经济、技术等指标仍然具有市场竞争力，并满足招标文件要求的，评标委员会可以继续评标并确定中标候选人。</w:t>
            </w:r>
          </w:p>
          <w:p>
            <w:pPr>
              <w:spacing w:after="31" w:afterLines="10" w:line="400" w:lineRule="exact"/>
              <w:ind w:firstLine="422" w:firstLineChars="200"/>
              <w:jc w:val="left"/>
              <w:rPr>
                <w:rFonts w:ascii="宋体" w:hAnsi="宋体"/>
                <w:color w:val="auto"/>
                <w:kern w:val="0"/>
                <w:szCs w:val="21"/>
                <w:highlight w:val="none"/>
              </w:rPr>
            </w:pPr>
            <w:r>
              <w:rPr>
                <w:rFonts w:hint="eastAsia" w:ascii="宋体" w:hAnsi="宋体"/>
                <w:b/>
                <w:bCs/>
                <w:color w:val="auto"/>
                <w:kern w:val="0"/>
                <w:szCs w:val="21"/>
                <w:highlight w:val="none"/>
              </w:rPr>
              <w:t>注：</w:t>
            </w:r>
            <w:r>
              <w:rPr>
                <w:rFonts w:hint="eastAsia" w:ascii="宋体" w:hAnsi="宋体"/>
                <w:b/>
                <w:bCs/>
                <w:color w:val="auto"/>
                <w:spacing w:val="4"/>
                <w:kern w:val="0"/>
                <w:szCs w:val="21"/>
                <w:highlight w:val="none"/>
              </w:rPr>
              <w:t>若出现投标人投标报价相同的，由评标委员会按照</w:t>
            </w:r>
            <w:r>
              <w:rPr>
                <w:rFonts w:hint="eastAsia" w:ascii="宋体" w:hAnsi="宋体"/>
                <w:b/>
                <w:bCs/>
                <w:color w:val="auto"/>
                <w:spacing w:val="4"/>
                <w:kern w:val="0"/>
                <w:szCs w:val="21"/>
                <w:highlight w:val="none"/>
                <w:u w:val="single"/>
                <w:lang w:val="en-US" w:eastAsia="zh-CN"/>
              </w:rPr>
              <w:t>业绩金额高到低</w:t>
            </w:r>
            <w:r>
              <w:rPr>
                <w:rFonts w:hint="eastAsia" w:ascii="宋体" w:hAnsi="宋体"/>
                <w:b/>
                <w:bCs/>
                <w:color w:val="auto"/>
                <w:spacing w:val="4"/>
                <w:kern w:val="0"/>
                <w:szCs w:val="21"/>
                <w:highlight w:val="none"/>
              </w:rPr>
              <w:t>原则排序</w:t>
            </w:r>
            <w:r>
              <w:rPr>
                <w:rFonts w:hint="eastAsia" w:ascii="宋体" w:hAnsi="宋体"/>
                <w:color w:val="auto"/>
                <w:spacing w:val="4"/>
                <w:kern w:val="0"/>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pPr>
              <w:spacing w:line="400" w:lineRule="exact"/>
              <w:jc w:val="center"/>
              <w:rPr>
                <w:rFonts w:ascii="宋体" w:hAnsi="宋体"/>
                <w:color w:val="auto"/>
                <w:highlight w:val="none"/>
              </w:rPr>
            </w:pPr>
            <w:r>
              <w:rPr>
                <w:rFonts w:hint="eastAsia" w:ascii="宋体" w:hAnsi="宋体"/>
                <w:color w:val="auto"/>
                <w:highlight w:val="none"/>
              </w:rPr>
              <w:t>3.4</w:t>
            </w:r>
          </w:p>
        </w:tc>
        <w:tc>
          <w:tcPr>
            <w:tcW w:w="1560" w:type="dxa"/>
            <w:tcBorders>
              <w:left w:val="single" w:color="auto" w:sz="4" w:space="0"/>
              <w:right w:val="single" w:color="auto" w:sz="4" w:space="0"/>
            </w:tcBorders>
            <w:vAlign w:val="center"/>
          </w:tcPr>
          <w:p>
            <w:pPr>
              <w:spacing w:line="400" w:lineRule="exact"/>
              <w:jc w:val="center"/>
              <w:rPr>
                <w:rFonts w:ascii="宋体" w:hAnsi="宋体"/>
                <w:color w:val="auto"/>
                <w:highlight w:val="none"/>
              </w:rPr>
            </w:pPr>
            <w:r>
              <w:rPr>
                <w:rFonts w:ascii="宋体" w:hAnsi="宋体"/>
                <w:color w:val="auto"/>
                <w:highlight w:val="none"/>
              </w:rPr>
              <w:t>评标结果</w:t>
            </w:r>
          </w:p>
        </w:tc>
        <w:tc>
          <w:tcPr>
            <w:tcW w:w="6882" w:type="dxa"/>
            <w:gridSpan w:val="2"/>
            <w:tcBorders>
              <w:left w:val="single" w:color="auto" w:sz="4" w:space="0"/>
            </w:tcBorders>
            <w:vAlign w:val="center"/>
          </w:tcPr>
          <w:p>
            <w:pPr>
              <w:autoSpaceDE w:val="0"/>
              <w:autoSpaceDN w:val="0"/>
              <w:adjustRightInd w:val="0"/>
              <w:snapToGrid w:val="0"/>
              <w:spacing w:line="400" w:lineRule="exact"/>
              <w:ind w:firstLine="420"/>
              <w:jc w:val="left"/>
              <w:rPr>
                <w:rFonts w:ascii="宋体" w:hAnsi="宋体"/>
                <w:color w:val="auto"/>
                <w:kern w:val="0"/>
                <w:szCs w:val="21"/>
                <w:highlight w:val="none"/>
              </w:rPr>
            </w:pPr>
            <w:r>
              <w:rPr>
                <w:rFonts w:ascii="宋体" w:hAnsi="宋体"/>
                <w:color w:val="auto"/>
                <w:kern w:val="0"/>
                <w:szCs w:val="21"/>
                <w:highlight w:val="none"/>
              </w:rPr>
              <w:t>3.</w:t>
            </w:r>
            <w:r>
              <w:rPr>
                <w:rFonts w:ascii="宋体" w:hAnsi="宋体"/>
                <w:color w:val="auto"/>
                <w:spacing w:val="-1"/>
                <w:kern w:val="0"/>
                <w:szCs w:val="21"/>
                <w:highlight w:val="none"/>
              </w:rPr>
              <w:t>4</w:t>
            </w:r>
            <w:r>
              <w:rPr>
                <w:rFonts w:ascii="宋体" w:hAnsi="宋体"/>
                <w:color w:val="auto"/>
                <w:kern w:val="0"/>
                <w:szCs w:val="21"/>
                <w:highlight w:val="none"/>
              </w:rPr>
              <w:t>.1</w:t>
            </w:r>
            <w:r>
              <w:rPr>
                <w:rFonts w:hint="eastAsia" w:ascii="宋体" w:hAnsi="宋体"/>
                <w:color w:val="auto"/>
                <w:kern w:val="0"/>
                <w:szCs w:val="21"/>
                <w:highlight w:val="none"/>
              </w:rPr>
              <w:t xml:space="preserve"> </w:t>
            </w:r>
            <w:r>
              <w:rPr>
                <w:rFonts w:ascii="宋体" w:hAnsi="宋体"/>
                <w:color w:val="auto"/>
                <w:kern w:val="0"/>
                <w:szCs w:val="21"/>
                <w:highlight w:val="none"/>
              </w:rPr>
              <w:t>除第二章“投标</w:t>
            </w:r>
            <w:r>
              <w:rPr>
                <w:rFonts w:ascii="宋体" w:hAnsi="宋体"/>
                <w:color w:val="auto"/>
                <w:spacing w:val="1"/>
                <w:kern w:val="0"/>
                <w:szCs w:val="21"/>
                <w:highlight w:val="none"/>
              </w:rPr>
              <w:t>人</w:t>
            </w:r>
            <w:r>
              <w:rPr>
                <w:rFonts w:ascii="宋体" w:hAnsi="宋体"/>
                <w:color w:val="auto"/>
                <w:kern w:val="0"/>
                <w:szCs w:val="21"/>
                <w:highlight w:val="none"/>
              </w:rPr>
              <w:t>须知”前</w:t>
            </w:r>
            <w:r>
              <w:rPr>
                <w:rFonts w:ascii="宋体" w:hAnsi="宋体"/>
                <w:color w:val="auto"/>
                <w:spacing w:val="1"/>
                <w:kern w:val="0"/>
                <w:szCs w:val="21"/>
                <w:highlight w:val="none"/>
              </w:rPr>
              <w:t>附</w:t>
            </w:r>
            <w:r>
              <w:rPr>
                <w:rFonts w:ascii="宋体" w:hAnsi="宋体"/>
                <w:color w:val="auto"/>
                <w:kern w:val="0"/>
                <w:szCs w:val="21"/>
                <w:highlight w:val="none"/>
              </w:rPr>
              <w:t>表授权直</w:t>
            </w:r>
            <w:r>
              <w:rPr>
                <w:rFonts w:ascii="宋体" w:hAnsi="宋体"/>
                <w:color w:val="auto"/>
                <w:spacing w:val="1"/>
                <w:kern w:val="0"/>
                <w:szCs w:val="21"/>
                <w:highlight w:val="none"/>
              </w:rPr>
              <w:t>接</w:t>
            </w:r>
            <w:r>
              <w:rPr>
                <w:rFonts w:ascii="宋体" w:hAnsi="宋体"/>
                <w:color w:val="auto"/>
                <w:kern w:val="0"/>
                <w:szCs w:val="21"/>
                <w:highlight w:val="none"/>
              </w:rPr>
              <w:t>确定中标</w:t>
            </w:r>
            <w:r>
              <w:rPr>
                <w:rFonts w:ascii="宋体" w:hAnsi="宋体"/>
                <w:color w:val="auto"/>
                <w:spacing w:val="1"/>
                <w:kern w:val="0"/>
                <w:szCs w:val="21"/>
                <w:highlight w:val="none"/>
              </w:rPr>
              <w:t>人</w:t>
            </w:r>
            <w:r>
              <w:rPr>
                <w:rFonts w:ascii="宋体" w:hAnsi="宋体"/>
                <w:color w:val="auto"/>
                <w:kern w:val="0"/>
                <w:szCs w:val="21"/>
                <w:highlight w:val="none"/>
              </w:rPr>
              <w:t>外，评标</w:t>
            </w:r>
            <w:r>
              <w:rPr>
                <w:rFonts w:ascii="宋体" w:hAnsi="宋体"/>
                <w:color w:val="auto"/>
                <w:spacing w:val="1"/>
                <w:kern w:val="0"/>
                <w:szCs w:val="21"/>
                <w:highlight w:val="none"/>
              </w:rPr>
              <w:t>委</w:t>
            </w:r>
            <w:r>
              <w:rPr>
                <w:rFonts w:ascii="宋体" w:hAnsi="宋体"/>
                <w:color w:val="auto"/>
                <w:kern w:val="0"/>
                <w:szCs w:val="21"/>
                <w:highlight w:val="none"/>
              </w:rPr>
              <w:t>员会</w:t>
            </w:r>
            <w:r>
              <w:rPr>
                <w:rFonts w:hint="eastAsia" w:ascii="宋体" w:hAnsi="宋体"/>
                <w:color w:val="auto"/>
                <w:kern w:val="0"/>
                <w:szCs w:val="21"/>
                <w:highlight w:val="none"/>
              </w:rPr>
              <w:t>按经评审的最低投标价法</w:t>
            </w:r>
            <w:r>
              <w:rPr>
                <w:rFonts w:ascii="宋体" w:hAnsi="宋体"/>
                <w:color w:val="auto"/>
                <w:kern w:val="0"/>
                <w:szCs w:val="21"/>
                <w:highlight w:val="none"/>
              </w:rPr>
              <w:t>推荐中标候选人。</w:t>
            </w:r>
          </w:p>
          <w:p>
            <w:pPr>
              <w:spacing w:line="400" w:lineRule="exact"/>
              <w:ind w:firstLine="424" w:firstLineChars="200"/>
              <w:rPr>
                <w:rFonts w:ascii="宋体" w:hAnsi="宋体"/>
                <w:color w:val="auto"/>
                <w:highlight w:val="none"/>
              </w:rPr>
            </w:pPr>
            <w:r>
              <w:rPr>
                <w:rFonts w:ascii="宋体" w:hAnsi="宋体"/>
                <w:color w:val="auto"/>
                <w:spacing w:val="1"/>
                <w:kern w:val="0"/>
                <w:szCs w:val="21"/>
                <w:highlight w:val="none"/>
              </w:rPr>
              <w:t>3</w:t>
            </w:r>
            <w:r>
              <w:rPr>
                <w:rFonts w:ascii="宋体" w:hAnsi="宋体"/>
                <w:color w:val="auto"/>
                <w:kern w:val="0"/>
                <w:szCs w:val="21"/>
                <w:highlight w:val="none"/>
              </w:rPr>
              <w:t>.4.2</w:t>
            </w:r>
            <w:r>
              <w:rPr>
                <w:rFonts w:hint="eastAsia" w:ascii="宋体" w:hAnsi="宋体"/>
                <w:color w:val="auto"/>
                <w:kern w:val="0"/>
                <w:szCs w:val="21"/>
                <w:highlight w:val="none"/>
              </w:rPr>
              <w:t xml:space="preserve"> </w:t>
            </w:r>
            <w:r>
              <w:rPr>
                <w:rFonts w:ascii="宋体" w:hAnsi="宋体"/>
                <w:color w:val="auto"/>
                <w:kern w:val="0"/>
                <w:szCs w:val="21"/>
                <w:highlight w:val="none"/>
              </w:rPr>
              <w:t>评标</w:t>
            </w:r>
            <w:r>
              <w:rPr>
                <w:rFonts w:ascii="宋体" w:hAnsi="宋体"/>
                <w:color w:val="auto"/>
                <w:spacing w:val="-1"/>
                <w:kern w:val="0"/>
                <w:szCs w:val="21"/>
                <w:highlight w:val="none"/>
              </w:rPr>
              <w:t>委</w:t>
            </w:r>
            <w:r>
              <w:rPr>
                <w:rFonts w:ascii="宋体" w:hAnsi="宋体"/>
                <w:color w:val="auto"/>
                <w:kern w:val="0"/>
                <w:szCs w:val="21"/>
                <w:highlight w:val="none"/>
              </w:rPr>
              <w:t>员会完成评标后，应当向招标人提交书面评标报告。</w:t>
            </w:r>
          </w:p>
        </w:tc>
      </w:tr>
    </w:tbl>
    <w:p>
      <w:pPr>
        <w:pStyle w:val="3"/>
        <w:spacing w:before="0" w:after="0" w:line="360" w:lineRule="auto"/>
        <w:rPr>
          <w:rFonts w:ascii="宋体" w:hAnsi="宋体"/>
          <w:bCs w:val="0"/>
          <w:snapToGrid w:val="0"/>
          <w:color w:val="auto"/>
          <w:highlight w:val="none"/>
        </w:rPr>
      </w:pPr>
      <w:r>
        <w:rPr>
          <w:rFonts w:ascii="宋体" w:hAnsi="宋体"/>
          <w:bCs w:val="0"/>
          <w:snapToGrid w:val="0"/>
          <w:color w:val="auto"/>
          <w:highlight w:val="none"/>
        </w:rPr>
        <w:br w:type="page"/>
      </w:r>
      <w:bookmarkStart w:id="571" w:name="_Toc27750"/>
      <w:bookmarkStart w:id="572" w:name="_Toc57905886"/>
      <w:r>
        <w:rPr>
          <w:rFonts w:ascii="宋体" w:hAnsi="宋体"/>
          <w:b w:val="0"/>
          <w:snapToGrid w:val="0"/>
          <w:color w:val="auto"/>
          <w:highlight w:val="none"/>
        </w:rPr>
        <w:t>1.  评标方法</w:t>
      </w:r>
      <w:bookmarkEnd w:id="571"/>
      <w:bookmarkEnd w:id="572"/>
    </w:p>
    <w:p>
      <w:pPr>
        <w:spacing w:line="360" w:lineRule="auto"/>
        <w:ind w:firstLine="420" w:firstLineChars="200"/>
        <w:rPr>
          <w:rFonts w:ascii="宋体" w:hAnsi="宋体"/>
          <w:color w:val="auto"/>
          <w:highlight w:val="none"/>
        </w:rPr>
      </w:pPr>
      <w:r>
        <w:rPr>
          <w:rFonts w:hint="eastAsia" w:ascii="宋体" w:hAnsi="宋体"/>
          <w:color w:val="auto"/>
          <w:highlight w:val="none"/>
        </w:rPr>
        <w:t>本次评标采用经评审的最低投标价法，评标委员会按照本章第2.1款进行报价排序，按照本章第2.2款进行符合性审查，符合性审查合格的投标人中按报价由低到高推荐中标候选人，或根据招标人授权直接确定中标人。若出现投标人投标报价相同的，以评标办法前附表约定的原则确定排序。</w:t>
      </w:r>
    </w:p>
    <w:p>
      <w:pPr>
        <w:pStyle w:val="3"/>
        <w:spacing w:before="0" w:after="0" w:line="360" w:lineRule="auto"/>
        <w:rPr>
          <w:rFonts w:ascii="宋体" w:hAnsi="宋体"/>
          <w:b w:val="0"/>
          <w:snapToGrid w:val="0"/>
          <w:color w:val="auto"/>
          <w:highlight w:val="none"/>
        </w:rPr>
      </w:pPr>
      <w:bookmarkStart w:id="573" w:name="_Toc20502"/>
      <w:bookmarkStart w:id="574" w:name="_Toc57905887"/>
      <w:r>
        <w:rPr>
          <w:rFonts w:ascii="宋体" w:hAnsi="宋体"/>
          <w:b w:val="0"/>
          <w:snapToGrid w:val="0"/>
          <w:color w:val="auto"/>
          <w:highlight w:val="none"/>
        </w:rPr>
        <w:t>2.  评审标准</w:t>
      </w:r>
      <w:bookmarkEnd w:id="573"/>
      <w:bookmarkEnd w:id="574"/>
    </w:p>
    <w:p>
      <w:pPr>
        <w:pStyle w:val="4"/>
        <w:spacing w:before="0" w:after="0" w:line="360" w:lineRule="auto"/>
        <w:rPr>
          <w:rFonts w:ascii="宋体" w:hAnsi="宋体" w:cs="宋体"/>
          <w:color w:val="auto"/>
          <w:sz w:val="21"/>
          <w:szCs w:val="21"/>
          <w:highlight w:val="none"/>
        </w:rPr>
      </w:pPr>
      <w:bookmarkStart w:id="575" w:name="_Toc3739"/>
      <w:bookmarkStart w:id="576" w:name="_Toc57905888"/>
      <w:r>
        <w:rPr>
          <w:rFonts w:ascii="宋体" w:hAnsi="宋体" w:cs="宋体"/>
          <w:color w:val="auto"/>
          <w:sz w:val="21"/>
          <w:szCs w:val="21"/>
          <w:highlight w:val="none"/>
        </w:rPr>
        <w:t>2.1</w:t>
      </w:r>
      <w:r>
        <w:rPr>
          <w:rFonts w:hint="eastAsia" w:ascii="宋体" w:hAnsi="宋体" w:cs="宋体"/>
          <w:color w:val="auto"/>
          <w:sz w:val="21"/>
          <w:szCs w:val="21"/>
          <w:highlight w:val="none"/>
        </w:rPr>
        <w:t>报价</w:t>
      </w:r>
      <w:r>
        <w:rPr>
          <w:rFonts w:ascii="宋体" w:hAnsi="宋体" w:cs="宋体"/>
          <w:color w:val="auto"/>
          <w:sz w:val="21"/>
          <w:szCs w:val="21"/>
          <w:highlight w:val="none"/>
        </w:rPr>
        <w:t>排序</w:t>
      </w:r>
      <w:bookmarkEnd w:id="575"/>
      <w:r>
        <w:rPr>
          <w:rFonts w:hint="eastAsia" w:ascii="宋体" w:hAnsi="宋体" w:cs="宋体"/>
          <w:color w:val="auto"/>
          <w:sz w:val="21"/>
          <w:szCs w:val="21"/>
          <w:highlight w:val="none"/>
        </w:rPr>
        <w:t>标准</w:t>
      </w:r>
      <w:bookmarkEnd w:id="576"/>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见评标办法前附表。</w:t>
      </w:r>
    </w:p>
    <w:p>
      <w:pPr>
        <w:pStyle w:val="4"/>
        <w:spacing w:before="0" w:after="0" w:line="360" w:lineRule="auto"/>
        <w:rPr>
          <w:rFonts w:ascii="宋体" w:hAnsi="宋体" w:cs="宋体"/>
          <w:color w:val="auto"/>
          <w:sz w:val="21"/>
          <w:szCs w:val="21"/>
          <w:highlight w:val="none"/>
        </w:rPr>
      </w:pPr>
      <w:bookmarkStart w:id="577" w:name="_Toc16832"/>
      <w:bookmarkStart w:id="578" w:name="_Toc57905889"/>
      <w:r>
        <w:rPr>
          <w:rFonts w:ascii="宋体" w:hAnsi="宋体" w:cs="宋体"/>
          <w:color w:val="auto"/>
          <w:sz w:val="21"/>
          <w:szCs w:val="21"/>
          <w:highlight w:val="none"/>
        </w:rPr>
        <w:t>2.</w:t>
      </w:r>
      <w:r>
        <w:rPr>
          <w:rFonts w:hint="eastAsia" w:ascii="宋体" w:hAnsi="宋体" w:cs="宋体"/>
          <w:color w:val="auto"/>
          <w:sz w:val="21"/>
          <w:szCs w:val="21"/>
          <w:highlight w:val="none"/>
        </w:rPr>
        <w:t>2符合性审查</w:t>
      </w:r>
      <w:bookmarkEnd w:id="577"/>
      <w:r>
        <w:rPr>
          <w:rFonts w:hint="eastAsia" w:ascii="宋体" w:hAnsi="宋体" w:cs="宋体"/>
          <w:color w:val="auto"/>
          <w:sz w:val="21"/>
          <w:szCs w:val="21"/>
          <w:highlight w:val="none"/>
        </w:rPr>
        <w:t>标准</w:t>
      </w:r>
      <w:bookmarkEnd w:id="578"/>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按评标办法前附表约定的投标单位报价排序数量进行符合性审查</w:t>
      </w:r>
      <w:r>
        <w:rPr>
          <w:rFonts w:hint="eastAsia" w:ascii="宋体" w:hAnsi="宋体"/>
          <w:color w:val="auto"/>
          <w:spacing w:val="4"/>
          <w:kern w:val="0"/>
          <w:szCs w:val="21"/>
          <w:highlight w:val="none"/>
        </w:rPr>
        <w:t>。符合性审查内容：技术方案评审（如有）、资格评审、形式评审、响应性评审。</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2.2.1  技术方案评审标准：见评标办法前附表。</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  资格评审标准：见评标办法前附表。</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3  形式评审标准：见评标办法前附表。</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4  响应性评审标准：见评标办法前附表。</w:t>
      </w:r>
    </w:p>
    <w:p>
      <w:pPr>
        <w:pStyle w:val="3"/>
        <w:spacing w:before="0" w:after="0" w:line="360" w:lineRule="auto"/>
        <w:rPr>
          <w:rFonts w:ascii="宋体" w:hAnsi="宋体"/>
          <w:b w:val="0"/>
          <w:snapToGrid w:val="0"/>
          <w:color w:val="auto"/>
          <w:highlight w:val="none"/>
        </w:rPr>
      </w:pPr>
      <w:bookmarkStart w:id="579" w:name="_Toc57905890"/>
      <w:bookmarkStart w:id="580" w:name="_Toc6630"/>
      <w:r>
        <w:rPr>
          <w:rFonts w:ascii="宋体" w:hAnsi="宋体"/>
          <w:b w:val="0"/>
          <w:snapToGrid w:val="0"/>
          <w:color w:val="auto"/>
          <w:highlight w:val="none"/>
        </w:rPr>
        <w:t>3.  评标程序</w:t>
      </w:r>
      <w:bookmarkEnd w:id="579"/>
      <w:bookmarkEnd w:id="580"/>
    </w:p>
    <w:p>
      <w:pPr>
        <w:pStyle w:val="4"/>
        <w:spacing w:before="0" w:after="0" w:line="360" w:lineRule="auto"/>
        <w:rPr>
          <w:rFonts w:ascii="宋体" w:hAnsi="宋体" w:cs="宋体"/>
          <w:color w:val="auto"/>
          <w:sz w:val="21"/>
          <w:szCs w:val="21"/>
          <w:highlight w:val="none"/>
        </w:rPr>
      </w:pPr>
      <w:bookmarkStart w:id="581" w:name="_Toc17317"/>
      <w:bookmarkStart w:id="582" w:name="_Toc57905891"/>
      <w:r>
        <w:rPr>
          <w:rFonts w:ascii="宋体" w:hAnsi="宋体" w:cs="宋体"/>
          <w:color w:val="auto"/>
          <w:sz w:val="21"/>
          <w:szCs w:val="21"/>
          <w:highlight w:val="none"/>
        </w:rPr>
        <w:t>3.1</w:t>
      </w:r>
      <w:r>
        <w:rPr>
          <w:rFonts w:hint="eastAsia" w:ascii="宋体" w:hAnsi="宋体" w:cs="宋体"/>
          <w:color w:val="auto"/>
          <w:sz w:val="21"/>
          <w:szCs w:val="21"/>
          <w:highlight w:val="none"/>
        </w:rPr>
        <w:t>报价排序</w:t>
      </w:r>
      <w:bookmarkEnd w:id="581"/>
      <w:bookmarkEnd w:id="582"/>
    </w:p>
    <w:p>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对报价不高于最高限价的所有投标人的投标文件，按照报价由低到高的顺序排序。</w:t>
      </w:r>
    </w:p>
    <w:p>
      <w:pPr>
        <w:pStyle w:val="4"/>
        <w:spacing w:before="0" w:after="0" w:line="360" w:lineRule="auto"/>
        <w:rPr>
          <w:rFonts w:ascii="宋体" w:hAnsi="宋体" w:cs="宋体"/>
          <w:color w:val="auto"/>
          <w:sz w:val="21"/>
          <w:szCs w:val="21"/>
          <w:highlight w:val="none"/>
        </w:rPr>
      </w:pPr>
      <w:bookmarkStart w:id="583" w:name="_Toc23300"/>
      <w:bookmarkStart w:id="584" w:name="_Toc57905892"/>
      <w:r>
        <w:rPr>
          <w:rFonts w:ascii="宋体" w:hAnsi="宋体" w:cs="宋体"/>
          <w:color w:val="auto"/>
          <w:sz w:val="21"/>
          <w:szCs w:val="21"/>
          <w:highlight w:val="none"/>
        </w:rPr>
        <w:t>3.</w:t>
      </w:r>
      <w:r>
        <w:rPr>
          <w:rFonts w:hint="eastAsia" w:ascii="宋体" w:hAnsi="宋体" w:cs="宋体"/>
          <w:color w:val="auto"/>
          <w:sz w:val="21"/>
          <w:szCs w:val="21"/>
          <w:highlight w:val="none"/>
        </w:rPr>
        <w:t>2符合性审查</w:t>
      </w:r>
      <w:bookmarkEnd w:id="583"/>
      <w:bookmarkEnd w:id="584"/>
    </w:p>
    <w:p>
      <w:pPr>
        <w:spacing w:line="360" w:lineRule="auto"/>
        <w:ind w:firstLine="413" w:firstLineChars="197"/>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.1评标委员会依据本章第2.</w:t>
      </w:r>
      <w:r>
        <w:rPr>
          <w:rFonts w:hint="eastAsia" w:ascii="宋体" w:hAnsi="宋体" w:cs="宋体"/>
          <w:color w:val="auto"/>
          <w:szCs w:val="21"/>
          <w:highlight w:val="none"/>
        </w:rPr>
        <w:t>2</w:t>
      </w:r>
      <w:r>
        <w:rPr>
          <w:rFonts w:ascii="宋体" w:hAnsi="宋体" w:cs="宋体"/>
          <w:color w:val="auto"/>
          <w:szCs w:val="21"/>
          <w:highlight w:val="none"/>
        </w:rPr>
        <w:t xml:space="preserve"> </w:t>
      </w:r>
      <w:r>
        <w:rPr>
          <w:rFonts w:hint="eastAsia" w:ascii="宋体" w:hAnsi="宋体" w:cs="宋体"/>
          <w:color w:val="auto"/>
          <w:szCs w:val="21"/>
          <w:highlight w:val="none"/>
        </w:rPr>
        <w:t>款规定的标准对投标文件进行符合性审查。符合性审查顺序：技术方案评审（如有）、资格评审、形式评审、响应性评审。</w:t>
      </w:r>
    </w:p>
    <w:p>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勾选技术方案评审的，符合性审查应首先进行技术方案暗标审查，再按照资格、形式、响应性的顺序进行评审。有一项不符合评审标准的，作否决投标处理。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.2 投标人有以下情形之一的，</w:t>
      </w:r>
      <w:r>
        <w:rPr>
          <w:rFonts w:hint="eastAsia" w:ascii="宋体" w:hAnsi="宋体" w:cs="宋体"/>
          <w:color w:val="auto"/>
          <w:szCs w:val="21"/>
          <w:highlight w:val="none"/>
        </w:rPr>
        <w:t>其投标文件将被否决：</w:t>
      </w:r>
    </w:p>
    <w:p>
      <w:pPr>
        <w:spacing w:line="360" w:lineRule="auto"/>
        <w:ind w:firstLine="405" w:firstLineChars="193"/>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 xml:space="preserve">）第二章“投标人须知”第1.4.3 </w:t>
      </w:r>
      <w:r>
        <w:rPr>
          <w:rFonts w:hint="eastAsia" w:ascii="宋体" w:hAnsi="宋体" w:cs="宋体"/>
          <w:color w:val="auto"/>
          <w:szCs w:val="21"/>
          <w:highlight w:val="none"/>
        </w:rPr>
        <w:t>项</w:t>
      </w:r>
      <w:r>
        <w:rPr>
          <w:rFonts w:ascii="宋体" w:hAnsi="宋体" w:cs="宋体"/>
          <w:color w:val="auto"/>
          <w:szCs w:val="21"/>
          <w:highlight w:val="none"/>
        </w:rPr>
        <w:t>规定的任何一种情形的；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本次投标有串通投标、弄虚作假等其他违反招投标相关法律、法规行为的；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（3）拒绝按评标委员会要求澄清、说明或补正的。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3.2.3 投标报价有算术错误的，评标委员会按以下原则对投标报价进行修正，修正的价格经投标人书面确认后具有约束力，修正原则如下：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（1）投标文件中的大写金额与小写金额不一致的，以大写金额为准；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（2）投标函中的总报价与已标价工程量清单总报价不一致的，由评标委员会作否决投标处理。</w:t>
      </w:r>
    </w:p>
    <w:p>
      <w:pPr>
        <w:pStyle w:val="4"/>
        <w:spacing w:before="0" w:after="0" w:line="360" w:lineRule="auto"/>
        <w:rPr>
          <w:rFonts w:ascii="宋体" w:hAnsi="宋体" w:cs="宋体"/>
          <w:color w:val="auto"/>
          <w:sz w:val="21"/>
          <w:szCs w:val="21"/>
          <w:highlight w:val="none"/>
        </w:rPr>
      </w:pPr>
      <w:bookmarkStart w:id="585" w:name="_Toc5505"/>
      <w:bookmarkStart w:id="586" w:name="_Toc57905893"/>
      <w:r>
        <w:rPr>
          <w:rFonts w:ascii="宋体" w:hAnsi="宋体" w:cs="宋体"/>
          <w:color w:val="auto"/>
          <w:sz w:val="21"/>
          <w:szCs w:val="21"/>
          <w:highlight w:val="none"/>
        </w:rPr>
        <w:t>3.</w:t>
      </w:r>
      <w:r>
        <w:rPr>
          <w:rFonts w:hint="eastAsia" w:ascii="宋体" w:hAnsi="宋体" w:cs="宋体"/>
          <w:color w:val="auto"/>
          <w:sz w:val="21"/>
          <w:szCs w:val="21"/>
          <w:highlight w:val="none"/>
        </w:rPr>
        <w:t>3</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投标文件的澄清和补正</w:t>
      </w:r>
      <w:bookmarkEnd w:id="585"/>
      <w:bookmarkEnd w:id="586"/>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.1 </w:t>
      </w:r>
      <w:r>
        <w:rPr>
          <w:rFonts w:hint="eastAsia" w:ascii="宋体" w:hAnsi="宋体" w:cs="宋体"/>
          <w:color w:val="auto"/>
          <w:szCs w:val="21"/>
          <w:highlight w:val="none"/>
        </w:rPr>
        <w:t>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.2 </w:t>
      </w:r>
      <w:r>
        <w:rPr>
          <w:rFonts w:hint="eastAsia" w:ascii="宋体" w:hAnsi="宋体" w:cs="宋体"/>
          <w:color w:val="auto"/>
          <w:szCs w:val="21"/>
          <w:highlight w:val="none"/>
        </w:rPr>
        <w:t>澄清、说明和补正不得改变投标文件的实质性内容（算术性错误修正的除外）。投标人的书面澄清、说明和补正属于投标文件的组成部分。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.3 </w:t>
      </w:r>
      <w:r>
        <w:rPr>
          <w:rFonts w:hint="eastAsia" w:ascii="宋体" w:hAnsi="宋体" w:cs="宋体"/>
          <w:color w:val="auto"/>
          <w:szCs w:val="21"/>
          <w:highlight w:val="none"/>
        </w:rPr>
        <w:t>评标委员会对投标人提交的澄清、说明或补正有疑问的，可以要求投标人进一步澄清、说明或补正，直至满足评标委员会的要求。</w:t>
      </w:r>
    </w:p>
    <w:p>
      <w:pPr>
        <w:pStyle w:val="4"/>
        <w:spacing w:before="0" w:after="0" w:line="360" w:lineRule="auto"/>
        <w:rPr>
          <w:rFonts w:ascii="宋体" w:hAnsi="宋体" w:cs="宋体"/>
          <w:color w:val="auto"/>
          <w:sz w:val="21"/>
          <w:szCs w:val="21"/>
          <w:highlight w:val="none"/>
        </w:rPr>
      </w:pPr>
      <w:bookmarkStart w:id="587" w:name="_Toc479262406"/>
      <w:bookmarkStart w:id="588" w:name="_Toc26860"/>
      <w:bookmarkStart w:id="589" w:name="_Toc484465184"/>
      <w:bookmarkStart w:id="590" w:name="_Toc57905894"/>
      <w:r>
        <w:rPr>
          <w:rFonts w:ascii="宋体" w:hAnsi="宋体" w:cs="宋体"/>
          <w:color w:val="auto"/>
          <w:sz w:val="21"/>
          <w:szCs w:val="21"/>
          <w:highlight w:val="none"/>
        </w:rPr>
        <w:t>3.</w:t>
      </w:r>
      <w:r>
        <w:rPr>
          <w:rFonts w:hint="eastAsia" w:ascii="宋体" w:hAnsi="宋体" w:cs="宋体"/>
          <w:color w:val="auto"/>
          <w:sz w:val="21"/>
          <w:szCs w:val="21"/>
          <w:highlight w:val="none"/>
        </w:rPr>
        <w:t>4</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评标结果</w:t>
      </w:r>
      <w:bookmarkEnd w:id="587"/>
      <w:bookmarkEnd w:id="588"/>
      <w:bookmarkEnd w:id="589"/>
      <w:bookmarkEnd w:id="590"/>
    </w:p>
    <w:p>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除第二章“投标人须知”前附表授权直接确定中标人外，评标委员会按经评审的最低投标价法推荐中标候选人。</w:t>
      </w:r>
    </w:p>
    <w:p>
      <w:pP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 xml:space="preserve"> 评标委员会完成评标后，应当向招标人提交书面评标报告和中标候选人名单。</w:t>
      </w:r>
    </w:p>
    <w:p>
      <w:pPr>
        <w:pStyle w:val="33"/>
        <w:spacing w:line="360" w:lineRule="auto"/>
        <w:rPr>
          <w:rFonts w:ascii="宋体" w:hAnsi="宋体"/>
          <w:b/>
          <w:color w:val="auto"/>
          <w:sz w:val="28"/>
          <w:szCs w:val="28"/>
          <w:highlight w:val="none"/>
          <w:u w:val="none"/>
          <w:lang w:eastAsia="zh-CN"/>
        </w:rPr>
      </w:pPr>
      <w:r>
        <w:rPr>
          <w:rFonts w:ascii="宋体" w:hAnsi="宋体" w:cs="宋体"/>
          <w:color w:val="auto"/>
          <w:szCs w:val="21"/>
          <w:highlight w:val="none"/>
          <w:lang w:eastAsia="zh-CN"/>
        </w:rPr>
        <w:br w:type="page"/>
      </w:r>
      <w:r>
        <w:rPr>
          <w:rFonts w:ascii="宋体" w:hAnsi="宋体"/>
          <w:b/>
          <w:color w:val="auto"/>
          <w:sz w:val="28"/>
          <w:szCs w:val="28"/>
          <w:highlight w:val="none"/>
          <w:u w:val="none"/>
          <w:lang w:eastAsia="zh-CN"/>
        </w:rPr>
        <w:t>附件A：</w:t>
      </w:r>
      <w:r>
        <w:rPr>
          <w:rFonts w:hint="eastAsia" w:ascii="宋体" w:hAnsi="宋体"/>
          <w:b/>
          <w:color w:val="auto"/>
          <w:sz w:val="28"/>
          <w:szCs w:val="28"/>
          <w:highlight w:val="none"/>
          <w:u w:val="none"/>
          <w:lang w:eastAsia="zh-CN"/>
        </w:rPr>
        <w:t>经评审的最低投标价法</w:t>
      </w:r>
      <w:r>
        <w:rPr>
          <w:rFonts w:ascii="宋体" w:hAnsi="宋体"/>
          <w:b/>
          <w:color w:val="auto"/>
          <w:sz w:val="28"/>
          <w:szCs w:val="28"/>
          <w:highlight w:val="none"/>
          <w:u w:val="none"/>
          <w:lang w:eastAsia="zh-CN"/>
        </w:rPr>
        <w:t>否决投标情况一览表</w:t>
      </w:r>
    </w:p>
    <w:p>
      <w:pPr>
        <w:pStyle w:val="33"/>
        <w:spacing w:line="360" w:lineRule="auto"/>
        <w:ind w:firstLine="420" w:firstLineChars="200"/>
        <w:jc w:val="both"/>
        <w:rPr>
          <w:rFonts w:ascii="宋体" w:hAnsi="宋体"/>
          <w:color w:val="auto"/>
          <w:sz w:val="21"/>
          <w:szCs w:val="21"/>
          <w:highlight w:val="none"/>
          <w:u w:val="none"/>
          <w:lang w:eastAsia="zh-CN"/>
        </w:rPr>
      </w:pPr>
      <w:r>
        <w:rPr>
          <w:rFonts w:hint="eastAsia" w:ascii="宋体" w:hAnsi="宋体"/>
          <w:color w:val="auto"/>
          <w:sz w:val="21"/>
          <w:szCs w:val="21"/>
          <w:highlight w:val="none"/>
          <w:u w:val="none"/>
          <w:lang w:eastAsia="zh-CN"/>
        </w:rPr>
        <w:t>投标文件存在本一览表下列情形之一的，投标文件视为重大偏差并作否决投标处理，否则，评标委员会不得视为重大偏差而否决投标人的投标文件</w:t>
      </w:r>
      <w:r>
        <w:rPr>
          <w:rFonts w:ascii="宋体" w:hAnsi="宋体"/>
          <w:color w:val="auto"/>
          <w:sz w:val="21"/>
          <w:szCs w:val="21"/>
          <w:highlight w:val="none"/>
          <w:u w:val="none"/>
          <w:lang w:eastAsia="zh-CN"/>
        </w:rPr>
        <w:t>。</w:t>
      </w:r>
    </w:p>
    <w:tbl>
      <w:tblPr>
        <w:tblStyle w:val="45"/>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pPr>
              <w:spacing w:line="400" w:lineRule="exact"/>
              <w:jc w:val="center"/>
              <w:rPr>
                <w:rFonts w:ascii="宋体" w:hAnsi="宋体"/>
                <w:b/>
                <w:color w:val="auto"/>
                <w:szCs w:val="21"/>
                <w:highlight w:val="none"/>
              </w:rPr>
            </w:pPr>
            <w:r>
              <w:rPr>
                <w:rFonts w:ascii="宋体" w:hAnsi="宋体"/>
                <w:b/>
                <w:color w:val="auto"/>
                <w:szCs w:val="21"/>
                <w:highlight w:val="none"/>
              </w:rPr>
              <w:t>章节号</w:t>
            </w:r>
          </w:p>
        </w:tc>
        <w:tc>
          <w:tcPr>
            <w:tcW w:w="1899" w:type="dxa"/>
            <w:vAlign w:val="center"/>
          </w:tcPr>
          <w:p>
            <w:pPr>
              <w:spacing w:line="400" w:lineRule="exact"/>
              <w:jc w:val="center"/>
              <w:rPr>
                <w:rFonts w:ascii="宋体" w:hAnsi="宋体"/>
                <w:b/>
                <w:color w:val="auto"/>
                <w:szCs w:val="21"/>
                <w:highlight w:val="none"/>
              </w:rPr>
            </w:pPr>
            <w:r>
              <w:rPr>
                <w:rFonts w:ascii="宋体" w:hAnsi="宋体"/>
                <w:b/>
                <w:color w:val="auto"/>
                <w:szCs w:val="21"/>
                <w:highlight w:val="none"/>
              </w:rPr>
              <w:t>条款名称</w:t>
            </w:r>
          </w:p>
        </w:tc>
        <w:tc>
          <w:tcPr>
            <w:tcW w:w="6333" w:type="dxa"/>
            <w:vAlign w:val="center"/>
          </w:tcPr>
          <w:p>
            <w:pPr>
              <w:spacing w:line="400" w:lineRule="exact"/>
              <w:jc w:val="center"/>
              <w:rPr>
                <w:rFonts w:ascii="宋体" w:hAnsi="宋体"/>
                <w:b/>
                <w:color w:val="auto"/>
                <w:szCs w:val="21"/>
                <w:highlight w:val="none"/>
              </w:rPr>
            </w:pPr>
            <w:r>
              <w:rPr>
                <w:rFonts w:ascii="宋体" w:hAnsi="宋体"/>
                <w:b/>
                <w:color w:val="auto"/>
                <w:szCs w:val="21"/>
                <w:highlight w:val="none"/>
              </w:rPr>
              <w:t>否决投标条件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第三章</w:t>
            </w:r>
          </w:p>
        </w:tc>
        <w:tc>
          <w:tcPr>
            <w:tcW w:w="1899"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技术方案评审</w:t>
            </w:r>
          </w:p>
          <w:p>
            <w:pPr>
              <w:spacing w:line="400" w:lineRule="exact"/>
              <w:jc w:val="center"/>
              <w:rPr>
                <w:rFonts w:ascii="宋体" w:hAnsi="宋体"/>
                <w:color w:val="auto"/>
                <w:szCs w:val="21"/>
                <w:highlight w:val="none"/>
              </w:rPr>
            </w:pPr>
            <w:r>
              <w:rPr>
                <w:rFonts w:hint="eastAsia" w:ascii="宋体" w:hAnsi="宋体"/>
                <w:color w:val="auto"/>
                <w:szCs w:val="21"/>
                <w:highlight w:val="none"/>
              </w:rPr>
              <w:t>（如有）</w:t>
            </w: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A-1投标人的技术方案综合性评审不合格，由评标委员会作否决投标处理。技术方案采用暗标评审时，其形式应符合第二章投标人须知前附表第3.7.5项（</w:t>
            </w:r>
            <w:r>
              <w:rPr>
                <w:rFonts w:hint="eastAsia" w:ascii="宋体" w:hAnsi="宋体"/>
                <w:color w:val="auto"/>
                <w:szCs w:val="21"/>
                <w:highlight w:val="none"/>
                <w:lang w:val="en-US" w:eastAsia="zh-CN"/>
              </w:rPr>
              <w:t>4</w:t>
            </w:r>
            <w:r>
              <w:rPr>
                <w:rFonts w:hint="eastAsia" w:ascii="宋体" w:hAnsi="宋体"/>
                <w:color w:val="auto"/>
                <w:szCs w:val="21"/>
                <w:highlight w:val="none"/>
              </w:rPr>
              <w:t>）技术部分的</w:t>
            </w:r>
            <w:r>
              <w:rPr>
                <w:rFonts w:hint="eastAsia" w:ascii="宋体" w:hAnsi="宋体"/>
                <w:color w:val="auto"/>
                <w:szCs w:val="21"/>
                <w:highlight w:val="none"/>
                <w:lang w:val="en-US" w:eastAsia="zh-CN"/>
              </w:rPr>
              <w:t>装订</w:t>
            </w:r>
            <w:r>
              <w:rPr>
                <w:rFonts w:hint="eastAsia" w:ascii="宋体" w:hAnsi="宋体"/>
                <w:color w:val="auto"/>
                <w:szCs w:val="21"/>
                <w:highlight w:val="none"/>
              </w:rPr>
              <w:t>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资格评审</w:t>
            </w: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A-2投标人的资质条件、营业执照及安全生产条件须满足投标人须知前附表第1.4.1项的要求，否则由评标委员会作否决投标处理。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A-3投标人的财务须满足投标人须知前附表第1.4.1项的要求，否则由评标委员会作否决投标处理（如有）。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A-4投标人的业绩须满足投标人须知前附表第1.4.1项的要求，否则由评标委员会作否决投标处理（如有）。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A-5投标人的投标截止日投标资格情况须满足投标人须知前附表1.4.1项的要求，否则由评标委员会作否决投标处理。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A-6投标人的项目经理资格须满足投标人须知前附表第1.4.1项的要求，否则由评标委员会作否决投标处理（如有）。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A-7投标人的其他要求须满足投标人须知前附表第1.4.1项的要求，否则由评标委员会作否决投标处理。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A-8若有联合体投标人（如有），则：</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（1）联合体各方应按照招标文件提供的格式签订联合体协议书，明确联合体牵头人和各方权利义务；</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（2）联合体各方均应当具备承担招标项目的相应能力，联合体协议约定同一专业分工由两个及以上单位共同承担的，按照资质等级较低的单位确定资质等级；</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（3）联合体各方不得再以自己名义单独或参加其他联合体在同一标段中投标。</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形式评审</w:t>
            </w:r>
          </w:p>
        </w:tc>
        <w:tc>
          <w:tcPr>
            <w:tcW w:w="6333"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A-9投标人名称必须与营业执照、资质证书、安全生产许可证一致，依法变更名称的应提交相应证明材料，</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A-10投标函格式规定签名、盖章的位置有法定代表人或其委托代理人签名（或盖章）、加盖单位法人章，否则由评标委员会作否决投标处理。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A-11投标文件格式符合第二章“投标人须知”第3.7款的要求，否则由评标委员会作否决投标处理。</w:t>
            </w:r>
          </w:p>
          <w:p>
            <w:pPr>
              <w:spacing w:line="400" w:lineRule="exact"/>
              <w:ind w:firstLine="420" w:firstLineChars="200"/>
              <w:rPr>
                <w:rFonts w:ascii="宋体" w:hAnsi="宋体"/>
                <w:color w:val="auto"/>
                <w:szCs w:val="21"/>
                <w:highlight w:val="none"/>
              </w:rPr>
            </w:pPr>
            <w:r>
              <w:rPr>
                <w:rFonts w:hint="eastAsia" w:ascii="宋体" w:hAnsi="宋体"/>
                <w:color w:val="auto"/>
                <w:kern w:val="0"/>
                <w:szCs w:val="21"/>
                <w:highlight w:val="none"/>
              </w:rPr>
              <w:t>编制投标文件时不得对第八章“投标文件格式”的相应要素作实质性修改，否则由评标委员会作否决投标处理。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tcPr>
          <w:p>
            <w:pPr>
              <w:autoSpaceDE w:val="0"/>
              <w:autoSpaceDN w:val="0"/>
              <w:adjustRightInd w:val="0"/>
              <w:snapToGrid w:val="0"/>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A-12投标文件份数符合第二章“投标人须知”第3.7.4项的规定，</w:t>
            </w:r>
            <w:r>
              <w:rPr>
                <w:rFonts w:hint="eastAsia" w:ascii="宋体" w:hAnsi="宋体"/>
                <w:color w:val="auto"/>
                <w:kern w:val="0"/>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-13联合体参与投标的应提交联合体协议书（如有），并明确联合体牵头人。在联合体协议书第5条联合体各成员单位内部的职责分工中填写的联合体所有成员单位名称应与其营业执照、资质证书、安全生产许可证一致，依法变更名称的应提交相应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A-14只能有一个有效报价。在招标文件没有规定的情况下，不得提交选择性报价，否则由评标委员会作否决投标处理。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tcPr>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A-15</w:t>
            </w:r>
            <w:r>
              <w:rPr>
                <w:rFonts w:hint="eastAsia" w:ascii="宋体" w:hAnsi="宋体" w:cs="宋体"/>
                <w:color w:val="auto"/>
                <w:kern w:val="0"/>
                <w:highlight w:val="none"/>
              </w:rPr>
              <w:t>第八章 投标文件格式要求法定代表人或其委托代理人签名（或盖章）的须齐全。</w:t>
            </w:r>
            <w:r>
              <w:rPr>
                <w:rFonts w:hint="eastAsia" w:ascii="宋体" w:hAnsi="宋体" w:cs="宋体"/>
                <w:snapToGrid w:val="0"/>
                <w:color w:val="auto"/>
                <w:kern w:val="0"/>
                <w:szCs w:val="21"/>
                <w:highlight w:val="none"/>
              </w:rPr>
              <w:t>若投标单位为联合体，则联合体协议书中各联合体各成员单位签名（或盖章）须齐全，联合体协议书以外的</w:t>
            </w:r>
            <w:r>
              <w:rPr>
                <w:rFonts w:hint="eastAsia" w:ascii="宋体" w:hAnsi="宋体" w:cs="宋体"/>
                <w:color w:val="auto"/>
                <w:kern w:val="0"/>
                <w:highlight w:val="none"/>
              </w:rPr>
              <w:t>投标文件格式中，要求</w:t>
            </w:r>
            <w:r>
              <w:rPr>
                <w:rFonts w:hint="eastAsia" w:ascii="宋体" w:hAnsi="宋体" w:cs="宋体"/>
                <w:snapToGrid w:val="0"/>
                <w:color w:val="auto"/>
                <w:kern w:val="0"/>
                <w:szCs w:val="21"/>
                <w:highlight w:val="none"/>
              </w:rPr>
              <w:t>联合体牵头人</w:t>
            </w:r>
            <w:r>
              <w:rPr>
                <w:rFonts w:hint="eastAsia" w:ascii="宋体" w:hAnsi="宋体" w:cs="宋体"/>
                <w:color w:val="auto"/>
                <w:kern w:val="0"/>
                <w:highlight w:val="none"/>
              </w:rPr>
              <w:t>法定代表人或其委托代理人签名（或盖章）的须齐全</w:t>
            </w: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A-16投标人法定代表人的委托代理人有法定代表人签署的授权委托书和投标人为其缴纳的养老保险证明材料，否则由评标委员会作否决投标处理。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响应性评审</w:t>
            </w: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A-17</w:t>
            </w:r>
            <w:r>
              <w:rPr>
                <w:rFonts w:hint="eastAsia" w:ascii="宋体" w:hAnsi="宋体" w:cs="宋体"/>
                <w:color w:val="auto"/>
                <w:szCs w:val="21"/>
                <w:highlight w:val="none"/>
              </w:rPr>
              <w:t>投标总报价必须与已标价工程量清单总报价一致</w:t>
            </w: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A-18投标总报价不得高于招标人公布的投标总报价最高限价，否则由评标委员会作否决投标处理。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A-19投标总报价低于最高限价85%的，投标人应在编制投标文件时，在投标函部分中递交低价风险担保提交承诺书。承诺书格式详见第八章投标文件格式，否则由评标委员会作否决投标处理。</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如有</w:t>
            </w:r>
            <w:r>
              <w:rPr>
                <w:rFonts w:hint="eastAsia" w:ascii="宋体" w:hAnsi="宋体"/>
                <w:color w:val="auto"/>
                <w:szCs w:val="21"/>
                <w:highlight w:val="none"/>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A-20暂列金额、暂估价、安全文明施工费等暂定金额必须按照招标文件给定的金额填报，否则由评标委员会作否决投标处理。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A-21投标内容符合第二章“投标人须知”第1.3.1项规定，否则由评标委员会作否决投标处理。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A-22工期符合第二章“投标人须知”第1.3.2项规定，否则由评标委员会作否决投标处理。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A-23工程质量符合第二章“投标人须知”第1.3.3项规定，否则由评标委员会作否决投标处理。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A-24投标有效期符合第二章“投标人须知”第3.3.1项规定，否则由评标委员会作否决投标处理。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A-25</w:t>
            </w:r>
            <w:r>
              <w:rPr>
                <w:rFonts w:ascii="宋体" w:hAnsi="宋体"/>
                <w:color w:val="auto"/>
                <w:szCs w:val="21"/>
                <w:highlight w:val="none"/>
              </w:rPr>
              <w:t>投标人应按投标人须知前附表</w:t>
            </w:r>
            <w:r>
              <w:rPr>
                <w:rFonts w:hint="eastAsia" w:ascii="宋体" w:hAnsi="宋体"/>
                <w:color w:val="auto"/>
                <w:szCs w:val="21"/>
                <w:highlight w:val="none"/>
              </w:rPr>
              <w:t>第3.4款的</w:t>
            </w:r>
            <w:r>
              <w:rPr>
                <w:rFonts w:ascii="宋体" w:hAnsi="宋体"/>
                <w:color w:val="auto"/>
                <w:szCs w:val="21"/>
                <w:highlight w:val="none"/>
              </w:rPr>
              <w:t>规定递交投标保证金，并作为其投标文件的组成部分</w:t>
            </w:r>
            <w:r>
              <w:rPr>
                <w:rFonts w:hint="eastAsia" w:ascii="宋体" w:hAnsi="宋体"/>
                <w:color w:val="auto"/>
                <w:szCs w:val="21"/>
                <w:highlight w:val="none"/>
              </w:rPr>
              <w:t>，</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A-26符合第四章“合同条款及格式”规定，投标文件不应附有招标人不能接受的条件，否则由评标委员会作否决投标处理。（由投标人承诺，承诺书格式详见第八章投标文件格式。）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A-27符合第七章“技术标准和要求”规定。否则由评标委员会作否决投标处理（如有）。（由投标人承诺，承诺书格式详见第八章投标文件格式。）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A-28投标人提供的关于已标价工程量清单的承诺符合招标文件的要求，</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A-29投标报价有算术错误的，按照第三章“评标办法”第3.2.3项规定执行，否则由评标委员会作否决投标处理。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A-30投标人有以下情形之一的，其投标文件由评标委员会</w:t>
            </w:r>
            <w:r>
              <w:rPr>
                <w:rFonts w:ascii="宋体" w:hAnsi="宋体"/>
                <w:color w:val="auto"/>
                <w:szCs w:val="21"/>
                <w:highlight w:val="none"/>
              </w:rPr>
              <w:t>作否决投标处理</w:t>
            </w:r>
            <w:r>
              <w:rPr>
                <w:rFonts w:hint="eastAsia"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1.第二章“投标人须知”第1.4.3项规定的任何一种情形的；</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2.本次投标有串通投标、弄虚作假等违反招投标相关法律、法规的行为的；</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3.拒绝按评标委员会要求澄清、说明或补正的。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pPr>
              <w:spacing w:line="400" w:lineRule="exact"/>
              <w:jc w:val="center"/>
              <w:rPr>
                <w:rFonts w:ascii="宋体" w:hAnsi="宋体"/>
                <w:color w:val="auto"/>
                <w:szCs w:val="21"/>
                <w:highlight w:val="none"/>
              </w:rPr>
            </w:pPr>
            <w:r>
              <w:rPr>
                <w:rFonts w:ascii="宋体" w:hAnsi="宋体"/>
                <w:color w:val="auto"/>
                <w:szCs w:val="21"/>
                <w:highlight w:val="none"/>
              </w:rPr>
              <w:t>其他</w:t>
            </w:r>
          </w:p>
        </w:tc>
        <w:tc>
          <w:tcPr>
            <w:tcW w:w="1899" w:type="dxa"/>
            <w:vAlign w:val="center"/>
          </w:tcPr>
          <w:p>
            <w:pPr>
              <w:spacing w:line="400" w:lineRule="exact"/>
              <w:jc w:val="center"/>
              <w:rPr>
                <w:rFonts w:ascii="宋体" w:hAnsi="宋体"/>
                <w:color w:val="auto"/>
                <w:szCs w:val="21"/>
                <w:highlight w:val="none"/>
              </w:rPr>
            </w:pPr>
          </w:p>
        </w:tc>
        <w:tc>
          <w:tcPr>
            <w:tcW w:w="6333" w:type="dxa"/>
          </w:tcPr>
          <w:p>
            <w:pPr>
              <w:spacing w:line="400" w:lineRule="exact"/>
              <w:ind w:firstLine="420" w:firstLineChars="200"/>
              <w:rPr>
                <w:rFonts w:hint="eastAsia" w:ascii="宋体" w:hAnsi="宋体" w:eastAsia="宋体"/>
                <w:i/>
                <w:color w:val="auto"/>
                <w:szCs w:val="21"/>
                <w:highlight w:val="none"/>
                <w:lang w:val="en-US" w:eastAsia="zh-CN"/>
              </w:rPr>
            </w:pPr>
            <w:r>
              <w:rPr>
                <w:rFonts w:hint="eastAsia" w:ascii="宋体" w:hAnsi="宋体"/>
                <w:color w:val="auto"/>
                <w:szCs w:val="21"/>
                <w:highlight w:val="none"/>
                <w:lang w:val="en-US" w:eastAsia="zh-CN"/>
              </w:rPr>
              <w:t>/</w:t>
            </w:r>
          </w:p>
        </w:tc>
      </w:tr>
    </w:tbl>
    <w:p>
      <w:pPr>
        <w:spacing w:line="480" w:lineRule="auto"/>
        <w:jc w:val="left"/>
        <w:rPr>
          <w:rFonts w:ascii="宋体" w:hAnsi="宋体"/>
          <w:color w:val="auto"/>
          <w:kern w:val="0"/>
          <w:sz w:val="24"/>
          <w:highlight w:val="none"/>
        </w:rPr>
      </w:pPr>
    </w:p>
    <w:p>
      <w:pPr>
        <w:spacing w:line="200" w:lineRule="exact"/>
        <w:rPr>
          <w:rFonts w:ascii="宋体" w:hAnsi="宋体"/>
          <w:color w:val="auto"/>
          <w:kern w:val="0"/>
          <w:highlight w:val="none"/>
        </w:rPr>
      </w:pPr>
      <w:r>
        <w:rPr>
          <w:rFonts w:ascii="宋体" w:hAnsi="宋体"/>
          <w:snapToGrid w:val="0"/>
          <w:color w:val="auto"/>
          <w:kern w:val="0"/>
          <w:highlight w:val="none"/>
        </w:rPr>
        <w:br w:type="page"/>
      </w:r>
      <w:bookmarkStart w:id="591" w:name="招标文件03章02评标办法综合评估法00"/>
      <w:bookmarkEnd w:id="591"/>
      <w:bookmarkStart w:id="592" w:name="招标文件03章02评标办法综合评估法"/>
      <w:bookmarkEnd w:id="592"/>
      <w:bookmarkStart w:id="593" w:name="_Toc287620751"/>
      <w:bookmarkStart w:id="594" w:name="_Toc430530500"/>
      <w:bookmarkStart w:id="595" w:name="_Toc287607812"/>
      <w:bookmarkStart w:id="596" w:name="_Toc200513198"/>
      <w:bookmarkStart w:id="597" w:name="_Toc224103384"/>
      <w:bookmarkStart w:id="598" w:name="_Toc277082618"/>
    </w:p>
    <w:bookmarkEnd w:id="593"/>
    <w:bookmarkEnd w:id="594"/>
    <w:bookmarkEnd w:id="595"/>
    <w:bookmarkEnd w:id="596"/>
    <w:bookmarkEnd w:id="597"/>
    <w:bookmarkEnd w:id="598"/>
    <w:p>
      <w:pPr>
        <w:pStyle w:val="2"/>
        <w:spacing w:line="360" w:lineRule="auto"/>
        <w:jc w:val="center"/>
        <w:rPr>
          <w:rFonts w:ascii="宋体" w:hAnsi="宋体"/>
          <w:color w:val="auto"/>
          <w:kern w:val="0"/>
          <w:highlight w:val="none"/>
        </w:rPr>
      </w:pPr>
      <w:bookmarkStart w:id="599" w:name="_Toc430530509"/>
      <w:bookmarkStart w:id="600" w:name="_Toc509218785"/>
      <w:bookmarkStart w:id="601" w:name="_Toc57905906"/>
      <w:bookmarkStart w:id="602" w:name="_Toc8427"/>
      <w:r>
        <w:rPr>
          <w:rFonts w:hint="eastAsia" w:ascii="宋体" w:hAnsi="宋体"/>
          <w:color w:val="auto"/>
          <w:kern w:val="0"/>
          <w:highlight w:val="none"/>
        </w:rPr>
        <w:t>第四章  合同条款及格式</w:t>
      </w:r>
      <w:bookmarkEnd w:id="599"/>
      <w:bookmarkEnd w:id="600"/>
      <w:bookmarkEnd w:id="601"/>
      <w:bookmarkEnd w:id="602"/>
    </w:p>
    <w:p>
      <w:pPr>
        <w:rPr>
          <w:rFonts w:ascii="宋体" w:hAnsi="宋体"/>
          <w:color w:val="auto"/>
          <w:sz w:val="44"/>
          <w:szCs w:val="44"/>
          <w:highlight w:val="none"/>
        </w:rPr>
      </w:pPr>
      <w:r>
        <w:rPr>
          <w:rFonts w:ascii="宋体" w:hAnsi="宋体"/>
          <w:color w:val="auto"/>
          <w:highlight w:val="none"/>
        </w:rPr>
        <w:br w:type="page"/>
      </w:r>
      <w:bookmarkStart w:id="603" w:name="_Toc351203480"/>
      <w:bookmarkStart w:id="604" w:name="_Toc296890982"/>
      <w:bookmarkStart w:id="605" w:name="_Toc296503025"/>
    </w:p>
    <w:p>
      <w:pPr>
        <w:spacing w:line="480" w:lineRule="auto"/>
        <w:jc w:val="center"/>
        <w:rPr>
          <w:rStyle w:val="313"/>
          <w:rFonts w:hint="eastAsia" w:ascii="宋体" w:hAnsi="宋体" w:eastAsia="宋体" w:cs="宋体"/>
          <w:b/>
          <w:color w:val="auto"/>
          <w:sz w:val="60"/>
          <w:szCs w:val="60"/>
          <w:highlight w:val="none"/>
        </w:rPr>
      </w:pPr>
      <w:bookmarkStart w:id="606" w:name="_Toc430530513"/>
      <w:bookmarkStart w:id="607" w:name="_Toc287620797"/>
      <w:bookmarkStart w:id="608" w:name="_Toc57905910"/>
      <w:bookmarkStart w:id="609" w:name="_Toc509218843"/>
      <w:bookmarkStart w:id="610" w:name="_Toc16194"/>
      <w:bookmarkStart w:id="611" w:name="_Toc534185822"/>
      <w:bookmarkStart w:id="612" w:name="_Toc287607855"/>
      <w:r>
        <w:rPr>
          <w:rStyle w:val="313"/>
          <w:rFonts w:hint="eastAsia" w:ascii="宋体" w:hAnsi="宋体" w:eastAsia="宋体" w:cs="宋体"/>
          <w:b/>
          <w:color w:val="auto"/>
          <w:sz w:val="60"/>
          <w:szCs w:val="60"/>
          <w:highlight w:val="none"/>
        </w:rPr>
        <w:t>长安锦绣城</w:t>
      </w:r>
      <w:r>
        <w:rPr>
          <w:rStyle w:val="313"/>
          <w:rFonts w:hint="eastAsia" w:ascii="宋体" w:hAnsi="宋体" w:cs="宋体"/>
          <w:b/>
          <w:color w:val="auto"/>
          <w:sz w:val="60"/>
          <w:szCs w:val="60"/>
          <w:highlight w:val="none"/>
          <w:lang w:val="en-US" w:eastAsia="zh-CN"/>
        </w:rPr>
        <w:t>4</w:t>
      </w:r>
      <w:r>
        <w:rPr>
          <w:rStyle w:val="313"/>
          <w:rFonts w:hint="eastAsia" w:ascii="宋体" w:hAnsi="宋体" w:eastAsia="宋体" w:cs="宋体"/>
          <w:b/>
          <w:color w:val="auto"/>
          <w:sz w:val="60"/>
          <w:szCs w:val="60"/>
          <w:highlight w:val="none"/>
        </w:rPr>
        <w:t>栋外墙</w:t>
      </w:r>
      <w:r>
        <w:rPr>
          <w:rStyle w:val="313"/>
          <w:rFonts w:hint="eastAsia" w:ascii="宋体" w:hAnsi="宋体" w:cs="宋体"/>
          <w:b/>
          <w:color w:val="auto"/>
          <w:sz w:val="60"/>
          <w:szCs w:val="60"/>
          <w:highlight w:val="none"/>
          <w:lang w:val="en-US" w:eastAsia="zh-CN"/>
        </w:rPr>
        <w:t>及门头防水维修</w:t>
      </w:r>
      <w:r>
        <w:rPr>
          <w:rStyle w:val="313"/>
          <w:rFonts w:hint="eastAsia" w:ascii="宋体" w:hAnsi="宋体" w:eastAsia="宋体" w:cs="宋体"/>
          <w:b/>
          <w:color w:val="auto"/>
          <w:sz w:val="60"/>
          <w:szCs w:val="60"/>
          <w:highlight w:val="none"/>
        </w:rPr>
        <w:t>工程</w:t>
      </w:r>
    </w:p>
    <w:p>
      <w:pPr>
        <w:spacing w:line="480" w:lineRule="auto"/>
        <w:jc w:val="center"/>
        <w:rPr>
          <w:rStyle w:val="313"/>
          <w:rFonts w:hint="eastAsia" w:ascii="宋体" w:hAnsi="宋体" w:eastAsia="宋体" w:cs="宋体"/>
          <w:b/>
          <w:color w:val="auto"/>
          <w:sz w:val="96"/>
          <w:szCs w:val="96"/>
          <w:highlight w:val="none"/>
        </w:rPr>
      </w:pPr>
    </w:p>
    <w:p>
      <w:pPr>
        <w:pStyle w:val="17"/>
        <w:rPr>
          <w:rStyle w:val="313"/>
          <w:rFonts w:hint="eastAsia" w:ascii="宋体" w:hAnsi="宋体" w:eastAsia="宋体" w:cs="宋体"/>
          <w:b/>
          <w:color w:val="auto"/>
          <w:sz w:val="96"/>
          <w:szCs w:val="96"/>
          <w:highlight w:val="none"/>
        </w:rPr>
      </w:pPr>
    </w:p>
    <w:p>
      <w:pPr>
        <w:spacing w:line="480" w:lineRule="auto"/>
        <w:jc w:val="center"/>
        <w:rPr>
          <w:rStyle w:val="313"/>
          <w:rFonts w:hint="eastAsia" w:ascii="宋体" w:hAnsi="宋体" w:eastAsia="宋体" w:cs="宋体"/>
          <w:b/>
          <w:color w:val="auto"/>
          <w:sz w:val="56"/>
          <w:szCs w:val="56"/>
          <w:highlight w:val="none"/>
        </w:rPr>
      </w:pPr>
      <w:r>
        <w:rPr>
          <w:rStyle w:val="313"/>
          <w:rFonts w:hint="eastAsia" w:ascii="宋体" w:hAnsi="宋体" w:eastAsia="宋体" w:cs="宋体"/>
          <w:b/>
          <w:color w:val="auto"/>
          <w:sz w:val="96"/>
          <w:szCs w:val="96"/>
          <w:highlight w:val="none"/>
        </w:rPr>
        <w:t>施</w:t>
      </w:r>
      <w:r>
        <w:rPr>
          <w:rStyle w:val="313"/>
          <w:rFonts w:hint="eastAsia" w:ascii="宋体" w:hAnsi="宋体" w:eastAsia="宋体" w:cs="宋体"/>
          <w:b/>
          <w:color w:val="auto"/>
          <w:sz w:val="96"/>
          <w:szCs w:val="96"/>
          <w:highlight w:val="none"/>
          <w:lang w:val="en-US" w:eastAsia="zh-CN"/>
        </w:rPr>
        <w:t xml:space="preserve"> </w:t>
      </w:r>
      <w:r>
        <w:rPr>
          <w:rStyle w:val="313"/>
          <w:rFonts w:hint="eastAsia" w:ascii="宋体" w:hAnsi="宋体" w:eastAsia="宋体" w:cs="宋体"/>
          <w:b/>
          <w:color w:val="auto"/>
          <w:sz w:val="96"/>
          <w:szCs w:val="96"/>
          <w:highlight w:val="none"/>
        </w:rPr>
        <w:t>工</w:t>
      </w:r>
      <w:r>
        <w:rPr>
          <w:rStyle w:val="313"/>
          <w:rFonts w:hint="eastAsia" w:ascii="宋体" w:hAnsi="宋体" w:eastAsia="宋体" w:cs="宋体"/>
          <w:b/>
          <w:color w:val="auto"/>
          <w:sz w:val="96"/>
          <w:szCs w:val="96"/>
          <w:highlight w:val="none"/>
          <w:lang w:val="en-US" w:eastAsia="zh-CN"/>
        </w:rPr>
        <w:t xml:space="preserve"> </w:t>
      </w:r>
      <w:r>
        <w:rPr>
          <w:rStyle w:val="313"/>
          <w:rFonts w:hint="eastAsia" w:ascii="宋体" w:hAnsi="宋体" w:eastAsia="宋体" w:cs="宋体"/>
          <w:b/>
          <w:color w:val="auto"/>
          <w:sz w:val="96"/>
          <w:szCs w:val="96"/>
          <w:highlight w:val="none"/>
        </w:rPr>
        <w:t>合</w:t>
      </w:r>
      <w:r>
        <w:rPr>
          <w:rStyle w:val="313"/>
          <w:rFonts w:hint="eastAsia" w:ascii="宋体" w:hAnsi="宋体" w:eastAsia="宋体" w:cs="宋体"/>
          <w:b/>
          <w:color w:val="auto"/>
          <w:sz w:val="96"/>
          <w:szCs w:val="96"/>
          <w:highlight w:val="none"/>
          <w:lang w:val="en-US" w:eastAsia="zh-CN"/>
        </w:rPr>
        <w:t xml:space="preserve"> </w:t>
      </w:r>
      <w:r>
        <w:rPr>
          <w:rStyle w:val="313"/>
          <w:rFonts w:hint="eastAsia" w:ascii="宋体" w:hAnsi="宋体" w:eastAsia="宋体" w:cs="宋体"/>
          <w:b/>
          <w:color w:val="auto"/>
          <w:sz w:val="96"/>
          <w:szCs w:val="96"/>
          <w:highlight w:val="none"/>
        </w:rPr>
        <w:t>同</w:t>
      </w:r>
    </w:p>
    <w:p>
      <w:pPr>
        <w:pStyle w:val="139"/>
        <w:rPr>
          <w:rStyle w:val="313"/>
          <w:rFonts w:hint="eastAsia" w:ascii="宋体" w:hAnsi="宋体" w:eastAsia="宋体" w:cs="宋体"/>
          <w:b/>
          <w:color w:val="auto"/>
          <w:sz w:val="48"/>
          <w:szCs w:val="48"/>
          <w:highlight w:val="none"/>
        </w:rPr>
      </w:pPr>
    </w:p>
    <w:p>
      <w:pPr>
        <w:pStyle w:val="139"/>
        <w:rPr>
          <w:rStyle w:val="313"/>
          <w:rFonts w:hint="eastAsia" w:ascii="宋体" w:hAnsi="宋体" w:eastAsia="宋体" w:cs="宋体"/>
          <w:b/>
          <w:color w:val="auto"/>
          <w:sz w:val="48"/>
          <w:szCs w:val="48"/>
          <w:highlight w:val="none"/>
        </w:rPr>
      </w:pPr>
    </w:p>
    <w:p>
      <w:pPr>
        <w:pStyle w:val="139"/>
        <w:rPr>
          <w:rStyle w:val="313"/>
          <w:rFonts w:hint="eastAsia" w:ascii="宋体" w:hAnsi="宋体" w:eastAsia="宋体" w:cs="宋体"/>
          <w:b/>
          <w:color w:val="auto"/>
          <w:sz w:val="48"/>
          <w:szCs w:val="48"/>
          <w:highlight w:val="none"/>
        </w:rPr>
      </w:pPr>
    </w:p>
    <w:p>
      <w:pPr>
        <w:keepNext w:val="0"/>
        <w:keepLines w:val="0"/>
        <w:pageBreakBefore w:val="0"/>
        <w:widowControl w:val="0"/>
        <w:kinsoku/>
        <w:wordWrap/>
        <w:overflowPunct/>
        <w:topLinePunct w:val="0"/>
        <w:autoSpaceDE/>
        <w:autoSpaceDN/>
        <w:bidi w:val="0"/>
        <w:adjustRightInd/>
        <w:snapToGrid/>
        <w:spacing w:line="720" w:lineRule="auto"/>
        <w:ind w:left="0" w:firstLine="0" w:firstLineChars="0"/>
        <w:textAlignment w:val="auto"/>
        <w:rPr>
          <w:rFonts w:hint="eastAsia" w:ascii="宋体" w:hAnsi="宋体" w:eastAsia="宋体" w:cs="宋体"/>
          <w:bCs/>
          <w:color w:val="auto"/>
          <w:sz w:val="32"/>
          <w:szCs w:val="32"/>
          <w:highlight w:val="none"/>
          <w:u w:val="single"/>
          <w:lang w:val="en-US" w:eastAsia="zh-CN"/>
        </w:rPr>
      </w:pPr>
      <w:r>
        <w:rPr>
          <w:rStyle w:val="313"/>
          <w:rFonts w:hint="eastAsia" w:ascii="宋体" w:hAnsi="宋体" w:eastAsia="宋体" w:cs="宋体"/>
          <w:b/>
          <w:color w:val="auto"/>
          <w:spacing w:val="-10"/>
          <w:sz w:val="32"/>
          <w:szCs w:val="32"/>
          <w:highlight w:val="none"/>
        </w:rPr>
        <w:t>工程地点：</w:t>
      </w:r>
      <w:r>
        <w:rPr>
          <w:rFonts w:hint="eastAsia" w:ascii="宋体" w:hAnsi="宋体" w:cs="宋体"/>
          <w:bCs/>
          <w:color w:val="auto"/>
          <w:sz w:val="32"/>
          <w:szCs w:val="32"/>
          <w:highlight w:val="none"/>
          <w:u w:val="single"/>
        </w:rPr>
        <w:t>重庆市渝北区龙溪街道龙</w:t>
      </w:r>
      <w:r>
        <w:rPr>
          <w:rFonts w:hint="eastAsia" w:ascii="宋体" w:hAnsi="宋体" w:cs="宋体"/>
          <w:bCs/>
          <w:color w:val="auto"/>
          <w:sz w:val="32"/>
          <w:szCs w:val="32"/>
          <w:highlight w:val="none"/>
          <w:u w:val="single"/>
          <w:lang w:val="en-US" w:eastAsia="zh-CN"/>
        </w:rPr>
        <w:t>华</w:t>
      </w:r>
      <w:r>
        <w:rPr>
          <w:rFonts w:hint="eastAsia" w:ascii="宋体" w:hAnsi="宋体" w:cs="宋体"/>
          <w:bCs/>
          <w:color w:val="auto"/>
          <w:sz w:val="32"/>
          <w:szCs w:val="32"/>
          <w:highlight w:val="none"/>
          <w:u w:val="single"/>
        </w:rPr>
        <w:t>大道99号</w:t>
      </w:r>
    </w:p>
    <w:p>
      <w:pPr>
        <w:pStyle w:val="139"/>
        <w:keepNext w:val="0"/>
        <w:keepLines w:val="0"/>
        <w:pageBreakBefore w:val="0"/>
        <w:widowControl w:val="0"/>
        <w:kinsoku/>
        <w:wordWrap/>
        <w:overflowPunct/>
        <w:topLinePunct w:val="0"/>
        <w:autoSpaceDE/>
        <w:autoSpaceDN/>
        <w:bidi w:val="0"/>
        <w:adjustRightInd/>
        <w:snapToGrid/>
        <w:spacing w:line="720" w:lineRule="auto"/>
        <w:ind w:left="0" w:firstLine="0" w:firstLineChars="0"/>
        <w:textAlignment w:val="auto"/>
        <w:rPr>
          <w:rFonts w:hint="default" w:ascii="宋体" w:hAnsi="宋体" w:eastAsia="宋体" w:cs="宋体"/>
          <w:bCs/>
          <w:color w:val="auto"/>
          <w:kern w:val="0"/>
          <w:sz w:val="32"/>
          <w:szCs w:val="32"/>
          <w:highlight w:val="none"/>
          <w:u w:val="single"/>
          <w:lang w:val="en-US" w:eastAsia="zh-CN"/>
        </w:rPr>
      </w:pPr>
      <w:r>
        <w:rPr>
          <w:rFonts w:hint="eastAsia" w:ascii="宋体" w:hAnsi="宋体" w:eastAsia="宋体" w:cs="宋体"/>
          <w:b/>
          <w:color w:val="auto"/>
          <w:sz w:val="32"/>
          <w:szCs w:val="32"/>
          <w:highlight w:val="none"/>
        </w:rPr>
        <w:t>发包人：</w:t>
      </w:r>
      <w:r>
        <w:rPr>
          <w:rFonts w:hint="eastAsia" w:ascii="宋体" w:hAnsi="宋体" w:cs="宋体"/>
          <w:bCs/>
          <w:color w:val="auto"/>
          <w:sz w:val="32"/>
          <w:szCs w:val="32"/>
          <w:highlight w:val="none"/>
          <w:u w:val="single"/>
          <w:lang w:val="en-US" w:eastAsia="zh-CN"/>
        </w:rPr>
        <w:t xml:space="preserve"> </w:t>
      </w:r>
      <w:r>
        <w:rPr>
          <w:rFonts w:hint="eastAsia" w:ascii="宋体" w:hAnsi="宋体" w:cs="宋体"/>
          <w:bCs/>
          <w:color w:val="auto"/>
          <w:sz w:val="32"/>
          <w:szCs w:val="32"/>
          <w:highlight w:val="none"/>
          <w:u w:val="single"/>
        </w:rPr>
        <w:t>重庆长安智慧城市运营管理有限公司</w:t>
      </w:r>
      <w:r>
        <w:rPr>
          <w:rFonts w:hint="eastAsia" w:ascii="宋体" w:hAnsi="宋体" w:cs="宋体"/>
          <w:bCs/>
          <w:color w:val="auto"/>
          <w:sz w:val="32"/>
          <w:szCs w:val="32"/>
          <w:highlight w:val="none"/>
          <w:u w:val="single"/>
          <w:lang w:val="en-US" w:eastAsia="zh-CN"/>
        </w:rPr>
        <w:t xml:space="preserve"> </w:t>
      </w:r>
    </w:p>
    <w:p>
      <w:pPr>
        <w:pStyle w:val="139"/>
        <w:keepNext w:val="0"/>
        <w:keepLines w:val="0"/>
        <w:pageBreakBefore w:val="0"/>
        <w:widowControl w:val="0"/>
        <w:kinsoku/>
        <w:wordWrap/>
        <w:overflowPunct/>
        <w:topLinePunct w:val="0"/>
        <w:autoSpaceDE/>
        <w:autoSpaceDN/>
        <w:bidi w:val="0"/>
        <w:adjustRightInd/>
        <w:snapToGrid/>
        <w:spacing w:afterAutospacing="0" w:line="720" w:lineRule="auto"/>
        <w:ind w:left="0" w:firstLine="0" w:firstLineChars="0"/>
        <w:textAlignment w:val="auto"/>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承包人：</w:t>
      </w:r>
      <w:r>
        <w:rPr>
          <w:rFonts w:hint="eastAsia" w:ascii="宋体" w:hAnsi="宋体" w:cs="宋体"/>
          <w:bCs/>
          <w:color w:val="auto"/>
          <w:sz w:val="32"/>
          <w:szCs w:val="32"/>
          <w:highlight w:val="none"/>
          <w:u w:val="single"/>
          <w:lang w:val="en-US" w:eastAsia="zh-CN"/>
        </w:rPr>
        <w:t xml:space="preserve">                                  </w:t>
      </w:r>
    </w:p>
    <w:p>
      <w:pPr>
        <w:jc w:val="center"/>
        <w:rPr>
          <w:rFonts w:hint="eastAsia" w:ascii="宋体" w:hAnsi="宋体"/>
          <w:b/>
          <w:bCs/>
          <w:sz w:val="32"/>
          <w:szCs w:val="40"/>
          <w:lang w:val="en-US" w:eastAsia="zh-CN"/>
        </w:rPr>
      </w:pPr>
    </w:p>
    <w:p>
      <w:pPr>
        <w:jc w:val="center"/>
        <w:rPr>
          <w:rFonts w:hint="eastAsia" w:ascii="宋体" w:hAnsi="宋体"/>
          <w:b/>
          <w:bCs/>
          <w:sz w:val="32"/>
          <w:szCs w:val="40"/>
          <w:lang w:val="en-US" w:eastAsia="zh-CN"/>
        </w:rPr>
      </w:pPr>
    </w:p>
    <w:p>
      <w:pPr>
        <w:jc w:val="both"/>
        <w:rPr>
          <w:rFonts w:hint="eastAsia" w:ascii="宋体" w:hAnsi="宋体"/>
          <w:b/>
          <w:bCs/>
          <w:sz w:val="36"/>
          <w:szCs w:val="44"/>
          <w:lang w:val="en-US" w:eastAsia="zh-CN"/>
        </w:rPr>
      </w:pPr>
    </w:p>
    <w:p>
      <w:pPr>
        <w:jc w:val="center"/>
        <w:rPr>
          <w:rFonts w:ascii="宋体" w:hAnsi="宋体"/>
          <w:b/>
        </w:rPr>
      </w:pPr>
      <w:r>
        <w:rPr>
          <w:rFonts w:hint="eastAsia" w:ascii="宋体" w:hAnsi="宋体"/>
          <w:b/>
          <w:bCs/>
          <w:sz w:val="36"/>
          <w:szCs w:val="44"/>
          <w:lang w:val="en-US" w:eastAsia="zh-CN"/>
        </w:rPr>
        <w:t>2025年  月  日</w:t>
      </w:r>
      <w:r>
        <w:rPr>
          <w:rFonts w:ascii="宋体" w:hAnsi="宋体"/>
        </w:rPr>
        <w:br w:type="page"/>
      </w:r>
    </w:p>
    <w:p>
      <w:pPr>
        <w:pStyle w:val="4"/>
        <w:jc w:val="center"/>
        <w:rPr>
          <w:rFonts w:ascii="宋体" w:hAnsi="宋体"/>
          <w:b/>
          <w:bCs w:val="0"/>
          <w:sz w:val="48"/>
          <w:szCs w:val="48"/>
        </w:rPr>
      </w:pPr>
      <w:bookmarkStart w:id="613" w:name="_Toc351203494"/>
      <w:r>
        <w:rPr>
          <w:rFonts w:hint="eastAsia" w:ascii="宋体" w:hAnsi="宋体"/>
          <w:b/>
          <w:bCs w:val="0"/>
          <w:sz w:val="48"/>
          <w:szCs w:val="48"/>
          <w:lang w:val="en-US" w:eastAsia="zh-CN"/>
        </w:rPr>
        <w:t>施工合同</w:t>
      </w:r>
    </w:p>
    <w:bookmarkEnd w:id="613"/>
    <w:p>
      <w:pPr>
        <w:snapToGrid w:val="0"/>
        <w:spacing w:line="600" w:lineRule="exact"/>
        <w:ind w:firstLine="480" w:firstLineChars="200"/>
        <w:rPr>
          <w:rFonts w:ascii="宋体" w:hAnsi="宋体"/>
          <w:sz w:val="24"/>
        </w:rPr>
      </w:pPr>
      <w:bookmarkStart w:id="614" w:name="_Toc351203632"/>
    </w:p>
    <w:p>
      <w:pPr>
        <w:snapToGrid w:val="0"/>
        <w:spacing w:line="360" w:lineRule="auto"/>
        <w:ind w:firstLine="422" w:firstLineChars="200"/>
        <w:rPr>
          <w:rFonts w:hint="eastAsia" w:ascii="宋体" w:hAnsi="宋体" w:eastAsia="宋体" w:cs="宋体"/>
          <w:highlight w:val="none"/>
          <w:lang w:eastAsia="zh-CN"/>
        </w:rPr>
      </w:pPr>
      <w:r>
        <w:rPr>
          <w:rFonts w:hint="eastAsia" w:ascii="宋体" w:hAnsi="宋体"/>
          <w:b/>
          <w:szCs w:val="21"/>
        </w:rPr>
        <w:t>发包人（全称）：</w:t>
      </w:r>
      <w:bookmarkStart w:id="615" w:name="OLE_LINK3"/>
      <w:r>
        <w:rPr>
          <w:rFonts w:hint="eastAsia" w:ascii="宋体" w:hAnsi="宋体" w:eastAsia="宋体" w:cs="宋体"/>
          <w:highlight w:val="none"/>
          <w:u w:val="single"/>
          <w:lang w:eastAsia="zh-CN"/>
        </w:rPr>
        <w:t>重庆长安智慧城市运营管理有限公司</w:t>
      </w:r>
      <w:bookmarkEnd w:id="615"/>
      <w:bookmarkStart w:id="616" w:name="OLE_LINK4"/>
      <w:r>
        <w:rPr>
          <w:rFonts w:hint="eastAsia" w:ascii="宋体" w:hAnsi="宋体" w:eastAsia="宋体" w:cs="宋体"/>
          <w:highlight w:val="none"/>
          <w:lang w:eastAsia="zh-CN"/>
        </w:rPr>
        <w:t>（以下简称“甲方”</w:t>
      </w:r>
      <w:r>
        <w:rPr>
          <w:rFonts w:hint="eastAsia" w:ascii="宋体" w:hAnsi="宋体" w:cs="宋体"/>
          <w:highlight w:val="none"/>
          <w:lang w:eastAsia="zh-CN"/>
        </w:rPr>
        <w:t>）</w:t>
      </w:r>
      <w:bookmarkEnd w:id="616"/>
    </w:p>
    <w:p>
      <w:pPr>
        <w:snapToGrid w:val="0"/>
        <w:spacing w:line="360" w:lineRule="auto"/>
        <w:ind w:firstLine="422" w:firstLineChars="200"/>
        <w:rPr>
          <w:rFonts w:hint="eastAsia" w:ascii="宋体" w:hAnsi="宋体" w:cs="宋体"/>
          <w:b w:val="0"/>
          <w:szCs w:val="24"/>
          <w:highlight w:val="none"/>
          <w:u w:val="none"/>
        </w:rPr>
      </w:pPr>
      <w:r>
        <w:rPr>
          <w:rFonts w:hint="eastAsia" w:ascii="宋体" w:hAnsi="宋体"/>
          <w:b/>
          <w:szCs w:val="21"/>
        </w:rPr>
        <w:t>承包人（全称）：</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highlight w:val="none"/>
          <w:lang w:eastAsia="zh-CN"/>
        </w:rPr>
        <w:t>（以下简称“</w:t>
      </w:r>
      <w:r>
        <w:rPr>
          <w:rFonts w:hint="eastAsia" w:ascii="宋体" w:hAnsi="宋体" w:cs="宋体"/>
          <w:highlight w:val="none"/>
          <w:lang w:eastAsia="zh-CN"/>
        </w:rPr>
        <w:t>乙</w:t>
      </w:r>
      <w:r>
        <w:rPr>
          <w:rFonts w:hint="eastAsia" w:ascii="宋体" w:hAnsi="宋体" w:eastAsia="宋体" w:cs="宋体"/>
          <w:highlight w:val="none"/>
          <w:lang w:eastAsia="zh-CN"/>
        </w:rPr>
        <w:t>方”</w:t>
      </w:r>
      <w:r>
        <w:rPr>
          <w:rFonts w:hint="eastAsia" w:ascii="宋体" w:hAnsi="宋体" w:cs="宋体"/>
          <w:highlight w:val="none"/>
          <w:lang w:eastAsia="zh-CN"/>
        </w:rPr>
        <w:t>）</w:t>
      </w:r>
    </w:p>
    <w:p>
      <w:pPr>
        <w:spacing w:line="480" w:lineRule="auto"/>
        <w:jc w:val="center"/>
        <w:rPr>
          <w:rFonts w:hint="eastAsia" w:ascii="宋体" w:hAnsi="宋体"/>
          <w:szCs w:val="21"/>
          <w:u w:val="single"/>
        </w:rPr>
      </w:pPr>
      <w:r>
        <w:rPr>
          <w:rFonts w:hint="eastAsia" w:ascii="宋体" w:hAnsi="宋体"/>
          <w:szCs w:val="21"/>
        </w:rPr>
        <w:t>根据《中华人民共和国民法典》、《中华人民共和国建筑法》及有关法律、法规规定，遵循平等、自愿、公平和诚实信用的原则，双方就</w:t>
      </w:r>
      <w:r>
        <w:rPr>
          <w:rFonts w:hint="eastAsia" w:ascii="宋体" w:hAnsi="宋体"/>
          <w:szCs w:val="21"/>
          <w:u w:val="single"/>
        </w:rPr>
        <w:t>长安锦绣城</w:t>
      </w:r>
      <w:r>
        <w:rPr>
          <w:rFonts w:hint="eastAsia" w:ascii="宋体" w:hAnsi="宋体"/>
          <w:szCs w:val="21"/>
          <w:u w:val="single"/>
          <w:lang w:val="en-US" w:eastAsia="zh-CN"/>
        </w:rPr>
        <w:t>4</w:t>
      </w:r>
      <w:r>
        <w:rPr>
          <w:rFonts w:hint="eastAsia" w:ascii="宋体" w:hAnsi="宋体"/>
          <w:szCs w:val="21"/>
          <w:u w:val="single"/>
        </w:rPr>
        <w:t>栋外墙</w:t>
      </w:r>
      <w:r>
        <w:rPr>
          <w:rFonts w:hint="eastAsia" w:ascii="宋体" w:hAnsi="宋体"/>
          <w:szCs w:val="21"/>
          <w:u w:val="single"/>
          <w:lang w:val="en-US" w:eastAsia="zh-CN"/>
        </w:rPr>
        <w:t>及门头防水维修</w:t>
      </w:r>
      <w:r>
        <w:rPr>
          <w:rFonts w:hint="eastAsia" w:ascii="宋体" w:hAnsi="宋体"/>
          <w:szCs w:val="21"/>
          <w:u w:val="single"/>
        </w:rPr>
        <w:t>工程</w:t>
      </w:r>
    </w:p>
    <w:p>
      <w:pPr>
        <w:spacing w:line="360" w:lineRule="auto"/>
        <w:ind w:firstLine="420" w:firstLineChars="200"/>
        <w:rPr>
          <w:rFonts w:ascii="宋体" w:hAnsi="宋体"/>
          <w:b/>
          <w:szCs w:val="21"/>
          <w:u w:val="single"/>
        </w:rPr>
      </w:pPr>
      <w:r>
        <w:rPr>
          <w:rFonts w:hint="eastAsia" w:ascii="宋体" w:hAnsi="宋体"/>
          <w:szCs w:val="21"/>
        </w:rPr>
        <w:t>施工及有关事项协商一致，共同达成如下协议：</w:t>
      </w:r>
    </w:p>
    <w:p>
      <w:pPr>
        <w:pStyle w:val="5"/>
        <w:keepNext/>
        <w:keepLines/>
        <w:spacing w:before="120" w:after="120" w:line="360" w:lineRule="auto"/>
        <w:ind w:firstLine="422" w:firstLineChars="200"/>
        <w:jc w:val="both"/>
        <w:rPr>
          <w:kern w:val="2"/>
          <w:sz w:val="21"/>
          <w:szCs w:val="21"/>
        </w:rPr>
      </w:pPr>
      <w:bookmarkStart w:id="617" w:name="_Toc532377166"/>
      <w:bookmarkStart w:id="618" w:name="_Toc532375573"/>
      <w:bookmarkStart w:id="619" w:name="_Toc351203481"/>
      <w:r>
        <w:rPr>
          <w:rFonts w:hint="eastAsia"/>
          <w:kern w:val="2"/>
          <w:sz w:val="21"/>
          <w:szCs w:val="21"/>
        </w:rPr>
        <w:t>一、工程概况</w:t>
      </w:r>
      <w:bookmarkEnd w:id="617"/>
      <w:bookmarkEnd w:id="618"/>
      <w:bookmarkEnd w:id="619"/>
    </w:p>
    <w:p>
      <w:pPr>
        <w:snapToGrid w:val="0"/>
        <w:spacing w:line="360" w:lineRule="auto"/>
        <w:ind w:firstLine="420" w:firstLineChars="200"/>
        <w:rPr>
          <w:rFonts w:ascii="宋体" w:hAnsi="宋体"/>
          <w:szCs w:val="21"/>
          <w:u w:val="single"/>
        </w:rPr>
      </w:pPr>
      <w:r>
        <w:rPr>
          <w:rFonts w:hint="eastAsia" w:ascii="宋体" w:hAnsi="宋体"/>
          <w:bCs/>
          <w:szCs w:val="21"/>
        </w:rPr>
        <w:t>1.工程名称</w:t>
      </w:r>
      <w:r>
        <w:rPr>
          <w:rFonts w:hint="eastAsia" w:ascii="宋体" w:hAnsi="宋体"/>
          <w:szCs w:val="21"/>
        </w:rPr>
        <w:t>：</w:t>
      </w:r>
      <w:r>
        <w:rPr>
          <w:rFonts w:hint="eastAsia" w:ascii="宋体" w:hAnsi="宋体"/>
          <w:szCs w:val="21"/>
          <w:u w:val="single"/>
        </w:rPr>
        <w:t>长安锦绣城</w:t>
      </w:r>
      <w:r>
        <w:rPr>
          <w:rFonts w:hint="eastAsia" w:ascii="宋体" w:hAnsi="宋体"/>
          <w:szCs w:val="21"/>
          <w:u w:val="single"/>
          <w:lang w:val="en-US" w:eastAsia="zh-CN"/>
        </w:rPr>
        <w:t>4</w:t>
      </w:r>
      <w:r>
        <w:rPr>
          <w:rFonts w:hint="eastAsia" w:ascii="宋体" w:hAnsi="宋体"/>
          <w:szCs w:val="21"/>
          <w:u w:val="single"/>
        </w:rPr>
        <w:t>栋外墙</w:t>
      </w:r>
      <w:r>
        <w:rPr>
          <w:rFonts w:hint="eastAsia" w:ascii="宋体" w:hAnsi="宋体"/>
          <w:szCs w:val="21"/>
          <w:u w:val="single"/>
          <w:lang w:val="en-US" w:eastAsia="zh-CN"/>
        </w:rPr>
        <w:t>及门头防水维修</w:t>
      </w:r>
      <w:r>
        <w:rPr>
          <w:rFonts w:hint="eastAsia" w:ascii="宋体" w:hAnsi="宋体"/>
          <w:szCs w:val="21"/>
          <w:u w:val="single"/>
        </w:rPr>
        <w:t>工程</w:t>
      </w:r>
      <w:r>
        <w:rPr>
          <w:rFonts w:hint="eastAsia" w:ascii="宋体" w:hAnsi="宋体" w:eastAsia="宋体" w:cs="宋体"/>
          <w:highlight w:val="none"/>
          <w:u w:val="single"/>
          <w:lang w:eastAsia="zh-CN"/>
        </w:rPr>
        <w:t>（以下简称“工程”）</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bCs/>
          <w:szCs w:val="21"/>
        </w:rPr>
      </w:pPr>
      <w:r>
        <w:rPr>
          <w:rFonts w:hint="eastAsia" w:ascii="宋体" w:hAnsi="宋体"/>
          <w:bCs/>
          <w:szCs w:val="21"/>
        </w:rPr>
        <w:t>2.工程地点：</w:t>
      </w:r>
      <w:r>
        <w:rPr>
          <w:rFonts w:hint="eastAsia" w:ascii="宋体" w:hAnsi="宋体"/>
          <w:szCs w:val="21"/>
          <w:u w:val="single"/>
        </w:rPr>
        <w:t xml:space="preserve"> </w:t>
      </w:r>
      <w:bookmarkStart w:id="620" w:name="OLE_LINK5"/>
      <w:r>
        <w:rPr>
          <w:rFonts w:hint="eastAsia" w:ascii="宋体" w:hAnsi="宋体" w:eastAsia="宋体" w:cs="宋体"/>
          <w:color w:val="auto"/>
          <w:highlight w:val="none"/>
          <w:u w:val="single"/>
          <w:lang w:val="en-US" w:eastAsia="zh-CN"/>
        </w:rPr>
        <w:t>重庆市渝北区龙溪街道华龙大道99号</w:t>
      </w:r>
      <w:bookmarkEnd w:id="620"/>
      <w:r>
        <w:rPr>
          <w:rFonts w:hint="eastAsia" w:ascii="宋体" w:hAnsi="宋体"/>
          <w:szCs w:val="21"/>
          <w:u w:val="single"/>
        </w:rPr>
        <w:t xml:space="preserve"> </w:t>
      </w:r>
      <w:r>
        <w:rPr>
          <w:rFonts w:hint="eastAsia" w:ascii="宋体" w:hAnsi="宋体"/>
          <w:szCs w:val="21"/>
        </w:rPr>
        <w:t>。</w:t>
      </w:r>
    </w:p>
    <w:p>
      <w:pPr>
        <w:snapToGrid w:val="0"/>
        <w:spacing w:line="360" w:lineRule="auto"/>
        <w:ind w:firstLine="420" w:firstLineChars="200"/>
        <w:jc w:val="left"/>
        <w:rPr>
          <w:rFonts w:ascii="宋体" w:hAnsi="宋体"/>
          <w:bCs/>
          <w:szCs w:val="21"/>
        </w:rPr>
      </w:pPr>
      <w:r>
        <w:rPr>
          <w:rFonts w:hint="eastAsia" w:ascii="宋体" w:hAnsi="宋体"/>
          <w:bCs/>
          <w:szCs w:val="21"/>
          <w:lang w:val="en-US" w:eastAsia="zh-CN"/>
        </w:rPr>
        <w:t>3</w:t>
      </w:r>
      <w:r>
        <w:rPr>
          <w:rFonts w:hint="eastAsia" w:ascii="宋体" w:hAnsi="宋体"/>
          <w:bCs/>
          <w:szCs w:val="21"/>
        </w:rPr>
        <w:t>.工程承包范围：</w:t>
      </w:r>
      <w:r>
        <w:rPr>
          <w:rFonts w:hint="eastAsia" w:ascii="宋体" w:hAnsi="宋体"/>
          <w:szCs w:val="21"/>
          <w:u w:val="single"/>
        </w:rPr>
        <w:t>长安锦绣城</w:t>
      </w:r>
      <w:r>
        <w:rPr>
          <w:rFonts w:hint="eastAsia" w:ascii="宋体" w:hAnsi="宋体"/>
          <w:szCs w:val="21"/>
          <w:u w:val="single"/>
          <w:lang w:val="en-US" w:eastAsia="zh-CN"/>
        </w:rPr>
        <w:t>4</w:t>
      </w:r>
      <w:r>
        <w:rPr>
          <w:rFonts w:hint="eastAsia" w:ascii="宋体" w:hAnsi="宋体"/>
          <w:szCs w:val="21"/>
          <w:u w:val="single"/>
        </w:rPr>
        <w:t>栋外墙</w:t>
      </w:r>
      <w:r>
        <w:rPr>
          <w:rFonts w:hint="eastAsia" w:ascii="宋体" w:hAnsi="宋体"/>
          <w:szCs w:val="21"/>
          <w:u w:val="single"/>
          <w:lang w:val="en-US" w:eastAsia="zh-CN"/>
        </w:rPr>
        <w:t>及门头防水维修</w:t>
      </w:r>
      <w:r>
        <w:rPr>
          <w:rFonts w:hint="eastAsia" w:ascii="宋体" w:hAnsi="宋体"/>
          <w:szCs w:val="21"/>
          <w:u w:val="single"/>
        </w:rPr>
        <w:t>工程</w:t>
      </w:r>
      <w:r>
        <w:rPr>
          <w:rFonts w:hint="eastAsia" w:ascii="宋体" w:hAnsi="宋体"/>
          <w:bCs/>
          <w:szCs w:val="21"/>
          <w:u w:val="single"/>
        </w:rPr>
        <w:t>（</w:t>
      </w:r>
      <w:r>
        <w:rPr>
          <w:rFonts w:hint="eastAsia" w:ascii="宋体" w:hAnsi="宋体"/>
          <w:bCs/>
          <w:szCs w:val="21"/>
          <w:u w:val="single"/>
          <w:lang w:eastAsia="zh-CN"/>
        </w:rPr>
        <w:t>，</w:t>
      </w:r>
      <w:r>
        <w:rPr>
          <w:rFonts w:hint="eastAsia" w:ascii="宋体" w:hAnsi="宋体" w:eastAsia="宋体" w:cs="宋体"/>
          <w:highlight w:val="none"/>
          <w:u w:val="single"/>
          <w:lang w:val="en-US" w:eastAsia="zh-CN"/>
        </w:rPr>
        <w:t>按照甲方所述的施工现场和结合甲方确认的施工方案，负责对项目进行维修整改作业</w:t>
      </w:r>
      <w:r>
        <w:rPr>
          <w:rFonts w:hint="eastAsia" w:ascii="宋体" w:hAnsi="宋体"/>
          <w:szCs w:val="21"/>
          <w:u w:val="single"/>
        </w:rPr>
        <w:t xml:space="preserve"> </w:t>
      </w:r>
      <w:r>
        <w:rPr>
          <w:rFonts w:hint="eastAsia" w:ascii="宋体" w:hAnsi="宋体"/>
          <w:szCs w:val="21"/>
        </w:rPr>
        <w:t>。</w:t>
      </w:r>
    </w:p>
    <w:p>
      <w:pPr>
        <w:pStyle w:val="5"/>
        <w:keepNext/>
        <w:keepLines/>
        <w:spacing w:before="120" w:after="120" w:line="360" w:lineRule="auto"/>
        <w:ind w:firstLine="422" w:firstLineChars="200"/>
        <w:jc w:val="both"/>
        <w:rPr>
          <w:kern w:val="2"/>
          <w:sz w:val="21"/>
          <w:szCs w:val="21"/>
        </w:rPr>
      </w:pPr>
      <w:bookmarkStart w:id="621" w:name="_Toc532375574"/>
      <w:bookmarkStart w:id="622" w:name="_Toc532377167"/>
      <w:bookmarkStart w:id="623" w:name="_Toc351203482"/>
      <w:r>
        <w:rPr>
          <w:rFonts w:hint="eastAsia"/>
          <w:kern w:val="2"/>
          <w:sz w:val="21"/>
          <w:szCs w:val="21"/>
        </w:rPr>
        <w:t>二、合同工期</w:t>
      </w:r>
      <w:bookmarkEnd w:id="621"/>
      <w:bookmarkEnd w:id="622"/>
      <w:bookmarkEnd w:id="623"/>
    </w:p>
    <w:p>
      <w:pPr>
        <w:spacing w:line="360" w:lineRule="auto"/>
        <w:ind w:firstLine="420" w:firstLineChars="200"/>
        <w:rPr>
          <w:rFonts w:ascii="宋体" w:hAnsi="宋体"/>
          <w:bCs/>
          <w:szCs w:val="21"/>
        </w:rPr>
      </w:pPr>
      <w:r>
        <w:rPr>
          <w:rFonts w:hint="eastAsia" w:ascii="宋体" w:hAnsi="宋体"/>
          <w:bCs/>
          <w:szCs w:val="21"/>
        </w:rPr>
        <w:t>工期：</w:t>
      </w:r>
      <w:r>
        <w:rPr>
          <w:rFonts w:hint="eastAsia" w:ascii="宋体" w:hAnsi="宋体"/>
          <w:bCs/>
          <w:szCs w:val="21"/>
          <w:u w:val="single"/>
        </w:rPr>
        <w:t></w:t>
      </w:r>
      <w:r>
        <w:rPr>
          <w:rFonts w:hint="eastAsia" w:ascii="宋体" w:hAnsi="宋体"/>
          <w:bCs/>
          <w:szCs w:val="21"/>
          <w:u w:val="single"/>
          <w:lang w:val="en-US" w:eastAsia="zh-CN"/>
        </w:rPr>
        <w:t xml:space="preserve">  </w:t>
      </w:r>
      <w:r>
        <w:rPr>
          <w:rFonts w:hint="eastAsia" w:ascii="宋体" w:hAnsi="宋体"/>
          <w:bCs/>
          <w:szCs w:val="21"/>
          <w:u w:val="single"/>
        </w:rPr>
        <w:t>日历天</w:t>
      </w:r>
      <w:r>
        <w:rPr>
          <w:rFonts w:hint="eastAsia" w:ascii="宋体" w:hAnsi="宋体" w:eastAsia="宋体" w:cs="宋体"/>
          <w:highlight w:val="none"/>
          <w:lang w:eastAsia="zh-CN"/>
        </w:rPr>
        <w:t>（下雨或特殊情况顺延工期）</w:t>
      </w:r>
      <w:r>
        <w:rPr>
          <w:rFonts w:hint="eastAsia" w:ascii="宋体" w:hAnsi="宋体"/>
          <w:bCs/>
          <w:szCs w:val="21"/>
        </w:rPr>
        <w:t>。</w:t>
      </w:r>
    </w:p>
    <w:p>
      <w:pPr>
        <w:spacing w:line="360" w:lineRule="auto"/>
        <w:ind w:firstLine="420" w:firstLineChars="200"/>
        <w:rPr>
          <w:rFonts w:ascii="宋体" w:hAnsi="宋体"/>
          <w:bCs/>
          <w:szCs w:val="21"/>
        </w:rPr>
      </w:pPr>
      <w:r>
        <w:rPr>
          <w:rFonts w:hint="eastAsia" w:ascii="宋体" w:hAnsi="宋体"/>
          <w:bCs/>
          <w:szCs w:val="21"/>
        </w:rPr>
        <w:t>计划开工日期：</w:t>
      </w:r>
      <w:r>
        <w:rPr>
          <w:rFonts w:hint="eastAsia" w:ascii="宋体" w:hAnsi="宋体"/>
          <w:bCs/>
          <w:szCs w:val="21"/>
          <w:u w:val="none"/>
        </w:rPr>
        <w:t></w:t>
      </w:r>
      <w:r>
        <w:rPr>
          <w:rFonts w:hint="eastAsia" w:ascii="宋体" w:hAnsi="宋体"/>
          <w:bCs/>
          <w:szCs w:val="21"/>
        </w:rPr>
        <w:t>年</w:t>
      </w:r>
      <w:r>
        <w:rPr>
          <w:rFonts w:hint="eastAsia" w:ascii="宋体" w:hAnsi="宋体"/>
          <w:bCs/>
          <w:szCs w:val="21"/>
          <w:u w:val="single"/>
        </w:rPr>
        <w:t></w:t>
      </w:r>
      <w:r>
        <w:rPr>
          <w:rFonts w:hint="eastAsia" w:ascii="宋体" w:hAnsi="宋体"/>
          <w:bCs/>
          <w:szCs w:val="21"/>
        </w:rPr>
        <w:t>月</w:t>
      </w:r>
      <w:r>
        <w:rPr>
          <w:rFonts w:hint="eastAsia" w:ascii="宋体" w:hAnsi="宋体"/>
          <w:bCs/>
          <w:szCs w:val="21"/>
          <w:u w:val="single"/>
        </w:rPr>
        <w:t></w:t>
      </w:r>
      <w:r>
        <w:rPr>
          <w:rFonts w:hint="eastAsia" w:ascii="宋体" w:hAnsi="宋体"/>
          <w:bCs/>
          <w:szCs w:val="21"/>
        </w:rPr>
        <w:t>日。</w:t>
      </w:r>
    </w:p>
    <w:p>
      <w:pPr>
        <w:spacing w:line="360" w:lineRule="auto"/>
        <w:ind w:firstLine="420" w:firstLineChars="200"/>
        <w:rPr>
          <w:rFonts w:ascii="宋体" w:hAnsi="宋体"/>
          <w:bCs/>
          <w:szCs w:val="21"/>
        </w:rPr>
      </w:pPr>
      <w:r>
        <w:rPr>
          <w:rFonts w:hint="eastAsia" w:ascii="宋体" w:hAnsi="宋体"/>
          <w:bCs/>
          <w:szCs w:val="21"/>
        </w:rPr>
        <w:t>计划竣工日期：</w:t>
      </w:r>
      <w:r>
        <w:rPr>
          <w:rFonts w:hint="eastAsia" w:ascii="宋体" w:hAnsi="宋体"/>
          <w:bCs/>
          <w:szCs w:val="21"/>
          <w:u w:val="single"/>
        </w:rPr>
        <w:t></w:t>
      </w:r>
      <w:r>
        <w:rPr>
          <w:rFonts w:hint="eastAsia" w:ascii="宋体" w:hAnsi="宋体"/>
          <w:bCs/>
          <w:szCs w:val="21"/>
        </w:rPr>
        <w:t>年</w:t>
      </w:r>
      <w:r>
        <w:rPr>
          <w:rFonts w:hint="eastAsia" w:ascii="宋体" w:hAnsi="宋体"/>
          <w:bCs/>
          <w:szCs w:val="21"/>
          <w:u w:val="single"/>
        </w:rPr>
        <w:t></w:t>
      </w:r>
      <w:r>
        <w:rPr>
          <w:rFonts w:hint="eastAsia" w:ascii="宋体" w:hAnsi="宋体"/>
          <w:bCs/>
          <w:szCs w:val="21"/>
        </w:rPr>
        <w:t>月</w:t>
      </w:r>
      <w:r>
        <w:rPr>
          <w:rFonts w:hint="eastAsia" w:ascii="宋体" w:hAnsi="宋体"/>
          <w:bCs/>
          <w:szCs w:val="21"/>
          <w:u w:val="single"/>
        </w:rPr>
        <w:t></w:t>
      </w:r>
      <w:r>
        <w:rPr>
          <w:rFonts w:hint="eastAsia" w:ascii="宋体" w:hAnsi="宋体"/>
          <w:bCs/>
          <w:szCs w:val="21"/>
        </w:rPr>
        <w:t>日。</w:t>
      </w:r>
    </w:p>
    <w:p>
      <w:pPr>
        <w:pStyle w:val="5"/>
        <w:keepNext/>
        <w:keepLines/>
        <w:spacing w:before="120" w:after="120" w:line="360" w:lineRule="auto"/>
        <w:ind w:firstLine="422" w:firstLineChars="200"/>
        <w:jc w:val="both"/>
        <w:rPr>
          <w:kern w:val="2"/>
          <w:sz w:val="21"/>
          <w:szCs w:val="21"/>
        </w:rPr>
      </w:pPr>
      <w:bookmarkStart w:id="624" w:name="_Toc351203483"/>
      <w:bookmarkStart w:id="625" w:name="_Toc532377168"/>
      <w:bookmarkStart w:id="626" w:name="_Toc532375575"/>
      <w:r>
        <w:rPr>
          <w:rFonts w:hint="eastAsia"/>
          <w:kern w:val="2"/>
          <w:sz w:val="21"/>
          <w:szCs w:val="21"/>
        </w:rPr>
        <w:t>三、质量标准</w:t>
      </w:r>
      <w:bookmarkEnd w:id="624"/>
      <w:bookmarkEnd w:id="625"/>
      <w:bookmarkEnd w:id="626"/>
    </w:p>
    <w:p>
      <w:pPr>
        <w:snapToGrid w:val="0"/>
        <w:spacing w:line="360" w:lineRule="auto"/>
        <w:ind w:firstLine="420" w:firstLineChars="200"/>
        <w:rPr>
          <w:rFonts w:ascii="宋体" w:hAnsi="宋体"/>
          <w:szCs w:val="21"/>
        </w:rPr>
      </w:pPr>
      <w:r>
        <w:rPr>
          <w:rFonts w:hint="eastAsia" w:ascii="宋体" w:hAnsi="宋体"/>
          <w:szCs w:val="21"/>
        </w:rPr>
        <w:t>工程质量符合强制性质量标准，</w:t>
      </w:r>
      <w:r>
        <w:rPr>
          <w:rFonts w:hint="eastAsia" w:ascii="宋体" w:hAnsi="宋体"/>
          <w:szCs w:val="21"/>
          <w:u w:val="single"/>
        </w:rPr>
        <w:t>符合国家和重庆市现行有关施工质量验收规范和标准要求，并达到合格</w:t>
      </w:r>
      <w:r>
        <w:rPr>
          <w:rFonts w:hint="eastAsia" w:ascii="宋体" w:hAnsi="宋体"/>
          <w:szCs w:val="21"/>
        </w:rPr>
        <w:t>标准。</w:t>
      </w:r>
    </w:p>
    <w:p>
      <w:pPr>
        <w:pStyle w:val="5"/>
        <w:keepNext/>
        <w:keepLines/>
        <w:spacing w:before="120" w:after="120" w:line="360" w:lineRule="auto"/>
        <w:ind w:firstLine="422" w:firstLineChars="200"/>
        <w:jc w:val="both"/>
        <w:rPr>
          <w:kern w:val="2"/>
          <w:sz w:val="21"/>
          <w:szCs w:val="21"/>
        </w:rPr>
      </w:pPr>
      <w:bookmarkStart w:id="627" w:name="_Toc532375576"/>
      <w:bookmarkStart w:id="628" w:name="_Toc532377169"/>
      <w:bookmarkStart w:id="629" w:name="_Toc351203484"/>
      <w:r>
        <w:rPr>
          <w:rFonts w:hint="eastAsia"/>
          <w:kern w:val="2"/>
          <w:sz w:val="21"/>
          <w:szCs w:val="21"/>
        </w:rPr>
        <w:t>四、签约合同价与合同价格形式</w:t>
      </w:r>
      <w:bookmarkEnd w:id="627"/>
      <w:bookmarkEnd w:id="628"/>
      <w:bookmarkEnd w:id="629"/>
      <w:r>
        <w:rPr>
          <w:rFonts w:hint="eastAsia"/>
          <w:kern w:val="2"/>
          <w:sz w:val="21"/>
          <w:szCs w:val="21"/>
        </w:rPr>
        <w:tab/>
      </w:r>
    </w:p>
    <w:p>
      <w:pPr>
        <w:spacing w:line="360" w:lineRule="auto"/>
        <w:ind w:firstLine="420" w:firstLineChars="200"/>
        <w:rPr>
          <w:rFonts w:ascii="宋体" w:hAnsi="宋体"/>
          <w:szCs w:val="21"/>
        </w:rPr>
      </w:pPr>
      <w:r>
        <w:rPr>
          <w:rFonts w:hint="eastAsia" w:ascii="宋体" w:hAnsi="宋体"/>
          <w:szCs w:val="21"/>
        </w:rPr>
        <w:t>1.承包人投标函中承诺的中标价为：</w:t>
      </w:r>
    </w:p>
    <w:p>
      <w:pPr>
        <w:spacing w:line="360" w:lineRule="auto"/>
        <w:ind w:firstLine="420" w:firstLineChars="200"/>
        <w:rPr>
          <w:rFonts w:ascii="宋体" w:hAnsi="宋体"/>
          <w:szCs w:val="21"/>
        </w:rPr>
      </w:pPr>
      <w:r>
        <w:rPr>
          <w:rFonts w:hint="eastAsia" w:ascii="宋体" w:hAnsi="宋体"/>
          <w:szCs w:val="21"/>
        </w:rPr>
        <w:t>人民币（大写）</w:t>
      </w:r>
      <w:r>
        <w:rPr>
          <w:rFonts w:hint="eastAsia" w:ascii="宋体" w:hAnsi="宋体"/>
          <w:color w:val="auto"/>
          <w:szCs w:val="21"/>
          <w:u w:val="single"/>
          <w:lang w:eastAsia="zh-CN"/>
        </w:rPr>
        <w:t>：</w:t>
      </w:r>
      <w:r>
        <w:rPr>
          <w:rFonts w:hint="eastAsia" w:ascii="宋体" w:hAnsi="宋体"/>
          <w:color w:val="auto"/>
          <w:szCs w:val="21"/>
          <w:u w:val="single"/>
          <w:lang w:val="en-US" w:eastAsia="zh-CN"/>
        </w:rPr>
        <w:t xml:space="preserve">           （小写）：        </w:t>
      </w:r>
      <w:r>
        <w:rPr>
          <w:rFonts w:hint="eastAsia" w:ascii="宋体" w:hAnsi="宋体"/>
          <w:szCs w:val="21"/>
          <w:lang w:eastAsia="zh-CN"/>
        </w:rPr>
        <w:t>（</w:t>
      </w:r>
      <w:r>
        <w:rPr>
          <w:rFonts w:hint="eastAsia" w:ascii="宋体" w:hAnsi="宋体"/>
          <w:szCs w:val="21"/>
          <w:lang w:val="en-US" w:eastAsia="zh-CN"/>
        </w:rPr>
        <w:t>增值税专用发票税率：9%</w:t>
      </w:r>
      <w:r>
        <w:rPr>
          <w:rFonts w:hint="eastAsia" w:ascii="宋体" w:hAnsi="宋体"/>
          <w:szCs w:val="21"/>
          <w:lang w:eastAsia="zh-CN"/>
        </w:rPr>
        <w:t>）</w:t>
      </w:r>
      <w:r>
        <w:rPr>
          <w:rFonts w:hint="eastAsia" w:ascii="宋体" w:hAnsi="宋体"/>
          <w:szCs w:val="21"/>
        </w:rPr>
        <w:t>；</w:t>
      </w:r>
    </w:p>
    <w:p>
      <w:pPr>
        <w:spacing w:line="360" w:lineRule="auto"/>
        <w:ind w:firstLine="420" w:firstLineChars="200"/>
        <w:rPr>
          <w:rFonts w:ascii="宋体" w:hAnsi="宋体"/>
          <w:color w:val="auto"/>
          <w:szCs w:val="21"/>
        </w:rPr>
      </w:pPr>
      <w:r>
        <w:rPr>
          <w:rFonts w:hint="eastAsia" w:ascii="宋体" w:hAnsi="宋体"/>
          <w:szCs w:val="21"/>
        </w:rPr>
        <w:t>2.签约合同价为：</w:t>
      </w:r>
    </w:p>
    <w:p>
      <w:pPr>
        <w:snapToGrid w:val="0"/>
        <w:spacing w:line="360" w:lineRule="auto"/>
        <w:ind w:firstLine="420" w:firstLineChars="200"/>
        <w:rPr>
          <w:rFonts w:hint="eastAsia" w:ascii="宋体" w:hAnsi="宋体"/>
          <w:szCs w:val="21"/>
        </w:rPr>
      </w:pPr>
      <w:r>
        <w:rPr>
          <w:rFonts w:hint="eastAsia" w:ascii="宋体" w:hAnsi="宋体"/>
          <w:color w:val="auto"/>
          <w:szCs w:val="21"/>
        </w:rPr>
        <w:t>人民币（大写）</w:t>
      </w:r>
      <w:bookmarkStart w:id="630" w:name="OLE_LINK2"/>
      <w:r>
        <w:rPr>
          <w:rFonts w:hint="eastAsia" w:ascii="宋体" w:hAnsi="宋体"/>
          <w:color w:val="auto"/>
          <w:szCs w:val="21"/>
          <w:u w:val="single"/>
          <w:lang w:eastAsia="zh-CN"/>
        </w:rPr>
        <w:t>：</w:t>
      </w:r>
      <w:bookmarkEnd w:id="630"/>
      <w:r>
        <w:rPr>
          <w:rFonts w:hint="eastAsia" w:ascii="宋体" w:hAnsi="宋体"/>
          <w:color w:val="auto"/>
          <w:szCs w:val="21"/>
          <w:u w:val="single"/>
          <w:lang w:val="en-US" w:eastAsia="zh-CN"/>
        </w:rPr>
        <w:t xml:space="preserve">           （小写）：         </w:t>
      </w:r>
      <w:r>
        <w:rPr>
          <w:rFonts w:hint="eastAsia" w:ascii="宋体" w:hAnsi="宋体"/>
          <w:szCs w:val="21"/>
          <w:lang w:eastAsia="zh-CN"/>
        </w:rPr>
        <w:t>（</w:t>
      </w:r>
      <w:r>
        <w:rPr>
          <w:rFonts w:hint="eastAsia" w:ascii="宋体" w:hAnsi="宋体"/>
          <w:szCs w:val="21"/>
          <w:lang w:val="en-US" w:eastAsia="zh-CN"/>
        </w:rPr>
        <w:t>增值税专用发票税率：9%</w:t>
      </w:r>
      <w:r>
        <w:rPr>
          <w:rFonts w:hint="eastAsia" w:ascii="宋体" w:hAnsi="宋体"/>
          <w:szCs w:val="21"/>
          <w:lang w:eastAsia="zh-CN"/>
        </w:rPr>
        <w:t>）</w:t>
      </w:r>
      <w:r>
        <w:rPr>
          <w:rFonts w:hint="eastAsia" w:ascii="宋体" w:hAnsi="宋体"/>
          <w:szCs w:val="21"/>
        </w:rPr>
        <w:t>；</w:t>
      </w:r>
    </w:p>
    <w:p>
      <w:pPr>
        <w:pStyle w:val="5"/>
        <w:keepNext/>
        <w:keepLines/>
        <w:spacing w:before="120" w:after="120" w:line="360" w:lineRule="auto"/>
        <w:ind w:firstLine="422" w:firstLineChars="200"/>
        <w:jc w:val="both"/>
        <w:rPr>
          <w:kern w:val="2"/>
          <w:sz w:val="21"/>
          <w:szCs w:val="21"/>
        </w:rPr>
      </w:pPr>
      <w:bookmarkStart w:id="631" w:name="_Toc351203485"/>
      <w:bookmarkStart w:id="632" w:name="_Toc532375577"/>
      <w:bookmarkStart w:id="633" w:name="_Toc532377170"/>
      <w:r>
        <w:rPr>
          <w:rFonts w:hint="eastAsia"/>
          <w:kern w:val="2"/>
          <w:sz w:val="21"/>
          <w:szCs w:val="21"/>
        </w:rPr>
        <w:t>五、</w:t>
      </w:r>
      <w:bookmarkEnd w:id="631"/>
      <w:r>
        <w:rPr>
          <w:rFonts w:hint="eastAsia"/>
          <w:kern w:val="2"/>
          <w:sz w:val="21"/>
          <w:szCs w:val="21"/>
        </w:rPr>
        <w:t>项目经理</w:t>
      </w:r>
      <w:bookmarkEnd w:id="632"/>
      <w:bookmarkEnd w:id="633"/>
    </w:p>
    <w:p>
      <w:pPr>
        <w:spacing w:line="360" w:lineRule="auto"/>
        <w:ind w:firstLine="420" w:firstLineChars="200"/>
        <w:rPr>
          <w:rFonts w:ascii="宋体" w:hAnsi="宋体"/>
          <w:szCs w:val="21"/>
        </w:rPr>
      </w:pPr>
      <w:r>
        <w:rPr>
          <w:rFonts w:hint="eastAsia" w:ascii="宋体" w:hAnsi="宋体"/>
          <w:szCs w:val="21"/>
        </w:rPr>
        <w:t>姓</w:t>
      </w:r>
      <w:r>
        <w:rPr>
          <w:rFonts w:hint="eastAsia" w:ascii="宋体" w:hAnsi="宋体"/>
          <w:szCs w:val="21"/>
          <w:lang w:val="en-US" w:eastAsia="zh-CN"/>
        </w:rPr>
        <w:t xml:space="preserve">    </w:t>
      </w:r>
      <w:r>
        <w:rPr>
          <w:rFonts w:hint="eastAsia" w:ascii="宋体" w:hAnsi="宋体"/>
          <w:szCs w:val="21"/>
        </w:rPr>
        <w:t>名：</w:t>
      </w:r>
      <w:r>
        <w:rPr>
          <w:rFonts w:ascii="宋体" w:hAnsi="宋体"/>
          <w:szCs w:val="21"/>
          <w:u w:val="single"/>
        </w:rPr>
        <w:t xml:space="preserve">       </w:t>
      </w:r>
      <w:r>
        <w:rPr>
          <w:rFonts w:hint="eastAsia" w:ascii="宋体" w:hAnsi="宋体"/>
          <w:szCs w:val="21"/>
          <w:u w:val="single"/>
        </w:rPr>
        <w:t xml:space="preserve">      </w:t>
      </w:r>
    </w:p>
    <w:p>
      <w:pPr>
        <w:spacing w:line="360" w:lineRule="auto"/>
        <w:ind w:firstLine="420" w:firstLineChars="200"/>
        <w:rPr>
          <w:rFonts w:hint="eastAsia" w:ascii="宋体" w:hAnsi="宋体"/>
          <w:szCs w:val="21"/>
        </w:rPr>
      </w:pPr>
      <w:r>
        <w:rPr>
          <w:rFonts w:hint="eastAsia" w:ascii="宋体" w:hAnsi="宋体"/>
          <w:szCs w:val="21"/>
          <w:lang w:eastAsia="zh-CN"/>
        </w:rPr>
        <w:t>联系方式</w:t>
      </w:r>
      <w:r>
        <w:rPr>
          <w:rFonts w:hint="eastAsia" w:ascii="宋体" w:hAnsi="宋体"/>
          <w:szCs w:val="21"/>
        </w:rPr>
        <w:t>：</w:t>
      </w:r>
      <w:r>
        <w:rPr>
          <w:rFonts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ascii="宋体" w:hAnsi="宋体"/>
          <w:szCs w:val="21"/>
          <w:u w:val="single"/>
        </w:rPr>
        <w:t xml:space="preserve">  </w:t>
      </w:r>
    </w:p>
    <w:p>
      <w:pPr>
        <w:pStyle w:val="5"/>
        <w:keepNext/>
        <w:keepLines/>
        <w:spacing w:before="120" w:after="120" w:line="360" w:lineRule="auto"/>
        <w:ind w:firstLine="422" w:firstLineChars="200"/>
        <w:jc w:val="both"/>
        <w:rPr>
          <w:rFonts w:hint="eastAsia" w:eastAsia="宋体"/>
          <w:kern w:val="2"/>
          <w:sz w:val="21"/>
          <w:szCs w:val="21"/>
          <w:lang w:val="en-US" w:eastAsia="zh-CN"/>
        </w:rPr>
      </w:pPr>
      <w:bookmarkStart w:id="634" w:name="_Toc532377173"/>
      <w:bookmarkStart w:id="635" w:name="_Toc351203488"/>
      <w:bookmarkStart w:id="636" w:name="_Toc532375580"/>
      <w:r>
        <w:rPr>
          <w:rFonts w:hint="eastAsia"/>
          <w:kern w:val="2"/>
          <w:sz w:val="21"/>
          <w:szCs w:val="21"/>
          <w:lang w:val="en-US" w:eastAsia="zh-CN"/>
        </w:rPr>
        <w:t>六</w:t>
      </w:r>
      <w:r>
        <w:rPr>
          <w:rFonts w:hint="eastAsia"/>
          <w:kern w:val="2"/>
          <w:sz w:val="21"/>
          <w:szCs w:val="21"/>
        </w:rPr>
        <w:t>、</w:t>
      </w:r>
      <w:bookmarkEnd w:id="634"/>
      <w:bookmarkEnd w:id="635"/>
      <w:bookmarkEnd w:id="636"/>
      <w:r>
        <w:rPr>
          <w:rFonts w:hint="eastAsia"/>
          <w:kern w:val="2"/>
          <w:sz w:val="21"/>
          <w:szCs w:val="21"/>
        </w:rPr>
        <w:t>发包人</w:t>
      </w:r>
      <w:r>
        <w:rPr>
          <w:rFonts w:hint="eastAsia"/>
          <w:kern w:val="2"/>
          <w:sz w:val="21"/>
          <w:szCs w:val="21"/>
          <w:lang w:val="en-US" w:eastAsia="zh-CN"/>
        </w:rPr>
        <w:t>代表</w:t>
      </w:r>
    </w:p>
    <w:p>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Times New Roman"/>
          <w:color w:val="auto"/>
          <w:spacing w:val="0"/>
          <w:szCs w:val="21"/>
          <w:u w:val="single"/>
        </w:rPr>
      </w:pPr>
      <w:r>
        <w:rPr>
          <w:rFonts w:hint="eastAsia" w:ascii="宋体" w:hAnsi="宋体" w:eastAsia="宋体" w:cs="宋体"/>
          <w:color w:val="auto"/>
          <w:spacing w:val="-4"/>
          <w:u w:val="none"/>
        </w:rPr>
        <w:t xml:space="preserve">姓   </w:t>
      </w:r>
      <w:r>
        <w:rPr>
          <w:rFonts w:hint="eastAsia" w:ascii="宋体" w:hAnsi="宋体" w:cs="宋体"/>
          <w:color w:val="auto"/>
          <w:spacing w:val="-4"/>
          <w:u w:val="none"/>
          <w:lang w:val="en-US" w:eastAsia="zh-CN"/>
        </w:rPr>
        <w:t xml:space="preserve"> </w:t>
      </w:r>
      <w:r>
        <w:rPr>
          <w:rFonts w:hint="eastAsia" w:ascii="宋体" w:hAnsi="宋体" w:eastAsia="宋体" w:cs="宋体"/>
          <w:color w:val="auto"/>
          <w:spacing w:val="-4"/>
          <w:u w:val="none"/>
        </w:rPr>
        <w:t>名：</w:t>
      </w:r>
      <w:r>
        <w:rPr>
          <w:rFonts w:hint="eastAsia" w:ascii="宋体" w:hAnsi="宋体" w:eastAsia="宋体" w:cs="宋体"/>
          <w:color w:val="auto"/>
          <w:spacing w:val="-4"/>
          <w:u w:val="single"/>
        </w:rPr>
        <w:t xml:space="preserve">       </w:t>
      </w:r>
      <w:r>
        <w:rPr>
          <w:rFonts w:hint="eastAsia" w:ascii="宋体" w:hAnsi="宋体" w:cs="宋体"/>
          <w:color w:val="auto"/>
          <w:spacing w:val="-4"/>
          <w:u w:val="single"/>
          <w:lang w:val="en-US" w:eastAsia="zh-CN"/>
        </w:rPr>
        <w:t xml:space="preserve">    </w:t>
      </w:r>
      <w:r>
        <w:rPr>
          <w:rFonts w:hint="eastAsia" w:ascii="宋体" w:hAnsi="宋体" w:eastAsia="宋体" w:cs="Times New Roman"/>
          <w:color w:val="auto"/>
          <w:spacing w:val="0"/>
          <w:szCs w:val="21"/>
          <w:u w:val="single"/>
        </w:rPr>
        <w:t xml:space="preserve">     </w:t>
      </w:r>
    </w:p>
    <w:p>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eastAsia="宋体" w:cs="宋体"/>
          <w:color w:val="auto"/>
          <w:spacing w:val="-4"/>
          <w:u w:val="none"/>
        </w:rPr>
        <w:t>联系方式：</w:t>
      </w:r>
      <w:r>
        <w:rPr>
          <w:rFonts w:hint="eastAsia" w:ascii="宋体" w:hAnsi="宋体" w:eastAsia="宋体" w:cs="宋体"/>
          <w:color w:val="auto"/>
          <w:spacing w:val="-4"/>
          <w:u w:val="single"/>
        </w:rPr>
        <w:t xml:space="preserve">    </w:t>
      </w:r>
      <w:r>
        <w:rPr>
          <w:rFonts w:hint="eastAsia" w:ascii="宋体" w:hAnsi="宋体" w:cs="宋体"/>
          <w:u w:val="single"/>
          <w:lang w:val="en-US" w:eastAsia="zh-CN"/>
        </w:rPr>
        <w:t xml:space="preserve">        </w:t>
      </w:r>
      <w:r>
        <w:rPr>
          <w:rFonts w:hint="eastAsia" w:ascii="宋体" w:hAnsi="宋体" w:eastAsia="宋体" w:cs="宋体"/>
          <w:color w:val="auto"/>
          <w:spacing w:val="-4"/>
          <w:u w:val="single"/>
        </w:rPr>
        <w:t xml:space="preserve">   </w:t>
      </w:r>
      <w:r>
        <w:rPr>
          <w:rFonts w:hint="eastAsia" w:ascii="宋体" w:hAnsi="宋体" w:eastAsia="宋体" w:cs="宋体"/>
          <w:color w:val="auto"/>
          <w:spacing w:val="-4"/>
          <w:u w:val="none"/>
        </w:rPr>
        <w:t xml:space="preserve"> </w:t>
      </w:r>
    </w:p>
    <w:p>
      <w:pPr>
        <w:pStyle w:val="5"/>
        <w:bidi w:val="0"/>
        <w:ind w:firstLine="442" w:firstLineChars="200"/>
        <w:rPr>
          <w:rFonts w:hint="eastAsia"/>
          <w:sz w:val="22"/>
          <w:szCs w:val="22"/>
        </w:rPr>
      </w:pPr>
      <w:bookmarkStart w:id="637" w:name="_Toc532377176"/>
      <w:bookmarkStart w:id="638" w:name="_Toc351203491"/>
      <w:bookmarkStart w:id="639" w:name="_Toc532375583"/>
      <w:r>
        <w:rPr>
          <w:rFonts w:hint="eastAsia"/>
          <w:sz w:val="22"/>
          <w:szCs w:val="22"/>
          <w:lang w:val="en-US" w:eastAsia="zh-CN"/>
        </w:rPr>
        <w:t>七、</w:t>
      </w:r>
      <w:r>
        <w:rPr>
          <w:rFonts w:hint="eastAsia"/>
          <w:sz w:val="22"/>
          <w:szCs w:val="22"/>
        </w:rPr>
        <w:t>严禁贿赂</w:t>
      </w:r>
    </w:p>
    <w:p>
      <w:pPr>
        <w:spacing w:line="360"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本款补充以下内容：</w:t>
      </w:r>
    </w:p>
    <w:p>
      <w:pPr>
        <w:spacing w:line="360"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在合同执行过程中，合同当事人应严格履</w:t>
      </w:r>
      <w:r>
        <w:rPr>
          <w:rFonts w:hint="eastAsia" w:ascii="宋体" w:hAnsi="宋体" w:eastAsia="宋体" w:cs="Times New Roman"/>
          <w:bCs/>
          <w:szCs w:val="21"/>
          <w:highlight w:val="none"/>
        </w:rPr>
        <w:t>行《廉洁从业协议》。</w:t>
      </w:r>
    </w:p>
    <w:p>
      <w:pPr>
        <w:pStyle w:val="5"/>
        <w:bidi w:val="0"/>
        <w:ind w:firstLine="442"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八、交通运输</w:t>
      </w:r>
    </w:p>
    <w:p>
      <w:pPr>
        <w:spacing w:line="360" w:lineRule="auto"/>
        <w:ind w:firstLine="420" w:firstLineChars="200"/>
        <w:rPr>
          <w:rFonts w:hint="eastAsia" w:ascii="宋体" w:hAnsi="宋体" w:eastAsia="宋体" w:cs="Times New Roman"/>
          <w:bCs/>
          <w:szCs w:val="21"/>
        </w:rPr>
      </w:pPr>
      <w:r>
        <w:rPr>
          <w:rFonts w:hint="eastAsia" w:ascii="宋体" w:hAnsi="宋体" w:eastAsia="宋体" w:cs="Times New Roman"/>
          <w:bCs/>
          <w:szCs w:val="21"/>
          <w:lang w:val="en-US" w:eastAsia="zh-CN"/>
        </w:rPr>
        <w:t>1.</w:t>
      </w:r>
      <w:r>
        <w:rPr>
          <w:rFonts w:hint="eastAsia" w:ascii="宋体" w:hAnsi="宋体" w:eastAsia="宋体" w:cs="Times New Roman"/>
          <w:bCs/>
          <w:szCs w:val="21"/>
        </w:rPr>
        <w:t>场外交通</w:t>
      </w:r>
    </w:p>
    <w:p>
      <w:pPr>
        <w:spacing w:line="360"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承包人应遵守有关交通法规，执行有关道路限速、限行、禁止超载的规定，并配合交通管理部门的监督和检查。场外交通以施工场地移交时的现状为准。</w:t>
      </w:r>
    </w:p>
    <w:p>
      <w:pPr>
        <w:spacing w:line="360" w:lineRule="auto"/>
        <w:ind w:firstLine="420" w:firstLineChars="200"/>
        <w:rPr>
          <w:rFonts w:hint="eastAsia" w:ascii="宋体" w:hAnsi="宋体" w:eastAsia="宋体" w:cs="Times New Roman"/>
          <w:bCs/>
          <w:szCs w:val="21"/>
        </w:rPr>
      </w:pPr>
      <w:r>
        <w:rPr>
          <w:rFonts w:hint="eastAsia" w:ascii="宋体" w:hAnsi="宋体" w:cs="Times New Roman"/>
          <w:bCs/>
          <w:szCs w:val="21"/>
          <w:lang w:val="en-US" w:eastAsia="zh-CN"/>
        </w:rPr>
        <w:t>2</w:t>
      </w:r>
      <w:r>
        <w:rPr>
          <w:rFonts w:hint="eastAsia" w:ascii="宋体" w:hAnsi="宋体" w:eastAsia="宋体" w:cs="Times New Roman"/>
          <w:bCs/>
          <w:szCs w:val="21"/>
          <w:lang w:val="en-US" w:eastAsia="zh-CN"/>
        </w:rPr>
        <w:t>.</w:t>
      </w:r>
      <w:r>
        <w:rPr>
          <w:rFonts w:hint="eastAsia" w:ascii="宋体" w:hAnsi="宋体" w:eastAsia="宋体" w:cs="Times New Roman"/>
          <w:bCs/>
          <w:szCs w:val="21"/>
        </w:rPr>
        <w:t>关于发包人向承包人免费提供满足工程施工需要的场内道路和交通设施的约定：</w:t>
      </w:r>
      <w:r>
        <w:rPr>
          <w:rFonts w:hint="eastAsia" w:ascii="宋体" w:hAnsi="宋体" w:eastAsia="宋体" w:cs="Times New Roman"/>
          <w:bCs/>
          <w:szCs w:val="21"/>
          <w:u w:val="single"/>
        </w:rPr>
        <w:t>以施工场地移交时的现状为准</w:t>
      </w:r>
      <w:r>
        <w:rPr>
          <w:rFonts w:hint="eastAsia" w:ascii="宋体" w:hAnsi="宋体" w:eastAsia="宋体" w:cs="Times New Roman"/>
          <w:bCs/>
          <w:szCs w:val="21"/>
        </w:rPr>
        <w:t>。</w:t>
      </w:r>
    </w:p>
    <w:p>
      <w:pPr>
        <w:spacing w:line="360" w:lineRule="auto"/>
        <w:ind w:firstLine="420" w:firstLineChars="200"/>
        <w:rPr>
          <w:rFonts w:hint="eastAsia" w:ascii="宋体" w:hAnsi="宋体" w:eastAsia="宋体" w:cs="Times New Roman"/>
          <w:bCs/>
          <w:szCs w:val="21"/>
        </w:rPr>
      </w:pPr>
      <w:r>
        <w:rPr>
          <w:rFonts w:hint="eastAsia" w:ascii="宋体" w:hAnsi="宋体" w:cs="Times New Roman"/>
          <w:bCs/>
          <w:szCs w:val="21"/>
          <w:lang w:val="en-US" w:eastAsia="zh-CN"/>
        </w:rPr>
        <w:t>3</w:t>
      </w:r>
      <w:r>
        <w:rPr>
          <w:rFonts w:hint="eastAsia" w:ascii="宋体" w:hAnsi="宋体" w:eastAsia="宋体" w:cs="Times New Roman"/>
          <w:bCs/>
          <w:szCs w:val="21"/>
          <w:lang w:val="en-US" w:eastAsia="zh-CN"/>
        </w:rPr>
        <w:t>.</w:t>
      </w:r>
      <w:r>
        <w:rPr>
          <w:rFonts w:hint="eastAsia" w:ascii="宋体" w:hAnsi="宋体" w:eastAsia="宋体" w:cs="Times New Roman"/>
          <w:bCs/>
          <w:szCs w:val="21"/>
        </w:rPr>
        <w:t>超大件和超重件的运输</w:t>
      </w:r>
      <w:r>
        <w:rPr>
          <w:rFonts w:hint="eastAsia" w:ascii="宋体" w:hAnsi="宋体" w:eastAsia="宋体" w:cs="Times New Roman"/>
          <w:bCs/>
          <w:szCs w:val="21"/>
          <w:lang w:eastAsia="zh-CN"/>
        </w:rPr>
        <w:t>：</w:t>
      </w:r>
      <w:r>
        <w:rPr>
          <w:rFonts w:hint="eastAsia" w:ascii="宋体" w:hAnsi="宋体" w:eastAsia="宋体" w:cs="Times New Roman"/>
          <w:bCs/>
          <w:szCs w:val="21"/>
          <w:u w:val="single"/>
        </w:rPr>
        <w:t>运输超大件或超重件所需的道路和桥梁临时加固改造费用和其他有关费用由发包人承担。</w:t>
      </w:r>
    </w:p>
    <w:p>
      <w:pPr>
        <w:pStyle w:val="5"/>
        <w:keepNext/>
        <w:keepLines/>
        <w:spacing w:before="120" w:after="120" w:line="360" w:lineRule="auto"/>
        <w:ind w:firstLine="422"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九、</w:t>
      </w:r>
      <w:r>
        <w:rPr>
          <w:rFonts w:hint="eastAsia" w:ascii="宋体" w:hAnsi="宋体" w:eastAsia="宋体" w:cs="宋体"/>
          <w:kern w:val="2"/>
          <w:sz w:val="21"/>
          <w:szCs w:val="21"/>
        </w:rPr>
        <w:t>知识产权</w:t>
      </w:r>
    </w:p>
    <w:p>
      <w:pPr>
        <w:spacing w:line="360" w:lineRule="auto"/>
        <w:ind w:firstLine="420" w:firstLineChars="200"/>
        <w:rPr>
          <w:rFonts w:hint="eastAsia" w:ascii="宋体" w:hAnsi="宋体" w:eastAsia="宋体" w:cs="Times New Roman"/>
          <w:bCs/>
          <w:szCs w:val="21"/>
          <w:lang w:eastAsia="zh-CN"/>
        </w:rPr>
      </w:pPr>
      <w:r>
        <w:rPr>
          <w:rFonts w:hint="eastAsia" w:ascii="宋体" w:hAnsi="宋体" w:eastAsia="宋体" w:cs="Times New Roman"/>
          <w:bCs/>
          <w:szCs w:val="21"/>
        </w:rPr>
        <w:t>关于发包人为实施工程自行编制或委托编制的技术规范以及反映发包人关于合同要求或其他类似性质的文件的著作权的归属：</w:t>
      </w:r>
      <w:r>
        <w:rPr>
          <w:rFonts w:hint="eastAsia" w:ascii="宋体" w:hAnsi="宋体" w:eastAsia="宋体" w:cs="Times New Roman"/>
          <w:bCs/>
          <w:szCs w:val="21"/>
          <w:u w:val="single"/>
        </w:rPr>
        <w:t>属于发包人</w:t>
      </w:r>
      <w:r>
        <w:rPr>
          <w:rFonts w:hint="eastAsia" w:ascii="宋体" w:hAnsi="宋体" w:eastAsia="宋体" w:cs="Times New Roman"/>
          <w:bCs/>
          <w:szCs w:val="21"/>
          <w:u w:val="single"/>
          <w:lang w:eastAsia="zh-CN"/>
        </w:rPr>
        <w:t>。</w:t>
      </w:r>
    </w:p>
    <w:p>
      <w:pPr>
        <w:pStyle w:val="5"/>
        <w:keepNext/>
        <w:keepLines/>
        <w:spacing w:before="120" w:after="120" w:line="360" w:lineRule="auto"/>
        <w:ind w:firstLine="422" w:firstLineChars="200"/>
        <w:jc w:val="both"/>
        <w:rPr>
          <w:rFonts w:hint="eastAsia"/>
          <w:kern w:val="2"/>
          <w:sz w:val="21"/>
          <w:szCs w:val="21"/>
        </w:rPr>
      </w:pPr>
      <w:r>
        <w:rPr>
          <w:rFonts w:hint="eastAsia"/>
          <w:kern w:val="2"/>
          <w:sz w:val="21"/>
          <w:szCs w:val="21"/>
          <w:lang w:val="en-US" w:eastAsia="zh-CN"/>
        </w:rPr>
        <w:t>十、</w:t>
      </w:r>
      <w:r>
        <w:rPr>
          <w:rFonts w:hint="eastAsia"/>
          <w:kern w:val="2"/>
          <w:sz w:val="21"/>
          <w:szCs w:val="21"/>
        </w:rPr>
        <w:t>分包</w:t>
      </w:r>
    </w:p>
    <w:p>
      <w:pPr>
        <w:pStyle w:val="5"/>
        <w:keepNext/>
        <w:keepLines/>
        <w:spacing w:before="120" w:after="120" w:line="360" w:lineRule="auto"/>
        <w:ind w:firstLine="420" w:firstLineChars="200"/>
        <w:jc w:val="both"/>
        <w:rPr>
          <w:rFonts w:hint="eastAsia" w:eastAsia="宋体"/>
          <w:b w:val="0"/>
          <w:bCs w:val="0"/>
          <w:kern w:val="2"/>
          <w:sz w:val="21"/>
          <w:szCs w:val="21"/>
          <w:lang w:val="en-US" w:eastAsia="zh-CN"/>
        </w:rPr>
      </w:pPr>
      <w:r>
        <w:rPr>
          <w:rFonts w:hint="eastAsia"/>
          <w:b w:val="0"/>
          <w:bCs w:val="0"/>
          <w:kern w:val="2"/>
          <w:sz w:val="21"/>
          <w:szCs w:val="21"/>
          <w:lang w:val="en-US" w:eastAsia="zh-CN"/>
        </w:rPr>
        <w:t>不允许分包。</w:t>
      </w:r>
    </w:p>
    <w:p>
      <w:pPr>
        <w:pStyle w:val="5"/>
        <w:bidi w:val="0"/>
        <w:ind w:firstLine="442" w:firstLineChars="200"/>
        <w:rPr>
          <w:rFonts w:hint="eastAsia"/>
          <w:sz w:val="22"/>
          <w:szCs w:val="22"/>
          <w:lang w:val="en-US" w:eastAsia="zh-CN"/>
        </w:rPr>
      </w:pPr>
      <w:r>
        <w:rPr>
          <w:rFonts w:hint="eastAsia"/>
          <w:sz w:val="22"/>
          <w:szCs w:val="22"/>
          <w:lang w:val="en-US" w:eastAsia="zh-CN"/>
        </w:rPr>
        <w:t>十一、工程质量</w:t>
      </w:r>
    </w:p>
    <w:p>
      <w:pPr>
        <w:pStyle w:val="17"/>
        <w:spacing w:before="69" w:line="360" w:lineRule="auto"/>
        <w:ind w:left="3" w:firstLine="436" w:firstLineChars="200"/>
        <w:outlineLvl w:val="0"/>
        <w:rPr>
          <w:rFonts w:hint="eastAsia" w:ascii="宋体" w:hAnsi="宋体" w:eastAsia="宋体" w:cs="宋体"/>
          <w:b w:val="0"/>
          <w:bCs w:val="0"/>
          <w:color w:val="auto"/>
          <w:spacing w:val="4"/>
          <w:u w:val="single"/>
        </w:rPr>
      </w:pPr>
      <w:r>
        <w:rPr>
          <w:rFonts w:hint="eastAsia" w:ascii="宋体" w:hAnsi="宋体" w:eastAsia="宋体" w:cs="宋体"/>
          <w:b w:val="0"/>
          <w:bCs w:val="0"/>
          <w:color w:val="auto"/>
          <w:spacing w:val="4"/>
          <w:lang w:val="en-US" w:eastAsia="zh-CN"/>
        </w:rPr>
        <w:t>1.</w:t>
      </w:r>
      <w:r>
        <w:rPr>
          <w:rFonts w:hint="eastAsia" w:ascii="宋体" w:hAnsi="宋体" w:eastAsia="宋体" w:cs="宋体"/>
          <w:b w:val="0"/>
          <w:bCs w:val="0"/>
          <w:color w:val="auto"/>
          <w:spacing w:val="4"/>
        </w:rPr>
        <w:t>工程质量符合强制性质量标准</w:t>
      </w:r>
      <w:r>
        <w:rPr>
          <w:rFonts w:hint="eastAsia" w:ascii="宋体" w:hAnsi="宋体" w:eastAsia="宋体" w:cs="宋体"/>
          <w:b w:val="0"/>
          <w:bCs w:val="0"/>
          <w:color w:val="auto"/>
          <w:spacing w:val="4"/>
          <w:lang w:eastAsia="zh-CN"/>
        </w:rPr>
        <w:t>：</w:t>
      </w:r>
      <w:r>
        <w:rPr>
          <w:rFonts w:hint="eastAsia" w:ascii="宋体" w:hAnsi="宋体" w:eastAsia="宋体" w:cs="宋体"/>
          <w:b w:val="0"/>
          <w:bCs w:val="0"/>
          <w:color w:val="auto"/>
          <w:spacing w:val="4"/>
          <w:u w:val="single"/>
        </w:rPr>
        <w:t>符合国家和重庆市现行有关施工质量验收规范要求，并达到合格标准。</w:t>
      </w:r>
    </w:p>
    <w:p>
      <w:pPr>
        <w:pStyle w:val="17"/>
        <w:spacing w:before="69" w:line="360" w:lineRule="auto"/>
        <w:ind w:left="3" w:firstLine="436" w:firstLineChars="200"/>
        <w:outlineLvl w:val="0"/>
        <w:rPr>
          <w:rFonts w:hint="eastAsia" w:ascii="宋体" w:hAnsi="宋体" w:eastAsia="宋体" w:cs="宋体"/>
          <w:b w:val="0"/>
          <w:bCs w:val="0"/>
          <w:color w:val="auto"/>
          <w:spacing w:val="4"/>
        </w:rPr>
      </w:pPr>
      <w:r>
        <w:rPr>
          <w:rFonts w:hint="eastAsia" w:ascii="宋体" w:hAnsi="宋体" w:eastAsia="宋体" w:cs="宋体"/>
          <w:b w:val="0"/>
          <w:bCs w:val="0"/>
          <w:color w:val="auto"/>
          <w:spacing w:val="4"/>
          <w:lang w:val="en-US" w:eastAsia="zh-CN"/>
        </w:rPr>
        <w:t>2.</w:t>
      </w:r>
      <w:r>
        <w:rPr>
          <w:rFonts w:hint="eastAsia" w:ascii="宋体" w:hAnsi="宋体" w:eastAsia="宋体" w:cs="宋体"/>
          <w:b w:val="0"/>
          <w:bCs w:val="0"/>
          <w:color w:val="auto"/>
          <w:spacing w:val="4"/>
        </w:rPr>
        <w:t xml:space="preserve"> 质量保证措施</w:t>
      </w:r>
    </w:p>
    <w:p>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eastAsia="宋体" w:cs="宋体"/>
          <w:color w:val="auto"/>
          <w:spacing w:val="-4"/>
          <w:u w:val="none"/>
        </w:rPr>
        <w:t>在工程建设中，参建各方应严格执行以下规定（包括但不限于）：</w:t>
      </w:r>
    </w:p>
    <w:p>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eastAsia="宋体" w:cs="宋体"/>
          <w:color w:val="auto"/>
          <w:spacing w:val="-4"/>
          <w:u w:val="none"/>
        </w:rPr>
        <w:t>（1）</w:t>
      </w:r>
      <w:r>
        <w:rPr>
          <w:rFonts w:hint="eastAsia" w:ascii="宋体" w:hAnsi="宋体" w:eastAsia="宋体" w:cs="宋体"/>
          <w:color w:val="auto"/>
          <w:spacing w:val="-4"/>
          <w:u w:val="single"/>
        </w:rPr>
        <w:t>《建筑工程施工质量验收统一标准》（GB50300-2013）；</w:t>
      </w:r>
    </w:p>
    <w:p>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eastAsia="宋体" w:cs="宋体"/>
          <w:color w:val="auto"/>
          <w:spacing w:val="-4"/>
          <w:u w:val="none"/>
        </w:rPr>
        <w:t>（2）</w:t>
      </w:r>
      <w:r>
        <w:rPr>
          <w:rFonts w:hint="eastAsia" w:ascii="宋体" w:hAnsi="宋体" w:eastAsia="宋体" w:cs="宋体"/>
          <w:color w:val="auto"/>
          <w:spacing w:val="-4"/>
          <w:u w:val="single"/>
        </w:rPr>
        <w:t>《住房城乡建设部关于印发工程质量安全提升行动方案的通知》（建质〔2017〕57号）；</w:t>
      </w:r>
    </w:p>
    <w:p>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eastAsia="宋体" w:cs="宋体"/>
          <w:color w:val="auto"/>
          <w:spacing w:val="-4"/>
          <w:u w:val="none"/>
        </w:rPr>
        <w:t>（3）</w:t>
      </w:r>
      <w:r>
        <w:rPr>
          <w:rFonts w:hint="eastAsia" w:ascii="宋体" w:hAnsi="宋体" w:eastAsia="宋体" w:cs="宋体"/>
          <w:color w:val="auto"/>
          <w:spacing w:val="-4"/>
          <w:u w:val="single"/>
        </w:rPr>
        <w:t>《房屋建筑和市政基础设施工程竣工验收规定》（建质〔2013〕171 号）；</w:t>
      </w:r>
    </w:p>
    <w:p>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eastAsia="宋体" w:cs="宋体"/>
          <w:color w:val="auto"/>
          <w:spacing w:val="-4"/>
          <w:u w:val="none"/>
        </w:rPr>
        <w:t>（4）</w:t>
      </w:r>
      <w:r>
        <w:rPr>
          <w:rFonts w:hint="eastAsia" w:ascii="宋体" w:hAnsi="宋体" w:eastAsia="宋体" w:cs="宋体"/>
          <w:color w:val="auto"/>
          <w:spacing w:val="-4"/>
          <w:u w:val="single"/>
        </w:rPr>
        <w:t>《建设部关于贯彻执行建筑工程勘察设计及施工质量验收规范若干问题的通知》（建标〔2002〕212 号）；</w:t>
      </w:r>
    </w:p>
    <w:p>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single"/>
        </w:rPr>
      </w:pPr>
      <w:r>
        <w:rPr>
          <w:rFonts w:hint="eastAsia" w:ascii="宋体" w:hAnsi="宋体" w:eastAsia="宋体" w:cs="宋体"/>
          <w:color w:val="auto"/>
          <w:spacing w:val="-4"/>
          <w:u w:val="none"/>
        </w:rPr>
        <w:t>（5）</w:t>
      </w:r>
      <w:r>
        <w:rPr>
          <w:rFonts w:hint="eastAsia" w:ascii="宋体" w:hAnsi="宋体" w:eastAsia="宋体" w:cs="宋体"/>
          <w:color w:val="auto"/>
          <w:spacing w:val="-4"/>
          <w:u w:val="single"/>
        </w:rPr>
        <w:t>《重庆市住房和城乡建设委员会关于印发&lt;重庆市房屋建筑和市政基础设施工程质量常见问题防治要点（2019 年版）&gt;的通知》（渝建〔2019〕198 号）；</w:t>
      </w:r>
    </w:p>
    <w:p>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single"/>
        </w:rPr>
      </w:pPr>
      <w:r>
        <w:rPr>
          <w:rFonts w:hint="eastAsia" w:ascii="宋体" w:hAnsi="宋体" w:eastAsia="宋体" w:cs="宋体"/>
          <w:color w:val="auto"/>
          <w:spacing w:val="-4"/>
          <w:u w:val="none"/>
        </w:rPr>
        <w:t>（6）</w:t>
      </w:r>
      <w:r>
        <w:rPr>
          <w:rFonts w:hint="eastAsia" w:ascii="宋体" w:hAnsi="宋体" w:eastAsia="宋体" w:cs="宋体"/>
          <w:color w:val="auto"/>
          <w:spacing w:val="-4"/>
          <w:u w:val="single"/>
        </w:rPr>
        <w:t>《关于印发&lt;重庆市房屋建筑和市政基础设施工程预拌商品砂浆应用推进工作方案&gt;的通知》（渝建〔2018〕375 号）；</w:t>
      </w:r>
    </w:p>
    <w:p>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single"/>
        </w:rPr>
      </w:pPr>
      <w:r>
        <w:rPr>
          <w:rFonts w:hint="eastAsia" w:ascii="宋体" w:hAnsi="宋体" w:eastAsia="宋体" w:cs="宋体"/>
          <w:color w:val="auto"/>
          <w:spacing w:val="-4"/>
          <w:u w:val="none"/>
        </w:rPr>
        <w:t>（7）</w:t>
      </w:r>
      <w:r>
        <w:rPr>
          <w:rFonts w:hint="eastAsia" w:ascii="宋体" w:hAnsi="宋体" w:eastAsia="宋体" w:cs="宋体"/>
          <w:color w:val="auto"/>
          <w:spacing w:val="-4"/>
          <w:u w:val="single"/>
        </w:rPr>
        <w:t>《重庆市城乡建设委员会关于印发 2018 年房屋建筑和市政基础设施工程质量要点的通知》（渝建〔2018〕94 号）；</w:t>
      </w:r>
    </w:p>
    <w:p>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single"/>
        </w:rPr>
      </w:pPr>
      <w:r>
        <w:rPr>
          <w:rFonts w:hint="eastAsia" w:ascii="宋体" w:hAnsi="宋体" w:eastAsia="宋体" w:cs="宋体"/>
          <w:color w:val="auto"/>
          <w:spacing w:val="-4"/>
          <w:u w:val="none"/>
        </w:rPr>
        <w:t>（8）</w:t>
      </w:r>
      <w:r>
        <w:rPr>
          <w:rFonts w:hint="eastAsia" w:ascii="宋体" w:hAnsi="宋体" w:eastAsia="宋体" w:cs="宋体"/>
          <w:color w:val="auto"/>
          <w:spacing w:val="-4"/>
          <w:u w:val="single"/>
        </w:rPr>
        <w:t>《重庆市城乡建设委员会关于进一步推广应用预拌商品砂浆的通知》（渝建〔2016〕318号）；</w:t>
      </w:r>
    </w:p>
    <w:p>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single"/>
        </w:rPr>
      </w:pPr>
      <w:r>
        <w:rPr>
          <w:rFonts w:hint="eastAsia" w:ascii="宋体" w:hAnsi="宋体" w:eastAsia="宋体" w:cs="宋体"/>
          <w:color w:val="auto"/>
          <w:spacing w:val="-4"/>
          <w:u w:val="none"/>
        </w:rPr>
        <w:t>（9）</w:t>
      </w:r>
      <w:r>
        <w:rPr>
          <w:rFonts w:hint="eastAsia" w:ascii="宋体" w:hAnsi="宋体" w:eastAsia="宋体" w:cs="宋体"/>
          <w:color w:val="auto"/>
          <w:spacing w:val="-4"/>
          <w:u w:val="single"/>
        </w:rPr>
        <w:t>《重庆市建设委员会关于发布&lt;建筑工程施工质量验收规范用表（建筑节能分部工程） &gt;和&lt;建设工程技术用表（建筑节能工程）&gt;的通知》（渝建发〔2008〕76 号）；</w:t>
      </w:r>
    </w:p>
    <w:p>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single"/>
          <w:lang w:eastAsia="zh-CN"/>
        </w:rPr>
      </w:pPr>
      <w:r>
        <w:rPr>
          <w:rFonts w:hint="eastAsia" w:ascii="宋体" w:hAnsi="宋体" w:eastAsia="宋体" w:cs="宋体"/>
          <w:color w:val="auto"/>
          <w:spacing w:val="-4"/>
          <w:u w:val="none"/>
        </w:rPr>
        <w:t>（10</w:t>
      </w:r>
      <w:r>
        <w:rPr>
          <w:rFonts w:hint="eastAsia" w:ascii="宋体" w:hAnsi="宋体" w:cs="宋体"/>
          <w:color w:val="auto"/>
          <w:spacing w:val="-4"/>
          <w:u w:val="none"/>
          <w:lang w:eastAsia="zh-CN"/>
        </w:rPr>
        <w:t>）</w:t>
      </w:r>
      <w:r>
        <w:rPr>
          <w:rFonts w:hint="eastAsia" w:ascii="宋体" w:hAnsi="宋体" w:eastAsia="宋体" w:cs="宋体"/>
          <w:color w:val="auto"/>
          <w:spacing w:val="-4"/>
          <w:u w:val="single"/>
        </w:rPr>
        <w:t>国家和本市现行有关建设工程质量验收标准、规范和要求</w:t>
      </w:r>
      <w:r>
        <w:rPr>
          <w:rFonts w:hint="eastAsia" w:ascii="宋体" w:hAnsi="宋体" w:eastAsia="宋体" w:cs="宋体"/>
          <w:color w:val="auto"/>
          <w:spacing w:val="-4"/>
          <w:u w:val="single"/>
          <w:lang w:eastAsia="zh-CN"/>
        </w:rPr>
        <w:t>。</w:t>
      </w:r>
    </w:p>
    <w:p>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eastAsia="宋体" w:cs="宋体"/>
          <w:color w:val="auto"/>
          <w:spacing w:val="-4"/>
          <w:u w:val="none"/>
        </w:rPr>
        <w:t>在工程建设中，应严格执行国家及重庆市现行标准，如上述标准及规范要求有出入则以较严格者为准。</w:t>
      </w:r>
    </w:p>
    <w:p>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36" w:firstLineChars="200"/>
        <w:textAlignment w:val="baseline"/>
        <w:rPr>
          <w:rFonts w:hint="eastAsia" w:ascii="宋体" w:hAnsi="宋体" w:eastAsia="宋体" w:cs="宋体"/>
          <w:b w:val="0"/>
          <w:bCs w:val="0"/>
          <w:color w:val="auto"/>
          <w:spacing w:val="4"/>
        </w:rPr>
      </w:pPr>
      <w:r>
        <w:rPr>
          <w:rFonts w:hint="eastAsia" w:ascii="宋体" w:hAnsi="宋体" w:eastAsia="宋体" w:cs="宋体"/>
          <w:b w:val="0"/>
          <w:bCs w:val="0"/>
          <w:color w:val="auto"/>
          <w:spacing w:val="4"/>
          <w:lang w:val="en-US" w:eastAsia="zh-CN"/>
        </w:rPr>
        <w:t>3.</w:t>
      </w:r>
      <w:r>
        <w:rPr>
          <w:rFonts w:hint="eastAsia" w:ascii="宋体" w:hAnsi="宋体" w:eastAsia="宋体" w:cs="宋体"/>
          <w:b w:val="0"/>
          <w:bCs w:val="0"/>
          <w:color w:val="auto"/>
          <w:spacing w:val="4"/>
        </w:rPr>
        <w:t>隐蔽工程检查</w:t>
      </w:r>
    </w:p>
    <w:p>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b w:val="0"/>
          <w:bCs w:val="0"/>
          <w:color w:val="auto"/>
          <w:spacing w:val="-4"/>
          <w:u w:val="none"/>
        </w:rPr>
      </w:pPr>
      <w:r>
        <w:rPr>
          <w:rFonts w:hint="eastAsia" w:ascii="宋体" w:hAnsi="宋体" w:cs="宋体"/>
          <w:color w:val="auto"/>
          <w:spacing w:val="-4"/>
          <w:u w:val="none"/>
          <w:lang w:val="en-US" w:eastAsia="zh-CN"/>
        </w:rPr>
        <w:t>（</w:t>
      </w:r>
      <w:r>
        <w:rPr>
          <w:rFonts w:hint="eastAsia" w:ascii="宋体" w:hAnsi="宋体" w:eastAsia="宋体" w:cs="宋体"/>
          <w:color w:val="auto"/>
          <w:spacing w:val="-4"/>
          <w:u w:val="none"/>
          <w:lang w:val="en-US" w:eastAsia="zh-CN"/>
        </w:rPr>
        <w:t>1</w:t>
      </w:r>
      <w:r>
        <w:rPr>
          <w:rFonts w:hint="eastAsia" w:ascii="宋体" w:hAnsi="宋体" w:cs="宋体"/>
          <w:color w:val="auto"/>
          <w:spacing w:val="-4"/>
          <w:u w:val="none"/>
          <w:lang w:val="en-US" w:eastAsia="zh-CN"/>
        </w:rPr>
        <w:t>）</w:t>
      </w:r>
      <w:r>
        <w:rPr>
          <w:rFonts w:hint="eastAsia" w:ascii="宋体" w:hAnsi="宋体" w:eastAsia="宋体" w:cs="宋体"/>
          <w:color w:val="auto"/>
          <w:spacing w:val="-4"/>
          <w:u w:val="none"/>
          <w:lang w:val="en-US" w:eastAsia="zh-CN"/>
        </w:rPr>
        <w:t xml:space="preserve"> </w:t>
      </w:r>
      <w:r>
        <w:rPr>
          <w:rFonts w:hint="eastAsia" w:ascii="宋体" w:hAnsi="宋体" w:eastAsia="宋体" w:cs="宋体"/>
          <w:color w:val="auto"/>
          <w:spacing w:val="-4"/>
          <w:u w:val="none"/>
        </w:rPr>
        <w:t>检查程序</w:t>
      </w:r>
      <w:r>
        <w:rPr>
          <w:rFonts w:hint="eastAsia" w:ascii="宋体" w:hAnsi="宋体" w:eastAsia="宋体" w:cs="宋体"/>
          <w:color w:val="auto"/>
          <w:spacing w:val="-4"/>
          <w:u w:val="none"/>
          <w:lang w:eastAsia="zh-CN"/>
        </w:rPr>
        <w:t>：</w:t>
      </w:r>
      <w:r>
        <w:rPr>
          <w:rFonts w:hint="eastAsia" w:ascii="宋体" w:hAnsi="宋体" w:eastAsia="宋体" w:cs="宋体"/>
          <w:color w:val="auto"/>
          <w:spacing w:val="-4"/>
          <w:u w:val="single"/>
        </w:rPr>
        <w:t>工程隐蔽部位经承包人自检确认具备覆盖条件的，承包人应在共同检查前</w:t>
      </w:r>
      <w:r>
        <w:rPr>
          <w:rFonts w:hint="eastAsia" w:ascii="宋体" w:hAnsi="宋体" w:cs="宋体"/>
          <w:color w:val="auto"/>
          <w:spacing w:val="-4"/>
          <w:u w:val="single"/>
          <w:lang w:val="en-US" w:eastAsia="zh-CN"/>
        </w:rPr>
        <w:t>48</w:t>
      </w:r>
      <w:r>
        <w:rPr>
          <w:rFonts w:hint="eastAsia" w:ascii="宋体" w:hAnsi="宋体" w:eastAsia="宋体" w:cs="宋体"/>
          <w:color w:val="auto"/>
          <w:spacing w:val="-4"/>
          <w:u w:val="single"/>
        </w:rPr>
        <w:t>小时书面通知</w:t>
      </w:r>
      <w:r>
        <w:rPr>
          <w:rFonts w:hint="eastAsia" w:ascii="宋体" w:hAnsi="宋体" w:cs="宋体"/>
          <w:color w:val="auto"/>
          <w:spacing w:val="-4"/>
          <w:u w:val="single"/>
          <w:lang w:val="en-US" w:eastAsia="zh-CN"/>
        </w:rPr>
        <w:t>发包</w:t>
      </w:r>
      <w:r>
        <w:rPr>
          <w:rFonts w:hint="eastAsia" w:ascii="宋体" w:hAnsi="宋体" w:eastAsia="宋体" w:cs="宋体"/>
          <w:color w:val="auto"/>
          <w:spacing w:val="-4"/>
          <w:u w:val="single"/>
        </w:rPr>
        <w:t>人检查，通知中应载明隐蔽检查的内容、时间和地点，并应附有自检记录和</w:t>
      </w:r>
      <w:r>
        <w:rPr>
          <w:rFonts w:hint="eastAsia" w:ascii="宋体" w:hAnsi="宋体" w:eastAsia="宋体" w:cs="宋体"/>
          <w:b w:val="0"/>
          <w:bCs w:val="0"/>
          <w:color w:val="auto"/>
          <w:spacing w:val="-4"/>
          <w:u w:val="single"/>
        </w:rPr>
        <w:t>必要的检查资料。</w:t>
      </w:r>
    </w:p>
    <w:p>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b w:val="0"/>
          <w:bCs w:val="0"/>
          <w:color w:val="auto"/>
          <w:spacing w:val="-4"/>
          <w:u w:val="none"/>
        </w:rPr>
      </w:pPr>
      <w:r>
        <w:rPr>
          <w:rFonts w:hint="eastAsia" w:ascii="宋体" w:hAnsi="宋体" w:eastAsia="宋体" w:cs="宋体"/>
          <w:b w:val="0"/>
          <w:bCs w:val="0"/>
          <w:color w:val="auto"/>
          <w:spacing w:val="-4"/>
          <w:u w:val="none"/>
          <w:lang w:val="en-US" w:eastAsia="zh-CN"/>
        </w:rPr>
        <w:t>4.</w:t>
      </w:r>
      <w:r>
        <w:rPr>
          <w:rFonts w:hint="eastAsia" w:ascii="宋体" w:hAnsi="宋体" w:eastAsia="宋体" w:cs="宋体"/>
          <w:b w:val="0"/>
          <w:bCs w:val="0"/>
          <w:color w:val="auto"/>
          <w:spacing w:val="-4"/>
          <w:u w:val="none"/>
        </w:rPr>
        <w:t>不合格工程的处理</w:t>
      </w:r>
    </w:p>
    <w:p>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cs="宋体"/>
          <w:color w:val="auto"/>
          <w:spacing w:val="-4"/>
          <w:u w:val="none"/>
          <w:lang w:val="en-US" w:eastAsia="zh-CN"/>
        </w:rPr>
        <w:t>（1）</w:t>
      </w:r>
      <w:r>
        <w:rPr>
          <w:rFonts w:hint="eastAsia" w:ascii="宋体" w:hAnsi="宋体" w:eastAsia="宋体" w:cs="宋体"/>
          <w:color w:val="auto"/>
          <w:spacing w:val="-4"/>
          <w:u w:val="none"/>
        </w:rPr>
        <w:t xml:space="preserve"> 承包人在收到发出的《不合格分项报告》或通知单后，必须在规定时间内按要求完成整改，未能在限定时间内完成整改的，须承担相应违约责任。</w:t>
      </w:r>
    </w:p>
    <w:p>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cs="宋体"/>
          <w:color w:val="auto"/>
          <w:spacing w:val="-4"/>
          <w:u w:val="none"/>
          <w:lang w:val="en-US" w:eastAsia="zh-CN"/>
        </w:rPr>
        <w:t xml:space="preserve">（2） </w:t>
      </w:r>
      <w:r>
        <w:rPr>
          <w:rFonts w:hint="eastAsia" w:ascii="宋体" w:hAnsi="宋体" w:eastAsia="宋体" w:cs="宋体"/>
          <w:color w:val="auto"/>
          <w:spacing w:val="-4"/>
          <w:u w:val="none"/>
        </w:rPr>
        <w:t>质量事故的处理</w:t>
      </w:r>
      <w:r>
        <w:rPr>
          <w:rFonts w:hint="eastAsia" w:ascii="宋体" w:hAnsi="宋体" w:eastAsia="宋体" w:cs="宋体"/>
          <w:color w:val="auto"/>
          <w:spacing w:val="-4"/>
          <w:u w:val="none"/>
          <w:lang w:eastAsia="zh-CN"/>
        </w:rPr>
        <w:t>：</w:t>
      </w:r>
      <w:r>
        <w:rPr>
          <w:rFonts w:hint="eastAsia" w:ascii="宋体" w:hAnsi="宋体" w:eastAsia="宋体" w:cs="宋体"/>
          <w:color w:val="auto"/>
          <w:spacing w:val="-4"/>
          <w:u w:val="single"/>
        </w:rPr>
        <w:t>合同履行过程中，发生工程质量事故的调查处理按照国家及重庆市现行规定处理。</w:t>
      </w:r>
    </w:p>
    <w:p>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cs="宋体"/>
          <w:color w:val="auto"/>
          <w:spacing w:val="-4"/>
          <w:u w:val="none"/>
          <w:lang w:val="en-US" w:eastAsia="zh-CN"/>
        </w:rPr>
        <w:t>（3）</w:t>
      </w:r>
      <w:r>
        <w:rPr>
          <w:rFonts w:hint="eastAsia" w:ascii="宋体" w:hAnsi="宋体" w:eastAsia="宋体" w:cs="宋体"/>
          <w:color w:val="auto"/>
          <w:spacing w:val="-4"/>
          <w:u w:val="none"/>
        </w:rPr>
        <w:t>发包人在对工程质量、安全和环境保护、水土保持等建设全过程管理中发现有技术、质量和其他问题的，可责令承包人返工或整改；对存在的隐患，有权责令承包人予以解决，承包人按照合同中其他条款约定承担违约责任。</w:t>
      </w:r>
    </w:p>
    <w:p>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b w:val="0"/>
          <w:bCs w:val="0"/>
          <w:color w:val="auto"/>
          <w:spacing w:val="-4"/>
          <w:u w:val="none"/>
          <w:lang w:val="en-US" w:eastAsia="zh-CN"/>
        </w:rPr>
      </w:pPr>
      <w:r>
        <w:rPr>
          <w:rFonts w:hint="eastAsia" w:ascii="宋体" w:hAnsi="宋体" w:eastAsia="宋体" w:cs="宋体"/>
          <w:b w:val="0"/>
          <w:bCs w:val="0"/>
          <w:color w:val="auto"/>
          <w:spacing w:val="-4"/>
          <w:u w:val="none"/>
          <w:lang w:val="en-US" w:eastAsia="zh-CN"/>
        </w:rPr>
        <w:t>5.异常恶劣的气候条件</w:t>
      </w:r>
    </w:p>
    <w:p>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lang w:val="en-US" w:eastAsia="zh-CN"/>
        </w:rPr>
      </w:pPr>
      <w:r>
        <w:rPr>
          <w:rFonts w:hint="eastAsia" w:ascii="宋体" w:hAnsi="宋体" w:eastAsia="宋体" w:cs="宋体"/>
          <w:color w:val="auto"/>
          <w:spacing w:val="-4"/>
          <w:u w:val="none"/>
          <w:lang w:val="en-US" w:eastAsia="zh-CN"/>
        </w:rPr>
        <w:t>发包人和承包人同意以下情形视为异常恶劣的气候条件：</w:t>
      </w:r>
      <w:r>
        <w:rPr>
          <w:rFonts w:hint="eastAsia" w:ascii="宋体" w:hAnsi="宋体" w:eastAsia="宋体" w:cs="宋体"/>
          <w:color w:val="auto"/>
          <w:spacing w:val="-4"/>
          <w:u w:val="single"/>
          <w:lang w:val="en-US" w:eastAsia="zh-CN"/>
        </w:rPr>
        <w:t>不可抗力行为（含异常气候是指项目所在地50年以上一遇的罕见气候现象）</w:t>
      </w:r>
      <w:r>
        <w:rPr>
          <w:rFonts w:hint="eastAsia" w:ascii="宋体" w:hAnsi="宋体" w:eastAsia="宋体" w:cs="宋体"/>
          <w:color w:val="auto"/>
          <w:spacing w:val="-4"/>
          <w:u w:val="none"/>
          <w:lang w:val="en-US" w:eastAsia="zh-CN"/>
        </w:rPr>
        <w:t>。</w:t>
      </w:r>
    </w:p>
    <w:p>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default" w:ascii="宋体" w:hAnsi="宋体" w:eastAsia="宋体" w:cs="宋体"/>
          <w:color w:val="auto"/>
          <w:spacing w:val="-4"/>
          <w:u w:val="none"/>
          <w:lang w:val="en-US" w:eastAsia="zh-CN"/>
        </w:rPr>
      </w:pPr>
      <w:r>
        <w:rPr>
          <w:rFonts w:hint="eastAsia" w:ascii="宋体" w:hAnsi="宋体" w:eastAsia="宋体" w:cs="宋体"/>
          <w:color w:val="auto"/>
          <w:spacing w:val="-4"/>
          <w:u w:val="none"/>
          <w:lang w:val="en-US" w:eastAsia="zh-CN"/>
        </w:rPr>
        <w:t>6.提前竣工的奖励：</w:t>
      </w:r>
      <w:r>
        <w:rPr>
          <w:rFonts w:hint="eastAsia" w:ascii="宋体" w:hAnsi="宋体" w:eastAsia="宋体" w:cs="宋体"/>
          <w:color w:val="auto"/>
          <w:spacing w:val="-4"/>
          <w:u w:val="single"/>
          <w:lang w:val="en-US" w:eastAsia="zh-CN"/>
        </w:rPr>
        <w:t>无奖励。</w:t>
      </w:r>
    </w:p>
    <w:p>
      <w:pPr>
        <w:pStyle w:val="5"/>
        <w:bidi w:val="0"/>
        <w:ind w:firstLine="442" w:firstLineChars="200"/>
        <w:rPr>
          <w:rFonts w:hint="eastAsia" w:ascii="宋体" w:hAnsi="宋体" w:eastAsia="宋体" w:cs="宋体"/>
          <w:color w:val="auto"/>
          <w:spacing w:val="-4"/>
          <w:u w:val="none"/>
        </w:rPr>
      </w:pPr>
      <w:r>
        <w:rPr>
          <w:rFonts w:hint="eastAsia"/>
          <w:sz w:val="22"/>
          <w:szCs w:val="22"/>
          <w:lang w:val="en-US" w:eastAsia="zh-CN"/>
        </w:rPr>
        <w:t>十二、</w:t>
      </w:r>
      <w:r>
        <w:rPr>
          <w:rFonts w:hint="eastAsia"/>
          <w:sz w:val="22"/>
          <w:szCs w:val="22"/>
        </w:rPr>
        <w:t>安全文明施工与环境保护</w:t>
      </w:r>
    </w:p>
    <w:p>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single"/>
        </w:rPr>
      </w:pPr>
      <w:r>
        <w:rPr>
          <w:rFonts w:hint="eastAsia" w:ascii="宋体" w:hAnsi="宋体" w:eastAsia="宋体" w:cs="宋体"/>
          <w:color w:val="auto"/>
          <w:spacing w:val="-4"/>
          <w:u w:val="none"/>
          <w:lang w:val="en-US" w:eastAsia="zh-CN"/>
        </w:rPr>
        <w:t xml:space="preserve">1. </w:t>
      </w:r>
      <w:r>
        <w:rPr>
          <w:rFonts w:hint="eastAsia" w:ascii="宋体" w:hAnsi="宋体" w:eastAsia="宋体" w:cs="宋体"/>
          <w:color w:val="auto"/>
          <w:spacing w:val="-4"/>
          <w:u w:val="none"/>
        </w:rPr>
        <w:t>安全文明施工</w:t>
      </w:r>
      <w:r>
        <w:rPr>
          <w:rFonts w:hint="eastAsia" w:ascii="宋体" w:hAnsi="宋体" w:eastAsia="宋体" w:cs="宋体"/>
          <w:color w:val="auto"/>
          <w:spacing w:val="-4"/>
          <w:u w:val="none"/>
          <w:lang w:eastAsia="zh-CN"/>
        </w:rPr>
        <w:t>：</w:t>
      </w:r>
      <w:r>
        <w:rPr>
          <w:rFonts w:hint="eastAsia" w:ascii="宋体" w:hAnsi="宋体" w:eastAsia="宋体" w:cs="宋体"/>
          <w:color w:val="auto"/>
          <w:spacing w:val="-4"/>
          <w:u w:val="single"/>
        </w:rPr>
        <w:t>承包人必须认真贯彻执行国家安全生产法律、法规、规章和强制性安全标准，按照重庆市现行的质量、安全文明施工有关规定和发包人安全管理的有关规定</w:t>
      </w:r>
      <w:r>
        <w:rPr>
          <w:rFonts w:hint="eastAsia" w:ascii="宋体" w:hAnsi="宋体" w:eastAsia="宋体" w:cs="宋体"/>
          <w:color w:val="auto"/>
          <w:spacing w:val="-4"/>
          <w:u w:val="single"/>
          <w:lang w:eastAsia="zh-CN"/>
        </w:rPr>
        <w:t>，</w:t>
      </w:r>
      <w:r>
        <w:rPr>
          <w:rFonts w:hint="eastAsia" w:ascii="宋体" w:hAnsi="宋体" w:eastAsia="宋体" w:cs="宋体"/>
          <w:color w:val="auto"/>
          <w:spacing w:val="-4"/>
          <w:u w:val="single"/>
        </w:rPr>
        <w:t>建立完善的质量、安全、文明施工管理制度。</w:t>
      </w:r>
    </w:p>
    <w:p>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eastAsia="宋体" w:cs="宋体"/>
          <w:color w:val="auto"/>
          <w:spacing w:val="-4"/>
          <w:u w:val="none"/>
          <w:lang w:val="en-US" w:eastAsia="zh-CN"/>
        </w:rPr>
        <w:t xml:space="preserve">2. </w:t>
      </w:r>
      <w:r>
        <w:rPr>
          <w:rFonts w:hint="eastAsia" w:ascii="宋体" w:hAnsi="宋体" w:eastAsia="宋体" w:cs="宋体"/>
          <w:color w:val="auto"/>
          <w:spacing w:val="-4"/>
          <w:u w:val="none"/>
        </w:rPr>
        <w:t>承包人的施工要做到节能、环保，如果通过采用新材料、新设备、新工艺、新技术的手段来提高工程质量或节省工期</w:t>
      </w:r>
      <w:r>
        <w:rPr>
          <w:rFonts w:hint="eastAsia" w:ascii="宋体" w:hAnsi="宋体" w:eastAsia="宋体" w:cs="宋体"/>
          <w:color w:val="auto"/>
          <w:spacing w:val="-4"/>
          <w:u w:val="none"/>
          <w:lang w:eastAsia="zh-CN"/>
        </w:rPr>
        <w:t>，</w:t>
      </w:r>
      <w:r>
        <w:rPr>
          <w:rFonts w:hint="eastAsia" w:ascii="宋体" w:hAnsi="宋体" w:eastAsia="宋体" w:cs="宋体"/>
          <w:color w:val="auto"/>
          <w:spacing w:val="-4"/>
          <w:u w:val="none"/>
        </w:rPr>
        <w:t>则必须保证新材料、新设备、新工艺、新技术是成熟的并获得相关部门正式批准的，同时使用前承包人必须组织专家论证，并得到发包人的批准。</w:t>
      </w:r>
    </w:p>
    <w:p>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eastAsia="宋体" w:cs="宋体"/>
          <w:color w:val="auto"/>
          <w:spacing w:val="-4"/>
          <w:u w:val="none"/>
          <w:lang w:val="en-US" w:eastAsia="zh-CN"/>
        </w:rPr>
        <w:t xml:space="preserve">3. </w:t>
      </w:r>
      <w:r>
        <w:rPr>
          <w:rFonts w:hint="eastAsia" w:ascii="宋体" w:hAnsi="宋体" w:eastAsia="宋体" w:cs="宋体"/>
          <w:color w:val="auto"/>
          <w:spacing w:val="-4"/>
          <w:u w:val="none"/>
        </w:rPr>
        <w:t>项目安全生产的达标目标及相应事项的约定：</w:t>
      </w:r>
      <w:r>
        <w:rPr>
          <w:rFonts w:hint="eastAsia" w:ascii="宋体" w:hAnsi="宋体" w:eastAsia="宋体" w:cs="宋体"/>
          <w:color w:val="auto"/>
          <w:spacing w:val="-4"/>
          <w:u w:val="single"/>
        </w:rPr>
        <w:t>达到《建筑施工安全检查标准》（JGJ59-2011）的要求</w:t>
      </w:r>
      <w:r>
        <w:rPr>
          <w:rFonts w:hint="eastAsia" w:ascii="宋体" w:hAnsi="宋体" w:eastAsia="宋体" w:cs="宋体"/>
          <w:color w:val="auto"/>
          <w:spacing w:val="-4"/>
          <w:u w:val="none"/>
        </w:rPr>
        <w:t>。</w:t>
      </w:r>
    </w:p>
    <w:p>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eastAsia="宋体" w:cs="宋体"/>
          <w:color w:val="auto"/>
          <w:spacing w:val="-4"/>
          <w:u w:val="none"/>
        </w:rPr>
        <w:t>（1）按现行安全文明施工费计取及使用管理的政策文件规定及发包人制订的安全管理制度执行。</w:t>
      </w:r>
    </w:p>
    <w:p>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eastAsia="宋体" w:cs="宋体"/>
          <w:color w:val="auto"/>
          <w:spacing w:val="-4"/>
          <w:u w:val="none"/>
        </w:rPr>
        <w:tab/>
      </w:r>
      <w:r>
        <w:rPr>
          <w:rFonts w:hint="eastAsia" w:ascii="宋体" w:hAnsi="宋体" w:eastAsia="宋体" w:cs="宋体"/>
          <w:color w:val="auto"/>
          <w:spacing w:val="-4"/>
          <w:u w:val="none"/>
        </w:rPr>
        <w:t>（2）承包人的原因造成事故，由此产生的法律责任和事故责任及费用由承包人全部承担。</w:t>
      </w:r>
    </w:p>
    <w:p>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eastAsia="宋体" w:cs="宋体"/>
          <w:color w:val="auto"/>
          <w:spacing w:val="-4"/>
          <w:u w:val="none"/>
        </w:rPr>
        <w:tab/>
      </w:r>
      <w:r>
        <w:rPr>
          <w:rFonts w:hint="eastAsia" w:ascii="宋体" w:hAnsi="宋体" w:eastAsia="宋体" w:cs="宋体"/>
          <w:color w:val="auto"/>
          <w:spacing w:val="-4"/>
          <w:u w:val="none"/>
        </w:rPr>
        <w:t>（3）承包人向发包人做出安全承诺，并签订《安全生产目标责任书》和《安全承诺书》。</w:t>
      </w:r>
    </w:p>
    <w:p>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eastAsia="宋体" w:cs="宋体"/>
          <w:color w:val="auto"/>
          <w:spacing w:val="-4"/>
          <w:u w:val="none"/>
        </w:rPr>
        <w:tab/>
      </w:r>
      <w:r>
        <w:rPr>
          <w:rFonts w:hint="eastAsia" w:ascii="宋体" w:hAnsi="宋体" w:eastAsia="宋体" w:cs="宋体"/>
          <w:color w:val="auto"/>
          <w:spacing w:val="-4"/>
          <w:u w:val="none"/>
        </w:rPr>
        <w:t>（4）承包人在施工过程中，必须严格执行安全生产法的相关规定，制定切实可靠的安全技术措施。</w:t>
      </w:r>
    </w:p>
    <w:p>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eastAsia="宋体" w:cs="宋体"/>
          <w:color w:val="auto"/>
          <w:spacing w:val="-4"/>
          <w:u w:val="none"/>
        </w:rPr>
        <w:tab/>
      </w:r>
      <w:r>
        <w:rPr>
          <w:rFonts w:hint="eastAsia" w:ascii="宋体" w:hAnsi="宋体" w:eastAsia="宋体" w:cs="宋体"/>
          <w:color w:val="auto"/>
          <w:spacing w:val="-4"/>
          <w:u w:val="none"/>
        </w:rPr>
        <w:t>（5）接受发包人安全监督和管理，在施工中违反安全管理规定和操作规程、违章作业的，承担违约责任。</w:t>
      </w:r>
    </w:p>
    <w:p>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eastAsia="宋体" w:cs="宋体"/>
          <w:color w:val="auto"/>
          <w:spacing w:val="-4"/>
          <w:u w:val="none"/>
          <w:lang w:val="en-US" w:eastAsia="zh-CN"/>
        </w:rPr>
        <w:t xml:space="preserve">4. </w:t>
      </w:r>
      <w:r>
        <w:rPr>
          <w:rFonts w:hint="eastAsia" w:ascii="宋体" w:hAnsi="宋体" w:eastAsia="宋体" w:cs="宋体"/>
          <w:color w:val="auto"/>
          <w:spacing w:val="-4"/>
          <w:u w:val="none"/>
        </w:rPr>
        <w:t>关于治安保卫的特别约定：</w:t>
      </w:r>
      <w:r>
        <w:rPr>
          <w:rFonts w:hint="eastAsia" w:ascii="宋体" w:hAnsi="宋体" w:eastAsia="宋体" w:cs="宋体"/>
          <w:color w:val="auto"/>
          <w:spacing w:val="-4"/>
          <w:u w:val="single"/>
        </w:rPr>
        <w:t>承包人负责组建施工现场治安管理机构或联防组织；承包人负责编制施工场地治安管理计划和突发治安事件紧急预案。</w:t>
      </w:r>
    </w:p>
    <w:p>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eastAsia="宋体" w:cs="宋体"/>
          <w:color w:val="auto"/>
          <w:spacing w:val="-4"/>
          <w:u w:val="none"/>
          <w:lang w:val="en-US" w:eastAsia="zh-CN"/>
        </w:rPr>
        <w:t xml:space="preserve">5. </w:t>
      </w:r>
      <w:r>
        <w:rPr>
          <w:rFonts w:hint="eastAsia" w:ascii="宋体" w:hAnsi="宋体" w:eastAsia="宋体" w:cs="宋体"/>
          <w:color w:val="auto"/>
          <w:spacing w:val="-4"/>
          <w:u w:val="none"/>
        </w:rPr>
        <w:t>关于编制施工场地治安管理计划的约定：</w:t>
      </w:r>
      <w:r>
        <w:rPr>
          <w:rFonts w:hint="eastAsia" w:ascii="宋体" w:hAnsi="宋体" w:eastAsia="宋体" w:cs="宋体"/>
          <w:color w:val="auto"/>
          <w:spacing w:val="-4"/>
          <w:u w:val="single"/>
        </w:rPr>
        <w:t>由承包人负责。</w:t>
      </w:r>
    </w:p>
    <w:p>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eastAsia="宋体" w:cs="宋体"/>
          <w:color w:val="auto"/>
          <w:spacing w:val="-4"/>
          <w:u w:val="none"/>
          <w:lang w:val="en-US" w:eastAsia="zh-CN"/>
        </w:rPr>
        <w:t xml:space="preserve">6. </w:t>
      </w:r>
      <w:r>
        <w:rPr>
          <w:rFonts w:hint="eastAsia" w:ascii="宋体" w:hAnsi="宋体" w:eastAsia="宋体" w:cs="宋体"/>
          <w:color w:val="auto"/>
          <w:spacing w:val="-4"/>
          <w:u w:val="none"/>
        </w:rPr>
        <w:t>文明施工</w:t>
      </w:r>
    </w:p>
    <w:p>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eastAsia="宋体" w:cs="宋体"/>
          <w:color w:val="auto"/>
          <w:spacing w:val="-4"/>
          <w:u w:val="none"/>
        </w:rPr>
        <w:t>合同当事人对文明施工的要求：承包人应按照《房屋建筑和市政基础设施工程施工扬尘控制工作方案》（渝建发〔2009〕13 号）、《重庆市建设委员会关于印发&lt;重庆市房屋建筑和市政基础设施工程现场文明施工标准&gt;的通知》（渝建发〔2008〕169 号）等相关规定履行好施工扬尘控制、文明施工等责任。</w:t>
      </w:r>
    </w:p>
    <w:p>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eastAsia="宋体" w:cs="宋体"/>
          <w:color w:val="auto"/>
          <w:spacing w:val="-4"/>
          <w:u w:val="none"/>
        </w:rPr>
        <w:t>承包人应按规定设置施工现场围挡，承包人采用的围挡主体形式应从重庆市城乡建委发布的标准图 集（DJBT-062、DJBT-063）中选用，做好施工围挡，围挡应整齐美观，承包人按相关要求做好日常维护和保洁，围挡高度满足规范要求，相关费用已包含在签约合同价中。</w:t>
      </w:r>
    </w:p>
    <w:p>
      <w:pPr>
        <w:pStyle w:val="17"/>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eastAsia="宋体" w:cs="宋体"/>
          <w:color w:val="auto"/>
          <w:spacing w:val="-4"/>
          <w:u w:val="none"/>
        </w:rPr>
        <w:t>环境保护</w:t>
      </w:r>
    </w:p>
    <w:p>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cs="宋体"/>
          <w:color w:val="auto"/>
          <w:spacing w:val="-4"/>
          <w:u w:val="none"/>
          <w:lang w:val="en-US" w:eastAsia="zh-CN"/>
        </w:rPr>
        <w:t>（1）</w:t>
      </w:r>
      <w:r>
        <w:rPr>
          <w:rFonts w:hint="eastAsia" w:ascii="宋体" w:hAnsi="宋体" w:eastAsia="宋体" w:cs="宋体"/>
          <w:color w:val="auto"/>
          <w:spacing w:val="-4"/>
          <w:u w:val="none"/>
          <w:lang w:val="en-US" w:eastAsia="zh-CN"/>
        </w:rPr>
        <w:t xml:space="preserve"> </w:t>
      </w:r>
      <w:r>
        <w:rPr>
          <w:rFonts w:hint="eastAsia" w:ascii="宋体" w:hAnsi="宋体" w:eastAsia="宋体" w:cs="宋体"/>
          <w:color w:val="auto"/>
          <w:spacing w:val="-4"/>
          <w:u w:val="none"/>
        </w:rPr>
        <w:t>承包人应做好对周边环境的调查工作</w:t>
      </w:r>
      <w:r>
        <w:rPr>
          <w:rFonts w:hint="eastAsia" w:ascii="宋体" w:hAnsi="宋体" w:eastAsia="宋体" w:cs="宋体"/>
          <w:color w:val="auto"/>
          <w:spacing w:val="-4"/>
          <w:u w:val="none"/>
          <w:lang w:eastAsia="zh-CN"/>
        </w:rPr>
        <w:t>，</w:t>
      </w:r>
      <w:r>
        <w:rPr>
          <w:rFonts w:hint="eastAsia" w:ascii="宋体" w:hAnsi="宋体" w:eastAsia="宋体" w:cs="宋体"/>
          <w:color w:val="auto"/>
          <w:spacing w:val="-4"/>
          <w:u w:val="none"/>
        </w:rPr>
        <w:t>认真编制施工组织设计</w:t>
      </w:r>
      <w:r>
        <w:rPr>
          <w:rFonts w:hint="eastAsia" w:ascii="宋体" w:hAnsi="宋体" w:eastAsia="宋体" w:cs="宋体"/>
          <w:color w:val="auto"/>
          <w:spacing w:val="-4"/>
          <w:u w:val="none"/>
          <w:lang w:eastAsia="zh-CN"/>
        </w:rPr>
        <w:t>，</w:t>
      </w:r>
      <w:r>
        <w:rPr>
          <w:rFonts w:hint="eastAsia" w:ascii="宋体" w:hAnsi="宋体" w:eastAsia="宋体" w:cs="宋体"/>
          <w:color w:val="auto"/>
          <w:spacing w:val="-4"/>
          <w:u w:val="none"/>
        </w:rPr>
        <w:t>严格按照施工方案组织施工，涉及交通、绿化、市政、环保、生态、公共安全等的施工方案应达到相关标准要求并在施工前得到相关行政主管部门和单位的同意，否则不得施工，因施工原因引起的一切投诉及处罚由承包人自行负责。</w:t>
      </w:r>
    </w:p>
    <w:p>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cs="宋体"/>
          <w:color w:val="auto"/>
          <w:spacing w:val="-4"/>
          <w:u w:val="none"/>
          <w:lang w:val="en-US" w:eastAsia="zh-CN"/>
        </w:rPr>
        <w:t>（2）</w:t>
      </w:r>
      <w:r>
        <w:rPr>
          <w:rFonts w:hint="eastAsia" w:ascii="宋体" w:hAnsi="宋体" w:eastAsia="宋体" w:cs="宋体"/>
          <w:color w:val="auto"/>
          <w:spacing w:val="-4"/>
          <w:u w:val="none"/>
        </w:rPr>
        <w:t>承包人应加强生态环境保护工作。施工期间，采取边坡防护，挡渣坝、排水沟、沉淀池、表土剥离和绿化恢复等水土保持措施减少水土流失量，绿化恢复宜采用适于当地生长的植物。</w:t>
      </w:r>
    </w:p>
    <w:p>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cs="宋体"/>
          <w:color w:val="auto"/>
          <w:spacing w:val="-4"/>
          <w:u w:val="none"/>
          <w:lang w:val="en-US" w:eastAsia="zh-CN"/>
        </w:rPr>
        <w:t>（3）</w:t>
      </w:r>
      <w:r>
        <w:rPr>
          <w:rFonts w:hint="eastAsia" w:ascii="宋体" w:hAnsi="宋体" w:eastAsia="宋体" w:cs="宋体"/>
          <w:color w:val="auto"/>
          <w:spacing w:val="-4"/>
          <w:u w:val="none"/>
        </w:rPr>
        <w:t>承包人应认真落实水污染防治措施。施工期间，加强机械设备维护，减少跑冒滴漏等现象；做好含油废水处理措施； 施工场地生活污水经生化处理后达到《污水综合排放标准》（GB8978-1996）一级标准后排放。</w:t>
      </w:r>
    </w:p>
    <w:p>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cs="宋体"/>
          <w:color w:val="auto"/>
          <w:spacing w:val="-4"/>
          <w:u w:val="none"/>
          <w:lang w:val="en-US" w:eastAsia="zh-CN"/>
        </w:rPr>
        <w:t>（4）</w:t>
      </w:r>
      <w:r>
        <w:rPr>
          <w:rFonts w:hint="eastAsia" w:ascii="宋体" w:hAnsi="宋体" w:eastAsia="宋体" w:cs="宋体"/>
          <w:color w:val="auto"/>
          <w:spacing w:val="-4"/>
          <w:u w:val="none"/>
        </w:rPr>
        <w:t>承包人应重视大气污染物污染防治措施。施工期间，严格执行市政府“蓝天行动”方案等有关规定，通过洒水防尘，严格控制施工场地扬尘和运输扬尘污染。</w:t>
      </w:r>
    </w:p>
    <w:p>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cs="宋体"/>
          <w:color w:val="auto"/>
          <w:spacing w:val="-4"/>
          <w:u w:val="none"/>
          <w:lang w:val="en-US" w:eastAsia="zh-CN"/>
        </w:rPr>
        <w:t>（5）</w:t>
      </w:r>
      <w:r>
        <w:rPr>
          <w:rFonts w:hint="eastAsia" w:ascii="宋体" w:hAnsi="宋体" w:eastAsia="宋体" w:cs="宋体"/>
          <w:color w:val="auto"/>
          <w:spacing w:val="-4"/>
          <w:u w:val="none"/>
        </w:rPr>
        <w:t xml:space="preserve"> 承包人应落实固体废物污染防治措施。施工期间，项目产生的弃方不可合理利用的，应运往指定的弃渣场内堆存；建筑垃圾运至指定的建筑垃圾消纳场处置；生活垃圾由当地环卫部门统一处置。</w:t>
      </w:r>
    </w:p>
    <w:p>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lang w:val="en-US" w:eastAsia="zh-CN"/>
        </w:rPr>
      </w:pPr>
      <w:r>
        <w:rPr>
          <w:rFonts w:hint="eastAsia" w:ascii="宋体" w:hAnsi="宋体" w:cs="宋体"/>
          <w:color w:val="auto"/>
          <w:spacing w:val="-4"/>
          <w:u w:val="none"/>
          <w:lang w:val="en-US" w:eastAsia="zh-CN"/>
        </w:rPr>
        <w:t>（6）</w:t>
      </w:r>
      <w:r>
        <w:rPr>
          <w:rFonts w:hint="eastAsia" w:ascii="宋体" w:hAnsi="宋体" w:eastAsia="宋体" w:cs="宋体"/>
          <w:color w:val="auto"/>
          <w:spacing w:val="-4"/>
          <w:u w:val="none"/>
        </w:rPr>
        <w:t>承包人应认真落实噪声污染防治措施。施工期间，优选低噪声设备，合理安排施工时间，严格控制夜间施工，昼、夜施工场界需满足《建筑施工场界环境噪声排放标准》（GB12523-2011）</w:t>
      </w:r>
    </w:p>
    <w:p>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cs="宋体"/>
          <w:color w:val="auto"/>
          <w:spacing w:val="-4"/>
          <w:u w:val="none"/>
          <w:lang w:val="en-US" w:eastAsia="zh-CN"/>
        </w:rPr>
        <w:t>（7）</w:t>
      </w:r>
      <w:r>
        <w:rPr>
          <w:rFonts w:hint="eastAsia" w:ascii="宋体" w:hAnsi="宋体" w:eastAsia="宋体" w:cs="宋体"/>
          <w:color w:val="auto"/>
          <w:spacing w:val="-4"/>
          <w:u w:val="none"/>
        </w:rPr>
        <w:t>承包人自行负责办理有关施工场地交通、环卫和施工噪音管理等手续，并应按要求结合自身实际和重庆市相关规定，考虑不低于以上标准的此类工作。</w:t>
      </w:r>
    </w:p>
    <w:p>
      <w:pPr>
        <w:pStyle w:val="5"/>
        <w:bidi w:val="0"/>
        <w:ind w:firstLine="442" w:firstLineChars="200"/>
        <w:rPr>
          <w:rFonts w:hint="eastAsia"/>
          <w:sz w:val="22"/>
          <w:szCs w:val="22"/>
        </w:rPr>
      </w:pPr>
      <w:r>
        <w:rPr>
          <w:rFonts w:hint="eastAsia"/>
          <w:sz w:val="22"/>
          <w:szCs w:val="22"/>
          <w:lang w:val="en-US" w:eastAsia="zh-CN"/>
        </w:rPr>
        <w:t>十三、</w:t>
      </w:r>
      <w:r>
        <w:rPr>
          <w:rFonts w:hint="eastAsia"/>
          <w:sz w:val="22"/>
          <w:szCs w:val="22"/>
        </w:rPr>
        <w:t>价格调整</w:t>
      </w:r>
    </w:p>
    <w:p>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single"/>
          <w:lang w:eastAsia="zh-CN"/>
        </w:rPr>
      </w:pPr>
      <w:r>
        <w:rPr>
          <w:rFonts w:hint="eastAsia" w:ascii="宋体" w:hAnsi="宋体" w:eastAsia="宋体" w:cs="宋体"/>
          <w:color w:val="auto"/>
          <w:spacing w:val="-4"/>
          <w:u w:val="none"/>
        </w:rPr>
        <w:t>市场价格波动是否调整合同价格的约定：</w:t>
      </w:r>
      <w:r>
        <w:rPr>
          <w:rFonts w:hint="eastAsia" w:ascii="宋体" w:hAnsi="宋体" w:eastAsia="宋体" w:cs="宋体"/>
          <w:color w:val="auto"/>
          <w:spacing w:val="-4"/>
          <w:u w:val="single"/>
          <w:lang w:val="en-US" w:eastAsia="zh-CN"/>
        </w:rPr>
        <w:t>不调整</w:t>
      </w:r>
      <w:r>
        <w:rPr>
          <w:rFonts w:hint="eastAsia" w:ascii="宋体" w:hAnsi="宋体" w:eastAsia="宋体" w:cs="宋体"/>
          <w:color w:val="auto"/>
          <w:spacing w:val="-4"/>
          <w:u w:val="single"/>
          <w:lang w:eastAsia="zh-CN"/>
        </w:rPr>
        <w:t>。</w:t>
      </w:r>
    </w:p>
    <w:p>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single"/>
          <w:lang w:eastAsia="zh-CN"/>
        </w:rPr>
      </w:pPr>
      <w:r>
        <w:rPr>
          <w:rFonts w:hint="eastAsia" w:ascii="宋体" w:hAnsi="宋体" w:eastAsia="宋体" w:cs="宋体"/>
          <w:color w:val="auto"/>
          <w:spacing w:val="-4"/>
          <w:u w:val="none"/>
        </w:rPr>
        <w:t>本项目主要材料及设备价格风险内容、范围及调整方法为：</w:t>
      </w:r>
      <w:r>
        <w:rPr>
          <w:rFonts w:hint="eastAsia" w:ascii="宋体" w:hAnsi="宋体" w:eastAsia="宋体" w:cs="宋体"/>
          <w:color w:val="auto"/>
          <w:spacing w:val="-4"/>
          <w:u w:val="single"/>
          <w:lang w:val="en-US" w:eastAsia="zh-CN"/>
        </w:rPr>
        <w:t>不</w:t>
      </w:r>
      <w:r>
        <w:rPr>
          <w:rFonts w:hint="eastAsia" w:ascii="宋体" w:hAnsi="宋体" w:eastAsia="宋体" w:cs="宋体"/>
          <w:color w:val="auto"/>
          <w:spacing w:val="-4"/>
          <w:u w:val="single"/>
        </w:rPr>
        <w:t>调整</w:t>
      </w:r>
      <w:r>
        <w:rPr>
          <w:rFonts w:hint="eastAsia" w:ascii="宋体" w:hAnsi="宋体" w:eastAsia="宋体" w:cs="宋体"/>
          <w:color w:val="auto"/>
          <w:spacing w:val="-4"/>
          <w:u w:val="single"/>
          <w:lang w:eastAsia="zh-CN"/>
        </w:rPr>
        <w:t>。</w:t>
      </w:r>
    </w:p>
    <w:p>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kern w:val="2"/>
          <w:sz w:val="21"/>
          <w:szCs w:val="21"/>
        </w:rPr>
      </w:pPr>
      <w:r>
        <w:rPr>
          <w:rFonts w:hint="eastAsia" w:ascii="宋体" w:hAnsi="宋体" w:eastAsia="宋体" w:cs="宋体"/>
          <w:color w:val="auto"/>
          <w:spacing w:val="-4"/>
          <w:u w:val="none"/>
          <w:lang w:eastAsia="zh-CN"/>
        </w:rPr>
        <w:t>风险费用的计算方法：</w:t>
      </w:r>
      <w:r>
        <w:rPr>
          <w:rFonts w:hint="eastAsia" w:ascii="宋体" w:hAnsi="宋体" w:eastAsia="宋体" w:cs="宋体"/>
          <w:color w:val="auto"/>
          <w:spacing w:val="-4"/>
          <w:u w:val="single"/>
          <w:lang w:eastAsia="zh-CN"/>
        </w:rPr>
        <w:t>由承包人自行考虑并计入签约合同价格中，包干使用。</w:t>
      </w:r>
    </w:p>
    <w:p>
      <w:pPr>
        <w:pStyle w:val="5"/>
        <w:bidi w:val="0"/>
        <w:ind w:firstLine="442" w:firstLineChars="200"/>
        <w:rPr>
          <w:rFonts w:hint="eastAsia"/>
          <w:sz w:val="22"/>
          <w:szCs w:val="22"/>
          <w:highlight w:val="none"/>
        </w:rPr>
      </w:pPr>
      <w:r>
        <w:rPr>
          <w:rFonts w:hint="eastAsia"/>
          <w:sz w:val="22"/>
          <w:szCs w:val="22"/>
          <w:highlight w:val="none"/>
          <w:lang w:val="en-US" w:eastAsia="zh-CN"/>
        </w:rPr>
        <w:t>十四、</w:t>
      </w:r>
      <w:r>
        <w:rPr>
          <w:rFonts w:hint="eastAsia"/>
          <w:sz w:val="22"/>
          <w:szCs w:val="22"/>
          <w:highlight w:val="none"/>
        </w:rPr>
        <w:t xml:space="preserve">工程款支付 </w:t>
      </w:r>
    </w:p>
    <w:p>
      <w:pPr>
        <w:spacing w:after="120" w:line="360" w:lineRule="auto"/>
        <w:ind w:firstLine="404" w:firstLineChars="200"/>
        <w:rPr>
          <w:rFonts w:hint="eastAsia" w:ascii="宋体" w:hAnsi="宋体" w:cs="宋体"/>
          <w:color w:val="auto"/>
          <w:spacing w:val="-4"/>
          <w:highlight w:val="none"/>
          <w:u w:val="none"/>
          <w:lang w:val="en-US" w:eastAsia="zh-CN"/>
        </w:rPr>
      </w:pPr>
      <w:r>
        <w:rPr>
          <w:rFonts w:hint="eastAsia" w:ascii="宋体" w:hAnsi="宋体" w:cs="宋体"/>
          <w:b w:val="0"/>
          <w:bCs w:val="0"/>
          <w:color w:val="auto"/>
          <w:spacing w:val="-4"/>
          <w:kern w:val="2"/>
          <w:sz w:val="21"/>
          <w:szCs w:val="24"/>
          <w:highlight w:val="none"/>
          <w:u w:val="none"/>
          <w:lang w:val="en-US" w:eastAsia="zh-CN" w:bidi="ar-SA"/>
        </w:rPr>
        <w:t>本工程施工完成后，</w:t>
      </w:r>
      <w:r>
        <w:rPr>
          <w:rFonts w:hint="eastAsia" w:ascii="宋体" w:hAnsi="宋体" w:cs="宋体"/>
          <w:color w:val="auto"/>
          <w:spacing w:val="-4"/>
          <w:highlight w:val="none"/>
          <w:u w:val="none"/>
          <w:lang w:val="en-US" w:eastAsia="zh-CN"/>
        </w:rPr>
        <w:t>经甲、乙双方和相关单位竣工验收合格后，甲方报送结算资料，经第三方重庆市渝北区物业专项维修资金管理中心聘请的第三方审价机构出具结算审核报告。乙方承诺按照规定以申请物业专项维修资金的方式支付工程款。工程款乙方开增值税专用发票（税率：9%）金额以结算审核报告金额为准，发票开具购买方信息:重庆市渝北区物业专项维修资金管理中心。在物业专项维修资金申批过程中的延误支付，不视为付款违约行为。</w:t>
      </w:r>
    </w:p>
    <w:p>
      <w:pPr>
        <w:spacing w:after="120" w:line="360" w:lineRule="auto"/>
        <w:ind w:firstLine="404" w:firstLineChars="200"/>
        <w:jc w:val="left"/>
        <w:rPr>
          <w:rFonts w:hint="eastAsia" w:ascii="宋体" w:hAnsi="宋体" w:cs="宋体"/>
          <w:b w:val="0"/>
          <w:bCs w:val="0"/>
          <w:color w:val="auto"/>
          <w:spacing w:val="-4"/>
          <w:kern w:val="2"/>
          <w:sz w:val="21"/>
          <w:szCs w:val="24"/>
          <w:highlight w:val="none"/>
          <w:u w:val="none"/>
          <w:lang w:val="en-US" w:eastAsia="zh-CN" w:bidi="ar-SA"/>
        </w:rPr>
      </w:pPr>
      <w:r>
        <w:rPr>
          <w:rFonts w:hint="eastAsia" w:ascii="宋体" w:hAnsi="宋体" w:cs="宋体"/>
          <w:color w:val="auto"/>
          <w:spacing w:val="-4"/>
          <w:sz w:val="21"/>
          <w:szCs w:val="24"/>
          <w:highlight w:val="none"/>
          <w:u w:val="none"/>
          <w:lang w:val="en-US" w:eastAsia="zh-CN"/>
        </w:rPr>
        <w:t>该工程在资金管理中心验收合格出具结算报告后10个工作日内，乙方向甲方缴纳结算</w:t>
      </w:r>
      <w:r>
        <w:rPr>
          <w:rFonts w:hint="eastAsia" w:ascii="宋体" w:hAnsi="宋体" w:eastAsia="宋体" w:cs="宋体"/>
          <w:color w:val="auto"/>
          <w:spacing w:val="-4"/>
          <w:sz w:val="21"/>
          <w:szCs w:val="24"/>
          <w:highlight w:val="none"/>
          <w:u w:val="none"/>
        </w:rPr>
        <w:t>总额的</w:t>
      </w:r>
      <w:r>
        <w:rPr>
          <w:rFonts w:hint="eastAsia" w:ascii="宋体" w:hAnsi="宋体" w:cs="宋体"/>
          <w:color w:val="auto"/>
          <w:spacing w:val="-4"/>
          <w:sz w:val="21"/>
          <w:szCs w:val="24"/>
          <w:highlight w:val="none"/>
          <w:u w:val="single"/>
          <w:lang w:val="en-US" w:eastAsia="zh-CN"/>
        </w:rPr>
        <w:t xml:space="preserve">  3％ </w:t>
      </w:r>
      <w:r>
        <w:rPr>
          <w:rFonts w:hint="eastAsia" w:ascii="宋体" w:hAnsi="宋体" w:cs="宋体"/>
          <w:color w:val="auto"/>
          <w:spacing w:val="-4"/>
          <w:sz w:val="21"/>
          <w:szCs w:val="24"/>
          <w:highlight w:val="none"/>
          <w:u w:val="none"/>
          <w:lang w:val="en-US" w:eastAsia="zh-CN"/>
        </w:rPr>
        <w:t>至甲方对公账户作为工程质量保证金，甲方在收到乙方缴纳的工程质量保证金后出具相应金额的回执单给乙方。质保期届满</w:t>
      </w:r>
      <w:r>
        <w:rPr>
          <w:rFonts w:hint="eastAsia" w:ascii="宋体" w:hAnsi="宋体" w:cs="宋体"/>
          <w:color w:val="auto"/>
          <w:spacing w:val="-4"/>
          <w:sz w:val="21"/>
          <w:szCs w:val="24"/>
          <w:highlight w:val="none"/>
          <w:u w:val="single"/>
          <w:lang w:val="en-US" w:eastAsia="zh-CN"/>
        </w:rPr>
        <w:t xml:space="preserve">  5  </w:t>
      </w:r>
      <w:r>
        <w:rPr>
          <w:rFonts w:hint="eastAsia" w:ascii="宋体" w:hAnsi="宋体" w:cs="宋体"/>
          <w:color w:val="auto"/>
          <w:spacing w:val="-4"/>
          <w:sz w:val="21"/>
          <w:szCs w:val="24"/>
          <w:highlight w:val="none"/>
          <w:u w:val="none"/>
          <w:lang w:val="en-US" w:eastAsia="zh-CN"/>
        </w:rPr>
        <w:t>年后且工程无质量问题，此工程质量保证金无息返还，质量保修期从该工程竣工验收合格之日起计算。</w:t>
      </w:r>
    </w:p>
    <w:p>
      <w:pPr>
        <w:numPr>
          <w:ilvl w:val="0"/>
          <w:numId w:val="0"/>
        </w:numPr>
        <w:spacing w:after="120" w:line="360" w:lineRule="auto"/>
        <w:ind w:firstLine="404" w:firstLineChars="200"/>
        <w:rPr>
          <w:rFonts w:hint="default" w:cs="宋体"/>
          <w:b w:val="0"/>
          <w:bCs w:val="0"/>
          <w:color w:val="auto"/>
          <w:spacing w:val="-4"/>
          <w:kern w:val="2"/>
          <w:sz w:val="21"/>
          <w:szCs w:val="24"/>
          <w:highlight w:val="cyan"/>
          <w:u w:val="none"/>
          <w:lang w:val="en-US" w:eastAsia="zh-CN" w:bidi="ar-SA"/>
        </w:rPr>
      </w:pPr>
      <w:r>
        <w:rPr>
          <w:rFonts w:hint="eastAsia" w:ascii="宋体" w:hAnsi="宋体" w:cs="宋体"/>
          <w:color w:val="auto"/>
          <w:spacing w:val="-4"/>
          <w:sz w:val="21"/>
          <w:szCs w:val="24"/>
          <w:highlight w:val="none"/>
          <w:u w:val="none"/>
          <w:lang w:val="en-US" w:eastAsia="zh-CN"/>
        </w:rPr>
        <w:t>质保期内若工程出现缺陷问题，乙方在接到甲方通知后3日内需安排相关人员对接甲方并进行维修；若乙方3日内未派人对接甲方和进场维修，甲方有权使用质保金聘请第三方单位对该缺陷问题进行维修处理且无需征得乙方同意；质保金不够承担维修费用的，甲方有权向乙方索赔不足部分维修费用，同时乙方还将向甲方赔偿结算总价</w:t>
      </w:r>
      <w:r>
        <w:rPr>
          <w:rFonts w:hint="eastAsia" w:ascii="宋体" w:hAnsi="宋体" w:cs="宋体"/>
          <w:color w:val="auto"/>
          <w:spacing w:val="-4"/>
          <w:sz w:val="21"/>
          <w:szCs w:val="24"/>
          <w:highlight w:val="none"/>
          <w:u w:val="single"/>
          <w:lang w:val="en-US" w:eastAsia="zh-CN"/>
        </w:rPr>
        <w:t xml:space="preserve">  3％ </w:t>
      </w:r>
      <w:r>
        <w:rPr>
          <w:rFonts w:hint="eastAsia" w:ascii="宋体" w:hAnsi="宋体" w:cs="宋体"/>
          <w:color w:val="auto"/>
          <w:spacing w:val="-4"/>
          <w:sz w:val="21"/>
          <w:szCs w:val="24"/>
          <w:highlight w:val="none"/>
          <w:u w:val="none"/>
          <w:lang w:val="en-US" w:eastAsia="zh-CN"/>
        </w:rPr>
        <w:t>的违约金。</w:t>
      </w:r>
    </w:p>
    <w:p>
      <w:pPr>
        <w:spacing w:after="120" w:line="360" w:lineRule="auto"/>
        <w:ind w:firstLine="420" w:firstLineChars="200"/>
        <w:rPr>
          <w:rFonts w:hint="eastAsia" w:ascii="宋体" w:hAnsi="宋体" w:eastAsia="宋体" w:cs="宋体"/>
          <w:lang w:eastAsia="zh-CN"/>
        </w:rPr>
      </w:pPr>
      <w:bookmarkStart w:id="640" w:name="OLE_LINK14"/>
      <w:r>
        <w:rPr>
          <w:rFonts w:hint="eastAsia" w:ascii="宋体" w:hAnsi="宋体" w:eastAsia="宋体" w:cs="宋体"/>
          <w:lang w:eastAsia="zh-CN"/>
        </w:rPr>
        <w:t>乙方收款账户信息为：</w:t>
      </w:r>
    </w:p>
    <w:p>
      <w:pPr>
        <w:spacing w:line="360" w:lineRule="auto"/>
        <w:ind w:firstLine="420" w:firstLineChars="200"/>
        <w:rPr>
          <w:rFonts w:hint="default" w:ascii="宋体" w:hAnsi="宋体" w:eastAsia="宋体" w:cs="宋体"/>
          <w:highlight w:val="none"/>
          <w:u w:val="single"/>
          <w:lang w:val="en-US" w:eastAsia="zh-CN"/>
        </w:rPr>
      </w:pPr>
      <w:r>
        <w:rPr>
          <w:rFonts w:hint="eastAsia" w:ascii="宋体" w:hAnsi="宋体" w:eastAsia="宋体" w:cs="宋体"/>
          <w:lang w:eastAsia="zh-CN"/>
        </w:rPr>
        <w:t>开户名称：</w:t>
      </w:r>
      <w:r>
        <w:rPr>
          <w:rFonts w:hint="eastAsia" w:ascii="宋体" w:hAnsi="宋体" w:eastAsia="宋体" w:cs="宋体"/>
          <w:highlight w:val="none"/>
          <w:u w:val="single"/>
          <w:lang w:val="en-US" w:eastAsia="zh-CN"/>
        </w:rPr>
        <w:t xml:space="preserve"> </w:t>
      </w:r>
      <w:r>
        <w:rPr>
          <w:rFonts w:hint="eastAsia" w:ascii="宋体" w:hAnsi="宋体" w:cs="宋体"/>
          <w:highlight w:val="none"/>
          <w:u w:val="single"/>
          <w:lang w:val="en-US" w:eastAsia="zh-CN"/>
        </w:rPr>
        <w:t xml:space="preserve">                                  </w:t>
      </w:r>
    </w:p>
    <w:p>
      <w:pPr>
        <w:spacing w:line="360" w:lineRule="auto"/>
        <w:ind w:firstLine="420" w:firstLineChars="200"/>
        <w:rPr>
          <w:rFonts w:hint="default" w:ascii="宋体" w:hAnsi="宋体" w:eastAsia="宋体" w:cs="宋体"/>
          <w:highlight w:val="none"/>
          <w:lang w:val="en-US" w:eastAsia="zh-CN"/>
        </w:rPr>
      </w:pPr>
      <w:r>
        <w:rPr>
          <w:rFonts w:hint="eastAsia" w:ascii="宋体" w:hAnsi="宋体" w:eastAsia="宋体" w:cs="宋体"/>
          <w:highlight w:val="none"/>
          <w:lang w:eastAsia="zh-CN"/>
        </w:rPr>
        <w:t>开户银行：</w:t>
      </w:r>
      <w:r>
        <w:rPr>
          <w:rFonts w:hint="eastAsia" w:ascii="宋体" w:hAnsi="宋体" w:eastAsia="宋体" w:cs="宋体"/>
          <w:highlight w:val="none"/>
          <w:u w:val="single"/>
          <w:lang w:val="en-US" w:eastAsia="zh-CN"/>
        </w:rPr>
        <w:t xml:space="preserve"> </w:t>
      </w:r>
      <w:r>
        <w:rPr>
          <w:rFonts w:hint="eastAsia" w:ascii="宋体" w:hAnsi="宋体" w:cs="宋体"/>
          <w:highlight w:val="none"/>
          <w:u w:val="single"/>
          <w:lang w:val="en-US" w:eastAsia="zh-CN"/>
        </w:rPr>
        <w:t xml:space="preserve">                                  </w:t>
      </w:r>
    </w:p>
    <w:p>
      <w:pPr>
        <w:ind w:firstLine="420" w:firstLineChars="200"/>
        <w:rPr>
          <w:rFonts w:hint="eastAsia" w:ascii="宋体" w:hAnsi="宋体" w:eastAsia="宋体" w:cs="宋体"/>
          <w:highlight w:val="none"/>
          <w:u w:val="single"/>
          <w:lang w:val="en-US" w:eastAsia="zh-CN"/>
        </w:rPr>
      </w:pPr>
      <w:r>
        <w:rPr>
          <w:rFonts w:hint="eastAsia" w:ascii="宋体" w:hAnsi="宋体" w:eastAsia="宋体" w:cs="宋体"/>
          <w:highlight w:val="none"/>
          <w:lang w:eastAsia="zh-CN"/>
        </w:rPr>
        <w:t>账 号：</w:t>
      </w:r>
      <w:r>
        <w:rPr>
          <w:rFonts w:hint="eastAsia" w:ascii="宋体" w:hAnsi="宋体" w:eastAsia="宋体" w:cs="宋体"/>
          <w:highlight w:val="none"/>
          <w:u w:val="single"/>
          <w:lang w:val="en-US" w:eastAsia="zh-CN"/>
        </w:rPr>
        <w:t xml:space="preserve"> </w:t>
      </w:r>
      <w:r>
        <w:rPr>
          <w:rFonts w:hint="eastAsia" w:ascii="宋体" w:hAnsi="宋体" w:cs="宋体"/>
          <w:highlight w:val="none"/>
          <w:u w:val="single"/>
          <w:lang w:val="en-US" w:eastAsia="zh-CN"/>
        </w:rPr>
        <w:t xml:space="preserve">                                   </w:t>
      </w:r>
      <w:r>
        <w:rPr>
          <w:rFonts w:hint="eastAsia" w:ascii="宋体" w:hAnsi="宋体" w:eastAsia="宋体" w:cs="宋体"/>
          <w:highlight w:val="none"/>
          <w:u w:val="single"/>
          <w:lang w:val="en-US" w:eastAsia="zh-CN"/>
        </w:rPr>
        <w:t xml:space="preserve">  </w:t>
      </w:r>
      <w:bookmarkEnd w:id="640"/>
    </w:p>
    <w:p>
      <w:pPr>
        <w:ind w:firstLine="420" w:firstLineChars="200"/>
        <w:rPr>
          <w:rFonts w:hint="default" w:ascii="宋体" w:hAnsi="宋体" w:eastAsia="宋体" w:cs="宋体"/>
          <w:highlight w:val="none"/>
          <w:u w:val="single"/>
          <w:lang w:val="en-US" w:eastAsia="zh-CN"/>
        </w:rPr>
      </w:pPr>
    </w:p>
    <w:p>
      <w:pPr>
        <w:pStyle w:val="17"/>
        <w:spacing w:line="360" w:lineRule="auto"/>
        <w:ind w:left="3" w:firstLine="398" w:firstLineChars="200"/>
        <w:rPr>
          <w:rFonts w:hint="eastAsia" w:ascii="宋体" w:hAnsi="宋体" w:eastAsia="宋体" w:cs="宋体"/>
          <w:b/>
          <w:bCs/>
          <w:color w:val="auto"/>
          <w:spacing w:val="-6"/>
        </w:rPr>
      </w:pPr>
      <w:r>
        <w:rPr>
          <w:rFonts w:hint="eastAsia" w:ascii="宋体" w:hAnsi="宋体" w:cs="宋体"/>
          <w:b/>
          <w:bCs/>
          <w:color w:val="auto"/>
          <w:spacing w:val="-6"/>
          <w:lang w:val="en-US" w:eastAsia="zh-CN"/>
        </w:rPr>
        <w:t>十五、</w:t>
      </w:r>
      <w:r>
        <w:rPr>
          <w:rFonts w:hint="eastAsia" w:ascii="宋体" w:hAnsi="宋体" w:eastAsia="宋体" w:cs="宋体"/>
          <w:b/>
          <w:bCs/>
          <w:color w:val="auto"/>
          <w:spacing w:val="-6"/>
        </w:rPr>
        <w:t>承包人违约</w:t>
      </w:r>
    </w:p>
    <w:p>
      <w:pPr>
        <w:pStyle w:val="17"/>
        <w:spacing w:line="360" w:lineRule="auto"/>
        <w:ind w:left="3" w:firstLine="396" w:firstLineChars="200"/>
        <w:rPr>
          <w:rFonts w:hint="eastAsia" w:ascii="宋体" w:hAnsi="宋体" w:eastAsia="宋体" w:cs="宋体"/>
          <w:color w:val="auto"/>
          <w:spacing w:val="-6"/>
        </w:rPr>
      </w:pPr>
      <w:r>
        <w:rPr>
          <w:rFonts w:hint="eastAsia" w:ascii="宋体" w:hAnsi="宋体" w:cs="宋体"/>
          <w:color w:val="auto"/>
          <w:spacing w:val="-6"/>
          <w:lang w:val="en-US" w:eastAsia="zh-CN"/>
        </w:rPr>
        <w:t>1.</w:t>
      </w:r>
      <w:r>
        <w:rPr>
          <w:rFonts w:hint="eastAsia" w:ascii="宋体" w:hAnsi="宋体" w:eastAsia="宋体" w:cs="宋体"/>
          <w:color w:val="auto"/>
          <w:spacing w:val="-6"/>
        </w:rPr>
        <w:t>承包人违约的情形：</w:t>
      </w:r>
    </w:p>
    <w:p>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w:t>
      </w:r>
      <w:r>
        <w:rPr>
          <w:rFonts w:hint="eastAsia" w:ascii="宋体" w:hAnsi="宋体" w:eastAsia="宋体" w:cs="宋体"/>
          <w:color w:val="auto"/>
          <w:spacing w:val="-6"/>
          <w:lang w:val="en-US" w:eastAsia="zh-CN"/>
        </w:rPr>
        <w:t>1</w:t>
      </w:r>
      <w:r>
        <w:rPr>
          <w:rFonts w:hint="eastAsia" w:ascii="宋体" w:hAnsi="宋体" w:eastAsia="宋体" w:cs="宋体"/>
          <w:color w:val="auto"/>
          <w:spacing w:val="-6"/>
        </w:rPr>
        <w:t>）承包人未能按期开工的；</w:t>
      </w:r>
    </w:p>
    <w:p>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w:t>
      </w:r>
      <w:r>
        <w:rPr>
          <w:rFonts w:hint="eastAsia" w:ascii="宋体" w:hAnsi="宋体" w:eastAsia="宋体" w:cs="宋体"/>
          <w:color w:val="auto"/>
          <w:spacing w:val="-6"/>
          <w:lang w:val="en-US" w:eastAsia="zh-CN"/>
        </w:rPr>
        <w:t>2</w:t>
      </w:r>
      <w:r>
        <w:rPr>
          <w:rFonts w:hint="eastAsia" w:ascii="宋体" w:hAnsi="宋体" w:eastAsia="宋体" w:cs="宋体"/>
          <w:color w:val="auto"/>
          <w:spacing w:val="-6"/>
        </w:rPr>
        <w:t>）承包人未按投标文件的要求及时配备称职的主要管理人员</w:t>
      </w:r>
      <w:r>
        <w:rPr>
          <w:rFonts w:hint="eastAsia" w:ascii="宋体" w:hAnsi="宋体" w:eastAsia="宋体" w:cs="宋体"/>
          <w:color w:val="auto"/>
          <w:spacing w:val="-6"/>
          <w:lang w:eastAsia="zh-CN"/>
        </w:rPr>
        <w:t>，</w:t>
      </w:r>
      <w:r>
        <w:rPr>
          <w:rFonts w:hint="eastAsia" w:ascii="宋体" w:hAnsi="宋体" w:eastAsia="宋体" w:cs="宋体"/>
          <w:color w:val="auto"/>
          <w:spacing w:val="-6"/>
        </w:rPr>
        <w:t>或承包人未按经审定的施工组织设计配备或更换关键施工设备的；</w:t>
      </w:r>
    </w:p>
    <w:p>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w:t>
      </w:r>
      <w:r>
        <w:rPr>
          <w:rFonts w:hint="eastAsia" w:ascii="宋体" w:hAnsi="宋体" w:eastAsia="宋体" w:cs="宋体"/>
          <w:color w:val="auto"/>
          <w:spacing w:val="-6"/>
          <w:lang w:val="en-US" w:eastAsia="zh-CN"/>
        </w:rPr>
        <w:t>3</w:t>
      </w:r>
      <w:r>
        <w:rPr>
          <w:rFonts w:hint="eastAsia" w:ascii="宋体" w:hAnsi="宋体" w:eastAsia="宋体" w:cs="宋体"/>
          <w:color w:val="auto"/>
          <w:spacing w:val="-6"/>
        </w:rPr>
        <w:t>）承包人有安全问题或有违反安全管理规章制度情况的；</w:t>
      </w:r>
    </w:p>
    <w:p>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w:t>
      </w:r>
      <w:r>
        <w:rPr>
          <w:rFonts w:hint="eastAsia" w:ascii="宋体" w:hAnsi="宋体" w:eastAsia="宋体" w:cs="宋体"/>
          <w:color w:val="auto"/>
          <w:spacing w:val="-6"/>
          <w:lang w:val="en-US" w:eastAsia="zh-CN"/>
        </w:rPr>
        <w:t>4</w:t>
      </w:r>
      <w:r>
        <w:rPr>
          <w:rFonts w:hint="eastAsia" w:ascii="宋体" w:hAnsi="宋体" w:eastAsia="宋体" w:cs="宋体"/>
          <w:color w:val="auto"/>
          <w:spacing w:val="-6"/>
        </w:rPr>
        <w:t>）承包人在</w:t>
      </w:r>
      <w:r>
        <w:rPr>
          <w:rFonts w:hint="eastAsia" w:ascii="宋体" w:hAnsi="宋体" w:eastAsia="宋体" w:cs="宋体"/>
          <w:color w:val="auto"/>
          <w:spacing w:val="-6"/>
          <w:lang w:val="en-US" w:eastAsia="zh-CN"/>
        </w:rPr>
        <w:t>质保</w:t>
      </w:r>
      <w:r>
        <w:rPr>
          <w:rFonts w:hint="eastAsia" w:ascii="宋体" w:hAnsi="宋体" w:eastAsia="宋体" w:cs="宋体"/>
          <w:color w:val="auto"/>
          <w:spacing w:val="-6"/>
        </w:rPr>
        <w:t>期内，未能在合理期限对工程缺陷进行修复，或拒绝按发包人要求进行修复的；</w:t>
      </w:r>
    </w:p>
    <w:p>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w:t>
      </w:r>
      <w:r>
        <w:rPr>
          <w:rFonts w:hint="eastAsia" w:ascii="宋体" w:hAnsi="宋体" w:eastAsia="宋体" w:cs="宋体"/>
          <w:color w:val="auto"/>
          <w:spacing w:val="-6"/>
          <w:lang w:val="en-US" w:eastAsia="zh-CN"/>
        </w:rPr>
        <w:t>5</w:t>
      </w:r>
      <w:r>
        <w:rPr>
          <w:rFonts w:hint="eastAsia" w:ascii="宋体" w:hAnsi="宋体" w:eastAsia="宋体" w:cs="宋体"/>
          <w:color w:val="auto"/>
          <w:spacing w:val="-6"/>
        </w:rPr>
        <w:t>）承包人拖欠其工人或所雇人员工资或报酬，导致其工人或所雇人员向有关部门投诉、控告、检举或以聚集等方式讨要工资或报酬的；</w:t>
      </w:r>
    </w:p>
    <w:p>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w:t>
      </w:r>
      <w:r>
        <w:rPr>
          <w:rFonts w:hint="eastAsia" w:ascii="宋体" w:hAnsi="宋体" w:eastAsia="宋体" w:cs="宋体"/>
          <w:color w:val="auto"/>
          <w:spacing w:val="-6"/>
          <w:lang w:val="en-US" w:eastAsia="zh-CN"/>
        </w:rPr>
        <w:t>6</w:t>
      </w:r>
      <w:r>
        <w:rPr>
          <w:rFonts w:hint="eastAsia" w:ascii="宋体" w:hAnsi="宋体" w:eastAsia="宋体" w:cs="宋体"/>
          <w:color w:val="auto"/>
          <w:spacing w:val="-6"/>
        </w:rPr>
        <w:t>）承包人不配合发包人及发包人委托的工程造价咨询服务单位结算审核或承包人其他原因导致未按期完成工程竣工结算的；</w:t>
      </w:r>
    </w:p>
    <w:p>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w:t>
      </w:r>
      <w:r>
        <w:rPr>
          <w:rFonts w:hint="eastAsia" w:ascii="宋体" w:hAnsi="宋体" w:eastAsia="宋体" w:cs="宋体"/>
          <w:color w:val="auto"/>
          <w:spacing w:val="-6"/>
          <w:lang w:val="en-US" w:eastAsia="zh-CN"/>
        </w:rPr>
        <w:t>7</w:t>
      </w:r>
      <w:r>
        <w:rPr>
          <w:rFonts w:hint="eastAsia" w:ascii="宋体" w:hAnsi="宋体" w:eastAsia="宋体" w:cs="宋体"/>
          <w:color w:val="auto"/>
          <w:spacing w:val="-6"/>
        </w:rPr>
        <w:t>）承包人违反合同约定进行转包或违法分包的；</w:t>
      </w:r>
    </w:p>
    <w:p>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w:t>
      </w:r>
      <w:r>
        <w:rPr>
          <w:rFonts w:hint="eastAsia" w:ascii="宋体" w:hAnsi="宋体" w:eastAsia="宋体" w:cs="宋体"/>
          <w:color w:val="auto"/>
          <w:spacing w:val="-6"/>
          <w:lang w:val="en-US" w:eastAsia="zh-CN"/>
        </w:rPr>
        <w:t>8</w:t>
      </w:r>
      <w:r>
        <w:rPr>
          <w:rFonts w:hint="eastAsia" w:ascii="宋体" w:hAnsi="宋体" w:eastAsia="宋体" w:cs="宋体"/>
          <w:color w:val="auto"/>
          <w:spacing w:val="-6"/>
        </w:rPr>
        <w:t>）承包人未按合同约定移交全部或部分工作的；</w:t>
      </w:r>
    </w:p>
    <w:p>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w:t>
      </w:r>
      <w:r>
        <w:rPr>
          <w:rFonts w:hint="eastAsia" w:ascii="宋体" w:hAnsi="宋体" w:eastAsia="宋体" w:cs="宋体"/>
          <w:color w:val="auto"/>
          <w:spacing w:val="-6"/>
          <w:lang w:val="en-US" w:eastAsia="zh-CN"/>
        </w:rPr>
        <w:t>9</w:t>
      </w:r>
      <w:r>
        <w:rPr>
          <w:rFonts w:hint="eastAsia" w:ascii="宋体" w:hAnsi="宋体" w:eastAsia="宋体" w:cs="宋体"/>
          <w:color w:val="auto"/>
          <w:spacing w:val="-6"/>
        </w:rPr>
        <w:t>）承包人未按合同约定购买保险的；</w:t>
      </w:r>
    </w:p>
    <w:p>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（1</w:t>
      </w:r>
      <w:r>
        <w:rPr>
          <w:rFonts w:hint="eastAsia" w:ascii="宋体" w:hAnsi="宋体" w:eastAsia="宋体" w:cs="宋体"/>
          <w:color w:val="auto"/>
          <w:spacing w:val="-6"/>
          <w:lang w:val="en-US" w:eastAsia="zh-CN"/>
        </w:rPr>
        <w:t>0</w:t>
      </w:r>
      <w:r>
        <w:rPr>
          <w:rFonts w:hint="eastAsia" w:ascii="宋体" w:hAnsi="宋体" w:eastAsia="宋体" w:cs="宋体"/>
          <w:color w:val="auto"/>
          <w:spacing w:val="-6"/>
        </w:rPr>
        <w:t>）项目经理若有以下情形，属于承包人违约：</w:t>
      </w:r>
    </w:p>
    <w:p>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1）项目经理不按承诺到岗的；</w:t>
      </w:r>
    </w:p>
    <w:p>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lang w:val="en-US" w:eastAsia="zh-CN"/>
        </w:rPr>
        <w:t>2</w:t>
      </w:r>
      <w:r>
        <w:rPr>
          <w:rFonts w:hint="eastAsia" w:ascii="宋体" w:hAnsi="宋体" w:eastAsia="宋体" w:cs="宋体"/>
          <w:color w:val="auto"/>
          <w:spacing w:val="-6"/>
        </w:rPr>
        <w:t>）承包人未提交项目经理劳动合同和社会保险证明的；</w:t>
      </w:r>
    </w:p>
    <w:p>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lang w:val="en-US" w:eastAsia="zh-CN"/>
        </w:rPr>
        <w:t>3</w:t>
      </w:r>
      <w:r>
        <w:rPr>
          <w:rFonts w:hint="eastAsia" w:ascii="宋体" w:hAnsi="宋体" w:eastAsia="宋体" w:cs="宋体"/>
          <w:color w:val="auto"/>
          <w:spacing w:val="-6"/>
        </w:rPr>
        <w:t>）未经批准，擅自离开施工现场（超过约定时间）的；</w:t>
      </w:r>
    </w:p>
    <w:p>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lang w:val="en-US" w:eastAsia="zh-CN"/>
        </w:rPr>
        <w:t>4</w:t>
      </w:r>
      <w:r>
        <w:rPr>
          <w:rFonts w:hint="eastAsia" w:ascii="宋体" w:hAnsi="宋体" w:eastAsia="宋体" w:cs="宋体"/>
          <w:color w:val="auto"/>
          <w:spacing w:val="-6"/>
        </w:rPr>
        <w:t>）未经批准，擅自变更项目经理的；</w:t>
      </w:r>
    </w:p>
    <w:p>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lang w:val="en-US" w:eastAsia="zh-CN"/>
        </w:rPr>
        <w:t>5</w:t>
      </w:r>
      <w:r>
        <w:rPr>
          <w:rFonts w:hint="eastAsia" w:ascii="宋体" w:hAnsi="宋体" w:eastAsia="宋体" w:cs="宋体"/>
          <w:color w:val="auto"/>
          <w:spacing w:val="-6"/>
        </w:rPr>
        <w:t>）按照渝建发〔2015〕35 号文的要求，施工期间，项目经理因在一个记分周期内累计记分达到 12</w:t>
      </w:r>
      <w:r>
        <w:rPr>
          <w:rFonts w:hint="eastAsia" w:ascii="宋体" w:hAnsi="宋体" w:eastAsia="宋体" w:cs="宋体"/>
          <w:color w:val="auto"/>
          <w:spacing w:val="-6"/>
          <w:lang w:val="en-US" w:eastAsia="zh-CN"/>
        </w:rPr>
        <w:t xml:space="preserve"> </w:t>
      </w:r>
      <w:r>
        <w:rPr>
          <w:rFonts w:hint="eastAsia" w:ascii="宋体" w:hAnsi="宋体" w:eastAsia="宋体" w:cs="宋体"/>
          <w:color w:val="auto"/>
          <w:spacing w:val="-6"/>
        </w:rPr>
        <w:t>分，被建设行政主管部门依法责令停止执业的；</w:t>
      </w:r>
    </w:p>
    <w:p>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lang w:val="en-US" w:eastAsia="zh-CN"/>
        </w:rPr>
        <w:t>6</w:t>
      </w:r>
      <w:r>
        <w:rPr>
          <w:rFonts w:hint="eastAsia" w:ascii="宋体" w:hAnsi="宋体" w:eastAsia="宋体" w:cs="宋体"/>
          <w:color w:val="auto"/>
          <w:spacing w:val="-6"/>
        </w:rPr>
        <w:t>）发包人有正当理由认为项目经理不称职/不履职，且承包人在约定时间内不予更换的；</w:t>
      </w:r>
    </w:p>
    <w:p>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lang w:val="en-US" w:eastAsia="zh-CN"/>
        </w:rPr>
        <w:t>7</w:t>
      </w:r>
      <w:r>
        <w:rPr>
          <w:rFonts w:hint="eastAsia" w:ascii="宋体" w:hAnsi="宋体" w:eastAsia="宋体" w:cs="宋体"/>
          <w:color w:val="auto"/>
          <w:spacing w:val="-6"/>
        </w:rPr>
        <w:t>）其他双方约定的情形：</w:t>
      </w:r>
      <w:r>
        <w:rPr>
          <w:rFonts w:hint="eastAsia" w:ascii="宋体" w:hAnsi="宋体" w:eastAsia="宋体" w:cs="宋体"/>
          <w:color w:val="auto"/>
          <w:spacing w:val="-6"/>
          <w:u w:val="single"/>
          <w:lang w:val="en-US" w:eastAsia="zh-CN"/>
        </w:rPr>
        <w:t xml:space="preserve">    </w:t>
      </w:r>
      <w:r>
        <w:rPr>
          <w:rFonts w:hint="eastAsia" w:ascii="宋体" w:hAnsi="宋体" w:cs="宋体"/>
          <w:color w:val="auto"/>
          <w:spacing w:val="-6"/>
          <w:u w:val="single"/>
          <w:lang w:val="en-US" w:eastAsia="zh-CN"/>
        </w:rPr>
        <w:t xml:space="preserve"> </w:t>
      </w:r>
      <w:r>
        <w:rPr>
          <w:rFonts w:hint="eastAsia" w:ascii="宋体" w:hAnsi="宋体" w:eastAsia="宋体" w:cs="宋体"/>
          <w:color w:val="auto"/>
          <w:spacing w:val="-6"/>
        </w:rPr>
        <w:t>。</w:t>
      </w:r>
    </w:p>
    <w:p>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（1</w:t>
      </w:r>
      <w:r>
        <w:rPr>
          <w:rFonts w:hint="eastAsia" w:ascii="宋体" w:hAnsi="宋体" w:eastAsia="宋体" w:cs="宋体"/>
          <w:color w:val="auto"/>
          <w:spacing w:val="-6"/>
          <w:lang w:val="en-US" w:eastAsia="zh-CN"/>
        </w:rPr>
        <w:t>1</w:t>
      </w:r>
      <w:r>
        <w:rPr>
          <w:rFonts w:hint="eastAsia" w:ascii="宋体" w:hAnsi="宋体" w:eastAsia="宋体" w:cs="宋体"/>
          <w:color w:val="auto"/>
          <w:spacing w:val="-6"/>
        </w:rPr>
        <w:t>）技术负责人若有以下情形，属于承包人违约：</w:t>
      </w:r>
    </w:p>
    <w:p>
      <w:pPr>
        <w:pStyle w:val="17"/>
        <w:spacing w:line="360" w:lineRule="auto"/>
        <w:ind w:left="3" w:firstLine="396" w:firstLineChars="200"/>
        <w:rPr>
          <w:rFonts w:hint="eastAsia" w:ascii="宋体" w:hAnsi="宋体" w:eastAsia="宋体" w:cs="宋体"/>
          <w:color w:val="auto"/>
          <w:spacing w:val="-6"/>
        </w:rPr>
      </w:pPr>
      <w:r>
        <w:rPr>
          <w:rFonts w:hint="eastAsia" w:ascii="宋体" w:hAnsi="宋体" w:cs="宋体"/>
          <w:color w:val="auto"/>
          <w:spacing w:val="-6"/>
          <w:lang w:val="en-US" w:eastAsia="zh-CN"/>
        </w:rPr>
        <w:t>1</w:t>
      </w:r>
      <w:r>
        <w:rPr>
          <w:rFonts w:hint="eastAsia" w:ascii="宋体" w:hAnsi="宋体" w:eastAsia="宋体" w:cs="宋体"/>
          <w:color w:val="auto"/>
          <w:spacing w:val="-6"/>
        </w:rPr>
        <w:t>）承包人未提交技术负责人劳动合同和社会保险证明的；</w:t>
      </w:r>
    </w:p>
    <w:p>
      <w:pPr>
        <w:pStyle w:val="17"/>
        <w:spacing w:line="360" w:lineRule="auto"/>
        <w:ind w:left="3" w:firstLine="396" w:firstLineChars="200"/>
        <w:rPr>
          <w:rFonts w:hint="eastAsia" w:ascii="宋体" w:hAnsi="宋体" w:eastAsia="宋体" w:cs="宋体"/>
          <w:color w:val="auto"/>
          <w:spacing w:val="-6"/>
        </w:rPr>
      </w:pPr>
      <w:r>
        <w:rPr>
          <w:rFonts w:hint="eastAsia" w:ascii="宋体" w:hAnsi="宋体" w:cs="宋体"/>
          <w:color w:val="auto"/>
          <w:spacing w:val="-6"/>
          <w:lang w:val="en-US" w:eastAsia="zh-CN"/>
        </w:rPr>
        <w:t>2</w:t>
      </w:r>
      <w:r>
        <w:rPr>
          <w:rFonts w:hint="eastAsia" w:ascii="宋体" w:hAnsi="宋体" w:eastAsia="宋体" w:cs="宋体"/>
          <w:color w:val="auto"/>
          <w:spacing w:val="-6"/>
        </w:rPr>
        <w:t>）未经批准，擅自离开施工现场（超过约定时间）的；</w:t>
      </w:r>
    </w:p>
    <w:p>
      <w:pPr>
        <w:pStyle w:val="17"/>
        <w:spacing w:line="360" w:lineRule="auto"/>
        <w:ind w:left="3" w:firstLine="396" w:firstLineChars="200"/>
        <w:rPr>
          <w:rFonts w:hint="eastAsia" w:ascii="宋体" w:hAnsi="宋体" w:eastAsia="宋体" w:cs="宋体"/>
          <w:color w:val="auto"/>
          <w:spacing w:val="-6"/>
        </w:rPr>
      </w:pPr>
      <w:r>
        <w:rPr>
          <w:rFonts w:hint="eastAsia" w:ascii="宋体" w:hAnsi="宋体" w:cs="宋体"/>
          <w:color w:val="auto"/>
          <w:spacing w:val="-6"/>
          <w:lang w:val="en-US" w:eastAsia="zh-CN"/>
        </w:rPr>
        <w:t>3</w:t>
      </w:r>
      <w:r>
        <w:rPr>
          <w:rFonts w:hint="eastAsia" w:ascii="宋体" w:hAnsi="宋体" w:eastAsia="宋体" w:cs="宋体"/>
          <w:color w:val="auto"/>
          <w:spacing w:val="-6"/>
        </w:rPr>
        <w:t>）未经批准，擅自变更技术负责人的；</w:t>
      </w:r>
    </w:p>
    <w:p>
      <w:pPr>
        <w:pStyle w:val="17"/>
        <w:spacing w:line="360" w:lineRule="auto"/>
        <w:ind w:left="3" w:firstLine="396" w:firstLineChars="200"/>
        <w:rPr>
          <w:rFonts w:hint="eastAsia" w:ascii="宋体" w:hAnsi="宋体" w:eastAsia="宋体" w:cs="宋体"/>
          <w:color w:val="auto"/>
          <w:spacing w:val="-6"/>
        </w:rPr>
      </w:pPr>
      <w:r>
        <w:rPr>
          <w:rFonts w:hint="eastAsia" w:ascii="宋体" w:hAnsi="宋体" w:cs="宋体"/>
          <w:color w:val="auto"/>
          <w:spacing w:val="-6"/>
          <w:lang w:val="en-US" w:eastAsia="zh-CN"/>
        </w:rPr>
        <w:t>4</w:t>
      </w:r>
      <w:r>
        <w:rPr>
          <w:rFonts w:hint="eastAsia" w:ascii="宋体" w:hAnsi="宋体" w:eastAsia="宋体" w:cs="宋体"/>
          <w:color w:val="auto"/>
          <w:spacing w:val="-6"/>
        </w:rPr>
        <w:t>）发包人有正当理由认为技术负责人不称职/不履职，且承包人在约定时间内不予更换的；</w:t>
      </w:r>
    </w:p>
    <w:p>
      <w:pPr>
        <w:pStyle w:val="17"/>
        <w:spacing w:line="360" w:lineRule="auto"/>
        <w:ind w:left="3" w:firstLine="396" w:firstLineChars="200"/>
        <w:rPr>
          <w:rFonts w:hint="eastAsia" w:ascii="宋体" w:hAnsi="宋体" w:eastAsia="宋体" w:cs="宋体"/>
          <w:color w:val="auto"/>
          <w:spacing w:val="-6"/>
        </w:rPr>
      </w:pPr>
      <w:r>
        <w:rPr>
          <w:rFonts w:hint="eastAsia" w:ascii="宋体" w:hAnsi="宋体" w:cs="宋体"/>
          <w:color w:val="auto"/>
          <w:spacing w:val="-6"/>
          <w:lang w:val="en-US" w:eastAsia="zh-CN"/>
        </w:rPr>
        <w:t>5</w:t>
      </w:r>
      <w:r>
        <w:rPr>
          <w:rFonts w:hint="eastAsia" w:ascii="宋体" w:hAnsi="宋体" w:eastAsia="宋体" w:cs="宋体"/>
          <w:color w:val="auto"/>
          <w:spacing w:val="-6"/>
        </w:rPr>
        <w:t>）其他双方约定的情形：</w:t>
      </w:r>
      <w:r>
        <w:rPr>
          <w:rFonts w:hint="eastAsia" w:ascii="宋体" w:hAnsi="宋体" w:cs="宋体"/>
          <w:color w:val="auto"/>
          <w:spacing w:val="-6"/>
          <w:u w:val="single"/>
          <w:lang w:val="en-US" w:eastAsia="zh-CN"/>
        </w:rPr>
        <w:t xml:space="preserve">     </w:t>
      </w:r>
      <w:r>
        <w:rPr>
          <w:rFonts w:hint="eastAsia" w:ascii="宋体" w:hAnsi="宋体" w:eastAsia="宋体" w:cs="宋体"/>
          <w:color w:val="auto"/>
          <w:spacing w:val="-6"/>
        </w:rPr>
        <w:t>。</w:t>
      </w:r>
    </w:p>
    <w:p>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（1</w:t>
      </w:r>
      <w:r>
        <w:rPr>
          <w:rFonts w:hint="eastAsia" w:ascii="宋体" w:hAnsi="宋体" w:eastAsia="宋体" w:cs="宋体"/>
          <w:color w:val="auto"/>
          <w:spacing w:val="-6"/>
          <w:lang w:val="en-US" w:eastAsia="zh-CN"/>
        </w:rPr>
        <w:t>2</w:t>
      </w:r>
      <w:r>
        <w:rPr>
          <w:rFonts w:hint="eastAsia" w:ascii="宋体" w:hAnsi="宋体" w:eastAsia="宋体" w:cs="宋体"/>
          <w:color w:val="auto"/>
          <w:spacing w:val="-6"/>
        </w:rPr>
        <w:t>）主要施工管理人员若有以下情形，属于承包人违约：</w:t>
      </w:r>
    </w:p>
    <w:p>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1）承包人未提交主要管理人员劳动合同和社会保险证明的；</w:t>
      </w:r>
    </w:p>
    <w:p>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2）未经批准，擅自离开施工现场（超过约定时间）的；</w:t>
      </w:r>
    </w:p>
    <w:p>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3）未经批准，擅自变更主要施工管理人员的；</w:t>
      </w:r>
    </w:p>
    <w:p>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4）发包人有正当理由认为主要施工管理人员不称职/不履职，且承包人在约定时间内不予更换的；</w:t>
      </w:r>
    </w:p>
    <w:p>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5）其他双方约定的情形：</w:t>
      </w:r>
      <w:r>
        <w:rPr>
          <w:rFonts w:hint="eastAsia" w:ascii="宋体" w:hAnsi="宋体" w:eastAsia="宋体" w:cs="宋体"/>
          <w:color w:val="auto"/>
          <w:spacing w:val="-6"/>
          <w:u w:val="single"/>
          <w:lang w:val="en-US" w:eastAsia="zh-CN"/>
        </w:rPr>
        <w:t xml:space="preserve"> </w:t>
      </w:r>
      <w:r>
        <w:rPr>
          <w:rFonts w:hint="eastAsia" w:ascii="宋体" w:hAnsi="宋体" w:cs="宋体"/>
          <w:color w:val="auto"/>
          <w:spacing w:val="-6"/>
          <w:u w:val="single"/>
          <w:lang w:val="en-US" w:eastAsia="zh-CN"/>
        </w:rPr>
        <w:t>/</w:t>
      </w:r>
      <w:r>
        <w:rPr>
          <w:rFonts w:hint="eastAsia" w:ascii="宋体" w:hAnsi="宋体" w:eastAsia="宋体" w:cs="宋体"/>
          <w:color w:val="auto"/>
          <w:spacing w:val="-6"/>
          <w:u w:val="single"/>
          <w:lang w:val="en-US" w:eastAsia="zh-CN"/>
        </w:rPr>
        <w:t xml:space="preserve">  </w:t>
      </w:r>
      <w:r>
        <w:rPr>
          <w:rFonts w:hint="eastAsia" w:ascii="宋体" w:hAnsi="宋体" w:eastAsia="宋体" w:cs="宋体"/>
          <w:color w:val="auto"/>
          <w:spacing w:val="-6"/>
        </w:rPr>
        <w:t>。</w:t>
      </w:r>
    </w:p>
    <w:p>
      <w:pPr>
        <w:pStyle w:val="17"/>
        <w:spacing w:line="360" w:lineRule="auto"/>
        <w:ind w:left="3" w:firstLine="396" w:firstLineChars="200"/>
        <w:rPr>
          <w:rFonts w:hint="eastAsia" w:ascii="宋体" w:hAnsi="宋体" w:eastAsia="宋体" w:cs="宋体"/>
          <w:color w:val="auto"/>
          <w:spacing w:val="-6"/>
        </w:rPr>
      </w:pPr>
      <w:r>
        <w:rPr>
          <w:rFonts w:hint="eastAsia" w:ascii="宋体" w:hAnsi="宋体" w:cs="宋体"/>
          <w:color w:val="auto"/>
          <w:spacing w:val="-6"/>
          <w:lang w:val="en-US" w:eastAsia="zh-CN"/>
        </w:rPr>
        <w:t>2.</w:t>
      </w:r>
      <w:r>
        <w:rPr>
          <w:rFonts w:hint="eastAsia" w:ascii="宋体" w:hAnsi="宋体" w:eastAsia="宋体" w:cs="宋体"/>
          <w:color w:val="auto"/>
          <w:spacing w:val="-6"/>
        </w:rPr>
        <w:t xml:space="preserve"> 承包人违约的责任</w:t>
      </w:r>
    </w:p>
    <w:p>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承包人违约责任的承担方式和计算方法：</w:t>
      </w:r>
    </w:p>
    <w:p>
      <w:pPr>
        <w:pStyle w:val="17"/>
        <w:numPr>
          <w:ilvl w:val="0"/>
          <w:numId w:val="0"/>
        </w:numPr>
        <w:spacing w:line="360" w:lineRule="auto"/>
        <w:ind w:firstLine="396" w:firstLineChars="200"/>
        <w:rPr>
          <w:rFonts w:hint="eastAsia" w:ascii="宋体" w:hAnsi="宋体" w:eastAsia="宋体" w:cs="宋体"/>
          <w:color w:val="auto"/>
          <w:spacing w:val="-6"/>
          <w:lang w:val="en-US" w:eastAsia="zh-CN"/>
        </w:rPr>
      </w:pPr>
      <w:r>
        <w:rPr>
          <w:rFonts w:hint="eastAsia" w:ascii="宋体" w:hAnsi="宋体" w:eastAsia="宋体" w:cs="宋体"/>
          <w:color w:val="auto"/>
          <w:spacing w:val="-6"/>
          <w:lang w:eastAsia="zh-CN"/>
        </w:rPr>
        <w:t>（</w:t>
      </w:r>
      <w:r>
        <w:rPr>
          <w:rFonts w:hint="eastAsia" w:ascii="宋体" w:hAnsi="宋体" w:eastAsia="宋体" w:cs="宋体"/>
          <w:color w:val="auto"/>
          <w:spacing w:val="-6"/>
          <w:lang w:val="en-US" w:eastAsia="zh-CN"/>
        </w:rPr>
        <w:t>1</w:t>
      </w:r>
      <w:r>
        <w:rPr>
          <w:rFonts w:hint="eastAsia" w:ascii="宋体" w:hAnsi="宋体" w:eastAsia="宋体" w:cs="宋体"/>
          <w:color w:val="auto"/>
          <w:spacing w:val="-6"/>
          <w:lang w:eastAsia="zh-CN"/>
        </w:rPr>
        <w:t>）</w:t>
      </w:r>
      <w:r>
        <w:rPr>
          <w:rFonts w:hint="eastAsia" w:ascii="宋体" w:hAnsi="宋体" w:eastAsia="宋体" w:cs="宋体"/>
          <w:color w:val="auto"/>
          <w:spacing w:val="-6"/>
        </w:rPr>
        <w:t>承包人违反合同约定进行转包或违法分包的违约责任： 按照违反合同约定进行转包和（或）违法分包相应转包和（或）分包合同的合同金额的</w:t>
      </w:r>
      <w:r>
        <w:rPr>
          <w:rFonts w:hint="eastAsia" w:ascii="宋体" w:hAnsi="宋体" w:eastAsia="宋体" w:cs="宋体"/>
          <w:color w:val="auto"/>
          <w:spacing w:val="-6"/>
          <w:u w:val="single"/>
        </w:rPr>
        <w:t xml:space="preserve"> 10%</w:t>
      </w:r>
      <w:r>
        <w:rPr>
          <w:rFonts w:hint="eastAsia" w:ascii="宋体" w:hAnsi="宋体" w:eastAsia="宋体" w:cs="宋体"/>
          <w:color w:val="auto"/>
          <w:spacing w:val="-6"/>
          <w:u w:val="single"/>
          <w:lang w:val="en-US" w:eastAsia="zh-CN"/>
        </w:rPr>
        <w:t xml:space="preserve"> </w:t>
      </w:r>
      <w:r>
        <w:rPr>
          <w:rFonts w:hint="eastAsia" w:ascii="宋体" w:hAnsi="宋体" w:eastAsia="宋体" w:cs="宋体"/>
          <w:color w:val="auto"/>
          <w:spacing w:val="-6"/>
        </w:rPr>
        <w:t>支付违约金，违法转/分包商应在 7 天内撤离出场。</w:t>
      </w:r>
      <w:r>
        <w:rPr>
          <w:rFonts w:hint="eastAsia" w:ascii="宋体" w:hAnsi="宋体" w:eastAsia="宋体" w:cs="宋体"/>
          <w:color w:val="auto"/>
          <w:spacing w:val="-6"/>
          <w:lang w:val="en-US" w:eastAsia="zh-CN"/>
        </w:rPr>
        <w:t xml:space="preserve">   </w:t>
      </w:r>
    </w:p>
    <w:p>
      <w:pPr>
        <w:pStyle w:val="17"/>
        <w:numPr>
          <w:ilvl w:val="0"/>
          <w:numId w:val="0"/>
        </w:numPr>
        <w:spacing w:line="360" w:lineRule="auto"/>
        <w:ind w:firstLine="396" w:firstLineChars="200"/>
        <w:rPr>
          <w:rFonts w:hint="eastAsia" w:ascii="宋体" w:hAnsi="宋体" w:eastAsia="宋体" w:cs="宋体"/>
          <w:color w:val="auto"/>
          <w:spacing w:val="-6"/>
        </w:rPr>
      </w:pPr>
      <w:r>
        <w:rPr>
          <w:rFonts w:hint="eastAsia" w:ascii="宋体" w:hAnsi="宋体" w:eastAsia="宋体" w:cs="宋体"/>
          <w:color w:val="auto"/>
          <w:spacing w:val="-6"/>
        </w:rPr>
        <w:t>（</w:t>
      </w:r>
      <w:r>
        <w:rPr>
          <w:rFonts w:hint="eastAsia" w:ascii="宋体" w:hAnsi="宋体" w:eastAsia="宋体" w:cs="宋体"/>
          <w:color w:val="auto"/>
          <w:spacing w:val="-6"/>
          <w:lang w:val="en-US" w:eastAsia="zh-CN"/>
        </w:rPr>
        <w:t>2</w:t>
      </w:r>
      <w:r>
        <w:rPr>
          <w:rFonts w:hint="eastAsia" w:ascii="宋体" w:hAnsi="宋体" w:eastAsia="宋体" w:cs="宋体"/>
          <w:color w:val="auto"/>
          <w:spacing w:val="-6"/>
        </w:rPr>
        <w:t>）承包人违反合同约定采购和使用不合格的材料和工程设备的违约责任：按照违反合同约定采购和使用不合格的材料和（或）工程设备相应合同金额的</w:t>
      </w:r>
      <w:r>
        <w:rPr>
          <w:rFonts w:hint="eastAsia" w:ascii="宋体" w:hAnsi="宋体" w:eastAsia="宋体" w:cs="宋体"/>
          <w:color w:val="auto"/>
          <w:spacing w:val="-6"/>
          <w:u w:val="single"/>
        </w:rPr>
        <w:t xml:space="preserve"> 10%</w:t>
      </w:r>
      <w:r>
        <w:rPr>
          <w:rFonts w:hint="eastAsia" w:ascii="宋体" w:hAnsi="宋体" w:eastAsia="宋体" w:cs="宋体"/>
          <w:color w:val="auto"/>
          <w:spacing w:val="-6"/>
          <w:u w:val="single"/>
          <w:lang w:val="en-US" w:eastAsia="zh-CN"/>
        </w:rPr>
        <w:t xml:space="preserve"> </w:t>
      </w:r>
      <w:r>
        <w:rPr>
          <w:rFonts w:hint="eastAsia" w:ascii="宋体" w:hAnsi="宋体" w:eastAsia="宋体" w:cs="宋体"/>
          <w:color w:val="auto"/>
          <w:spacing w:val="-6"/>
        </w:rPr>
        <w:t>支付违约金。</w:t>
      </w:r>
    </w:p>
    <w:p>
      <w:pPr>
        <w:pStyle w:val="17"/>
        <w:spacing w:line="360" w:lineRule="auto"/>
        <w:ind w:firstLine="396" w:firstLineChars="200"/>
        <w:rPr>
          <w:rFonts w:hint="eastAsia" w:ascii="宋体" w:hAnsi="宋体" w:eastAsia="宋体" w:cs="宋体"/>
          <w:color w:val="auto"/>
          <w:spacing w:val="-6"/>
        </w:rPr>
      </w:pPr>
      <w:r>
        <w:rPr>
          <w:rFonts w:hint="eastAsia" w:ascii="宋体" w:hAnsi="宋体" w:eastAsia="宋体" w:cs="宋体"/>
          <w:color w:val="auto"/>
          <w:spacing w:val="-6"/>
        </w:rPr>
        <w:t>（</w:t>
      </w:r>
      <w:r>
        <w:rPr>
          <w:rFonts w:hint="eastAsia" w:ascii="宋体" w:hAnsi="宋体" w:eastAsia="宋体" w:cs="宋体"/>
          <w:color w:val="auto"/>
          <w:spacing w:val="-6"/>
          <w:lang w:val="en-US" w:eastAsia="zh-CN"/>
        </w:rPr>
        <w:t>3</w:t>
      </w:r>
      <w:r>
        <w:rPr>
          <w:rFonts w:hint="eastAsia" w:ascii="宋体" w:hAnsi="宋体" w:eastAsia="宋体" w:cs="宋体"/>
          <w:color w:val="auto"/>
          <w:spacing w:val="-6"/>
        </w:rPr>
        <w:t>）因承包人原因导致工程质量不符合规定或合同要求的违约责任：承包人退还已支付工程质量不符合合同要求工程的工程款，并按照工程质量不符合合同要求工程相应合同金额的</w:t>
      </w:r>
      <w:r>
        <w:rPr>
          <w:rFonts w:hint="eastAsia" w:ascii="宋体" w:hAnsi="宋体" w:eastAsia="宋体" w:cs="宋体"/>
          <w:color w:val="auto"/>
          <w:spacing w:val="-6"/>
          <w:u w:val="single"/>
        </w:rPr>
        <w:t xml:space="preserve"> 10%</w:t>
      </w:r>
      <w:r>
        <w:rPr>
          <w:rFonts w:hint="eastAsia" w:ascii="宋体" w:hAnsi="宋体" w:eastAsia="宋体" w:cs="宋体"/>
          <w:color w:val="auto"/>
          <w:spacing w:val="-6"/>
          <w:u w:val="single"/>
          <w:lang w:val="en-US" w:eastAsia="zh-CN"/>
        </w:rPr>
        <w:t xml:space="preserve"> </w:t>
      </w:r>
      <w:r>
        <w:rPr>
          <w:rFonts w:hint="eastAsia" w:ascii="宋体" w:hAnsi="宋体" w:eastAsia="宋体" w:cs="宋体"/>
          <w:color w:val="auto"/>
          <w:spacing w:val="-6"/>
        </w:rPr>
        <w:t>支付违约金。</w:t>
      </w:r>
    </w:p>
    <w:p>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w:t>
      </w:r>
      <w:r>
        <w:rPr>
          <w:rFonts w:hint="eastAsia" w:ascii="宋体" w:hAnsi="宋体" w:eastAsia="宋体" w:cs="宋体"/>
          <w:color w:val="auto"/>
          <w:spacing w:val="-6"/>
          <w:lang w:val="en-US" w:eastAsia="zh-CN"/>
        </w:rPr>
        <w:t>4</w:t>
      </w:r>
      <w:r>
        <w:rPr>
          <w:rFonts w:hint="eastAsia" w:ascii="宋体" w:hAnsi="宋体" w:eastAsia="宋体" w:cs="宋体"/>
          <w:color w:val="auto"/>
          <w:spacing w:val="-6"/>
        </w:rPr>
        <w:t>）承包人违反材料与设备的约定</w:t>
      </w:r>
      <w:r>
        <w:rPr>
          <w:rFonts w:hint="eastAsia" w:ascii="宋体" w:hAnsi="宋体" w:eastAsia="宋体" w:cs="宋体"/>
          <w:color w:val="auto"/>
          <w:spacing w:val="-6"/>
          <w:lang w:eastAsia="zh-CN"/>
        </w:rPr>
        <w:t>，</w:t>
      </w:r>
      <w:r>
        <w:rPr>
          <w:rFonts w:hint="eastAsia" w:ascii="宋体" w:hAnsi="宋体" w:eastAsia="宋体" w:cs="宋体"/>
          <w:color w:val="auto"/>
          <w:spacing w:val="-6"/>
        </w:rPr>
        <w:t>未经批准，擅自将已按照合同约定进入施工现场的材料或设备撤离施工现场的违约责任：按照承包人擅自撤离施工现场材料和（或）设备相应合同金额的</w:t>
      </w:r>
      <w:r>
        <w:rPr>
          <w:rFonts w:hint="eastAsia" w:ascii="宋体" w:hAnsi="宋体" w:eastAsia="宋体" w:cs="宋体"/>
          <w:color w:val="auto"/>
          <w:spacing w:val="-6"/>
          <w:u w:val="single"/>
        </w:rPr>
        <w:t xml:space="preserve"> </w:t>
      </w:r>
      <w:r>
        <w:rPr>
          <w:rFonts w:hint="eastAsia" w:ascii="宋体" w:hAnsi="宋体" w:eastAsia="宋体" w:cs="宋体"/>
          <w:color w:val="auto"/>
          <w:spacing w:val="-6"/>
          <w:u w:val="single"/>
          <w:lang w:val="en-US" w:eastAsia="zh-CN"/>
        </w:rPr>
        <w:t>5</w:t>
      </w:r>
      <w:r>
        <w:rPr>
          <w:rFonts w:hint="eastAsia" w:ascii="宋体" w:hAnsi="宋体" w:eastAsia="宋体" w:cs="宋体"/>
          <w:color w:val="auto"/>
          <w:spacing w:val="-6"/>
          <w:u w:val="single"/>
        </w:rPr>
        <w:t>%</w:t>
      </w:r>
      <w:r>
        <w:rPr>
          <w:rFonts w:hint="eastAsia" w:ascii="宋体" w:hAnsi="宋体" w:eastAsia="宋体" w:cs="宋体"/>
          <w:color w:val="auto"/>
          <w:spacing w:val="-6"/>
          <w:u w:val="single"/>
          <w:lang w:val="en-US" w:eastAsia="zh-CN"/>
        </w:rPr>
        <w:t xml:space="preserve"> </w:t>
      </w:r>
      <w:r>
        <w:rPr>
          <w:rFonts w:hint="eastAsia" w:ascii="宋体" w:hAnsi="宋体" w:eastAsia="宋体" w:cs="宋体"/>
          <w:color w:val="auto"/>
          <w:spacing w:val="-6"/>
        </w:rPr>
        <w:t>支付违约金。</w:t>
      </w:r>
    </w:p>
    <w:p>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w:t>
      </w:r>
      <w:r>
        <w:rPr>
          <w:rFonts w:hint="eastAsia" w:ascii="宋体" w:hAnsi="宋体" w:eastAsia="宋体" w:cs="宋体"/>
          <w:color w:val="auto"/>
          <w:spacing w:val="-6"/>
          <w:lang w:val="en-US" w:eastAsia="zh-CN"/>
        </w:rPr>
        <w:t>5</w:t>
      </w:r>
      <w:r>
        <w:rPr>
          <w:rFonts w:hint="eastAsia" w:ascii="宋体" w:hAnsi="宋体" w:eastAsia="宋体" w:cs="宋体"/>
          <w:color w:val="auto"/>
          <w:spacing w:val="-6"/>
        </w:rPr>
        <w:t>）因承包人原因造成工期延误的违约承担方式和计算方法：由承包人承担由此增加的费用</w:t>
      </w:r>
      <w:r>
        <w:rPr>
          <w:rFonts w:hint="eastAsia" w:ascii="宋体" w:hAnsi="宋体" w:eastAsia="宋体" w:cs="宋体"/>
          <w:color w:val="auto"/>
          <w:spacing w:val="-6"/>
          <w:lang w:eastAsia="zh-CN"/>
        </w:rPr>
        <w:t>，</w:t>
      </w:r>
      <w:r>
        <w:rPr>
          <w:rFonts w:hint="eastAsia" w:ascii="宋体" w:hAnsi="宋体" w:eastAsia="宋体" w:cs="宋体"/>
          <w:color w:val="auto"/>
          <w:spacing w:val="-6"/>
        </w:rPr>
        <w:t>由此导致工期延误的</w:t>
      </w:r>
      <w:r>
        <w:rPr>
          <w:rFonts w:hint="eastAsia" w:ascii="宋体" w:hAnsi="宋体" w:eastAsia="宋体" w:cs="宋体"/>
          <w:color w:val="auto"/>
          <w:spacing w:val="-6"/>
          <w:lang w:eastAsia="zh-CN"/>
        </w:rPr>
        <w:t>，</w:t>
      </w:r>
      <w:r>
        <w:rPr>
          <w:rFonts w:hint="eastAsia" w:ascii="宋体" w:hAnsi="宋体" w:eastAsia="宋体" w:cs="宋体"/>
          <w:color w:val="auto"/>
          <w:spacing w:val="-6"/>
        </w:rPr>
        <w:t>工期不予顺延； 逾期竣工违约金的计算方法： 每延误1天，承包人按</w:t>
      </w:r>
      <w:r>
        <w:rPr>
          <w:rFonts w:hint="eastAsia" w:ascii="宋体" w:hAnsi="宋体" w:eastAsia="宋体" w:cs="宋体"/>
          <w:color w:val="auto"/>
          <w:spacing w:val="-6"/>
          <w:u w:val="single"/>
          <w:lang w:val="en-US" w:eastAsia="zh-CN"/>
        </w:rPr>
        <w:t>5000.00</w:t>
      </w:r>
      <w:r>
        <w:rPr>
          <w:rFonts w:hint="eastAsia" w:ascii="宋体" w:hAnsi="宋体" w:eastAsia="宋体" w:cs="宋体"/>
          <w:color w:val="auto"/>
          <w:spacing w:val="-6"/>
        </w:rPr>
        <w:t>元/天计算逾期竣工违约金，累计违约金上限：</w:t>
      </w:r>
      <w:r>
        <w:rPr>
          <w:rFonts w:hint="eastAsia" w:ascii="宋体" w:hAnsi="宋体" w:eastAsia="宋体" w:cs="宋体"/>
          <w:color w:val="auto"/>
          <w:spacing w:val="-6"/>
          <w:u w:val="single"/>
        </w:rPr>
        <w:t>不超过签约合同价的3%</w:t>
      </w:r>
      <w:r>
        <w:rPr>
          <w:rFonts w:hint="eastAsia" w:ascii="宋体" w:hAnsi="宋体" w:eastAsia="宋体" w:cs="宋体"/>
          <w:color w:val="auto"/>
          <w:spacing w:val="-6"/>
        </w:rPr>
        <w:t>；承包人支付逾期竣工违约金后，不免除承包人继续完成工程及修补缺陷的义务。</w:t>
      </w:r>
    </w:p>
    <w:p>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w:t>
      </w:r>
      <w:r>
        <w:rPr>
          <w:rFonts w:hint="eastAsia" w:ascii="宋体" w:hAnsi="宋体" w:eastAsia="宋体" w:cs="宋体"/>
          <w:color w:val="auto"/>
          <w:spacing w:val="-6"/>
          <w:lang w:val="en-US" w:eastAsia="zh-CN"/>
        </w:rPr>
        <w:t>6</w:t>
      </w:r>
      <w:r>
        <w:rPr>
          <w:rFonts w:hint="eastAsia" w:ascii="宋体" w:hAnsi="宋体" w:eastAsia="宋体" w:cs="宋体"/>
          <w:color w:val="auto"/>
          <w:spacing w:val="-6"/>
        </w:rPr>
        <w:t>）承包人在</w:t>
      </w:r>
      <w:r>
        <w:rPr>
          <w:rFonts w:hint="eastAsia" w:ascii="宋体" w:hAnsi="宋体" w:eastAsia="宋体" w:cs="宋体"/>
          <w:color w:val="auto"/>
          <w:spacing w:val="-6"/>
          <w:lang w:val="en-US" w:eastAsia="zh-CN"/>
        </w:rPr>
        <w:t>质保</w:t>
      </w:r>
      <w:r>
        <w:rPr>
          <w:rFonts w:hint="eastAsia" w:ascii="宋体" w:hAnsi="宋体" w:eastAsia="宋体" w:cs="宋体"/>
          <w:color w:val="auto"/>
          <w:spacing w:val="-6"/>
        </w:rPr>
        <w:t>期内，未能在合理期限对工程缺陷进行修复，或拒绝按发包人要求进行修复的违约责任：按照发包人修复缺陷费用的</w:t>
      </w:r>
      <w:r>
        <w:rPr>
          <w:rFonts w:hint="eastAsia" w:ascii="宋体" w:hAnsi="宋体" w:eastAsia="宋体" w:cs="宋体"/>
          <w:color w:val="auto"/>
          <w:spacing w:val="-6"/>
          <w:u w:val="single"/>
        </w:rPr>
        <w:t xml:space="preserve"> </w:t>
      </w:r>
      <w:r>
        <w:rPr>
          <w:rFonts w:hint="eastAsia" w:ascii="宋体" w:hAnsi="宋体" w:cs="宋体"/>
          <w:color w:val="auto"/>
          <w:spacing w:val="-6"/>
          <w:u w:val="single"/>
          <w:lang w:val="en-US" w:eastAsia="zh-CN"/>
        </w:rPr>
        <w:t>3</w:t>
      </w:r>
      <w:r>
        <w:rPr>
          <w:rFonts w:hint="eastAsia" w:ascii="宋体" w:hAnsi="宋体" w:eastAsia="宋体" w:cs="宋体"/>
          <w:color w:val="auto"/>
          <w:spacing w:val="-6"/>
          <w:u w:val="single"/>
        </w:rPr>
        <w:t>%</w:t>
      </w:r>
      <w:r>
        <w:rPr>
          <w:rFonts w:hint="eastAsia" w:ascii="宋体" w:hAnsi="宋体" w:eastAsia="宋体" w:cs="宋体"/>
          <w:color w:val="auto"/>
          <w:spacing w:val="-6"/>
          <w:u w:val="single"/>
          <w:lang w:val="en-US" w:eastAsia="zh-CN"/>
        </w:rPr>
        <w:t xml:space="preserve"> </w:t>
      </w:r>
      <w:r>
        <w:rPr>
          <w:rFonts w:hint="eastAsia" w:ascii="宋体" w:hAnsi="宋体" w:eastAsia="宋体" w:cs="宋体"/>
          <w:color w:val="auto"/>
          <w:spacing w:val="-6"/>
        </w:rPr>
        <w:t>支付违约金。</w:t>
      </w:r>
    </w:p>
    <w:p>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w:t>
      </w:r>
      <w:r>
        <w:rPr>
          <w:rFonts w:hint="eastAsia" w:ascii="宋体" w:hAnsi="宋体" w:eastAsia="宋体" w:cs="宋体"/>
          <w:color w:val="auto"/>
          <w:spacing w:val="-6"/>
          <w:lang w:val="en-US" w:eastAsia="zh-CN"/>
        </w:rPr>
        <w:t>7</w:t>
      </w:r>
      <w:r>
        <w:rPr>
          <w:rFonts w:hint="eastAsia" w:ascii="宋体" w:hAnsi="宋体" w:eastAsia="宋体" w:cs="宋体"/>
          <w:color w:val="auto"/>
          <w:spacing w:val="-6"/>
        </w:rPr>
        <w:t>）承包人明确表示或者以其行为表明不履行合同主要义务的违约责任： 按签约合同价的</w:t>
      </w:r>
      <w:r>
        <w:rPr>
          <w:rFonts w:hint="eastAsia" w:ascii="宋体" w:hAnsi="宋体" w:eastAsia="宋体" w:cs="宋体"/>
          <w:color w:val="auto"/>
          <w:spacing w:val="-6"/>
          <w:u w:val="single"/>
        </w:rPr>
        <w:t xml:space="preserve"> 10%</w:t>
      </w:r>
      <w:r>
        <w:rPr>
          <w:rFonts w:hint="eastAsia" w:ascii="宋体" w:hAnsi="宋体" w:eastAsia="宋体" w:cs="宋体"/>
          <w:color w:val="auto"/>
          <w:spacing w:val="-6"/>
          <w:u w:val="single"/>
          <w:lang w:val="en-US" w:eastAsia="zh-CN"/>
        </w:rPr>
        <w:t xml:space="preserve"> </w:t>
      </w:r>
      <w:r>
        <w:rPr>
          <w:rFonts w:hint="eastAsia" w:ascii="宋体" w:hAnsi="宋体" w:eastAsia="宋体" w:cs="宋体"/>
          <w:color w:val="auto"/>
          <w:spacing w:val="-6"/>
        </w:rPr>
        <w:t>支付违约金。</w:t>
      </w:r>
    </w:p>
    <w:p>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w:t>
      </w:r>
      <w:r>
        <w:rPr>
          <w:rFonts w:hint="eastAsia" w:ascii="宋体" w:hAnsi="宋体" w:eastAsia="宋体" w:cs="宋体"/>
          <w:color w:val="auto"/>
          <w:spacing w:val="-6"/>
          <w:lang w:val="en-US" w:eastAsia="zh-CN"/>
        </w:rPr>
        <w:t>8</w:t>
      </w:r>
      <w:r>
        <w:rPr>
          <w:rFonts w:hint="eastAsia" w:ascii="宋体" w:hAnsi="宋体" w:eastAsia="宋体" w:cs="宋体"/>
          <w:color w:val="auto"/>
          <w:spacing w:val="-6"/>
        </w:rPr>
        <w:t>）承包人未能按照合同约定履行其他义务的违约责任：按</w:t>
      </w:r>
      <w:r>
        <w:rPr>
          <w:rFonts w:hint="eastAsia" w:ascii="宋体" w:hAnsi="宋体" w:eastAsia="宋体" w:cs="宋体"/>
          <w:color w:val="auto"/>
          <w:spacing w:val="-6"/>
          <w:u w:val="single"/>
        </w:rPr>
        <w:t xml:space="preserve"> 5000 </w:t>
      </w:r>
      <w:r>
        <w:rPr>
          <w:rFonts w:hint="eastAsia" w:ascii="宋体" w:hAnsi="宋体" w:eastAsia="宋体" w:cs="宋体"/>
          <w:color w:val="auto"/>
          <w:spacing w:val="-6"/>
        </w:rPr>
        <w:t>元/次支付违约金。</w:t>
      </w:r>
    </w:p>
    <w:p>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w:t>
      </w:r>
      <w:r>
        <w:rPr>
          <w:rFonts w:hint="eastAsia" w:ascii="宋体" w:hAnsi="宋体" w:eastAsia="宋体" w:cs="宋体"/>
          <w:color w:val="auto"/>
          <w:spacing w:val="-6"/>
          <w:lang w:val="en-US" w:eastAsia="zh-CN"/>
        </w:rPr>
        <w:t>9</w:t>
      </w:r>
      <w:r>
        <w:rPr>
          <w:rFonts w:hint="eastAsia" w:ascii="宋体" w:hAnsi="宋体" w:eastAsia="宋体" w:cs="宋体"/>
          <w:color w:val="auto"/>
          <w:spacing w:val="-6"/>
        </w:rPr>
        <w:t>）承包人未能按期开工的违约责任：按合同价</w:t>
      </w:r>
      <w:r>
        <w:rPr>
          <w:rFonts w:hint="eastAsia" w:ascii="宋体" w:hAnsi="宋体" w:eastAsia="宋体" w:cs="宋体"/>
          <w:color w:val="auto"/>
          <w:spacing w:val="-6"/>
          <w:u w:val="single"/>
        </w:rPr>
        <w:t xml:space="preserve"> 0.2‰</w:t>
      </w:r>
      <w:r>
        <w:rPr>
          <w:rFonts w:hint="eastAsia" w:ascii="宋体" w:hAnsi="宋体" w:eastAsia="宋体" w:cs="宋体"/>
          <w:color w:val="auto"/>
          <w:spacing w:val="-6"/>
        </w:rPr>
        <w:t>/天支付违约金</w:t>
      </w:r>
      <w:r>
        <w:rPr>
          <w:rFonts w:hint="eastAsia" w:ascii="宋体" w:hAnsi="宋体" w:eastAsia="宋体" w:cs="宋体"/>
          <w:color w:val="auto"/>
          <w:spacing w:val="-6"/>
          <w:lang w:eastAsia="zh-CN"/>
        </w:rPr>
        <w:t>，</w:t>
      </w:r>
      <w:r>
        <w:rPr>
          <w:rFonts w:hint="eastAsia" w:ascii="宋体" w:hAnsi="宋体" w:eastAsia="宋体" w:cs="宋体"/>
          <w:color w:val="auto"/>
          <w:spacing w:val="-6"/>
        </w:rPr>
        <w:t>本项违约金累计限额为签约合同价的</w:t>
      </w:r>
      <w:r>
        <w:rPr>
          <w:rFonts w:hint="eastAsia" w:ascii="宋体" w:hAnsi="宋体" w:eastAsia="宋体" w:cs="宋体"/>
          <w:color w:val="auto"/>
          <w:spacing w:val="-6"/>
          <w:u w:val="single"/>
        </w:rPr>
        <w:t xml:space="preserve"> 1 </w:t>
      </w:r>
      <w:r>
        <w:rPr>
          <w:rFonts w:hint="eastAsia" w:ascii="宋体" w:hAnsi="宋体" w:eastAsia="宋体" w:cs="宋体"/>
          <w:color w:val="auto"/>
          <w:spacing w:val="-6"/>
        </w:rPr>
        <w:t>%。</w:t>
      </w:r>
    </w:p>
    <w:p>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（1</w:t>
      </w:r>
      <w:r>
        <w:rPr>
          <w:rFonts w:hint="eastAsia" w:ascii="宋体" w:hAnsi="宋体" w:eastAsia="宋体" w:cs="宋体"/>
          <w:color w:val="auto"/>
          <w:spacing w:val="-6"/>
          <w:lang w:val="en-US" w:eastAsia="zh-CN"/>
        </w:rPr>
        <w:t>0</w:t>
      </w:r>
      <w:r>
        <w:rPr>
          <w:rFonts w:hint="eastAsia" w:ascii="宋体" w:hAnsi="宋体" w:eastAsia="宋体" w:cs="宋体"/>
          <w:color w:val="auto"/>
          <w:spacing w:val="-6"/>
        </w:rPr>
        <w:t>）承包人未按经审定的施工组织设计配备或更换关键施工设备的违约责任： 按</w:t>
      </w:r>
      <w:r>
        <w:rPr>
          <w:rFonts w:hint="eastAsia" w:ascii="宋体" w:hAnsi="宋体" w:eastAsia="宋体" w:cs="宋体"/>
          <w:color w:val="auto"/>
          <w:spacing w:val="-6"/>
          <w:u w:val="single"/>
        </w:rPr>
        <w:t>5000</w:t>
      </w:r>
      <w:r>
        <w:rPr>
          <w:rFonts w:hint="eastAsia" w:ascii="宋体" w:hAnsi="宋体" w:eastAsia="宋体" w:cs="宋体"/>
          <w:color w:val="auto"/>
          <w:spacing w:val="-6"/>
        </w:rPr>
        <w:t>元/台·次支付违约金。</w:t>
      </w:r>
    </w:p>
    <w:p>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（1</w:t>
      </w:r>
      <w:r>
        <w:rPr>
          <w:rFonts w:hint="eastAsia" w:ascii="宋体" w:hAnsi="宋体" w:eastAsia="宋体" w:cs="宋体"/>
          <w:color w:val="auto"/>
          <w:spacing w:val="-6"/>
          <w:lang w:val="en-US" w:eastAsia="zh-CN"/>
        </w:rPr>
        <w:t>1</w:t>
      </w:r>
      <w:r>
        <w:rPr>
          <w:rFonts w:hint="eastAsia" w:ascii="宋体" w:hAnsi="宋体" w:eastAsia="宋体" w:cs="宋体"/>
          <w:color w:val="auto"/>
          <w:spacing w:val="-6"/>
        </w:rPr>
        <w:t>）承包人有安全问题或有违反安全管理规章制度情况的违约责任：根据具体情节，按签约合同价的</w:t>
      </w:r>
      <w:r>
        <w:rPr>
          <w:rFonts w:hint="eastAsia" w:ascii="宋体" w:hAnsi="宋体" w:eastAsia="宋体" w:cs="宋体"/>
          <w:color w:val="auto"/>
          <w:spacing w:val="-6"/>
          <w:u w:val="single"/>
        </w:rPr>
        <w:t xml:space="preserve"> 4‰</w:t>
      </w:r>
      <w:r>
        <w:rPr>
          <w:rFonts w:hint="eastAsia" w:ascii="宋体" w:hAnsi="宋体" w:eastAsia="宋体" w:cs="宋体"/>
          <w:color w:val="auto"/>
          <w:spacing w:val="-6"/>
          <w:u w:val="none"/>
        </w:rPr>
        <w:t>/</w:t>
      </w:r>
      <w:r>
        <w:rPr>
          <w:rFonts w:hint="eastAsia" w:ascii="宋体" w:hAnsi="宋体" w:eastAsia="宋体" w:cs="宋体"/>
          <w:color w:val="auto"/>
          <w:spacing w:val="-6"/>
        </w:rPr>
        <w:t>次支付违约金（累计不超过签约合同价的1%）。</w:t>
      </w:r>
    </w:p>
    <w:p>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（1</w:t>
      </w:r>
      <w:r>
        <w:rPr>
          <w:rFonts w:hint="eastAsia" w:ascii="宋体" w:hAnsi="宋体" w:eastAsia="宋体" w:cs="宋体"/>
          <w:color w:val="auto"/>
          <w:spacing w:val="-6"/>
          <w:lang w:val="en-US" w:eastAsia="zh-CN"/>
        </w:rPr>
        <w:t>2</w:t>
      </w:r>
      <w:r>
        <w:rPr>
          <w:rFonts w:hint="eastAsia" w:ascii="宋体" w:hAnsi="宋体" w:eastAsia="宋体" w:cs="宋体"/>
          <w:color w:val="auto"/>
          <w:spacing w:val="-6"/>
        </w:rPr>
        <w:t>）承包人拖欠其工人或所雇人员工资或报酬，导致其工人或所雇人员向有关部门投诉、控告、检举或以聚集等方式讨要工资或报酬的违约责任：根据具体情节</w:t>
      </w:r>
      <w:r>
        <w:rPr>
          <w:rFonts w:hint="eastAsia" w:ascii="宋体" w:hAnsi="宋体" w:eastAsia="宋体" w:cs="宋体"/>
          <w:color w:val="auto"/>
          <w:spacing w:val="-6"/>
          <w:lang w:eastAsia="zh-CN"/>
        </w:rPr>
        <w:t>，</w:t>
      </w:r>
      <w:r>
        <w:rPr>
          <w:rFonts w:hint="eastAsia" w:ascii="宋体" w:hAnsi="宋体" w:eastAsia="宋体" w:cs="宋体"/>
          <w:color w:val="auto"/>
          <w:spacing w:val="-6"/>
        </w:rPr>
        <w:t xml:space="preserve">按违约金额 </w:t>
      </w:r>
      <w:r>
        <w:rPr>
          <w:rFonts w:hint="eastAsia" w:ascii="宋体" w:hAnsi="宋体" w:eastAsia="宋体" w:cs="宋体"/>
          <w:color w:val="auto"/>
          <w:spacing w:val="-6"/>
          <w:u w:val="single"/>
          <w:lang w:val="en-US" w:eastAsia="zh-CN"/>
        </w:rPr>
        <w:t>5000.00</w:t>
      </w:r>
      <w:r>
        <w:rPr>
          <w:rFonts w:hint="eastAsia" w:ascii="宋体" w:hAnsi="宋体" w:eastAsia="宋体" w:cs="宋体"/>
          <w:color w:val="auto"/>
          <w:spacing w:val="-6"/>
        </w:rPr>
        <w:t>元/次支付违约金</w:t>
      </w:r>
      <w:r>
        <w:rPr>
          <w:rFonts w:hint="eastAsia" w:ascii="宋体" w:hAnsi="宋体" w:eastAsia="宋体" w:cs="宋体"/>
          <w:color w:val="auto"/>
          <w:spacing w:val="-6"/>
          <w:lang w:eastAsia="zh-CN"/>
        </w:rPr>
        <w:t>（</w:t>
      </w:r>
      <w:r>
        <w:rPr>
          <w:rFonts w:hint="eastAsia" w:ascii="宋体" w:hAnsi="宋体" w:eastAsia="宋体" w:cs="宋体"/>
          <w:color w:val="auto"/>
          <w:spacing w:val="-6"/>
          <w:lang w:val="en-US" w:eastAsia="zh-CN"/>
        </w:rPr>
        <w:t>发包人未按时支付工程进度款除外</w:t>
      </w:r>
      <w:r>
        <w:rPr>
          <w:rFonts w:hint="eastAsia" w:ascii="宋体" w:hAnsi="宋体" w:eastAsia="宋体" w:cs="宋体"/>
          <w:color w:val="auto"/>
          <w:spacing w:val="-6"/>
          <w:lang w:eastAsia="zh-CN"/>
        </w:rPr>
        <w:t>）</w:t>
      </w:r>
      <w:r>
        <w:rPr>
          <w:rFonts w:hint="eastAsia" w:ascii="宋体" w:hAnsi="宋体" w:eastAsia="宋体" w:cs="宋体"/>
          <w:color w:val="auto"/>
          <w:spacing w:val="-6"/>
        </w:rPr>
        <w:t>。</w:t>
      </w:r>
    </w:p>
    <w:p>
      <w:pPr>
        <w:pStyle w:val="17"/>
        <w:spacing w:before="172" w:line="405" w:lineRule="exact"/>
        <w:ind w:left="427"/>
        <w:rPr>
          <w:rFonts w:hint="eastAsia" w:ascii="宋体" w:hAnsi="宋体" w:eastAsia="宋体" w:cs="宋体"/>
          <w:color w:val="auto"/>
        </w:rPr>
      </w:pPr>
      <w:r>
        <w:rPr>
          <w:rFonts w:hint="eastAsia" w:ascii="宋体" w:hAnsi="宋体" w:eastAsia="宋体" w:cs="宋体"/>
          <w:color w:val="auto"/>
          <w:spacing w:val="-1"/>
          <w:position w:val="14"/>
        </w:rPr>
        <w:t>（14）承包人不配合发包人及发包人委托的工程造价咨询服务单位结算审核的违约责任：</w:t>
      </w:r>
    </w:p>
    <w:p>
      <w:pPr>
        <w:pStyle w:val="17"/>
        <w:spacing w:before="1" w:line="219" w:lineRule="auto"/>
        <w:rPr>
          <w:rFonts w:hint="eastAsia" w:ascii="宋体" w:hAnsi="宋体" w:eastAsia="宋体" w:cs="宋体"/>
          <w:color w:val="auto"/>
        </w:rPr>
      </w:pPr>
      <w:r>
        <w:rPr>
          <w:rFonts w:hint="eastAsia" w:ascii="宋体" w:hAnsi="宋体" w:eastAsia="宋体" w:cs="宋体"/>
          <w:color w:val="auto"/>
          <w:spacing w:val="-3"/>
        </w:rPr>
        <w:t>根据具体情节，按</w:t>
      </w:r>
      <w:r>
        <w:rPr>
          <w:rFonts w:hint="eastAsia" w:ascii="宋体" w:hAnsi="宋体" w:eastAsia="宋体" w:cs="宋体"/>
          <w:color w:val="auto"/>
          <w:spacing w:val="-15"/>
        </w:rPr>
        <w:t xml:space="preserve"> </w:t>
      </w:r>
      <w:r>
        <w:rPr>
          <w:rFonts w:hint="eastAsia" w:cs="宋体"/>
          <w:color w:val="auto"/>
          <w:spacing w:val="-3"/>
          <w:u w:val="single" w:color="auto"/>
          <w:lang w:val="en-US" w:eastAsia="zh-CN"/>
        </w:rPr>
        <w:t>5000.00</w:t>
      </w:r>
      <w:r>
        <w:rPr>
          <w:rFonts w:hint="eastAsia" w:ascii="宋体" w:hAnsi="宋体" w:eastAsia="宋体" w:cs="宋体"/>
          <w:color w:val="auto"/>
          <w:spacing w:val="-3"/>
          <w:u w:val="single" w:color="auto"/>
        </w:rPr>
        <w:t>元/次</w:t>
      </w:r>
      <w:r>
        <w:rPr>
          <w:rFonts w:hint="eastAsia" w:ascii="宋体" w:hAnsi="宋体" w:eastAsia="宋体" w:cs="宋体"/>
          <w:color w:val="auto"/>
          <w:spacing w:val="-3"/>
        </w:rPr>
        <w:t>支付违约金。</w:t>
      </w:r>
    </w:p>
    <w:p>
      <w:pPr>
        <w:pStyle w:val="17"/>
        <w:spacing w:before="172" w:line="405" w:lineRule="exact"/>
        <w:ind w:firstLine="420" w:firstLineChars="200"/>
        <w:rPr>
          <w:rFonts w:hint="eastAsia" w:ascii="宋体" w:hAnsi="宋体" w:eastAsia="宋体" w:cs="宋体"/>
          <w:color w:val="auto"/>
          <w:spacing w:val="-1"/>
          <w:position w:val="14"/>
        </w:rPr>
      </w:pPr>
      <w:r>
        <w:rPr>
          <w:rFonts w:hint="eastAsia" w:ascii="宋体" w:hAnsi="宋体" w:eastAsia="宋体" w:cs="宋体"/>
          <w:color w:val="auto"/>
          <w:position w:val="14"/>
        </w:rPr>
        <w:t>（15）承</w:t>
      </w:r>
      <w:r>
        <w:rPr>
          <w:rFonts w:hint="eastAsia" w:ascii="宋体" w:hAnsi="宋体" w:eastAsia="宋体" w:cs="宋体"/>
          <w:color w:val="auto"/>
          <w:spacing w:val="-1"/>
          <w:position w:val="14"/>
        </w:rPr>
        <w:t>包人未按合同约定移交全部和部分工程的违约责任：由承包人承担工程照管、成品保护、保管等与工程有关的各种费用，并按结算金额或违约部分结算金额的</w:t>
      </w:r>
      <w:r>
        <w:rPr>
          <w:rFonts w:hint="eastAsia" w:ascii="宋体" w:hAnsi="宋体" w:eastAsia="宋体" w:cs="宋体"/>
          <w:color w:val="auto"/>
          <w:spacing w:val="-1"/>
          <w:position w:val="14"/>
          <w:u w:val="single"/>
        </w:rPr>
        <w:t>1‰</w:t>
      </w:r>
      <w:r>
        <w:rPr>
          <w:rFonts w:hint="eastAsia" w:ascii="宋体" w:hAnsi="宋体" w:eastAsia="宋体" w:cs="宋体"/>
          <w:color w:val="auto"/>
          <w:spacing w:val="-1"/>
          <w:position w:val="14"/>
        </w:rPr>
        <w:t>支付违约金。</w:t>
      </w:r>
    </w:p>
    <w:p>
      <w:pPr>
        <w:pStyle w:val="17"/>
        <w:spacing w:before="172" w:line="405" w:lineRule="exact"/>
        <w:ind w:firstLine="416" w:firstLineChars="200"/>
        <w:rPr>
          <w:rFonts w:hint="eastAsia" w:ascii="宋体" w:hAnsi="宋体" w:eastAsia="宋体" w:cs="宋体"/>
          <w:color w:val="auto"/>
          <w:spacing w:val="-1"/>
          <w:position w:val="14"/>
        </w:rPr>
      </w:pPr>
      <w:r>
        <w:rPr>
          <w:rFonts w:hint="eastAsia" w:ascii="宋体" w:hAnsi="宋体" w:eastAsia="宋体" w:cs="宋体"/>
          <w:color w:val="auto"/>
          <w:spacing w:val="-1"/>
          <w:position w:val="14"/>
        </w:rPr>
        <w:t>（16）承包人未按合同约定购买保险的违约责任：每延迟 1 天</w:t>
      </w:r>
      <w:r>
        <w:rPr>
          <w:rFonts w:hint="eastAsia" w:ascii="宋体" w:hAnsi="宋体" w:eastAsia="宋体" w:cs="宋体"/>
          <w:color w:val="auto"/>
          <w:spacing w:val="-1"/>
          <w:position w:val="14"/>
          <w:lang w:eastAsia="zh-CN"/>
        </w:rPr>
        <w:t>，</w:t>
      </w:r>
      <w:r>
        <w:rPr>
          <w:rFonts w:hint="eastAsia" w:ascii="宋体" w:hAnsi="宋体" w:eastAsia="宋体" w:cs="宋体"/>
          <w:color w:val="auto"/>
          <w:spacing w:val="-1"/>
          <w:position w:val="14"/>
        </w:rPr>
        <w:t>按</w:t>
      </w:r>
      <w:r>
        <w:rPr>
          <w:rFonts w:hint="eastAsia" w:ascii="宋体" w:hAnsi="宋体" w:eastAsia="宋体" w:cs="宋体"/>
          <w:color w:val="auto"/>
          <w:spacing w:val="-1"/>
          <w:position w:val="14"/>
          <w:u w:val="single"/>
        </w:rPr>
        <w:t xml:space="preserve"> 500</w:t>
      </w:r>
      <w:r>
        <w:rPr>
          <w:rFonts w:hint="eastAsia" w:ascii="宋体" w:hAnsi="宋体" w:eastAsia="宋体" w:cs="宋体"/>
          <w:color w:val="auto"/>
          <w:spacing w:val="-1"/>
          <w:position w:val="14"/>
        </w:rPr>
        <w:t>元/天支付违约金。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（17）项目经理违约承担方式和计算方法：每发现一次，根据具体情节，按</w:t>
      </w:r>
      <w:r>
        <w:rPr>
          <w:rFonts w:hint="eastAsia" w:ascii="宋体" w:hAnsi="宋体" w:cs="Microsoft Sans Serif"/>
          <w:kern w:val="0"/>
          <w:szCs w:val="21"/>
          <w:u w:val="single"/>
        </w:rPr>
        <w:t>1000元/天·次</w:t>
      </w:r>
      <w:r>
        <w:rPr>
          <w:rFonts w:hint="eastAsia" w:ascii="宋体" w:hAnsi="宋体" w:cs="Microsoft Sans Serif"/>
          <w:kern w:val="0"/>
          <w:szCs w:val="21"/>
        </w:rPr>
        <w:t>计算违约金；项目经理不按承诺到岗的，按履约保证金的</w:t>
      </w:r>
      <w:r>
        <w:rPr>
          <w:rFonts w:hint="eastAsia" w:ascii="宋体" w:hAnsi="宋体" w:cs="Microsoft Sans Serif"/>
          <w:kern w:val="0"/>
          <w:szCs w:val="21"/>
          <w:u w:val="single"/>
        </w:rPr>
        <w:t>50%</w:t>
      </w:r>
      <w:r>
        <w:rPr>
          <w:rFonts w:hint="eastAsia" w:ascii="宋体" w:hAnsi="宋体" w:cs="Microsoft Sans Serif"/>
          <w:kern w:val="0"/>
          <w:szCs w:val="21"/>
        </w:rPr>
        <w:t>支付违约金，并解除合同；擅自更换项目经理的，按签约合同价的</w:t>
      </w:r>
      <w:r>
        <w:rPr>
          <w:rFonts w:hint="eastAsia" w:ascii="宋体" w:hAnsi="宋体" w:cs="Microsoft Sans Serif"/>
          <w:kern w:val="0"/>
          <w:szCs w:val="21"/>
          <w:u w:val="single"/>
        </w:rPr>
        <w:t>0.5%/人·次</w:t>
      </w:r>
      <w:r>
        <w:rPr>
          <w:rFonts w:hint="eastAsia" w:ascii="宋体" w:hAnsi="宋体" w:cs="Microsoft Sans Serif"/>
          <w:kern w:val="0"/>
          <w:szCs w:val="21"/>
        </w:rPr>
        <w:t>支付违约金；项目经理被责令停止执业的，按签约合同价的</w:t>
      </w:r>
      <w:r>
        <w:rPr>
          <w:rFonts w:hint="eastAsia" w:ascii="宋体" w:hAnsi="宋体" w:cs="Microsoft Sans Serif"/>
          <w:kern w:val="0"/>
          <w:szCs w:val="21"/>
          <w:u w:val="single"/>
        </w:rPr>
        <w:t>0.5%/人·次</w:t>
      </w:r>
      <w:r>
        <w:rPr>
          <w:rFonts w:hint="eastAsia" w:ascii="宋体" w:hAnsi="宋体" w:cs="Microsoft Sans Serif"/>
          <w:kern w:val="0"/>
          <w:szCs w:val="21"/>
        </w:rPr>
        <w:t>支付违约金；项目经理被责令停止执业的，按签约合同价的</w:t>
      </w:r>
      <w:r>
        <w:rPr>
          <w:rFonts w:hint="eastAsia" w:ascii="宋体" w:hAnsi="宋体" w:cs="Microsoft Sans Serif"/>
          <w:kern w:val="0"/>
          <w:szCs w:val="21"/>
          <w:u w:val="single"/>
        </w:rPr>
        <w:t>0.5%/人•次</w:t>
      </w:r>
      <w:r>
        <w:rPr>
          <w:rFonts w:hint="eastAsia" w:ascii="宋体" w:hAnsi="宋体" w:cs="Microsoft Sans Serif"/>
          <w:kern w:val="0"/>
          <w:szCs w:val="21"/>
        </w:rPr>
        <w:t>支付违约金。</w:t>
      </w:r>
    </w:p>
    <w:p>
      <w:pPr>
        <w:snapToGrid w:val="0"/>
        <w:spacing w:line="360" w:lineRule="auto"/>
        <w:ind w:firstLine="420" w:firstLineChars="200"/>
        <w:jc w:val="left"/>
        <w:rPr>
          <w:rFonts w:hint="eastAsia" w:ascii="宋体" w:hAnsi="宋体" w:eastAsia="宋体" w:cs="Microsoft Sans Serif"/>
          <w:kern w:val="0"/>
          <w:szCs w:val="21"/>
        </w:rPr>
      </w:pPr>
      <w:r>
        <w:rPr>
          <w:rFonts w:hint="eastAsia" w:ascii="宋体" w:hAnsi="宋体" w:cs="Microsoft Sans Serif"/>
          <w:kern w:val="0"/>
          <w:szCs w:val="21"/>
          <w:lang w:eastAsia="zh-CN"/>
        </w:rPr>
        <w:t>（</w:t>
      </w:r>
      <w:r>
        <w:rPr>
          <w:rFonts w:hint="eastAsia" w:ascii="宋体" w:hAnsi="宋体" w:cs="Microsoft Sans Serif"/>
          <w:kern w:val="0"/>
          <w:szCs w:val="21"/>
          <w:lang w:val="en-US" w:eastAsia="zh-CN"/>
        </w:rPr>
        <w:t>18</w:t>
      </w:r>
      <w:r>
        <w:rPr>
          <w:rFonts w:hint="eastAsia" w:ascii="宋体" w:hAnsi="宋体" w:cs="Microsoft Sans Serif"/>
          <w:kern w:val="0"/>
          <w:szCs w:val="21"/>
          <w:lang w:eastAsia="zh-CN"/>
        </w:rPr>
        <w:t>）</w:t>
      </w:r>
      <w:r>
        <w:rPr>
          <w:rFonts w:hint="eastAsia" w:ascii="宋体" w:hAnsi="宋体" w:cs="Microsoft Sans Serif"/>
          <w:kern w:val="0"/>
          <w:szCs w:val="21"/>
        </w:rPr>
        <w:t>主要技术负责人违约承担方式和计算方法：每发现一次，根据具体情节，按</w:t>
      </w:r>
      <w:r>
        <w:rPr>
          <w:rFonts w:hint="eastAsia" w:ascii="宋体" w:hAnsi="宋体" w:cs="Microsoft Sans Serif"/>
          <w:kern w:val="0"/>
          <w:szCs w:val="21"/>
          <w:u w:val="single"/>
        </w:rPr>
        <w:t>1000元/天·次</w:t>
      </w:r>
      <w:r>
        <w:rPr>
          <w:rFonts w:hint="eastAsia" w:ascii="宋体" w:hAnsi="宋体" w:cs="Microsoft Sans Serif"/>
          <w:kern w:val="0"/>
          <w:szCs w:val="21"/>
        </w:rPr>
        <w:t>计算违约金；擅自更换主要技术负责人的，按签约合同价的</w:t>
      </w:r>
      <w:r>
        <w:rPr>
          <w:rFonts w:hint="eastAsia" w:ascii="宋体" w:hAnsi="宋体" w:cs="Microsoft Sans Serif"/>
          <w:kern w:val="0"/>
          <w:szCs w:val="21"/>
          <w:u w:val="single"/>
        </w:rPr>
        <w:t>0.5/人·次</w:t>
      </w:r>
      <w:r>
        <w:rPr>
          <w:rFonts w:hint="eastAsia" w:ascii="宋体" w:hAnsi="宋体" w:cs="Microsoft Sans Serif"/>
          <w:kern w:val="0"/>
          <w:szCs w:val="21"/>
        </w:rPr>
        <w:t>支付违约金。</w:t>
      </w:r>
    </w:p>
    <w:p>
      <w:pPr>
        <w:snapToGrid w:val="0"/>
        <w:spacing w:line="360" w:lineRule="auto"/>
        <w:ind w:firstLine="420" w:firstLineChars="200"/>
        <w:jc w:val="left"/>
        <w:rPr>
          <w:rFonts w:hint="eastAsia" w:ascii="宋体" w:hAnsi="宋体" w:eastAsia="宋体" w:cs="Microsoft Sans Serif"/>
          <w:kern w:val="0"/>
          <w:szCs w:val="21"/>
        </w:rPr>
      </w:pPr>
      <w:r>
        <w:rPr>
          <w:rFonts w:hint="eastAsia" w:ascii="宋体" w:hAnsi="宋体" w:eastAsia="宋体" w:cs="Microsoft Sans Serif"/>
          <w:kern w:val="0"/>
          <w:szCs w:val="21"/>
          <w:lang w:eastAsia="zh-CN"/>
        </w:rPr>
        <w:t>（</w:t>
      </w:r>
      <w:r>
        <w:rPr>
          <w:rFonts w:hint="eastAsia" w:ascii="宋体" w:hAnsi="宋体" w:eastAsia="宋体" w:cs="Microsoft Sans Serif"/>
          <w:kern w:val="0"/>
          <w:szCs w:val="21"/>
          <w:lang w:val="en-US" w:eastAsia="zh-CN"/>
        </w:rPr>
        <w:t>19</w:t>
      </w:r>
      <w:r>
        <w:rPr>
          <w:rFonts w:hint="eastAsia" w:ascii="宋体" w:hAnsi="宋体" w:eastAsia="宋体" w:cs="Microsoft Sans Serif"/>
          <w:kern w:val="0"/>
          <w:szCs w:val="21"/>
          <w:lang w:eastAsia="zh-CN"/>
        </w:rPr>
        <w:t>）</w:t>
      </w:r>
      <w:r>
        <w:rPr>
          <w:rFonts w:hint="eastAsia" w:ascii="宋体" w:hAnsi="宋体" w:eastAsia="宋体" w:cs="Microsoft Sans Serif"/>
          <w:kern w:val="0"/>
          <w:szCs w:val="21"/>
        </w:rPr>
        <w:t>主要施工管理人员违约承担方式和计算方法：每发现一次，根据具体情节，按</w:t>
      </w:r>
      <w:r>
        <w:rPr>
          <w:rFonts w:hint="eastAsia" w:ascii="宋体" w:hAnsi="宋体" w:eastAsia="宋体" w:cs="Microsoft Sans Serif"/>
          <w:kern w:val="0"/>
          <w:szCs w:val="21"/>
          <w:u w:val="single"/>
        </w:rPr>
        <w:t>500</w:t>
      </w:r>
      <w:r>
        <w:rPr>
          <w:rFonts w:hint="eastAsia" w:ascii="宋体" w:hAnsi="宋体" w:eastAsia="宋体" w:cs="Microsoft Sans Serif"/>
          <w:kern w:val="0"/>
          <w:szCs w:val="21"/>
        </w:rPr>
        <w:t>元/天·次计算违约金。</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因承包人违约解除合同</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因承包人违约并致使合同目的不能实现的，发包人有权解除合同：</w:t>
      </w:r>
    </w:p>
    <w:p>
      <w:pPr>
        <w:pStyle w:val="65"/>
        <w:spacing w:line="360" w:lineRule="auto"/>
        <w:jc w:val="left"/>
        <w:rPr>
          <w:rFonts w:ascii="宋体" w:hAnsi="宋体" w:cs="Microsoft Sans Serif"/>
          <w:kern w:val="0"/>
          <w:sz w:val="21"/>
          <w:szCs w:val="21"/>
        </w:rPr>
      </w:pPr>
      <w:r>
        <w:rPr>
          <w:rFonts w:hint="eastAsia" w:ascii="宋体" w:hAnsi="宋体" w:cs="Microsoft Sans Serif"/>
          <w:kern w:val="0"/>
          <w:sz w:val="21"/>
          <w:szCs w:val="21"/>
        </w:rPr>
        <w:t>（</w:t>
      </w:r>
      <w:r>
        <w:rPr>
          <w:rFonts w:hint="eastAsia" w:ascii="宋体" w:hAnsi="宋体" w:cs="Microsoft Sans Serif"/>
          <w:kern w:val="0"/>
          <w:sz w:val="21"/>
          <w:szCs w:val="21"/>
          <w:lang w:val="en-US" w:eastAsia="zh-CN"/>
        </w:rPr>
        <w:t>1</w:t>
      </w:r>
      <w:r>
        <w:rPr>
          <w:rFonts w:hint="eastAsia" w:ascii="宋体" w:hAnsi="宋体" w:cs="Microsoft Sans Serif"/>
          <w:kern w:val="0"/>
          <w:sz w:val="21"/>
          <w:szCs w:val="21"/>
        </w:rPr>
        <w:t>）未按合同约定购买保险且经催告后超过</w:t>
      </w:r>
      <w:r>
        <w:rPr>
          <w:rFonts w:hint="eastAsia" w:ascii="宋体" w:hAnsi="宋体" w:cs="Microsoft Sans Serif"/>
          <w:kern w:val="0"/>
          <w:sz w:val="21"/>
          <w:szCs w:val="21"/>
          <w:lang w:val="en-US" w:eastAsia="zh-CN"/>
        </w:rPr>
        <w:t>7</w:t>
      </w:r>
      <w:r>
        <w:rPr>
          <w:rFonts w:hint="eastAsia" w:ascii="宋体" w:hAnsi="宋体" w:cs="Microsoft Sans Serif"/>
          <w:kern w:val="0"/>
          <w:sz w:val="21"/>
          <w:szCs w:val="21"/>
        </w:rPr>
        <w:t>天的；</w:t>
      </w:r>
    </w:p>
    <w:p>
      <w:pPr>
        <w:pStyle w:val="65"/>
        <w:spacing w:line="360" w:lineRule="auto"/>
        <w:jc w:val="left"/>
        <w:rPr>
          <w:rFonts w:ascii="宋体" w:hAnsi="宋体" w:cs="Microsoft Sans Serif"/>
          <w:kern w:val="0"/>
          <w:sz w:val="21"/>
          <w:szCs w:val="21"/>
        </w:rPr>
      </w:pPr>
      <w:r>
        <w:rPr>
          <w:rFonts w:hint="eastAsia" w:ascii="宋体" w:hAnsi="宋体" w:cs="Microsoft Sans Serif"/>
          <w:kern w:val="0"/>
          <w:sz w:val="21"/>
          <w:szCs w:val="21"/>
        </w:rPr>
        <w:t>（</w:t>
      </w:r>
      <w:r>
        <w:rPr>
          <w:rFonts w:hint="eastAsia" w:ascii="宋体" w:hAnsi="宋体" w:cs="Microsoft Sans Serif"/>
          <w:kern w:val="0"/>
          <w:sz w:val="21"/>
          <w:szCs w:val="21"/>
          <w:lang w:val="en-US" w:eastAsia="zh-CN"/>
        </w:rPr>
        <w:t>2</w:t>
      </w:r>
      <w:r>
        <w:rPr>
          <w:rFonts w:hint="eastAsia" w:ascii="宋体" w:hAnsi="宋体" w:cs="Microsoft Sans Serif"/>
          <w:kern w:val="0"/>
          <w:sz w:val="21"/>
          <w:szCs w:val="21"/>
        </w:rPr>
        <w:t>）因承包人原因导致开工时间累计延误超过</w:t>
      </w:r>
      <w:r>
        <w:rPr>
          <w:rFonts w:hint="eastAsia" w:ascii="宋体" w:hAnsi="宋体" w:cs="Microsoft Sans Serif"/>
          <w:kern w:val="0"/>
          <w:sz w:val="21"/>
          <w:szCs w:val="21"/>
          <w:lang w:val="en-US" w:eastAsia="zh-CN"/>
        </w:rPr>
        <w:t>7</w:t>
      </w:r>
      <w:r>
        <w:rPr>
          <w:rFonts w:hint="eastAsia" w:ascii="宋体" w:hAnsi="宋体" w:cs="Microsoft Sans Serif"/>
          <w:kern w:val="0"/>
          <w:sz w:val="21"/>
          <w:szCs w:val="21"/>
        </w:rPr>
        <w:t>天的；</w:t>
      </w:r>
    </w:p>
    <w:p>
      <w:pPr>
        <w:pStyle w:val="65"/>
        <w:spacing w:line="360" w:lineRule="auto"/>
        <w:jc w:val="left"/>
        <w:rPr>
          <w:rFonts w:ascii="宋体" w:hAnsi="宋体" w:cs="Microsoft Sans Serif"/>
          <w:kern w:val="0"/>
          <w:sz w:val="21"/>
          <w:szCs w:val="21"/>
        </w:rPr>
      </w:pPr>
      <w:r>
        <w:rPr>
          <w:rFonts w:hint="eastAsia" w:ascii="宋体" w:hAnsi="宋体" w:cs="Microsoft Sans Serif"/>
          <w:kern w:val="0"/>
          <w:sz w:val="21"/>
          <w:szCs w:val="21"/>
        </w:rPr>
        <w:t>（</w:t>
      </w:r>
      <w:r>
        <w:rPr>
          <w:rFonts w:hint="eastAsia" w:ascii="宋体" w:hAnsi="宋体" w:cs="Microsoft Sans Serif"/>
          <w:kern w:val="0"/>
          <w:sz w:val="21"/>
          <w:szCs w:val="21"/>
          <w:lang w:val="en-US" w:eastAsia="zh-CN"/>
        </w:rPr>
        <w:t>3</w:t>
      </w:r>
      <w:r>
        <w:rPr>
          <w:rFonts w:hint="eastAsia" w:ascii="宋体" w:hAnsi="宋体" w:cs="Microsoft Sans Serif"/>
          <w:kern w:val="0"/>
          <w:sz w:val="21"/>
          <w:szCs w:val="21"/>
        </w:rPr>
        <w:t>）因承包人原因导致工期延误超过</w:t>
      </w:r>
      <w:r>
        <w:rPr>
          <w:rFonts w:hint="eastAsia" w:ascii="宋体" w:hAnsi="宋体" w:cs="Microsoft Sans Serif"/>
          <w:kern w:val="0"/>
          <w:sz w:val="21"/>
          <w:szCs w:val="21"/>
          <w:lang w:val="en-US" w:eastAsia="zh-CN"/>
        </w:rPr>
        <w:t>7</w:t>
      </w:r>
      <w:r>
        <w:rPr>
          <w:rFonts w:hint="eastAsia" w:ascii="宋体" w:hAnsi="宋体" w:cs="Microsoft Sans Serif"/>
          <w:kern w:val="0"/>
          <w:sz w:val="21"/>
          <w:szCs w:val="21"/>
        </w:rPr>
        <w:t>天的；</w:t>
      </w:r>
    </w:p>
    <w:p>
      <w:pPr>
        <w:pStyle w:val="65"/>
        <w:spacing w:line="360" w:lineRule="auto"/>
        <w:jc w:val="left"/>
        <w:rPr>
          <w:rFonts w:ascii="宋体" w:hAnsi="宋体" w:cs="Microsoft Sans Serif"/>
          <w:kern w:val="0"/>
          <w:sz w:val="21"/>
          <w:szCs w:val="21"/>
        </w:rPr>
      </w:pPr>
      <w:r>
        <w:rPr>
          <w:rFonts w:hint="eastAsia" w:ascii="宋体" w:hAnsi="宋体" w:cs="Microsoft Sans Serif"/>
          <w:kern w:val="0"/>
          <w:sz w:val="21"/>
          <w:szCs w:val="21"/>
        </w:rPr>
        <w:t>（</w:t>
      </w:r>
      <w:r>
        <w:rPr>
          <w:rFonts w:hint="eastAsia" w:ascii="宋体" w:hAnsi="宋体" w:cs="Microsoft Sans Serif"/>
          <w:kern w:val="0"/>
          <w:sz w:val="21"/>
          <w:szCs w:val="21"/>
          <w:lang w:val="en-US" w:eastAsia="zh-CN"/>
        </w:rPr>
        <w:t>4</w:t>
      </w:r>
      <w:r>
        <w:rPr>
          <w:rFonts w:hint="eastAsia" w:ascii="宋体" w:hAnsi="宋体" w:cs="Microsoft Sans Serif"/>
          <w:kern w:val="0"/>
          <w:sz w:val="21"/>
          <w:szCs w:val="21"/>
        </w:rPr>
        <w:t>）</w:t>
      </w:r>
      <w:r>
        <w:rPr>
          <w:rFonts w:hint="eastAsia" w:ascii="宋体" w:hAnsi="宋体" w:cs="Microsoft Sans Serif"/>
          <w:kern w:val="0"/>
          <w:sz w:val="21"/>
          <w:szCs w:val="21"/>
          <w:lang w:val="en-US" w:eastAsia="zh-CN"/>
        </w:rPr>
        <w:t>发包</w:t>
      </w:r>
      <w:r>
        <w:rPr>
          <w:rFonts w:hint="eastAsia" w:ascii="宋体" w:hAnsi="宋体" w:cs="Microsoft Sans Serif"/>
          <w:kern w:val="0"/>
          <w:sz w:val="21"/>
          <w:szCs w:val="21"/>
        </w:rPr>
        <w:t>人发出整改通知后，承包人在</w:t>
      </w:r>
      <w:r>
        <w:rPr>
          <w:rFonts w:hint="eastAsia" w:ascii="宋体" w:hAnsi="宋体" w:cs="Microsoft Sans Serif"/>
          <w:kern w:val="0"/>
          <w:sz w:val="21"/>
          <w:szCs w:val="21"/>
          <w:lang w:val="en-US" w:eastAsia="zh-CN"/>
        </w:rPr>
        <w:t>发包</w:t>
      </w:r>
      <w:r>
        <w:rPr>
          <w:rFonts w:hint="eastAsia" w:ascii="宋体" w:hAnsi="宋体" w:cs="Microsoft Sans Serif"/>
          <w:kern w:val="0"/>
          <w:sz w:val="21"/>
          <w:szCs w:val="21"/>
        </w:rPr>
        <w:t>人限定的期限内仍不纠正违约行为的；</w:t>
      </w:r>
    </w:p>
    <w:p>
      <w:pPr>
        <w:pStyle w:val="65"/>
        <w:spacing w:line="360" w:lineRule="auto"/>
        <w:jc w:val="left"/>
        <w:rPr>
          <w:rFonts w:ascii="宋体" w:hAnsi="宋体" w:cs="Microsoft Sans Serif"/>
          <w:kern w:val="0"/>
          <w:sz w:val="21"/>
          <w:szCs w:val="21"/>
        </w:rPr>
      </w:pPr>
      <w:r>
        <w:rPr>
          <w:rFonts w:hint="eastAsia" w:ascii="宋体" w:hAnsi="宋体" w:cs="Microsoft Sans Serif"/>
          <w:kern w:val="0"/>
          <w:sz w:val="21"/>
          <w:szCs w:val="21"/>
        </w:rPr>
        <w:t>（</w:t>
      </w:r>
      <w:r>
        <w:rPr>
          <w:rFonts w:hint="eastAsia" w:ascii="宋体" w:hAnsi="宋体" w:cs="Microsoft Sans Serif"/>
          <w:kern w:val="0"/>
          <w:sz w:val="21"/>
          <w:szCs w:val="21"/>
          <w:lang w:val="en-US" w:eastAsia="zh-CN"/>
        </w:rPr>
        <w:t>5</w:t>
      </w:r>
      <w:r>
        <w:rPr>
          <w:rFonts w:hint="eastAsia" w:ascii="宋体" w:hAnsi="宋体" w:cs="Microsoft Sans Serif"/>
          <w:kern w:val="0"/>
          <w:sz w:val="21"/>
          <w:szCs w:val="21"/>
        </w:rPr>
        <w:t>）承包人进入清算或者严重资不抵债且无法履行合同的；</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w:t>
      </w:r>
      <w:r>
        <w:rPr>
          <w:rFonts w:hint="eastAsia" w:ascii="宋体" w:hAnsi="宋体" w:cs="Microsoft Sans Serif"/>
          <w:kern w:val="0"/>
          <w:szCs w:val="21"/>
          <w:lang w:val="en-US" w:eastAsia="zh-CN"/>
        </w:rPr>
        <w:t>6</w:t>
      </w:r>
      <w:r>
        <w:rPr>
          <w:rFonts w:hint="eastAsia" w:ascii="宋体" w:hAnsi="宋体" w:cs="Microsoft Sans Serif"/>
          <w:kern w:val="0"/>
          <w:szCs w:val="21"/>
        </w:rPr>
        <w:t>）违反适用法律而被相关政府部门依法吊销营业执照、责令停业、清算或宣布破产、责令关闭的；</w:t>
      </w:r>
    </w:p>
    <w:p>
      <w:pPr>
        <w:pStyle w:val="65"/>
        <w:spacing w:line="360" w:lineRule="auto"/>
        <w:jc w:val="left"/>
        <w:rPr>
          <w:rFonts w:ascii="宋体" w:hAnsi="宋体" w:cs="Microsoft Sans Serif"/>
          <w:kern w:val="0"/>
          <w:sz w:val="21"/>
          <w:szCs w:val="21"/>
        </w:rPr>
      </w:pPr>
      <w:r>
        <w:rPr>
          <w:rFonts w:hint="eastAsia" w:ascii="宋体" w:hAnsi="宋体" w:cs="Microsoft Sans Serif"/>
          <w:kern w:val="0"/>
          <w:sz w:val="21"/>
          <w:szCs w:val="21"/>
        </w:rPr>
        <w:t>（</w:t>
      </w:r>
      <w:r>
        <w:rPr>
          <w:rFonts w:hint="eastAsia" w:ascii="宋体" w:hAnsi="宋体" w:cs="Microsoft Sans Serif"/>
          <w:kern w:val="0"/>
          <w:sz w:val="21"/>
          <w:szCs w:val="21"/>
          <w:lang w:val="en-US" w:eastAsia="zh-CN"/>
        </w:rPr>
        <w:t>7</w:t>
      </w:r>
      <w:r>
        <w:rPr>
          <w:rFonts w:hint="eastAsia" w:ascii="宋体" w:hAnsi="宋体" w:cs="Microsoft Sans Serif"/>
          <w:kern w:val="0"/>
          <w:sz w:val="21"/>
          <w:szCs w:val="21"/>
        </w:rPr>
        <w:t>）</w:t>
      </w:r>
      <w:r>
        <w:rPr>
          <w:rFonts w:hint="eastAsia" w:ascii="宋体" w:hAnsi="宋体" w:cs="Microsoft Sans Serif"/>
          <w:kern w:val="0"/>
          <w:sz w:val="21"/>
          <w:szCs w:val="21"/>
          <w:u w:val="single"/>
        </w:rPr>
        <w:t>合同约定的发包人有权解除合同的其他情形</w:t>
      </w:r>
      <w:r>
        <w:rPr>
          <w:rFonts w:hint="eastAsia" w:ascii="宋体" w:hAnsi="宋体" w:cs="Microsoft Sans Serif"/>
          <w:kern w:val="0"/>
          <w:sz w:val="21"/>
          <w:szCs w:val="21"/>
        </w:rPr>
        <w:t>。</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lang w:val="en-US" w:eastAsia="zh-CN"/>
        </w:rPr>
        <w:t xml:space="preserve">3. </w:t>
      </w:r>
      <w:r>
        <w:rPr>
          <w:rFonts w:hint="eastAsia" w:ascii="宋体" w:hAnsi="宋体" w:cs="Microsoft Sans Serif"/>
          <w:kern w:val="0"/>
          <w:szCs w:val="21"/>
        </w:rPr>
        <w:t>因承包人违约解除合同后的处理</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因承包人违约导致合同解除的，合同当事人应在合同解除后56天内完成估价、付款和清算，并按以下约定执行：</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（1）合同解除后，确定承包人实际完成工作对应的合同价款，以及承包人已提供的材料、工程设备、施工设备和临时工程等的价值；</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（2）合同解除后，承包人应支付违约金；</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（3）合同解除后，赔偿因解除合同给发包人造成的损失；</w:t>
      </w:r>
    </w:p>
    <w:p>
      <w:pPr>
        <w:spacing w:line="360" w:lineRule="auto"/>
        <w:ind w:firstLine="420" w:firstLineChars="200"/>
        <w:jc w:val="left"/>
        <w:rPr>
          <w:rFonts w:hint="eastAsia" w:ascii="宋体" w:hAnsi="宋体" w:cs="Microsoft Sans Serif"/>
          <w:kern w:val="0"/>
          <w:szCs w:val="21"/>
          <w:lang w:val="en-US" w:eastAsia="zh-CN"/>
        </w:rPr>
      </w:pPr>
      <w:r>
        <w:rPr>
          <w:rFonts w:hint="eastAsia" w:ascii="宋体" w:hAnsi="宋体" w:cs="Microsoft Sans Serif"/>
          <w:kern w:val="0"/>
          <w:szCs w:val="21"/>
        </w:rPr>
        <w:t>（4）合同解除后，承包人应按照发包人要求完成现场的清理和撤离。</w:t>
      </w:r>
      <w:r>
        <w:rPr>
          <w:rFonts w:hint="eastAsia" w:ascii="宋体" w:hAnsi="宋体" w:cs="Microsoft Sans Serif"/>
          <w:kern w:val="0"/>
          <w:szCs w:val="21"/>
          <w:lang w:val="en-US" w:eastAsia="zh-CN"/>
        </w:rPr>
        <w:t xml:space="preserve"> </w:t>
      </w:r>
    </w:p>
    <w:p>
      <w:pPr>
        <w:spacing w:line="360" w:lineRule="auto"/>
        <w:ind w:firstLine="420" w:firstLineChars="200"/>
        <w:rPr>
          <w:rFonts w:hint="eastAsia"/>
          <w:sz w:val="22"/>
          <w:szCs w:val="22"/>
          <w:lang w:val="en-US" w:eastAsia="zh-CN"/>
        </w:rPr>
      </w:pPr>
      <w:r>
        <w:rPr>
          <w:rFonts w:hint="eastAsia" w:ascii="宋体" w:hAnsi="宋体" w:eastAsia="宋体" w:cs="Microsoft Sans Serif"/>
          <w:b w:val="0"/>
          <w:bCs w:val="0"/>
          <w:kern w:val="0"/>
          <w:sz w:val="21"/>
          <w:szCs w:val="21"/>
          <w:lang w:val="en-US" w:eastAsia="zh-CN" w:bidi="ar-SA"/>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w:t>
      </w:r>
    </w:p>
    <w:p>
      <w:pPr>
        <w:pStyle w:val="5"/>
        <w:bidi w:val="0"/>
        <w:ind w:firstLine="442" w:firstLineChars="200"/>
        <w:rPr>
          <w:rFonts w:hint="eastAsia"/>
          <w:sz w:val="22"/>
          <w:szCs w:val="22"/>
        </w:rPr>
      </w:pPr>
      <w:r>
        <w:rPr>
          <w:rFonts w:hint="eastAsia"/>
          <w:sz w:val="22"/>
          <w:szCs w:val="22"/>
          <w:lang w:val="en-US" w:eastAsia="zh-CN"/>
        </w:rPr>
        <w:t>十六、</w:t>
      </w:r>
      <w:r>
        <w:rPr>
          <w:rFonts w:hint="eastAsia"/>
          <w:sz w:val="22"/>
          <w:szCs w:val="22"/>
        </w:rPr>
        <w:t>不可抗力</w:t>
      </w:r>
    </w:p>
    <w:p>
      <w:pPr>
        <w:pStyle w:val="17"/>
        <w:spacing w:before="69" w:line="360" w:lineRule="auto"/>
        <w:ind w:left="436"/>
        <w:outlineLvl w:val="0"/>
        <w:rPr>
          <w:rFonts w:hint="eastAsia" w:ascii="宋体" w:hAnsi="宋体" w:eastAsia="宋体" w:cs="宋体"/>
          <w:color w:val="auto"/>
        </w:rPr>
      </w:pPr>
      <w:r>
        <w:rPr>
          <w:rFonts w:hint="eastAsia" w:ascii="宋体" w:hAnsi="宋体" w:cs="宋体"/>
          <w:b/>
          <w:bCs/>
          <w:color w:val="auto"/>
          <w:spacing w:val="2"/>
          <w:lang w:val="en-US" w:eastAsia="zh-CN"/>
        </w:rPr>
        <w:t xml:space="preserve">1. </w:t>
      </w:r>
      <w:r>
        <w:rPr>
          <w:rFonts w:hint="eastAsia" w:ascii="宋体" w:hAnsi="宋体" w:eastAsia="宋体" w:cs="宋体"/>
          <w:b/>
          <w:bCs/>
          <w:color w:val="auto"/>
          <w:spacing w:val="2"/>
        </w:rPr>
        <w:t>不可抗力的确认</w:t>
      </w:r>
    </w:p>
    <w:p>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（1）洪水、火山爆发、山崩、山体滑坡、泥石流、龙卷风、隧道内不可预测的突发性地质灾害等自然灾害；</w:t>
      </w:r>
    </w:p>
    <w:p>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（2）骚乱、戒严、封锁、禁运、恐怖行为、等社会行为，但承包人或其分包人派遣与雇佣的人员由于合同工程施工原因引起的除外；</w:t>
      </w:r>
    </w:p>
    <w:p>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（3）不能合理预见的重大交通阻滞、停运、交通事故，非双方责任引起的火灾、爆炸、船舶撞击等情形；</w:t>
      </w:r>
    </w:p>
    <w:p>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（4）化学或放射性污染或核辐射；</w:t>
      </w:r>
    </w:p>
    <w:p>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（5）环保治理等政府行为导致项目停工的。</w:t>
      </w:r>
    </w:p>
    <w:p>
      <w:pPr>
        <w:pStyle w:val="17"/>
        <w:spacing w:line="360" w:lineRule="auto"/>
        <w:ind w:left="3" w:firstLine="398" w:firstLineChars="200"/>
        <w:rPr>
          <w:rFonts w:hint="eastAsia" w:ascii="宋体" w:hAnsi="宋体" w:eastAsia="宋体" w:cs="宋体"/>
          <w:b/>
          <w:bCs/>
          <w:color w:val="auto"/>
          <w:spacing w:val="-6"/>
        </w:rPr>
      </w:pPr>
      <w:r>
        <w:rPr>
          <w:rFonts w:hint="eastAsia" w:ascii="宋体" w:hAnsi="宋体" w:cs="宋体"/>
          <w:b/>
          <w:bCs/>
          <w:color w:val="auto"/>
          <w:spacing w:val="-6"/>
          <w:lang w:val="en-US" w:eastAsia="zh-CN"/>
        </w:rPr>
        <w:t xml:space="preserve">2. </w:t>
      </w:r>
      <w:r>
        <w:rPr>
          <w:rFonts w:hint="eastAsia" w:ascii="宋体" w:hAnsi="宋体" w:eastAsia="宋体" w:cs="宋体"/>
          <w:b/>
          <w:bCs/>
          <w:color w:val="auto"/>
          <w:spacing w:val="-6"/>
        </w:rPr>
        <w:t>不可抗力后果的承担</w:t>
      </w:r>
    </w:p>
    <w:p>
      <w:pPr>
        <w:pStyle w:val="17"/>
        <w:spacing w:line="360" w:lineRule="auto"/>
        <w:ind w:left="3" w:firstLine="396" w:firstLineChars="200"/>
        <w:rPr>
          <w:rFonts w:hint="eastAsia" w:ascii="宋体" w:hAnsi="宋体" w:eastAsia="宋体" w:cs="宋体"/>
          <w:color w:val="auto"/>
          <w:spacing w:val="-6"/>
        </w:rPr>
      </w:pPr>
      <w:r>
        <w:rPr>
          <w:rFonts w:hint="eastAsia" w:ascii="宋体" w:hAnsi="宋体" w:cs="宋体"/>
          <w:color w:val="auto"/>
          <w:spacing w:val="-6"/>
          <w:lang w:val="en-US" w:eastAsia="zh-CN"/>
        </w:rPr>
        <w:t>2.1</w:t>
      </w:r>
      <w:r>
        <w:rPr>
          <w:rFonts w:hint="eastAsia" w:ascii="宋体" w:hAnsi="宋体" w:eastAsia="宋体" w:cs="宋体"/>
          <w:color w:val="auto"/>
          <w:spacing w:val="-6"/>
        </w:rPr>
        <w:t>不可抗力引起的后果及造成的损失由合同当事人按照法律规定及合同约定各自承担。不可抗力发生前已完成的工程应当按照合同约定进行计量支付。</w:t>
      </w:r>
    </w:p>
    <w:p>
      <w:pPr>
        <w:pStyle w:val="17"/>
        <w:spacing w:line="360" w:lineRule="auto"/>
        <w:ind w:left="3" w:firstLine="396" w:firstLineChars="200"/>
        <w:rPr>
          <w:rFonts w:hint="eastAsia" w:ascii="宋体" w:hAnsi="宋体" w:eastAsia="宋体" w:cs="宋体"/>
          <w:color w:val="auto"/>
          <w:spacing w:val="-6"/>
        </w:rPr>
      </w:pPr>
      <w:r>
        <w:rPr>
          <w:rFonts w:hint="eastAsia" w:ascii="宋体" w:hAnsi="宋体" w:cs="宋体"/>
          <w:color w:val="auto"/>
          <w:spacing w:val="-6"/>
          <w:lang w:val="en-US" w:eastAsia="zh-CN"/>
        </w:rPr>
        <w:t>2.2</w:t>
      </w:r>
      <w:r>
        <w:rPr>
          <w:rFonts w:hint="eastAsia" w:ascii="宋体" w:hAnsi="宋体" w:eastAsia="宋体" w:cs="宋体"/>
          <w:color w:val="auto"/>
          <w:spacing w:val="-6"/>
        </w:rPr>
        <w:t>不可抗力导致的人员伤亡、财产损失、费用增加和（或）工期延误等后果，由合同当事人按以下原则承担：</w:t>
      </w:r>
    </w:p>
    <w:p>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（1）永久工程、已运至施工现场的施工材料和工程设备的损坏，以及因工程损坏造成的第三方人员伤亡和财产损失由发包人承担；</w:t>
      </w:r>
    </w:p>
    <w:p>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（2）承包人施工设备的损坏由承包人承担；</w:t>
      </w:r>
    </w:p>
    <w:p>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（3）发包人和承包人承担各自人员伤亡和财产的损失；</w:t>
      </w:r>
    </w:p>
    <w:p>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（4）因不可抗力影响承包人履行合同约定的义务</w:t>
      </w:r>
      <w:r>
        <w:rPr>
          <w:rFonts w:hint="eastAsia" w:ascii="宋体" w:hAnsi="宋体" w:eastAsia="宋体" w:cs="宋体"/>
          <w:color w:val="auto"/>
          <w:spacing w:val="-6"/>
          <w:lang w:eastAsia="zh-CN"/>
        </w:rPr>
        <w:t>，</w:t>
      </w:r>
      <w:r>
        <w:rPr>
          <w:rFonts w:hint="eastAsia" w:ascii="宋体" w:hAnsi="宋体" w:eastAsia="宋体" w:cs="宋体"/>
          <w:color w:val="auto"/>
          <w:spacing w:val="-6"/>
        </w:rPr>
        <w:t>已经引起或将引起工期延误的，应当顺延工期，由此导致承包人停工的费用损失由发包人和承包人合理共担；</w:t>
      </w:r>
    </w:p>
    <w:p>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（5）因不可抗力引起或将引起工期延误，发包人要求赶工的，由此增加的赶工费用由发包人承担；</w:t>
      </w:r>
    </w:p>
    <w:p>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（6）承包人在停工期间按照发包人要求照管、清理和修复工程的费用由发包人承担；</w:t>
      </w:r>
    </w:p>
    <w:p>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（7）不可抗力事件发生后，合同当事人均应采取措施尽量避免和减少损失的扩大，任何一方当事人没有采取有效措施导致损失扩大的，应对扩大的损失承担责任。</w:t>
      </w:r>
    </w:p>
    <w:p>
      <w:pPr>
        <w:pStyle w:val="17"/>
        <w:spacing w:line="360" w:lineRule="auto"/>
        <w:ind w:left="3" w:firstLine="398" w:firstLineChars="200"/>
        <w:rPr>
          <w:rFonts w:hint="eastAsia" w:ascii="宋体" w:hAnsi="宋体" w:eastAsia="宋体" w:cs="宋体"/>
          <w:b/>
          <w:bCs/>
          <w:color w:val="auto"/>
          <w:spacing w:val="-6"/>
          <w:highlight w:val="none"/>
          <w:lang w:val="en-US" w:eastAsia="zh-CN"/>
        </w:rPr>
      </w:pPr>
      <w:bookmarkStart w:id="641" w:name="_Toc532375581"/>
      <w:bookmarkStart w:id="642" w:name="_Toc532377174"/>
      <w:r>
        <w:rPr>
          <w:rFonts w:hint="eastAsia" w:ascii="宋体" w:hAnsi="宋体" w:eastAsia="宋体" w:cs="宋体"/>
          <w:b/>
          <w:bCs/>
          <w:color w:val="auto"/>
          <w:spacing w:val="-6"/>
          <w:kern w:val="2"/>
          <w:sz w:val="21"/>
          <w:szCs w:val="24"/>
          <w:highlight w:val="none"/>
          <w:lang w:val="en-US" w:eastAsia="zh-CN" w:bidi="ar-SA"/>
        </w:rPr>
        <w:t>十</w:t>
      </w:r>
      <w:r>
        <w:rPr>
          <w:rFonts w:hint="eastAsia" w:ascii="宋体" w:hAnsi="宋体" w:eastAsia="宋体" w:cs="宋体"/>
          <w:b/>
          <w:bCs/>
          <w:color w:val="auto"/>
          <w:spacing w:val="-6"/>
          <w:highlight w:val="none"/>
          <w:lang w:val="en-US" w:eastAsia="zh-CN"/>
        </w:rPr>
        <w:t>七、低价风险担保</w:t>
      </w:r>
    </w:p>
    <w:p>
      <w:pPr>
        <w:pStyle w:val="17"/>
        <w:spacing w:line="360" w:lineRule="auto"/>
        <w:ind w:left="3" w:firstLine="396" w:firstLineChars="200"/>
        <w:rPr>
          <w:rFonts w:hint="eastAsia" w:ascii="宋体" w:hAnsi="宋体" w:eastAsia="宋体" w:cs="宋体"/>
          <w:color w:val="auto"/>
          <w:spacing w:val="-6"/>
          <w:highlight w:val="none"/>
          <w:lang w:val="en-US" w:eastAsia="zh-CN"/>
        </w:rPr>
      </w:pPr>
      <w:r>
        <w:rPr>
          <w:rFonts w:hint="eastAsia" w:ascii="宋体" w:hAnsi="宋体" w:eastAsia="宋体" w:cs="宋体"/>
          <w:color w:val="auto"/>
          <w:spacing w:val="-6"/>
          <w:highlight w:val="none"/>
          <w:lang w:val="en-US" w:eastAsia="zh-CN"/>
        </w:rPr>
        <w:t>1、低价风险担保：中标价低于最高限价的85%时提供，如不按时足额提供，视为中标人放弃中标，招标人有权不退还其投标保证金，并报招标投标监督部门，纳入重点关注名单。</w:t>
      </w:r>
    </w:p>
    <w:p>
      <w:pPr>
        <w:pStyle w:val="17"/>
        <w:spacing w:line="360" w:lineRule="auto"/>
        <w:ind w:left="3" w:firstLine="396" w:firstLineChars="200"/>
        <w:rPr>
          <w:rFonts w:hint="eastAsia" w:ascii="宋体" w:hAnsi="宋体" w:eastAsia="宋体" w:cs="宋体"/>
          <w:color w:val="auto"/>
          <w:spacing w:val="-6"/>
          <w:highlight w:val="none"/>
          <w:lang w:val="en-US" w:eastAsia="zh-CN"/>
        </w:rPr>
      </w:pPr>
      <w:r>
        <w:rPr>
          <w:rFonts w:hint="eastAsia" w:ascii="宋体" w:hAnsi="宋体" w:eastAsia="宋体" w:cs="宋体"/>
          <w:color w:val="auto"/>
          <w:spacing w:val="-6"/>
          <w:highlight w:val="none"/>
          <w:lang w:val="en-US" w:eastAsia="zh-CN"/>
        </w:rPr>
        <w:t>2、中标人提供低价风险担保的形式、金额及期限：</w:t>
      </w:r>
    </w:p>
    <w:p>
      <w:pPr>
        <w:pStyle w:val="17"/>
        <w:spacing w:line="360" w:lineRule="auto"/>
        <w:ind w:left="3" w:firstLine="396" w:firstLineChars="200"/>
        <w:rPr>
          <w:rFonts w:hint="eastAsia" w:ascii="宋体" w:hAnsi="宋体" w:eastAsia="宋体" w:cs="宋体"/>
          <w:color w:val="auto"/>
          <w:spacing w:val="-6"/>
          <w:highlight w:val="none"/>
          <w:lang w:val="en-US" w:eastAsia="zh-CN"/>
        </w:rPr>
      </w:pPr>
      <w:r>
        <w:rPr>
          <w:rFonts w:hint="eastAsia" w:ascii="宋体" w:hAnsi="宋体" w:eastAsia="宋体" w:cs="宋体"/>
          <w:color w:val="auto"/>
          <w:spacing w:val="-6"/>
          <w:highlight w:val="none"/>
          <w:lang w:val="en-US" w:eastAsia="zh-CN"/>
        </w:rPr>
        <w:t>（1）低价风险担保的形式：现金或银行保函或现金+银行保函的组合；采用银行保函形式的，保函必须为不可撤销、不可转让且见索即付的独立保函。</w:t>
      </w:r>
    </w:p>
    <w:p>
      <w:pPr>
        <w:pStyle w:val="17"/>
        <w:spacing w:line="360" w:lineRule="auto"/>
        <w:ind w:left="3" w:firstLine="396" w:firstLineChars="200"/>
        <w:rPr>
          <w:rFonts w:hint="eastAsia" w:ascii="宋体" w:hAnsi="宋体" w:eastAsia="宋体" w:cs="宋体"/>
          <w:color w:val="auto"/>
          <w:spacing w:val="-6"/>
          <w:highlight w:val="none"/>
          <w:lang w:val="en-US" w:eastAsia="zh-CN"/>
        </w:rPr>
      </w:pPr>
      <w:r>
        <w:rPr>
          <w:rFonts w:hint="eastAsia" w:ascii="宋体" w:hAnsi="宋体" w:eastAsia="宋体" w:cs="宋体"/>
          <w:color w:val="auto"/>
          <w:spacing w:val="-6"/>
          <w:highlight w:val="none"/>
          <w:lang w:val="en-US" w:eastAsia="zh-CN"/>
        </w:rPr>
        <w:t>（2）低价风险担保的金额：（最高限价×85%-中标价）×□1□2☑3，且最高不超过最高限价的85%。</w:t>
      </w:r>
    </w:p>
    <w:p>
      <w:pPr>
        <w:pStyle w:val="17"/>
        <w:spacing w:line="360" w:lineRule="auto"/>
        <w:ind w:left="3" w:firstLine="396" w:firstLineChars="200"/>
        <w:rPr>
          <w:rFonts w:hint="eastAsia" w:ascii="宋体" w:hAnsi="宋体" w:eastAsia="宋体" w:cs="宋体"/>
          <w:color w:val="auto"/>
          <w:spacing w:val="-6"/>
          <w:highlight w:val="none"/>
          <w:lang w:val="en-US" w:eastAsia="zh-CN"/>
        </w:rPr>
      </w:pPr>
      <w:r>
        <w:rPr>
          <w:rFonts w:hint="eastAsia" w:ascii="宋体" w:hAnsi="宋体" w:eastAsia="宋体" w:cs="宋体"/>
          <w:color w:val="auto"/>
          <w:spacing w:val="-6"/>
          <w:highlight w:val="none"/>
          <w:lang w:val="en-US" w:eastAsia="zh-CN"/>
        </w:rPr>
        <w:t>（3）低价风险担保的提交时间：合同签订前。</w:t>
      </w:r>
    </w:p>
    <w:p>
      <w:pPr>
        <w:pStyle w:val="17"/>
        <w:spacing w:line="360" w:lineRule="auto"/>
        <w:ind w:left="3" w:firstLine="396" w:firstLineChars="200"/>
        <w:rPr>
          <w:rFonts w:hint="eastAsia" w:ascii="宋体" w:hAnsi="宋体" w:eastAsia="宋体" w:cs="宋体"/>
          <w:color w:val="auto"/>
          <w:spacing w:val="-6"/>
          <w:highlight w:val="none"/>
          <w:lang w:val="en-US" w:eastAsia="zh-CN"/>
        </w:rPr>
      </w:pPr>
      <w:r>
        <w:rPr>
          <w:rFonts w:hint="eastAsia" w:ascii="宋体" w:hAnsi="宋体" w:eastAsia="宋体" w:cs="宋体"/>
          <w:color w:val="auto"/>
          <w:spacing w:val="-6"/>
          <w:highlight w:val="none"/>
          <w:lang w:val="en-US" w:eastAsia="zh-CN"/>
        </w:rPr>
        <w:t>（4）中标人因自身原因未按中标通知书规定的时限与招标人签订合同的，招标人有权扣除其低价风险担保并取消中标资格。</w:t>
      </w:r>
    </w:p>
    <w:p>
      <w:pPr>
        <w:pStyle w:val="17"/>
        <w:spacing w:line="360" w:lineRule="auto"/>
        <w:ind w:left="3" w:firstLine="396" w:firstLineChars="200"/>
        <w:rPr>
          <w:rFonts w:hint="eastAsia" w:ascii="宋体" w:hAnsi="宋体" w:eastAsia="宋体" w:cs="宋体"/>
          <w:color w:val="auto"/>
          <w:spacing w:val="-6"/>
          <w:highlight w:val="none"/>
          <w:lang w:val="en-US" w:eastAsia="zh-CN"/>
        </w:rPr>
      </w:pPr>
      <w:r>
        <w:rPr>
          <w:rFonts w:hint="eastAsia" w:ascii="宋体" w:hAnsi="宋体" w:eastAsia="宋体" w:cs="宋体"/>
          <w:color w:val="auto"/>
          <w:spacing w:val="-6"/>
          <w:highlight w:val="none"/>
          <w:lang w:val="en-US" w:eastAsia="zh-CN"/>
        </w:rPr>
        <w:t>（5）低价风险担保的期限：自低价风险担保生效之日起至竣工验收合格之日止。</w:t>
      </w:r>
    </w:p>
    <w:p>
      <w:pPr>
        <w:pStyle w:val="17"/>
        <w:spacing w:line="360" w:lineRule="auto"/>
        <w:ind w:left="3" w:firstLine="396" w:firstLineChars="200"/>
        <w:rPr>
          <w:rFonts w:hint="eastAsia" w:ascii="宋体" w:hAnsi="宋体" w:eastAsia="宋体" w:cs="宋体"/>
          <w:color w:val="auto"/>
          <w:spacing w:val="-6"/>
          <w:highlight w:val="none"/>
          <w:lang w:val="en-US" w:eastAsia="zh-CN"/>
        </w:rPr>
      </w:pPr>
      <w:r>
        <w:rPr>
          <w:rFonts w:hint="eastAsia" w:ascii="宋体" w:hAnsi="宋体" w:eastAsia="宋体" w:cs="宋体"/>
          <w:color w:val="auto"/>
          <w:spacing w:val="-6"/>
          <w:highlight w:val="none"/>
          <w:lang w:val="en-US" w:eastAsia="zh-CN"/>
        </w:rPr>
        <w:t>3、低价风险担保的退还时间：采用现金担保的，工程竣工验收合格后</w:t>
      </w:r>
      <w:r>
        <w:rPr>
          <w:rFonts w:hint="eastAsia" w:ascii="宋体" w:hAnsi="宋体" w:cs="宋体"/>
          <w:color w:val="auto"/>
          <w:spacing w:val="-6"/>
          <w:highlight w:val="none"/>
          <w:lang w:val="en-US" w:eastAsia="zh-CN"/>
        </w:rPr>
        <w:t>7</w:t>
      </w:r>
      <w:r>
        <w:rPr>
          <w:rFonts w:hint="eastAsia" w:ascii="宋体" w:hAnsi="宋体" w:eastAsia="宋体" w:cs="宋体"/>
          <w:color w:val="auto"/>
          <w:spacing w:val="-6"/>
          <w:highlight w:val="none"/>
          <w:lang w:val="en-US" w:eastAsia="zh-CN"/>
        </w:rPr>
        <w:t>天内退还，合同履行期间允许承包人用符合要求的银行保函进行置换；采用银行保函的，工程竣工验收合格后</w:t>
      </w:r>
      <w:r>
        <w:rPr>
          <w:rFonts w:hint="eastAsia" w:ascii="宋体" w:hAnsi="宋体" w:cs="宋体"/>
          <w:color w:val="auto"/>
          <w:spacing w:val="-6"/>
          <w:highlight w:val="none"/>
          <w:lang w:val="en-US" w:eastAsia="zh-CN"/>
        </w:rPr>
        <w:t>7</w:t>
      </w:r>
      <w:r>
        <w:rPr>
          <w:rFonts w:hint="eastAsia" w:ascii="宋体" w:hAnsi="宋体" w:eastAsia="宋体" w:cs="宋体"/>
          <w:color w:val="auto"/>
          <w:spacing w:val="-6"/>
          <w:highlight w:val="none"/>
          <w:lang w:val="en-US" w:eastAsia="zh-CN"/>
        </w:rPr>
        <w:t>天内退还。</w:t>
      </w:r>
    </w:p>
    <w:p>
      <w:pPr>
        <w:pStyle w:val="17"/>
        <w:spacing w:line="360" w:lineRule="auto"/>
        <w:ind w:left="3" w:firstLine="396" w:firstLineChars="200"/>
        <w:rPr>
          <w:rFonts w:hint="eastAsia" w:ascii="宋体" w:hAnsi="宋体" w:eastAsia="宋体" w:cs="宋体"/>
          <w:color w:val="auto"/>
          <w:spacing w:val="-6"/>
          <w:highlight w:val="none"/>
          <w:lang w:val="en-US" w:eastAsia="zh-CN"/>
        </w:rPr>
      </w:pPr>
      <w:r>
        <w:rPr>
          <w:rFonts w:hint="eastAsia" w:ascii="宋体" w:hAnsi="宋体" w:eastAsia="宋体" w:cs="宋体"/>
          <w:color w:val="auto"/>
          <w:spacing w:val="-6"/>
          <w:highlight w:val="none"/>
          <w:lang w:val="en-US" w:eastAsia="zh-CN"/>
        </w:rPr>
        <w:t>4、拟中标人或者中标人放弃中标项目，无正当理由不与招标人签订合同，在签订合同时向招标人提出附加条件或者更改合同实质性内容，或者拒不按照招标文件规定提交低价风险担保或履约担保的，取消其中标资格，投标保证金不予退还，给招标人造成的损失超过投标保证金数额的，拟中标人或中标人应对超过部分予以赔偿。</w:t>
      </w:r>
    </w:p>
    <w:p>
      <w:pPr>
        <w:pStyle w:val="17"/>
        <w:spacing w:line="360" w:lineRule="auto"/>
        <w:ind w:left="3" w:firstLine="396" w:firstLineChars="200"/>
        <w:rPr>
          <w:rFonts w:hint="eastAsia" w:ascii="宋体" w:hAnsi="宋体" w:eastAsia="宋体" w:cs="宋体"/>
          <w:color w:val="auto"/>
          <w:spacing w:val="-6"/>
          <w:highlight w:val="none"/>
          <w:lang w:val="en-US" w:eastAsia="zh-CN"/>
        </w:rPr>
      </w:pPr>
      <w:r>
        <w:rPr>
          <w:rFonts w:hint="eastAsia" w:ascii="宋体" w:hAnsi="宋体" w:eastAsia="宋体" w:cs="宋体"/>
          <w:color w:val="auto"/>
          <w:spacing w:val="-6"/>
          <w:highlight w:val="none"/>
          <w:lang w:val="en-US" w:eastAsia="zh-CN"/>
        </w:rPr>
        <w:t>备注：当中标人或拟中标人未按时提交低价风险担保，且属于可以延长低价风险担保提交期限的特殊情形时，经招标人同意，可适当延长低价风险担保的提交期限。</w:t>
      </w:r>
    </w:p>
    <w:p>
      <w:pPr>
        <w:pStyle w:val="17"/>
        <w:spacing w:line="360" w:lineRule="auto"/>
        <w:ind w:left="3" w:firstLine="398" w:firstLineChars="200"/>
        <w:rPr>
          <w:rFonts w:hint="default" w:ascii="宋体" w:hAnsi="宋体" w:eastAsia="宋体" w:cs="宋体"/>
          <w:b/>
          <w:bCs/>
          <w:color w:val="auto"/>
          <w:spacing w:val="-6"/>
          <w:highlight w:val="none"/>
          <w:lang w:val="en-US" w:eastAsia="zh-CN"/>
        </w:rPr>
      </w:pPr>
      <w:r>
        <w:rPr>
          <w:rFonts w:hint="eastAsia" w:ascii="宋体" w:hAnsi="宋体" w:eastAsia="宋体" w:cs="宋体"/>
          <w:b/>
          <w:bCs/>
          <w:color w:val="auto"/>
          <w:spacing w:val="-6"/>
          <w:highlight w:val="none"/>
          <w:lang w:val="en-US" w:eastAsia="zh-CN"/>
        </w:rPr>
        <w:t>十八、履约担保</w:t>
      </w:r>
    </w:p>
    <w:p>
      <w:pPr>
        <w:pStyle w:val="17"/>
        <w:spacing w:line="360" w:lineRule="auto"/>
        <w:ind w:left="3" w:firstLine="396" w:firstLineChars="200"/>
        <w:rPr>
          <w:rFonts w:hint="eastAsia" w:ascii="宋体" w:hAnsi="宋体" w:eastAsia="宋体" w:cs="宋体"/>
          <w:color w:val="auto"/>
          <w:spacing w:val="-6"/>
          <w:highlight w:val="none"/>
          <w:lang w:val="en-US" w:eastAsia="zh-CN"/>
        </w:rPr>
      </w:pPr>
      <w:r>
        <w:rPr>
          <w:rFonts w:hint="eastAsia" w:ascii="宋体" w:hAnsi="宋体" w:eastAsia="宋体" w:cs="宋体"/>
          <w:color w:val="auto"/>
          <w:spacing w:val="-6"/>
          <w:highlight w:val="none"/>
          <w:lang w:val="en-US" w:eastAsia="zh-CN"/>
        </w:rPr>
        <w:t>1、中标人是否提供履约担保：提供。</w:t>
      </w:r>
    </w:p>
    <w:p>
      <w:pPr>
        <w:pStyle w:val="17"/>
        <w:spacing w:line="360" w:lineRule="auto"/>
        <w:ind w:left="3" w:firstLine="396" w:firstLineChars="200"/>
        <w:rPr>
          <w:rFonts w:hint="eastAsia" w:ascii="宋体" w:hAnsi="宋体" w:eastAsia="宋体" w:cs="宋体"/>
          <w:color w:val="auto"/>
          <w:spacing w:val="-6"/>
          <w:highlight w:val="none"/>
          <w:lang w:val="en-US" w:eastAsia="zh-CN"/>
        </w:rPr>
      </w:pPr>
      <w:r>
        <w:rPr>
          <w:rFonts w:hint="eastAsia" w:ascii="宋体" w:hAnsi="宋体" w:eastAsia="宋体" w:cs="宋体"/>
          <w:color w:val="auto"/>
          <w:spacing w:val="-6"/>
          <w:highlight w:val="none"/>
          <w:lang w:val="en-US" w:eastAsia="zh-CN"/>
        </w:rPr>
        <w:t>2、中标人提供履约担保的形式、金额及期限：</w:t>
      </w:r>
    </w:p>
    <w:p>
      <w:pPr>
        <w:pStyle w:val="17"/>
        <w:spacing w:line="360" w:lineRule="auto"/>
        <w:ind w:left="3" w:firstLine="396" w:firstLineChars="200"/>
        <w:rPr>
          <w:rFonts w:hint="eastAsia" w:ascii="宋体" w:hAnsi="宋体" w:eastAsia="宋体" w:cs="宋体"/>
          <w:color w:val="auto"/>
          <w:spacing w:val="-6"/>
          <w:highlight w:val="none"/>
          <w:lang w:val="en-US" w:eastAsia="zh-CN"/>
        </w:rPr>
      </w:pPr>
      <w:r>
        <w:rPr>
          <w:rFonts w:hint="eastAsia" w:ascii="宋体" w:hAnsi="宋体" w:eastAsia="宋体" w:cs="宋体"/>
          <w:color w:val="auto"/>
          <w:spacing w:val="-6"/>
          <w:highlight w:val="none"/>
          <w:lang w:val="en-US" w:eastAsia="zh-CN"/>
        </w:rPr>
        <w:t>（1）履约担保的形式：现金或履约保函或现金+履约保函的组合，履约保函包括银行保函、保证保险和担保保函。</w:t>
      </w:r>
    </w:p>
    <w:p>
      <w:pPr>
        <w:pStyle w:val="17"/>
        <w:spacing w:line="360" w:lineRule="auto"/>
        <w:ind w:left="3" w:firstLine="396" w:firstLineChars="200"/>
        <w:rPr>
          <w:rFonts w:hint="default" w:ascii="宋体" w:hAnsi="宋体" w:eastAsia="宋体" w:cs="宋体"/>
          <w:color w:val="auto"/>
          <w:spacing w:val="-6"/>
          <w:highlight w:val="none"/>
          <w:lang w:val="en-US" w:eastAsia="zh-CN"/>
        </w:rPr>
      </w:pPr>
      <w:r>
        <w:rPr>
          <w:rFonts w:hint="eastAsia" w:ascii="宋体" w:hAnsi="宋体" w:eastAsia="宋体" w:cs="宋体"/>
          <w:color w:val="auto"/>
          <w:spacing w:val="-6"/>
          <w:highlight w:val="none"/>
          <w:lang w:val="en-US" w:eastAsia="zh-CN"/>
        </w:rPr>
        <w:t>（2）具体要求：履约保函的开立人应当是具有相应资格的银行、保险机构、融资担保公司，其信用资质、履约能力、担保能力、赔付流程、安全保密等应符合履约保函业务条件。履约保函应合法合规，符合招投标行政监督部门、行业主管部门和金融监管部门的相关规定，满足招标文件约定要求。中标人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中标人对所提交的履约保函的真实性、合法性、有效性负责。</w:t>
      </w:r>
    </w:p>
    <w:p>
      <w:pPr>
        <w:pStyle w:val="17"/>
        <w:spacing w:line="360" w:lineRule="auto"/>
        <w:ind w:left="3" w:firstLine="396" w:firstLineChars="200"/>
        <w:rPr>
          <w:rFonts w:hint="eastAsia" w:ascii="宋体" w:hAnsi="宋体" w:eastAsia="宋体" w:cs="宋体"/>
          <w:color w:val="auto"/>
          <w:spacing w:val="-6"/>
          <w:highlight w:val="none"/>
          <w:lang w:val="en-US" w:eastAsia="zh-CN"/>
        </w:rPr>
      </w:pPr>
      <w:r>
        <w:rPr>
          <w:rFonts w:hint="eastAsia" w:ascii="宋体" w:hAnsi="宋体" w:eastAsia="宋体" w:cs="宋体"/>
          <w:color w:val="auto"/>
          <w:spacing w:val="-6"/>
          <w:highlight w:val="none"/>
          <w:lang w:val="en-US" w:eastAsia="zh-CN"/>
        </w:rPr>
        <w:t>（3）履约担保的金额：中标合同金额的10%。</w:t>
      </w:r>
    </w:p>
    <w:p>
      <w:pPr>
        <w:pStyle w:val="17"/>
        <w:spacing w:line="360" w:lineRule="auto"/>
        <w:ind w:left="3" w:firstLine="396" w:firstLineChars="200"/>
        <w:rPr>
          <w:rFonts w:hint="eastAsia" w:ascii="宋体" w:hAnsi="宋体" w:eastAsia="宋体" w:cs="宋体"/>
          <w:color w:val="auto"/>
          <w:spacing w:val="-6"/>
          <w:highlight w:val="none"/>
          <w:lang w:val="en-US" w:eastAsia="zh-CN"/>
        </w:rPr>
      </w:pPr>
      <w:r>
        <w:rPr>
          <w:rFonts w:hint="eastAsia" w:ascii="宋体" w:hAnsi="宋体" w:eastAsia="宋体" w:cs="宋体"/>
          <w:color w:val="auto"/>
          <w:spacing w:val="-6"/>
          <w:highlight w:val="none"/>
          <w:lang w:val="en-US" w:eastAsia="zh-CN"/>
        </w:rPr>
        <w:t>（4）履约担保的提交时间：合同签订前。</w:t>
      </w:r>
    </w:p>
    <w:p>
      <w:pPr>
        <w:pStyle w:val="17"/>
        <w:spacing w:line="360" w:lineRule="auto"/>
        <w:ind w:left="3" w:firstLine="396" w:firstLineChars="200"/>
        <w:rPr>
          <w:rFonts w:hint="eastAsia" w:ascii="宋体" w:hAnsi="宋体" w:eastAsia="宋体" w:cs="宋体"/>
          <w:color w:val="auto"/>
          <w:spacing w:val="-6"/>
          <w:highlight w:val="none"/>
          <w:lang w:val="en-US" w:eastAsia="zh-CN"/>
        </w:rPr>
      </w:pPr>
      <w:r>
        <w:rPr>
          <w:rFonts w:hint="eastAsia" w:ascii="宋体" w:hAnsi="宋体" w:eastAsia="宋体" w:cs="宋体"/>
          <w:color w:val="auto"/>
          <w:spacing w:val="-6"/>
          <w:highlight w:val="none"/>
          <w:lang w:val="en-US" w:eastAsia="zh-CN"/>
        </w:rPr>
        <w:t>（5）履约担保的期限：自承包人法定代表人（或其委托代理人）签名并加盖单位公章之日起至发包人签发工程竣工报告之日止。</w:t>
      </w:r>
    </w:p>
    <w:p>
      <w:pPr>
        <w:pStyle w:val="17"/>
        <w:spacing w:line="360" w:lineRule="auto"/>
        <w:ind w:left="3" w:firstLine="396" w:firstLineChars="200"/>
        <w:rPr>
          <w:rFonts w:hint="eastAsia" w:ascii="宋体" w:hAnsi="宋体" w:eastAsia="宋体" w:cs="宋体"/>
          <w:color w:val="auto"/>
          <w:spacing w:val="-6"/>
          <w:highlight w:val="none"/>
          <w:lang w:val="en-US" w:eastAsia="zh-CN"/>
        </w:rPr>
      </w:pPr>
      <w:r>
        <w:rPr>
          <w:rFonts w:hint="eastAsia" w:ascii="宋体" w:hAnsi="宋体" w:eastAsia="宋体" w:cs="宋体"/>
          <w:color w:val="auto"/>
          <w:spacing w:val="-6"/>
          <w:highlight w:val="none"/>
          <w:lang w:val="en-US" w:eastAsia="zh-CN"/>
        </w:rPr>
        <w:t>（6）履约担保的退还时间：采用现金担保的，工程竣工验收合格后</w:t>
      </w:r>
      <w:r>
        <w:rPr>
          <w:rFonts w:hint="eastAsia" w:ascii="宋体" w:hAnsi="宋体" w:cs="宋体"/>
          <w:color w:val="auto"/>
          <w:spacing w:val="-6"/>
          <w:highlight w:val="none"/>
          <w:lang w:val="en-US" w:eastAsia="zh-CN"/>
        </w:rPr>
        <w:t>7天</w:t>
      </w:r>
      <w:r>
        <w:rPr>
          <w:rFonts w:hint="eastAsia" w:ascii="宋体" w:hAnsi="宋体" w:eastAsia="宋体" w:cs="宋体"/>
          <w:color w:val="auto"/>
          <w:spacing w:val="-6"/>
          <w:highlight w:val="none"/>
          <w:lang w:val="en-US" w:eastAsia="zh-CN"/>
        </w:rPr>
        <w:t>内退还；采用履约保函的，工程竣工验收合格后一个月内退还。</w:t>
      </w:r>
    </w:p>
    <w:p>
      <w:pPr>
        <w:pStyle w:val="5"/>
        <w:keepNext/>
        <w:keepLines/>
        <w:spacing w:before="120" w:after="120" w:line="360" w:lineRule="auto"/>
        <w:ind w:firstLine="422" w:firstLineChars="200"/>
        <w:jc w:val="both"/>
        <w:rPr>
          <w:kern w:val="2"/>
          <w:sz w:val="21"/>
          <w:szCs w:val="21"/>
        </w:rPr>
      </w:pPr>
      <w:r>
        <w:rPr>
          <w:rFonts w:hint="eastAsia"/>
          <w:kern w:val="2"/>
          <w:sz w:val="21"/>
          <w:szCs w:val="21"/>
          <w:lang w:val="en-US" w:eastAsia="zh-CN"/>
        </w:rPr>
        <w:t>十九</w:t>
      </w:r>
      <w:r>
        <w:rPr>
          <w:rFonts w:hint="eastAsia"/>
          <w:kern w:val="2"/>
          <w:sz w:val="21"/>
          <w:szCs w:val="21"/>
        </w:rPr>
        <w:t>、签订时间</w:t>
      </w:r>
      <w:bookmarkEnd w:id="641"/>
      <w:bookmarkEnd w:id="642"/>
    </w:p>
    <w:p>
      <w:pPr>
        <w:spacing w:line="360" w:lineRule="auto"/>
        <w:ind w:firstLine="420" w:firstLineChars="200"/>
        <w:rPr>
          <w:rFonts w:hint="eastAsia" w:ascii="宋体" w:hAnsi="宋体" w:eastAsia="宋体"/>
          <w:szCs w:val="21"/>
          <w:lang w:eastAsia="zh-CN"/>
        </w:rPr>
      </w:pPr>
      <w:r>
        <w:rPr>
          <w:rFonts w:hint="eastAsia" w:ascii="宋体" w:hAnsi="宋体"/>
          <w:bCs/>
          <w:szCs w:val="21"/>
        </w:rPr>
        <w:t>合同于</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年</w:t>
      </w:r>
      <w:r>
        <w:rPr>
          <w:rFonts w:hint="eastAsia" w:ascii="宋体" w:hAnsi="宋体"/>
          <w:bCs/>
          <w:szCs w:val="21"/>
          <w:u w:val="single"/>
        </w:rPr>
        <w:t xml:space="preserve">    </w:t>
      </w:r>
      <w:r>
        <w:rPr>
          <w:rFonts w:hint="eastAsia" w:ascii="宋体" w:hAnsi="宋体"/>
          <w:bCs/>
          <w:szCs w:val="21"/>
        </w:rPr>
        <w:t>月</w:t>
      </w:r>
      <w:r>
        <w:rPr>
          <w:rFonts w:hint="eastAsia" w:ascii="宋体" w:hAnsi="宋体"/>
          <w:bCs/>
          <w:szCs w:val="21"/>
          <w:u w:val="single"/>
        </w:rPr>
        <w:t xml:space="preserve">    </w:t>
      </w:r>
      <w:r>
        <w:rPr>
          <w:rFonts w:hint="eastAsia" w:ascii="宋体" w:hAnsi="宋体"/>
          <w:bCs/>
          <w:szCs w:val="21"/>
        </w:rPr>
        <w:t>日签订</w:t>
      </w:r>
      <w:r>
        <w:rPr>
          <w:rFonts w:hint="eastAsia" w:ascii="宋体" w:hAnsi="宋体"/>
          <w:bCs/>
          <w:szCs w:val="21"/>
          <w:lang w:eastAsia="zh-CN"/>
        </w:rPr>
        <w:t>。</w:t>
      </w:r>
    </w:p>
    <w:p>
      <w:pPr>
        <w:pStyle w:val="5"/>
        <w:keepNext/>
        <w:keepLines/>
        <w:spacing w:before="120" w:after="120" w:line="360" w:lineRule="auto"/>
        <w:ind w:firstLine="422" w:firstLineChars="200"/>
        <w:jc w:val="both"/>
        <w:rPr>
          <w:kern w:val="2"/>
          <w:sz w:val="21"/>
          <w:szCs w:val="21"/>
        </w:rPr>
      </w:pPr>
      <w:bookmarkStart w:id="643" w:name="_Toc351203489"/>
      <w:bookmarkStart w:id="644" w:name="_Toc532377175"/>
      <w:bookmarkStart w:id="645" w:name="_Toc532375582"/>
      <w:r>
        <w:rPr>
          <w:rFonts w:hint="eastAsia"/>
          <w:kern w:val="2"/>
          <w:sz w:val="21"/>
          <w:szCs w:val="21"/>
          <w:lang w:val="en-US" w:eastAsia="zh-CN"/>
        </w:rPr>
        <w:t>二十</w:t>
      </w:r>
      <w:r>
        <w:rPr>
          <w:rFonts w:hint="eastAsia"/>
          <w:kern w:val="2"/>
          <w:sz w:val="21"/>
          <w:szCs w:val="21"/>
        </w:rPr>
        <w:t>、</w:t>
      </w:r>
      <w:bookmarkEnd w:id="643"/>
      <w:bookmarkStart w:id="646" w:name="_Toc351203490"/>
      <w:r>
        <w:rPr>
          <w:rFonts w:hint="eastAsia"/>
          <w:kern w:val="2"/>
          <w:sz w:val="21"/>
          <w:szCs w:val="21"/>
        </w:rPr>
        <w:t>签订地点</w:t>
      </w:r>
      <w:bookmarkEnd w:id="644"/>
      <w:bookmarkEnd w:id="645"/>
      <w:bookmarkEnd w:id="646"/>
    </w:p>
    <w:p>
      <w:pPr>
        <w:spacing w:line="360"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合同在</w:t>
      </w:r>
      <w:r>
        <w:rPr>
          <w:rFonts w:hint="eastAsia" w:ascii="宋体" w:hAnsi="宋体" w:eastAsia="宋体" w:cs="Times New Roman"/>
          <w:bCs/>
          <w:szCs w:val="21"/>
          <w:u w:val="single"/>
        </w:rPr>
        <w:t xml:space="preserve">        </w:t>
      </w:r>
      <w:r>
        <w:rPr>
          <w:rFonts w:hint="eastAsia" w:ascii="宋体" w:hAnsi="宋体" w:cs="Times New Roman"/>
          <w:bCs/>
          <w:szCs w:val="21"/>
          <w:u w:val="single"/>
          <w:lang w:val="en-US" w:eastAsia="zh-CN"/>
        </w:rPr>
        <w:t xml:space="preserve">                 </w:t>
      </w:r>
      <w:r>
        <w:rPr>
          <w:rFonts w:hint="eastAsia" w:ascii="宋体" w:hAnsi="宋体" w:eastAsia="宋体" w:cs="Times New Roman"/>
          <w:bCs/>
          <w:szCs w:val="21"/>
        </w:rPr>
        <w:t>签订。</w:t>
      </w:r>
    </w:p>
    <w:p>
      <w:pPr>
        <w:pStyle w:val="5"/>
        <w:keepNext/>
        <w:keepLines/>
        <w:spacing w:before="120" w:after="120" w:line="360" w:lineRule="auto"/>
        <w:ind w:firstLine="422" w:firstLineChars="200"/>
        <w:jc w:val="both"/>
        <w:rPr>
          <w:kern w:val="2"/>
          <w:sz w:val="21"/>
          <w:szCs w:val="21"/>
        </w:rPr>
      </w:pPr>
      <w:r>
        <w:rPr>
          <w:rFonts w:hint="eastAsia"/>
          <w:kern w:val="2"/>
          <w:sz w:val="21"/>
          <w:szCs w:val="21"/>
          <w:lang w:val="en-US" w:eastAsia="zh-CN"/>
        </w:rPr>
        <w:t>二十一</w:t>
      </w:r>
      <w:r>
        <w:rPr>
          <w:rFonts w:hint="eastAsia"/>
          <w:kern w:val="2"/>
          <w:sz w:val="21"/>
          <w:szCs w:val="21"/>
        </w:rPr>
        <w:t>、补充协议</w:t>
      </w:r>
      <w:bookmarkEnd w:id="637"/>
      <w:bookmarkEnd w:id="638"/>
      <w:bookmarkEnd w:id="639"/>
    </w:p>
    <w:p>
      <w:pPr>
        <w:spacing w:line="360" w:lineRule="auto"/>
        <w:ind w:firstLine="420" w:firstLineChars="200"/>
        <w:rPr>
          <w:rFonts w:ascii="宋体" w:hAnsi="宋体"/>
          <w:b/>
          <w:bCs/>
          <w:szCs w:val="21"/>
        </w:rPr>
      </w:pPr>
      <w:r>
        <w:rPr>
          <w:rFonts w:hint="eastAsia" w:ascii="宋体" w:hAnsi="宋体"/>
          <w:bCs/>
          <w:szCs w:val="21"/>
        </w:rPr>
        <w:t>合同未尽事宜，合同当事人另行签订补充协议，补充协议是合同的组成部分。</w:t>
      </w:r>
    </w:p>
    <w:p>
      <w:pPr>
        <w:pStyle w:val="5"/>
        <w:keepNext/>
        <w:keepLines/>
        <w:spacing w:before="120" w:after="120" w:line="360" w:lineRule="auto"/>
        <w:ind w:firstLine="422" w:firstLineChars="200"/>
        <w:jc w:val="both"/>
        <w:rPr>
          <w:kern w:val="2"/>
          <w:sz w:val="21"/>
          <w:szCs w:val="21"/>
        </w:rPr>
      </w:pPr>
      <w:bookmarkStart w:id="647" w:name="_Toc532377177"/>
      <w:bookmarkStart w:id="648" w:name="_Toc351203492"/>
      <w:bookmarkStart w:id="649" w:name="_Toc532375584"/>
      <w:r>
        <w:rPr>
          <w:rFonts w:hint="eastAsia"/>
          <w:kern w:val="2"/>
          <w:sz w:val="21"/>
          <w:szCs w:val="21"/>
          <w:lang w:val="en-US" w:eastAsia="zh-CN"/>
        </w:rPr>
        <w:t>二十二</w:t>
      </w:r>
      <w:r>
        <w:rPr>
          <w:rFonts w:hint="eastAsia"/>
          <w:kern w:val="2"/>
          <w:sz w:val="21"/>
          <w:szCs w:val="21"/>
        </w:rPr>
        <w:t>、合同生效</w:t>
      </w:r>
      <w:bookmarkEnd w:id="647"/>
      <w:bookmarkEnd w:id="648"/>
      <w:bookmarkEnd w:id="649"/>
    </w:p>
    <w:p>
      <w:pPr>
        <w:spacing w:line="360" w:lineRule="auto"/>
        <w:ind w:firstLine="420" w:firstLineChars="200"/>
        <w:rPr>
          <w:rFonts w:ascii="宋体" w:hAnsi="宋体"/>
          <w:bCs/>
          <w:szCs w:val="21"/>
        </w:rPr>
      </w:pPr>
      <w:r>
        <w:rPr>
          <w:rFonts w:hint="eastAsia" w:ascii="宋体" w:hAnsi="宋体"/>
          <w:bCs/>
          <w:szCs w:val="21"/>
        </w:rPr>
        <w:t>合同在以下条件全部满足之后生效：</w:t>
      </w:r>
    </w:p>
    <w:p>
      <w:pPr>
        <w:spacing w:line="360" w:lineRule="auto"/>
        <w:ind w:firstLine="420" w:firstLineChars="200"/>
        <w:rPr>
          <w:rFonts w:ascii="宋体" w:hAnsi="宋体"/>
          <w:szCs w:val="21"/>
        </w:rPr>
      </w:pPr>
      <w:r>
        <w:rPr>
          <w:rFonts w:hint="eastAsia" w:ascii="宋体" w:hAnsi="宋体"/>
          <w:bCs/>
          <w:szCs w:val="21"/>
        </w:rPr>
        <w:t>合同</w:t>
      </w:r>
      <w:r>
        <w:rPr>
          <w:rFonts w:hint="eastAsia" w:ascii="宋体" w:hAnsi="宋体"/>
          <w:szCs w:val="21"/>
        </w:rPr>
        <w:t>经双方法定代表人或其委托代理人签名并加盖</w:t>
      </w:r>
      <w:r>
        <w:rPr>
          <w:rFonts w:hint="eastAsia" w:ascii="宋体" w:hAnsi="宋体"/>
          <w:szCs w:val="21"/>
          <w:lang w:val="en-US" w:eastAsia="zh-CN"/>
        </w:rPr>
        <w:t>单位</w:t>
      </w:r>
      <w:r>
        <w:rPr>
          <w:rFonts w:hint="eastAsia" w:ascii="宋体" w:hAnsi="宋体"/>
          <w:snapToGrid w:val="0"/>
          <w:kern w:val="0"/>
          <w:szCs w:val="21"/>
        </w:rPr>
        <w:t>公章或合同专用章</w:t>
      </w:r>
      <w:r>
        <w:rPr>
          <w:rFonts w:hint="eastAsia" w:ascii="宋体" w:hAnsi="宋体"/>
          <w:szCs w:val="21"/>
        </w:rPr>
        <w:t>；</w:t>
      </w:r>
    </w:p>
    <w:p>
      <w:pPr>
        <w:pStyle w:val="5"/>
        <w:keepNext/>
        <w:keepLines/>
        <w:spacing w:before="120" w:after="120" w:line="360" w:lineRule="auto"/>
        <w:ind w:firstLine="422" w:firstLineChars="200"/>
        <w:jc w:val="both"/>
        <w:rPr>
          <w:kern w:val="2"/>
          <w:sz w:val="21"/>
          <w:szCs w:val="21"/>
        </w:rPr>
      </w:pPr>
      <w:bookmarkStart w:id="650" w:name="_Toc351203493"/>
      <w:bookmarkStart w:id="651" w:name="_Toc532377178"/>
      <w:bookmarkStart w:id="652" w:name="_Toc532375585"/>
      <w:r>
        <w:rPr>
          <w:rFonts w:hint="eastAsia"/>
          <w:kern w:val="2"/>
          <w:sz w:val="21"/>
          <w:szCs w:val="21"/>
          <w:lang w:val="en-US" w:eastAsia="zh-CN"/>
        </w:rPr>
        <w:t>二十三</w:t>
      </w:r>
      <w:r>
        <w:rPr>
          <w:rFonts w:hint="eastAsia"/>
          <w:kern w:val="2"/>
          <w:sz w:val="21"/>
          <w:szCs w:val="21"/>
        </w:rPr>
        <w:t>、合同份数</w:t>
      </w:r>
      <w:bookmarkEnd w:id="650"/>
      <w:bookmarkEnd w:id="651"/>
      <w:bookmarkEnd w:id="652"/>
    </w:p>
    <w:p>
      <w:pPr>
        <w:spacing w:line="360" w:lineRule="auto"/>
        <w:ind w:firstLine="420" w:firstLineChars="200"/>
        <w:rPr>
          <w:rFonts w:hint="eastAsia" w:ascii="宋体" w:hAnsi="宋体"/>
          <w:bCs/>
          <w:szCs w:val="21"/>
        </w:rPr>
      </w:pPr>
      <w:r>
        <w:rPr>
          <w:rFonts w:hint="eastAsia" w:ascii="宋体" w:hAnsi="宋体" w:cs="Microsoft Sans Serif"/>
          <w:bCs/>
          <w:szCs w:val="21"/>
        </w:rPr>
        <w:t>本合同一式伍份，甲方执肆份，乙方执壹份，具同等法律效力</w:t>
      </w:r>
      <w:r>
        <w:rPr>
          <w:rFonts w:hint="eastAsia" w:ascii="宋体" w:hAnsi="宋体"/>
          <w:bCs/>
          <w:szCs w:val="21"/>
        </w:rPr>
        <w:t>。</w:t>
      </w:r>
    </w:p>
    <w:p>
      <w:pPr>
        <w:spacing w:line="360" w:lineRule="auto"/>
        <w:ind w:firstLine="420" w:firstLineChars="200"/>
        <w:rPr>
          <w:rFonts w:hint="eastAsia" w:ascii="宋体" w:hAnsi="宋体"/>
          <w:bCs/>
          <w:szCs w:val="21"/>
        </w:rPr>
      </w:pPr>
      <w:r>
        <w:rPr>
          <w:rFonts w:hint="eastAsia" w:ascii="宋体" w:hAnsi="宋体"/>
          <w:bCs/>
          <w:szCs w:val="21"/>
        </w:rPr>
        <w:t>（以下为签名盖章页）。</w:t>
      </w:r>
    </w:p>
    <w:p>
      <w:pPr>
        <w:adjustRightInd/>
        <w:spacing w:line="240" w:lineRule="auto"/>
        <w:ind w:firstLine="0" w:firstLineChars="0"/>
        <w:rPr>
          <w:rFonts w:ascii="宋体" w:hAnsi="宋体"/>
          <w:snapToGrid w:val="0"/>
          <w:kern w:val="0"/>
          <w:szCs w:val="21"/>
        </w:rPr>
      </w:pPr>
      <w:bookmarkStart w:id="653" w:name="_Toc467689623"/>
    </w:p>
    <w:p>
      <w:pPr>
        <w:adjustRightInd w:val="0"/>
        <w:spacing w:line="360" w:lineRule="auto"/>
        <w:ind w:firstLine="420" w:firstLineChars="200"/>
        <w:rPr>
          <w:rFonts w:ascii="宋体" w:hAnsi="宋体"/>
          <w:snapToGrid w:val="0"/>
          <w:kern w:val="0"/>
          <w:szCs w:val="21"/>
        </w:rPr>
      </w:pPr>
      <w:r>
        <w:rPr>
          <w:rFonts w:ascii="宋体" w:hAnsi="宋体"/>
          <w:snapToGrid w:val="0"/>
          <w:kern w:val="0"/>
          <w:szCs w:val="21"/>
        </w:rPr>
        <w:t>发包人：</w:t>
      </w:r>
      <w:r>
        <w:rPr>
          <w:rFonts w:ascii="宋体" w:hAnsi="宋体"/>
          <w:snapToGrid w:val="0"/>
          <w:kern w:val="0"/>
          <w:szCs w:val="21"/>
          <w:u w:val="single"/>
        </w:rPr>
        <w:t xml:space="preserve">   </w:t>
      </w:r>
      <w:r>
        <w:rPr>
          <w:rFonts w:hint="eastAsia" w:ascii="宋体" w:hAnsi="宋体"/>
          <w:snapToGrid w:val="0"/>
          <w:kern w:val="0"/>
          <w:szCs w:val="21"/>
          <w:u w:val="single"/>
        </w:rPr>
        <w:t xml:space="preserve">重庆长安智慧城市运营管理有限公司   </w:t>
      </w:r>
      <w:r>
        <w:rPr>
          <w:rFonts w:hint="eastAsia" w:ascii="宋体" w:hAnsi="宋体"/>
          <w:snapToGrid w:val="0"/>
          <w:kern w:val="0"/>
          <w:szCs w:val="21"/>
          <w:u w:val="single"/>
          <w:lang w:val="en-US" w:eastAsia="zh-CN"/>
        </w:rPr>
        <w:t xml:space="preserve">  </w:t>
      </w:r>
      <w:r>
        <w:rPr>
          <w:rFonts w:ascii="宋体" w:hAnsi="宋体"/>
          <w:snapToGrid w:val="0"/>
          <w:kern w:val="0"/>
          <w:szCs w:val="21"/>
        </w:rPr>
        <w:t>（</w:t>
      </w:r>
      <w:r>
        <w:rPr>
          <w:rFonts w:hint="eastAsia" w:ascii="宋体" w:hAnsi="宋体"/>
          <w:snapToGrid w:val="0"/>
          <w:kern w:val="0"/>
          <w:szCs w:val="21"/>
          <w:lang w:val="en-US" w:eastAsia="zh-CN"/>
        </w:rPr>
        <w:t>盖单位</w:t>
      </w:r>
      <w:r>
        <w:rPr>
          <w:rFonts w:ascii="宋体" w:hAnsi="宋体"/>
          <w:snapToGrid w:val="0"/>
          <w:kern w:val="0"/>
          <w:szCs w:val="21"/>
        </w:rPr>
        <w:t>公章</w:t>
      </w:r>
      <w:r>
        <w:rPr>
          <w:rFonts w:hint="eastAsia" w:ascii="宋体" w:hAnsi="宋体"/>
          <w:snapToGrid w:val="0"/>
          <w:kern w:val="0"/>
          <w:szCs w:val="21"/>
        </w:rPr>
        <w:t>或合同专用章</w:t>
      </w:r>
      <w:r>
        <w:rPr>
          <w:rFonts w:ascii="宋体" w:hAnsi="宋体"/>
          <w:snapToGrid w:val="0"/>
          <w:kern w:val="0"/>
          <w:szCs w:val="21"/>
        </w:rPr>
        <w:t>）</w:t>
      </w:r>
    </w:p>
    <w:p>
      <w:pPr>
        <w:spacing w:line="360" w:lineRule="auto"/>
        <w:ind w:firstLine="420" w:firstLineChars="20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lang w:val="en-US" w:eastAsia="zh-CN"/>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w:t>
      </w:r>
    </w:p>
    <w:p>
      <w:pPr>
        <w:spacing w:line="360" w:lineRule="auto"/>
        <w:ind w:firstLine="420" w:firstLineChars="200"/>
        <w:rPr>
          <w:rFonts w:ascii="宋体" w:hAnsi="宋体"/>
          <w:snapToGrid w:val="0"/>
          <w:kern w:val="0"/>
          <w:szCs w:val="21"/>
        </w:rPr>
      </w:pPr>
      <w:r>
        <w:rPr>
          <w:rFonts w:hint="eastAsia" w:ascii="宋体" w:hAnsi="宋体"/>
          <w:snapToGrid w:val="0"/>
          <w:kern w:val="0"/>
          <w:szCs w:val="21"/>
        </w:rPr>
        <w:t>统一社会信用代码：</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lang w:val="en-US" w:eastAsia="zh-CN"/>
        </w:rPr>
        <w:t>91500105202810810G</w:t>
      </w:r>
      <w:r>
        <w:rPr>
          <w:rFonts w:ascii="宋体" w:hAnsi="宋体"/>
          <w:snapToGrid w:val="0"/>
          <w:kern w:val="0"/>
          <w:szCs w:val="21"/>
          <w:u w:val="single"/>
        </w:rPr>
        <w:t xml:space="preserve">      </w:t>
      </w:r>
      <w:r>
        <w:rPr>
          <w:rFonts w:hint="eastAsia" w:ascii="宋体" w:hAnsi="宋体"/>
          <w:snapToGrid w:val="0"/>
          <w:kern w:val="0"/>
          <w:szCs w:val="21"/>
          <w:u w:val="single"/>
          <w:lang w:val="en-US" w:eastAsia="zh-CN"/>
        </w:rPr>
        <w:t xml:space="preserve">  </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地    址：</w:t>
      </w:r>
      <w:r>
        <w:rPr>
          <w:rFonts w:ascii="宋体" w:hAnsi="宋体"/>
          <w:snapToGrid w:val="0"/>
          <w:kern w:val="0"/>
          <w:szCs w:val="21"/>
          <w:u w:val="single"/>
        </w:rPr>
        <w:t xml:space="preserve"> </w:t>
      </w:r>
      <w:r>
        <w:rPr>
          <w:rFonts w:hint="eastAsia" w:ascii="宋体" w:hAnsi="宋体"/>
          <w:snapToGrid w:val="0"/>
          <w:kern w:val="0"/>
          <w:szCs w:val="21"/>
          <w:u w:val="single"/>
          <w:lang w:val="en-US" w:eastAsia="zh-CN"/>
        </w:rPr>
        <w:t>重庆市江北区建新东路51号附10号</w:t>
      </w:r>
      <w:r>
        <w:rPr>
          <w:rFonts w:ascii="宋体" w:hAnsi="宋体"/>
          <w:snapToGrid w:val="0"/>
          <w:kern w:val="0"/>
          <w:szCs w:val="21"/>
          <w:u w:val="single"/>
        </w:rPr>
        <w:t xml:space="preserve">   </w:t>
      </w:r>
      <w:r>
        <w:rPr>
          <w:rFonts w:hint="eastAsia" w:ascii="宋体" w:hAnsi="宋体"/>
          <w:snapToGrid w:val="0"/>
          <w:kern w:val="0"/>
          <w:szCs w:val="21"/>
          <w:u w:val="single"/>
          <w:lang w:val="en-US" w:eastAsia="zh-CN"/>
        </w:rPr>
        <w:t xml:space="preserve">  </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电    话：</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lang w:val="en-US" w:eastAsia="zh-CN"/>
        </w:rPr>
        <w:t>023-67591771</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 xml:space="preserve">  </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开户银行：</w:t>
      </w:r>
      <w:r>
        <w:rPr>
          <w:rFonts w:ascii="宋体" w:hAnsi="宋体"/>
          <w:snapToGrid w:val="0"/>
          <w:kern w:val="0"/>
          <w:szCs w:val="21"/>
          <w:u w:val="single"/>
        </w:rPr>
        <w:t xml:space="preserve">  </w:t>
      </w:r>
      <w:r>
        <w:rPr>
          <w:rFonts w:hint="eastAsia" w:ascii="宋体" w:hAnsi="宋体"/>
          <w:snapToGrid w:val="0"/>
          <w:kern w:val="0"/>
          <w:szCs w:val="21"/>
          <w:u w:val="single"/>
          <w:lang w:val="en-US" w:eastAsia="zh-CN"/>
        </w:rPr>
        <w:t>中国建设银行重庆江北鲤鱼池支行</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 xml:space="preserve">  </w:t>
      </w:r>
    </w:p>
    <w:p>
      <w:pPr>
        <w:spacing w:line="360" w:lineRule="auto"/>
        <w:ind w:firstLine="420" w:firstLineChars="200"/>
        <w:rPr>
          <w:rFonts w:ascii="宋体" w:hAnsi="宋体"/>
          <w:szCs w:val="21"/>
        </w:rPr>
      </w:pPr>
      <w:r>
        <w:rPr>
          <w:rFonts w:hint="eastAsia" w:ascii="宋体" w:hAnsi="宋体"/>
          <w:snapToGrid w:val="0"/>
          <w:kern w:val="0"/>
          <w:szCs w:val="21"/>
        </w:rPr>
        <w:t>账    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lang w:val="en-US" w:eastAsia="zh-CN"/>
        </w:rPr>
        <w:t>50001063800050201994</w:t>
      </w:r>
      <w:r>
        <w:rPr>
          <w:rFonts w:ascii="宋体" w:hAnsi="宋体"/>
          <w:snapToGrid w:val="0"/>
          <w:kern w:val="0"/>
          <w:szCs w:val="21"/>
          <w:u w:val="single"/>
        </w:rPr>
        <w:t xml:space="preserve">            </w:t>
      </w:r>
      <w:r>
        <w:rPr>
          <w:rFonts w:hint="eastAsia" w:ascii="宋体" w:hAnsi="宋体"/>
          <w:snapToGrid w:val="0"/>
          <w:kern w:val="0"/>
          <w:szCs w:val="21"/>
          <w:u w:val="single"/>
          <w:lang w:val="en-US" w:eastAsia="zh-CN"/>
        </w:rPr>
        <w:t xml:space="preserve">  </w:t>
      </w:r>
    </w:p>
    <w:p>
      <w:pPr>
        <w:spacing w:line="360" w:lineRule="auto"/>
        <w:rPr>
          <w:rFonts w:ascii="宋体" w:hAnsi="宋体"/>
          <w:snapToGrid w:val="0"/>
          <w:kern w:val="0"/>
          <w:szCs w:val="21"/>
        </w:rPr>
      </w:pPr>
    </w:p>
    <w:p>
      <w:pPr>
        <w:spacing w:line="360" w:lineRule="auto"/>
        <w:ind w:firstLine="420" w:firstLineChars="200"/>
        <w:rPr>
          <w:rFonts w:ascii="宋体" w:hAnsi="宋体"/>
          <w:szCs w:val="21"/>
        </w:rPr>
      </w:pPr>
      <w:r>
        <w:rPr>
          <w:rFonts w:ascii="宋体" w:hAnsi="宋体"/>
          <w:snapToGrid w:val="0"/>
          <w:kern w:val="0"/>
          <w:szCs w:val="21"/>
        </w:rPr>
        <w:t>承包人：</w:t>
      </w:r>
      <w:r>
        <w:rPr>
          <w:rFonts w:ascii="宋体" w:hAnsi="宋体"/>
          <w:snapToGrid w:val="0"/>
          <w:kern w:val="0"/>
          <w:szCs w:val="21"/>
          <w:u w:val="single"/>
        </w:rPr>
        <w:t xml:space="preserve">   </w:t>
      </w:r>
      <w:r>
        <w:rPr>
          <w:rFonts w:hint="eastAsia" w:ascii="宋体" w:hAnsi="宋体"/>
          <w:snapToGrid w:val="0"/>
          <w:kern w:val="0"/>
          <w:szCs w:val="21"/>
          <w:u w:val="single"/>
          <w:lang w:val="en-US" w:eastAsia="zh-CN"/>
        </w:rPr>
        <w:t xml:space="preserve">             </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 xml:space="preserve">        </w:t>
      </w:r>
      <w:r>
        <w:rPr>
          <w:rFonts w:ascii="宋体" w:hAnsi="宋体"/>
          <w:snapToGrid w:val="0"/>
          <w:kern w:val="0"/>
          <w:szCs w:val="21"/>
        </w:rPr>
        <w:t>（</w:t>
      </w:r>
      <w:r>
        <w:rPr>
          <w:rFonts w:hint="eastAsia" w:ascii="宋体" w:hAnsi="宋体"/>
          <w:snapToGrid w:val="0"/>
          <w:kern w:val="0"/>
          <w:szCs w:val="21"/>
          <w:lang w:val="en-US" w:eastAsia="zh-CN"/>
        </w:rPr>
        <w:t>盖单位</w:t>
      </w:r>
      <w:r>
        <w:rPr>
          <w:rFonts w:ascii="宋体" w:hAnsi="宋体"/>
          <w:snapToGrid w:val="0"/>
          <w:kern w:val="0"/>
          <w:szCs w:val="21"/>
        </w:rPr>
        <w:t>公章</w:t>
      </w:r>
      <w:r>
        <w:rPr>
          <w:rFonts w:hint="eastAsia" w:ascii="宋体" w:hAnsi="宋体"/>
          <w:snapToGrid w:val="0"/>
          <w:kern w:val="0"/>
          <w:szCs w:val="21"/>
        </w:rPr>
        <w:t>或合同专用章</w:t>
      </w:r>
      <w:r>
        <w:rPr>
          <w:rFonts w:ascii="宋体" w:hAnsi="宋体"/>
          <w:snapToGrid w:val="0"/>
          <w:kern w:val="0"/>
          <w:szCs w:val="21"/>
        </w:rPr>
        <w:t>）</w:t>
      </w:r>
    </w:p>
    <w:p>
      <w:pPr>
        <w:spacing w:line="360" w:lineRule="auto"/>
        <w:ind w:firstLine="420" w:firstLineChars="20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hint="eastAsia" w:ascii="宋体" w:hAnsi="宋体"/>
          <w:snapToGrid w:val="0"/>
          <w:w w:val="200"/>
          <w:kern w:val="0"/>
          <w:szCs w:val="21"/>
          <w:u w:val="single"/>
          <w:lang w:val="en-US" w:eastAsia="zh-CN"/>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w:t>
      </w:r>
    </w:p>
    <w:p>
      <w:pPr>
        <w:spacing w:line="360" w:lineRule="auto"/>
        <w:ind w:firstLine="420" w:firstLineChars="200"/>
        <w:rPr>
          <w:rFonts w:hint="default" w:ascii="宋体" w:hAnsi="宋体" w:eastAsia="宋体"/>
          <w:snapToGrid w:val="0"/>
          <w:kern w:val="0"/>
          <w:szCs w:val="21"/>
          <w:lang w:val="en-US" w:eastAsia="zh-CN"/>
        </w:rPr>
      </w:pPr>
      <w:r>
        <w:rPr>
          <w:rFonts w:hint="eastAsia" w:ascii="宋体" w:hAnsi="宋体"/>
          <w:snapToGrid w:val="0"/>
          <w:kern w:val="0"/>
          <w:szCs w:val="21"/>
        </w:rPr>
        <w:t>统一社会信用代码：</w:t>
      </w:r>
      <w:r>
        <w:rPr>
          <w:rFonts w:ascii="宋体" w:hAnsi="宋体"/>
          <w:snapToGrid w:val="0"/>
          <w:w w:val="200"/>
          <w:kern w:val="0"/>
          <w:szCs w:val="21"/>
          <w:u w:val="single"/>
        </w:rPr>
        <w:t xml:space="preserve"> </w:t>
      </w:r>
      <w:r>
        <w:rPr>
          <w:rFonts w:hint="eastAsia" w:ascii="宋体" w:hAnsi="宋体"/>
          <w:snapToGrid w:val="0"/>
          <w:w w:val="200"/>
          <w:kern w:val="0"/>
          <w:szCs w:val="21"/>
          <w:u w:val="single"/>
          <w:lang w:val="en-US" w:eastAsia="zh-CN"/>
        </w:rPr>
        <w:t xml:space="preserve">           </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 xml:space="preserve">        </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地    址：</w:t>
      </w:r>
      <w:r>
        <w:rPr>
          <w:rFonts w:ascii="宋体" w:hAnsi="宋体"/>
          <w:snapToGrid w:val="0"/>
          <w:w w:val="200"/>
          <w:kern w:val="0"/>
          <w:szCs w:val="21"/>
          <w:u w:val="single"/>
        </w:rPr>
        <w:t xml:space="preserve"> </w:t>
      </w:r>
      <w:r>
        <w:rPr>
          <w:rFonts w:hint="eastAsia" w:ascii="宋体" w:hAnsi="宋体"/>
          <w:snapToGrid w:val="0"/>
          <w:kern w:val="0"/>
          <w:szCs w:val="21"/>
          <w:u w:val="single"/>
          <w:lang w:val="en-US" w:eastAsia="zh-CN"/>
        </w:rPr>
        <w:t xml:space="preserve">                                         </w:t>
      </w:r>
    </w:p>
    <w:p>
      <w:pPr>
        <w:spacing w:line="360" w:lineRule="auto"/>
        <w:ind w:firstLine="420" w:firstLineChars="200"/>
        <w:rPr>
          <w:rFonts w:hint="default" w:ascii="宋体" w:hAnsi="宋体" w:eastAsia="宋体"/>
          <w:snapToGrid w:val="0"/>
          <w:kern w:val="0"/>
          <w:szCs w:val="21"/>
          <w:u w:val="single"/>
          <w:lang w:val="en-US" w:eastAsia="zh-CN"/>
        </w:rPr>
      </w:pPr>
      <w:r>
        <w:rPr>
          <w:rFonts w:hint="eastAsia" w:ascii="宋体" w:hAnsi="宋体"/>
          <w:snapToGrid w:val="0"/>
          <w:kern w:val="0"/>
          <w:szCs w:val="21"/>
        </w:rPr>
        <w:t>电    话：</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lang w:val="en-US" w:eastAsia="zh-CN"/>
        </w:rPr>
        <w:t xml:space="preserve">               </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 xml:space="preserve">                   </w:t>
      </w:r>
    </w:p>
    <w:p>
      <w:pPr>
        <w:spacing w:line="360" w:lineRule="auto"/>
        <w:ind w:firstLine="420" w:firstLineChars="200"/>
        <w:rPr>
          <w:rFonts w:hint="default" w:ascii="宋体" w:hAnsi="宋体" w:eastAsia="宋体"/>
          <w:snapToGrid w:val="0"/>
          <w:kern w:val="0"/>
          <w:szCs w:val="21"/>
          <w:u w:val="single"/>
          <w:lang w:val="en-US" w:eastAsia="zh-CN"/>
        </w:rPr>
      </w:pPr>
      <w:r>
        <w:rPr>
          <w:rFonts w:hint="eastAsia" w:ascii="宋体" w:hAnsi="宋体"/>
          <w:snapToGrid w:val="0"/>
          <w:kern w:val="0"/>
          <w:szCs w:val="21"/>
        </w:rPr>
        <w:t>开户银行：</w:t>
      </w:r>
      <w:r>
        <w:rPr>
          <w:rFonts w:hint="eastAsia" w:ascii="宋体" w:hAnsi="宋体"/>
          <w:snapToGrid w:val="0"/>
          <w:w w:val="100"/>
          <w:kern w:val="0"/>
          <w:szCs w:val="21"/>
          <w:u w:val="single"/>
          <w:lang w:val="en-US" w:eastAsia="zh-CN"/>
        </w:rPr>
        <w:t xml:space="preserve">                                           </w:t>
      </w:r>
    </w:p>
    <w:p>
      <w:pPr>
        <w:spacing w:line="360" w:lineRule="auto"/>
        <w:ind w:firstLine="420" w:firstLineChars="200"/>
        <w:rPr>
          <w:rFonts w:hint="default" w:ascii="宋体" w:hAnsi="宋体" w:eastAsia="宋体"/>
          <w:snapToGrid w:val="0"/>
          <w:kern w:val="0"/>
          <w:szCs w:val="21"/>
          <w:u w:val="single"/>
          <w:lang w:val="en-US" w:eastAsia="zh-CN"/>
        </w:rPr>
      </w:pPr>
      <w:r>
        <w:rPr>
          <w:rFonts w:hint="eastAsia" w:ascii="宋体" w:hAnsi="宋体"/>
          <w:snapToGrid w:val="0"/>
          <w:kern w:val="0"/>
          <w:szCs w:val="21"/>
        </w:rPr>
        <w:t>账    号：</w:t>
      </w:r>
      <w:r>
        <w:rPr>
          <w:rFonts w:ascii="宋体" w:hAnsi="宋体"/>
          <w:snapToGrid w:val="0"/>
          <w:w w:val="200"/>
          <w:kern w:val="0"/>
          <w:szCs w:val="21"/>
          <w:u w:val="single"/>
        </w:rPr>
        <w:t xml:space="preserve"> </w:t>
      </w:r>
      <w:r>
        <w:rPr>
          <w:rFonts w:hint="eastAsia" w:ascii="宋体" w:hAnsi="宋体"/>
          <w:snapToGrid w:val="0"/>
          <w:w w:val="200"/>
          <w:kern w:val="0"/>
          <w:szCs w:val="21"/>
          <w:u w:val="single"/>
          <w:lang w:val="en-US" w:eastAsia="zh-CN"/>
        </w:rPr>
        <w:t xml:space="preserve">              </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 xml:space="preserve">        </w:t>
      </w:r>
    </w:p>
    <w:p>
      <w:pPr>
        <w:pStyle w:val="17"/>
        <w:spacing w:line="360" w:lineRule="auto"/>
        <w:rPr>
          <w:rFonts w:ascii="宋体" w:hAnsi="宋体"/>
          <w:szCs w:val="21"/>
        </w:rPr>
      </w:pPr>
    </w:p>
    <w:bookmarkEnd w:id="653"/>
    <w:p>
      <w:pPr>
        <w:snapToGrid w:val="0"/>
        <w:spacing w:before="260" w:after="260"/>
        <w:outlineLvl w:val="2"/>
        <w:rPr>
          <w:b/>
          <w:bCs/>
          <w:kern w:val="2"/>
          <w:sz w:val="21"/>
          <w:szCs w:val="21"/>
        </w:rPr>
      </w:pPr>
      <w:bookmarkStart w:id="654" w:name="baidusnap7"/>
      <w:bookmarkEnd w:id="654"/>
      <w:bookmarkStart w:id="655" w:name="baidusnap3"/>
      <w:bookmarkEnd w:id="655"/>
      <w:bookmarkStart w:id="656" w:name="_Toc532377425"/>
      <w:bookmarkStart w:id="657" w:name="_Toc532375686"/>
      <w:bookmarkStart w:id="658" w:name="_Toc351203652"/>
      <w:r>
        <w:rPr>
          <w:rFonts w:hint="eastAsia"/>
          <w:b/>
          <w:bCs/>
          <w:kern w:val="2"/>
          <w:sz w:val="21"/>
          <w:szCs w:val="21"/>
        </w:rPr>
        <w:t>合同附件</w:t>
      </w:r>
      <w:bookmarkEnd w:id="656"/>
      <w:bookmarkEnd w:id="657"/>
    </w:p>
    <w:p>
      <w:pPr>
        <w:spacing w:line="360" w:lineRule="auto"/>
        <w:ind w:right="105" w:rightChars="50" w:firstLine="420" w:firstLineChars="200"/>
        <w:jc w:val="left"/>
        <w:rPr>
          <w:rFonts w:ascii="宋体" w:hAnsi="宋体"/>
          <w:szCs w:val="21"/>
        </w:rPr>
      </w:pPr>
      <w:r>
        <w:rPr>
          <w:rFonts w:hint="eastAsia" w:ascii="宋体" w:hAnsi="宋体"/>
          <w:szCs w:val="21"/>
        </w:rPr>
        <w:t>以下附件是本合同的有效组成部分：</w:t>
      </w:r>
    </w:p>
    <w:p>
      <w:pPr>
        <w:spacing w:line="360" w:lineRule="auto"/>
        <w:ind w:right="105" w:rightChars="50" w:firstLine="420" w:firstLineChars="200"/>
        <w:jc w:val="left"/>
        <w:rPr>
          <w:rFonts w:ascii="宋体" w:hAnsi="宋体"/>
          <w:szCs w:val="21"/>
        </w:rPr>
      </w:pPr>
      <w:r>
        <w:rPr>
          <w:rFonts w:hint="eastAsia" w:ascii="宋体" w:hAnsi="宋体"/>
          <w:szCs w:val="21"/>
        </w:rPr>
        <w:t>附件</w:t>
      </w:r>
      <w:r>
        <w:rPr>
          <w:rFonts w:hint="eastAsia" w:ascii="宋体" w:hAnsi="宋体"/>
          <w:szCs w:val="21"/>
          <w:lang w:val="en-US" w:eastAsia="zh-CN"/>
        </w:rPr>
        <w:t>1</w:t>
      </w:r>
      <w:r>
        <w:rPr>
          <w:rFonts w:hint="eastAsia" w:ascii="宋体" w:hAnsi="宋体"/>
          <w:szCs w:val="21"/>
        </w:rPr>
        <w:t>：廉洁从业协议</w:t>
      </w:r>
    </w:p>
    <w:p>
      <w:pPr>
        <w:spacing w:line="360" w:lineRule="auto"/>
        <w:ind w:right="105" w:rightChars="50" w:firstLine="420" w:firstLineChars="200"/>
        <w:jc w:val="left"/>
        <w:rPr>
          <w:rFonts w:ascii="宋体" w:hAnsi="宋体"/>
          <w:szCs w:val="21"/>
        </w:rPr>
      </w:pPr>
      <w:r>
        <w:rPr>
          <w:rFonts w:hint="eastAsia" w:ascii="宋体" w:hAnsi="宋体"/>
          <w:szCs w:val="21"/>
        </w:rPr>
        <w:t>附件</w:t>
      </w:r>
      <w:r>
        <w:rPr>
          <w:rFonts w:hint="eastAsia" w:ascii="宋体" w:hAnsi="宋体"/>
          <w:szCs w:val="21"/>
          <w:lang w:val="en-US" w:eastAsia="zh-CN"/>
        </w:rPr>
        <w:t>2</w:t>
      </w:r>
      <w:r>
        <w:rPr>
          <w:rFonts w:hint="eastAsia" w:ascii="宋体" w:hAnsi="宋体"/>
          <w:szCs w:val="21"/>
        </w:rPr>
        <w:t>：安全管理协议</w:t>
      </w:r>
    </w:p>
    <w:bookmarkEnd w:id="658"/>
    <w:p>
      <w:pPr>
        <w:spacing w:line="360" w:lineRule="auto"/>
        <w:ind w:firstLine="420" w:firstLineChars="200"/>
        <w:jc w:val="left"/>
        <w:rPr>
          <w:rFonts w:ascii="宋体" w:hAnsi="宋体"/>
          <w:szCs w:val="21"/>
        </w:rPr>
      </w:pPr>
      <w:r>
        <w:rPr>
          <w:rFonts w:hint="eastAsia" w:ascii="宋体" w:hAnsi="宋体"/>
          <w:szCs w:val="21"/>
        </w:rPr>
        <w:br w:type="page"/>
      </w:r>
    </w:p>
    <w:p>
      <w:pPr>
        <w:spacing w:line="480" w:lineRule="auto"/>
        <w:rPr>
          <w:rFonts w:ascii="宋体" w:hAnsi="宋体"/>
          <w:szCs w:val="21"/>
        </w:rPr>
      </w:pPr>
      <w:r>
        <w:rPr>
          <w:rFonts w:hint="eastAsia" w:ascii="宋体" w:hAnsi="宋体"/>
          <w:szCs w:val="21"/>
        </w:rPr>
        <w:t>附件</w:t>
      </w:r>
      <w:r>
        <w:rPr>
          <w:rFonts w:hint="eastAsia" w:ascii="宋体" w:hAnsi="宋体"/>
          <w:szCs w:val="21"/>
          <w:lang w:val="en-US" w:eastAsia="zh-CN"/>
        </w:rPr>
        <w:t>1</w:t>
      </w:r>
      <w:r>
        <w:rPr>
          <w:rFonts w:hint="eastAsia" w:ascii="宋体" w:hAnsi="宋体"/>
          <w:szCs w:val="21"/>
        </w:rPr>
        <w:t>：</w:t>
      </w:r>
    </w:p>
    <w:p>
      <w:pPr>
        <w:spacing w:before="156" w:beforeLines="50" w:after="156" w:afterLines="50" w:line="480" w:lineRule="auto"/>
        <w:jc w:val="center"/>
        <w:rPr>
          <w:rFonts w:ascii="宋体" w:hAnsi="宋体"/>
          <w:szCs w:val="21"/>
        </w:rPr>
      </w:pPr>
      <w:r>
        <w:rPr>
          <w:rFonts w:hint="eastAsia" w:ascii="宋体" w:hAnsi="宋体"/>
          <w:szCs w:val="21"/>
        </w:rPr>
        <w:t>廉洁从业协议</w:t>
      </w:r>
    </w:p>
    <w:p>
      <w:pPr>
        <w:snapToGrid w:val="0"/>
        <w:spacing w:line="360" w:lineRule="auto"/>
        <w:ind w:firstLine="422" w:firstLineChars="200"/>
        <w:rPr>
          <w:rFonts w:ascii="宋体" w:hAnsi="宋体"/>
          <w:b/>
          <w:szCs w:val="21"/>
          <w:u w:val="single"/>
        </w:rPr>
      </w:pPr>
      <w:r>
        <w:rPr>
          <w:rFonts w:hint="eastAsia" w:ascii="宋体" w:hAnsi="宋体"/>
          <w:b/>
          <w:szCs w:val="21"/>
        </w:rPr>
        <w:t>发包人（全称）：</w:t>
      </w:r>
      <w:r>
        <w:rPr>
          <w:rFonts w:hint="eastAsia" w:ascii="宋体" w:hAnsi="宋体" w:eastAsia="宋体" w:cs="宋体"/>
          <w:highlight w:val="none"/>
          <w:u w:val="single"/>
          <w:lang w:eastAsia="zh-CN"/>
        </w:rPr>
        <w:t>重庆长安智慧城市运营管理有限公司</w:t>
      </w:r>
      <w:r>
        <w:rPr>
          <w:rFonts w:hint="eastAsia" w:ascii="宋体" w:hAnsi="宋体"/>
          <w:szCs w:val="21"/>
          <w:u w:val="single"/>
        </w:rPr>
        <w:t xml:space="preserve">   </w:t>
      </w:r>
    </w:p>
    <w:p>
      <w:pPr>
        <w:snapToGrid w:val="0"/>
        <w:spacing w:line="360" w:lineRule="auto"/>
        <w:ind w:firstLine="422" w:firstLineChars="200"/>
        <w:rPr>
          <w:rFonts w:ascii="宋体" w:hAnsi="宋体"/>
          <w:b/>
          <w:szCs w:val="21"/>
          <w:u w:val="single"/>
        </w:rPr>
      </w:pPr>
      <w:r>
        <w:rPr>
          <w:rFonts w:hint="eastAsia" w:ascii="宋体" w:hAnsi="宋体"/>
          <w:b/>
          <w:szCs w:val="21"/>
        </w:rPr>
        <w:t>承包人（全称）：</w:t>
      </w:r>
      <w:r>
        <w:rPr>
          <w:rFonts w:hint="eastAsia" w:ascii="宋体" w:hAnsi="宋体"/>
          <w:szCs w:val="21"/>
          <w:u w:val="single"/>
        </w:rPr>
        <w:t></w:t>
      </w:r>
      <w:r>
        <w:rPr>
          <w:rFonts w:hint="eastAsia" w:ascii="宋体" w:hAnsi="宋体"/>
          <w:szCs w:val="21"/>
          <w:u w:val="single"/>
          <w:lang w:val="en-US" w:eastAsia="zh-CN"/>
        </w:rPr>
        <w:t xml:space="preserve">                          </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协议。</w:t>
      </w:r>
    </w:p>
    <w:p>
      <w:pPr>
        <w:spacing w:line="360" w:lineRule="auto"/>
        <w:ind w:firstLine="420" w:firstLineChars="200"/>
        <w:rPr>
          <w:rFonts w:ascii="宋体" w:hAnsi="宋体"/>
          <w:szCs w:val="21"/>
        </w:rPr>
      </w:pPr>
      <w:r>
        <w:rPr>
          <w:rFonts w:hint="eastAsia" w:ascii="宋体" w:hAnsi="宋体"/>
          <w:szCs w:val="21"/>
        </w:rPr>
        <w:t xml:space="preserve"> 1. 发包人承包人的权利和义务</w:t>
      </w:r>
    </w:p>
    <w:p>
      <w:pPr>
        <w:spacing w:line="360" w:lineRule="auto"/>
        <w:ind w:firstLine="420" w:firstLineChars="200"/>
        <w:rPr>
          <w:rFonts w:ascii="宋体" w:hAnsi="宋体"/>
          <w:szCs w:val="21"/>
        </w:rPr>
      </w:pPr>
      <w:r>
        <w:rPr>
          <w:rFonts w:hint="eastAsia" w:ascii="宋体" w:hAnsi="宋体"/>
          <w:szCs w:val="21"/>
        </w:rPr>
        <w:t>（1）严格遵守党的政策规定和国家有关法律法规及相关部门的有关规定。</w:t>
      </w:r>
    </w:p>
    <w:p>
      <w:pPr>
        <w:spacing w:line="360" w:lineRule="auto"/>
        <w:ind w:firstLine="420" w:firstLineChars="200"/>
        <w:rPr>
          <w:rFonts w:ascii="宋体" w:hAnsi="宋体"/>
          <w:szCs w:val="21"/>
        </w:rPr>
      </w:pPr>
      <w:r>
        <w:rPr>
          <w:rFonts w:hint="eastAsia" w:ascii="宋体" w:hAnsi="宋体"/>
          <w:szCs w:val="21"/>
        </w:rPr>
        <w:t>（2）严格执行工程的合同文件，自觉按合同办事。</w:t>
      </w:r>
    </w:p>
    <w:p>
      <w:pPr>
        <w:spacing w:line="360" w:lineRule="auto"/>
        <w:ind w:firstLine="420" w:firstLineChars="200"/>
        <w:rPr>
          <w:rFonts w:ascii="宋体" w:hAnsi="宋体"/>
          <w:szCs w:val="21"/>
        </w:rPr>
      </w:pPr>
      <w:r>
        <w:rPr>
          <w:rFonts w:hint="eastAsia" w:ascii="宋体" w:hAnsi="宋体"/>
          <w:szCs w:val="21"/>
        </w:rPr>
        <w:t>（3）双方的业务活动坚持公开、公正、诚信、透明的原则（法律认定的商业秘密和合同文件另有规定除外），不得损害国家和集体利益，违反工程建设管理规章制度。</w:t>
      </w:r>
    </w:p>
    <w:p>
      <w:pPr>
        <w:spacing w:line="360" w:lineRule="auto"/>
        <w:ind w:firstLine="420" w:firstLineChars="200"/>
        <w:rPr>
          <w:rFonts w:ascii="宋体" w:hAnsi="宋体"/>
          <w:szCs w:val="21"/>
        </w:rPr>
      </w:pPr>
      <w:r>
        <w:rPr>
          <w:rFonts w:hint="eastAsia" w:ascii="宋体" w:hAnsi="宋体"/>
          <w:szCs w:val="21"/>
        </w:rPr>
        <w:t>（4）建立健全廉政制度，开展廉政教育，设立廉政告示牌，公布举报电话，监督并认真查处违法违纪行为。</w:t>
      </w:r>
    </w:p>
    <w:p>
      <w:pPr>
        <w:spacing w:line="360" w:lineRule="auto"/>
        <w:ind w:firstLine="420" w:firstLineChars="200"/>
        <w:rPr>
          <w:rFonts w:ascii="宋体" w:hAnsi="宋体"/>
          <w:szCs w:val="21"/>
        </w:rPr>
      </w:pPr>
      <w:r>
        <w:rPr>
          <w:rFonts w:hint="eastAsia" w:ascii="宋体" w:hAnsi="宋体"/>
          <w:szCs w:val="21"/>
        </w:rPr>
        <w:t>（5）发现对方在业务活动中有违反廉政规定的行为，有及时提醒对方纠正的权利和义务。</w:t>
      </w:r>
    </w:p>
    <w:p>
      <w:pPr>
        <w:spacing w:line="360" w:lineRule="auto"/>
        <w:ind w:firstLine="420" w:firstLineChars="200"/>
        <w:rPr>
          <w:rFonts w:ascii="宋体" w:hAnsi="宋体"/>
          <w:szCs w:val="21"/>
        </w:rPr>
      </w:pPr>
      <w:r>
        <w:rPr>
          <w:rFonts w:hint="eastAsia" w:ascii="宋体" w:hAnsi="宋体"/>
          <w:szCs w:val="21"/>
        </w:rPr>
        <w:t>（6）发现对方严重违反协议义务条款的行为，有向其上级有关部门举报、建议给予处理并要求告知处理结果的权利。</w:t>
      </w:r>
    </w:p>
    <w:p>
      <w:pPr>
        <w:spacing w:line="360" w:lineRule="auto"/>
        <w:ind w:firstLine="420" w:firstLineChars="200"/>
        <w:rPr>
          <w:rFonts w:ascii="宋体" w:hAnsi="宋体"/>
          <w:szCs w:val="21"/>
        </w:rPr>
      </w:pPr>
      <w:r>
        <w:rPr>
          <w:rFonts w:hint="eastAsia" w:ascii="宋体" w:hAnsi="宋体"/>
          <w:szCs w:val="21"/>
        </w:rPr>
        <w:t>2. 发包人的义务</w:t>
      </w:r>
    </w:p>
    <w:p>
      <w:pPr>
        <w:spacing w:line="360" w:lineRule="auto"/>
        <w:ind w:firstLine="420" w:firstLineChars="200"/>
        <w:rPr>
          <w:rFonts w:ascii="宋体" w:hAnsi="宋体"/>
          <w:szCs w:val="21"/>
        </w:rPr>
      </w:pPr>
      <w:r>
        <w:rPr>
          <w:rFonts w:hint="eastAsia" w:ascii="宋体" w:hAnsi="宋体"/>
          <w:szCs w:val="21"/>
        </w:rPr>
        <w:t>（1）发包人及其工作人员不得索要或接受承包人的礼金、有价证券和贵重物品，不得在承包人报销任何应由发包人或发包人工作人员个人支付的费用等。</w:t>
      </w:r>
    </w:p>
    <w:p>
      <w:pPr>
        <w:spacing w:line="360" w:lineRule="auto"/>
        <w:ind w:firstLine="420" w:firstLineChars="200"/>
        <w:rPr>
          <w:rFonts w:ascii="宋体" w:hAnsi="宋体"/>
          <w:szCs w:val="21"/>
        </w:rPr>
      </w:pPr>
      <w:r>
        <w:rPr>
          <w:rFonts w:hint="eastAsia" w:ascii="宋体" w:hAnsi="宋体"/>
          <w:szCs w:val="21"/>
        </w:rPr>
        <w:t>（2）发包人工作人员不得参加承包人安排的超标准宴请和娱乐活动；不得接受承包人提供的通讯工具、交通工具和高档办公用品等。</w:t>
      </w:r>
    </w:p>
    <w:p>
      <w:pPr>
        <w:spacing w:line="360" w:lineRule="auto"/>
        <w:ind w:firstLine="420" w:firstLineChars="200"/>
        <w:rPr>
          <w:rFonts w:ascii="宋体" w:hAnsi="宋体"/>
          <w:szCs w:val="21"/>
        </w:rPr>
      </w:pPr>
      <w:r>
        <w:rPr>
          <w:rFonts w:hint="eastAsia" w:ascii="宋体" w:hAnsi="宋体"/>
          <w:szCs w:val="21"/>
        </w:rPr>
        <w:t>（3）发包人及其工作人员不得要求或者接受承包人为其住房装修、婚丧嫁娶活动、配偶子女的工作安排以及出国出境、旅游等提供方便等。</w:t>
      </w:r>
    </w:p>
    <w:p>
      <w:pPr>
        <w:spacing w:line="360" w:lineRule="auto"/>
        <w:ind w:firstLine="420" w:firstLineChars="200"/>
        <w:rPr>
          <w:rFonts w:ascii="宋体" w:hAnsi="宋体"/>
          <w:szCs w:val="21"/>
        </w:rPr>
      </w:pPr>
      <w:r>
        <w:rPr>
          <w:rFonts w:hint="eastAsia" w:ascii="宋体" w:hAnsi="宋体"/>
          <w:szCs w:val="21"/>
        </w:rPr>
        <w:t>（4）发包人工作人员及其配偶、子女不得从事与发包人工程有关的材料设备供应、工程分包、劳务等经济活动等。</w:t>
      </w:r>
    </w:p>
    <w:p>
      <w:pPr>
        <w:spacing w:line="360" w:lineRule="auto"/>
        <w:ind w:firstLine="420" w:firstLineChars="200"/>
        <w:rPr>
          <w:rFonts w:ascii="宋体" w:hAnsi="宋体"/>
          <w:szCs w:val="21"/>
        </w:rPr>
      </w:pPr>
      <w:r>
        <w:rPr>
          <w:rFonts w:hint="eastAsia" w:ascii="宋体" w:hAnsi="宋体"/>
          <w:szCs w:val="21"/>
        </w:rPr>
        <w:t>（5）发包人及其工作人员不得以任何理由向承包人推荐分包单位或推销材料，不得要求承包人购买合同规定外的材料和设备。</w:t>
      </w:r>
    </w:p>
    <w:p>
      <w:pPr>
        <w:spacing w:line="360" w:lineRule="auto"/>
        <w:ind w:firstLine="420" w:firstLineChars="200"/>
        <w:rPr>
          <w:rFonts w:ascii="宋体" w:hAnsi="宋体"/>
          <w:szCs w:val="21"/>
        </w:rPr>
      </w:pPr>
      <w:r>
        <w:rPr>
          <w:rFonts w:hint="eastAsia" w:ascii="宋体" w:hAnsi="宋体"/>
          <w:szCs w:val="21"/>
        </w:rPr>
        <w:t>（6）发包人工作人员要秉公办事，不准营私舞弊，不准利用职权从事各种个人有偿中介活动和安排个人施工队伍。</w:t>
      </w:r>
    </w:p>
    <w:p>
      <w:pPr>
        <w:spacing w:line="360" w:lineRule="auto"/>
        <w:ind w:firstLine="420" w:firstLineChars="200"/>
        <w:rPr>
          <w:rFonts w:ascii="宋体" w:hAnsi="宋体"/>
          <w:szCs w:val="21"/>
        </w:rPr>
      </w:pPr>
      <w:r>
        <w:rPr>
          <w:rFonts w:hint="eastAsia" w:ascii="宋体" w:hAnsi="宋体"/>
          <w:szCs w:val="21"/>
        </w:rPr>
        <w:t>3. 承包人义务</w:t>
      </w:r>
    </w:p>
    <w:p>
      <w:pPr>
        <w:spacing w:line="360" w:lineRule="auto"/>
        <w:ind w:firstLine="420" w:firstLineChars="200"/>
        <w:rPr>
          <w:rFonts w:ascii="宋体" w:hAnsi="宋体"/>
          <w:szCs w:val="21"/>
        </w:rPr>
      </w:pPr>
      <w:r>
        <w:rPr>
          <w:rFonts w:hint="eastAsia" w:ascii="宋体" w:hAnsi="宋体"/>
          <w:szCs w:val="21"/>
        </w:rPr>
        <w:t>（1）承包人不得以任何理由向发包人及其工作人员行贿或馈赠礼金、有价证券、贵重礼品。</w:t>
      </w:r>
    </w:p>
    <w:p>
      <w:pPr>
        <w:spacing w:line="360" w:lineRule="auto"/>
        <w:ind w:firstLine="420" w:firstLineChars="200"/>
        <w:rPr>
          <w:rFonts w:ascii="宋体" w:hAnsi="宋体"/>
          <w:szCs w:val="21"/>
        </w:rPr>
      </w:pPr>
      <w:r>
        <w:rPr>
          <w:rFonts w:hint="eastAsia" w:ascii="宋体" w:hAnsi="宋体"/>
          <w:szCs w:val="21"/>
        </w:rPr>
        <w:t>（2）承包人不得以任何名义为发包人及其工作人员报销应由发包人单位或个人支付的任何费用。</w:t>
      </w:r>
    </w:p>
    <w:p>
      <w:pPr>
        <w:spacing w:line="360" w:lineRule="auto"/>
        <w:ind w:firstLine="420" w:firstLineChars="200"/>
        <w:rPr>
          <w:rFonts w:ascii="宋体" w:hAnsi="宋体"/>
          <w:szCs w:val="21"/>
        </w:rPr>
      </w:pPr>
      <w:r>
        <w:rPr>
          <w:rFonts w:hint="eastAsia" w:ascii="宋体" w:hAnsi="宋体"/>
          <w:szCs w:val="21"/>
        </w:rPr>
        <w:t>（3）承包人不得以任何理由安排发包人工作人员参加超标准宴请及娱乐活动。</w:t>
      </w:r>
    </w:p>
    <w:p>
      <w:pPr>
        <w:spacing w:line="360" w:lineRule="auto"/>
        <w:ind w:firstLine="420" w:firstLineChars="200"/>
        <w:rPr>
          <w:rFonts w:ascii="宋体" w:hAnsi="宋体"/>
          <w:szCs w:val="21"/>
        </w:rPr>
      </w:pPr>
      <w:r>
        <w:rPr>
          <w:rFonts w:hint="eastAsia" w:ascii="宋体" w:hAnsi="宋体"/>
          <w:szCs w:val="21"/>
        </w:rPr>
        <w:t>（4）承包人不得为发包人单位和个人购置或提供通讯工具、交通工具和高档办公用品等。</w:t>
      </w:r>
    </w:p>
    <w:p>
      <w:pPr>
        <w:spacing w:line="360" w:lineRule="auto"/>
        <w:ind w:firstLine="420" w:firstLineChars="200"/>
        <w:rPr>
          <w:rFonts w:ascii="宋体" w:hAnsi="宋体"/>
          <w:szCs w:val="21"/>
        </w:rPr>
      </w:pPr>
      <w:r>
        <w:rPr>
          <w:rFonts w:hint="eastAsia" w:ascii="宋体" w:hAnsi="宋体"/>
          <w:szCs w:val="21"/>
        </w:rPr>
        <w:t>4. 违约责任</w:t>
      </w:r>
    </w:p>
    <w:p>
      <w:pPr>
        <w:spacing w:line="360" w:lineRule="auto"/>
        <w:ind w:firstLine="420" w:firstLineChars="200"/>
        <w:rPr>
          <w:rFonts w:ascii="宋体" w:hAnsi="宋体"/>
          <w:szCs w:val="21"/>
        </w:rPr>
      </w:pPr>
      <w:r>
        <w:rPr>
          <w:rFonts w:hint="eastAsia" w:ascii="宋体" w:hAnsi="宋体"/>
          <w:szCs w:val="21"/>
        </w:rPr>
        <w:t>（1）发包人及其工作人员违反合同第1、2条，按管理权限，依据有关规定给予党纪、政纪或组织处理；涉嫌犯罪的，移交司法机关追究刑事责任；给承包人单位造成经济损失的，应予以赔偿。</w:t>
      </w:r>
    </w:p>
    <w:p>
      <w:pPr>
        <w:spacing w:line="360" w:lineRule="auto"/>
        <w:ind w:firstLine="420" w:firstLineChars="200"/>
        <w:rPr>
          <w:rFonts w:ascii="宋体" w:hAnsi="宋体"/>
          <w:szCs w:val="21"/>
        </w:rPr>
      </w:pPr>
      <w:r>
        <w:rPr>
          <w:rFonts w:hint="eastAsia" w:ascii="宋体" w:hAnsi="宋体"/>
          <w:szCs w:val="21"/>
        </w:rPr>
        <w:t>（2）承包人及其工作人员违反合同第1、3条，按管理权限，依据有关规定给予党纪、政纪或组织处理；给发包人单位造成经济损失的，应予以赔偿。</w:t>
      </w:r>
    </w:p>
    <w:p>
      <w:pPr>
        <w:spacing w:line="360" w:lineRule="auto"/>
        <w:ind w:firstLine="420" w:firstLineChars="200"/>
        <w:rPr>
          <w:rFonts w:ascii="宋体" w:hAnsi="宋体"/>
          <w:szCs w:val="21"/>
        </w:rPr>
      </w:pPr>
      <w:r>
        <w:rPr>
          <w:rFonts w:hint="eastAsia" w:ascii="宋体" w:hAnsi="宋体"/>
          <w:szCs w:val="21"/>
        </w:rPr>
        <w:t>5. 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pPr>
        <w:spacing w:line="360" w:lineRule="auto"/>
        <w:ind w:firstLine="420" w:firstLineChars="200"/>
        <w:rPr>
          <w:rFonts w:ascii="宋体" w:hAnsi="宋体"/>
          <w:szCs w:val="21"/>
        </w:rPr>
      </w:pPr>
      <w:r>
        <w:rPr>
          <w:rFonts w:hint="eastAsia" w:ascii="宋体" w:hAnsi="宋体"/>
          <w:szCs w:val="21"/>
        </w:rPr>
        <w:t>6. 协议有效期为甲乙双方签署之日起至该工程项目竣工验收后止。</w:t>
      </w:r>
    </w:p>
    <w:p>
      <w:pPr>
        <w:spacing w:line="360" w:lineRule="auto"/>
        <w:ind w:firstLine="420" w:firstLineChars="200"/>
        <w:rPr>
          <w:rFonts w:ascii="宋体" w:hAnsi="宋体"/>
          <w:szCs w:val="21"/>
        </w:rPr>
      </w:pPr>
      <w:r>
        <w:rPr>
          <w:rFonts w:hint="eastAsia" w:ascii="宋体" w:hAnsi="宋体"/>
          <w:szCs w:val="21"/>
        </w:rPr>
        <w:t>7.</w:t>
      </w:r>
      <w:r>
        <w:rPr>
          <w:rFonts w:hint="eastAsia" w:ascii="宋体" w:hAnsi="宋体"/>
          <w:szCs w:val="21"/>
          <w:lang w:val="en-US" w:eastAsia="zh-CN"/>
        </w:rPr>
        <w:t xml:space="preserve"> </w:t>
      </w:r>
      <w:r>
        <w:rPr>
          <w:rFonts w:hint="eastAsia" w:ascii="宋体" w:hAnsi="宋体"/>
          <w:szCs w:val="21"/>
        </w:rPr>
        <w:t>协议作为工程施工合同的附件，与工程施工合同具有同等的法律效力，经合同双方签署立即生效。</w:t>
      </w:r>
    </w:p>
    <w:p>
      <w:pPr>
        <w:spacing w:line="360" w:lineRule="auto"/>
        <w:ind w:firstLine="420" w:firstLineChars="200"/>
        <w:rPr>
          <w:rFonts w:ascii="宋体" w:hAnsi="宋体"/>
          <w:szCs w:val="21"/>
        </w:rPr>
      </w:pPr>
      <w:r>
        <w:rPr>
          <w:rFonts w:hint="eastAsia" w:ascii="宋体" w:hAnsi="宋体"/>
          <w:szCs w:val="21"/>
        </w:rPr>
        <w:t>（以下无正文）</w:t>
      </w:r>
    </w:p>
    <w:p>
      <w:pPr>
        <w:spacing w:line="360" w:lineRule="auto"/>
        <w:rPr>
          <w:rFonts w:ascii="宋体" w:hAnsi="宋体"/>
          <w:szCs w:val="21"/>
        </w:rPr>
      </w:pPr>
      <w:r>
        <w:rPr>
          <w:rFonts w:hint="eastAsia" w:ascii="宋体" w:hAnsi="宋体"/>
          <w:szCs w:val="21"/>
        </w:rPr>
        <w:t>甲     方：                         乙     方：</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法定代表人                          法定代表人                      </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或其授权的代理人：                  或授权的代理人：</w:t>
      </w:r>
    </w:p>
    <w:p>
      <w:pPr>
        <w:spacing w:line="480" w:lineRule="auto"/>
        <w:rPr>
          <w:rFonts w:ascii="宋体" w:hAnsi="宋体"/>
          <w:szCs w:val="21"/>
        </w:rPr>
      </w:pPr>
      <w:r>
        <w:rPr>
          <w:rFonts w:hint="eastAsia" w:ascii="宋体" w:hAnsi="宋体"/>
          <w:szCs w:val="21"/>
        </w:rPr>
        <w:br w:type="page"/>
      </w:r>
      <w:r>
        <w:rPr>
          <w:rFonts w:hint="eastAsia" w:ascii="宋体" w:hAnsi="宋体"/>
          <w:szCs w:val="21"/>
        </w:rPr>
        <w:t>附件</w:t>
      </w:r>
      <w:r>
        <w:rPr>
          <w:rFonts w:hint="eastAsia" w:ascii="宋体" w:hAnsi="宋体"/>
          <w:szCs w:val="21"/>
          <w:lang w:val="en-US" w:eastAsia="zh-CN"/>
        </w:rPr>
        <w:t>2</w:t>
      </w:r>
      <w:r>
        <w:rPr>
          <w:rFonts w:hint="eastAsia" w:ascii="宋体" w:hAnsi="宋体"/>
          <w:szCs w:val="21"/>
        </w:rPr>
        <w:t>：</w:t>
      </w:r>
    </w:p>
    <w:p>
      <w:pPr>
        <w:spacing w:before="156" w:beforeLines="50" w:after="156" w:afterLines="50" w:line="480" w:lineRule="auto"/>
        <w:jc w:val="center"/>
        <w:rPr>
          <w:rFonts w:ascii="宋体" w:hAnsi="宋体"/>
          <w:szCs w:val="21"/>
        </w:rPr>
      </w:pPr>
      <w:bookmarkStart w:id="659" w:name="_Toc435690184"/>
      <w:bookmarkStart w:id="660" w:name="_Toc448406299"/>
      <w:bookmarkStart w:id="661" w:name="_Toc247431422"/>
      <w:bookmarkStart w:id="662" w:name="_Toc239510288"/>
      <w:bookmarkStart w:id="663" w:name="_Toc336680145"/>
      <w:bookmarkStart w:id="664" w:name="_Toc435689499"/>
      <w:r>
        <w:rPr>
          <w:rFonts w:hint="eastAsia" w:ascii="宋体" w:hAnsi="宋体"/>
          <w:szCs w:val="21"/>
        </w:rPr>
        <w:t>安全管理协议</w:t>
      </w:r>
      <w:bookmarkEnd w:id="659"/>
      <w:bookmarkEnd w:id="660"/>
      <w:bookmarkEnd w:id="661"/>
      <w:bookmarkEnd w:id="662"/>
      <w:bookmarkEnd w:id="663"/>
      <w:bookmarkEnd w:id="664"/>
    </w:p>
    <w:p>
      <w:pPr>
        <w:snapToGrid w:val="0"/>
        <w:spacing w:line="360" w:lineRule="auto"/>
        <w:ind w:firstLine="422" w:firstLineChars="200"/>
        <w:rPr>
          <w:rFonts w:ascii="宋体" w:hAnsi="宋体"/>
          <w:b/>
          <w:szCs w:val="21"/>
          <w:u w:val="single"/>
        </w:rPr>
      </w:pPr>
      <w:r>
        <w:rPr>
          <w:rFonts w:hint="eastAsia" w:ascii="宋体" w:hAnsi="宋体"/>
          <w:b/>
          <w:szCs w:val="21"/>
        </w:rPr>
        <w:t>发包人（全称）：</w:t>
      </w:r>
      <w:r>
        <w:rPr>
          <w:rFonts w:hint="eastAsia" w:ascii="宋体" w:hAnsi="宋体" w:eastAsia="宋体" w:cs="宋体"/>
          <w:highlight w:val="none"/>
          <w:u w:val="single"/>
          <w:lang w:eastAsia="zh-CN"/>
        </w:rPr>
        <w:t>重庆长安智慧城市运营管理有限公司</w:t>
      </w:r>
      <w:r>
        <w:rPr>
          <w:rFonts w:hint="eastAsia" w:ascii="宋体" w:hAnsi="宋体"/>
          <w:szCs w:val="21"/>
          <w:u w:val="single"/>
        </w:rPr>
        <w:t xml:space="preserve">   </w:t>
      </w:r>
    </w:p>
    <w:p>
      <w:pPr>
        <w:snapToGrid w:val="0"/>
        <w:spacing w:line="360" w:lineRule="auto"/>
        <w:ind w:firstLine="422" w:firstLineChars="200"/>
        <w:rPr>
          <w:rFonts w:hint="default" w:ascii="宋体" w:hAnsi="宋体" w:eastAsia="宋体"/>
          <w:b/>
          <w:szCs w:val="21"/>
          <w:u w:val="single"/>
          <w:lang w:val="en-US" w:eastAsia="zh-CN"/>
        </w:rPr>
      </w:pPr>
      <w:r>
        <w:rPr>
          <w:rFonts w:hint="eastAsia" w:ascii="宋体" w:hAnsi="宋体"/>
          <w:b/>
          <w:szCs w:val="21"/>
        </w:rPr>
        <w:t>承包人（全称）</w:t>
      </w:r>
      <w:r>
        <w:rPr>
          <w:rFonts w:hint="eastAsia" w:ascii="宋体" w:hAnsi="宋体"/>
          <w:b/>
          <w:szCs w:val="21"/>
          <w:lang w:eastAsia="zh-CN"/>
        </w:rPr>
        <w:t>：</w:t>
      </w:r>
      <w:r>
        <w:rPr>
          <w:rFonts w:hint="eastAsia" w:ascii="宋体" w:hAnsi="宋体"/>
          <w:szCs w:val="21"/>
          <w:u w:val="single"/>
        </w:rPr>
        <w:t xml:space="preserve">      </w:t>
      </w:r>
      <w:r>
        <w:rPr>
          <w:rFonts w:hint="eastAsia" w:ascii="宋体" w:hAnsi="宋体"/>
          <w:szCs w:val="21"/>
          <w:u w:val="single"/>
          <w:lang w:val="en-US" w:eastAsia="zh-CN"/>
        </w:rPr>
        <w:t xml:space="preserve">                             </w:t>
      </w:r>
    </w:p>
    <w:p>
      <w:pPr>
        <w:spacing w:line="360" w:lineRule="auto"/>
        <w:ind w:firstLine="420" w:firstLineChars="200"/>
        <w:jc w:val="left"/>
        <w:rPr>
          <w:rFonts w:ascii="宋体" w:hAnsi="宋体"/>
          <w:szCs w:val="21"/>
        </w:rPr>
      </w:pPr>
      <w:r>
        <w:rPr>
          <w:rFonts w:hint="eastAsia" w:ascii="宋体" w:hAnsi="宋体"/>
          <w:szCs w:val="21"/>
        </w:rPr>
        <w:t>为了确保实现</w:t>
      </w:r>
      <w:r>
        <w:rPr>
          <w:rFonts w:hint="eastAsia" w:ascii="宋体" w:hAnsi="宋体"/>
          <w:szCs w:val="21"/>
          <w:u w:val="single"/>
        </w:rPr>
        <w:t xml:space="preserve"> </w:t>
      </w:r>
      <w:r>
        <w:rPr>
          <w:rFonts w:hint="eastAsia" w:ascii="宋体" w:hAnsi="宋体" w:eastAsia="宋体" w:cs="宋体"/>
          <w:highlight w:val="none"/>
          <w:u w:val="single"/>
          <w:lang w:eastAsia="zh-CN"/>
        </w:rPr>
        <w:t>重庆长安智慧城市运营管理有限公司</w:t>
      </w:r>
      <w:r>
        <w:rPr>
          <w:rFonts w:hint="eastAsia" w:ascii="宋体" w:hAnsi="宋体"/>
          <w:szCs w:val="21"/>
          <w:u w:val="single"/>
        </w:rPr>
        <w:t xml:space="preserve"> </w:t>
      </w:r>
      <w:r>
        <w:rPr>
          <w:rFonts w:hint="eastAsia" w:ascii="宋体" w:hAnsi="宋体"/>
          <w:szCs w:val="21"/>
        </w:rPr>
        <w:t>安全生产目标，进一步明确双方的安全管理责任，加强安全生产管理工作的协调、管理力度，</w:t>
      </w:r>
      <w:r>
        <w:rPr>
          <w:rFonts w:hint="eastAsia" w:ascii="宋体" w:hAnsi="宋体" w:eastAsia="宋体" w:cs="宋体"/>
          <w:highlight w:val="none"/>
          <w:u w:val="single"/>
          <w:lang w:eastAsia="zh-CN"/>
        </w:rPr>
        <w:t>重庆长安智慧城市运营管理有限公司</w:t>
      </w:r>
      <w:r>
        <w:rPr>
          <w:rFonts w:hint="eastAsia" w:ascii="宋体" w:hAnsi="宋体"/>
          <w:szCs w:val="21"/>
        </w:rPr>
        <w:t>（以下简称“发包人”）与</w:t>
      </w:r>
      <w:r>
        <w:rPr>
          <w:rFonts w:hint="eastAsia" w:ascii="宋体" w:hAnsi="宋体"/>
          <w:szCs w:val="21"/>
          <w:u w:val="single"/>
          <w:lang w:val="en-US" w:eastAsia="zh-CN"/>
        </w:rPr>
        <w:t xml:space="preserve">                  </w:t>
      </w:r>
      <w:r>
        <w:rPr>
          <w:rFonts w:hint="eastAsia" w:ascii="宋体" w:hAnsi="宋体"/>
          <w:szCs w:val="21"/>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pPr>
        <w:spacing w:line="360" w:lineRule="auto"/>
        <w:ind w:firstLine="420" w:firstLineChars="200"/>
        <w:rPr>
          <w:rFonts w:ascii="宋体" w:hAnsi="宋体"/>
          <w:szCs w:val="21"/>
        </w:rPr>
      </w:pPr>
      <w:bookmarkStart w:id="665" w:name="_Toc532375700"/>
      <w:bookmarkStart w:id="666" w:name="_Toc247418263"/>
      <w:bookmarkStart w:id="667" w:name="_Toc239510289"/>
      <w:bookmarkStart w:id="668" w:name="_Toc247431423"/>
      <w:r>
        <w:rPr>
          <w:rFonts w:hint="eastAsia" w:ascii="宋体" w:hAnsi="宋体"/>
          <w:szCs w:val="21"/>
        </w:rPr>
        <w:t>一、协议有效期限</w:t>
      </w:r>
      <w:bookmarkEnd w:id="665"/>
      <w:bookmarkEnd w:id="666"/>
      <w:bookmarkEnd w:id="667"/>
      <w:bookmarkEnd w:id="668"/>
    </w:p>
    <w:p>
      <w:pPr>
        <w:spacing w:line="360" w:lineRule="auto"/>
        <w:ind w:firstLine="420" w:firstLineChars="200"/>
        <w:jc w:val="left"/>
        <w:rPr>
          <w:rFonts w:ascii="宋体" w:hAnsi="宋体"/>
          <w:szCs w:val="21"/>
        </w:rPr>
      </w:pPr>
      <w:r>
        <w:rPr>
          <w:rFonts w:hint="eastAsia" w:ascii="宋体" w:hAnsi="宋体"/>
          <w:szCs w:val="21"/>
        </w:rPr>
        <w:t>本协议中所涉及的安全管理责任自合同签订之日起开始生效，至合同工程全部完工验收且经发包人与承包人签订移交协议生效后之日终止。</w:t>
      </w:r>
    </w:p>
    <w:p>
      <w:pPr>
        <w:spacing w:line="360" w:lineRule="auto"/>
        <w:ind w:firstLine="420" w:firstLineChars="200"/>
        <w:rPr>
          <w:rFonts w:ascii="宋体" w:hAnsi="宋体"/>
          <w:szCs w:val="21"/>
        </w:rPr>
      </w:pPr>
      <w:bookmarkStart w:id="669" w:name="_Toc247431424"/>
      <w:bookmarkStart w:id="670" w:name="_Toc532375701"/>
      <w:bookmarkStart w:id="671" w:name="_Toc247418264"/>
      <w:bookmarkStart w:id="672" w:name="_Toc239510290"/>
      <w:r>
        <w:rPr>
          <w:rFonts w:hint="eastAsia" w:ascii="宋体" w:hAnsi="宋体"/>
          <w:szCs w:val="21"/>
        </w:rPr>
        <w:t>二、责任目标</w:t>
      </w:r>
      <w:bookmarkEnd w:id="669"/>
      <w:bookmarkEnd w:id="670"/>
      <w:bookmarkEnd w:id="671"/>
      <w:bookmarkEnd w:id="672"/>
    </w:p>
    <w:p>
      <w:pPr>
        <w:spacing w:line="360" w:lineRule="auto"/>
        <w:ind w:firstLine="420" w:firstLineChars="200"/>
        <w:jc w:val="left"/>
        <w:rPr>
          <w:rFonts w:ascii="宋体" w:hAnsi="宋体"/>
          <w:szCs w:val="21"/>
        </w:rPr>
      </w:pPr>
      <w:r>
        <w:rPr>
          <w:rFonts w:hint="eastAsia" w:ascii="宋体" w:hAnsi="宋体"/>
          <w:szCs w:val="21"/>
        </w:rPr>
        <w:t>（一）承包人承诺承担和履行合同和发包人所规定的安全责任，且满足要求。</w:t>
      </w:r>
    </w:p>
    <w:p>
      <w:pPr>
        <w:spacing w:line="360" w:lineRule="auto"/>
        <w:ind w:firstLine="420" w:firstLineChars="200"/>
        <w:jc w:val="left"/>
        <w:rPr>
          <w:rFonts w:ascii="宋体" w:hAnsi="宋体"/>
          <w:szCs w:val="21"/>
        </w:rPr>
      </w:pPr>
      <w:r>
        <w:rPr>
          <w:rFonts w:hint="eastAsia" w:ascii="宋体" w:hAnsi="宋体"/>
          <w:szCs w:val="21"/>
        </w:rPr>
        <w:t>（二）承包人的安全控制目标是确保本工程在实施过程中：</w:t>
      </w:r>
    </w:p>
    <w:p>
      <w:pPr>
        <w:spacing w:line="360" w:lineRule="auto"/>
        <w:ind w:firstLine="420" w:firstLineChars="200"/>
        <w:jc w:val="left"/>
        <w:rPr>
          <w:rFonts w:ascii="宋体" w:hAnsi="宋体"/>
          <w:szCs w:val="21"/>
        </w:rPr>
      </w:pPr>
      <w:r>
        <w:rPr>
          <w:rFonts w:hint="eastAsia" w:ascii="宋体" w:hAnsi="宋体"/>
          <w:szCs w:val="21"/>
        </w:rPr>
        <w:t>1．不发生人身重伤事故；</w:t>
      </w:r>
    </w:p>
    <w:p>
      <w:pPr>
        <w:spacing w:line="360" w:lineRule="auto"/>
        <w:ind w:firstLine="420" w:firstLineChars="200"/>
        <w:jc w:val="left"/>
        <w:rPr>
          <w:rFonts w:ascii="宋体" w:hAnsi="宋体"/>
          <w:szCs w:val="21"/>
        </w:rPr>
      </w:pPr>
      <w:r>
        <w:rPr>
          <w:rFonts w:hint="eastAsia" w:ascii="宋体" w:hAnsi="宋体"/>
          <w:szCs w:val="21"/>
        </w:rPr>
        <w:t>2．不发生火灾事故；</w:t>
      </w:r>
    </w:p>
    <w:p>
      <w:pPr>
        <w:spacing w:line="360" w:lineRule="auto"/>
        <w:ind w:firstLine="420" w:firstLineChars="200"/>
        <w:jc w:val="left"/>
        <w:rPr>
          <w:rFonts w:ascii="宋体" w:hAnsi="宋体"/>
          <w:szCs w:val="21"/>
        </w:rPr>
      </w:pPr>
      <w:r>
        <w:rPr>
          <w:rFonts w:hint="eastAsia" w:ascii="宋体" w:hAnsi="宋体"/>
          <w:szCs w:val="21"/>
        </w:rPr>
        <w:t>3．不发生负有同等及以上事故责任的造成人身重伤的一般交通事故；</w:t>
      </w:r>
    </w:p>
    <w:p>
      <w:pPr>
        <w:spacing w:line="360" w:lineRule="auto"/>
        <w:ind w:firstLine="420" w:firstLineChars="200"/>
        <w:jc w:val="left"/>
        <w:rPr>
          <w:rFonts w:ascii="宋体" w:hAnsi="宋体"/>
          <w:szCs w:val="21"/>
        </w:rPr>
      </w:pPr>
      <w:r>
        <w:rPr>
          <w:rFonts w:hint="eastAsia" w:ascii="宋体" w:hAnsi="宋体"/>
          <w:szCs w:val="21"/>
        </w:rPr>
        <w:t>4．不发生集体食物中毒事件（同时5人及以上的食物中毒）；</w:t>
      </w:r>
    </w:p>
    <w:p>
      <w:pPr>
        <w:spacing w:line="360" w:lineRule="auto"/>
        <w:ind w:firstLine="420" w:firstLineChars="200"/>
        <w:jc w:val="left"/>
        <w:rPr>
          <w:rFonts w:ascii="宋体" w:hAnsi="宋体"/>
          <w:szCs w:val="21"/>
        </w:rPr>
      </w:pPr>
      <w:r>
        <w:rPr>
          <w:rFonts w:hint="eastAsia" w:ascii="宋体" w:hAnsi="宋体"/>
          <w:szCs w:val="21"/>
        </w:rPr>
        <w:t>5．不发生流行性传染病 （无甲型传染病、其他常见传染病未形成多人同时患病）；</w:t>
      </w:r>
    </w:p>
    <w:p>
      <w:pPr>
        <w:spacing w:line="360" w:lineRule="auto"/>
        <w:ind w:firstLine="420" w:firstLineChars="200"/>
        <w:jc w:val="left"/>
        <w:rPr>
          <w:rFonts w:ascii="宋体" w:hAnsi="宋体"/>
          <w:szCs w:val="21"/>
        </w:rPr>
      </w:pPr>
      <w:r>
        <w:rPr>
          <w:rFonts w:hint="eastAsia" w:ascii="宋体" w:hAnsi="宋体"/>
          <w:szCs w:val="21"/>
        </w:rPr>
        <w:t>6．不发生重大环境污染事件（生活、工业垃圾及其他污染物造成环境污染和大面积水土流失）；</w:t>
      </w:r>
    </w:p>
    <w:p>
      <w:pPr>
        <w:spacing w:line="360" w:lineRule="auto"/>
        <w:ind w:firstLine="420" w:firstLineChars="200"/>
        <w:jc w:val="left"/>
        <w:rPr>
          <w:rFonts w:ascii="宋体" w:hAnsi="宋体"/>
          <w:szCs w:val="21"/>
        </w:rPr>
      </w:pPr>
      <w:r>
        <w:rPr>
          <w:rFonts w:hint="eastAsia" w:ascii="宋体" w:hAnsi="宋体"/>
          <w:szCs w:val="21"/>
        </w:rPr>
        <w:t>7．不发生对施工区附近生产、生活造成重大影响的事件（如造成重大设备损坏、重大财产损失、人员伤害等）；</w:t>
      </w:r>
    </w:p>
    <w:p>
      <w:pPr>
        <w:spacing w:line="360" w:lineRule="auto"/>
        <w:ind w:firstLine="420" w:firstLineChars="200"/>
        <w:jc w:val="left"/>
        <w:rPr>
          <w:rFonts w:ascii="宋体" w:hAnsi="宋体"/>
          <w:szCs w:val="21"/>
        </w:rPr>
      </w:pPr>
      <w:r>
        <w:rPr>
          <w:rFonts w:hint="eastAsia" w:ascii="宋体" w:hAnsi="宋体"/>
          <w:szCs w:val="21"/>
        </w:rPr>
        <w:t>8．不发生治安保卫事件（构成刑事拘留及以上的事件、盗窃直接损失超过1万元人民币的事件）。</w:t>
      </w:r>
    </w:p>
    <w:p>
      <w:pPr>
        <w:spacing w:line="360" w:lineRule="auto"/>
        <w:ind w:firstLine="420" w:firstLineChars="200"/>
        <w:jc w:val="left"/>
        <w:rPr>
          <w:rFonts w:ascii="宋体" w:hAnsi="宋体"/>
          <w:szCs w:val="21"/>
        </w:rPr>
      </w:pPr>
      <w:bookmarkStart w:id="673" w:name="_Toc247431425"/>
      <w:bookmarkStart w:id="674" w:name="_Toc247418265"/>
      <w:bookmarkStart w:id="675" w:name="_Toc239510291"/>
      <w:r>
        <w:rPr>
          <w:rFonts w:hint="eastAsia" w:ascii="宋体" w:hAnsi="宋体"/>
          <w:szCs w:val="21"/>
        </w:rPr>
        <w:t>（三）承包人承诺在施工中控制以下安全事故的发生：</w:t>
      </w:r>
      <w:bookmarkEnd w:id="673"/>
      <w:bookmarkEnd w:id="674"/>
      <w:bookmarkEnd w:id="675"/>
    </w:p>
    <w:p>
      <w:pPr>
        <w:spacing w:line="360" w:lineRule="auto"/>
        <w:ind w:firstLine="420" w:firstLineChars="200"/>
        <w:jc w:val="left"/>
        <w:rPr>
          <w:rFonts w:ascii="宋体" w:hAnsi="宋体"/>
          <w:szCs w:val="21"/>
        </w:rPr>
      </w:pPr>
      <w:r>
        <w:rPr>
          <w:rFonts w:hint="eastAsia" w:ascii="宋体" w:hAnsi="宋体"/>
          <w:szCs w:val="21"/>
        </w:rPr>
        <w:t>1．人员轻伤事故。</w:t>
      </w:r>
    </w:p>
    <w:p>
      <w:pPr>
        <w:spacing w:line="360" w:lineRule="auto"/>
        <w:ind w:firstLine="420" w:firstLineChars="200"/>
        <w:jc w:val="left"/>
        <w:rPr>
          <w:rFonts w:ascii="宋体" w:hAnsi="宋体"/>
          <w:szCs w:val="21"/>
        </w:rPr>
      </w:pPr>
      <w:r>
        <w:rPr>
          <w:rFonts w:hint="eastAsia" w:ascii="宋体" w:hAnsi="宋体"/>
          <w:szCs w:val="21"/>
        </w:rPr>
        <w:t>2．负有同等及以上事故责任的人身轻伤交通事故。</w:t>
      </w:r>
    </w:p>
    <w:p>
      <w:pPr>
        <w:spacing w:line="360" w:lineRule="auto"/>
        <w:ind w:firstLine="420" w:firstLineChars="200"/>
        <w:jc w:val="left"/>
        <w:rPr>
          <w:rFonts w:ascii="宋体" w:hAnsi="宋体"/>
          <w:szCs w:val="21"/>
        </w:rPr>
      </w:pPr>
      <w:r>
        <w:rPr>
          <w:rFonts w:hint="eastAsia" w:ascii="宋体" w:hAnsi="宋体"/>
          <w:szCs w:val="21"/>
        </w:rPr>
        <w:t>3．其他安全未遂事故和异常事件。</w:t>
      </w:r>
    </w:p>
    <w:p>
      <w:pPr>
        <w:spacing w:line="360" w:lineRule="auto"/>
        <w:ind w:firstLine="420" w:firstLineChars="200"/>
        <w:rPr>
          <w:rFonts w:ascii="宋体" w:hAnsi="宋体"/>
          <w:szCs w:val="21"/>
        </w:rPr>
      </w:pPr>
      <w:bookmarkStart w:id="676" w:name="_Toc239510292"/>
      <w:bookmarkStart w:id="677" w:name="_Toc247431426"/>
      <w:bookmarkStart w:id="678" w:name="_Toc247418266"/>
      <w:bookmarkStart w:id="679" w:name="_Toc532375702"/>
      <w:r>
        <w:rPr>
          <w:rFonts w:hint="eastAsia" w:ascii="宋体" w:hAnsi="宋体"/>
          <w:szCs w:val="21"/>
        </w:rPr>
        <w:t>三、安全责任</w:t>
      </w:r>
      <w:bookmarkEnd w:id="676"/>
      <w:bookmarkEnd w:id="677"/>
      <w:bookmarkEnd w:id="678"/>
      <w:bookmarkEnd w:id="679"/>
    </w:p>
    <w:p>
      <w:pPr>
        <w:spacing w:line="360" w:lineRule="auto"/>
        <w:ind w:firstLine="420" w:firstLineChars="200"/>
        <w:jc w:val="left"/>
        <w:rPr>
          <w:rFonts w:ascii="宋体" w:hAnsi="宋体"/>
          <w:szCs w:val="21"/>
        </w:rPr>
      </w:pPr>
      <w:r>
        <w:rPr>
          <w:rFonts w:hint="eastAsia" w:ascii="宋体" w:hAnsi="宋体"/>
          <w:szCs w:val="21"/>
        </w:rPr>
        <w:t>1．承包人负有安全生产的管理责任和直接责任。</w:t>
      </w:r>
    </w:p>
    <w:p>
      <w:pPr>
        <w:spacing w:line="360" w:lineRule="auto"/>
        <w:ind w:firstLine="420" w:firstLineChars="200"/>
        <w:jc w:val="left"/>
        <w:rPr>
          <w:rFonts w:ascii="宋体" w:hAnsi="宋体"/>
          <w:szCs w:val="21"/>
        </w:rPr>
      </w:pPr>
      <w:r>
        <w:rPr>
          <w:rFonts w:hint="eastAsia" w:ascii="宋体" w:hAnsi="宋体"/>
          <w:szCs w:val="21"/>
        </w:rPr>
        <w:t>2．承包人的法人或签署合同的公司总经理或受委托的代理人对合同安全负有全面的领导责任。</w:t>
      </w:r>
    </w:p>
    <w:p>
      <w:pPr>
        <w:spacing w:line="360" w:lineRule="auto"/>
        <w:ind w:firstLine="420" w:firstLineChars="200"/>
        <w:jc w:val="left"/>
        <w:rPr>
          <w:rFonts w:ascii="宋体" w:hAnsi="宋体"/>
          <w:szCs w:val="21"/>
        </w:rPr>
      </w:pPr>
      <w:r>
        <w:rPr>
          <w:rFonts w:hint="eastAsia" w:ascii="宋体" w:hAnsi="宋体"/>
          <w:szCs w:val="21"/>
        </w:rPr>
        <w:t>3．承包人项目经理对施工现场的安全工作负有全面的直接领导责任。</w:t>
      </w:r>
    </w:p>
    <w:p>
      <w:pPr>
        <w:spacing w:line="360" w:lineRule="auto"/>
        <w:ind w:firstLine="420" w:firstLineChars="200"/>
        <w:jc w:val="left"/>
        <w:rPr>
          <w:rFonts w:ascii="宋体" w:hAnsi="宋体"/>
          <w:szCs w:val="21"/>
        </w:rPr>
      </w:pPr>
      <w:r>
        <w:rPr>
          <w:rFonts w:hint="eastAsia" w:ascii="宋体" w:hAnsi="宋体"/>
          <w:szCs w:val="21"/>
        </w:rPr>
        <w:t>4．承包人保证执行“谁施工、谁负责”的施工安全原则。</w:t>
      </w:r>
    </w:p>
    <w:p>
      <w:pPr>
        <w:spacing w:line="360" w:lineRule="auto"/>
        <w:ind w:firstLine="420" w:firstLineChars="200"/>
        <w:jc w:val="left"/>
        <w:rPr>
          <w:rFonts w:ascii="宋体" w:hAnsi="宋体"/>
          <w:szCs w:val="21"/>
        </w:rPr>
      </w:pPr>
      <w:r>
        <w:rPr>
          <w:rFonts w:hint="eastAsia" w:ascii="宋体" w:hAnsi="宋体"/>
          <w:szCs w:val="21"/>
        </w:rPr>
        <w:t>5．承包人保证服从发包人对安全工作的统一协调和管理。</w:t>
      </w:r>
    </w:p>
    <w:p>
      <w:pPr>
        <w:spacing w:line="360" w:lineRule="auto"/>
        <w:ind w:firstLine="420" w:firstLineChars="200"/>
        <w:jc w:val="left"/>
        <w:rPr>
          <w:rFonts w:ascii="宋体" w:hAnsi="宋体"/>
          <w:szCs w:val="21"/>
        </w:rPr>
      </w:pPr>
      <w:r>
        <w:rPr>
          <w:rFonts w:hint="eastAsia" w:ascii="宋体" w:hAnsi="宋体"/>
          <w:szCs w:val="21"/>
        </w:rPr>
        <w:t>6．承包人保证对本工程项目安全生产条件及其管理资源自行投入，保证安全资金的专款专用。</w:t>
      </w:r>
    </w:p>
    <w:p>
      <w:pPr>
        <w:spacing w:line="360" w:lineRule="auto"/>
        <w:ind w:firstLine="420" w:firstLineChars="200"/>
        <w:jc w:val="left"/>
        <w:rPr>
          <w:rFonts w:ascii="宋体" w:hAnsi="宋体"/>
          <w:szCs w:val="21"/>
        </w:rPr>
      </w:pPr>
      <w:r>
        <w:rPr>
          <w:rFonts w:hint="eastAsia" w:ascii="宋体" w:hAnsi="宋体"/>
          <w:szCs w:val="21"/>
        </w:rPr>
        <w:t>7．承包人保证建立本工程项目的安全管理体系及安全保证体系（注：项目安全管理大纲/手册、管理性的程序文件等）。</w:t>
      </w:r>
    </w:p>
    <w:p>
      <w:pPr>
        <w:spacing w:line="360" w:lineRule="auto"/>
        <w:ind w:firstLine="420" w:firstLineChars="200"/>
        <w:jc w:val="left"/>
        <w:rPr>
          <w:rFonts w:ascii="宋体" w:hAnsi="宋体"/>
          <w:szCs w:val="21"/>
        </w:rPr>
      </w:pPr>
      <w:r>
        <w:rPr>
          <w:rFonts w:hint="eastAsia" w:ascii="宋体" w:hAnsi="宋体"/>
          <w:szCs w:val="21"/>
        </w:rPr>
        <w:t>8．承包人保证现场的安全管理专职人员必须持有建设主管部门安全生产培训考核合格证书。</w:t>
      </w:r>
    </w:p>
    <w:p>
      <w:pPr>
        <w:spacing w:line="360" w:lineRule="auto"/>
        <w:ind w:firstLine="420" w:firstLineChars="200"/>
        <w:jc w:val="left"/>
        <w:rPr>
          <w:rFonts w:ascii="宋体" w:hAnsi="宋体"/>
          <w:szCs w:val="21"/>
        </w:rPr>
      </w:pPr>
      <w:r>
        <w:rPr>
          <w:rFonts w:hint="eastAsia" w:ascii="宋体" w:hAnsi="宋体"/>
          <w:szCs w:val="21"/>
        </w:rPr>
        <w:t>9．承包人保证为现场所有工作人员（含分包商员工及劳务人员）配备符合国家标准的有承包人和/或其下属分包商标志的个人基本劳动保护用品。</w:t>
      </w:r>
    </w:p>
    <w:p>
      <w:pPr>
        <w:spacing w:line="360" w:lineRule="auto"/>
        <w:ind w:firstLine="420" w:firstLineChars="200"/>
        <w:jc w:val="left"/>
        <w:rPr>
          <w:rFonts w:ascii="宋体" w:hAnsi="宋体"/>
          <w:szCs w:val="21"/>
        </w:rPr>
      </w:pPr>
      <w:r>
        <w:rPr>
          <w:rFonts w:hint="eastAsia" w:ascii="宋体" w:hAnsi="宋体"/>
          <w:szCs w:val="21"/>
        </w:rPr>
        <w:t>10．承包人保证按照国家法律规定为现场所有工作人员（含分包商员工及劳务人员）购买意外伤害保险。</w:t>
      </w:r>
    </w:p>
    <w:p>
      <w:pPr>
        <w:spacing w:line="360" w:lineRule="auto"/>
        <w:ind w:firstLine="420" w:firstLineChars="200"/>
        <w:jc w:val="left"/>
        <w:rPr>
          <w:rFonts w:ascii="宋体" w:hAnsi="宋体"/>
          <w:szCs w:val="21"/>
        </w:rPr>
      </w:pPr>
      <w:r>
        <w:rPr>
          <w:rFonts w:hint="eastAsia" w:ascii="宋体" w:hAnsi="宋体"/>
          <w:szCs w:val="21"/>
        </w:rPr>
        <w:t>11．承包人保证施工生活营地（包括自建的和租用的营地）满足消防、安全用电、卫生防疫、防暴雨、防雷击等方面的安全要求。</w:t>
      </w:r>
    </w:p>
    <w:p>
      <w:pPr>
        <w:spacing w:line="360" w:lineRule="auto"/>
        <w:ind w:firstLine="420" w:firstLineChars="200"/>
        <w:jc w:val="left"/>
        <w:rPr>
          <w:rFonts w:ascii="宋体" w:hAnsi="宋体"/>
          <w:szCs w:val="21"/>
        </w:rPr>
      </w:pPr>
      <w:r>
        <w:rPr>
          <w:rFonts w:hint="eastAsia" w:ascii="宋体" w:hAnsi="宋体"/>
          <w:szCs w:val="21"/>
        </w:rPr>
        <w:t>12．承包人保证对带入现场的设备、工具、材料按照国家法规和标准进行检测、试验，并持有法定部门出具的检验证书。</w:t>
      </w:r>
    </w:p>
    <w:p>
      <w:pPr>
        <w:spacing w:line="360" w:lineRule="auto"/>
        <w:ind w:firstLine="420" w:firstLineChars="200"/>
        <w:jc w:val="left"/>
        <w:rPr>
          <w:rFonts w:ascii="宋体" w:hAnsi="宋体"/>
          <w:szCs w:val="21"/>
        </w:rPr>
      </w:pPr>
      <w:r>
        <w:rPr>
          <w:rFonts w:hint="eastAsia" w:ascii="宋体" w:hAnsi="宋体"/>
          <w:szCs w:val="21"/>
        </w:rPr>
        <w:t>13．承包人保证制订施工现场的文明施工措施，保护环境、树木和植被，保持施工现场的良好秩序和整洁的作业环境。</w:t>
      </w:r>
    </w:p>
    <w:p>
      <w:pPr>
        <w:spacing w:line="360" w:lineRule="auto"/>
        <w:ind w:firstLine="420" w:firstLineChars="200"/>
        <w:jc w:val="left"/>
        <w:rPr>
          <w:rFonts w:ascii="宋体" w:hAnsi="宋体"/>
          <w:szCs w:val="21"/>
        </w:rPr>
      </w:pPr>
      <w:r>
        <w:rPr>
          <w:rFonts w:hint="eastAsia" w:ascii="宋体" w:hAnsi="宋体"/>
          <w:szCs w:val="21"/>
        </w:rPr>
        <w:t>14．承包人负责在施工过程中与当地政府、周边群众及其他承包商保持良好的沟通和交流。承包人遇到与周边群众发生纠纷时，应负责协调工作，确保工程能够顺利进行。</w:t>
      </w:r>
    </w:p>
    <w:p>
      <w:pPr>
        <w:spacing w:line="360" w:lineRule="auto"/>
        <w:ind w:firstLine="420" w:firstLineChars="200"/>
        <w:rPr>
          <w:rFonts w:ascii="宋体" w:hAnsi="宋体"/>
          <w:szCs w:val="21"/>
        </w:rPr>
      </w:pPr>
      <w:bookmarkStart w:id="680" w:name="_Toc532375703"/>
      <w:bookmarkStart w:id="681" w:name="_Toc247418267"/>
      <w:bookmarkStart w:id="682" w:name="_Toc239510293"/>
      <w:bookmarkStart w:id="683" w:name="_Toc247431427"/>
      <w:r>
        <w:rPr>
          <w:rFonts w:hint="eastAsia" w:ascii="宋体" w:hAnsi="宋体"/>
          <w:szCs w:val="21"/>
        </w:rPr>
        <w:t>四、接口及协调</w:t>
      </w:r>
      <w:bookmarkEnd w:id="680"/>
      <w:bookmarkEnd w:id="681"/>
      <w:bookmarkEnd w:id="682"/>
      <w:bookmarkEnd w:id="683"/>
    </w:p>
    <w:p>
      <w:pPr>
        <w:spacing w:line="360" w:lineRule="auto"/>
        <w:ind w:firstLine="420" w:firstLineChars="200"/>
        <w:jc w:val="left"/>
        <w:rPr>
          <w:rFonts w:ascii="宋体" w:hAnsi="宋体"/>
          <w:szCs w:val="21"/>
        </w:rPr>
      </w:pPr>
      <w:r>
        <w:rPr>
          <w:rFonts w:hint="eastAsia" w:ascii="宋体" w:hAnsi="宋体"/>
          <w:szCs w:val="21"/>
          <w:lang w:val="en-US" w:eastAsia="zh-CN"/>
        </w:rPr>
        <w:t>1</w:t>
      </w:r>
      <w:r>
        <w:rPr>
          <w:rFonts w:hint="eastAsia" w:ascii="宋体" w:hAnsi="宋体"/>
          <w:szCs w:val="21"/>
        </w:rPr>
        <w:t>．承包人人员、车辆的出入，带入现场的设备、机具、材料，在现场使用的或直接管理的办公、生活、生产性设施的安全管理须满足发包人现场管理的基本要求。</w:t>
      </w:r>
    </w:p>
    <w:p>
      <w:pPr>
        <w:spacing w:line="360" w:lineRule="auto"/>
        <w:ind w:firstLine="420" w:firstLineChars="200"/>
        <w:jc w:val="left"/>
        <w:rPr>
          <w:rFonts w:ascii="宋体" w:hAnsi="宋体"/>
          <w:szCs w:val="21"/>
        </w:rPr>
      </w:pPr>
      <w:r>
        <w:rPr>
          <w:rFonts w:hint="eastAsia" w:ascii="宋体" w:hAnsi="宋体"/>
          <w:szCs w:val="21"/>
          <w:lang w:val="en-US" w:eastAsia="zh-CN"/>
        </w:rPr>
        <w:t>2</w:t>
      </w:r>
      <w:r>
        <w:rPr>
          <w:rFonts w:hint="eastAsia" w:ascii="宋体" w:hAnsi="宋体"/>
          <w:szCs w:val="21"/>
        </w:rPr>
        <w:t>．承包人应指定专职安全管理人员与发包人接口，参与安全协调和管理。安全协调和管理的内容包括职业健康、工业安全、消防安全、卫生防疫、交通安全、环境保护、治安保卫等各方面。</w:t>
      </w:r>
    </w:p>
    <w:p>
      <w:pPr>
        <w:spacing w:line="360" w:lineRule="auto"/>
        <w:ind w:firstLine="420" w:firstLineChars="200"/>
        <w:jc w:val="left"/>
        <w:rPr>
          <w:rFonts w:ascii="宋体" w:hAnsi="宋体"/>
          <w:szCs w:val="21"/>
        </w:rPr>
      </w:pPr>
      <w:r>
        <w:rPr>
          <w:rFonts w:hint="eastAsia" w:ascii="宋体" w:hAnsi="宋体"/>
          <w:szCs w:val="21"/>
          <w:lang w:val="en-US" w:eastAsia="zh-CN"/>
        </w:rPr>
        <w:t>3</w:t>
      </w:r>
      <w:r>
        <w:rPr>
          <w:rFonts w:hint="eastAsia" w:ascii="宋体" w:hAnsi="宋体"/>
          <w:szCs w:val="21"/>
        </w:rPr>
        <w:t>．承包人的专职安全管理人员应具备协调安全工作的能力和授权。发包人有权对专职安全管理人员的能力和权力做出评价，对于不能胜任的专职安全管理人员，发包人有权要求承包人换人。</w:t>
      </w:r>
    </w:p>
    <w:p>
      <w:pPr>
        <w:spacing w:line="360" w:lineRule="auto"/>
        <w:ind w:firstLine="420" w:firstLineChars="200"/>
        <w:jc w:val="left"/>
        <w:rPr>
          <w:rFonts w:ascii="宋体" w:hAnsi="宋体"/>
          <w:szCs w:val="21"/>
        </w:rPr>
      </w:pPr>
      <w:r>
        <w:rPr>
          <w:rFonts w:hint="eastAsia" w:ascii="宋体" w:hAnsi="宋体"/>
          <w:szCs w:val="21"/>
          <w:lang w:val="en-US" w:eastAsia="zh-CN"/>
        </w:rPr>
        <w:t>4</w:t>
      </w:r>
      <w:r>
        <w:rPr>
          <w:rFonts w:hint="eastAsia" w:ascii="宋体" w:hAnsi="宋体"/>
          <w:szCs w:val="21"/>
        </w:rPr>
        <w:t>．承包人指定的专职安全管理人员应与发包人建立联系，在业务上接受发包人的协调和指导。</w:t>
      </w:r>
    </w:p>
    <w:p>
      <w:pPr>
        <w:spacing w:line="360" w:lineRule="auto"/>
        <w:ind w:firstLine="420" w:firstLineChars="200"/>
        <w:jc w:val="left"/>
        <w:rPr>
          <w:rFonts w:ascii="宋体" w:hAnsi="宋体"/>
          <w:szCs w:val="21"/>
        </w:rPr>
      </w:pPr>
      <w:r>
        <w:rPr>
          <w:rFonts w:hint="eastAsia" w:ascii="宋体" w:hAnsi="宋体"/>
          <w:szCs w:val="21"/>
          <w:lang w:val="en-US" w:eastAsia="zh-CN"/>
        </w:rPr>
        <w:t>5</w:t>
      </w:r>
      <w:r>
        <w:rPr>
          <w:rFonts w:hint="eastAsia" w:ascii="宋体" w:hAnsi="宋体"/>
          <w:szCs w:val="21"/>
        </w:rPr>
        <w:t>．开工后承包人的专职安全管理人员应按照发包人的规定，定期报送安全月度快报、季报、年报和各种专项事故报告等。</w:t>
      </w:r>
    </w:p>
    <w:p>
      <w:pPr>
        <w:spacing w:line="360" w:lineRule="auto"/>
        <w:ind w:firstLine="420" w:firstLineChars="200"/>
        <w:jc w:val="left"/>
        <w:rPr>
          <w:rFonts w:ascii="宋体" w:hAnsi="宋体"/>
          <w:szCs w:val="21"/>
        </w:rPr>
      </w:pPr>
      <w:r>
        <w:rPr>
          <w:rFonts w:hint="eastAsia" w:ascii="宋体" w:hAnsi="宋体"/>
          <w:szCs w:val="21"/>
          <w:lang w:val="en-US" w:eastAsia="zh-CN"/>
        </w:rPr>
        <w:t>6</w:t>
      </w:r>
      <w:r>
        <w:rPr>
          <w:rFonts w:hint="eastAsia" w:ascii="宋体" w:hAnsi="宋体"/>
          <w:szCs w:val="21"/>
        </w:rPr>
        <w:t>．在工程实体未全部正式移交发包人施工管理部门之前，承包人依旧对施工范围内的安全管理负责。</w:t>
      </w:r>
    </w:p>
    <w:p>
      <w:pPr>
        <w:spacing w:line="360" w:lineRule="auto"/>
        <w:ind w:firstLine="420" w:firstLineChars="200"/>
        <w:rPr>
          <w:rFonts w:ascii="宋体" w:hAnsi="宋体"/>
          <w:szCs w:val="21"/>
        </w:rPr>
      </w:pPr>
      <w:bookmarkStart w:id="684" w:name="_Toc247431428"/>
      <w:bookmarkStart w:id="685" w:name="_Toc239510294"/>
      <w:bookmarkStart w:id="686" w:name="_Toc532375704"/>
      <w:bookmarkStart w:id="687" w:name="_Toc247418268"/>
      <w:r>
        <w:rPr>
          <w:rFonts w:hint="eastAsia" w:ascii="宋体" w:hAnsi="宋体"/>
          <w:szCs w:val="21"/>
        </w:rPr>
        <w:t>五、安全资质审查</w:t>
      </w:r>
      <w:bookmarkEnd w:id="684"/>
      <w:bookmarkEnd w:id="685"/>
      <w:bookmarkEnd w:id="686"/>
      <w:bookmarkEnd w:id="687"/>
    </w:p>
    <w:p>
      <w:pPr>
        <w:spacing w:line="360" w:lineRule="auto"/>
        <w:ind w:firstLine="420" w:firstLineChars="200"/>
        <w:jc w:val="left"/>
        <w:rPr>
          <w:rFonts w:ascii="宋体" w:hAnsi="宋体"/>
          <w:szCs w:val="21"/>
        </w:rPr>
      </w:pPr>
      <w:r>
        <w:rPr>
          <w:rFonts w:hint="eastAsia" w:ascii="宋体" w:hAnsi="宋体"/>
          <w:szCs w:val="21"/>
        </w:rPr>
        <w:t>承包人在项目开工前5个工作天内向发包人提供以下安全资质供审查和存档：</w:t>
      </w:r>
    </w:p>
    <w:p>
      <w:pPr>
        <w:spacing w:line="360" w:lineRule="auto"/>
        <w:ind w:firstLine="420" w:firstLineChars="200"/>
        <w:jc w:val="left"/>
        <w:rPr>
          <w:rFonts w:ascii="宋体" w:hAnsi="宋体"/>
          <w:szCs w:val="21"/>
        </w:rPr>
      </w:pPr>
      <w:r>
        <w:rPr>
          <w:rFonts w:hint="eastAsia" w:ascii="宋体" w:hAnsi="宋体"/>
          <w:szCs w:val="21"/>
        </w:rPr>
        <w:t>1．企业安全生产许可证书复印件。</w:t>
      </w:r>
    </w:p>
    <w:p>
      <w:pPr>
        <w:spacing w:line="360" w:lineRule="auto"/>
        <w:ind w:firstLine="420" w:firstLineChars="200"/>
        <w:jc w:val="left"/>
        <w:rPr>
          <w:rFonts w:ascii="宋体" w:hAnsi="宋体"/>
          <w:szCs w:val="21"/>
        </w:rPr>
      </w:pPr>
      <w:r>
        <w:rPr>
          <w:rFonts w:hint="eastAsia" w:ascii="宋体" w:hAnsi="宋体"/>
          <w:szCs w:val="21"/>
        </w:rPr>
        <w:t>2．企业近三年的施工简历及安全施工业绩证明文件。</w:t>
      </w:r>
    </w:p>
    <w:p>
      <w:pPr>
        <w:spacing w:line="360" w:lineRule="auto"/>
        <w:ind w:firstLine="420" w:firstLineChars="200"/>
        <w:jc w:val="left"/>
        <w:rPr>
          <w:rFonts w:ascii="宋体" w:hAnsi="宋体"/>
          <w:szCs w:val="21"/>
        </w:rPr>
      </w:pPr>
      <w:r>
        <w:rPr>
          <w:rFonts w:hint="eastAsia" w:ascii="宋体" w:hAnsi="宋体"/>
          <w:szCs w:val="21"/>
        </w:rPr>
        <w:t>3．企业主要安全管理人员（包括项目经理、专职安全管理人员）经建设主管部门安全生产知识考核合格证书。</w:t>
      </w:r>
    </w:p>
    <w:p>
      <w:pPr>
        <w:spacing w:line="360" w:lineRule="auto"/>
        <w:ind w:firstLine="420" w:firstLineChars="200"/>
        <w:jc w:val="left"/>
        <w:rPr>
          <w:rFonts w:ascii="宋体" w:hAnsi="宋体"/>
          <w:szCs w:val="21"/>
        </w:rPr>
      </w:pPr>
      <w:r>
        <w:rPr>
          <w:rFonts w:hint="eastAsia" w:ascii="宋体" w:hAnsi="宋体"/>
          <w:szCs w:val="21"/>
        </w:rPr>
        <w:t>4．特种作业人员资格证书。</w:t>
      </w:r>
    </w:p>
    <w:p>
      <w:pPr>
        <w:spacing w:line="360" w:lineRule="auto"/>
        <w:ind w:firstLine="420" w:firstLineChars="200"/>
        <w:jc w:val="left"/>
        <w:rPr>
          <w:rFonts w:ascii="宋体" w:hAnsi="宋体"/>
          <w:szCs w:val="21"/>
        </w:rPr>
      </w:pPr>
      <w:r>
        <w:rPr>
          <w:rFonts w:hint="eastAsia" w:ascii="宋体" w:hAnsi="宋体"/>
          <w:szCs w:val="21"/>
        </w:rPr>
        <w:t>5．项目安全管理机构及其人员配备（承包人必须配有专职的安全员）。</w:t>
      </w:r>
    </w:p>
    <w:p>
      <w:pPr>
        <w:spacing w:line="360" w:lineRule="auto"/>
        <w:ind w:firstLine="420" w:firstLineChars="200"/>
        <w:jc w:val="left"/>
        <w:rPr>
          <w:rFonts w:ascii="宋体" w:hAnsi="宋体"/>
          <w:szCs w:val="21"/>
        </w:rPr>
      </w:pPr>
      <w:r>
        <w:rPr>
          <w:rFonts w:hint="eastAsia" w:ascii="宋体" w:hAnsi="宋体"/>
          <w:szCs w:val="21"/>
        </w:rPr>
        <w:t>6．适用于项目的安全管理体系及保证体系文件（安全管理大纲及管理程序文件）。</w:t>
      </w:r>
    </w:p>
    <w:p>
      <w:pPr>
        <w:spacing w:line="360" w:lineRule="auto"/>
        <w:ind w:firstLine="420" w:firstLineChars="200"/>
        <w:rPr>
          <w:rFonts w:ascii="宋体" w:hAnsi="宋体"/>
          <w:szCs w:val="21"/>
        </w:rPr>
      </w:pPr>
      <w:bookmarkStart w:id="688" w:name="_Toc532375705"/>
      <w:bookmarkStart w:id="689" w:name="_Toc239510295"/>
      <w:bookmarkStart w:id="690" w:name="_Toc247418269"/>
      <w:bookmarkStart w:id="691" w:name="_Toc247431429"/>
      <w:r>
        <w:rPr>
          <w:rFonts w:hint="eastAsia" w:ascii="宋体" w:hAnsi="宋体"/>
          <w:szCs w:val="21"/>
        </w:rPr>
        <w:t>六、人员基本素质</w:t>
      </w:r>
      <w:bookmarkEnd w:id="688"/>
      <w:bookmarkEnd w:id="689"/>
      <w:bookmarkEnd w:id="690"/>
      <w:bookmarkEnd w:id="691"/>
    </w:p>
    <w:p>
      <w:pPr>
        <w:spacing w:line="360" w:lineRule="auto"/>
        <w:ind w:firstLine="420" w:firstLineChars="200"/>
        <w:jc w:val="left"/>
        <w:rPr>
          <w:rFonts w:ascii="宋体" w:hAnsi="宋体"/>
          <w:szCs w:val="21"/>
        </w:rPr>
      </w:pPr>
      <w:r>
        <w:rPr>
          <w:rFonts w:hint="eastAsia" w:ascii="宋体" w:hAnsi="宋体"/>
          <w:szCs w:val="21"/>
        </w:rPr>
        <w:t>承包人提供的人员必须满足下列要求：</w:t>
      </w:r>
    </w:p>
    <w:p>
      <w:pPr>
        <w:spacing w:line="360" w:lineRule="auto"/>
        <w:ind w:firstLine="420" w:firstLineChars="200"/>
        <w:jc w:val="left"/>
        <w:rPr>
          <w:rFonts w:ascii="宋体" w:hAnsi="宋体"/>
          <w:szCs w:val="21"/>
        </w:rPr>
      </w:pPr>
      <w:r>
        <w:rPr>
          <w:rFonts w:hint="eastAsia" w:ascii="宋体" w:hAnsi="宋体"/>
          <w:szCs w:val="21"/>
        </w:rPr>
        <w:t>1．身体健康，无影响工作的精神疾病、无传染病和其他重大疾病；承包人需对其雇用的施工人员签发健康声明并保证其健康。其中体检证明材料（县级以上医院）和健康声明作为人员办理入场证件的必备材料。</w:t>
      </w:r>
    </w:p>
    <w:p>
      <w:pPr>
        <w:spacing w:line="360" w:lineRule="auto"/>
        <w:ind w:firstLine="420" w:firstLineChars="200"/>
        <w:jc w:val="left"/>
        <w:rPr>
          <w:rFonts w:ascii="宋体" w:hAnsi="宋体"/>
          <w:szCs w:val="21"/>
        </w:rPr>
      </w:pPr>
      <w:r>
        <w:rPr>
          <w:rFonts w:hint="eastAsia" w:ascii="宋体" w:hAnsi="宋体"/>
          <w:szCs w:val="21"/>
        </w:rPr>
        <w:t>2．无刑事案件牵连。</w:t>
      </w:r>
    </w:p>
    <w:p>
      <w:pPr>
        <w:spacing w:line="360" w:lineRule="auto"/>
        <w:ind w:firstLine="420" w:firstLineChars="200"/>
        <w:jc w:val="left"/>
        <w:rPr>
          <w:rFonts w:ascii="宋体" w:hAnsi="宋体"/>
          <w:szCs w:val="21"/>
        </w:rPr>
      </w:pPr>
      <w:r>
        <w:rPr>
          <w:rFonts w:hint="eastAsia" w:ascii="宋体" w:hAnsi="宋体"/>
          <w:szCs w:val="21"/>
        </w:rPr>
        <w:t>3．无吸毒、酗酒、赌博、嫖娼等恶习及违法行为。</w:t>
      </w:r>
    </w:p>
    <w:p>
      <w:pPr>
        <w:spacing w:line="360" w:lineRule="auto"/>
        <w:ind w:firstLine="420" w:firstLineChars="200"/>
        <w:rPr>
          <w:rFonts w:ascii="宋体" w:hAnsi="宋体"/>
          <w:szCs w:val="21"/>
        </w:rPr>
      </w:pPr>
      <w:bookmarkStart w:id="692" w:name="_Toc247431430"/>
      <w:bookmarkStart w:id="693" w:name="_Toc239510296"/>
      <w:bookmarkStart w:id="694" w:name="_Toc532375706"/>
      <w:bookmarkStart w:id="695" w:name="_Toc247418270"/>
      <w:r>
        <w:rPr>
          <w:rFonts w:hint="eastAsia" w:ascii="宋体" w:hAnsi="宋体"/>
          <w:szCs w:val="21"/>
        </w:rPr>
        <w:t>七、劳动保护</w:t>
      </w:r>
      <w:bookmarkEnd w:id="692"/>
      <w:bookmarkEnd w:id="693"/>
      <w:bookmarkEnd w:id="694"/>
      <w:bookmarkEnd w:id="695"/>
    </w:p>
    <w:p>
      <w:pPr>
        <w:spacing w:line="360" w:lineRule="auto"/>
        <w:ind w:firstLine="420" w:firstLineChars="200"/>
        <w:jc w:val="left"/>
        <w:rPr>
          <w:rFonts w:ascii="宋体" w:hAnsi="宋体"/>
          <w:szCs w:val="21"/>
        </w:rPr>
      </w:pPr>
      <w:r>
        <w:rPr>
          <w:rFonts w:hint="eastAsia" w:ascii="宋体" w:hAnsi="宋体"/>
          <w:szCs w:val="21"/>
        </w:rPr>
        <w:t>1．承包人负责为本单位任何用工形式的员工提供个人劳动保护用品（包括工作服、安全帽、安全鞋等）。</w:t>
      </w:r>
    </w:p>
    <w:p>
      <w:pPr>
        <w:spacing w:line="360" w:lineRule="auto"/>
        <w:ind w:firstLine="420" w:firstLineChars="200"/>
        <w:jc w:val="left"/>
        <w:rPr>
          <w:rFonts w:ascii="宋体" w:hAnsi="宋体"/>
          <w:szCs w:val="21"/>
        </w:rPr>
      </w:pPr>
      <w:r>
        <w:rPr>
          <w:rFonts w:hint="eastAsia" w:ascii="宋体" w:hAnsi="宋体"/>
          <w:szCs w:val="21"/>
        </w:rPr>
        <w:t>2．承包人负责向特殊工种的员工提供特殊劳动保护，否则不得从事特殊工种作业。</w:t>
      </w:r>
    </w:p>
    <w:p>
      <w:pPr>
        <w:spacing w:line="360" w:lineRule="auto"/>
        <w:ind w:firstLine="420" w:firstLineChars="200"/>
        <w:jc w:val="left"/>
        <w:rPr>
          <w:rFonts w:ascii="宋体" w:hAnsi="宋体"/>
          <w:szCs w:val="21"/>
        </w:rPr>
      </w:pPr>
      <w:r>
        <w:rPr>
          <w:rFonts w:hint="eastAsia" w:ascii="宋体" w:hAnsi="宋体"/>
          <w:szCs w:val="21"/>
        </w:rPr>
        <w:t>3．发包人有权检查承包人的个人劳动保护用品是否符合国家的相应标准。</w:t>
      </w:r>
    </w:p>
    <w:p>
      <w:pPr>
        <w:spacing w:line="360" w:lineRule="auto"/>
        <w:ind w:firstLine="420" w:firstLineChars="200"/>
        <w:jc w:val="left"/>
        <w:rPr>
          <w:rFonts w:ascii="宋体" w:hAnsi="宋体"/>
          <w:szCs w:val="21"/>
        </w:rPr>
      </w:pPr>
      <w:r>
        <w:rPr>
          <w:rFonts w:hint="eastAsia" w:ascii="宋体" w:hAnsi="宋体"/>
          <w:szCs w:val="21"/>
        </w:rPr>
        <w:t>4． 承包人在特殊风险场所作业而需要特殊防护用品或安全仪表时，必须在上述防护用品全部到位后才能开工。</w:t>
      </w:r>
    </w:p>
    <w:p>
      <w:pPr>
        <w:spacing w:line="360" w:lineRule="auto"/>
        <w:ind w:firstLine="420" w:firstLineChars="200"/>
        <w:jc w:val="left"/>
        <w:rPr>
          <w:rFonts w:ascii="宋体" w:hAnsi="宋体"/>
          <w:szCs w:val="21"/>
        </w:rPr>
      </w:pPr>
      <w:r>
        <w:rPr>
          <w:rFonts w:hint="eastAsia" w:ascii="宋体" w:hAnsi="宋体"/>
          <w:szCs w:val="21"/>
        </w:rPr>
        <w:t>5．承包人应配备临时安全围栏、警示带、警告标志、防火布等集体防护用品。</w:t>
      </w:r>
    </w:p>
    <w:p>
      <w:pPr>
        <w:spacing w:line="360" w:lineRule="auto"/>
        <w:ind w:firstLine="420" w:firstLineChars="200"/>
        <w:rPr>
          <w:rFonts w:ascii="宋体" w:hAnsi="宋体"/>
          <w:szCs w:val="21"/>
        </w:rPr>
      </w:pPr>
      <w:bookmarkStart w:id="696" w:name="_Toc239510297"/>
      <w:bookmarkStart w:id="697" w:name="_Toc532375707"/>
      <w:bookmarkStart w:id="698" w:name="_Toc247418271"/>
      <w:bookmarkStart w:id="699" w:name="_Toc247431431"/>
      <w:r>
        <w:rPr>
          <w:rFonts w:hint="eastAsia" w:ascii="宋体" w:hAnsi="宋体"/>
          <w:szCs w:val="21"/>
        </w:rPr>
        <w:t>八、施工机具与材料</w:t>
      </w:r>
      <w:bookmarkEnd w:id="696"/>
      <w:bookmarkEnd w:id="697"/>
      <w:bookmarkEnd w:id="698"/>
      <w:bookmarkEnd w:id="699"/>
    </w:p>
    <w:p>
      <w:pPr>
        <w:spacing w:line="360" w:lineRule="auto"/>
        <w:ind w:firstLine="420" w:firstLineChars="200"/>
        <w:jc w:val="left"/>
        <w:rPr>
          <w:rFonts w:ascii="宋体" w:hAnsi="宋体"/>
          <w:szCs w:val="21"/>
        </w:rPr>
      </w:pPr>
      <w:r>
        <w:rPr>
          <w:rFonts w:hint="eastAsia" w:ascii="宋体" w:hAnsi="宋体"/>
          <w:szCs w:val="21"/>
        </w:rPr>
        <w:t>1．承包人对带入现场的施工机械和工器具的安全负责。</w:t>
      </w:r>
    </w:p>
    <w:p>
      <w:pPr>
        <w:spacing w:line="360" w:lineRule="auto"/>
        <w:ind w:firstLine="420" w:firstLineChars="200"/>
        <w:jc w:val="left"/>
        <w:rPr>
          <w:rFonts w:ascii="宋体" w:hAnsi="宋体"/>
          <w:szCs w:val="21"/>
        </w:rPr>
      </w:pPr>
      <w:r>
        <w:rPr>
          <w:rFonts w:hint="eastAsia" w:ascii="宋体" w:hAnsi="宋体"/>
          <w:szCs w:val="21"/>
        </w:rPr>
        <w:t>2．对于承包人带入现场的特殊工器具，如起重设备、索具、机动车辆、压缩气瓶等，承包人必须按国家法规和标准进行检测、试验，并持有法定部门出具的检验证书。</w:t>
      </w:r>
    </w:p>
    <w:p>
      <w:pPr>
        <w:spacing w:line="360" w:lineRule="auto"/>
        <w:ind w:firstLine="420" w:firstLineChars="200"/>
        <w:jc w:val="left"/>
        <w:rPr>
          <w:rFonts w:ascii="宋体" w:hAnsi="宋体"/>
          <w:szCs w:val="21"/>
        </w:rPr>
      </w:pPr>
      <w:r>
        <w:rPr>
          <w:rFonts w:hint="eastAsia" w:ascii="宋体" w:hAnsi="宋体"/>
          <w:szCs w:val="21"/>
        </w:rPr>
        <w:t>3．对于不属于法定检测的工器具，承包人也必须建立相应的管理、检测制度，这些工器具包括登高工具、脚手架材料、电动工具、安全防护设备及用具等。</w:t>
      </w:r>
    </w:p>
    <w:p>
      <w:pPr>
        <w:spacing w:line="360" w:lineRule="auto"/>
        <w:ind w:firstLine="420" w:firstLineChars="200"/>
        <w:rPr>
          <w:rFonts w:ascii="宋体" w:hAnsi="宋体"/>
          <w:szCs w:val="21"/>
        </w:rPr>
      </w:pPr>
      <w:bookmarkStart w:id="700" w:name="_Toc532375708"/>
      <w:bookmarkStart w:id="701" w:name="_Toc239510298"/>
      <w:bookmarkStart w:id="702" w:name="_Toc247418272"/>
      <w:bookmarkStart w:id="703" w:name="_Toc247431432"/>
      <w:r>
        <w:rPr>
          <w:rFonts w:hint="eastAsia" w:ascii="宋体" w:hAnsi="宋体"/>
          <w:szCs w:val="21"/>
        </w:rPr>
        <w:t>九、开工前安全条件检查</w:t>
      </w:r>
      <w:bookmarkEnd w:id="700"/>
      <w:bookmarkEnd w:id="701"/>
      <w:bookmarkEnd w:id="702"/>
      <w:bookmarkEnd w:id="703"/>
    </w:p>
    <w:p>
      <w:pPr>
        <w:spacing w:line="360" w:lineRule="auto"/>
        <w:ind w:firstLine="420" w:firstLineChars="200"/>
        <w:jc w:val="left"/>
        <w:rPr>
          <w:rFonts w:ascii="宋体" w:hAnsi="宋体"/>
          <w:szCs w:val="21"/>
        </w:rPr>
      </w:pPr>
      <w:r>
        <w:rPr>
          <w:rFonts w:hint="eastAsia" w:ascii="宋体" w:hAnsi="宋体"/>
          <w:szCs w:val="21"/>
        </w:rPr>
        <w:t>1．发包人将在合同生效后，工程项目正式开工5个工作日前，依据合同安全条款的要求逐项对承包人安全准备情况进行检查。不满足开工安全条件时，承包人将不得开工，由此产生的工期和成本的影响，由承包人自行负责。</w:t>
      </w:r>
    </w:p>
    <w:p>
      <w:pPr>
        <w:spacing w:line="360" w:lineRule="auto"/>
        <w:ind w:firstLine="420" w:firstLineChars="200"/>
        <w:jc w:val="left"/>
        <w:rPr>
          <w:rFonts w:ascii="宋体" w:hAnsi="宋体"/>
          <w:szCs w:val="21"/>
        </w:rPr>
      </w:pPr>
      <w:r>
        <w:rPr>
          <w:rFonts w:hint="eastAsia" w:ascii="宋体" w:hAnsi="宋体"/>
          <w:szCs w:val="21"/>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pPr>
        <w:spacing w:line="360" w:lineRule="auto"/>
        <w:ind w:firstLine="420" w:firstLineChars="200"/>
        <w:jc w:val="left"/>
        <w:rPr>
          <w:rFonts w:ascii="宋体" w:hAnsi="宋体"/>
          <w:szCs w:val="21"/>
        </w:rPr>
      </w:pPr>
      <w:r>
        <w:rPr>
          <w:rFonts w:hint="eastAsia" w:ascii="宋体" w:hAnsi="宋体"/>
          <w:szCs w:val="21"/>
        </w:rPr>
        <w:t>3．发包人检查发现的缺陷，承包人应在规定期限内完成整改。对于重大缺陷，发包人有权要求承包人推迟开工，由此对工期产生的影响或经济损失，由承包人承担。</w:t>
      </w:r>
    </w:p>
    <w:p>
      <w:pPr>
        <w:spacing w:line="360" w:lineRule="auto"/>
        <w:ind w:firstLine="420" w:firstLineChars="200"/>
        <w:rPr>
          <w:rFonts w:ascii="宋体" w:hAnsi="宋体"/>
          <w:szCs w:val="21"/>
        </w:rPr>
      </w:pPr>
      <w:bookmarkStart w:id="704" w:name="_Toc247431433"/>
      <w:bookmarkStart w:id="705" w:name="_Toc239510299"/>
      <w:bookmarkStart w:id="706" w:name="_Toc247418273"/>
      <w:bookmarkStart w:id="707" w:name="_Toc532375709"/>
      <w:r>
        <w:rPr>
          <w:rFonts w:hint="eastAsia" w:ascii="宋体" w:hAnsi="宋体"/>
          <w:szCs w:val="21"/>
        </w:rPr>
        <w:t>十、安全监督</w:t>
      </w:r>
      <w:bookmarkEnd w:id="704"/>
      <w:bookmarkEnd w:id="705"/>
      <w:bookmarkEnd w:id="706"/>
      <w:bookmarkEnd w:id="707"/>
    </w:p>
    <w:p>
      <w:pPr>
        <w:spacing w:line="360" w:lineRule="auto"/>
        <w:ind w:firstLine="420" w:firstLineChars="200"/>
        <w:jc w:val="left"/>
        <w:rPr>
          <w:rFonts w:ascii="宋体" w:hAnsi="宋体"/>
          <w:szCs w:val="21"/>
        </w:rPr>
      </w:pPr>
      <w:r>
        <w:rPr>
          <w:rFonts w:hint="eastAsia" w:ascii="宋体" w:hAnsi="宋体"/>
          <w:szCs w:val="21"/>
        </w:rPr>
        <w:t>1．承包人应配备有满足项目安全管理需要的专职安全管理人员。</w:t>
      </w:r>
    </w:p>
    <w:p>
      <w:pPr>
        <w:spacing w:line="360" w:lineRule="auto"/>
        <w:ind w:firstLine="420" w:firstLineChars="200"/>
        <w:jc w:val="left"/>
        <w:rPr>
          <w:rFonts w:ascii="宋体" w:hAnsi="宋体"/>
          <w:szCs w:val="21"/>
        </w:rPr>
      </w:pPr>
      <w:r>
        <w:rPr>
          <w:rFonts w:hint="eastAsia" w:ascii="宋体" w:hAnsi="宋体"/>
          <w:szCs w:val="21"/>
        </w:rPr>
        <w:t>2．承包人的专职安全管理人员必须持建设主管部门颁发的安全生产知识考核合格证书。</w:t>
      </w:r>
    </w:p>
    <w:p>
      <w:pPr>
        <w:spacing w:line="360" w:lineRule="auto"/>
        <w:ind w:firstLine="420" w:firstLineChars="200"/>
        <w:jc w:val="left"/>
        <w:rPr>
          <w:rFonts w:ascii="宋体" w:hAnsi="宋体"/>
          <w:szCs w:val="21"/>
        </w:rPr>
      </w:pPr>
      <w:r>
        <w:rPr>
          <w:rFonts w:hint="eastAsia" w:ascii="宋体" w:hAnsi="宋体"/>
          <w:szCs w:val="21"/>
        </w:rPr>
        <w:t>3．承包人的专职安全管理人员在业务上接受发包人安全管理部门的协调和指导。</w:t>
      </w:r>
    </w:p>
    <w:p>
      <w:pPr>
        <w:spacing w:line="360" w:lineRule="auto"/>
        <w:ind w:firstLine="420" w:firstLineChars="200"/>
        <w:jc w:val="left"/>
        <w:rPr>
          <w:rFonts w:ascii="宋体" w:hAnsi="宋体"/>
          <w:szCs w:val="21"/>
        </w:rPr>
      </w:pPr>
      <w:r>
        <w:rPr>
          <w:rFonts w:hint="eastAsia" w:ascii="宋体" w:hAnsi="宋体"/>
          <w:szCs w:val="21"/>
        </w:rPr>
        <w:t>4．承包人应建立班前安全交底制度；施工期间坚持开展安全检查和日常安全监督并形成相应的记录。</w:t>
      </w:r>
    </w:p>
    <w:p>
      <w:pPr>
        <w:spacing w:line="360" w:lineRule="auto"/>
        <w:ind w:firstLine="420" w:firstLineChars="200"/>
        <w:jc w:val="left"/>
        <w:rPr>
          <w:rFonts w:ascii="宋体" w:hAnsi="宋体"/>
          <w:szCs w:val="21"/>
        </w:rPr>
      </w:pPr>
      <w:r>
        <w:rPr>
          <w:rFonts w:hint="eastAsia" w:ascii="宋体" w:hAnsi="宋体"/>
          <w:szCs w:val="21"/>
        </w:rPr>
        <w:t>5．承包人应在每个作业区任命兼职安全员，赋予兼职安全员相应的授权和义务，并对兼职安全员进行定期考核。</w:t>
      </w:r>
    </w:p>
    <w:p>
      <w:pPr>
        <w:spacing w:line="360" w:lineRule="auto"/>
        <w:ind w:firstLine="420" w:firstLineChars="200"/>
        <w:jc w:val="left"/>
        <w:rPr>
          <w:rFonts w:ascii="宋体" w:hAnsi="宋体"/>
          <w:szCs w:val="21"/>
        </w:rPr>
      </w:pPr>
      <w:r>
        <w:rPr>
          <w:rFonts w:hint="eastAsia" w:ascii="宋体" w:hAnsi="宋体"/>
          <w:szCs w:val="21"/>
        </w:rPr>
        <w:t>6．承包人应接受和配合发包人专业部门的监督与安全评价。</w:t>
      </w:r>
    </w:p>
    <w:p>
      <w:pPr>
        <w:spacing w:line="360" w:lineRule="auto"/>
        <w:ind w:firstLine="420" w:firstLineChars="200"/>
        <w:jc w:val="left"/>
        <w:rPr>
          <w:rFonts w:ascii="宋体" w:hAnsi="宋体"/>
          <w:szCs w:val="21"/>
        </w:rPr>
      </w:pPr>
      <w:r>
        <w:rPr>
          <w:rFonts w:hint="eastAsia" w:ascii="宋体" w:hAnsi="宋体"/>
          <w:szCs w:val="21"/>
        </w:rPr>
        <w:t>7．发包人有权对承包人履行安全管理协议的情况进行监督，并有权对违章行为实行停工和处罚，处罚情况将通知承包人。涉及经济处罚时将直接通知合同管理部门从合同结算中扣除。</w:t>
      </w:r>
    </w:p>
    <w:p>
      <w:pPr>
        <w:spacing w:line="360" w:lineRule="auto"/>
        <w:ind w:firstLine="420" w:firstLineChars="200"/>
        <w:rPr>
          <w:rFonts w:ascii="宋体" w:hAnsi="宋体"/>
          <w:szCs w:val="21"/>
        </w:rPr>
      </w:pPr>
      <w:bookmarkStart w:id="708" w:name="_Toc239510300"/>
      <w:bookmarkStart w:id="709" w:name="_Toc247431434"/>
      <w:bookmarkStart w:id="710" w:name="_Toc247418274"/>
      <w:bookmarkStart w:id="711" w:name="_Toc532375710"/>
      <w:r>
        <w:rPr>
          <w:rFonts w:hint="eastAsia" w:ascii="宋体" w:hAnsi="宋体"/>
          <w:szCs w:val="21"/>
        </w:rPr>
        <w:t>十一、安全培训与授权</w:t>
      </w:r>
      <w:bookmarkEnd w:id="708"/>
      <w:bookmarkEnd w:id="709"/>
      <w:bookmarkEnd w:id="710"/>
      <w:bookmarkEnd w:id="711"/>
    </w:p>
    <w:p>
      <w:pPr>
        <w:spacing w:line="360" w:lineRule="auto"/>
        <w:ind w:firstLine="420" w:firstLineChars="200"/>
        <w:jc w:val="left"/>
        <w:rPr>
          <w:rFonts w:ascii="宋体" w:hAnsi="宋体"/>
          <w:szCs w:val="21"/>
        </w:rPr>
      </w:pPr>
      <w:r>
        <w:rPr>
          <w:rFonts w:hint="eastAsia" w:ascii="宋体" w:hAnsi="宋体"/>
          <w:szCs w:val="21"/>
        </w:rPr>
        <w:t>1．承包人所有特殊工种人员必须持证上岗，发包人有权对其进行抽查。承包人要建立特殊工种定期培训和检查计划，这些工种包括但不限于：机动车驾驶员、焊工、起重工、电工等。</w:t>
      </w:r>
    </w:p>
    <w:p>
      <w:pPr>
        <w:spacing w:line="360" w:lineRule="auto"/>
        <w:ind w:firstLine="420" w:firstLineChars="200"/>
        <w:jc w:val="left"/>
        <w:rPr>
          <w:rFonts w:ascii="宋体" w:hAnsi="宋体"/>
          <w:szCs w:val="21"/>
        </w:rPr>
      </w:pPr>
      <w:r>
        <w:rPr>
          <w:rFonts w:hint="eastAsia" w:ascii="宋体" w:hAnsi="宋体"/>
          <w:szCs w:val="21"/>
        </w:rPr>
        <w:t>2．承包人应在特殊工种之外的其他工种中，筛选出高风险工种，并对其开展针对性的专题安全培训。</w:t>
      </w:r>
    </w:p>
    <w:p>
      <w:pPr>
        <w:spacing w:line="360" w:lineRule="auto"/>
        <w:ind w:firstLine="420" w:firstLineChars="200"/>
        <w:jc w:val="left"/>
        <w:rPr>
          <w:rFonts w:ascii="宋体" w:hAnsi="宋体"/>
          <w:szCs w:val="21"/>
        </w:rPr>
      </w:pPr>
      <w:r>
        <w:rPr>
          <w:rFonts w:hint="eastAsia" w:ascii="宋体" w:hAnsi="宋体"/>
          <w:szCs w:val="21"/>
        </w:rPr>
        <w:t>3．承包人应组织 “入场培训”和考核。发包人有权监督培训、考核情况或组织抽查考核。</w:t>
      </w:r>
    </w:p>
    <w:p>
      <w:pPr>
        <w:spacing w:line="360" w:lineRule="auto"/>
        <w:ind w:firstLine="420" w:firstLineChars="200"/>
        <w:jc w:val="left"/>
        <w:rPr>
          <w:rFonts w:ascii="宋体" w:hAnsi="宋体"/>
          <w:szCs w:val="21"/>
        </w:rPr>
      </w:pPr>
      <w:r>
        <w:rPr>
          <w:rFonts w:hint="eastAsia" w:ascii="宋体" w:hAnsi="宋体"/>
          <w:szCs w:val="21"/>
        </w:rPr>
        <w:t>4．承包人应建立安全培训和考核机制，编制培训教材和培训滚动计划。承包人应组织安全考试/考核，建立培训考核记录，发包人有权查看这些记录。</w:t>
      </w:r>
    </w:p>
    <w:p>
      <w:pPr>
        <w:spacing w:line="360" w:lineRule="auto"/>
        <w:ind w:firstLine="420" w:firstLineChars="200"/>
        <w:rPr>
          <w:rFonts w:ascii="宋体" w:hAnsi="宋体"/>
          <w:szCs w:val="21"/>
        </w:rPr>
      </w:pPr>
      <w:bookmarkStart w:id="712" w:name="_Toc247431435"/>
      <w:bookmarkStart w:id="713" w:name="_Toc532375711"/>
      <w:bookmarkStart w:id="714" w:name="_Toc247418275"/>
      <w:bookmarkStart w:id="715" w:name="_Toc239510301"/>
      <w:r>
        <w:rPr>
          <w:rFonts w:hint="eastAsia" w:ascii="宋体" w:hAnsi="宋体"/>
          <w:szCs w:val="21"/>
        </w:rPr>
        <w:t>十二、职业健康与卫生防疫</w:t>
      </w:r>
      <w:bookmarkEnd w:id="712"/>
      <w:bookmarkEnd w:id="713"/>
      <w:bookmarkEnd w:id="714"/>
      <w:bookmarkEnd w:id="715"/>
    </w:p>
    <w:p>
      <w:pPr>
        <w:spacing w:line="360" w:lineRule="auto"/>
        <w:ind w:firstLine="420" w:firstLineChars="200"/>
        <w:jc w:val="left"/>
        <w:rPr>
          <w:rFonts w:ascii="宋体" w:hAnsi="宋体"/>
          <w:szCs w:val="21"/>
        </w:rPr>
      </w:pPr>
      <w:r>
        <w:rPr>
          <w:rFonts w:hint="eastAsia" w:ascii="宋体" w:hAnsi="宋体"/>
          <w:szCs w:val="21"/>
        </w:rPr>
        <w:t>1．承包人应有特殊健康检查制度，预防有禁忌症患者从事有关职业，如恐高症患者不得从事高空作业，患有心血管疾病的人员不得从事繁重的体力劳动，特殊工种人员的体检应符合国家的规定。</w:t>
      </w:r>
    </w:p>
    <w:p>
      <w:pPr>
        <w:spacing w:line="360" w:lineRule="auto"/>
        <w:ind w:firstLine="420" w:firstLineChars="200"/>
        <w:jc w:val="left"/>
        <w:rPr>
          <w:rFonts w:ascii="宋体" w:hAnsi="宋体"/>
          <w:szCs w:val="21"/>
        </w:rPr>
      </w:pPr>
      <w:r>
        <w:rPr>
          <w:rFonts w:hint="eastAsia" w:ascii="宋体" w:hAnsi="宋体"/>
          <w:szCs w:val="21"/>
        </w:rPr>
        <w:t>2．承包人应保证卫生防疫基本设施的投入，以满足医疗、急救的要求，建立外部医疗支持渠道。</w:t>
      </w:r>
    </w:p>
    <w:p>
      <w:pPr>
        <w:spacing w:line="360" w:lineRule="auto"/>
        <w:ind w:firstLine="420" w:firstLineChars="200"/>
        <w:jc w:val="left"/>
        <w:rPr>
          <w:rFonts w:ascii="宋体" w:hAnsi="宋体"/>
          <w:szCs w:val="21"/>
        </w:rPr>
      </w:pPr>
      <w:r>
        <w:rPr>
          <w:rFonts w:hint="eastAsia" w:ascii="宋体" w:hAnsi="宋体"/>
          <w:szCs w:val="21"/>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pPr>
        <w:spacing w:line="360" w:lineRule="auto"/>
        <w:ind w:firstLine="420" w:firstLineChars="200"/>
        <w:rPr>
          <w:rFonts w:ascii="宋体" w:hAnsi="宋体"/>
          <w:szCs w:val="21"/>
        </w:rPr>
      </w:pPr>
      <w:bookmarkStart w:id="716" w:name="_Toc239510302"/>
      <w:bookmarkStart w:id="717" w:name="_Toc532375712"/>
      <w:bookmarkStart w:id="718" w:name="_Toc247418276"/>
      <w:bookmarkStart w:id="719" w:name="_Toc247431436"/>
      <w:r>
        <w:rPr>
          <w:rFonts w:hint="eastAsia" w:ascii="宋体" w:hAnsi="宋体"/>
          <w:szCs w:val="21"/>
        </w:rPr>
        <w:t>十三、文明施工与环保要求</w:t>
      </w:r>
      <w:bookmarkEnd w:id="716"/>
      <w:bookmarkEnd w:id="717"/>
      <w:bookmarkEnd w:id="718"/>
      <w:bookmarkEnd w:id="719"/>
    </w:p>
    <w:p>
      <w:pPr>
        <w:spacing w:line="360" w:lineRule="auto"/>
        <w:ind w:firstLine="420" w:firstLineChars="200"/>
        <w:jc w:val="left"/>
        <w:rPr>
          <w:rFonts w:ascii="宋体" w:hAnsi="宋体"/>
          <w:szCs w:val="21"/>
        </w:rPr>
      </w:pPr>
      <w:r>
        <w:rPr>
          <w:rFonts w:hint="eastAsia" w:ascii="宋体" w:hAnsi="宋体"/>
          <w:szCs w:val="21"/>
        </w:rPr>
        <w:t>1．承包人需制订施工现场的文明施工措施，保持良好的施工现场秩序。施工现场的物料堆放要摆放整齐，安全标志和宣传标志要清楚醒目，废料、废物要分类收集，安全通道要畅通。</w:t>
      </w:r>
    </w:p>
    <w:p>
      <w:pPr>
        <w:spacing w:line="360" w:lineRule="auto"/>
        <w:ind w:firstLine="420" w:firstLineChars="200"/>
        <w:jc w:val="left"/>
        <w:rPr>
          <w:rFonts w:ascii="宋体" w:hAnsi="宋体"/>
          <w:szCs w:val="21"/>
        </w:rPr>
      </w:pPr>
      <w:r>
        <w:rPr>
          <w:rFonts w:hint="eastAsia" w:ascii="宋体" w:hAnsi="宋体"/>
          <w:szCs w:val="21"/>
        </w:rPr>
        <w:t>2．承包人作业时应避免建筑材料抛洒、飞扬、流淌；应尽可能降低噪音、震动。</w:t>
      </w:r>
    </w:p>
    <w:p>
      <w:pPr>
        <w:spacing w:line="360" w:lineRule="auto"/>
        <w:ind w:firstLine="420" w:firstLineChars="200"/>
        <w:jc w:val="left"/>
        <w:rPr>
          <w:rFonts w:ascii="宋体" w:hAnsi="宋体"/>
          <w:szCs w:val="21"/>
        </w:rPr>
      </w:pPr>
      <w:r>
        <w:rPr>
          <w:rFonts w:hint="eastAsia" w:ascii="宋体" w:hAnsi="宋体"/>
          <w:szCs w:val="21"/>
        </w:rPr>
        <w:t>3．承包人应根据实际需要，在施工现场布置临时卫生设施（洗手间、卫生间等），施工作业不破坏环境卫生，不污染现场环境。</w:t>
      </w:r>
    </w:p>
    <w:p>
      <w:pPr>
        <w:spacing w:line="360" w:lineRule="auto"/>
        <w:ind w:firstLine="420" w:firstLineChars="200"/>
        <w:jc w:val="left"/>
        <w:rPr>
          <w:rFonts w:ascii="宋体" w:hAnsi="宋体"/>
          <w:szCs w:val="21"/>
        </w:rPr>
      </w:pPr>
      <w:r>
        <w:rPr>
          <w:rFonts w:hint="eastAsia" w:ascii="宋体" w:hAnsi="宋体"/>
          <w:szCs w:val="21"/>
        </w:rPr>
        <w:t>4．承包人在施工中应充分重视对环境的保护，保护绿色植被，保护古树。施工如需伤害古树，必须报告发包人，在未得到指令前，禁止擅自伤害古树。</w:t>
      </w:r>
    </w:p>
    <w:p>
      <w:pPr>
        <w:spacing w:line="360" w:lineRule="auto"/>
        <w:ind w:firstLine="420" w:firstLineChars="200"/>
        <w:jc w:val="left"/>
        <w:rPr>
          <w:rFonts w:ascii="宋体" w:hAnsi="宋体"/>
          <w:szCs w:val="21"/>
        </w:rPr>
      </w:pPr>
      <w:r>
        <w:rPr>
          <w:rFonts w:hint="eastAsia" w:ascii="宋体" w:hAnsi="宋体"/>
          <w:szCs w:val="21"/>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pPr>
        <w:spacing w:line="360" w:lineRule="auto"/>
        <w:ind w:firstLine="420" w:firstLineChars="200"/>
        <w:jc w:val="left"/>
        <w:rPr>
          <w:rFonts w:ascii="宋体" w:hAnsi="宋体"/>
          <w:szCs w:val="21"/>
        </w:rPr>
      </w:pPr>
      <w:r>
        <w:rPr>
          <w:rFonts w:hint="eastAsia" w:ascii="宋体" w:hAnsi="宋体"/>
          <w:szCs w:val="21"/>
        </w:rPr>
        <w:t>6．承包人在施工中应禁止向环境，排放工业污水、生活污水、废油或其他有害物质。</w:t>
      </w:r>
    </w:p>
    <w:p>
      <w:pPr>
        <w:spacing w:line="360" w:lineRule="auto"/>
        <w:ind w:firstLine="420" w:firstLineChars="200"/>
        <w:jc w:val="left"/>
        <w:rPr>
          <w:rFonts w:ascii="宋体" w:hAnsi="宋体"/>
          <w:szCs w:val="21"/>
        </w:rPr>
      </w:pPr>
      <w:r>
        <w:rPr>
          <w:rFonts w:hint="eastAsia" w:ascii="宋体" w:hAnsi="宋体"/>
          <w:szCs w:val="21"/>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pPr>
        <w:spacing w:line="360" w:lineRule="auto"/>
        <w:ind w:firstLine="420" w:firstLineChars="200"/>
        <w:rPr>
          <w:rFonts w:ascii="宋体" w:hAnsi="宋体"/>
          <w:szCs w:val="21"/>
        </w:rPr>
      </w:pPr>
      <w:bookmarkStart w:id="720" w:name="_Toc247418277"/>
      <w:bookmarkStart w:id="721" w:name="_Toc532375713"/>
      <w:bookmarkStart w:id="722" w:name="_Toc239510303"/>
      <w:bookmarkStart w:id="723" w:name="_Toc247431437"/>
      <w:r>
        <w:rPr>
          <w:rFonts w:hint="eastAsia" w:ascii="宋体" w:hAnsi="宋体"/>
          <w:szCs w:val="21"/>
        </w:rPr>
        <w:t>十四、工程风险管理与事故预防</w:t>
      </w:r>
      <w:bookmarkEnd w:id="720"/>
      <w:bookmarkEnd w:id="721"/>
      <w:bookmarkEnd w:id="722"/>
      <w:bookmarkEnd w:id="723"/>
    </w:p>
    <w:p>
      <w:pPr>
        <w:spacing w:line="360" w:lineRule="auto"/>
        <w:ind w:firstLine="420" w:firstLineChars="200"/>
        <w:jc w:val="left"/>
        <w:rPr>
          <w:rFonts w:ascii="宋体" w:hAnsi="宋体"/>
          <w:szCs w:val="21"/>
        </w:rPr>
      </w:pPr>
      <w:bookmarkStart w:id="724" w:name="_Toc239510304"/>
      <w:bookmarkStart w:id="725" w:name="_Toc247431438"/>
      <w:bookmarkStart w:id="726" w:name="_Toc247418278"/>
      <w:r>
        <w:rPr>
          <w:rFonts w:hint="eastAsia" w:ascii="宋体" w:hAnsi="宋体"/>
          <w:szCs w:val="21"/>
        </w:rPr>
        <w:t>（一）基本要求</w:t>
      </w:r>
      <w:bookmarkEnd w:id="724"/>
      <w:bookmarkEnd w:id="725"/>
      <w:bookmarkEnd w:id="726"/>
    </w:p>
    <w:p>
      <w:pPr>
        <w:spacing w:line="360" w:lineRule="auto"/>
        <w:ind w:firstLine="420" w:firstLineChars="200"/>
        <w:jc w:val="left"/>
        <w:rPr>
          <w:rFonts w:ascii="宋体" w:hAnsi="宋体"/>
          <w:szCs w:val="21"/>
        </w:rPr>
      </w:pPr>
      <w:bookmarkStart w:id="727" w:name="_Toc532375714"/>
      <w:r>
        <w:rPr>
          <w:rFonts w:hint="eastAsia" w:ascii="宋体" w:hAnsi="宋体"/>
          <w:szCs w:val="21"/>
        </w:rPr>
        <w:t>1．承包人应对施工过程进行全面、深入的危险源识别和风险分析。在施工安全组织设计中提供危险源及重要危险源清单、作业风险分析报告，该报告应包括（但不限于）如下信息：</w:t>
      </w:r>
      <w:bookmarkEnd w:id="727"/>
    </w:p>
    <w:p>
      <w:pPr>
        <w:spacing w:line="360" w:lineRule="auto"/>
        <w:ind w:firstLine="420" w:firstLineChars="200"/>
        <w:jc w:val="left"/>
        <w:rPr>
          <w:rFonts w:ascii="宋体" w:hAnsi="宋体"/>
          <w:szCs w:val="21"/>
        </w:rPr>
      </w:pPr>
      <w:r>
        <w:rPr>
          <w:rFonts w:hint="eastAsia" w:ascii="宋体" w:hAnsi="宋体"/>
          <w:szCs w:val="21"/>
        </w:rPr>
        <w:t>（1）高风险作业和工种清单：作业名称、类别和数量、主要事故风险。</w:t>
      </w:r>
    </w:p>
    <w:p>
      <w:pPr>
        <w:spacing w:line="360" w:lineRule="auto"/>
        <w:ind w:firstLine="420" w:firstLineChars="200"/>
        <w:jc w:val="left"/>
        <w:rPr>
          <w:rFonts w:ascii="宋体" w:hAnsi="宋体"/>
          <w:szCs w:val="21"/>
        </w:rPr>
      </w:pPr>
      <w:r>
        <w:rPr>
          <w:rFonts w:hint="eastAsia" w:ascii="宋体" w:hAnsi="宋体"/>
          <w:szCs w:val="21"/>
        </w:rPr>
        <w:t>（2）施工能源和机械的种类、数量和主要事故风险。</w:t>
      </w:r>
    </w:p>
    <w:p>
      <w:pPr>
        <w:spacing w:line="360" w:lineRule="auto"/>
        <w:ind w:firstLine="420" w:firstLineChars="200"/>
        <w:jc w:val="left"/>
        <w:rPr>
          <w:rFonts w:ascii="宋体" w:hAnsi="宋体"/>
          <w:szCs w:val="21"/>
        </w:rPr>
      </w:pPr>
      <w:r>
        <w:rPr>
          <w:rFonts w:hint="eastAsia" w:ascii="宋体" w:hAnsi="宋体"/>
          <w:szCs w:val="21"/>
        </w:rPr>
        <w:t>（3）施工作业条件的类型和主要事故风险。</w:t>
      </w:r>
    </w:p>
    <w:p>
      <w:pPr>
        <w:spacing w:line="360" w:lineRule="auto"/>
        <w:ind w:firstLine="420" w:firstLineChars="200"/>
        <w:jc w:val="left"/>
        <w:rPr>
          <w:rFonts w:ascii="宋体" w:hAnsi="宋体"/>
          <w:szCs w:val="21"/>
        </w:rPr>
      </w:pPr>
      <w:r>
        <w:rPr>
          <w:rFonts w:hint="eastAsia" w:ascii="宋体" w:hAnsi="宋体"/>
          <w:szCs w:val="21"/>
        </w:rPr>
        <w:t>（4）主要工艺过程（或施工活动）的类别及其相关的事故风险。</w:t>
      </w:r>
    </w:p>
    <w:p>
      <w:pPr>
        <w:spacing w:line="360" w:lineRule="auto"/>
        <w:ind w:firstLine="420" w:firstLineChars="200"/>
        <w:jc w:val="left"/>
        <w:rPr>
          <w:rFonts w:ascii="宋体" w:hAnsi="宋体"/>
          <w:szCs w:val="21"/>
        </w:rPr>
      </w:pPr>
      <w:r>
        <w:rPr>
          <w:rFonts w:hint="eastAsia" w:ascii="宋体" w:hAnsi="宋体"/>
          <w:szCs w:val="21"/>
        </w:rPr>
        <w:t>（5）主要火灾危险（可燃物、点火源）。</w:t>
      </w:r>
    </w:p>
    <w:p>
      <w:pPr>
        <w:spacing w:line="360" w:lineRule="auto"/>
        <w:ind w:firstLine="420" w:firstLineChars="200"/>
        <w:jc w:val="left"/>
        <w:rPr>
          <w:rFonts w:ascii="宋体" w:hAnsi="宋体"/>
          <w:szCs w:val="21"/>
        </w:rPr>
      </w:pPr>
      <w:r>
        <w:rPr>
          <w:rFonts w:hint="eastAsia" w:ascii="宋体" w:hAnsi="宋体"/>
          <w:szCs w:val="21"/>
        </w:rPr>
        <w:t>（6）主要自然灾害（洪水、大风、雷暴、暴雨、地质灾害等）。</w:t>
      </w:r>
    </w:p>
    <w:p>
      <w:pPr>
        <w:spacing w:line="360" w:lineRule="auto"/>
        <w:ind w:firstLine="420" w:firstLineChars="200"/>
        <w:jc w:val="left"/>
        <w:rPr>
          <w:rFonts w:ascii="宋体" w:hAnsi="宋体"/>
          <w:szCs w:val="21"/>
        </w:rPr>
      </w:pPr>
      <w:r>
        <w:rPr>
          <w:rFonts w:hint="eastAsia" w:ascii="宋体" w:hAnsi="宋体"/>
          <w:szCs w:val="21"/>
        </w:rPr>
        <w:t>（7）主要环境保护事件（有害垃圾、机械的跑冒滴漏、原材料流失、水土流失等）。</w:t>
      </w:r>
    </w:p>
    <w:p>
      <w:pPr>
        <w:spacing w:line="360" w:lineRule="auto"/>
        <w:ind w:firstLine="420" w:firstLineChars="200"/>
        <w:jc w:val="left"/>
        <w:rPr>
          <w:rFonts w:ascii="宋体" w:hAnsi="宋体"/>
          <w:szCs w:val="21"/>
        </w:rPr>
      </w:pPr>
      <w:r>
        <w:rPr>
          <w:rFonts w:hint="eastAsia" w:ascii="宋体" w:hAnsi="宋体"/>
          <w:szCs w:val="21"/>
        </w:rPr>
        <w:t>（8）其他。</w:t>
      </w:r>
    </w:p>
    <w:p>
      <w:pPr>
        <w:spacing w:line="360" w:lineRule="auto"/>
        <w:ind w:firstLine="420" w:firstLineChars="200"/>
        <w:jc w:val="left"/>
        <w:rPr>
          <w:rFonts w:ascii="宋体" w:hAnsi="宋体"/>
          <w:szCs w:val="21"/>
        </w:rPr>
      </w:pPr>
      <w:r>
        <w:rPr>
          <w:rFonts w:hint="eastAsia" w:ascii="宋体" w:hAnsi="宋体"/>
          <w:szCs w:val="21"/>
        </w:rPr>
        <w:t>2．承包人应针对识别出的危险源制定有针对性的事故预防措施并确保在施工中得到有效落实。</w:t>
      </w:r>
    </w:p>
    <w:p>
      <w:pPr>
        <w:spacing w:line="360" w:lineRule="auto"/>
        <w:ind w:firstLine="420" w:firstLineChars="200"/>
        <w:jc w:val="left"/>
        <w:rPr>
          <w:rFonts w:ascii="宋体" w:hAnsi="宋体"/>
          <w:szCs w:val="21"/>
        </w:rPr>
      </w:pPr>
      <w:r>
        <w:rPr>
          <w:rFonts w:hint="eastAsia" w:ascii="宋体" w:hAnsi="宋体"/>
          <w:szCs w:val="21"/>
        </w:rPr>
        <w:t>3．承包人应建立日常施工活动的动态作业风险分析和安全交底制度。该制度应明确规定风险分析的方法、责任和交底的内容、时间及记录。</w:t>
      </w:r>
    </w:p>
    <w:p>
      <w:pPr>
        <w:spacing w:line="360" w:lineRule="auto"/>
        <w:ind w:firstLine="420" w:firstLineChars="200"/>
        <w:jc w:val="left"/>
        <w:rPr>
          <w:rFonts w:ascii="宋体" w:hAnsi="宋体"/>
          <w:szCs w:val="21"/>
        </w:rPr>
      </w:pPr>
      <w:bookmarkStart w:id="728" w:name="_Toc239510305"/>
      <w:bookmarkStart w:id="729" w:name="_Toc247418279"/>
      <w:bookmarkStart w:id="730" w:name="_Toc247431439"/>
      <w:r>
        <w:rPr>
          <w:rFonts w:hint="eastAsia" w:ascii="宋体" w:hAnsi="宋体"/>
          <w:szCs w:val="21"/>
        </w:rPr>
        <w:t>（二）现场作业基本安全条件</w:t>
      </w:r>
      <w:bookmarkEnd w:id="728"/>
      <w:bookmarkEnd w:id="729"/>
      <w:bookmarkEnd w:id="730"/>
    </w:p>
    <w:p>
      <w:pPr>
        <w:spacing w:line="360" w:lineRule="auto"/>
        <w:ind w:firstLine="420" w:firstLineChars="200"/>
        <w:jc w:val="left"/>
        <w:rPr>
          <w:rFonts w:ascii="宋体" w:hAnsi="宋体"/>
          <w:szCs w:val="21"/>
        </w:rPr>
      </w:pPr>
      <w:r>
        <w:rPr>
          <w:rFonts w:hint="eastAsia" w:ascii="宋体" w:hAnsi="宋体"/>
          <w:szCs w:val="21"/>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pPr>
        <w:spacing w:line="360" w:lineRule="auto"/>
        <w:ind w:firstLine="420" w:firstLineChars="200"/>
        <w:rPr>
          <w:rFonts w:ascii="宋体" w:hAnsi="宋体"/>
          <w:szCs w:val="21"/>
        </w:rPr>
      </w:pPr>
      <w:bookmarkStart w:id="731" w:name="_Toc239510306"/>
      <w:bookmarkStart w:id="732" w:name="_Toc247431440"/>
      <w:bookmarkStart w:id="733" w:name="_Toc247418280"/>
      <w:bookmarkStart w:id="734" w:name="_Toc532375715"/>
      <w:r>
        <w:rPr>
          <w:rFonts w:hint="eastAsia" w:ascii="宋体" w:hAnsi="宋体"/>
          <w:szCs w:val="21"/>
        </w:rPr>
        <w:t>十五、事故报告与应急救援</w:t>
      </w:r>
      <w:bookmarkEnd w:id="731"/>
      <w:bookmarkEnd w:id="732"/>
      <w:bookmarkEnd w:id="733"/>
      <w:bookmarkEnd w:id="734"/>
    </w:p>
    <w:p>
      <w:pPr>
        <w:spacing w:line="360" w:lineRule="auto"/>
        <w:ind w:firstLine="420" w:firstLineChars="200"/>
        <w:jc w:val="left"/>
        <w:rPr>
          <w:rFonts w:ascii="宋体" w:hAnsi="宋体"/>
          <w:szCs w:val="21"/>
        </w:rPr>
      </w:pPr>
      <w:r>
        <w:rPr>
          <w:rFonts w:hint="eastAsia" w:ascii="宋体" w:hAnsi="宋体"/>
          <w:szCs w:val="21"/>
        </w:rPr>
        <w:t>1．承包人应制定对于未遂事故及以上级别的安全事件和事故，定期报送安全月度快报、季报、年报和各种专项事故报告等。</w:t>
      </w:r>
    </w:p>
    <w:p>
      <w:pPr>
        <w:spacing w:line="360" w:lineRule="auto"/>
        <w:ind w:firstLine="420" w:firstLineChars="200"/>
        <w:jc w:val="left"/>
        <w:rPr>
          <w:rFonts w:ascii="宋体" w:hAnsi="宋体"/>
          <w:szCs w:val="21"/>
        </w:rPr>
      </w:pPr>
      <w:r>
        <w:rPr>
          <w:rFonts w:hint="eastAsia" w:ascii="宋体" w:hAnsi="宋体"/>
          <w:szCs w:val="21"/>
        </w:rPr>
        <w:t>2．承包人应建立安全事故统计记录、未遂事故统计记录、违章统计记录，并根据统计情况进行分析，并就分析结果制定相应的预防措施。</w:t>
      </w:r>
    </w:p>
    <w:p>
      <w:pPr>
        <w:spacing w:line="360" w:lineRule="auto"/>
        <w:ind w:firstLine="420" w:firstLineChars="200"/>
        <w:jc w:val="left"/>
        <w:rPr>
          <w:rFonts w:ascii="宋体" w:hAnsi="宋体"/>
          <w:szCs w:val="21"/>
        </w:rPr>
      </w:pPr>
      <w:r>
        <w:rPr>
          <w:rFonts w:hint="eastAsia" w:ascii="宋体" w:hAnsi="宋体"/>
          <w:szCs w:val="21"/>
        </w:rPr>
        <w:t>3．承包人应建立事故应急救援机制，明确事故处置的基本原则，即现场发生事故时，首先抢救生命，向救援组织报警，并采取措施限制事故扩大。</w:t>
      </w:r>
    </w:p>
    <w:p>
      <w:pPr>
        <w:spacing w:line="360" w:lineRule="auto"/>
        <w:ind w:firstLine="420" w:firstLineChars="200"/>
        <w:jc w:val="left"/>
        <w:rPr>
          <w:rFonts w:ascii="宋体" w:hAnsi="宋体"/>
          <w:szCs w:val="21"/>
        </w:rPr>
      </w:pPr>
      <w:r>
        <w:rPr>
          <w:rFonts w:hint="eastAsia" w:ascii="宋体" w:hAnsi="宋体"/>
          <w:szCs w:val="21"/>
        </w:rPr>
        <w:t>4．承包人应建立相应的应急响应组织，以便能迅速处理突发意外。</w:t>
      </w:r>
    </w:p>
    <w:p>
      <w:pPr>
        <w:spacing w:line="360" w:lineRule="auto"/>
        <w:ind w:firstLine="420" w:firstLineChars="200"/>
        <w:jc w:val="left"/>
        <w:rPr>
          <w:rFonts w:ascii="宋体" w:hAnsi="宋体"/>
          <w:szCs w:val="21"/>
        </w:rPr>
      </w:pPr>
      <w:r>
        <w:rPr>
          <w:rFonts w:hint="eastAsia" w:ascii="宋体" w:hAnsi="宋体"/>
          <w:szCs w:val="21"/>
        </w:rPr>
        <w:t>5．承包人应建立专项应急响应预案，包括重大人身伤亡事故的救护预案、火灾响应预案、“四防”预案（防风、防冻、防雷、防暴雨）、重大疫病防护预案、环境污染防护预案、地质灾害防护预案等。</w:t>
      </w:r>
    </w:p>
    <w:p>
      <w:pPr>
        <w:spacing w:line="360" w:lineRule="auto"/>
        <w:ind w:firstLine="420" w:firstLineChars="200"/>
        <w:jc w:val="left"/>
        <w:rPr>
          <w:rFonts w:ascii="宋体" w:hAnsi="宋体"/>
          <w:szCs w:val="21"/>
        </w:rPr>
      </w:pPr>
      <w:r>
        <w:rPr>
          <w:rFonts w:hint="eastAsia" w:ascii="宋体" w:hAnsi="宋体"/>
          <w:szCs w:val="21"/>
        </w:rPr>
        <w:t>6．承包人应对应急预案进行适当演练，保证应急预案的可操作性。</w:t>
      </w:r>
    </w:p>
    <w:p>
      <w:pPr>
        <w:spacing w:line="360" w:lineRule="auto"/>
        <w:ind w:firstLine="420" w:firstLineChars="200"/>
        <w:jc w:val="left"/>
        <w:rPr>
          <w:rFonts w:ascii="宋体" w:hAnsi="宋体"/>
          <w:szCs w:val="21"/>
        </w:rPr>
      </w:pPr>
      <w:r>
        <w:rPr>
          <w:rFonts w:hint="eastAsia" w:ascii="宋体" w:hAnsi="宋体"/>
          <w:szCs w:val="21"/>
        </w:rPr>
        <w:t>7．在工地的其他施工单位发生重大事故时，承包人应无条件立即配合、支持事故抢险。</w:t>
      </w:r>
    </w:p>
    <w:p>
      <w:pPr>
        <w:spacing w:line="360" w:lineRule="auto"/>
        <w:ind w:firstLine="420" w:firstLineChars="200"/>
        <w:jc w:val="left"/>
        <w:rPr>
          <w:rFonts w:ascii="宋体" w:hAnsi="宋体"/>
          <w:szCs w:val="21"/>
        </w:rPr>
      </w:pPr>
      <w:r>
        <w:rPr>
          <w:rFonts w:hint="eastAsia" w:ascii="宋体" w:hAnsi="宋体"/>
          <w:szCs w:val="21"/>
        </w:rPr>
        <w:t>8．承包人必须为事故处置支付各项费用，包括受伤者的抚恤、补偿等费用，并按合同要求赔偿对发包人造成的损失。</w:t>
      </w:r>
    </w:p>
    <w:p>
      <w:pPr>
        <w:spacing w:line="360" w:lineRule="auto"/>
        <w:ind w:firstLine="420" w:firstLineChars="200"/>
        <w:jc w:val="left"/>
        <w:rPr>
          <w:rFonts w:ascii="宋体" w:hAnsi="宋体"/>
          <w:szCs w:val="21"/>
        </w:rPr>
      </w:pPr>
      <w:r>
        <w:rPr>
          <w:rFonts w:hint="eastAsia" w:ascii="宋体" w:hAnsi="宋体"/>
          <w:szCs w:val="21"/>
        </w:rPr>
        <w:t>9．由于发包人原因而造成的事故，发包人应负责按事故的具体损失情况给予承包人经济赔偿。</w:t>
      </w:r>
    </w:p>
    <w:p>
      <w:pPr>
        <w:spacing w:line="360" w:lineRule="auto"/>
        <w:ind w:firstLine="420" w:firstLineChars="200"/>
        <w:jc w:val="left"/>
        <w:rPr>
          <w:rFonts w:ascii="宋体" w:hAnsi="宋体"/>
          <w:szCs w:val="21"/>
        </w:rPr>
      </w:pPr>
      <w:r>
        <w:rPr>
          <w:rFonts w:hint="eastAsia" w:ascii="宋体" w:hAnsi="宋体"/>
          <w:szCs w:val="21"/>
        </w:rPr>
        <w:t>10．涉及承包人员工的伤害事故，承包人除要报告发包人外，还应负责按照国家、行业和本单位上级公司的要求，上报事故。</w:t>
      </w:r>
    </w:p>
    <w:p>
      <w:pPr>
        <w:spacing w:line="360" w:lineRule="auto"/>
        <w:ind w:firstLine="420" w:firstLineChars="200"/>
        <w:rPr>
          <w:rFonts w:ascii="宋体" w:hAnsi="宋体"/>
          <w:szCs w:val="21"/>
        </w:rPr>
      </w:pPr>
      <w:bookmarkStart w:id="735" w:name="_Toc532375716"/>
      <w:bookmarkStart w:id="736" w:name="_Toc239510307"/>
      <w:bookmarkStart w:id="737" w:name="_Toc247431441"/>
      <w:bookmarkStart w:id="738" w:name="_Toc247418281"/>
      <w:r>
        <w:rPr>
          <w:rFonts w:hint="eastAsia" w:ascii="宋体" w:hAnsi="宋体"/>
          <w:szCs w:val="21"/>
        </w:rPr>
        <w:t>十六、安全业绩考核</w:t>
      </w:r>
      <w:bookmarkEnd w:id="735"/>
      <w:bookmarkEnd w:id="736"/>
      <w:bookmarkEnd w:id="737"/>
      <w:bookmarkEnd w:id="738"/>
    </w:p>
    <w:p>
      <w:pPr>
        <w:spacing w:line="360" w:lineRule="auto"/>
        <w:ind w:firstLine="420" w:firstLineChars="200"/>
        <w:jc w:val="left"/>
        <w:rPr>
          <w:rFonts w:ascii="宋体" w:hAnsi="宋体"/>
          <w:szCs w:val="21"/>
        </w:rPr>
      </w:pPr>
      <w:r>
        <w:rPr>
          <w:rFonts w:hint="eastAsia" w:ascii="宋体" w:hAnsi="宋体"/>
          <w:szCs w:val="21"/>
        </w:rPr>
        <w:t>为了落实安全管理的责任，承包人在施工过程中发生安全事故时，承包人除应按国家有关规定承担责任和处罚外，发包人还将按照以下标准进行考核：</w:t>
      </w:r>
    </w:p>
    <w:tbl>
      <w:tblPr>
        <w:tblStyle w:val="45"/>
        <w:tblW w:w="7005" w:type="dxa"/>
        <w:jc w:val="center"/>
        <w:tblLayout w:type="fixed"/>
        <w:tblCellMar>
          <w:top w:w="0" w:type="dxa"/>
          <w:left w:w="0" w:type="dxa"/>
          <w:bottom w:w="0" w:type="dxa"/>
          <w:right w:w="0" w:type="dxa"/>
        </w:tblCellMar>
      </w:tblPr>
      <w:tblGrid>
        <w:gridCol w:w="3240"/>
        <w:gridCol w:w="3765"/>
      </w:tblGrid>
      <w:tr>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ascii="宋体" w:hAnsi="宋体"/>
                <w:szCs w:val="21"/>
              </w:rPr>
            </w:pPr>
            <w:r>
              <w:rPr>
                <w:rFonts w:hint="eastAsia" w:ascii="宋体" w:hAnsi="宋体"/>
                <w:szCs w:val="21"/>
              </w:rPr>
              <w:t>事件类型</w:t>
            </w:r>
          </w:p>
        </w:tc>
        <w:tc>
          <w:tcPr>
            <w:tcW w:w="37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ascii="宋体" w:hAnsi="宋体"/>
                <w:szCs w:val="21"/>
              </w:rPr>
            </w:pPr>
            <w:r>
              <w:rPr>
                <w:rFonts w:hint="eastAsia" w:ascii="宋体" w:hAnsi="宋体"/>
                <w:szCs w:val="21"/>
              </w:rPr>
              <w:t>违约金额</w:t>
            </w:r>
          </w:p>
        </w:tc>
      </w:tr>
      <w:tr>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ascii="宋体" w:hAnsi="宋体"/>
                <w:szCs w:val="21"/>
              </w:rPr>
            </w:pPr>
            <w:r>
              <w:rPr>
                <w:rFonts w:hint="eastAsia" w:ascii="宋体" w:hAnsi="宋体"/>
                <w:szCs w:val="21"/>
              </w:rPr>
              <w:t>较大事故</w:t>
            </w:r>
          </w:p>
        </w:tc>
        <w:tc>
          <w:tcPr>
            <w:tcW w:w="3765" w:type="dxa"/>
            <w:tcBorders>
              <w:top w:val="single" w:color="auto" w:sz="8" w:space="0"/>
              <w:left w:val="nil"/>
              <w:bottom w:val="single" w:color="auto" w:sz="8" w:space="0"/>
              <w:right w:val="single" w:color="auto" w:sz="8" w:space="0"/>
            </w:tcBorders>
            <w:vAlign w:val="center"/>
          </w:tcPr>
          <w:p>
            <w:pPr>
              <w:spacing w:line="360" w:lineRule="auto"/>
              <w:ind w:firstLine="420" w:firstLineChars="200"/>
              <w:jc w:val="left"/>
              <w:rPr>
                <w:rFonts w:ascii="宋体" w:hAnsi="宋体"/>
                <w:szCs w:val="21"/>
              </w:rPr>
            </w:pPr>
            <w:r>
              <w:rPr>
                <w:rFonts w:hint="eastAsia" w:ascii="宋体" w:hAnsi="宋体"/>
                <w:kern w:val="0"/>
                <w:szCs w:val="21"/>
              </w:rPr>
              <w:t>签约合同价</w:t>
            </w:r>
            <w:r>
              <w:rPr>
                <w:rFonts w:hint="eastAsia" w:ascii="宋体" w:hAnsi="宋体"/>
                <w:szCs w:val="21"/>
              </w:rPr>
              <w:t>的0.5‰</w:t>
            </w:r>
          </w:p>
        </w:tc>
      </w:tr>
      <w:tr>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ascii="宋体" w:hAnsi="宋体"/>
                <w:szCs w:val="21"/>
              </w:rPr>
            </w:pPr>
            <w:r>
              <w:rPr>
                <w:rFonts w:hint="eastAsia" w:ascii="宋体" w:hAnsi="宋体"/>
                <w:szCs w:val="21"/>
              </w:rPr>
              <w:t>重大事故</w:t>
            </w:r>
          </w:p>
        </w:tc>
        <w:tc>
          <w:tcPr>
            <w:tcW w:w="3765" w:type="dxa"/>
            <w:tcBorders>
              <w:top w:val="single" w:color="auto" w:sz="8" w:space="0"/>
              <w:left w:val="nil"/>
              <w:bottom w:val="single" w:color="auto" w:sz="8" w:space="0"/>
              <w:right w:val="single" w:color="auto" w:sz="8" w:space="0"/>
            </w:tcBorders>
            <w:vAlign w:val="center"/>
          </w:tcPr>
          <w:p>
            <w:pPr>
              <w:spacing w:line="360" w:lineRule="auto"/>
              <w:ind w:firstLine="420" w:firstLineChars="200"/>
              <w:jc w:val="left"/>
              <w:rPr>
                <w:rFonts w:ascii="宋体" w:hAnsi="宋体"/>
                <w:szCs w:val="21"/>
              </w:rPr>
            </w:pPr>
            <w:r>
              <w:rPr>
                <w:rFonts w:hint="eastAsia" w:ascii="宋体" w:hAnsi="宋体"/>
                <w:szCs w:val="21"/>
              </w:rPr>
              <w:t>签约合同价的2‰</w:t>
            </w:r>
          </w:p>
        </w:tc>
      </w:tr>
      <w:tr>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ascii="宋体" w:hAnsi="宋体"/>
                <w:szCs w:val="21"/>
              </w:rPr>
            </w:pPr>
            <w:r>
              <w:rPr>
                <w:rFonts w:hint="eastAsia" w:ascii="宋体" w:hAnsi="宋体"/>
                <w:szCs w:val="21"/>
              </w:rPr>
              <w:t>特别重大事故</w:t>
            </w:r>
          </w:p>
        </w:tc>
        <w:tc>
          <w:tcPr>
            <w:tcW w:w="3765" w:type="dxa"/>
            <w:tcBorders>
              <w:top w:val="single" w:color="auto" w:sz="8" w:space="0"/>
              <w:left w:val="nil"/>
              <w:bottom w:val="single" w:color="auto" w:sz="8" w:space="0"/>
              <w:right w:val="single" w:color="auto" w:sz="8" w:space="0"/>
            </w:tcBorders>
            <w:vAlign w:val="center"/>
          </w:tcPr>
          <w:p>
            <w:pPr>
              <w:spacing w:line="360" w:lineRule="auto"/>
              <w:ind w:firstLine="420" w:firstLineChars="200"/>
              <w:jc w:val="left"/>
              <w:rPr>
                <w:rFonts w:ascii="宋体" w:hAnsi="宋体"/>
                <w:szCs w:val="21"/>
              </w:rPr>
            </w:pPr>
            <w:r>
              <w:rPr>
                <w:rFonts w:hint="eastAsia" w:ascii="宋体" w:hAnsi="宋体"/>
                <w:szCs w:val="21"/>
              </w:rPr>
              <w:t>签约合同价的4‰</w:t>
            </w:r>
          </w:p>
        </w:tc>
      </w:tr>
    </w:tbl>
    <w:p>
      <w:pPr>
        <w:spacing w:line="360" w:lineRule="auto"/>
        <w:ind w:firstLine="420" w:firstLineChars="200"/>
        <w:jc w:val="left"/>
        <w:rPr>
          <w:rFonts w:ascii="宋体" w:hAnsi="宋体"/>
          <w:szCs w:val="21"/>
        </w:rPr>
      </w:pPr>
      <w:r>
        <w:rPr>
          <w:rFonts w:hint="eastAsia" w:ascii="宋体" w:hAnsi="宋体"/>
          <w:szCs w:val="21"/>
        </w:rPr>
        <w:t>（1）较大事故，是指造成3人以上10人以下死亡，或者10人以上50人以下重伤，或者1000万元以上5000万元以下直接经济损失的事故；</w:t>
      </w:r>
    </w:p>
    <w:p>
      <w:pPr>
        <w:spacing w:line="360" w:lineRule="auto"/>
        <w:ind w:firstLine="420" w:firstLineChars="200"/>
        <w:jc w:val="left"/>
        <w:rPr>
          <w:rFonts w:ascii="宋体" w:hAnsi="宋体"/>
          <w:szCs w:val="21"/>
        </w:rPr>
      </w:pPr>
      <w:r>
        <w:rPr>
          <w:rFonts w:hint="eastAsia" w:ascii="宋体" w:hAnsi="宋体"/>
          <w:szCs w:val="21"/>
        </w:rPr>
        <w:t>（2）重大事故，是指造成10人以上30人以下死亡，或者50人以上100人以下重伤，或者5000万元以上1亿元以下直接经济损失的事故；</w:t>
      </w:r>
    </w:p>
    <w:p>
      <w:pPr>
        <w:spacing w:line="360" w:lineRule="auto"/>
        <w:ind w:firstLine="420" w:firstLineChars="200"/>
        <w:jc w:val="left"/>
        <w:rPr>
          <w:rFonts w:ascii="宋体" w:hAnsi="宋体"/>
          <w:szCs w:val="21"/>
        </w:rPr>
      </w:pPr>
      <w:r>
        <w:rPr>
          <w:rFonts w:hint="eastAsia" w:ascii="宋体" w:hAnsi="宋体"/>
          <w:szCs w:val="21"/>
        </w:rPr>
        <w:t>（3）特别重大事故，是指造成30人以上死亡，或者100人以上重伤（包括急性工业中毒，下同），或者1亿元以上直接经济损失的事故；</w:t>
      </w:r>
    </w:p>
    <w:p>
      <w:pPr>
        <w:spacing w:line="276" w:lineRule="auto"/>
        <w:ind w:firstLine="420" w:firstLineChars="200"/>
        <w:jc w:val="left"/>
        <w:rPr>
          <w:rFonts w:ascii="宋体" w:hAnsi="宋体"/>
          <w:szCs w:val="21"/>
        </w:rPr>
      </w:pPr>
      <w:r>
        <w:rPr>
          <w:rFonts w:hint="eastAsia" w:ascii="宋体" w:hAnsi="宋体"/>
          <w:szCs w:val="21"/>
        </w:rPr>
        <w:t>（4）所称的“以上”包括本数，所称的“以下”不包括本数。</w:t>
      </w:r>
    </w:p>
    <w:p>
      <w:pPr>
        <w:spacing w:line="276" w:lineRule="auto"/>
        <w:ind w:firstLine="420" w:firstLineChars="200"/>
        <w:jc w:val="left"/>
        <w:rPr>
          <w:rFonts w:ascii="宋体" w:hAnsi="宋体"/>
          <w:szCs w:val="21"/>
        </w:rPr>
      </w:pPr>
      <w:r>
        <w:rPr>
          <w:rFonts w:hint="eastAsia" w:ascii="宋体" w:hAnsi="宋体"/>
          <w:szCs w:val="21"/>
        </w:rPr>
        <w:t xml:space="preserve">发包人负责对承包人的安全业绩进行考核。每次合同支付前，承包人提交自我安全业绩评估报告，然后交发包人评价。发包人在签署评价意见后，将作为合同支付依据之一，同时也作为是否可接受承包人再次参加发包人项目投标的依据之一。 </w:t>
      </w:r>
    </w:p>
    <w:p>
      <w:pPr>
        <w:spacing w:line="276" w:lineRule="auto"/>
        <w:ind w:firstLine="420" w:firstLineChars="200"/>
        <w:rPr>
          <w:rFonts w:ascii="宋体" w:hAnsi="宋体"/>
          <w:szCs w:val="21"/>
        </w:rPr>
      </w:pPr>
      <w:bookmarkStart w:id="739" w:name="_Toc247431442"/>
      <w:bookmarkStart w:id="740" w:name="_Toc247418282"/>
      <w:bookmarkStart w:id="741" w:name="_Toc532375717"/>
      <w:bookmarkStart w:id="742" w:name="_Toc239510308"/>
      <w:r>
        <w:rPr>
          <w:rFonts w:hint="eastAsia" w:ascii="宋体" w:hAnsi="宋体"/>
          <w:szCs w:val="21"/>
        </w:rPr>
        <w:t>十七、协议条款的修订</w:t>
      </w:r>
      <w:bookmarkEnd w:id="739"/>
      <w:bookmarkEnd w:id="740"/>
      <w:bookmarkEnd w:id="741"/>
      <w:bookmarkEnd w:id="742"/>
    </w:p>
    <w:p>
      <w:pPr>
        <w:spacing w:line="276" w:lineRule="auto"/>
        <w:ind w:firstLine="420" w:firstLineChars="200"/>
        <w:jc w:val="left"/>
        <w:rPr>
          <w:rFonts w:ascii="宋体" w:hAnsi="宋体"/>
          <w:szCs w:val="21"/>
        </w:rPr>
      </w:pPr>
      <w:r>
        <w:rPr>
          <w:rFonts w:hint="eastAsia" w:ascii="宋体" w:hAnsi="宋体"/>
          <w:szCs w:val="21"/>
        </w:rPr>
        <w:t>在项目实施过程中，经双方友好协商，本协议的有关条款也可做出相应的修改。</w:t>
      </w:r>
    </w:p>
    <w:p>
      <w:pPr>
        <w:spacing w:line="276" w:lineRule="auto"/>
        <w:ind w:firstLine="420" w:firstLineChars="200"/>
        <w:jc w:val="left"/>
        <w:rPr>
          <w:rFonts w:ascii="宋体" w:hAnsi="宋体"/>
          <w:szCs w:val="21"/>
        </w:rPr>
      </w:pPr>
      <w:r>
        <w:rPr>
          <w:rFonts w:hint="eastAsia" w:ascii="宋体" w:hAnsi="宋体"/>
          <w:szCs w:val="21"/>
        </w:rPr>
        <w:t>本工程安全管理协议，由发包人、承包人双方在施工承包合同签订后7天内共同签署，作为施工合同附件。</w:t>
      </w:r>
    </w:p>
    <w:p>
      <w:pPr>
        <w:spacing w:line="360" w:lineRule="auto"/>
        <w:ind w:firstLine="420" w:firstLineChars="200"/>
        <w:jc w:val="left"/>
        <w:rPr>
          <w:rFonts w:ascii="宋体" w:hAnsi="宋体"/>
          <w:szCs w:val="21"/>
        </w:rPr>
      </w:pPr>
      <w:r>
        <w:rPr>
          <w:rFonts w:hint="eastAsia" w:ascii="宋体" w:hAnsi="宋体"/>
          <w:szCs w:val="21"/>
        </w:rPr>
        <w:t>发  包  人（</w:t>
      </w:r>
      <w:r>
        <w:rPr>
          <w:rFonts w:hint="eastAsia" w:ascii="宋体" w:hAnsi="宋体"/>
          <w:szCs w:val="21"/>
          <w:lang w:val="en-US" w:eastAsia="zh-CN"/>
        </w:rPr>
        <w:t>单位</w:t>
      </w:r>
      <w:r>
        <w:rPr>
          <w:rFonts w:hint="eastAsia" w:ascii="宋体" w:hAnsi="宋体"/>
          <w:szCs w:val="21"/>
        </w:rPr>
        <w:t>公章）：</w:t>
      </w:r>
      <w:r>
        <w:rPr>
          <w:rFonts w:hint="eastAsia" w:ascii="宋体" w:hAnsi="宋体" w:cs="宋体"/>
          <w:szCs w:val="21"/>
          <w:u w:val="single"/>
        </w:rPr>
        <w:t xml:space="preserve">                   </w:t>
      </w:r>
    </w:p>
    <w:p>
      <w:pPr>
        <w:spacing w:line="360" w:lineRule="auto"/>
        <w:ind w:firstLine="420" w:firstLineChars="200"/>
        <w:jc w:val="left"/>
        <w:rPr>
          <w:rFonts w:ascii="宋体" w:hAnsi="宋体"/>
          <w:szCs w:val="21"/>
        </w:rPr>
      </w:pPr>
      <w:r>
        <w:rPr>
          <w:rFonts w:hint="eastAsia" w:ascii="宋体" w:hAnsi="宋体"/>
          <w:szCs w:val="21"/>
        </w:rPr>
        <w:t>法定代表人（签名）：</w:t>
      </w:r>
      <w:r>
        <w:rPr>
          <w:rFonts w:hint="eastAsia" w:ascii="宋体" w:hAnsi="宋体" w:cs="宋体"/>
          <w:szCs w:val="21"/>
          <w:u w:val="single"/>
        </w:rPr>
        <w:t xml:space="preserve">                       </w:t>
      </w:r>
      <w:r>
        <w:rPr>
          <w:rFonts w:hint="eastAsia" w:ascii="宋体" w:hAnsi="宋体"/>
          <w:szCs w:val="21"/>
        </w:rPr>
        <w:t xml:space="preserve">  </w:t>
      </w:r>
    </w:p>
    <w:p>
      <w:pPr>
        <w:spacing w:line="360" w:lineRule="auto"/>
        <w:ind w:firstLine="420" w:firstLineChars="200"/>
        <w:jc w:val="left"/>
        <w:rPr>
          <w:rFonts w:ascii="宋体" w:hAnsi="宋体"/>
          <w:szCs w:val="21"/>
        </w:rPr>
      </w:pPr>
      <w:r>
        <w:rPr>
          <w:rFonts w:hint="eastAsia" w:ascii="宋体" w:hAnsi="宋体"/>
          <w:szCs w:val="21"/>
        </w:rPr>
        <w:t>或其委托代理人（签名）：</w:t>
      </w:r>
      <w:r>
        <w:rPr>
          <w:rFonts w:hint="eastAsia" w:ascii="宋体" w:hAnsi="宋体" w:cs="宋体"/>
          <w:szCs w:val="21"/>
          <w:u w:val="single"/>
        </w:rPr>
        <w:t xml:space="preserve">                   </w:t>
      </w:r>
      <w:r>
        <w:rPr>
          <w:rFonts w:hint="eastAsia" w:ascii="宋体" w:hAnsi="宋体"/>
          <w:szCs w:val="21"/>
        </w:rPr>
        <w:t xml:space="preserve">  </w:t>
      </w:r>
    </w:p>
    <w:p>
      <w:pPr>
        <w:spacing w:line="360" w:lineRule="auto"/>
        <w:ind w:firstLine="420" w:firstLineChars="200"/>
        <w:jc w:val="left"/>
        <w:rPr>
          <w:rFonts w:ascii="宋体" w:hAnsi="宋体"/>
          <w:szCs w:val="21"/>
        </w:rPr>
      </w:pPr>
    </w:p>
    <w:p>
      <w:pPr>
        <w:spacing w:line="360" w:lineRule="auto"/>
        <w:ind w:firstLine="420" w:firstLineChars="200"/>
        <w:jc w:val="left"/>
        <w:rPr>
          <w:rFonts w:ascii="宋体" w:hAnsi="宋体"/>
          <w:kern w:val="0"/>
          <w:szCs w:val="21"/>
        </w:rPr>
      </w:pPr>
      <w:r>
        <w:rPr>
          <w:rFonts w:hint="eastAsia" w:ascii="宋体" w:hAnsi="宋体"/>
          <w:szCs w:val="21"/>
        </w:rPr>
        <w:t>承  包  人（</w:t>
      </w:r>
      <w:r>
        <w:rPr>
          <w:rFonts w:hint="eastAsia" w:ascii="宋体" w:hAnsi="宋体"/>
          <w:szCs w:val="21"/>
          <w:lang w:val="en-US" w:eastAsia="zh-CN"/>
        </w:rPr>
        <w:t>单位</w:t>
      </w:r>
      <w:r>
        <w:rPr>
          <w:rFonts w:hint="eastAsia" w:ascii="宋体" w:hAnsi="宋体"/>
          <w:szCs w:val="21"/>
        </w:rPr>
        <w:t>公章）：</w:t>
      </w:r>
      <w:r>
        <w:rPr>
          <w:rFonts w:hint="eastAsia" w:ascii="宋体" w:hAnsi="宋体" w:cs="宋体"/>
          <w:szCs w:val="21"/>
          <w:u w:val="single"/>
        </w:rPr>
        <w:t xml:space="preserve">                   </w:t>
      </w:r>
    </w:p>
    <w:p>
      <w:pPr>
        <w:spacing w:line="360" w:lineRule="auto"/>
        <w:ind w:firstLine="420" w:firstLineChars="200"/>
        <w:jc w:val="left"/>
        <w:rPr>
          <w:rFonts w:ascii="宋体" w:hAnsi="宋体"/>
          <w:szCs w:val="21"/>
        </w:rPr>
      </w:pPr>
      <w:r>
        <w:rPr>
          <w:rFonts w:hint="eastAsia" w:ascii="宋体" w:hAnsi="宋体"/>
          <w:szCs w:val="21"/>
        </w:rPr>
        <w:t>法定代表人（签名）：</w:t>
      </w:r>
      <w:r>
        <w:rPr>
          <w:rFonts w:hint="eastAsia" w:ascii="宋体" w:hAnsi="宋体" w:cs="宋体"/>
          <w:szCs w:val="21"/>
          <w:u w:val="single"/>
        </w:rPr>
        <w:t xml:space="preserve">                       </w:t>
      </w:r>
    </w:p>
    <w:p>
      <w:pPr>
        <w:spacing w:line="360" w:lineRule="auto"/>
        <w:ind w:firstLine="420" w:firstLineChars="200"/>
        <w:jc w:val="left"/>
        <w:rPr>
          <w:rFonts w:ascii="宋体" w:hAnsi="宋体"/>
          <w:kern w:val="0"/>
          <w:szCs w:val="21"/>
        </w:rPr>
      </w:pPr>
      <w:r>
        <w:rPr>
          <w:rFonts w:hint="eastAsia" w:ascii="宋体" w:hAnsi="宋体"/>
          <w:szCs w:val="21"/>
        </w:rPr>
        <w:t>或其委托代理人（签名）：</w:t>
      </w:r>
      <w:r>
        <w:rPr>
          <w:rFonts w:hint="eastAsia" w:ascii="宋体" w:hAnsi="宋体" w:cs="宋体"/>
          <w:szCs w:val="21"/>
          <w:u w:val="single"/>
        </w:rPr>
        <w:t xml:space="preserve">                   </w:t>
      </w:r>
    </w:p>
    <w:bookmarkEnd w:id="614"/>
    <w:p>
      <w:pPr>
        <w:spacing w:line="240" w:lineRule="auto"/>
        <w:rPr>
          <w:rFonts w:ascii="宋体" w:hAnsi="宋体"/>
          <w:sz w:val="24"/>
        </w:rPr>
      </w:pPr>
      <w:bookmarkStart w:id="743" w:name="招标文件05章工程量清单"/>
      <w:bookmarkEnd w:id="743"/>
    </w:p>
    <w:p/>
    <w:p>
      <w:pPr>
        <w:rPr>
          <w:rFonts w:hint="eastAsia"/>
          <w:color w:val="auto"/>
          <w:highlight w:val="none"/>
        </w:rPr>
      </w:pPr>
      <w:r>
        <w:rPr>
          <w:rFonts w:hint="eastAsia"/>
          <w:color w:val="auto"/>
          <w:highlight w:val="none"/>
        </w:rPr>
        <w:br w:type="page"/>
      </w:r>
    </w:p>
    <w:p>
      <w:pPr>
        <w:rPr>
          <w:rFonts w:hint="eastAsia"/>
        </w:rPr>
      </w:pPr>
    </w:p>
    <w:p>
      <w:pPr>
        <w:pStyle w:val="2"/>
        <w:spacing w:before="0" w:after="0" w:line="360" w:lineRule="auto"/>
        <w:jc w:val="center"/>
        <w:rPr>
          <w:rFonts w:ascii="宋体" w:hAnsi="宋体"/>
          <w:color w:val="auto"/>
          <w:highlight w:val="none"/>
        </w:rPr>
      </w:pPr>
      <w:r>
        <w:rPr>
          <w:rFonts w:hint="eastAsia" w:ascii="宋体" w:hAnsi="宋体"/>
          <w:color w:val="auto"/>
          <w:highlight w:val="none"/>
        </w:rPr>
        <w:t>第五章  工程量清单</w:t>
      </w:r>
      <w:bookmarkEnd w:id="606"/>
      <w:bookmarkEnd w:id="607"/>
      <w:bookmarkEnd w:id="608"/>
      <w:bookmarkEnd w:id="609"/>
      <w:bookmarkEnd w:id="610"/>
      <w:bookmarkEnd w:id="611"/>
      <w:bookmarkEnd w:id="612"/>
      <w:bookmarkStart w:id="744" w:name="招标文件05章工程量清单01"/>
      <w:bookmarkEnd w:id="744"/>
      <w:bookmarkStart w:id="745" w:name="_Toc277082638"/>
      <w:bookmarkStart w:id="746" w:name="_Toc224103477"/>
      <w:bookmarkStart w:id="747" w:name="_Toc287620798"/>
      <w:bookmarkStart w:id="748" w:name="_Toc430530514"/>
      <w:bookmarkStart w:id="749" w:name="_Toc287607856"/>
    </w:p>
    <w:bookmarkEnd w:id="745"/>
    <w:bookmarkEnd w:id="746"/>
    <w:bookmarkEnd w:id="747"/>
    <w:bookmarkEnd w:id="748"/>
    <w:bookmarkEnd w:id="749"/>
    <w:p>
      <w:pPr>
        <w:snapToGrid w:val="0"/>
        <w:spacing w:line="360" w:lineRule="auto"/>
        <w:jc w:val="center"/>
        <w:rPr>
          <w:rFonts w:ascii="宋体" w:hAnsi="宋体"/>
          <w:color w:val="auto"/>
          <w:sz w:val="24"/>
          <w:highlight w:val="none"/>
        </w:rPr>
      </w:pPr>
    </w:p>
    <w:p>
      <w:pPr>
        <w:snapToGrid w:val="0"/>
        <w:spacing w:line="360" w:lineRule="auto"/>
        <w:jc w:val="center"/>
        <w:rPr>
          <w:rFonts w:ascii="宋体" w:hAnsi="宋体"/>
          <w:color w:val="auto"/>
          <w:szCs w:val="21"/>
          <w:highlight w:val="none"/>
        </w:rPr>
      </w:pPr>
      <w:r>
        <w:rPr>
          <w:rFonts w:hint="eastAsia" w:ascii="宋体" w:hAnsi="宋体"/>
          <w:color w:val="auto"/>
          <w:szCs w:val="20"/>
          <w:highlight w:val="none"/>
        </w:rPr>
        <w:t>在</w:t>
      </w:r>
      <w:r>
        <w:rPr>
          <w:rFonts w:hint="eastAsia" w:ascii="宋体" w:hAnsi="宋体"/>
          <w:color w:val="auto"/>
          <w:szCs w:val="20"/>
          <w:highlight w:val="none"/>
          <w:u w:val="single"/>
        </w:rPr>
        <w:t>行采家（https://www.gec123.com/）</w:t>
      </w:r>
      <w:r>
        <w:rPr>
          <w:rFonts w:hint="eastAsia" w:ascii="宋体" w:hAnsi="宋体"/>
          <w:color w:val="auto"/>
          <w:szCs w:val="20"/>
          <w:highlight w:val="none"/>
        </w:rPr>
        <w:t>下载。</w:t>
      </w:r>
    </w:p>
    <w:p>
      <w:pPr>
        <w:ind w:right="561"/>
        <w:rPr>
          <w:rFonts w:ascii="宋体" w:hAnsi="宋体"/>
          <w:color w:val="auto"/>
          <w:szCs w:val="21"/>
          <w:highlight w:val="none"/>
        </w:rPr>
      </w:pPr>
      <w:r>
        <w:rPr>
          <w:rFonts w:ascii="宋体" w:hAnsi="宋体"/>
          <w:color w:val="auto"/>
          <w:sz w:val="24"/>
          <w:highlight w:val="none"/>
        </w:rPr>
        <w:br w:type="page"/>
      </w:r>
    </w:p>
    <w:p>
      <w:pPr>
        <w:pStyle w:val="2"/>
        <w:spacing w:before="0" w:after="0" w:line="360" w:lineRule="auto"/>
        <w:jc w:val="center"/>
        <w:rPr>
          <w:rFonts w:ascii="宋体" w:hAnsi="宋体"/>
          <w:color w:val="auto"/>
          <w:sz w:val="52"/>
          <w:szCs w:val="52"/>
          <w:highlight w:val="none"/>
        </w:rPr>
      </w:pPr>
      <w:bookmarkStart w:id="750" w:name="_Toc534185823"/>
      <w:bookmarkStart w:id="751" w:name="_Toc57905911"/>
      <w:bookmarkStart w:id="752" w:name="_Toc509218844"/>
      <w:bookmarkStart w:id="753" w:name="_Toc13474"/>
      <w:r>
        <w:rPr>
          <w:rFonts w:ascii="宋体" w:hAnsi="宋体"/>
          <w:color w:val="auto"/>
          <w:sz w:val="52"/>
          <w:szCs w:val="52"/>
          <w:highlight w:val="none"/>
        </w:rPr>
        <w:t>第 二 卷</w:t>
      </w:r>
      <w:bookmarkEnd w:id="750"/>
      <w:bookmarkEnd w:id="751"/>
      <w:bookmarkEnd w:id="752"/>
      <w:bookmarkEnd w:id="753"/>
    </w:p>
    <w:p>
      <w:pPr>
        <w:spacing w:line="360" w:lineRule="auto"/>
        <w:rPr>
          <w:rFonts w:ascii="宋体" w:hAnsi="宋体"/>
          <w:color w:val="auto"/>
          <w:szCs w:val="20"/>
          <w:highlight w:val="none"/>
        </w:rPr>
      </w:pPr>
      <w:r>
        <w:rPr>
          <w:rFonts w:ascii="宋体" w:hAnsi="宋体"/>
          <w:color w:val="auto"/>
          <w:szCs w:val="20"/>
          <w:highlight w:val="none"/>
        </w:rPr>
        <w:br w:type="page"/>
      </w:r>
    </w:p>
    <w:p>
      <w:pPr>
        <w:pStyle w:val="2"/>
        <w:spacing w:line="360" w:lineRule="auto"/>
        <w:jc w:val="center"/>
        <w:rPr>
          <w:rFonts w:ascii="宋体" w:hAnsi="宋体"/>
          <w:color w:val="auto"/>
          <w:highlight w:val="none"/>
        </w:rPr>
      </w:pPr>
      <w:bookmarkStart w:id="754" w:name="招标文件06章图纸"/>
      <w:bookmarkEnd w:id="754"/>
      <w:bookmarkStart w:id="755" w:name="_Toc509218846"/>
      <w:bookmarkStart w:id="756" w:name="_Toc534185825"/>
      <w:bookmarkStart w:id="757" w:name="_Toc22154"/>
      <w:bookmarkStart w:id="758" w:name="_Toc287607861"/>
      <w:bookmarkStart w:id="759" w:name="_Toc57905912"/>
      <w:bookmarkStart w:id="760" w:name="_Toc287620803"/>
      <w:bookmarkStart w:id="761" w:name="_Toc430530519"/>
      <w:r>
        <w:rPr>
          <w:rFonts w:hint="eastAsia" w:ascii="宋体" w:hAnsi="宋体"/>
          <w:color w:val="auto"/>
          <w:highlight w:val="none"/>
        </w:rPr>
        <w:t>第六章  图纸</w:t>
      </w:r>
      <w:bookmarkEnd w:id="755"/>
      <w:bookmarkEnd w:id="756"/>
      <w:bookmarkEnd w:id="757"/>
      <w:bookmarkEnd w:id="758"/>
      <w:bookmarkEnd w:id="759"/>
      <w:bookmarkEnd w:id="760"/>
      <w:bookmarkEnd w:id="761"/>
    </w:p>
    <w:p>
      <w:pPr>
        <w:spacing w:line="360" w:lineRule="auto"/>
        <w:jc w:val="center"/>
        <w:rPr>
          <w:rFonts w:ascii="宋体" w:hAnsi="宋体"/>
          <w:color w:val="auto"/>
          <w:szCs w:val="20"/>
          <w:highlight w:val="none"/>
        </w:rPr>
      </w:pPr>
      <w:r>
        <w:rPr>
          <w:rFonts w:hint="eastAsia" w:ascii="宋体" w:hAnsi="宋体"/>
          <w:color w:val="auto"/>
          <w:szCs w:val="20"/>
          <w:highlight w:val="none"/>
        </w:rPr>
        <w:t>在</w:t>
      </w:r>
      <w:r>
        <w:rPr>
          <w:rFonts w:hint="eastAsia" w:ascii="宋体" w:hAnsi="宋体"/>
          <w:color w:val="auto"/>
          <w:szCs w:val="20"/>
          <w:highlight w:val="none"/>
          <w:u w:val="single"/>
        </w:rPr>
        <w:t>行采家（https://www.gec123.com/）</w:t>
      </w:r>
      <w:r>
        <w:rPr>
          <w:rFonts w:hint="eastAsia" w:ascii="宋体" w:hAnsi="宋体"/>
          <w:color w:val="auto"/>
          <w:szCs w:val="20"/>
          <w:highlight w:val="none"/>
        </w:rPr>
        <w:t>下载。</w:t>
      </w:r>
    </w:p>
    <w:p>
      <w:pPr>
        <w:spacing w:line="360" w:lineRule="auto"/>
        <w:rPr>
          <w:rFonts w:ascii="宋体" w:hAnsi="宋体"/>
          <w:color w:val="auto"/>
          <w:szCs w:val="20"/>
          <w:highlight w:val="none"/>
        </w:rPr>
      </w:pPr>
      <w:bookmarkStart w:id="762" w:name="招标文件06章图纸01"/>
      <w:bookmarkEnd w:id="762"/>
      <w:bookmarkStart w:id="763" w:name="_Toc287620804"/>
      <w:bookmarkStart w:id="764" w:name="_Toc430530520"/>
    </w:p>
    <w:bookmarkEnd w:id="763"/>
    <w:bookmarkEnd w:id="764"/>
    <w:p>
      <w:pPr>
        <w:spacing w:line="360" w:lineRule="auto"/>
        <w:rPr>
          <w:rFonts w:ascii="宋体" w:hAnsi="宋体"/>
          <w:color w:val="auto"/>
          <w:highlight w:val="none"/>
        </w:rPr>
      </w:pPr>
      <w:r>
        <w:rPr>
          <w:rFonts w:ascii="宋体" w:hAnsi="宋体"/>
          <w:color w:val="auto"/>
          <w:szCs w:val="20"/>
          <w:highlight w:val="none"/>
        </w:rPr>
        <w:br w:type="page"/>
      </w:r>
    </w:p>
    <w:p>
      <w:pPr>
        <w:pStyle w:val="2"/>
        <w:spacing w:before="0" w:after="0" w:line="360" w:lineRule="auto"/>
        <w:jc w:val="center"/>
        <w:rPr>
          <w:rFonts w:ascii="宋体" w:hAnsi="宋体"/>
          <w:color w:val="auto"/>
          <w:sz w:val="52"/>
          <w:szCs w:val="52"/>
          <w:highlight w:val="none"/>
        </w:rPr>
      </w:pPr>
      <w:bookmarkStart w:id="765" w:name="_Toc57905913"/>
      <w:bookmarkStart w:id="766" w:name="_Toc8804"/>
      <w:r>
        <w:rPr>
          <w:rFonts w:hint="eastAsia" w:ascii="宋体" w:hAnsi="宋体"/>
          <w:color w:val="auto"/>
          <w:sz w:val="52"/>
          <w:szCs w:val="52"/>
          <w:highlight w:val="none"/>
        </w:rPr>
        <w:t>第 三 卷</w:t>
      </w:r>
      <w:bookmarkEnd w:id="765"/>
      <w:bookmarkEnd w:id="766"/>
      <w:bookmarkStart w:id="767" w:name="_Toc509218847"/>
      <w:bookmarkStart w:id="768" w:name="_Toc536796986"/>
      <w:bookmarkStart w:id="769" w:name="_Toc536797390"/>
      <w:bookmarkStart w:id="770" w:name="_Toc536621880"/>
      <w:bookmarkStart w:id="771" w:name="_Toc534185826"/>
      <w:bookmarkStart w:id="772" w:name="_Toc536797255"/>
      <w:bookmarkStart w:id="773" w:name="_Toc536628344"/>
      <w:bookmarkStart w:id="774" w:name="_Toc536796850"/>
      <w:bookmarkStart w:id="775" w:name="_Toc536619968"/>
      <w:bookmarkStart w:id="776" w:name="_Toc536620100"/>
      <w:bookmarkStart w:id="777" w:name="_Toc536797121"/>
      <w:bookmarkStart w:id="778" w:name="_Toc13211764"/>
      <w:bookmarkStart w:id="779" w:name="_Toc13210772"/>
      <w:bookmarkStart w:id="780" w:name="_Toc13211206"/>
    </w:p>
    <w:bookmarkEnd w:id="767"/>
    <w:p>
      <w:pPr>
        <w:rPr>
          <w:color w:val="auto"/>
          <w:highlight w:val="none"/>
        </w:rPr>
      </w:pPr>
      <w:r>
        <w:rPr>
          <w:color w:val="auto"/>
          <w:highlight w:val="none"/>
        </w:rPr>
        <w:br w:type="page"/>
      </w:r>
      <w:bookmarkEnd w:id="768"/>
      <w:bookmarkEnd w:id="769"/>
      <w:bookmarkEnd w:id="770"/>
      <w:bookmarkEnd w:id="771"/>
      <w:bookmarkEnd w:id="772"/>
      <w:bookmarkEnd w:id="773"/>
      <w:bookmarkEnd w:id="774"/>
      <w:bookmarkEnd w:id="775"/>
      <w:bookmarkEnd w:id="776"/>
      <w:bookmarkEnd w:id="777"/>
      <w:bookmarkEnd w:id="778"/>
      <w:bookmarkEnd w:id="779"/>
      <w:bookmarkEnd w:id="780"/>
    </w:p>
    <w:p>
      <w:pPr>
        <w:pStyle w:val="2"/>
        <w:spacing w:line="360" w:lineRule="auto"/>
        <w:jc w:val="center"/>
        <w:rPr>
          <w:rFonts w:ascii="宋体" w:hAnsi="宋体"/>
          <w:color w:val="auto"/>
          <w:highlight w:val="none"/>
        </w:rPr>
      </w:pPr>
      <w:bookmarkStart w:id="781" w:name="招标文件07章技术标准和要求"/>
      <w:bookmarkEnd w:id="781"/>
      <w:bookmarkStart w:id="782" w:name="_Toc17170"/>
      <w:bookmarkStart w:id="783" w:name="_Toc57905914"/>
      <w:r>
        <w:rPr>
          <w:rFonts w:ascii="宋体" w:hAnsi="宋体"/>
          <w:color w:val="auto"/>
          <w:highlight w:val="none"/>
        </w:rPr>
        <w:t>第七章</w:t>
      </w:r>
      <w:r>
        <w:rPr>
          <w:rFonts w:hint="eastAsia" w:ascii="宋体" w:hAnsi="宋体"/>
          <w:color w:val="auto"/>
          <w:highlight w:val="none"/>
        </w:rPr>
        <w:t xml:space="preserve">  </w:t>
      </w:r>
      <w:r>
        <w:rPr>
          <w:rFonts w:ascii="宋体" w:hAnsi="宋体"/>
          <w:color w:val="auto"/>
          <w:highlight w:val="none"/>
        </w:rPr>
        <w:t>技术标准和要求</w:t>
      </w:r>
      <w:bookmarkEnd w:id="782"/>
      <w:bookmarkEnd w:id="783"/>
      <w:bookmarkStart w:id="784" w:name="招标文件07章技术标准和要求01"/>
      <w:bookmarkEnd w:id="784"/>
      <w:bookmarkStart w:id="785" w:name="_Toc287620808"/>
      <w:bookmarkStart w:id="786" w:name="_Toc430530524"/>
    </w:p>
    <w:bookmarkEnd w:id="785"/>
    <w:bookmarkEnd w:id="786"/>
    <w:p>
      <w:pPr>
        <w:spacing w:line="360" w:lineRule="auto"/>
        <w:jc w:val="center"/>
        <w:rPr>
          <w:rFonts w:ascii="宋体" w:hAnsi="宋体"/>
          <w:color w:val="auto"/>
          <w:szCs w:val="21"/>
          <w:highlight w:val="none"/>
        </w:rPr>
      </w:pPr>
      <w:r>
        <w:rPr>
          <w:rFonts w:ascii="宋体" w:hAnsi="宋体"/>
          <w:color w:val="auto"/>
          <w:szCs w:val="21"/>
          <w:highlight w:val="none"/>
        </w:rPr>
        <w:t>由招标人根据招标项目的实际情况编写</w:t>
      </w:r>
      <w:r>
        <w:rPr>
          <w:rFonts w:hint="eastAsia" w:ascii="宋体" w:hAnsi="宋体"/>
          <w:color w:val="auto"/>
          <w:szCs w:val="21"/>
          <w:highlight w:val="none"/>
        </w:rPr>
        <w:t>（如有）。</w:t>
      </w:r>
    </w:p>
    <w:p>
      <w:pPr>
        <w:spacing w:line="360" w:lineRule="auto"/>
        <w:rPr>
          <w:rFonts w:ascii="宋体" w:hAnsi="宋体"/>
          <w:color w:val="auto"/>
          <w:highlight w:val="none"/>
        </w:rPr>
      </w:pPr>
      <w:r>
        <w:rPr>
          <w:rFonts w:ascii="宋体" w:hAnsi="宋体"/>
          <w:color w:val="auto"/>
          <w:highlight w:val="none"/>
        </w:rPr>
        <w:br w:type="page"/>
      </w:r>
    </w:p>
    <w:p>
      <w:pPr>
        <w:pStyle w:val="2"/>
        <w:spacing w:before="0" w:after="0" w:line="360" w:lineRule="auto"/>
        <w:jc w:val="center"/>
        <w:rPr>
          <w:rFonts w:ascii="宋体" w:hAnsi="宋体"/>
          <w:color w:val="auto"/>
          <w:sz w:val="52"/>
          <w:szCs w:val="52"/>
          <w:highlight w:val="none"/>
        </w:rPr>
      </w:pPr>
      <w:bookmarkStart w:id="787" w:name="_Toc534185827"/>
      <w:bookmarkStart w:id="788" w:name="_Toc57905915"/>
      <w:bookmarkStart w:id="789" w:name="_Toc18822"/>
      <w:bookmarkStart w:id="790" w:name="_Toc509218849"/>
      <w:r>
        <w:rPr>
          <w:rFonts w:ascii="宋体" w:hAnsi="宋体"/>
          <w:color w:val="auto"/>
          <w:sz w:val="52"/>
          <w:szCs w:val="52"/>
          <w:highlight w:val="none"/>
        </w:rPr>
        <w:t>第 四 卷</w:t>
      </w:r>
      <w:bookmarkEnd w:id="787"/>
      <w:bookmarkEnd w:id="788"/>
      <w:bookmarkEnd w:id="789"/>
      <w:bookmarkEnd w:id="790"/>
      <w:bookmarkStart w:id="791" w:name="_Toc536797124"/>
      <w:bookmarkStart w:id="792" w:name="_Toc536620102"/>
      <w:bookmarkStart w:id="793" w:name="_Toc536619970"/>
      <w:bookmarkStart w:id="794" w:name="_Toc13211209"/>
      <w:bookmarkStart w:id="795" w:name="_Toc536797393"/>
      <w:bookmarkStart w:id="796" w:name="_Toc13211767"/>
      <w:bookmarkStart w:id="797" w:name="_Toc536796853"/>
      <w:bookmarkStart w:id="798" w:name="_Toc536628347"/>
      <w:bookmarkStart w:id="799" w:name="_Toc509218850"/>
      <w:bookmarkStart w:id="800" w:name="_Toc534185828"/>
      <w:bookmarkStart w:id="801" w:name="_Toc536796989"/>
      <w:bookmarkStart w:id="802" w:name="_Toc536797258"/>
      <w:bookmarkStart w:id="803" w:name="_Toc13210775"/>
      <w:bookmarkStart w:id="804" w:name="_Toc536621883"/>
    </w:p>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p>
      <w:pPr>
        <w:rPr>
          <w:color w:val="auto"/>
          <w:highlight w:val="none"/>
        </w:rPr>
      </w:pPr>
      <w:r>
        <w:rPr>
          <w:color w:val="auto"/>
          <w:highlight w:val="none"/>
        </w:rPr>
        <w:br w:type="page"/>
      </w:r>
      <w:bookmarkStart w:id="805" w:name="招标文件08章投标文件格式"/>
      <w:bookmarkEnd w:id="805"/>
      <w:bookmarkStart w:id="806" w:name="_Toc287607865"/>
      <w:bookmarkStart w:id="807" w:name="_Toc287620812"/>
    </w:p>
    <w:p>
      <w:pPr>
        <w:pStyle w:val="2"/>
        <w:spacing w:line="360" w:lineRule="auto"/>
        <w:jc w:val="center"/>
        <w:rPr>
          <w:rFonts w:ascii="宋体" w:hAnsi="宋体"/>
          <w:color w:val="auto"/>
          <w:highlight w:val="none"/>
        </w:rPr>
      </w:pPr>
      <w:bookmarkStart w:id="808" w:name="_Toc430530528"/>
      <w:bookmarkStart w:id="809" w:name="_Toc23843"/>
      <w:bookmarkStart w:id="810" w:name="_Toc57905916"/>
      <w:bookmarkStart w:id="811" w:name="_Toc509218852"/>
      <w:bookmarkStart w:id="812" w:name="_Toc534185829"/>
      <w:r>
        <w:rPr>
          <w:rFonts w:hint="eastAsia" w:ascii="宋体" w:hAnsi="宋体"/>
          <w:color w:val="auto"/>
          <w:highlight w:val="none"/>
        </w:rPr>
        <w:t>第八章  投标文件格式</w:t>
      </w:r>
      <w:bookmarkEnd w:id="806"/>
      <w:bookmarkEnd w:id="807"/>
      <w:bookmarkEnd w:id="808"/>
      <w:bookmarkEnd w:id="809"/>
      <w:bookmarkEnd w:id="810"/>
      <w:bookmarkEnd w:id="811"/>
      <w:bookmarkEnd w:id="812"/>
    </w:p>
    <w:p>
      <w:pPr>
        <w:spacing w:line="360" w:lineRule="auto"/>
        <w:rPr>
          <w:rFonts w:ascii="宋体" w:hAnsi="宋体"/>
          <w:color w:val="auto"/>
          <w:sz w:val="32"/>
          <w:szCs w:val="32"/>
          <w:highlight w:val="none"/>
        </w:rPr>
      </w:pPr>
    </w:p>
    <w:p>
      <w:pPr>
        <w:spacing w:line="360" w:lineRule="auto"/>
        <w:jc w:val="center"/>
        <w:rPr>
          <w:rFonts w:ascii="宋体" w:hAnsi="宋体"/>
          <w:color w:val="auto"/>
          <w:sz w:val="36"/>
          <w:szCs w:val="36"/>
          <w:highlight w:val="none"/>
        </w:rPr>
      </w:pPr>
      <w:r>
        <w:rPr>
          <w:rFonts w:ascii="宋体" w:hAnsi="宋体"/>
          <w:color w:val="auto"/>
          <w:szCs w:val="20"/>
          <w:highlight w:val="none"/>
        </w:rPr>
        <w:br w:type="page"/>
      </w:r>
      <w:bookmarkStart w:id="813" w:name="_Toc224103493"/>
      <w:r>
        <w:rPr>
          <w:rFonts w:hint="eastAsia" w:ascii="宋体" w:hAnsi="宋体"/>
          <w:color w:val="auto"/>
          <w:sz w:val="36"/>
          <w:szCs w:val="36"/>
          <w:highlight w:val="none"/>
        </w:rPr>
        <w:t>目  录</w:t>
      </w:r>
      <w:bookmarkEnd w:id="813"/>
    </w:p>
    <w:p>
      <w:pPr>
        <w:spacing w:line="360" w:lineRule="auto"/>
        <w:jc w:val="center"/>
        <w:rPr>
          <w:rFonts w:ascii="宋体" w:hAnsi="宋体"/>
          <w:color w:val="auto"/>
          <w:szCs w:val="20"/>
          <w:highlight w:val="none"/>
        </w:rPr>
      </w:pPr>
    </w:p>
    <w:p>
      <w:pPr>
        <w:spacing w:line="360" w:lineRule="auto"/>
        <w:rPr>
          <w:rFonts w:ascii="宋体" w:hAnsi="宋体"/>
          <w:b/>
          <w:color w:val="auto"/>
          <w:highlight w:val="none"/>
        </w:rPr>
      </w:pPr>
      <w:r>
        <w:rPr>
          <w:rFonts w:hint="eastAsia" w:ascii="宋体" w:hAnsi="宋体"/>
          <w:b/>
          <w:color w:val="auto"/>
          <w:highlight w:val="none"/>
          <w:lang w:val="en-US" w:eastAsia="zh-CN"/>
        </w:rPr>
        <w:t>一</w:t>
      </w:r>
      <w:r>
        <w:rPr>
          <w:rFonts w:ascii="宋体" w:hAnsi="宋体"/>
          <w:b/>
          <w:color w:val="auto"/>
          <w:highlight w:val="none"/>
        </w:rPr>
        <w:t>、投标函部分</w:t>
      </w:r>
    </w:p>
    <w:p>
      <w:pPr>
        <w:spacing w:line="360" w:lineRule="auto"/>
        <w:ind w:firstLine="420" w:firstLineChars="200"/>
        <w:rPr>
          <w:rFonts w:ascii="宋体" w:hAnsi="宋体"/>
          <w:color w:val="auto"/>
          <w:highlight w:val="none"/>
        </w:rPr>
      </w:pPr>
      <w:r>
        <w:rPr>
          <w:rFonts w:ascii="宋体" w:hAnsi="宋体"/>
          <w:color w:val="auto"/>
          <w:highlight w:val="none"/>
        </w:rPr>
        <w:t>（一）投标函</w:t>
      </w:r>
    </w:p>
    <w:p>
      <w:pPr>
        <w:spacing w:line="360" w:lineRule="auto"/>
        <w:ind w:firstLine="420" w:firstLineChars="200"/>
        <w:rPr>
          <w:rFonts w:ascii="宋体" w:hAnsi="宋体"/>
          <w:color w:val="auto"/>
          <w:highlight w:val="none"/>
        </w:rPr>
      </w:pPr>
      <w:r>
        <w:rPr>
          <w:rFonts w:ascii="宋体" w:hAnsi="宋体"/>
          <w:color w:val="auto"/>
          <w:highlight w:val="none"/>
        </w:rPr>
        <w:t>（二）投标函附录</w:t>
      </w:r>
    </w:p>
    <w:p>
      <w:pPr>
        <w:spacing w:line="360" w:lineRule="auto"/>
        <w:ind w:firstLine="420" w:firstLineChars="200"/>
        <w:rPr>
          <w:rFonts w:ascii="宋体" w:hAnsi="宋体"/>
          <w:color w:val="auto"/>
          <w:highlight w:val="none"/>
        </w:rPr>
      </w:pPr>
      <w:r>
        <w:rPr>
          <w:rFonts w:ascii="宋体" w:hAnsi="宋体"/>
          <w:color w:val="auto"/>
          <w:highlight w:val="none"/>
        </w:rPr>
        <w:t>（三）</w:t>
      </w:r>
      <w:r>
        <w:rPr>
          <w:rFonts w:hint="eastAsia" w:ascii="宋体" w:hAnsi="宋体"/>
          <w:color w:val="auto"/>
          <w:highlight w:val="none"/>
        </w:rPr>
        <w:t>法定代表人身份证明或附有法定代表人身份证明的授权委托书</w:t>
      </w:r>
    </w:p>
    <w:p>
      <w:pPr>
        <w:spacing w:line="360" w:lineRule="auto"/>
        <w:ind w:firstLine="420" w:firstLineChars="200"/>
        <w:rPr>
          <w:rFonts w:hint="eastAsia" w:ascii="宋体" w:hAnsi="宋体"/>
          <w:b/>
          <w:color w:val="auto"/>
          <w:highlight w:val="none"/>
          <w:lang w:val="en-US" w:eastAsia="zh-CN"/>
        </w:rPr>
      </w:pPr>
      <w:r>
        <w:rPr>
          <w:rFonts w:ascii="宋体" w:hAnsi="宋体"/>
          <w:color w:val="auto"/>
          <w:highlight w:val="none"/>
        </w:rPr>
        <w:t>（四）</w:t>
      </w:r>
      <w:r>
        <w:rPr>
          <w:rFonts w:hint="eastAsia" w:ascii="宋体" w:hAnsi="宋体"/>
          <w:color w:val="auto"/>
          <w:highlight w:val="none"/>
        </w:rPr>
        <w:t>低价风险担保提交承诺书（如有）</w:t>
      </w:r>
    </w:p>
    <w:p>
      <w:pPr>
        <w:spacing w:line="360" w:lineRule="auto"/>
        <w:rPr>
          <w:rFonts w:ascii="宋体" w:hAnsi="宋体"/>
          <w:b/>
          <w:color w:val="auto"/>
          <w:highlight w:val="none"/>
        </w:rPr>
      </w:pPr>
      <w:r>
        <w:rPr>
          <w:rFonts w:hint="eastAsia" w:ascii="宋体" w:hAnsi="宋体"/>
          <w:b/>
          <w:color w:val="auto"/>
          <w:highlight w:val="none"/>
          <w:lang w:val="en-US" w:eastAsia="zh-CN"/>
        </w:rPr>
        <w:t>二</w:t>
      </w:r>
      <w:r>
        <w:rPr>
          <w:rFonts w:ascii="宋体" w:hAnsi="宋体"/>
          <w:b/>
          <w:color w:val="auto"/>
          <w:highlight w:val="none"/>
        </w:rPr>
        <w:t>、</w:t>
      </w:r>
      <w:r>
        <w:rPr>
          <w:rFonts w:hint="eastAsia" w:ascii="宋体" w:hAnsi="宋体"/>
          <w:b/>
          <w:color w:val="auto"/>
          <w:highlight w:val="none"/>
        </w:rPr>
        <w:t>经济</w:t>
      </w:r>
      <w:r>
        <w:rPr>
          <w:rFonts w:ascii="宋体" w:hAnsi="宋体"/>
          <w:b/>
          <w:color w:val="auto"/>
          <w:highlight w:val="none"/>
        </w:rPr>
        <w:t>部分</w:t>
      </w:r>
    </w:p>
    <w:p>
      <w:pPr>
        <w:spacing w:line="360" w:lineRule="auto"/>
        <w:ind w:firstLine="420" w:firstLineChars="200"/>
        <w:rPr>
          <w:rFonts w:ascii="宋体" w:hAnsi="宋体"/>
          <w:color w:val="auto"/>
          <w:highlight w:val="none"/>
        </w:rPr>
      </w:pPr>
      <w:r>
        <w:rPr>
          <w:rFonts w:ascii="宋体" w:hAnsi="宋体"/>
          <w:color w:val="auto"/>
          <w:highlight w:val="none"/>
        </w:rPr>
        <w:t>已标价工程量清单</w:t>
      </w:r>
    </w:p>
    <w:p>
      <w:pPr>
        <w:spacing w:line="360" w:lineRule="auto"/>
        <w:rPr>
          <w:rFonts w:ascii="宋体" w:hAnsi="宋体"/>
          <w:b/>
          <w:color w:val="auto"/>
          <w:highlight w:val="none"/>
        </w:rPr>
      </w:pPr>
      <w:r>
        <w:rPr>
          <w:rFonts w:hint="eastAsia" w:ascii="宋体" w:hAnsi="宋体"/>
          <w:b/>
          <w:color w:val="auto"/>
          <w:highlight w:val="none"/>
          <w:lang w:val="en-US" w:eastAsia="zh-CN"/>
        </w:rPr>
        <w:t>三</w:t>
      </w:r>
      <w:r>
        <w:rPr>
          <w:rFonts w:ascii="宋体" w:hAnsi="宋体"/>
          <w:b/>
          <w:color w:val="auto"/>
          <w:highlight w:val="none"/>
        </w:rPr>
        <w:t>、</w:t>
      </w:r>
      <w:r>
        <w:rPr>
          <w:rFonts w:hint="eastAsia" w:ascii="宋体" w:hAnsi="宋体"/>
          <w:b/>
          <w:color w:val="auto"/>
          <w:highlight w:val="none"/>
        </w:rPr>
        <w:t>资格审查部分</w:t>
      </w:r>
    </w:p>
    <w:p>
      <w:pPr>
        <w:spacing w:line="360" w:lineRule="auto"/>
        <w:ind w:firstLine="420" w:firstLineChars="200"/>
        <w:rPr>
          <w:rFonts w:ascii="宋体" w:hAnsi="宋体"/>
          <w:color w:val="auto"/>
          <w:highlight w:val="none"/>
        </w:rPr>
      </w:pPr>
      <w:r>
        <w:rPr>
          <w:rFonts w:ascii="宋体" w:hAnsi="宋体"/>
          <w:color w:val="auto"/>
          <w:highlight w:val="none"/>
        </w:rPr>
        <w:t>（一）</w:t>
      </w:r>
      <w:r>
        <w:rPr>
          <w:rFonts w:hint="eastAsia" w:ascii="宋体" w:hAnsi="宋体"/>
          <w:color w:val="auto"/>
          <w:highlight w:val="none"/>
        </w:rPr>
        <w:t>法定代表人身份证明或附有法定代表人身份证明的授权委托书</w:t>
      </w:r>
    </w:p>
    <w:p>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二</w:t>
      </w:r>
      <w:r>
        <w:rPr>
          <w:rFonts w:ascii="宋体" w:hAnsi="宋体"/>
          <w:color w:val="auto"/>
          <w:highlight w:val="none"/>
        </w:rPr>
        <w:t>）投标人基本情况表</w:t>
      </w:r>
    </w:p>
    <w:p>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三</w:t>
      </w:r>
      <w:r>
        <w:rPr>
          <w:rFonts w:ascii="宋体" w:hAnsi="宋体"/>
          <w:color w:val="auto"/>
          <w:highlight w:val="none"/>
        </w:rPr>
        <w:t>）项目管理机构</w:t>
      </w:r>
    </w:p>
    <w:p>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四</w:t>
      </w:r>
      <w:r>
        <w:rPr>
          <w:rFonts w:ascii="宋体" w:hAnsi="宋体"/>
          <w:color w:val="auto"/>
          <w:highlight w:val="none"/>
        </w:rPr>
        <w:t>）类似项目情况表</w:t>
      </w:r>
    </w:p>
    <w:p>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五</w:t>
      </w:r>
      <w:r>
        <w:rPr>
          <w:rFonts w:ascii="宋体" w:hAnsi="宋体"/>
          <w:color w:val="auto"/>
          <w:highlight w:val="none"/>
        </w:rPr>
        <w:t>）</w:t>
      </w:r>
      <w:r>
        <w:rPr>
          <w:rFonts w:hint="eastAsia" w:ascii="宋体" w:hAnsi="宋体"/>
          <w:color w:val="auto"/>
          <w:highlight w:val="none"/>
        </w:rPr>
        <w:t>承诺</w:t>
      </w:r>
    </w:p>
    <w:p>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六</w:t>
      </w:r>
      <w:r>
        <w:rPr>
          <w:rFonts w:ascii="宋体" w:hAnsi="宋体"/>
          <w:color w:val="auto"/>
          <w:highlight w:val="none"/>
        </w:rPr>
        <w:t>）其他资料</w:t>
      </w:r>
    </w:p>
    <w:p>
      <w:pPr>
        <w:autoSpaceDE w:val="0"/>
        <w:autoSpaceDN w:val="0"/>
        <w:adjustRightInd w:val="0"/>
        <w:spacing w:line="276" w:lineRule="auto"/>
        <w:ind w:right="-23"/>
        <w:jc w:val="left"/>
        <w:rPr>
          <w:rFonts w:ascii="宋体" w:hAnsi="宋体"/>
          <w:b/>
          <w:color w:val="auto"/>
          <w:kern w:val="0"/>
          <w:sz w:val="24"/>
          <w:highlight w:val="none"/>
        </w:rPr>
      </w:pPr>
      <w:r>
        <w:rPr>
          <w:rFonts w:ascii="宋体" w:hAnsi="宋体"/>
          <w:b/>
          <w:color w:val="auto"/>
          <w:kern w:val="0"/>
          <w:sz w:val="24"/>
          <w:highlight w:val="none"/>
        </w:rPr>
        <w:br w:type="page"/>
      </w:r>
      <w:bookmarkStart w:id="814" w:name="_Toc224103494"/>
      <w:bookmarkStart w:id="815" w:name="_Toc287620813"/>
      <w:bookmarkStart w:id="816" w:name="_Toc287607866"/>
      <w:bookmarkStart w:id="817" w:name="_Toc430530529"/>
      <w:bookmarkStart w:id="818" w:name="_Toc277082642"/>
    </w:p>
    <w:p>
      <w:pPr>
        <w:pStyle w:val="3"/>
        <w:spacing w:line="360" w:lineRule="auto"/>
        <w:jc w:val="center"/>
        <w:rPr>
          <w:rFonts w:ascii="宋体" w:hAnsi="宋体"/>
          <w:b w:val="0"/>
          <w:bCs w:val="0"/>
          <w:color w:val="auto"/>
          <w:sz w:val="44"/>
          <w:szCs w:val="44"/>
          <w:highlight w:val="none"/>
        </w:rPr>
      </w:pPr>
      <w:bookmarkStart w:id="819" w:name="_Toc57905918"/>
      <w:bookmarkStart w:id="820" w:name="_Toc19476"/>
      <w:r>
        <w:rPr>
          <w:rFonts w:hint="eastAsia" w:ascii="宋体" w:hAnsi="宋体"/>
          <w:b w:val="0"/>
          <w:bCs w:val="0"/>
          <w:color w:val="auto"/>
          <w:sz w:val="44"/>
          <w:szCs w:val="44"/>
          <w:highlight w:val="none"/>
          <w:lang w:val="en-US" w:eastAsia="zh-CN"/>
        </w:rPr>
        <w:t>一</w:t>
      </w:r>
      <w:r>
        <w:rPr>
          <w:rFonts w:hint="eastAsia" w:ascii="宋体" w:hAnsi="宋体"/>
          <w:b w:val="0"/>
          <w:bCs w:val="0"/>
          <w:color w:val="auto"/>
          <w:sz w:val="44"/>
          <w:szCs w:val="44"/>
          <w:highlight w:val="none"/>
        </w:rPr>
        <w:t>、投标函部分</w:t>
      </w:r>
      <w:bookmarkEnd w:id="814"/>
      <w:bookmarkEnd w:id="815"/>
      <w:bookmarkEnd w:id="816"/>
      <w:bookmarkEnd w:id="817"/>
      <w:bookmarkEnd w:id="818"/>
      <w:bookmarkEnd w:id="819"/>
      <w:bookmarkEnd w:id="820"/>
    </w:p>
    <w:p>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pPr>
        <w:tabs>
          <w:tab w:val="left" w:pos="2580"/>
          <w:tab w:val="left" w:pos="5940"/>
        </w:tabs>
        <w:autoSpaceDE w:val="0"/>
        <w:autoSpaceDN w:val="0"/>
        <w:adjustRightInd w:val="0"/>
        <w:snapToGrid w:val="0"/>
        <w:spacing w:line="360" w:lineRule="auto"/>
        <w:jc w:val="left"/>
        <w:rPr>
          <w:rFonts w:ascii="宋体" w:hAnsi="宋体"/>
          <w:color w:val="auto"/>
          <w:kern w:val="0"/>
          <w:sz w:val="28"/>
          <w:szCs w:val="28"/>
          <w:highlight w:val="none"/>
          <w:u w:val="single"/>
        </w:rPr>
      </w:pPr>
      <w:r>
        <w:rPr>
          <w:rFonts w:ascii="宋体" w:hAnsi="宋体"/>
          <w:color w:val="auto"/>
          <w:kern w:val="0"/>
          <w:sz w:val="28"/>
          <w:szCs w:val="28"/>
          <w:highlight w:val="none"/>
          <w:u w:val="single"/>
        </w:rPr>
        <w:br w:type="page"/>
      </w:r>
    </w:p>
    <w:p>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pPr>
        <w:autoSpaceDE w:val="0"/>
        <w:autoSpaceDN w:val="0"/>
        <w:adjustRightInd w:val="0"/>
        <w:snapToGrid w:val="0"/>
        <w:spacing w:line="360" w:lineRule="auto"/>
        <w:jc w:val="left"/>
        <w:rPr>
          <w:rFonts w:ascii="宋体" w:hAnsi="宋体"/>
          <w:color w:val="auto"/>
          <w:kern w:val="0"/>
          <w:sz w:val="16"/>
          <w:szCs w:val="16"/>
          <w:highlight w:val="none"/>
        </w:rPr>
      </w:pPr>
    </w:p>
    <w:p>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投标函部分</w:t>
      </w: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tabs>
          <w:tab w:val="left" w:pos="6080"/>
          <w:tab w:val="left" w:pos="6640"/>
        </w:tabs>
        <w:autoSpaceDE w:val="0"/>
        <w:autoSpaceDN w:val="0"/>
        <w:adjustRightInd w:val="0"/>
        <w:snapToGrid w:val="0"/>
        <w:spacing w:after="156" w:afterLines="50" w:line="360" w:lineRule="auto"/>
        <w:jc w:val="center"/>
        <w:rPr>
          <w:rFonts w:ascii="宋体" w:hAnsi="宋体"/>
          <w:color w:val="auto"/>
          <w:w w:val="99"/>
          <w:kern w:val="0"/>
          <w:sz w:val="28"/>
          <w:szCs w:val="28"/>
          <w:highlight w:val="none"/>
        </w:rPr>
      </w:pPr>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pPr>
        <w:tabs>
          <w:tab w:val="left" w:pos="6080"/>
          <w:tab w:val="left" w:pos="6640"/>
        </w:tabs>
        <w:autoSpaceDE w:val="0"/>
        <w:autoSpaceDN w:val="0"/>
        <w:adjustRightInd w:val="0"/>
        <w:snapToGrid w:val="0"/>
        <w:spacing w:after="156" w:afterLines="50"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pPr>
        <w:autoSpaceDE w:val="0"/>
        <w:autoSpaceDN w:val="0"/>
        <w:adjustRightInd w:val="0"/>
        <w:snapToGrid w:val="0"/>
        <w:spacing w:line="360" w:lineRule="auto"/>
        <w:jc w:val="center"/>
        <w:rPr>
          <w:rFonts w:ascii="宋体" w:hAnsi="宋体"/>
          <w:color w:val="auto"/>
          <w:kern w:val="0"/>
          <w:sz w:val="24"/>
          <w:szCs w:val="21"/>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r>
        <w:rPr>
          <w:rFonts w:ascii="宋体" w:hAnsi="宋体"/>
          <w:color w:val="auto"/>
          <w:kern w:val="0"/>
          <w:sz w:val="24"/>
          <w:szCs w:val="21"/>
          <w:highlight w:val="none"/>
        </w:rPr>
        <w:br w:type="page"/>
      </w:r>
    </w:p>
    <w:p>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pPr>
        <w:autoSpaceDE w:val="0"/>
        <w:autoSpaceDN w:val="0"/>
        <w:adjustRightInd w:val="0"/>
        <w:snapToGrid w:val="0"/>
        <w:spacing w:line="360" w:lineRule="auto"/>
        <w:jc w:val="left"/>
        <w:rPr>
          <w:rFonts w:ascii="宋体" w:hAnsi="宋体"/>
          <w:color w:val="auto"/>
          <w:kern w:val="0"/>
          <w:sz w:val="24"/>
          <w:szCs w:val="21"/>
          <w:highlight w:val="none"/>
        </w:rPr>
      </w:pPr>
    </w:p>
    <w:p>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（一）投标函</w:t>
      </w:r>
    </w:p>
    <w:p>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（二）投标函附录</w:t>
      </w:r>
    </w:p>
    <w:p>
      <w:pPr>
        <w:autoSpaceDE w:val="0"/>
        <w:autoSpaceDN w:val="0"/>
        <w:adjustRightInd w:val="0"/>
        <w:spacing w:line="360" w:lineRule="auto"/>
        <w:ind w:firstLine="480" w:firstLineChars="200"/>
        <w:jc w:val="left"/>
        <w:rPr>
          <w:rFonts w:hint="eastAsia" w:ascii="宋体" w:hAnsi="宋体"/>
          <w:color w:val="auto"/>
          <w:kern w:val="0"/>
          <w:sz w:val="24"/>
          <w:highlight w:val="none"/>
        </w:rPr>
      </w:pPr>
      <w:r>
        <w:rPr>
          <w:rFonts w:ascii="宋体" w:hAnsi="宋体"/>
          <w:color w:val="auto"/>
          <w:kern w:val="0"/>
          <w:sz w:val="24"/>
          <w:highlight w:val="none"/>
        </w:rPr>
        <w:t>（三）</w:t>
      </w:r>
      <w:r>
        <w:rPr>
          <w:rFonts w:hint="eastAsia" w:ascii="宋体" w:hAnsi="宋体"/>
          <w:color w:val="auto"/>
          <w:kern w:val="0"/>
          <w:sz w:val="24"/>
          <w:highlight w:val="none"/>
        </w:rPr>
        <w:t>法定代表人身份证明或附有法定代表人身份证明的授权委托书</w:t>
      </w:r>
    </w:p>
    <w:p>
      <w:pPr>
        <w:autoSpaceDE w:val="0"/>
        <w:autoSpaceDN w:val="0"/>
        <w:adjustRightInd w:val="0"/>
        <w:spacing w:line="360" w:lineRule="auto"/>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（四）低价风险担保提交承诺书（如有）</w:t>
      </w:r>
    </w:p>
    <w:p>
      <w:pPr>
        <w:autoSpaceDE w:val="0"/>
        <w:autoSpaceDN w:val="0"/>
        <w:adjustRightInd w:val="0"/>
        <w:snapToGrid w:val="0"/>
        <w:spacing w:line="360" w:lineRule="auto"/>
        <w:jc w:val="left"/>
        <w:rPr>
          <w:rFonts w:ascii="宋体" w:hAnsi="宋体"/>
          <w:color w:val="auto"/>
          <w:w w:val="99"/>
          <w:kern w:val="0"/>
          <w:sz w:val="28"/>
          <w:szCs w:val="28"/>
          <w:highlight w:val="none"/>
        </w:rPr>
      </w:pPr>
    </w:p>
    <w:p>
      <w:pPr>
        <w:pStyle w:val="4"/>
        <w:spacing w:before="0" w:after="0" w:line="400" w:lineRule="exact"/>
        <w:jc w:val="center"/>
        <w:rPr>
          <w:rFonts w:ascii="宋体" w:hAnsi="宋体"/>
          <w:b w:val="0"/>
          <w:color w:val="auto"/>
          <w:highlight w:val="none"/>
        </w:rPr>
      </w:pPr>
      <w:bookmarkStart w:id="821" w:name="_Toc224103495"/>
      <w:bookmarkStart w:id="822" w:name="_Toc287607867"/>
      <w:bookmarkStart w:id="823" w:name="_Toc287620814"/>
      <w:bookmarkStart w:id="824" w:name="_Toc430530530"/>
      <w:bookmarkStart w:id="825" w:name="_Toc509218854"/>
      <w:bookmarkStart w:id="826" w:name="_Toc534185831"/>
      <w:bookmarkStart w:id="827" w:name="_Toc277082643"/>
      <w:r>
        <w:rPr>
          <w:rFonts w:ascii="宋体" w:hAnsi="宋体"/>
          <w:color w:val="auto"/>
          <w:highlight w:val="none"/>
        </w:rPr>
        <w:br w:type="page"/>
      </w:r>
      <w:bookmarkStart w:id="828" w:name="_Toc26071"/>
      <w:bookmarkStart w:id="829" w:name="_Toc57905919"/>
      <w:r>
        <w:rPr>
          <w:rFonts w:hint="eastAsia"/>
          <w:color w:val="auto"/>
          <w:highlight w:val="none"/>
        </w:rPr>
        <w:t>（一）投标函</w:t>
      </w:r>
      <w:bookmarkEnd w:id="821"/>
      <w:bookmarkEnd w:id="822"/>
      <w:bookmarkEnd w:id="823"/>
      <w:bookmarkEnd w:id="824"/>
      <w:bookmarkEnd w:id="825"/>
      <w:bookmarkEnd w:id="826"/>
      <w:bookmarkEnd w:id="827"/>
      <w:bookmarkEnd w:id="828"/>
      <w:bookmarkEnd w:id="829"/>
    </w:p>
    <w:p>
      <w:pPr>
        <w:tabs>
          <w:tab w:val="left" w:pos="2640"/>
        </w:tabs>
        <w:autoSpaceDE w:val="0"/>
        <w:autoSpaceDN w:val="0"/>
        <w:adjustRightInd w:val="0"/>
        <w:spacing w:line="400" w:lineRule="exact"/>
        <w:rPr>
          <w:rFonts w:ascii="宋体" w:hAnsi="宋体"/>
          <w:snapToGrid w:val="0"/>
          <w:color w:val="auto"/>
          <w:kern w:val="0"/>
          <w:szCs w:val="21"/>
          <w:highlight w:val="none"/>
        </w:rPr>
      </w:pP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（招标人名称）</w:t>
      </w:r>
      <w:r>
        <w:rPr>
          <w:rFonts w:ascii="宋体" w:hAnsi="宋体"/>
          <w:snapToGrid w:val="0"/>
          <w:color w:val="auto"/>
          <w:kern w:val="0"/>
          <w:szCs w:val="21"/>
          <w:highlight w:val="none"/>
        </w:rPr>
        <w:t>：</w:t>
      </w:r>
    </w:p>
    <w:p>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我方已仔细研究了</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ascii="宋体" w:hAnsi="宋体"/>
          <w:snapToGrid w:val="0"/>
          <w:color w:val="auto"/>
          <w:kern w:val="0"/>
          <w:szCs w:val="21"/>
          <w:highlight w:val="none"/>
        </w:rPr>
        <w:t>招标文件的全部内容，愿意以人民币（大写）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）的投标总报价进行报价，其中</w:t>
      </w:r>
      <w:r>
        <w:rPr>
          <w:rFonts w:ascii="宋体" w:hAnsi="宋体"/>
          <w:snapToGrid w:val="0"/>
          <w:color w:val="auto"/>
          <w:kern w:val="0"/>
          <w:highlight w:val="none"/>
        </w:rPr>
        <w:t>安全文明施工费暂定金额为人民币</w:t>
      </w:r>
      <w:r>
        <w:rPr>
          <w:rFonts w:ascii="宋体" w:hAnsi="宋体"/>
          <w:snapToGrid w:val="0"/>
          <w:color w:val="auto"/>
          <w:kern w:val="0"/>
          <w:szCs w:val="21"/>
          <w:highlight w:val="none"/>
        </w:rPr>
        <w:t>（大写）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质保期</w:t>
      </w:r>
      <w:r>
        <w:rPr>
          <w:rFonts w:hint="eastAsia" w:ascii="宋体" w:hAnsi="宋体"/>
          <w:snapToGrid w:val="0"/>
          <w:color w:val="auto"/>
          <w:kern w:val="0"/>
          <w:szCs w:val="21"/>
          <w:highlight w:val="none"/>
          <w:lang w:eastAsia="zh-CN"/>
        </w:rPr>
        <w:t>：</w:t>
      </w:r>
      <w:r>
        <w:rPr>
          <w:rFonts w:hint="eastAsia" w:ascii="宋体" w:hAnsi="宋体"/>
          <w:b/>
          <w:bCs/>
          <w:snapToGrid w:val="0"/>
          <w:color w:val="auto"/>
          <w:kern w:val="0"/>
          <w:szCs w:val="21"/>
          <w:highlight w:val="none"/>
          <w:u w:val="single"/>
        </w:rPr>
        <w:t>达到招标文件的要求</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工期</w:t>
      </w:r>
      <w:r>
        <w:rPr>
          <w:rFonts w:hint="eastAsia" w:ascii="宋体" w:hAnsi="宋体"/>
          <w:b/>
          <w:bCs/>
          <w:snapToGrid w:val="0"/>
          <w:color w:val="auto"/>
          <w:kern w:val="0"/>
          <w:szCs w:val="21"/>
          <w:highlight w:val="none"/>
          <w:u w:val="single"/>
        </w:rPr>
        <w:t>达到招标文件的要求</w:t>
      </w:r>
      <w:r>
        <w:rPr>
          <w:rFonts w:ascii="宋体" w:hAnsi="宋体"/>
          <w:snapToGrid w:val="0"/>
          <w:color w:val="auto"/>
          <w:kern w:val="0"/>
          <w:szCs w:val="21"/>
          <w:highlight w:val="none"/>
        </w:rPr>
        <w:t>， 按合同约定实施和完成承包工程，修补工程中的任何缺陷，工程质量达到</w:t>
      </w:r>
      <w:r>
        <w:rPr>
          <w:rFonts w:hint="eastAsia" w:ascii="宋体" w:hAnsi="宋体"/>
          <w:snapToGrid w:val="0"/>
          <w:color w:val="auto"/>
          <w:kern w:val="0"/>
          <w:szCs w:val="21"/>
          <w:highlight w:val="none"/>
        </w:rPr>
        <w:t>招标文件的要求</w:t>
      </w:r>
      <w:r>
        <w:rPr>
          <w:rFonts w:ascii="宋体" w:hAnsi="宋体"/>
          <w:snapToGrid w:val="0"/>
          <w:color w:val="auto"/>
          <w:kern w:val="0"/>
          <w:szCs w:val="21"/>
          <w:highlight w:val="none"/>
        </w:rPr>
        <w:t>。</w:t>
      </w:r>
    </w:p>
    <w:p>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我方承诺</w:t>
      </w:r>
      <w:r>
        <w:rPr>
          <w:rFonts w:hint="eastAsia" w:ascii="宋体" w:hAnsi="宋体"/>
          <w:snapToGrid w:val="0"/>
          <w:color w:val="auto"/>
          <w:kern w:val="0"/>
          <w:szCs w:val="21"/>
          <w:highlight w:val="none"/>
        </w:rPr>
        <w:t>响应招标文件规定的投标有效期，</w:t>
      </w:r>
      <w:r>
        <w:rPr>
          <w:rFonts w:ascii="宋体" w:hAnsi="宋体"/>
          <w:snapToGrid w:val="0"/>
          <w:color w:val="auto"/>
          <w:kern w:val="0"/>
          <w:szCs w:val="21"/>
          <w:highlight w:val="none"/>
        </w:rPr>
        <w:t>在投标有效期内不修改、撤销投标文件。</w:t>
      </w:r>
    </w:p>
    <w:p>
      <w:pPr>
        <w:tabs>
          <w:tab w:val="left" w:pos="2730"/>
          <w:tab w:val="left" w:pos="7980"/>
        </w:tabs>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随同本投标函提交投标保证金一份，金额为人民币（大写）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）。投标保证金</w:t>
      </w:r>
      <w:r>
        <w:rPr>
          <w:rFonts w:hint="eastAsia" w:ascii="宋体" w:hAnsi="宋体"/>
          <w:snapToGrid w:val="0"/>
          <w:color w:val="auto"/>
          <w:kern w:val="0"/>
          <w:szCs w:val="21"/>
          <w:highlight w:val="none"/>
        </w:rPr>
        <w:t>有效期</w:t>
      </w:r>
      <w:r>
        <w:rPr>
          <w:rFonts w:ascii="宋体" w:hAnsi="宋体"/>
          <w:snapToGrid w:val="0"/>
          <w:color w:val="auto"/>
          <w:kern w:val="0"/>
          <w:szCs w:val="21"/>
          <w:highlight w:val="none"/>
        </w:rPr>
        <w:t>与投标</w:t>
      </w:r>
      <w:r>
        <w:rPr>
          <w:rFonts w:hint="eastAsia" w:ascii="宋体" w:hAnsi="宋体"/>
          <w:snapToGrid w:val="0"/>
          <w:color w:val="auto"/>
          <w:kern w:val="0"/>
          <w:szCs w:val="21"/>
          <w:highlight w:val="none"/>
        </w:rPr>
        <w:t>有效期</w:t>
      </w:r>
      <w:r>
        <w:rPr>
          <w:rFonts w:ascii="宋体" w:hAnsi="宋体"/>
          <w:snapToGrid w:val="0"/>
          <w:color w:val="auto"/>
          <w:kern w:val="0"/>
          <w:szCs w:val="21"/>
          <w:highlight w:val="none"/>
        </w:rPr>
        <w:t>一致，在此期间，若我方违反招投标有关法律、法规及本招标文件的相关规定，投标保证金的受益人为招标人。</w:t>
      </w:r>
    </w:p>
    <w:p>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如我方中标：</w:t>
      </w:r>
    </w:p>
    <w:p>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（1）我方承诺在收到中标通知书后，在中标通知书规定的期限内与你方签订合同。</w:t>
      </w:r>
    </w:p>
    <w:p>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（2）随同本投标函递交的投标函附录属于合同文件的组成部分。</w:t>
      </w:r>
    </w:p>
    <w:p>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（3）我方承诺按照招标文件规定向你方递交履约担保。</w:t>
      </w:r>
    </w:p>
    <w:p>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（4）我方承诺在合同约定的期限内完成并移交全部合同工程。</w:t>
      </w:r>
    </w:p>
    <w:p>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hint="eastAsia" w:ascii="宋体" w:hAnsi="宋体"/>
          <w:snapToGrid w:val="0"/>
          <w:color w:val="auto"/>
          <w:kern w:val="0"/>
          <w:szCs w:val="21"/>
          <w:highlight w:val="none"/>
        </w:rPr>
        <w:t>（5）我方承诺以不低于招标文件第七章 技术标准和要求中所列的技术指标和参数要求完成全部合同工程。</w:t>
      </w:r>
    </w:p>
    <w:p>
      <w:pPr>
        <w:tabs>
          <w:tab w:val="left" w:pos="5985"/>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w:t>
      </w:r>
      <w:r>
        <w:rPr>
          <w:rFonts w:ascii="宋体" w:hAnsi="宋体"/>
          <w:snapToGrid w:val="0"/>
          <w:color w:val="auto"/>
          <w:spacing w:val="-2"/>
          <w:kern w:val="0"/>
          <w:szCs w:val="21"/>
          <w:highlight w:val="none"/>
        </w:rPr>
        <w:t>在此声明，所递交的投标文件及有关资料内容完整、真实和准确，且不存在第二章“投标人</w:t>
      </w:r>
      <w:r>
        <w:rPr>
          <w:rFonts w:ascii="宋体" w:hAnsi="宋体"/>
          <w:snapToGrid w:val="0"/>
          <w:color w:val="auto"/>
          <w:kern w:val="0"/>
          <w:szCs w:val="21"/>
          <w:highlight w:val="none"/>
        </w:rPr>
        <w:t>须知”第 1.4.3 项规定的任何一种情形。同时我方承诺接受招标文件及附件、澄清及</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通知中所有的内容。</w:t>
      </w:r>
    </w:p>
    <w:p>
      <w:pPr>
        <w:tabs>
          <w:tab w:val="left" w:pos="5985"/>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w:t>
      </w:r>
      <w:r>
        <w:rPr>
          <w:rFonts w:hint="eastAsia" w:ascii="宋体" w:hAnsi="宋体"/>
          <w:snapToGrid w:val="0"/>
          <w:color w:val="auto"/>
          <w:kern w:val="0"/>
          <w:szCs w:val="21"/>
          <w:highlight w:val="none"/>
        </w:rPr>
        <w:t xml:space="preserve">. </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（其他补充说明）</w:t>
      </w:r>
      <w:r>
        <w:rPr>
          <w:rFonts w:ascii="宋体" w:hAnsi="宋体"/>
          <w:snapToGrid w:val="0"/>
          <w:color w:val="auto"/>
          <w:kern w:val="0"/>
          <w:szCs w:val="21"/>
          <w:highlight w:val="none"/>
        </w:rPr>
        <w:t>。</w:t>
      </w: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w:t>
      </w:r>
      <w:r>
        <w:rPr>
          <w:rFonts w:hint="eastAsia" w:ascii="宋体" w:hAnsi="宋体"/>
          <w:snapToGrid w:val="0"/>
          <w:color w:val="auto"/>
          <w:kern w:val="0"/>
          <w:szCs w:val="21"/>
          <w:highlight w:val="none"/>
        </w:rPr>
        <w:t>或其委托代理人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pPr>
        <w:tabs>
          <w:tab w:val="left" w:pos="7035"/>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地</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网</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单位电话（座机）：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委托代理人电话（手机）：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传</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真：</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00" w:firstLineChars="200"/>
        <w:rPr>
          <w:rFonts w:ascii="宋体" w:hAnsi="宋体"/>
          <w:snapToGrid w:val="0"/>
          <w:color w:val="auto"/>
          <w:kern w:val="0"/>
          <w:sz w:val="20"/>
          <w:szCs w:val="20"/>
          <w:highlight w:val="none"/>
        </w:rPr>
      </w:pPr>
    </w:p>
    <w:p>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p>
    <w:p>
      <w:pPr>
        <w:tabs>
          <w:tab w:val="left" w:pos="8300"/>
        </w:tabs>
        <w:autoSpaceDE w:val="0"/>
        <w:autoSpaceDN w:val="0"/>
        <w:adjustRightInd w:val="0"/>
        <w:spacing w:line="400" w:lineRule="exact"/>
        <w:ind w:firstLine="400" w:firstLineChars="200"/>
        <w:jc w:val="right"/>
        <w:rPr>
          <w:rFonts w:ascii="宋体" w:hAnsi="宋体"/>
          <w:snapToGrid w:val="0"/>
          <w:color w:val="auto"/>
          <w:kern w:val="0"/>
          <w:sz w:val="20"/>
          <w:szCs w:val="20"/>
          <w:highlight w:val="none"/>
        </w:rPr>
      </w:pPr>
    </w:p>
    <w:p>
      <w:pPr>
        <w:pStyle w:val="4"/>
        <w:jc w:val="center"/>
        <w:rPr>
          <w:rFonts w:ascii="宋体" w:hAnsi="宋体"/>
          <w:snapToGrid w:val="0"/>
          <w:color w:val="auto"/>
          <w:kern w:val="0"/>
          <w:szCs w:val="21"/>
          <w:highlight w:val="none"/>
        </w:rPr>
      </w:pPr>
      <w:bookmarkStart w:id="830" w:name="_Toc224103496"/>
      <w:bookmarkStart w:id="831" w:name="_Toc430530531"/>
      <w:bookmarkStart w:id="832" w:name="_Toc287620815"/>
      <w:bookmarkStart w:id="833" w:name="_Toc287607868"/>
      <w:bookmarkStart w:id="834" w:name="_Toc277082644"/>
      <w:r>
        <w:rPr>
          <w:rFonts w:ascii="宋体" w:hAnsi="宋体"/>
          <w:color w:val="auto"/>
          <w:sz w:val="28"/>
          <w:highlight w:val="none"/>
        </w:rPr>
        <w:br w:type="page"/>
      </w:r>
      <w:bookmarkStart w:id="835" w:name="_Toc57905920"/>
      <w:bookmarkStart w:id="836" w:name="_Toc30967"/>
      <w:bookmarkStart w:id="837" w:name="_Toc509218855"/>
      <w:bookmarkStart w:id="838" w:name="_Toc534185832"/>
      <w:r>
        <w:rPr>
          <w:color w:val="auto"/>
          <w:highlight w:val="none"/>
        </w:rPr>
        <w:t>（二）投标函附录</w:t>
      </w:r>
      <w:bookmarkEnd w:id="830"/>
      <w:bookmarkEnd w:id="831"/>
      <w:bookmarkEnd w:id="832"/>
      <w:bookmarkEnd w:id="833"/>
      <w:bookmarkEnd w:id="834"/>
      <w:bookmarkEnd w:id="835"/>
      <w:bookmarkEnd w:id="836"/>
      <w:bookmarkEnd w:id="837"/>
      <w:bookmarkEnd w:id="838"/>
    </w:p>
    <w:tbl>
      <w:tblPr>
        <w:tblStyle w:val="45"/>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1643"/>
        <w:gridCol w:w="3732"/>
        <w:gridCol w:w="79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序号</w:t>
            </w:r>
          </w:p>
        </w:tc>
        <w:tc>
          <w:tcPr>
            <w:tcW w:w="2582" w:type="dxa"/>
            <w:vAlign w:val="center"/>
          </w:tcPr>
          <w:p>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条款名称</w:t>
            </w:r>
          </w:p>
        </w:tc>
        <w:tc>
          <w:tcPr>
            <w:tcW w:w="1643" w:type="dxa"/>
            <w:vAlign w:val="center"/>
          </w:tcPr>
          <w:p>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合同条款号</w:t>
            </w:r>
          </w:p>
        </w:tc>
        <w:tc>
          <w:tcPr>
            <w:tcW w:w="3732" w:type="dxa"/>
            <w:vAlign w:val="center"/>
          </w:tcPr>
          <w:p>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约定内容</w:t>
            </w:r>
          </w:p>
        </w:tc>
        <w:tc>
          <w:tcPr>
            <w:tcW w:w="792" w:type="dxa"/>
            <w:vAlign w:val="center"/>
          </w:tcPr>
          <w:p>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1</w:t>
            </w:r>
          </w:p>
        </w:tc>
        <w:tc>
          <w:tcPr>
            <w:tcW w:w="2582" w:type="dxa"/>
            <w:vAlign w:val="center"/>
          </w:tcPr>
          <w:p>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工期</w:t>
            </w:r>
          </w:p>
        </w:tc>
        <w:tc>
          <w:tcPr>
            <w:tcW w:w="1643" w:type="dxa"/>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3732" w:type="dxa"/>
            <w:vAlign w:val="center"/>
          </w:tcPr>
          <w:p>
            <w:pPr>
              <w:tabs>
                <w:tab w:val="left" w:pos="1560"/>
              </w:tabs>
              <w:autoSpaceDE w:val="0"/>
              <w:autoSpaceDN w:val="0"/>
              <w:adjustRightInd w:val="0"/>
              <w:jc w:val="center"/>
              <w:rPr>
                <w:rFonts w:hint="default"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注：填达到招标文件要求或据实填写</w:t>
            </w:r>
          </w:p>
        </w:tc>
        <w:tc>
          <w:tcPr>
            <w:tcW w:w="792" w:type="dxa"/>
            <w:vAlign w:val="center"/>
          </w:tcPr>
          <w:p>
            <w:pPr>
              <w:autoSpaceDE w:val="0"/>
              <w:autoSpaceDN w:val="0"/>
              <w:adjustRightInd w:val="0"/>
              <w:jc w:val="center"/>
              <w:rPr>
                <w:rFonts w:ascii="宋体" w:hAnsi="宋体"/>
                <w:snapToGrid w:val="0"/>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2</w:t>
            </w:r>
          </w:p>
        </w:tc>
        <w:tc>
          <w:tcPr>
            <w:tcW w:w="2582" w:type="dxa"/>
            <w:vAlign w:val="center"/>
          </w:tcPr>
          <w:p>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分包</w:t>
            </w:r>
          </w:p>
        </w:tc>
        <w:tc>
          <w:tcPr>
            <w:tcW w:w="1643" w:type="dxa"/>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3732" w:type="dxa"/>
            <w:vAlign w:val="center"/>
          </w:tcPr>
          <w:p>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注：填达到招标文件要求或据实填写</w:t>
            </w:r>
          </w:p>
        </w:tc>
        <w:tc>
          <w:tcPr>
            <w:tcW w:w="792" w:type="dxa"/>
            <w:vAlign w:val="center"/>
          </w:tcPr>
          <w:p>
            <w:pPr>
              <w:autoSpaceDE w:val="0"/>
              <w:autoSpaceDN w:val="0"/>
              <w:adjustRightInd w:val="0"/>
              <w:jc w:val="center"/>
              <w:rPr>
                <w:rFonts w:ascii="宋体" w:hAnsi="宋体"/>
                <w:snapToGrid w:val="0"/>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3</w:t>
            </w:r>
          </w:p>
        </w:tc>
        <w:tc>
          <w:tcPr>
            <w:tcW w:w="2582" w:type="dxa"/>
            <w:vAlign w:val="center"/>
          </w:tcPr>
          <w:p>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工程质量</w:t>
            </w:r>
          </w:p>
        </w:tc>
        <w:tc>
          <w:tcPr>
            <w:tcW w:w="1643" w:type="dxa"/>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3732" w:type="dxa"/>
            <w:vAlign w:val="center"/>
          </w:tcPr>
          <w:p>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注：填达到招标文件要求或据实填写</w:t>
            </w:r>
          </w:p>
        </w:tc>
        <w:tc>
          <w:tcPr>
            <w:tcW w:w="792" w:type="dxa"/>
            <w:vAlign w:val="center"/>
          </w:tcPr>
          <w:p>
            <w:pPr>
              <w:autoSpaceDE w:val="0"/>
              <w:autoSpaceDN w:val="0"/>
              <w:adjustRightInd w:val="0"/>
              <w:jc w:val="center"/>
              <w:rPr>
                <w:rFonts w:ascii="宋体" w:hAnsi="宋体"/>
                <w:snapToGrid w:val="0"/>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582" w:type="dxa"/>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1643" w:type="dxa"/>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3732" w:type="dxa"/>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792" w:type="dxa"/>
            <w:vAlign w:val="center"/>
          </w:tcPr>
          <w:p>
            <w:pPr>
              <w:autoSpaceDE w:val="0"/>
              <w:autoSpaceDN w:val="0"/>
              <w:adjustRightInd w:val="0"/>
              <w:jc w:val="center"/>
              <w:rPr>
                <w:rFonts w:ascii="宋体" w:hAnsi="宋体"/>
                <w:snapToGrid w:val="0"/>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582" w:type="dxa"/>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1643" w:type="dxa"/>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3732" w:type="dxa"/>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792" w:type="dxa"/>
            <w:vAlign w:val="center"/>
          </w:tcPr>
          <w:p>
            <w:pPr>
              <w:autoSpaceDE w:val="0"/>
              <w:autoSpaceDN w:val="0"/>
              <w:adjustRightInd w:val="0"/>
              <w:jc w:val="center"/>
              <w:rPr>
                <w:rFonts w:ascii="宋体" w:hAnsi="宋体"/>
                <w:snapToGrid w:val="0"/>
                <w:color w:val="auto"/>
                <w:kern w:val="0"/>
                <w:szCs w:val="21"/>
                <w:highlight w:val="none"/>
              </w:rPr>
            </w:pPr>
          </w:p>
        </w:tc>
      </w:tr>
    </w:tbl>
    <w:p>
      <w:pPr>
        <w:spacing w:line="360" w:lineRule="auto"/>
        <w:rPr>
          <w:rFonts w:ascii="宋体" w:hAnsi="宋体"/>
          <w:snapToGrid w:val="0"/>
          <w:color w:val="auto"/>
          <w:w w:val="99"/>
          <w:highlight w:val="none"/>
        </w:rPr>
      </w:pPr>
    </w:p>
    <w:p>
      <w:pPr>
        <w:spacing w:line="360" w:lineRule="auto"/>
        <w:rPr>
          <w:rFonts w:ascii="宋体" w:hAnsi="宋体"/>
          <w:snapToGrid w:val="0"/>
          <w:color w:val="auto"/>
          <w:highlight w:val="none"/>
        </w:rPr>
      </w:pPr>
    </w:p>
    <w:p>
      <w:pPr>
        <w:tabs>
          <w:tab w:val="left" w:pos="7140"/>
          <w:tab w:val="left" w:pos="7560"/>
          <w:tab w:val="left" w:pos="8300"/>
        </w:tabs>
        <w:autoSpaceDE w:val="0"/>
        <w:autoSpaceDN w:val="0"/>
        <w:adjustRightInd w:val="0"/>
        <w:spacing w:line="360" w:lineRule="auto"/>
        <w:ind w:right="210" w:firstLine="2396" w:firstLineChars="1141"/>
        <w:rPr>
          <w:rFonts w:ascii="宋体" w:hAnsi="宋体"/>
          <w:snapToGrid w:val="0"/>
          <w:color w:val="auto"/>
          <w:kern w:val="0"/>
          <w:szCs w:val="21"/>
          <w:highlight w:val="none"/>
        </w:rPr>
      </w:pPr>
      <w:r>
        <w:rPr>
          <w:rFonts w:ascii="宋体" w:hAnsi="宋体"/>
          <w:snapToGrid w:val="0"/>
          <w:color w:val="auto"/>
          <w:kern w:val="0"/>
          <w:szCs w:val="21"/>
          <w:highlight w:val="none"/>
        </w:rPr>
        <w:t>投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pPr>
        <w:tabs>
          <w:tab w:val="left" w:pos="7140"/>
          <w:tab w:val="left" w:pos="7560"/>
          <w:tab w:val="left" w:pos="8300"/>
        </w:tabs>
        <w:autoSpaceDE w:val="0"/>
        <w:autoSpaceDN w:val="0"/>
        <w:adjustRightInd w:val="0"/>
        <w:spacing w:line="360" w:lineRule="auto"/>
        <w:ind w:right="210" w:firstLine="1984" w:firstLineChars="945"/>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   </w:t>
      </w:r>
    </w:p>
    <w:p>
      <w:pPr>
        <w:tabs>
          <w:tab w:val="left" w:pos="7140"/>
          <w:tab w:val="left" w:pos="7560"/>
          <w:tab w:val="left" w:pos="8300"/>
        </w:tabs>
        <w:autoSpaceDE w:val="0"/>
        <w:autoSpaceDN w:val="0"/>
        <w:adjustRightInd w:val="0"/>
        <w:spacing w:line="360" w:lineRule="auto"/>
        <w:ind w:right="210" w:firstLine="2415" w:firstLineChars="115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 xml:space="preserve">或盖章） </w:t>
      </w:r>
    </w:p>
    <w:p>
      <w:pPr>
        <w:tabs>
          <w:tab w:val="left" w:pos="7140"/>
          <w:tab w:val="left" w:pos="7560"/>
          <w:tab w:val="left" w:pos="8300"/>
        </w:tabs>
        <w:autoSpaceDE w:val="0"/>
        <w:autoSpaceDN w:val="0"/>
        <w:adjustRightInd w:val="0"/>
        <w:spacing w:line="360" w:lineRule="auto"/>
        <w:ind w:right="210" w:firstLine="1995" w:firstLineChars="950"/>
        <w:rPr>
          <w:rFonts w:ascii="宋体" w:hAnsi="宋体"/>
          <w:snapToGrid w:val="0"/>
          <w:color w:val="auto"/>
          <w:kern w:val="0"/>
          <w:szCs w:val="21"/>
          <w:highlight w:val="none"/>
        </w:rPr>
      </w:pPr>
    </w:p>
    <w:p>
      <w:pPr>
        <w:pStyle w:val="4"/>
        <w:jc w:val="center"/>
        <w:rPr>
          <w:rFonts w:ascii="宋体" w:hAnsi="宋体"/>
          <w:b w:val="0"/>
          <w:snapToGrid w:val="0"/>
          <w:color w:val="auto"/>
          <w:kern w:val="0"/>
          <w:sz w:val="30"/>
          <w:szCs w:val="30"/>
          <w:highlight w:val="none"/>
        </w:rPr>
      </w:pPr>
      <w:r>
        <w:rPr>
          <w:rFonts w:ascii="宋体" w:hAnsi="宋体"/>
          <w:snapToGrid w:val="0"/>
          <w:color w:val="auto"/>
          <w:highlight w:val="none"/>
        </w:rPr>
        <w:br w:type="page"/>
      </w:r>
      <w:bookmarkStart w:id="839" w:name="_Toc224103497"/>
      <w:bookmarkStart w:id="840" w:name="_Toc8650"/>
      <w:bookmarkStart w:id="841" w:name="_Toc287607869"/>
      <w:bookmarkStart w:id="842" w:name="_Toc277082645"/>
      <w:bookmarkStart w:id="843" w:name="_Toc430530532"/>
      <w:bookmarkStart w:id="844" w:name="_Toc287620816"/>
      <w:bookmarkStart w:id="845" w:name="_Toc57905921"/>
      <w:r>
        <w:rPr>
          <w:color w:val="auto"/>
          <w:sz w:val="30"/>
          <w:szCs w:val="30"/>
          <w:highlight w:val="none"/>
        </w:rPr>
        <w:t>（三）</w:t>
      </w:r>
      <w:r>
        <w:rPr>
          <w:rFonts w:hint="eastAsia"/>
          <w:color w:val="auto"/>
          <w:sz w:val="30"/>
          <w:szCs w:val="30"/>
          <w:highlight w:val="none"/>
        </w:rPr>
        <w:t>法定代表人身份证明或附有法定代表人身份证明的授权委托书</w:t>
      </w:r>
      <w:bookmarkEnd w:id="839"/>
      <w:bookmarkEnd w:id="840"/>
      <w:bookmarkEnd w:id="841"/>
      <w:bookmarkEnd w:id="842"/>
      <w:bookmarkEnd w:id="843"/>
      <w:bookmarkEnd w:id="844"/>
      <w:bookmarkEnd w:id="845"/>
    </w:p>
    <w:p>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pPr>
        <w:spacing w:line="480" w:lineRule="auto"/>
        <w:jc w:val="center"/>
        <w:rPr>
          <w:rFonts w:ascii="宋体" w:hAnsi="宋体"/>
          <w:color w:val="auto"/>
          <w:highlight w:val="none"/>
        </w:rPr>
      </w:pPr>
    </w:p>
    <w:p>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投标人名称：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（投标人名称）</w:t>
      </w:r>
      <w:r>
        <w:rPr>
          <w:rFonts w:ascii="宋体" w:hAnsi="宋体"/>
          <w:color w:val="auto"/>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附：法定代表人身份证复印件（双面）</w:t>
      </w:r>
    </w:p>
    <w:p>
      <w:pPr>
        <w:pStyle w:val="17"/>
        <w:spacing w:after="0" w:line="360" w:lineRule="auto"/>
        <w:rPr>
          <w:rFonts w:ascii="宋体" w:hAnsi="宋体"/>
          <w:color w:val="auto"/>
          <w:szCs w:val="21"/>
          <w:highlight w:val="none"/>
        </w:rPr>
      </w:pPr>
    </w:p>
    <w:p>
      <w:pPr>
        <w:pStyle w:val="17"/>
        <w:spacing w:after="0" w:line="360" w:lineRule="auto"/>
        <w:rPr>
          <w:rFonts w:ascii="宋体" w:hAnsi="宋体"/>
          <w:color w:val="auto"/>
          <w:szCs w:val="21"/>
          <w:highlight w:val="none"/>
        </w:rPr>
      </w:pPr>
    </w:p>
    <w:p>
      <w:pPr>
        <w:pStyle w:val="17"/>
        <w:spacing w:after="0" w:line="360" w:lineRule="auto"/>
        <w:rPr>
          <w:rFonts w:ascii="宋体" w:hAnsi="宋体"/>
          <w:color w:val="auto"/>
          <w:szCs w:val="21"/>
          <w:highlight w:val="none"/>
        </w:rPr>
      </w:pPr>
    </w:p>
    <w:p>
      <w:pPr>
        <w:pStyle w:val="17"/>
        <w:spacing w:after="0" w:line="360" w:lineRule="auto"/>
        <w:rPr>
          <w:rFonts w:ascii="宋体" w:hAnsi="宋体"/>
          <w:color w:val="auto"/>
          <w:szCs w:val="21"/>
          <w:highlight w:val="none"/>
        </w:rPr>
      </w:pPr>
    </w:p>
    <w:p>
      <w:pPr>
        <w:pStyle w:val="17"/>
        <w:spacing w:after="0" w:line="360" w:lineRule="auto"/>
        <w:rPr>
          <w:rFonts w:ascii="宋体" w:hAnsi="宋体"/>
          <w:color w:val="auto"/>
          <w:szCs w:val="21"/>
          <w:highlight w:val="none"/>
        </w:rPr>
      </w:pPr>
    </w:p>
    <w:p>
      <w:pPr>
        <w:pStyle w:val="17"/>
        <w:spacing w:after="0" w:line="360" w:lineRule="auto"/>
        <w:rPr>
          <w:rFonts w:ascii="宋体" w:hAnsi="宋体"/>
          <w:color w:val="auto"/>
          <w:szCs w:val="21"/>
          <w:highlight w:val="none"/>
        </w:rPr>
      </w:pPr>
    </w:p>
    <w:p>
      <w:pPr>
        <w:autoSpaceDE w:val="0"/>
        <w:autoSpaceDN w:val="0"/>
        <w:adjustRightInd w:val="0"/>
        <w:snapToGrid w:val="0"/>
        <w:spacing w:line="480" w:lineRule="auto"/>
        <w:ind w:firstLine="420" w:firstLineChars="200"/>
        <w:jc w:val="right"/>
        <w:rPr>
          <w:rFonts w:ascii="宋体" w:hAnsi="宋体"/>
          <w:color w:val="auto"/>
          <w:kern w:val="0"/>
          <w:szCs w:val="21"/>
          <w:highlight w:val="none"/>
        </w:rPr>
      </w:pPr>
      <w:r>
        <w:rPr>
          <w:rFonts w:ascii="宋体" w:hAnsi="宋体"/>
          <w:color w:val="auto"/>
          <w:kern w:val="0"/>
          <w:szCs w:val="21"/>
          <w:highlight w:val="none"/>
        </w:rPr>
        <w:t>投标</w:t>
      </w:r>
      <w:r>
        <w:rPr>
          <w:rFonts w:ascii="宋体" w:hAnsi="宋体"/>
          <w:color w:val="auto"/>
          <w:spacing w:val="-1"/>
          <w:kern w:val="0"/>
          <w:szCs w:val="21"/>
          <w:highlight w:val="none"/>
        </w:rPr>
        <w:t>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pPr>
        <w:autoSpaceDE w:val="0"/>
        <w:autoSpaceDN w:val="0"/>
        <w:adjustRightInd w:val="0"/>
        <w:snapToGrid w:val="0"/>
        <w:spacing w:line="480" w:lineRule="auto"/>
        <w:jc w:val="left"/>
        <w:rPr>
          <w:rFonts w:ascii="宋体" w:hAnsi="宋体"/>
          <w:color w:val="auto"/>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pPr>
        <w:autoSpaceDE w:val="0"/>
        <w:autoSpaceDN w:val="0"/>
        <w:adjustRightInd w:val="0"/>
        <w:snapToGrid w:val="0"/>
        <w:spacing w:line="360" w:lineRule="auto"/>
        <w:jc w:val="left"/>
        <w:rPr>
          <w:rFonts w:ascii="宋体" w:hAnsi="宋体"/>
          <w:color w:val="auto"/>
          <w:kern w:val="0"/>
          <w:highlight w:val="none"/>
        </w:rPr>
      </w:pPr>
    </w:p>
    <w:p>
      <w:pPr>
        <w:autoSpaceDE w:val="0"/>
        <w:autoSpaceDN w:val="0"/>
        <w:adjustRightInd w:val="0"/>
        <w:snapToGrid w:val="0"/>
        <w:spacing w:line="360" w:lineRule="auto"/>
        <w:jc w:val="left"/>
        <w:rPr>
          <w:rFonts w:ascii="宋体" w:hAnsi="宋体"/>
          <w:color w:val="auto"/>
          <w:kern w:val="0"/>
          <w:highlight w:val="none"/>
        </w:rPr>
      </w:pPr>
    </w:p>
    <w:p>
      <w:pPr>
        <w:spacing w:line="360" w:lineRule="auto"/>
        <w:ind w:firstLine="420" w:firstLineChars="200"/>
        <w:rPr>
          <w:rFonts w:ascii="宋体" w:hAnsi="宋体"/>
          <w:color w:val="auto"/>
          <w:highlight w:val="none"/>
        </w:rPr>
      </w:pPr>
      <w:r>
        <w:rPr>
          <w:rFonts w:ascii="宋体" w:hAnsi="宋体"/>
          <w:color w:val="auto"/>
          <w:highlight w:val="none"/>
        </w:rPr>
        <w:t>注：法定代表人身份证明需按上述格式填写完整，不可缺少内容。在此基础上增加内容的不影响其有效性。</w:t>
      </w:r>
    </w:p>
    <w:p>
      <w:pPr>
        <w:autoSpaceDE w:val="0"/>
        <w:autoSpaceDN w:val="0"/>
        <w:adjustRightInd w:val="0"/>
        <w:snapToGrid w:val="0"/>
        <w:spacing w:line="360" w:lineRule="auto"/>
        <w:jc w:val="left"/>
        <w:rPr>
          <w:rFonts w:ascii="宋体" w:hAnsi="宋体"/>
          <w:color w:val="auto"/>
          <w:kern w:val="0"/>
          <w:highlight w:val="none"/>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ascii="宋体" w:hAnsi="宋体"/>
          <w:color w:val="auto"/>
          <w:spacing w:val="-1"/>
          <w:kern w:val="0"/>
          <w:szCs w:val="21"/>
          <w:highlight w:val="none"/>
          <w:u w:val="single"/>
        </w:rPr>
        <w:t>投</w:t>
      </w:r>
      <w:r>
        <w:rPr>
          <w:rFonts w:ascii="宋体" w:hAnsi="宋体"/>
          <w:color w:val="auto"/>
          <w:kern w:val="0"/>
          <w:szCs w:val="21"/>
          <w:highlight w:val="none"/>
          <w:u w:val="single"/>
        </w:rPr>
        <w:t>标人名称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ascii="宋体" w:hAnsi="宋体"/>
          <w:color w:val="auto"/>
          <w:kern w:val="0"/>
          <w:szCs w:val="21"/>
          <w:highlight w:val="none"/>
        </w:rPr>
        <w:t>投标文件、签订合同和处理有关事宜，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pPr>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附：法定代表人和委托代理人身份证复印件（双面）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2、法定代表人身份证明及授权委托书原件装入投标文件一并递交。另外须准备一份授权委托书原件在开标现场出具。</w:t>
      </w:r>
    </w:p>
    <w:p>
      <w:pPr>
        <w:spacing w:line="360" w:lineRule="auto"/>
        <w:ind w:firstLine="420" w:firstLineChars="200"/>
        <w:jc w:val="left"/>
        <w:rPr>
          <w:rFonts w:ascii="宋体" w:hAnsi="宋体"/>
          <w:color w:val="auto"/>
          <w:highlight w:val="none"/>
        </w:rPr>
      </w:pPr>
      <w:r>
        <w:rPr>
          <w:rFonts w:hint="eastAsia" w:ascii="宋体" w:hAnsi="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pPr>
        <w:spacing w:line="360" w:lineRule="auto"/>
        <w:ind w:firstLine="420" w:firstLineChars="200"/>
        <w:rPr>
          <w:rFonts w:ascii="宋体" w:hAnsi="宋体"/>
          <w:color w:val="auto"/>
          <w:highlight w:val="none"/>
        </w:rPr>
      </w:pPr>
      <w:r>
        <w:rPr>
          <w:rFonts w:ascii="宋体" w:hAnsi="宋体"/>
          <w:color w:val="auto"/>
          <w:highlight w:val="none"/>
        </w:rPr>
        <w:br w:type="page"/>
      </w:r>
    </w:p>
    <w:p>
      <w:pPr>
        <w:spacing w:line="360" w:lineRule="auto"/>
        <w:jc w:val="center"/>
        <w:rPr>
          <w:rFonts w:hint="eastAsia" w:ascii="宋体" w:hAnsi="宋体" w:eastAsia="宋体" w:cs="Times New Roman"/>
          <w:b w:val="0"/>
          <w:bCs w:val="0"/>
          <w:color w:val="auto"/>
          <w:kern w:val="2"/>
          <w:sz w:val="32"/>
          <w:szCs w:val="32"/>
          <w:highlight w:val="none"/>
          <w:lang w:val="en-US" w:eastAsia="zh-CN" w:bidi="ar-SA"/>
        </w:rPr>
      </w:pPr>
      <w:bookmarkStart w:id="846" w:name="_Toc287620817"/>
      <w:bookmarkStart w:id="847" w:name="_Toc224103498"/>
      <w:bookmarkStart w:id="848" w:name="_Toc277082646"/>
      <w:bookmarkStart w:id="849" w:name="_Toc287607870"/>
      <w:bookmarkStart w:id="850" w:name="_Toc57820651"/>
      <w:bookmarkStart w:id="851" w:name="_Toc224103500"/>
      <w:bookmarkStart w:id="852" w:name="_Toc287620819"/>
      <w:bookmarkStart w:id="853" w:name="_Toc287607872"/>
      <w:bookmarkStart w:id="854" w:name="_Toc430530534"/>
      <w:r>
        <w:rPr>
          <w:rFonts w:hint="eastAsia" w:ascii="宋体" w:hAnsi="宋体" w:eastAsia="宋体" w:cs="Times New Roman"/>
          <w:b w:val="0"/>
          <w:bCs w:val="0"/>
          <w:color w:val="auto"/>
          <w:kern w:val="2"/>
          <w:sz w:val="32"/>
          <w:szCs w:val="32"/>
          <w:highlight w:val="none"/>
          <w:lang w:val="en-US" w:eastAsia="zh-CN" w:bidi="ar-SA"/>
        </w:rPr>
        <w:t>（四）</w:t>
      </w:r>
      <w:bookmarkEnd w:id="846"/>
      <w:bookmarkEnd w:id="847"/>
      <w:bookmarkEnd w:id="848"/>
      <w:bookmarkEnd w:id="849"/>
      <w:r>
        <w:rPr>
          <w:rFonts w:hint="eastAsia" w:ascii="宋体" w:hAnsi="宋体" w:eastAsia="宋体" w:cs="Times New Roman"/>
          <w:b w:val="0"/>
          <w:bCs w:val="0"/>
          <w:color w:val="auto"/>
          <w:kern w:val="2"/>
          <w:sz w:val="32"/>
          <w:szCs w:val="32"/>
          <w:highlight w:val="none"/>
          <w:lang w:val="en-US" w:eastAsia="zh-CN" w:bidi="ar-SA"/>
        </w:rPr>
        <w:t>低价风险担保提交承诺书</w:t>
      </w:r>
      <w:bookmarkEnd w:id="850"/>
    </w:p>
    <w:p>
      <w:pPr>
        <w:autoSpaceDE w:val="0"/>
        <w:autoSpaceDN w:val="0"/>
        <w:adjustRightInd w:val="0"/>
        <w:snapToGrid w:val="0"/>
        <w:spacing w:line="360" w:lineRule="auto"/>
        <w:jc w:val="center"/>
        <w:rPr>
          <w:rFonts w:ascii="宋体" w:hAnsi="宋体"/>
          <w:snapToGrid w:val="0"/>
          <w:color w:val="auto"/>
          <w:kern w:val="0"/>
          <w:sz w:val="32"/>
          <w:szCs w:val="32"/>
          <w:highlight w:val="none"/>
        </w:rPr>
      </w:pPr>
    </w:p>
    <w:p>
      <w:pPr>
        <w:autoSpaceDE w:val="0"/>
        <w:autoSpaceDN w:val="0"/>
        <w:adjustRightInd w:val="0"/>
        <w:snapToGrid w:val="0"/>
        <w:spacing w:line="360" w:lineRule="auto"/>
        <w:jc w:val="center"/>
        <w:rPr>
          <w:rFonts w:ascii="宋体" w:hAnsi="宋体"/>
          <w:snapToGrid w:val="0"/>
          <w:color w:val="auto"/>
          <w:kern w:val="0"/>
          <w:sz w:val="32"/>
          <w:szCs w:val="32"/>
          <w:highlight w:val="none"/>
        </w:rPr>
      </w:pPr>
      <w:r>
        <w:rPr>
          <w:rFonts w:hint="eastAsia" w:ascii="宋体" w:hAnsi="宋体"/>
          <w:snapToGrid w:val="0"/>
          <w:color w:val="auto"/>
          <w:kern w:val="0"/>
          <w:sz w:val="32"/>
          <w:szCs w:val="32"/>
          <w:highlight w:val="none"/>
        </w:rPr>
        <w:t>（投标报价低于招标项目最高限价的85%时采用）</w:t>
      </w:r>
    </w:p>
    <w:p>
      <w:pPr>
        <w:autoSpaceDE w:val="0"/>
        <w:autoSpaceDN w:val="0"/>
        <w:adjustRightInd w:val="0"/>
        <w:snapToGrid w:val="0"/>
        <w:spacing w:line="360" w:lineRule="auto"/>
        <w:jc w:val="center"/>
        <w:rPr>
          <w:rFonts w:ascii="宋体" w:hAnsi="宋体"/>
          <w:snapToGrid w:val="0"/>
          <w:color w:val="auto"/>
          <w:kern w:val="0"/>
          <w:sz w:val="32"/>
          <w:szCs w:val="32"/>
          <w:highlight w:val="none"/>
        </w:rPr>
      </w:pPr>
    </w:p>
    <w:p>
      <w:pPr>
        <w:autoSpaceDE w:val="0"/>
        <w:autoSpaceDN w:val="0"/>
        <w:adjustRightInd w:val="0"/>
        <w:snapToGrid w:val="0"/>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 xml:space="preserve">        （招标人名称）</w:t>
      </w:r>
      <w:r>
        <w:rPr>
          <w:rFonts w:hint="eastAsia" w:ascii="宋体" w:hAnsi="宋体" w:cs="宋体"/>
          <w:snapToGrid w:val="0"/>
          <w:color w:val="auto"/>
          <w:kern w:val="0"/>
          <w:szCs w:val="21"/>
          <w:highlight w:val="none"/>
        </w:rPr>
        <w:t>：</w:t>
      </w:r>
    </w:p>
    <w:p>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我公司</w:t>
      </w:r>
      <w:r>
        <w:rPr>
          <w:rFonts w:hint="eastAsia" w:ascii="宋体" w:hAnsi="宋体" w:cs="宋体"/>
          <w:snapToGrid w:val="0"/>
          <w:color w:val="auto"/>
          <w:kern w:val="0"/>
          <w:szCs w:val="21"/>
          <w:highlight w:val="none"/>
          <w:u w:val="single"/>
        </w:rPr>
        <w:t xml:space="preserve">        （投标人名称）</w:t>
      </w:r>
      <w:r>
        <w:rPr>
          <w:rFonts w:hint="eastAsia" w:ascii="宋体" w:hAnsi="宋体" w:cs="宋体"/>
          <w:snapToGrid w:val="0"/>
          <w:color w:val="auto"/>
          <w:kern w:val="0"/>
          <w:szCs w:val="21"/>
          <w:highlight w:val="none"/>
        </w:rPr>
        <w:t>参加了你</w:t>
      </w:r>
      <w:r>
        <w:rPr>
          <w:rFonts w:hint="eastAsia" w:ascii="宋体" w:hAnsi="宋体" w:cs="宋体"/>
          <w:snapToGrid w:val="0"/>
          <w:color w:val="auto"/>
          <w:kern w:val="0"/>
          <w:szCs w:val="21"/>
          <w:highlight w:val="none"/>
          <w:lang w:eastAsia="zh-CN"/>
        </w:rPr>
        <w:t>单位</w:t>
      </w:r>
      <w:r>
        <w:rPr>
          <w:rFonts w:hint="eastAsia" w:ascii="宋体" w:hAnsi="宋体" w:cs="宋体"/>
          <w:snapToGrid w:val="0"/>
          <w:color w:val="auto"/>
          <w:kern w:val="0"/>
          <w:szCs w:val="21"/>
          <w:highlight w:val="none"/>
          <w:u w:val="single"/>
        </w:rPr>
        <w:t xml:space="preserve">        （项目名称）</w:t>
      </w:r>
      <w:r>
        <w:rPr>
          <w:rFonts w:hint="eastAsia" w:ascii="宋体" w:hAnsi="宋体" w:cs="宋体"/>
          <w:snapToGrid w:val="0"/>
          <w:color w:val="auto"/>
          <w:kern w:val="0"/>
          <w:szCs w:val="21"/>
          <w:highlight w:val="none"/>
        </w:rPr>
        <w:t>的投标。我公司投标报价低于最高限价的85%，若获得中标资格，我公司承诺按照招标文件的规定递交低价风险担保。同时，我公司已落实低价风险担保的提交方案，承诺如采用保函形式提交低价风险担保，保函的格式和内容符合招标文件的要求。否则，我公司愿承担招标文件中约定的，因未按规定递交低价风险担保的相应责任。</w:t>
      </w:r>
    </w:p>
    <w:p>
      <w:pPr>
        <w:autoSpaceDE w:val="0"/>
        <w:autoSpaceDN w:val="0"/>
        <w:adjustRightInd w:val="0"/>
        <w:snapToGrid w:val="0"/>
        <w:spacing w:line="360" w:lineRule="auto"/>
        <w:ind w:firstLine="640"/>
        <w:rPr>
          <w:rFonts w:ascii="宋体" w:hAnsi="宋体" w:cs="宋体"/>
          <w:snapToGrid w:val="0"/>
          <w:color w:val="auto"/>
          <w:kern w:val="0"/>
          <w:szCs w:val="21"/>
          <w:highlight w:val="none"/>
        </w:rPr>
      </w:pPr>
    </w:p>
    <w:p>
      <w:pPr>
        <w:autoSpaceDE w:val="0"/>
        <w:autoSpaceDN w:val="0"/>
        <w:adjustRightInd w:val="0"/>
        <w:snapToGrid w:val="0"/>
        <w:spacing w:line="360" w:lineRule="auto"/>
        <w:ind w:firstLine="64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特此承诺。</w:t>
      </w:r>
    </w:p>
    <w:p>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pPr>
        <w:tabs>
          <w:tab w:val="left" w:pos="4200"/>
          <w:tab w:val="left" w:pos="462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pPr>
        <w:tabs>
          <w:tab w:val="left" w:pos="7140"/>
          <w:tab w:val="left" w:pos="7560"/>
          <w:tab w:val="left" w:pos="8300"/>
        </w:tabs>
        <w:autoSpaceDE w:val="0"/>
        <w:autoSpaceDN w:val="0"/>
        <w:adjustRightInd w:val="0"/>
        <w:spacing w:line="360" w:lineRule="auto"/>
        <w:ind w:firstLine="420" w:firstLineChars="200"/>
        <w:rPr>
          <w:rFonts w:ascii="宋体" w:hAnsi="宋体"/>
          <w:snapToGrid w:val="0"/>
          <w:color w:val="auto"/>
          <w:kern w:val="0"/>
          <w:szCs w:val="21"/>
          <w:highlight w:val="none"/>
        </w:rPr>
      </w:pPr>
    </w:p>
    <w:p>
      <w:pPr>
        <w:tabs>
          <w:tab w:val="left" w:pos="3840"/>
          <w:tab w:val="left" w:pos="4780"/>
          <w:tab w:val="left" w:pos="5720"/>
        </w:tabs>
        <w:autoSpaceDE w:val="0"/>
        <w:autoSpaceDN w:val="0"/>
        <w:adjustRightInd w:val="0"/>
        <w:snapToGrid w:val="0"/>
        <w:spacing w:before="156" w:beforeLines="50" w:line="360" w:lineRule="auto"/>
        <w:ind w:right="420" w:firstLine="5565" w:firstLineChars="2650"/>
        <w:jc w:val="right"/>
        <w:rPr>
          <w:rFonts w:ascii="宋体" w:hAnsi="宋体"/>
          <w:snapToGrid w:val="0"/>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pPr>
        <w:tabs>
          <w:tab w:val="left" w:pos="2580"/>
          <w:tab w:val="left" w:pos="5940"/>
        </w:tabs>
        <w:autoSpaceDE w:val="0"/>
        <w:autoSpaceDN w:val="0"/>
        <w:adjustRightInd w:val="0"/>
        <w:snapToGrid w:val="0"/>
        <w:spacing w:line="360" w:lineRule="auto"/>
        <w:jc w:val="left"/>
        <w:rPr>
          <w:rFonts w:ascii="宋体" w:hAnsi="宋体"/>
          <w:color w:val="auto"/>
          <w:highlight w:val="none"/>
        </w:rPr>
      </w:pPr>
    </w:p>
    <w:p>
      <w:pPr>
        <w:rPr>
          <w:rFonts w:hint="eastAsia" w:ascii="宋体" w:hAnsi="宋体"/>
          <w:b w:val="0"/>
          <w:bCs w:val="0"/>
          <w:color w:val="auto"/>
          <w:sz w:val="44"/>
          <w:szCs w:val="44"/>
          <w:highlight w:val="none"/>
          <w:lang w:val="en-US" w:eastAsia="zh-CN"/>
        </w:rPr>
      </w:pPr>
      <w:bookmarkStart w:id="855" w:name="_Toc23891"/>
      <w:bookmarkStart w:id="856" w:name="_Toc57905924"/>
      <w:r>
        <w:rPr>
          <w:rFonts w:hint="eastAsia" w:ascii="宋体" w:hAnsi="宋体"/>
          <w:b w:val="0"/>
          <w:bCs w:val="0"/>
          <w:color w:val="auto"/>
          <w:sz w:val="44"/>
          <w:szCs w:val="44"/>
          <w:highlight w:val="none"/>
          <w:lang w:val="en-US" w:eastAsia="zh-CN"/>
        </w:rPr>
        <w:br w:type="page"/>
      </w:r>
    </w:p>
    <w:p>
      <w:pPr>
        <w:pStyle w:val="3"/>
        <w:spacing w:line="360" w:lineRule="auto"/>
        <w:jc w:val="center"/>
        <w:rPr>
          <w:rFonts w:ascii="宋体" w:hAnsi="宋体"/>
          <w:b w:val="0"/>
          <w:bCs w:val="0"/>
          <w:color w:val="auto"/>
          <w:sz w:val="44"/>
          <w:szCs w:val="44"/>
          <w:highlight w:val="none"/>
        </w:rPr>
      </w:pPr>
      <w:r>
        <w:rPr>
          <w:rFonts w:hint="eastAsia" w:ascii="宋体" w:hAnsi="宋体"/>
          <w:b w:val="0"/>
          <w:bCs w:val="0"/>
          <w:color w:val="auto"/>
          <w:sz w:val="44"/>
          <w:szCs w:val="44"/>
          <w:highlight w:val="none"/>
          <w:lang w:val="en-US" w:eastAsia="zh-CN"/>
        </w:rPr>
        <w:t>二</w:t>
      </w:r>
      <w:r>
        <w:rPr>
          <w:rFonts w:hint="eastAsia" w:ascii="宋体" w:hAnsi="宋体"/>
          <w:b w:val="0"/>
          <w:bCs w:val="0"/>
          <w:color w:val="auto"/>
          <w:sz w:val="44"/>
          <w:szCs w:val="44"/>
          <w:highlight w:val="none"/>
        </w:rPr>
        <w:t>、经济部分</w:t>
      </w:r>
      <w:bookmarkEnd w:id="851"/>
      <w:bookmarkEnd w:id="852"/>
      <w:bookmarkEnd w:id="853"/>
      <w:bookmarkEnd w:id="854"/>
      <w:bookmarkEnd w:id="855"/>
      <w:bookmarkEnd w:id="856"/>
    </w:p>
    <w:p>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pPr>
        <w:tabs>
          <w:tab w:val="left" w:pos="2580"/>
          <w:tab w:val="left" w:pos="5940"/>
        </w:tabs>
        <w:autoSpaceDE w:val="0"/>
        <w:autoSpaceDN w:val="0"/>
        <w:adjustRightInd w:val="0"/>
        <w:snapToGrid w:val="0"/>
        <w:spacing w:line="360" w:lineRule="auto"/>
        <w:jc w:val="left"/>
        <w:rPr>
          <w:rFonts w:ascii="宋体" w:hAnsi="宋体"/>
          <w:color w:val="auto"/>
          <w:kern w:val="0"/>
          <w:sz w:val="28"/>
          <w:szCs w:val="28"/>
          <w:highlight w:val="none"/>
          <w:u w:val="single"/>
        </w:rPr>
      </w:pPr>
      <w:r>
        <w:rPr>
          <w:rFonts w:ascii="宋体" w:hAnsi="宋体"/>
          <w:color w:val="auto"/>
          <w:kern w:val="0"/>
          <w:sz w:val="28"/>
          <w:szCs w:val="28"/>
          <w:highlight w:val="none"/>
          <w:u w:val="single"/>
        </w:rPr>
        <w:br w:type="page"/>
      </w:r>
    </w:p>
    <w:p>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pPr>
        <w:autoSpaceDE w:val="0"/>
        <w:autoSpaceDN w:val="0"/>
        <w:adjustRightInd w:val="0"/>
        <w:snapToGrid w:val="0"/>
        <w:spacing w:line="360" w:lineRule="auto"/>
        <w:jc w:val="left"/>
        <w:rPr>
          <w:rFonts w:ascii="宋体" w:hAnsi="宋体"/>
          <w:color w:val="auto"/>
          <w:kern w:val="0"/>
          <w:sz w:val="16"/>
          <w:szCs w:val="16"/>
          <w:highlight w:val="none"/>
        </w:rPr>
      </w:pPr>
    </w:p>
    <w:p>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经济部分</w:t>
      </w: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tabs>
          <w:tab w:val="left" w:pos="6080"/>
          <w:tab w:val="left" w:pos="6640"/>
        </w:tabs>
        <w:autoSpaceDE w:val="0"/>
        <w:autoSpaceDN w:val="0"/>
        <w:adjustRightInd w:val="0"/>
        <w:snapToGrid w:val="0"/>
        <w:spacing w:after="156" w:afterLines="50" w:line="360" w:lineRule="auto"/>
        <w:jc w:val="center"/>
        <w:rPr>
          <w:rFonts w:ascii="宋体" w:hAnsi="宋体"/>
          <w:color w:val="auto"/>
          <w:w w:val="99"/>
          <w:kern w:val="0"/>
          <w:sz w:val="28"/>
          <w:szCs w:val="28"/>
          <w:highlight w:val="none"/>
        </w:rPr>
      </w:pPr>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pPr>
        <w:tabs>
          <w:tab w:val="left" w:pos="6080"/>
          <w:tab w:val="left" w:pos="6640"/>
        </w:tabs>
        <w:autoSpaceDE w:val="0"/>
        <w:autoSpaceDN w:val="0"/>
        <w:adjustRightInd w:val="0"/>
        <w:snapToGrid w:val="0"/>
        <w:spacing w:after="156" w:afterLines="50" w:line="360" w:lineRule="auto"/>
        <w:jc w:val="center"/>
        <w:rPr>
          <w:rFonts w:ascii="宋体" w:hAnsi="宋体"/>
          <w:b/>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pPr>
        <w:tabs>
          <w:tab w:val="left" w:pos="3280"/>
          <w:tab w:val="left" w:pos="4680"/>
          <w:tab w:val="left" w:pos="6080"/>
        </w:tabs>
        <w:autoSpaceDE w:val="0"/>
        <w:autoSpaceDN w:val="0"/>
        <w:adjustRightInd w:val="0"/>
        <w:snapToGrid w:val="0"/>
        <w:spacing w:after="156" w:afterLines="50" w:line="360" w:lineRule="auto"/>
        <w:jc w:val="center"/>
        <w:rPr>
          <w:rFonts w:ascii="宋体" w:hAnsi="宋体"/>
          <w:color w:val="auto"/>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pPr>
        <w:autoSpaceDE w:val="0"/>
        <w:autoSpaceDN w:val="0"/>
        <w:adjustRightInd w:val="0"/>
        <w:snapToGrid w:val="0"/>
        <w:spacing w:line="360" w:lineRule="auto"/>
        <w:jc w:val="left"/>
        <w:rPr>
          <w:rFonts w:ascii="宋体" w:hAnsi="宋体"/>
          <w:color w:val="auto"/>
          <w:kern w:val="0"/>
          <w:sz w:val="24"/>
          <w:szCs w:val="21"/>
          <w:highlight w:val="none"/>
        </w:rPr>
      </w:pPr>
      <w:r>
        <w:rPr>
          <w:rFonts w:ascii="宋体" w:hAnsi="宋体"/>
          <w:color w:val="auto"/>
          <w:kern w:val="0"/>
          <w:sz w:val="24"/>
          <w:szCs w:val="21"/>
          <w:highlight w:val="none"/>
        </w:rPr>
        <w:br w:type="page"/>
      </w:r>
    </w:p>
    <w:p>
      <w:pPr>
        <w:autoSpaceDE w:val="0"/>
        <w:autoSpaceDN w:val="0"/>
        <w:adjustRightInd w:val="0"/>
        <w:snapToGrid w:val="0"/>
        <w:spacing w:line="360" w:lineRule="auto"/>
        <w:jc w:val="center"/>
        <w:rPr>
          <w:rFonts w:ascii="宋体" w:hAnsi="宋体"/>
          <w:color w:val="auto"/>
          <w:kern w:val="0"/>
          <w:szCs w:val="21"/>
          <w:highlight w:val="none"/>
        </w:rPr>
      </w:pPr>
      <w:r>
        <w:rPr>
          <w:rFonts w:hint="eastAsia" w:ascii="宋体" w:hAnsi="宋体"/>
          <w:color w:val="auto"/>
          <w:kern w:val="0"/>
          <w:sz w:val="36"/>
          <w:szCs w:val="36"/>
          <w:highlight w:val="none"/>
        </w:rPr>
        <w:t>目  录</w:t>
      </w:r>
    </w:p>
    <w:p>
      <w:pPr>
        <w:autoSpaceDE w:val="0"/>
        <w:autoSpaceDN w:val="0"/>
        <w:adjustRightInd w:val="0"/>
        <w:snapToGrid w:val="0"/>
        <w:spacing w:line="360" w:lineRule="auto"/>
        <w:jc w:val="left"/>
        <w:rPr>
          <w:rFonts w:ascii="宋体" w:hAnsi="宋体"/>
          <w:color w:val="auto"/>
          <w:kern w:val="0"/>
          <w:szCs w:val="21"/>
          <w:highlight w:val="none"/>
        </w:rPr>
      </w:pPr>
    </w:p>
    <w:p>
      <w:pPr>
        <w:autoSpaceDE w:val="0"/>
        <w:autoSpaceDN w:val="0"/>
        <w:adjustRightInd w:val="0"/>
        <w:snapToGrid w:val="0"/>
        <w:spacing w:line="360" w:lineRule="auto"/>
        <w:jc w:val="center"/>
        <w:rPr>
          <w:rFonts w:ascii="宋体" w:hAnsi="宋体"/>
          <w:i/>
          <w:iCs/>
          <w:color w:val="auto"/>
          <w:kern w:val="0"/>
          <w:szCs w:val="21"/>
          <w:highlight w:val="none"/>
        </w:rPr>
      </w:pPr>
      <w:r>
        <w:rPr>
          <w:rFonts w:ascii="宋体" w:hAnsi="宋体"/>
          <w:i/>
          <w:iCs/>
          <w:color w:val="auto"/>
          <w:kern w:val="0"/>
          <w:szCs w:val="21"/>
          <w:highlight w:val="none"/>
        </w:rPr>
        <w:t>[</w:t>
      </w:r>
      <w:r>
        <w:rPr>
          <w:rFonts w:hint="eastAsia" w:ascii="宋体" w:hAnsi="宋体"/>
          <w:i/>
          <w:iCs/>
          <w:color w:val="auto"/>
          <w:kern w:val="0"/>
          <w:szCs w:val="21"/>
          <w:highlight w:val="none"/>
        </w:rPr>
        <w:t>提示：</w:t>
      </w:r>
      <w:r>
        <w:rPr>
          <w:rFonts w:ascii="宋体" w:hAnsi="宋体"/>
          <w:i/>
          <w:iCs/>
          <w:color w:val="auto"/>
          <w:kern w:val="0"/>
          <w:szCs w:val="21"/>
          <w:highlight w:val="none"/>
        </w:rPr>
        <w:t>目录由投标人自行编制]</w:t>
      </w:r>
    </w:p>
    <w:p>
      <w:pPr>
        <w:autoSpaceDE w:val="0"/>
        <w:autoSpaceDN w:val="0"/>
        <w:adjustRightInd w:val="0"/>
        <w:snapToGrid w:val="0"/>
        <w:spacing w:line="360" w:lineRule="auto"/>
        <w:jc w:val="left"/>
        <w:rPr>
          <w:rFonts w:ascii="宋体" w:hAnsi="宋体"/>
          <w:color w:val="auto"/>
          <w:w w:val="99"/>
          <w:kern w:val="0"/>
          <w:sz w:val="28"/>
          <w:szCs w:val="28"/>
          <w:highlight w:val="none"/>
        </w:rPr>
      </w:pPr>
    </w:p>
    <w:p>
      <w:pPr>
        <w:autoSpaceDE w:val="0"/>
        <w:autoSpaceDN w:val="0"/>
        <w:adjustRightInd w:val="0"/>
        <w:snapToGrid w:val="0"/>
        <w:spacing w:line="360" w:lineRule="auto"/>
        <w:jc w:val="left"/>
        <w:rPr>
          <w:rFonts w:ascii="宋体" w:hAnsi="宋体"/>
          <w:color w:val="auto"/>
          <w:kern w:val="0"/>
          <w:sz w:val="24"/>
          <w:szCs w:val="21"/>
          <w:highlight w:val="none"/>
        </w:rPr>
      </w:pPr>
      <w:r>
        <w:rPr>
          <w:rFonts w:ascii="宋体" w:hAnsi="宋体"/>
          <w:color w:val="auto"/>
          <w:highlight w:val="none"/>
        </w:rPr>
        <w:br w:type="page"/>
      </w:r>
      <w:bookmarkStart w:id="857" w:name="_Toc224103501"/>
      <w:bookmarkStart w:id="858" w:name="_Toc287607873"/>
      <w:bookmarkStart w:id="859" w:name="_Toc430530535"/>
      <w:bookmarkStart w:id="860" w:name="_Toc277082648"/>
      <w:bookmarkStart w:id="861" w:name="_Toc287620820"/>
    </w:p>
    <w:p>
      <w:pPr>
        <w:pStyle w:val="4"/>
        <w:jc w:val="center"/>
        <w:rPr>
          <w:color w:val="auto"/>
          <w:highlight w:val="none"/>
        </w:rPr>
      </w:pPr>
      <w:bookmarkStart w:id="862" w:name="_Toc57905925"/>
      <w:bookmarkStart w:id="863" w:name="_Toc28475"/>
      <w:r>
        <w:rPr>
          <w:rFonts w:hint="eastAsia"/>
          <w:color w:val="auto"/>
          <w:highlight w:val="none"/>
        </w:rPr>
        <w:t>（一）已标价工程量清单</w:t>
      </w:r>
      <w:bookmarkEnd w:id="857"/>
      <w:bookmarkEnd w:id="858"/>
      <w:bookmarkEnd w:id="859"/>
      <w:bookmarkEnd w:id="860"/>
      <w:bookmarkEnd w:id="861"/>
      <w:bookmarkEnd w:id="862"/>
      <w:bookmarkEnd w:id="863"/>
    </w:p>
    <w:p>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pPr>
        <w:autoSpaceDE w:val="0"/>
        <w:autoSpaceDN w:val="0"/>
        <w:adjustRightInd w:val="0"/>
        <w:snapToGrid w:val="0"/>
        <w:spacing w:line="360" w:lineRule="auto"/>
        <w:jc w:val="left"/>
        <w:rPr>
          <w:rFonts w:ascii="宋体" w:hAnsi="宋体"/>
          <w:color w:val="auto"/>
          <w:kern w:val="0"/>
          <w:sz w:val="24"/>
          <w:szCs w:val="21"/>
          <w:highlight w:val="none"/>
        </w:rPr>
      </w:pPr>
      <w:bookmarkStart w:id="864" w:name="_Toc287607874"/>
      <w:bookmarkStart w:id="865" w:name="_Toc287620821"/>
      <w:bookmarkStart w:id="866" w:name="_Toc430530536"/>
      <w:bookmarkStart w:id="867" w:name="_Toc224103502"/>
      <w:r>
        <w:rPr>
          <w:rFonts w:ascii="宋体" w:hAnsi="宋体"/>
          <w:color w:val="auto"/>
          <w:highlight w:val="none"/>
        </w:rPr>
        <w:br w:type="page"/>
      </w:r>
    </w:p>
    <w:bookmarkEnd w:id="864"/>
    <w:bookmarkEnd w:id="865"/>
    <w:bookmarkEnd w:id="866"/>
    <w:bookmarkEnd w:id="867"/>
    <w:p>
      <w:pPr>
        <w:pStyle w:val="3"/>
        <w:spacing w:line="360" w:lineRule="auto"/>
        <w:jc w:val="center"/>
        <w:rPr>
          <w:rFonts w:ascii="宋体" w:hAnsi="宋体"/>
          <w:b w:val="0"/>
          <w:bCs w:val="0"/>
          <w:color w:val="auto"/>
          <w:sz w:val="44"/>
          <w:szCs w:val="44"/>
          <w:highlight w:val="none"/>
        </w:rPr>
      </w:pPr>
      <w:bookmarkStart w:id="868" w:name="_Toc430530545"/>
      <w:bookmarkStart w:id="869" w:name="_Toc224103510"/>
      <w:bookmarkStart w:id="870" w:name="_Toc287620829"/>
      <w:bookmarkStart w:id="871" w:name="_Toc287607882"/>
      <w:bookmarkStart w:id="872" w:name="_Toc277082656"/>
      <w:bookmarkStart w:id="873" w:name="_Toc27141"/>
      <w:bookmarkStart w:id="874" w:name="_Toc57905928"/>
      <w:r>
        <w:rPr>
          <w:rFonts w:hint="eastAsia" w:ascii="宋体" w:hAnsi="宋体"/>
          <w:b w:val="0"/>
          <w:bCs w:val="0"/>
          <w:color w:val="auto"/>
          <w:sz w:val="44"/>
          <w:szCs w:val="44"/>
          <w:highlight w:val="none"/>
          <w:lang w:val="en-US" w:eastAsia="zh-CN"/>
        </w:rPr>
        <w:t>三</w:t>
      </w:r>
      <w:r>
        <w:rPr>
          <w:rFonts w:hint="eastAsia" w:ascii="宋体" w:hAnsi="宋体"/>
          <w:b w:val="0"/>
          <w:bCs w:val="0"/>
          <w:color w:val="auto"/>
          <w:sz w:val="44"/>
          <w:szCs w:val="44"/>
          <w:highlight w:val="none"/>
        </w:rPr>
        <w:t>、</w:t>
      </w:r>
      <w:bookmarkEnd w:id="868"/>
      <w:bookmarkEnd w:id="869"/>
      <w:bookmarkEnd w:id="870"/>
      <w:bookmarkEnd w:id="871"/>
      <w:bookmarkEnd w:id="872"/>
      <w:r>
        <w:rPr>
          <w:rFonts w:hint="eastAsia" w:ascii="宋体" w:hAnsi="宋体"/>
          <w:b w:val="0"/>
          <w:bCs w:val="0"/>
          <w:color w:val="auto"/>
          <w:sz w:val="44"/>
          <w:szCs w:val="44"/>
          <w:highlight w:val="none"/>
        </w:rPr>
        <w:t>资格审查部分</w:t>
      </w:r>
      <w:bookmarkEnd w:id="873"/>
      <w:bookmarkEnd w:id="874"/>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r>
        <w:rPr>
          <w:rFonts w:ascii="宋体" w:hAnsi="宋体"/>
          <w:color w:val="auto"/>
          <w:sz w:val="32"/>
          <w:szCs w:val="32"/>
          <w:highlight w:val="none"/>
        </w:rPr>
        <w:br w:type="page"/>
      </w:r>
    </w:p>
    <w:p>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pPr>
        <w:autoSpaceDE w:val="0"/>
        <w:autoSpaceDN w:val="0"/>
        <w:adjustRightInd w:val="0"/>
        <w:snapToGrid w:val="0"/>
        <w:spacing w:line="360" w:lineRule="auto"/>
        <w:jc w:val="left"/>
        <w:rPr>
          <w:rFonts w:ascii="宋体" w:hAnsi="宋体"/>
          <w:color w:val="auto"/>
          <w:kern w:val="0"/>
          <w:sz w:val="16"/>
          <w:szCs w:val="16"/>
          <w:highlight w:val="none"/>
        </w:rPr>
      </w:pPr>
    </w:p>
    <w:p>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资格审查部分</w:t>
      </w: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djustRightInd w:val="0"/>
        <w:snapToGrid w:val="0"/>
        <w:spacing w:line="264" w:lineRule="auto"/>
        <w:rPr>
          <w:rFonts w:ascii="宋体" w:hAnsi="宋体"/>
          <w:color w:val="auto"/>
          <w:szCs w:val="21"/>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tabs>
          <w:tab w:val="left" w:pos="6080"/>
          <w:tab w:val="left" w:pos="6640"/>
        </w:tabs>
        <w:autoSpaceDE w:val="0"/>
        <w:autoSpaceDN w:val="0"/>
        <w:adjustRightInd w:val="0"/>
        <w:snapToGrid w:val="0"/>
        <w:spacing w:line="480" w:lineRule="auto"/>
        <w:jc w:val="center"/>
        <w:rPr>
          <w:rFonts w:ascii="宋体" w:hAnsi="宋体"/>
          <w:color w:val="auto"/>
          <w:w w:val="99"/>
          <w:kern w:val="0"/>
          <w:sz w:val="28"/>
          <w:szCs w:val="28"/>
          <w:highlight w:val="none"/>
        </w:rPr>
      </w:pPr>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pPr>
        <w:tabs>
          <w:tab w:val="left" w:pos="6080"/>
          <w:tab w:val="left" w:pos="6640"/>
        </w:tabs>
        <w:autoSpaceDE w:val="0"/>
        <w:autoSpaceDN w:val="0"/>
        <w:adjustRightInd w:val="0"/>
        <w:snapToGrid w:val="0"/>
        <w:spacing w:line="48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pPr>
        <w:tabs>
          <w:tab w:val="left" w:pos="3280"/>
          <w:tab w:val="left" w:pos="4680"/>
          <w:tab w:val="left" w:pos="6080"/>
        </w:tabs>
        <w:autoSpaceDE w:val="0"/>
        <w:autoSpaceDN w:val="0"/>
        <w:adjustRightInd w:val="0"/>
        <w:snapToGrid w:val="0"/>
        <w:spacing w:line="480" w:lineRule="auto"/>
        <w:jc w:val="center"/>
        <w:rPr>
          <w:rFonts w:ascii="宋体" w:hAnsi="宋体"/>
          <w:b/>
          <w:color w:val="auto"/>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pPr>
        <w:rPr>
          <w:rFonts w:hint="eastAsia" w:ascii="宋体" w:hAnsi="宋体"/>
          <w:color w:val="auto"/>
          <w:kern w:val="0"/>
          <w:sz w:val="36"/>
          <w:szCs w:val="36"/>
          <w:highlight w:val="none"/>
        </w:rPr>
      </w:pPr>
      <w:r>
        <w:rPr>
          <w:rFonts w:hint="eastAsia" w:ascii="宋体" w:hAnsi="宋体"/>
          <w:color w:val="auto"/>
          <w:kern w:val="0"/>
          <w:sz w:val="36"/>
          <w:szCs w:val="36"/>
          <w:highlight w:val="none"/>
        </w:rPr>
        <w:br w:type="page"/>
      </w:r>
    </w:p>
    <w:p>
      <w:pPr>
        <w:autoSpaceDE w:val="0"/>
        <w:autoSpaceDN w:val="0"/>
        <w:adjustRightInd w:val="0"/>
        <w:snapToGrid w:val="0"/>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pPr>
        <w:spacing w:line="360" w:lineRule="auto"/>
        <w:jc w:val="center"/>
        <w:rPr>
          <w:rFonts w:ascii="宋体" w:hAnsi="宋体"/>
          <w:b/>
          <w:color w:val="auto"/>
          <w:kern w:val="0"/>
          <w:sz w:val="32"/>
          <w:szCs w:val="32"/>
          <w:highlight w:val="none"/>
        </w:rPr>
      </w:pPr>
    </w:p>
    <w:p>
      <w:pPr>
        <w:spacing w:line="360" w:lineRule="auto"/>
        <w:ind w:firstLine="420" w:firstLineChars="200"/>
        <w:rPr>
          <w:rFonts w:ascii="宋体" w:hAnsi="宋体"/>
          <w:color w:val="auto"/>
          <w:szCs w:val="21"/>
          <w:highlight w:val="none"/>
        </w:rPr>
      </w:pPr>
      <w:r>
        <w:rPr>
          <w:rFonts w:ascii="宋体" w:hAnsi="宋体"/>
          <w:color w:val="auto"/>
          <w:szCs w:val="21"/>
          <w:highlight w:val="none"/>
        </w:rPr>
        <w:t>（一）</w:t>
      </w:r>
      <w:r>
        <w:rPr>
          <w:rFonts w:hint="eastAsia" w:ascii="宋体" w:hAnsi="宋体"/>
          <w:color w:val="auto"/>
          <w:szCs w:val="21"/>
          <w:highlight w:val="none"/>
        </w:rPr>
        <w:t>法定代表人身份证明或附有法定代表人身份证明的授权委托书</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二</w:t>
      </w:r>
      <w:r>
        <w:rPr>
          <w:rFonts w:ascii="宋体" w:hAnsi="宋体"/>
          <w:color w:val="auto"/>
          <w:szCs w:val="21"/>
          <w:highlight w:val="none"/>
        </w:rPr>
        <w:t>）投标人基本情况表</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三</w:t>
      </w:r>
      <w:r>
        <w:rPr>
          <w:rFonts w:ascii="宋体" w:hAnsi="宋体"/>
          <w:color w:val="auto"/>
          <w:szCs w:val="21"/>
          <w:highlight w:val="none"/>
        </w:rPr>
        <w:t>）项目管理机构</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四</w:t>
      </w:r>
      <w:r>
        <w:rPr>
          <w:rFonts w:ascii="宋体" w:hAnsi="宋体"/>
          <w:color w:val="auto"/>
          <w:szCs w:val="21"/>
          <w:highlight w:val="none"/>
        </w:rPr>
        <w:t>）类似项目情况表</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五</w:t>
      </w:r>
      <w:r>
        <w:rPr>
          <w:rFonts w:ascii="宋体" w:hAnsi="宋体"/>
          <w:color w:val="auto"/>
          <w:szCs w:val="21"/>
          <w:highlight w:val="none"/>
        </w:rPr>
        <w:t>）</w:t>
      </w:r>
      <w:r>
        <w:rPr>
          <w:rFonts w:hint="eastAsia" w:ascii="宋体" w:hAnsi="宋体"/>
          <w:color w:val="auto"/>
          <w:szCs w:val="21"/>
          <w:highlight w:val="none"/>
        </w:rPr>
        <w:t>承诺</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六</w:t>
      </w:r>
      <w:r>
        <w:rPr>
          <w:rFonts w:ascii="宋体" w:hAnsi="宋体"/>
          <w:color w:val="auto"/>
          <w:szCs w:val="21"/>
          <w:highlight w:val="none"/>
        </w:rPr>
        <w:t>）其他资料</w:t>
      </w:r>
    </w:p>
    <w:p>
      <w:pPr>
        <w:spacing w:line="360" w:lineRule="auto"/>
        <w:jc w:val="center"/>
        <w:rPr>
          <w:rFonts w:ascii="宋体" w:hAnsi="宋体"/>
          <w:b/>
          <w:color w:val="auto"/>
          <w:kern w:val="0"/>
          <w:sz w:val="32"/>
          <w:szCs w:val="32"/>
          <w:highlight w:val="none"/>
        </w:rPr>
      </w:pPr>
    </w:p>
    <w:p>
      <w:pPr>
        <w:spacing w:line="360" w:lineRule="auto"/>
        <w:jc w:val="center"/>
        <w:rPr>
          <w:rFonts w:ascii="宋体" w:hAnsi="宋体"/>
          <w:b/>
          <w:color w:val="auto"/>
          <w:kern w:val="0"/>
          <w:sz w:val="32"/>
          <w:szCs w:val="32"/>
          <w:highlight w:val="none"/>
        </w:rPr>
      </w:pPr>
    </w:p>
    <w:p>
      <w:pPr>
        <w:pStyle w:val="4"/>
        <w:jc w:val="center"/>
        <w:rPr>
          <w:rFonts w:ascii="宋体" w:hAnsi="宋体"/>
          <w:snapToGrid w:val="0"/>
          <w:color w:val="auto"/>
          <w:kern w:val="0"/>
          <w:sz w:val="30"/>
          <w:szCs w:val="30"/>
          <w:highlight w:val="none"/>
        </w:rPr>
      </w:pPr>
      <w:r>
        <w:rPr>
          <w:rFonts w:ascii="宋体" w:hAnsi="宋体"/>
          <w:color w:val="auto"/>
          <w:highlight w:val="none"/>
        </w:rPr>
        <w:br w:type="page"/>
      </w:r>
      <w:bookmarkStart w:id="875" w:name="_Toc5633"/>
      <w:bookmarkStart w:id="876" w:name="_Toc57905929"/>
      <w:bookmarkStart w:id="877" w:name="_Toc287620830"/>
      <w:bookmarkStart w:id="878" w:name="_Toc287607883"/>
      <w:bookmarkStart w:id="879" w:name="_Toc224103511"/>
      <w:bookmarkStart w:id="880" w:name="_Toc430530546"/>
      <w:bookmarkStart w:id="881" w:name="_Toc277082657"/>
      <w:r>
        <w:rPr>
          <w:color w:val="auto"/>
          <w:sz w:val="30"/>
          <w:szCs w:val="30"/>
          <w:highlight w:val="none"/>
        </w:rPr>
        <w:t>（一）</w:t>
      </w:r>
      <w:r>
        <w:rPr>
          <w:rFonts w:hint="eastAsia"/>
          <w:color w:val="auto"/>
          <w:sz w:val="30"/>
          <w:szCs w:val="30"/>
          <w:highlight w:val="none"/>
        </w:rPr>
        <w:t>法定代表人身份证明或附有法定代表人身份证明的授权委托书</w:t>
      </w:r>
      <w:bookmarkEnd w:id="875"/>
      <w:bookmarkEnd w:id="876"/>
    </w:p>
    <w:p>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pPr>
        <w:spacing w:line="480" w:lineRule="auto"/>
        <w:jc w:val="center"/>
        <w:rPr>
          <w:rFonts w:ascii="宋体" w:hAnsi="宋体"/>
          <w:color w:val="auto"/>
          <w:highlight w:val="none"/>
        </w:rPr>
      </w:pPr>
    </w:p>
    <w:p>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投标人名称：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（投标人名称）</w:t>
      </w:r>
      <w:r>
        <w:rPr>
          <w:rFonts w:ascii="宋体" w:hAnsi="宋体"/>
          <w:color w:val="auto"/>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附：法定代表人身份证复印件（双面）</w:t>
      </w:r>
    </w:p>
    <w:p>
      <w:pPr>
        <w:autoSpaceDE w:val="0"/>
        <w:autoSpaceDN w:val="0"/>
        <w:adjustRightInd w:val="0"/>
        <w:snapToGrid w:val="0"/>
        <w:spacing w:line="360" w:lineRule="auto"/>
        <w:jc w:val="left"/>
        <w:rPr>
          <w:rFonts w:ascii="宋体" w:hAnsi="宋体"/>
          <w:color w:val="auto"/>
          <w:szCs w:val="21"/>
          <w:highlight w:val="none"/>
        </w:rPr>
      </w:pPr>
    </w:p>
    <w:p>
      <w:pPr>
        <w:pStyle w:val="17"/>
        <w:spacing w:after="0" w:line="360" w:lineRule="auto"/>
        <w:rPr>
          <w:rFonts w:ascii="宋体" w:hAnsi="宋体"/>
          <w:color w:val="auto"/>
          <w:szCs w:val="21"/>
          <w:highlight w:val="none"/>
        </w:rPr>
      </w:pPr>
    </w:p>
    <w:p>
      <w:pPr>
        <w:pStyle w:val="17"/>
        <w:spacing w:after="0" w:line="360" w:lineRule="auto"/>
        <w:rPr>
          <w:rFonts w:ascii="宋体" w:hAnsi="宋体"/>
          <w:color w:val="auto"/>
          <w:szCs w:val="21"/>
          <w:highlight w:val="none"/>
        </w:rPr>
      </w:pPr>
    </w:p>
    <w:p>
      <w:pPr>
        <w:pStyle w:val="17"/>
        <w:spacing w:after="0" w:line="360" w:lineRule="auto"/>
        <w:rPr>
          <w:rFonts w:ascii="宋体" w:hAnsi="宋体"/>
          <w:color w:val="auto"/>
          <w:szCs w:val="21"/>
          <w:highlight w:val="none"/>
        </w:rPr>
      </w:pPr>
    </w:p>
    <w:p>
      <w:pPr>
        <w:pStyle w:val="17"/>
        <w:spacing w:after="0" w:line="360" w:lineRule="auto"/>
        <w:rPr>
          <w:rFonts w:ascii="宋体" w:hAnsi="宋体"/>
          <w:color w:val="auto"/>
          <w:szCs w:val="21"/>
          <w:highlight w:val="none"/>
        </w:rPr>
      </w:pPr>
    </w:p>
    <w:p>
      <w:pPr>
        <w:pStyle w:val="17"/>
        <w:spacing w:after="0" w:line="360" w:lineRule="auto"/>
        <w:rPr>
          <w:rFonts w:ascii="宋体" w:hAnsi="宋体"/>
          <w:color w:val="auto"/>
          <w:szCs w:val="21"/>
          <w:highlight w:val="none"/>
        </w:rPr>
      </w:pPr>
    </w:p>
    <w:p>
      <w:pPr>
        <w:autoSpaceDE w:val="0"/>
        <w:autoSpaceDN w:val="0"/>
        <w:adjustRightInd w:val="0"/>
        <w:snapToGrid w:val="0"/>
        <w:spacing w:line="480" w:lineRule="auto"/>
        <w:ind w:firstLine="810" w:firstLineChars="386"/>
        <w:jc w:val="right"/>
        <w:rPr>
          <w:rFonts w:ascii="宋体" w:hAnsi="宋体"/>
          <w:color w:val="auto"/>
          <w:kern w:val="0"/>
          <w:szCs w:val="21"/>
          <w:highlight w:val="none"/>
        </w:rPr>
      </w:pPr>
      <w:r>
        <w:rPr>
          <w:rFonts w:ascii="宋体" w:hAnsi="宋体"/>
          <w:color w:val="auto"/>
          <w:kern w:val="0"/>
          <w:szCs w:val="21"/>
          <w:highlight w:val="none"/>
        </w:rPr>
        <w:t>投标</w:t>
      </w:r>
      <w:r>
        <w:rPr>
          <w:rFonts w:ascii="宋体" w:hAnsi="宋体"/>
          <w:color w:val="auto"/>
          <w:spacing w:val="-1"/>
          <w:kern w:val="0"/>
          <w:szCs w:val="21"/>
          <w:highlight w:val="none"/>
        </w:rPr>
        <w:t>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pPr>
        <w:autoSpaceDE w:val="0"/>
        <w:autoSpaceDN w:val="0"/>
        <w:adjustRightInd w:val="0"/>
        <w:snapToGrid w:val="0"/>
        <w:spacing w:line="480" w:lineRule="auto"/>
        <w:jc w:val="left"/>
        <w:rPr>
          <w:rFonts w:ascii="宋体" w:hAnsi="宋体"/>
          <w:color w:val="auto"/>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pPr>
        <w:autoSpaceDE w:val="0"/>
        <w:autoSpaceDN w:val="0"/>
        <w:adjustRightInd w:val="0"/>
        <w:snapToGrid w:val="0"/>
        <w:spacing w:line="360" w:lineRule="auto"/>
        <w:jc w:val="left"/>
        <w:rPr>
          <w:rFonts w:ascii="宋体" w:hAnsi="宋体"/>
          <w:color w:val="auto"/>
          <w:kern w:val="0"/>
          <w:highlight w:val="none"/>
        </w:rPr>
      </w:pPr>
    </w:p>
    <w:p>
      <w:pPr>
        <w:autoSpaceDE w:val="0"/>
        <w:autoSpaceDN w:val="0"/>
        <w:adjustRightInd w:val="0"/>
        <w:snapToGrid w:val="0"/>
        <w:spacing w:line="360" w:lineRule="auto"/>
        <w:jc w:val="left"/>
        <w:rPr>
          <w:rFonts w:ascii="宋体" w:hAnsi="宋体"/>
          <w:color w:val="auto"/>
          <w:kern w:val="0"/>
          <w:highlight w:val="none"/>
        </w:rPr>
      </w:pP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auto"/>
          <w:kern w:val="0"/>
          <w:szCs w:val="21"/>
          <w:highlight w:val="none"/>
        </w:rPr>
      </w:pPr>
      <w:r>
        <w:rPr>
          <w:color w:val="auto"/>
          <w:highlight w:val="none"/>
        </w:rPr>
        <w:t>注：法定代表人身份证明需按上述格式填写完整，不可缺少内容。在此基础上增加内容的不影响其有效性</w:t>
      </w:r>
      <w:bookmarkEnd w:id="877"/>
      <w:bookmarkEnd w:id="878"/>
      <w:bookmarkEnd w:id="879"/>
      <w:bookmarkEnd w:id="880"/>
      <w:bookmarkEnd w:id="881"/>
      <w:r>
        <w:rPr>
          <w:rFonts w:hint="eastAsia" w:ascii="宋体" w:hAnsi="宋体"/>
          <w:color w:val="auto"/>
          <w:kern w:val="0"/>
          <w:szCs w:val="21"/>
          <w:highlight w:val="none"/>
        </w:rPr>
        <w:t>。</w:t>
      </w: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ascii="宋体" w:hAnsi="宋体"/>
          <w:color w:val="auto"/>
          <w:spacing w:val="-1"/>
          <w:kern w:val="0"/>
          <w:szCs w:val="21"/>
          <w:highlight w:val="none"/>
          <w:u w:val="single"/>
        </w:rPr>
        <w:t>投</w:t>
      </w:r>
      <w:r>
        <w:rPr>
          <w:rFonts w:ascii="宋体" w:hAnsi="宋体"/>
          <w:color w:val="auto"/>
          <w:kern w:val="0"/>
          <w:szCs w:val="21"/>
          <w:highlight w:val="none"/>
          <w:u w:val="single"/>
        </w:rPr>
        <w:t>标人名称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ascii="宋体" w:hAnsi="宋体"/>
          <w:color w:val="auto"/>
          <w:kern w:val="0"/>
          <w:szCs w:val="21"/>
          <w:highlight w:val="none"/>
        </w:rPr>
        <w:t>投标文件、签订合同和处理有关事宜，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附：法定代表人和委托代理人身份证复印件（双面）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pPr>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2、法定代表人身份证明及授权委托书原件装入投标文件一并递交。另外须准备一份授权委托书原件在开标现场出具。</w:t>
      </w:r>
    </w:p>
    <w:p>
      <w:pPr>
        <w:spacing w:line="360" w:lineRule="auto"/>
        <w:ind w:firstLine="420" w:firstLineChars="200"/>
        <w:rPr>
          <w:rFonts w:ascii="宋体" w:hAnsi="宋体"/>
          <w:color w:val="auto"/>
          <w:highlight w:val="none"/>
        </w:rPr>
      </w:pPr>
      <w:r>
        <w:rPr>
          <w:rFonts w:hint="eastAsia" w:ascii="宋体" w:hAnsi="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pPr>
        <w:pStyle w:val="4"/>
        <w:spacing w:before="0" w:after="0" w:line="240" w:lineRule="auto"/>
        <w:jc w:val="center"/>
        <w:rPr>
          <w:rFonts w:ascii="宋体" w:hAnsi="宋体"/>
          <w:color w:val="auto"/>
          <w:highlight w:val="none"/>
        </w:rPr>
      </w:pPr>
      <w:bookmarkStart w:id="882" w:name="_Toc57905931"/>
      <w:bookmarkStart w:id="883" w:name="_Toc277082659"/>
      <w:bookmarkStart w:id="884" w:name="_Toc287607887"/>
      <w:r>
        <w:rPr>
          <w:rFonts w:hint="eastAsia" w:ascii="宋体" w:hAnsi="宋体"/>
          <w:b w:val="0"/>
          <w:bCs w:val="0"/>
          <w:color w:val="auto"/>
          <w:highlight w:val="none"/>
        </w:rPr>
        <w:t>（</w:t>
      </w:r>
      <w:r>
        <w:rPr>
          <w:rFonts w:hint="eastAsia" w:ascii="宋体" w:hAnsi="宋体"/>
          <w:b w:val="0"/>
          <w:bCs w:val="0"/>
          <w:color w:val="auto"/>
          <w:highlight w:val="none"/>
          <w:lang w:val="en-US" w:eastAsia="zh-CN"/>
        </w:rPr>
        <w:t>二</w:t>
      </w:r>
      <w:r>
        <w:rPr>
          <w:rFonts w:hint="eastAsia" w:ascii="宋体" w:hAnsi="宋体"/>
          <w:b w:val="0"/>
          <w:bCs w:val="0"/>
          <w:color w:val="auto"/>
          <w:highlight w:val="none"/>
        </w:rPr>
        <w:t>）投标人基本情况表</w:t>
      </w:r>
      <w:bookmarkEnd w:id="882"/>
    </w:p>
    <w:tbl>
      <w:tblPr>
        <w:tblStyle w:val="45"/>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投标人名称</w:t>
            </w:r>
          </w:p>
        </w:tc>
        <w:tc>
          <w:tcPr>
            <w:tcW w:w="7607" w:type="dxa"/>
            <w:gridSpan w:val="9"/>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注册地址</w:t>
            </w:r>
          </w:p>
        </w:tc>
        <w:tc>
          <w:tcPr>
            <w:tcW w:w="3450" w:type="dxa"/>
            <w:gridSpan w:val="5"/>
            <w:vAlign w:val="center"/>
          </w:tcPr>
          <w:p>
            <w:pPr>
              <w:autoSpaceDE w:val="0"/>
              <w:autoSpaceDN w:val="0"/>
              <w:adjustRightInd w:val="0"/>
              <w:snapToGrid w:val="0"/>
              <w:jc w:val="center"/>
              <w:rPr>
                <w:rFonts w:ascii="宋体" w:hAnsi="宋体"/>
                <w:color w:val="auto"/>
                <w:kern w:val="0"/>
                <w:szCs w:val="21"/>
                <w:highlight w:val="none"/>
              </w:rPr>
            </w:pPr>
          </w:p>
        </w:tc>
        <w:tc>
          <w:tcPr>
            <w:tcW w:w="139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邮政编码</w:t>
            </w:r>
          </w:p>
        </w:tc>
        <w:tc>
          <w:tcPr>
            <w:tcW w:w="2765" w:type="dxa"/>
            <w:gridSpan w:val="3"/>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联系方式</w:t>
            </w:r>
          </w:p>
        </w:tc>
        <w:tc>
          <w:tcPr>
            <w:tcW w:w="967"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联系人</w:t>
            </w:r>
          </w:p>
        </w:tc>
        <w:tc>
          <w:tcPr>
            <w:tcW w:w="2483"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9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电话</w:t>
            </w:r>
          </w:p>
        </w:tc>
        <w:tc>
          <w:tcPr>
            <w:tcW w:w="2765" w:type="dxa"/>
            <w:gridSpan w:val="3"/>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pPr>
              <w:autoSpaceDE w:val="0"/>
              <w:autoSpaceDN w:val="0"/>
              <w:adjustRightInd w:val="0"/>
              <w:snapToGrid w:val="0"/>
              <w:jc w:val="center"/>
              <w:rPr>
                <w:rFonts w:ascii="宋体" w:hAnsi="宋体"/>
                <w:color w:val="auto"/>
                <w:kern w:val="0"/>
                <w:szCs w:val="21"/>
                <w:highlight w:val="none"/>
              </w:rPr>
            </w:pPr>
          </w:p>
        </w:tc>
        <w:tc>
          <w:tcPr>
            <w:tcW w:w="967" w:type="dxa"/>
            <w:vAlign w:val="center"/>
          </w:tcPr>
          <w:p>
            <w:pPr>
              <w:tabs>
                <w:tab w:val="left" w:pos="5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传  真</w:t>
            </w:r>
          </w:p>
        </w:tc>
        <w:tc>
          <w:tcPr>
            <w:tcW w:w="2483"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9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网址</w:t>
            </w:r>
          </w:p>
        </w:tc>
        <w:tc>
          <w:tcPr>
            <w:tcW w:w="2765" w:type="dxa"/>
            <w:gridSpan w:val="3"/>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组织结构</w:t>
            </w:r>
          </w:p>
        </w:tc>
        <w:tc>
          <w:tcPr>
            <w:tcW w:w="7607" w:type="dxa"/>
            <w:gridSpan w:val="9"/>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法定代表人</w:t>
            </w:r>
          </w:p>
        </w:tc>
        <w:tc>
          <w:tcPr>
            <w:tcW w:w="967"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pPr>
              <w:autoSpaceDE w:val="0"/>
              <w:autoSpaceDN w:val="0"/>
              <w:adjustRightInd w:val="0"/>
              <w:snapToGrid w:val="0"/>
              <w:jc w:val="center"/>
              <w:rPr>
                <w:rFonts w:ascii="宋体" w:hAnsi="宋体"/>
                <w:color w:val="auto"/>
                <w:kern w:val="0"/>
                <w:szCs w:val="21"/>
                <w:highlight w:val="none"/>
              </w:rPr>
            </w:pPr>
          </w:p>
        </w:tc>
        <w:tc>
          <w:tcPr>
            <w:tcW w:w="925"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技术负责人</w:t>
            </w:r>
          </w:p>
        </w:tc>
        <w:tc>
          <w:tcPr>
            <w:tcW w:w="967"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pPr>
              <w:autoSpaceDE w:val="0"/>
              <w:autoSpaceDN w:val="0"/>
              <w:adjustRightInd w:val="0"/>
              <w:snapToGrid w:val="0"/>
              <w:jc w:val="center"/>
              <w:rPr>
                <w:rFonts w:ascii="宋体" w:hAnsi="宋体"/>
                <w:color w:val="auto"/>
                <w:kern w:val="0"/>
                <w:szCs w:val="21"/>
                <w:highlight w:val="none"/>
              </w:rPr>
            </w:pPr>
          </w:p>
        </w:tc>
        <w:tc>
          <w:tcPr>
            <w:tcW w:w="925"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成立时间</w:t>
            </w:r>
          </w:p>
        </w:tc>
        <w:tc>
          <w:tcPr>
            <w:tcW w:w="1991"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5616" w:type="dxa"/>
            <w:gridSpan w:val="7"/>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企业资质等级</w:t>
            </w:r>
          </w:p>
        </w:tc>
        <w:tc>
          <w:tcPr>
            <w:tcW w:w="1991"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904" w:type="dxa"/>
            <w:vMerge w:val="restart"/>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其中</w:t>
            </w:r>
          </w:p>
        </w:tc>
        <w:tc>
          <w:tcPr>
            <w:tcW w:w="2476" w:type="dxa"/>
            <w:gridSpan w:val="4"/>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项目经理</w:t>
            </w:r>
          </w:p>
        </w:tc>
        <w:tc>
          <w:tcPr>
            <w:tcW w:w="223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统一社会信用代码</w:t>
            </w:r>
          </w:p>
        </w:tc>
        <w:tc>
          <w:tcPr>
            <w:tcW w:w="1991"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高级职称人员</w:t>
            </w:r>
          </w:p>
        </w:tc>
        <w:tc>
          <w:tcPr>
            <w:tcW w:w="223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注册资金</w:t>
            </w:r>
          </w:p>
        </w:tc>
        <w:tc>
          <w:tcPr>
            <w:tcW w:w="1991"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中级职称人员</w:t>
            </w:r>
          </w:p>
        </w:tc>
        <w:tc>
          <w:tcPr>
            <w:tcW w:w="223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开户银行</w:t>
            </w:r>
          </w:p>
        </w:tc>
        <w:tc>
          <w:tcPr>
            <w:tcW w:w="1991"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初级职称人员</w:t>
            </w:r>
          </w:p>
        </w:tc>
        <w:tc>
          <w:tcPr>
            <w:tcW w:w="223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账号</w:t>
            </w:r>
          </w:p>
        </w:tc>
        <w:tc>
          <w:tcPr>
            <w:tcW w:w="1991"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pPr>
              <w:tabs>
                <w:tab w:val="left" w:pos="12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w:t>
            </w:r>
            <w:r>
              <w:rPr>
                <w:rFonts w:ascii="宋体" w:hAnsi="宋体"/>
                <w:color w:val="auto"/>
                <w:kern w:val="0"/>
                <w:szCs w:val="21"/>
                <w:highlight w:val="none"/>
              </w:rPr>
              <w:tab/>
            </w:r>
            <w:r>
              <w:rPr>
                <w:rFonts w:hint="eastAsia" w:ascii="宋体" w:hAnsi="宋体" w:cs="MingLiU"/>
                <w:color w:val="auto"/>
                <w:kern w:val="0"/>
                <w:szCs w:val="21"/>
                <w:highlight w:val="none"/>
              </w:rPr>
              <w:t>工</w:t>
            </w:r>
          </w:p>
        </w:tc>
        <w:tc>
          <w:tcPr>
            <w:tcW w:w="223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经营范围</w:t>
            </w:r>
          </w:p>
        </w:tc>
        <w:tc>
          <w:tcPr>
            <w:tcW w:w="7607" w:type="dxa"/>
            <w:gridSpan w:val="9"/>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c>
          <w:tcPr>
            <w:tcW w:w="7607" w:type="dxa"/>
            <w:gridSpan w:val="9"/>
            <w:vAlign w:val="center"/>
          </w:tcPr>
          <w:p>
            <w:pPr>
              <w:autoSpaceDE w:val="0"/>
              <w:autoSpaceDN w:val="0"/>
              <w:adjustRightInd w:val="0"/>
              <w:snapToGrid w:val="0"/>
              <w:jc w:val="center"/>
              <w:rPr>
                <w:rFonts w:ascii="宋体" w:hAnsi="宋体"/>
                <w:color w:val="auto"/>
                <w:kern w:val="0"/>
                <w:szCs w:val="21"/>
                <w:highlight w:val="none"/>
              </w:rPr>
            </w:pPr>
          </w:p>
        </w:tc>
      </w:tr>
    </w:tbl>
    <w:p>
      <w:pPr>
        <w:spacing w:line="360" w:lineRule="auto"/>
        <w:jc w:val="center"/>
        <w:rPr>
          <w:rFonts w:ascii="宋体" w:hAnsi="宋体"/>
          <w:color w:val="auto"/>
          <w:szCs w:val="21"/>
          <w:highlight w:val="none"/>
        </w:rPr>
      </w:pPr>
    </w:p>
    <w:p>
      <w:pPr>
        <w:pStyle w:val="4"/>
        <w:spacing w:before="0" w:after="0" w:line="240" w:lineRule="auto"/>
        <w:jc w:val="center"/>
        <w:rPr>
          <w:rFonts w:ascii="宋体" w:hAnsi="宋体"/>
          <w:b w:val="0"/>
          <w:bCs w:val="0"/>
          <w:color w:val="auto"/>
          <w:highlight w:val="none"/>
        </w:rPr>
      </w:pPr>
      <w:r>
        <w:rPr>
          <w:rFonts w:ascii="宋体" w:hAnsi="宋体"/>
          <w:color w:val="auto"/>
          <w:szCs w:val="21"/>
          <w:highlight w:val="none"/>
        </w:rPr>
        <w:br w:type="page"/>
      </w:r>
      <w:bookmarkStart w:id="885" w:name="_Toc534185840"/>
      <w:bookmarkStart w:id="886" w:name="_Toc509218863"/>
      <w:bookmarkStart w:id="887" w:name="_Toc57905932"/>
      <w:r>
        <w:rPr>
          <w:rFonts w:hint="eastAsia" w:ascii="宋体" w:hAnsi="宋体"/>
          <w:b w:val="0"/>
          <w:bCs w:val="0"/>
          <w:color w:val="auto"/>
          <w:highlight w:val="none"/>
        </w:rPr>
        <w:t>（</w:t>
      </w:r>
      <w:r>
        <w:rPr>
          <w:rFonts w:hint="eastAsia" w:ascii="宋体" w:hAnsi="宋体"/>
          <w:b w:val="0"/>
          <w:bCs w:val="0"/>
          <w:color w:val="auto"/>
          <w:highlight w:val="none"/>
          <w:lang w:val="en-US" w:eastAsia="zh-CN"/>
        </w:rPr>
        <w:t>三</w:t>
      </w:r>
      <w:r>
        <w:rPr>
          <w:rFonts w:hint="eastAsia" w:ascii="宋体" w:hAnsi="宋体"/>
          <w:b w:val="0"/>
          <w:bCs w:val="0"/>
          <w:color w:val="auto"/>
          <w:highlight w:val="none"/>
        </w:rPr>
        <w:t>）项目管理机构</w:t>
      </w:r>
      <w:bookmarkEnd w:id="885"/>
      <w:bookmarkEnd w:id="886"/>
      <w:bookmarkEnd w:id="887"/>
    </w:p>
    <w:p>
      <w:pPr>
        <w:spacing w:line="360" w:lineRule="auto"/>
        <w:rPr>
          <w:rFonts w:ascii="宋体" w:hAnsi="宋体"/>
          <w:color w:val="auto"/>
          <w:highlight w:val="none"/>
        </w:rPr>
      </w:pPr>
    </w:p>
    <w:p>
      <w:pPr>
        <w:autoSpaceDE w:val="0"/>
        <w:autoSpaceDN w:val="0"/>
        <w:adjustRightInd w:val="0"/>
        <w:snapToGrid w:val="0"/>
        <w:spacing w:line="360" w:lineRule="auto"/>
        <w:jc w:val="center"/>
        <w:rPr>
          <w:rFonts w:ascii="宋体" w:hAnsi="宋体" w:cs="MingLiU"/>
          <w:color w:val="auto"/>
          <w:kern w:val="0"/>
          <w:sz w:val="28"/>
          <w:szCs w:val="28"/>
          <w:highlight w:val="none"/>
        </w:rPr>
      </w:pPr>
      <w:r>
        <w:rPr>
          <w:rFonts w:hint="eastAsia" w:ascii="宋体" w:hAnsi="宋体" w:cs="MingLiU"/>
          <w:color w:val="auto"/>
          <w:kern w:val="0"/>
          <w:sz w:val="28"/>
          <w:szCs w:val="28"/>
          <w:highlight w:val="none"/>
        </w:rPr>
        <w:t>项目管理机构组成表</w:t>
      </w:r>
    </w:p>
    <w:tbl>
      <w:tblPr>
        <w:tblStyle w:val="45"/>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274"/>
        <w:gridCol w:w="1105"/>
        <w:gridCol w:w="1173"/>
        <w:gridCol w:w="1254"/>
        <w:gridCol w:w="1414"/>
        <w:gridCol w:w="89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职务</w:t>
            </w:r>
          </w:p>
        </w:tc>
        <w:tc>
          <w:tcPr>
            <w:tcW w:w="734" w:type="dxa"/>
            <w:vMerge w:val="restart"/>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姓名</w:t>
            </w:r>
          </w:p>
        </w:tc>
        <w:tc>
          <w:tcPr>
            <w:tcW w:w="776" w:type="dxa"/>
            <w:vMerge w:val="restart"/>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职称</w:t>
            </w:r>
          </w:p>
        </w:tc>
        <w:tc>
          <w:tcPr>
            <w:tcW w:w="6220" w:type="dxa"/>
            <w:gridSpan w:val="5"/>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执业或职业资格证明</w:t>
            </w:r>
          </w:p>
        </w:tc>
        <w:tc>
          <w:tcPr>
            <w:tcW w:w="896"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pPr>
              <w:autoSpaceDE w:val="0"/>
              <w:autoSpaceDN w:val="0"/>
              <w:adjustRightInd w:val="0"/>
              <w:snapToGrid w:val="0"/>
              <w:jc w:val="left"/>
              <w:rPr>
                <w:rFonts w:ascii="宋体" w:hAnsi="宋体"/>
                <w:color w:val="auto"/>
                <w:kern w:val="0"/>
                <w:szCs w:val="21"/>
                <w:highlight w:val="none"/>
              </w:rPr>
            </w:pPr>
          </w:p>
        </w:tc>
        <w:tc>
          <w:tcPr>
            <w:tcW w:w="734" w:type="dxa"/>
            <w:vMerge w:val="continue"/>
          </w:tcPr>
          <w:p>
            <w:pPr>
              <w:autoSpaceDE w:val="0"/>
              <w:autoSpaceDN w:val="0"/>
              <w:adjustRightInd w:val="0"/>
              <w:snapToGrid w:val="0"/>
              <w:jc w:val="left"/>
              <w:rPr>
                <w:rFonts w:ascii="宋体" w:hAnsi="宋体"/>
                <w:color w:val="auto"/>
                <w:kern w:val="0"/>
                <w:szCs w:val="21"/>
                <w:highlight w:val="none"/>
              </w:rPr>
            </w:pPr>
          </w:p>
        </w:tc>
        <w:tc>
          <w:tcPr>
            <w:tcW w:w="776" w:type="dxa"/>
            <w:vMerge w:val="continue"/>
          </w:tcPr>
          <w:p>
            <w:pPr>
              <w:autoSpaceDE w:val="0"/>
              <w:autoSpaceDN w:val="0"/>
              <w:adjustRightInd w:val="0"/>
              <w:snapToGrid w:val="0"/>
              <w:jc w:val="left"/>
              <w:rPr>
                <w:rFonts w:ascii="宋体" w:hAnsi="宋体"/>
                <w:color w:val="auto"/>
                <w:kern w:val="0"/>
                <w:szCs w:val="21"/>
                <w:highlight w:val="none"/>
              </w:rPr>
            </w:pPr>
          </w:p>
        </w:tc>
        <w:tc>
          <w:tcPr>
            <w:tcW w:w="1274"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证书名称</w:t>
            </w:r>
          </w:p>
        </w:tc>
        <w:tc>
          <w:tcPr>
            <w:tcW w:w="1105"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级别</w:t>
            </w:r>
          </w:p>
        </w:tc>
        <w:tc>
          <w:tcPr>
            <w:tcW w:w="1173"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证号</w:t>
            </w:r>
          </w:p>
        </w:tc>
        <w:tc>
          <w:tcPr>
            <w:tcW w:w="1254"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专业</w:t>
            </w:r>
          </w:p>
        </w:tc>
        <w:tc>
          <w:tcPr>
            <w:tcW w:w="1414"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养老保险</w:t>
            </w: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pPr>
              <w:autoSpaceDE w:val="0"/>
              <w:autoSpaceDN w:val="0"/>
              <w:adjustRightInd w:val="0"/>
              <w:snapToGrid w:val="0"/>
              <w:jc w:val="center"/>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hint="eastAsia" w:ascii="宋体" w:hAnsi="宋体" w:eastAsia="宋体"/>
                <w:color w:val="auto"/>
                <w:kern w:val="0"/>
                <w:szCs w:val="21"/>
                <w:highlight w:val="none"/>
                <w:lang w:val="en-US" w:eastAsia="zh-CN"/>
              </w:rPr>
            </w:pPr>
          </w:p>
        </w:tc>
        <w:tc>
          <w:tcPr>
            <w:tcW w:w="1274" w:type="dxa"/>
          </w:tcPr>
          <w:p>
            <w:pPr>
              <w:autoSpaceDE w:val="0"/>
              <w:autoSpaceDN w:val="0"/>
              <w:adjustRightInd w:val="0"/>
              <w:snapToGrid w:val="0"/>
              <w:jc w:val="left"/>
              <w:rPr>
                <w:rFonts w:ascii="宋体" w:hAnsi="宋体"/>
                <w:color w:val="auto"/>
                <w:kern w:val="0"/>
                <w:szCs w:val="21"/>
                <w:highlight w:val="none"/>
              </w:rPr>
            </w:pPr>
          </w:p>
        </w:tc>
        <w:tc>
          <w:tcPr>
            <w:tcW w:w="1105" w:type="dxa"/>
          </w:tcPr>
          <w:p>
            <w:pPr>
              <w:autoSpaceDE w:val="0"/>
              <w:autoSpaceDN w:val="0"/>
              <w:adjustRightInd w:val="0"/>
              <w:snapToGrid w:val="0"/>
              <w:jc w:val="left"/>
              <w:rPr>
                <w:rFonts w:ascii="宋体" w:hAnsi="宋体"/>
                <w:color w:val="auto"/>
                <w:kern w:val="0"/>
                <w:szCs w:val="21"/>
                <w:highlight w:val="none"/>
              </w:rPr>
            </w:pPr>
          </w:p>
        </w:tc>
        <w:tc>
          <w:tcPr>
            <w:tcW w:w="1173" w:type="dxa"/>
          </w:tcPr>
          <w:p>
            <w:pPr>
              <w:autoSpaceDE w:val="0"/>
              <w:autoSpaceDN w:val="0"/>
              <w:adjustRightInd w:val="0"/>
              <w:snapToGrid w:val="0"/>
              <w:jc w:val="left"/>
              <w:rPr>
                <w:rFonts w:ascii="宋体" w:hAnsi="宋体"/>
                <w:color w:val="auto"/>
                <w:kern w:val="0"/>
                <w:szCs w:val="21"/>
                <w:highlight w:val="none"/>
              </w:rPr>
            </w:pPr>
          </w:p>
        </w:tc>
        <w:tc>
          <w:tcPr>
            <w:tcW w:w="1254" w:type="dxa"/>
          </w:tcPr>
          <w:p>
            <w:pPr>
              <w:autoSpaceDE w:val="0"/>
              <w:autoSpaceDN w:val="0"/>
              <w:adjustRightInd w:val="0"/>
              <w:snapToGrid w:val="0"/>
              <w:jc w:val="left"/>
              <w:rPr>
                <w:rFonts w:ascii="宋体" w:hAnsi="宋体"/>
                <w:color w:val="auto"/>
                <w:kern w:val="0"/>
                <w:szCs w:val="21"/>
                <w:highlight w:val="none"/>
              </w:rPr>
            </w:pPr>
          </w:p>
        </w:tc>
        <w:tc>
          <w:tcPr>
            <w:tcW w:w="1414"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pPr>
              <w:autoSpaceDE w:val="0"/>
              <w:autoSpaceDN w:val="0"/>
              <w:adjustRightInd w:val="0"/>
              <w:snapToGrid w:val="0"/>
              <w:jc w:val="center"/>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274" w:type="dxa"/>
          </w:tcPr>
          <w:p>
            <w:pPr>
              <w:autoSpaceDE w:val="0"/>
              <w:autoSpaceDN w:val="0"/>
              <w:adjustRightInd w:val="0"/>
              <w:snapToGrid w:val="0"/>
              <w:jc w:val="left"/>
              <w:rPr>
                <w:rFonts w:ascii="宋体" w:hAnsi="宋体"/>
                <w:color w:val="auto"/>
                <w:kern w:val="0"/>
                <w:szCs w:val="21"/>
                <w:highlight w:val="none"/>
              </w:rPr>
            </w:pPr>
          </w:p>
        </w:tc>
        <w:tc>
          <w:tcPr>
            <w:tcW w:w="1105" w:type="dxa"/>
          </w:tcPr>
          <w:p>
            <w:pPr>
              <w:autoSpaceDE w:val="0"/>
              <w:autoSpaceDN w:val="0"/>
              <w:adjustRightInd w:val="0"/>
              <w:snapToGrid w:val="0"/>
              <w:jc w:val="left"/>
              <w:rPr>
                <w:rFonts w:ascii="宋体" w:hAnsi="宋体"/>
                <w:color w:val="auto"/>
                <w:kern w:val="0"/>
                <w:szCs w:val="21"/>
                <w:highlight w:val="none"/>
              </w:rPr>
            </w:pPr>
          </w:p>
        </w:tc>
        <w:tc>
          <w:tcPr>
            <w:tcW w:w="1173" w:type="dxa"/>
          </w:tcPr>
          <w:p>
            <w:pPr>
              <w:autoSpaceDE w:val="0"/>
              <w:autoSpaceDN w:val="0"/>
              <w:adjustRightInd w:val="0"/>
              <w:snapToGrid w:val="0"/>
              <w:jc w:val="left"/>
              <w:rPr>
                <w:rFonts w:ascii="宋体" w:hAnsi="宋体"/>
                <w:color w:val="auto"/>
                <w:kern w:val="0"/>
                <w:szCs w:val="21"/>
                <w:highlight w:val="none"/>
              </w:rPr>
            </w:pPr>
          </w:p>
        </w:tc>
        <w:tc>
          <w:tcPr>
            <w:tcW w:w="1254" w:type="dxa"/>
          </w:tcPr>
          <w:p>
            <w:pPr>
              <w:autoSpaceDE w:val="0"/>
              <w:autoSpaceDN w:val="0"/>
              <w:adjustRightInd w:val="0"/>
              <w:snapToGrid w:val="0"/>
              <w:jc w:val="left"/>
              <w:rPr>
                <w:rFonts w:ascii="宋体" w:hAnsi="宋体"/>
                <w:color w:val="auto"/>
                <w:kern w:val="0"/>
                <w:szCs w:val="21"/>
                <w:highlight w:val="none"/>
              </w:rPr>
            </w:pPr>
          </w:p>
        </w:tc>
        <w:tc>
          <w:tcPr>
            <w:tcW w:w="1414"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274" w:type="dxa"/>
          </w:tcPr>
          <w:p>
            <w:pPr>
              <w:autoSpaceDE w:val="0"/>
              <w:autoSpaceDN w:val="0"/>
              <w:adjustRightInd w:val="0"/>
              <w:snapToGrid w:val="0"/>
              <w:jc w:val="left"/>
              <w:rPr>
                <w:rFonts w:ascii="宋体" w:hAnsi="宋体"/>
                <w:color w:val="auto"/>
                <w:kern w:val="0"/>
                <w:szCs w:val="21"/>
                <w:highlight w:val="none"/>
              </w:rPr>
            </w:pPr>
          </w:p>
        </w:tc>
        <w:tc>
          <w:tcPr>
            <w:tcW w:w="1105" w:type="dxa"/>
          </w:tcPr>
          <w:p>
            <w:pPr>
              <w:autoSpaceDE w:val="0"/>
              <w:autoSpaceDN w:val="0"/>
              <w:adjustRightInd w:val="0"/>
              <w:snapToGrid w:val="0"/>
              <w:jc w:val="left"/>
              <w:rPr>
                <w:rFonts w:ascii="宋体" w:hAnsi="宋体"/>
                <w:color w:val="auto"/>
                <w:kern w:val="0"/>
                <w:szCs w:val="21"/>
                <w:highlight w:val="none"/>
              </w:rPr>
            </w:pPr>
          </w:p>
        </w:tc>
        <w:tc>
          <w:tcPr>
            <w:tcW w:w="1173" w:type="dxa"/>
          </w:tcPr>
          <w:p>
            <w:pPr>
              <w:autoSpaceDE w:val="0"/>
              <w:autoSpaceDN w:val="0"/>
              <w:adjustRightInd w:val="0"/>
              <w:snapToGrid w:val="0"/>
              <w:jc w:val="left"/>
              <w:rPr>
                <w:rFonts w:ascii="宋体" w:hAnsi="宋体"/>
                <w:color w:val="auto"/>
                <w:kern w:val="0"/>
                <w:szCs w:val="21"/>
                <w:highlight w:val="none"/>
              </w:rPr>
            </w:pPr>
          </w:p>
        </w:tc>
        <w:tc>
          <w:tcPr>
            <w:tcW w:w="1254" w:type="dxa"/>
          </w:tcPr>
          <w:p>
            <w:pPr>
              <w:autoSpaceDE w:val="0"/>
              <w:autoSpaceDN w:val="0"/>
              <w:adjustRightInd w:val="0"/>
              <w:snapToGrid w:val="0"/>
              <w:jc w:val="left"/>
              <w:rPr>
                <w:rFonts w:ascii="宋体" w:hAnsi="宋体"/>
                <w:color w:val="auto"/>
                <w:kern w:val="0"/>
                <w:szCs w:val="21"/>
                <w:highlight w:val="none"/>
              </w:rPr>
            </w:pPr>
          </w:p>
        </w:tc>
        <w:tc>
          <w:tcPr>
            <w:tcW w:w="1414"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274" w:type="dxa"/>
          </w:tcPr>
          <w:p>
            <w:pPr>
              <w:autoSpaceDE w:val="0"/>
              <w:autoSpaceDN w:val="0"/>
              <w:adjustRightInd w:val="0"/>
              <w:snapToGrid w:val="0"/>
              <w:jc w:val="left"/>
              <w:rPr>
                <w:rFonts w:ascii="宋体" w:hAnsi="宋体"/>
                <w:color w:val="auto"/>
                <w:kern w:val="0"/>
                <w:szCs w:val="21"/>
                <w:highlight w:val="none"/>
              </w:rPr>
            </w:pPr>
          </w:p>
        </w:tc>
        <w:tc>
          <w:tcPr>
            <w:tcW w:w="1105" w:type="dxa"/>
          </w:tcPr>
          <w:p>
            <w:pPr>
              <w:autoSpaceDE w:val="0"/>
              <w:autoSpaceDN w:val="0"/>
              <w:adjustRightInd w:val="0"/>
              <w:snapToGrid w:val="0"/>
              <w:jc w:val="left"/>
              <w:rPr>
                <w:rFonts w:ascii="宋体" w:hAnsi="宋体"/>
                <w:color w:val="auto"/>
                <w:kern w:val="0"/>
                <w:szCs w:val="21"/>
                <w:highlight w:val="none"/>
              </w:rPr>
            </w:pPr>
          </w:p>
        </w:tc>
        <w:tc>
          <w:tcPr>
            <w:tcW w:w="1173" w:type="dxa"/>
          </w:tcPr>
          <w:p>
            <w:pPr>
              <w:autoSpaceDE w:val="0"/>
              <w:autoSpaceDN w:val="0"/>
              <w:adjustRightInd w:val="0"/>
              <w:snapToGrid w:val="0"/>
              <w:jc w:val="left"/>
              <w:rPr>
                <w:rFonts w:ascii="宋体" w:hAnsi="宋体"/>
                <w:color w:val="auto"/>
                <w:kern w:val="0"/>
                <w:szCs w:val="21"/>
                <w:highlight w:val="none"/>
              </w:rPr>
            </w:pPr>
          </w:p>
        </w:tc>
        <w:tc>
          <w:tcPr>
            <w:tcW w:w="1254" w:type="dxa"/>
          </w:tcPr>
          <w:p>
            <w:pPr>
              <w:autoSpaceDE w:val="0"/>
              <w:autoSpaceDN w:val="0"/>
              <w:adjustRightInd w:val="0"/>
              <w:snapToGrid w:val="0"/>
              <w:jc w:val="left"/>
              <w:rPr>
                <w:rFonts w:ascii="宋体" w:hAnsi="宋体"/>
                <w:color w:val="auto"/>
                <w:kern w:val="0"/>
                <w:szCs w:val="21"/>
                <w:highlight w:val="none"/>
              </w:rPr>
            </w:pPr>
          </w:p>
        </w:tc>
        <w:tc>
          <w:tcPr>
            <w:tcW w:w="1414"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274" w:type="dxa"/>
          </w:tcPr>
          <w:p>
            <w:pPr>
              <w:autoSpaceDE w:val="0"/>
              <w:autoSpaceDN w:val="0"/>
              <w:adjustRightInd w:val="0"/>
              <w:snapToGrid w:val="0"/>
              <w:jc w:val="left"/>
              <w:rPr>
                <w:rFonts w:ascii="宋体" w:hAnsi="宋体"/>
                <w:color w:val="auto"/>
                <w:kern w:val="0"/>
                <w:szCs w:val="21"/>
                <w:highlight w:val="none"/>
              </w:rPr>
            </w:pPr>
          </w:p>
        </w:tc>
        <w:tc>
          <w:tcPr>
            <w:tcW w:w="1105" w:type="dxa"/>
          </w:tcPr>
          <w:p>
            <w:pPr>
              <w:autoSpaceDE w:val="0"/>
              <w:autoSpaceDN w:val="0"/>
              <w:adjustRightInd w:val="0"/>
              <w:snapToGrid w:val="0"/>
              <w:jc w:val="left"/>
              <w:rPr>
                <w:rFonts w:ascii="宋体" w:hAnsi="宋体"/>
                <w:color w:val="auto"/>
                <w:kern w:val="0"/>
                <w:szCs w:val="21"/>
                <w:highlight w:val="none"/>
              </w:rPr>
            </w:pPr>
          </w:p>
        </w:tc>
        <w:tc>
          <w:tcPr>
            <w:tcW w:w="1173" w:type="dxa"/>
          </w:tcPr>
          <w:p>
            <w:pPr>
              <w:autoSpaceDE w:val="0"/>
              <w:autoSpaceDN w:val="0"/>
              <w:adjustRightInd w:val="0"/>
              <w:snapToGrid w:val="0"/>
              <w:jc w:val="left"/>
              <w:rPr>
                <w:rFonts w:ascii="宋体" w:hAnsi="宋体"/>
                <w:color w:val="auto"/>
                <w:kern w:val="0"/>
                <w:szCs w:val="21"/>
                <w:highlight w:val="none"/>
              </w:rPr>
            </w:pPr>
          </w:p>
        </w:tc>
        <w:tc>
          <w:tcPr>
            <w:tcW w:w="1254" w:type="dxa"/>
          </w:tcPr>
          <w:p>
            <w:pPr>
              <w:autoSpaceDE w:val="0"/>
              <w:autoSpaceDN w:val="0"/>
              <w:adjustRightInd w:val="0"/>
              <w:snapToGrid w:val="0"/>
              <w:jc w:val="left"/>
              <w:rPr>
                <w:rFonts w:ascii="宋体" w:hAnsi="宋体"/>
                <w:color w:val="auto"/>
                <w:kern w:val="0"/>
                <w:szCs w:val="21"/>
                <w:highlight w:val="none"/>
              </w:rPr>
            </w:pPr>
          </w:p>
        </w:tc>
        <w:tc>
          <w:tcPr>
            <w:tcW w:w="1414"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274" w:type="dxa"/>
          </w:tcPr>
          <w:p>
            <w:pPr>
              <w:autoSpaceDE w:val="0"/>
              <w:autoSpaceDN w:val="0"/>
              <w:adjustRightInd w:val="0"/>
              <w:snapToGrid w:val="0"/>
              <w:jc w:val="left"/>
              <w:rPr>
                <w:rFonts w:ascii="宋体" w:hAnsi="宋体"/>
                <w:color w:val="auto"/>
                <w:kern w:val="0"/>
                <w:szCs w:val="21"/>
                <w:highlight w:val="none"/>
              </w:rPr>
            </w:pPr>
          </w:p>
        </w:tc>
        <w:tc>
          <w:tcPr>
            <w:tcW w:w="1105" w:type="dxa"/>
          </w:tcPr>
          <w:p>
            <w:pPr>
              <w:autoSpaceDE w:val="0"/>
              <w:autoSpaceDN w:val="0"/>
              <w:adjustRightInd w:val="0"/>
              <w:snapToGrid w:val="0"/>
              <w:jc w:val="left"/>
              <w:rPr>
                <w:rFonts w:ascii="宋体" w:hAnsi="宋体"/>
                <w:color w:val="auto"/>
                <w:kern w:val="0"/>
                <w:szCs w:val="21"/>
                <w:highlight w:val="none"/>
              </w:rPr>
            </w:pPr>
          </w:p>
        </w:tc>
        <w:tc>
          <w:tcPr>
            <w:tcW w:w="1173" w:type="dxa"/>
          </w:tcPr>
          <w:p>
            <w:pPr>
              <w:autoSpaceDE w:val="0"/>
              <w:autoSpaceDN w:val="0"/>
              <w:adjustRightInd w:val="0"/>
              <w:snapToGrid w:val="0"/>
              <w:jc w:val="left"/>
              <w:rPr>
                <w:rFonts w:ascii="宋体" w:hAnsi="宋体"/>
                <w:color w:val="auto"/>
                <w:kern w:val="0"/>
                <w:szCs w:val="21"/>
                <w:highlight w:val="none"/>
              </w:rPr>
            </w:pPr>
          </w:p>
        </w:tc>
        <w:tc>
          <w:tcPr>
            <w:tcW w:w="1254" w:type="dxa"/>
          </w:tcPr>
          <w:p>
            <w:pPr>
              <w:autoSpaceDE w:val="0"/>
              <w:autoSpaceDN w:val="0"/>
              <w:adjustRightInd w:val="0"/>
              <w:snapToGrid w:val="0"/>
              <w:jc w:val="left"/>
              <w:rPr>
                <w:rFonts w:ascii="宋体" w:hAnsi="宋体"/>
                <w:color w:val="auto"/>
                <w:kern w:val="0"/>
                <w:szCs w:val="21"/>
                <w:highlight w:val="none"/>
              </w:rPr>
            </w:pPr>
          </w:p>
        </w:tc>
        <w:tc>
          <w:tcPr>
            <w:tcW w:w="1414"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274" w:type="dxa"/>
          </w:tcPr>
          <w:p>
            <w:pPr>
              <w:autoSpaceDE w:val="0"/>
              <w:autoSpaceDN w:val="0"/>
              <w:adjustRightInd w:val="0"/>
              <w:snapToGrid w:val="0"/>
              <w:jc w:val="left"/>
              <w:rPr>
                <w:rFonts w:ascii="宋体" w:hAnsi="宋体"/>
                <w:color w:val="auto"/>
                <w:kern w:val="0"/>
                <w:szCs w:val="21"/>
                <w:highlight w:val="none"/>
              </w:rPr>
            </w:pPr>
          </w:p>
        </w:tc>
        <w:tc>
          <w:tcPr>
            <w:tcW w:w="1105" w:type="dxa"/>
          </w:tcPr>
          <w:p>
            <w:pPr>
              <w:autoSpaceDE w:val="0"/>
              <w:autoSpaceDN w:val="0"/>
              <w:adjustRightInd w:val="0"/>
              <w:snapToGrid w:val="0"/>
              <w:jc w:val="left"/>
              <w:rPr>
                <w:rFonts w:ascii="宋体" w:hAnsi="宋体"/>
                <w:color w:val="auto"/>
                <w:kern w:val="0"/>
                <w:szCs w:val="21"/>
                <w:highlight w:val="none"/>
              </w:rPr>
            </w:pPr>
          </w:p>
        </w:tc>
        <w:tc>
          <w:tcPr>
            <w:tcW w:w="1173" w:type="dxa"/>
          </w:tcPr>
          <w:p>
            <w:pPr>
              <w:autoSpaceDE w:val="0"/>
              <w:autoSpaceDN w:val="0"/>
              <w:adjustRightInd w:val="0"/>
              <w:snapToGrid w:val="0"/>
              <w:jc w:val="left"/>
              <w:rPr>
                <w:rFonts w:ascii="宋体" w:hAnsi="宋体"/>
                <w:color w:val="auto"/>
                <w:kern w:val="0"/>
                <w:szCs w:val="21"/>
                <w:highlight w:val="none"/>
              </w:rPr>
            </w:pPr>
          </w:p>
        </w:tc>
        <w:tc>
          <w:tcPr>
            <w:tcW w:w="1254" w:type="dxa"/>
          </w:tcPr>
          <w:p>
            <w:pPr>
              <w:autoSpaceDE w:val="0"/>
              <w:autoSpaceDN w:val="0"/>
              <w:adjustRightInd w:val="0"/>
              <w:snapToGrid w:val="0"/>
              <w:jc w:val="left"/>
              <w:rPr>
                <w:rFonts w:ascii="宋体" w:hAnsi="宋体"/>
                <w:color w:val="auto"/>
                <w:kern w:val="0"/>
                <w:szCs w:val="21"/>
                <w:highlight w:val="none"/>
              </w:rPr>
            </w:pPr>
          </w:p>
        </w:tc>
        <w:tc>
          <w:tcPr>
            <w:tcW w:w="1414"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274" w:type="dxa"/>
          </w:tcPr>
          <w:p>
            <w:pPr>
              <w:autoSpaceDE w:val="0"/>
              <w:autoSpaceDN w:val="0"/>
              <w:adjustRightInd w:val="0"/>
              <w:snapToGrid w:val="0"/>
              <w:jc w:val="left"/>
              <w:rPr>
                <w:rFonts w:ascii="宋体" w:hAnsi="宋体"/>
                <w:color w:val="auto"/>
                <w:kern w:val="0"/>
                <w:szCs w:val="21"/>
                <w:highlight w:val="none"/>
              </w:rPr>
            </w:pPr>
          </w:p>
        </w:tc>
        <w:tc>
          <w:tcPr>
            <w:tcW w:w="1105" w:type="dxa"/>
          </w:tcPr>
          <w:p>
            <w:pPr>
              <w:autoSpaceDE w:val="0"/>
              <w:autoSpaceDN w:val="0"/>
              <w:adjustRightInd w:val="0"/>
              <w:snapToGrid w:val="0"/>
              <w:jc w:val="left"/>
              <w:rPr>
                <w:rFonts w:ascii="宋体" w:hAnsi="宋体"/>
                <w:color w:val="auto"/>
                <w:kern w:val="0"/>
                <w:szCs w:val="21"/>
                <w:highlight w:val="none"/>
              </w:rPr>
            </w:pPr>
          </w:p>
        </w:tc>
        <w:tc>
          <w:tcPr>
            <w:tcW w:w="1173" w:type="dxa"/>
          </w:tcPr>
          <w:p>
            <w:pPr>
              <w:autoSpaceDE w:val="0"/>
              <w:autoSpaceDN w:val="0"/>
              <w:adjustRightInd w:val="0"/>
              <w:snapToGrid w:val="0"/>
              <w:jc w:val="left"/>
              <w:rPr>
                <w:rFonts w:ascii="宋体" w:hAnsi="宋体"/>
                <w:color w:val="auto"/>
                <w:kern w:val="0"/>
                <w:szCs w:val="21"/>
                <w:highlight w:val="none"/>
              </w:rPr>
            </w:pPr>
          </w:p>
        </w:tc>
        <w:tc>
          <w:tcPr>
            <w:tcW w:w="1254" w:type="dxa"/>
          </w:tcPr>
          <w:p>
            <w:pPr>
              <w:autoSpaceDE w:val="0"/>
              <w:autoSpaceDN w:val="0"/>
              <w:adjustRightInd w:val="0"/>
              <w:snapToGrid w:val="0"/>
              <w:jc w:val="left"/>
              <w:rPr>
                <w:rFonts w:ascii="宋体" w:hAnsi="宋体"/>
                <w:color w:val="auto"/>
                <w:kern w:val="0"/>
                <w:szCs w:val="21"/>
                <w:highlight w:val="none"/>
              </w:rPr>
            </w:pPr>
          </w:p>
        </w:tc>
        <w:tc>
          <w:tcPr>
            <w:tcW w:w="1414"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274" w:type="dxa"/>
          </w:tcPr>
          <w:p>
            <w:pPr>
              <w:autoSpaceDE w:val="0"/>
              <w:autoSpaceDN w:val="0"/>
              <w:adjustRightInd w:val="0"/>
              <w:snapToGrid w:val="0"/>
              <w:jc w:val="left"/>
              <w:rPr>
                <w:rFonts w:ascii="宋体" w:hAnsi="宋体"/>
                <w:color w:val="auto"/>
                <w:kern w:val="0"/>
                <w:szCs w:val="21"/>
                <w:highlight w:val="none"/>
              </w:rPr>
            </w:pPr>
          </w:p>
        </w:tc>
        <w:tc>
          <w:tcPr>
            <w:tcW w:w="1105" w:type="dxa"/>
          </w:tcPr>
          <w:p>
            <w:pPr>
              <w:autoSpaceDE w:val="0"/>
              <w:autoSpaceDN w:val="0"/>
              <w:adjustRightInd w:val="0"/>
              <w:snapToGrid w:val="0"/>
              <w:jc w:val="left"/>
              <w:rPr>
                <w:rFonts w:ascii="宋体" w:hAnsi="宋体"/>
                <w:color w:val="auto"/>
                <w:kern w:val="0"/>
                <w:szCs w:val="21"/>
                <w:highlight w:val="none"/>
              </w:rPr>
            </w:pPr>
          </w:p>
        </w:tc>
        <w:tc>
          <w:tcPr>
            <w:tcW w:w="1173" w:type="dxa"/>
          </w:tcPr>
          <w:p>
            <w:pPr>
              <w:autoSpaceDE w:val="0"/>
              <w:autoSpaceDN w:val="0"/>
              <w:adjustRightInd w:val="0"/>
              <w:snapToGrid w:val="0"/>
              <w:jc w:val="left"/>
              <w:rPr>
                <w:rFonts w:ascii="宋体" w:hAnsi="宋体"/>
                <w:color w:val="auto"/>
                <w:kern w:val="0"/>
                <w:szCs w:val="21"/>
                <w:highlight w:val="none"/>
              </w:rPr>
            </w:pPr>
          </w:p>
        </w:tc>
        <w:tc>
          <w:tcPr>
            <w:tcW w:w="1254" w:type="dxa"/>
          </w:tcPr>
          <w:p>
            <w:pPr>
              <w:autoSpaceDE w:val="0"/>
              <w:autoSpaceDN w:val="0"/>
              <w:adjustRightInd w:val="0"/>
              <w:snapToGrid w:val="0"/>
              <w:jc w:val="left"/>
              <w:rPr>
                <w:rFonts w:ascii="宋体" w:hAnsi="宋体"/>
                <w:color w:val="auto"/>
                <w:kern w:val="0"/>
                <w:szCs w:val="21"/>
                <w:highlight w:val="none"/>
              </w:rPr>
            </w:pPr>
          </w:p>
        </w:tc>
        <w:tc>
          <w:tcPr>
            <w:tcW w:w="1414"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274" w:type="dxa"/>
          </w:tcPr>
          <w:p>
            <w:pPr>
              <w:autoSpaceDE w:val="0"/>
              <w:autoSpaceDN w:val="0"/>
              <w:adjustRightInd w:val="0"/>
              <w:snapToGrid w:val="0"/>
              <w:jc w:val="left"/>
              <w:rPr>
                <w:rFonts w:ascii="宋体" w:hAnsi="宋体"/>
                <w:color w:val="auto"/>
                <w:kern w:val="0"/>
                <w:szCs w:val="21"/>
                <w:highlight w:val="none"/>
              </w:rPr>
            </w:pPr>
          </w:p>
        </w:tc>
        <w:tc>
          <w:tcPr>
            <w:tcW w:w="1105" w:type="dxa"/>
          </w:tcPr>
          <w:p>
            <w:pPr>
              <w:autoSpaceDE w:val="0"/>
              <w:autoSpaceDN w:val="0"/>
              <w:adjustRightInd w:val="0"/>
              <w:snapToGrid w:val="0"/>
              <w:jc w:val="left"/>
              <w:rPr>
                <w:rFonts w:ascii="宋体" w:hAnsi="宋体"/>
                <w:color w:val="auto"/>
                <w:kern w:val="0"/>
                <w:szCs w:val="21"/>
                <w:highlight w:val="none"/>
              </w:rPr>
            </w:pPr>
          </w:p>
        </w:tc>
        <w:tc>
          <w:tcPr>
            <w:tcW w:w="1173" w:type="dxa"/>
          </w:tcPr>
          <w:p>
            <w:pPr>
              <w:autoSpaceDE w:val="0"/>
              <w:autoSpaceDN w:val="0"/>
              <w:adjustRightInd w:val="0"/>
              <w:snapToGrid w:val="0"/>
              <w:jc w:val="left"/>
              <w:rPr>
                <w:rFonts w:ascii="宋体" w:hAnsi="宋体"/>
                <w:color w:val="auto"/>
                <w:kern w:val="0"/>
                <w:szCs w:val="21"/>
                <w:highlight w:val="none"/>
              </w:rPr>
            </w:pPr>
          </w:p>
        </w:tc>
        <w:tc>
          <w:tcPr>
            <w:tcW w:w="1254" w:type="dxa"/>
          </w:tcPr>
          <w:p>
            <w:pPr>
              <w:autoSpaceDE w:val="0"/>
              <w:autoSpaceDN w:val="0"/>
              <w:adjustRightInd w:val="0"/>
              <w:snapToGrid w:val="0"/>
              <w:jc w:val="left"/>
              <w:rPr>
                <w:rFonts w:ascii="宋体" w:hAnsi="宋体"/>
                <w:color w:val="auto"/>
                <w:kern w:val="0"/>
                <w:szCs w:val="21"/>
                <w:highlight w:val="none"/>
              </w:rPr>
            </w:pPr>
          </w:p>
        </w:tc>
        <w:tc>
          <w:tcPr>
            <w:tcW w:w="1414"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274" w:type="dxa"/>
          </w:tcPr>
          <w:p>
            <w:pPr>
              <w:autoSpaceDE w:val="0"/>
              <w:autoSpaceDN w:val="0"/>
              <w:adjustRightInd w:val="0"/>
              <w:snapToGrid w:val="0"/>
              <w:jc w:val="left"/>
              <w:rPr>
                <w:rFonts w:ascii="宋体" w:hAnsi="宋体"/>
                <w:color w:val="auto"/>
                <w:kern w:val="0"/>
                <w:szCs w:val="21"/>
                <w:highlight w:val="none"/>
              </w:rPr>
            </w:pPr>
          </w:p>
        </w:tc>
        <w:tc>
          <w:tcPr>
            <w:tcW w:w="1105" w:type="dxa"/>
          </w:tcPr>
          <w:p>
            <w:pPr>
              <w:autoSpaceDE w:val="0"/>
              <w:autoSpaceDN w:val="0"/>
              <w:adjustRightInd w:val="0"/>
              <w:snapToGrid w:val="0"/>
              <w:jc w:val="left"/>
              <w:rPr>
                <w:rFonts w:ascii="宋体" w:hAnsi="宋体"/>
                <w:color w:val="auto"/>
                <w:kern w:val="0"/>
                <w:szCs w:val="21"/>
                <w:highlight w:val="none"/>
              </w:rPr>
            </w:pPr>
          </w:p>
        </w:tc>
        <w:tc>
          <w:tcPr>
            <w:tcW w:w="1173" w:type="dxa"/>
          </w:tcPr>
          <w:p>
            <w:pPr>
              <w:autoSpaceDE w:val="0"/>
              <w:autoSpaceDN w:val="0"/>
              <w:adjustRightInd w:val="0"/>
              <w:snapToGrid w:val="0"/>
              <w:jc w:val="left"/>
              <w:rPr>
                <w:rFonts w:ascii="宋体" w:hAnsi="宋体"/>
                <w:color w:val="auto"/>
                <w:kern w:val="0"/>
                <w:szCs w:val="21"/>
                <w:highlight w:val="none"/>
              </w:rPr>
            </w:pPr>
          </w:p>
        </w:tc>
        <w:tc>
          <w:tcPr>
            <w:tcW w:w="1254" w:type="dxa"/>
          </w:tcPr>
          <w:p>
            <w:pPr>
              <w:autoSpaceDE w:val="0"/>
              <w:autoSpaceDN w:val="0"/>
              <w:adjustRightInd w:val="0"/>
              <w:snapToGrid w:val="0"/>
              <w:jc w:val="left"/>
              <w:rPr>
                <w:rFonts w:ascii="宋体" w:hAnsi="宋体"/>
                <w:color w:val="auto"/>
                <w:kern w:val="0"/>
                <w:szCs w:val="21"/>
                <w:highlight w:val="none"/>
              </w:rPr>
            </w:pPr>
          </w:p>
        </w:tc>
        <w:tc>
          <w:tcPr>
            <w:tcW w:w="1414"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274" w:type="dxa"/>
          </w:tcPr>
          <w:p>
            <w:pPr>
              <w:autoSpaceDE w:val="0"/>
              <w:autoSpaceDN w:val="0"/>
              <w:adjustRightInd w:val="0"/>
              <w:snapToGrid w:val="0"/>
              <w:jc w:val="left"/>
              <w:rPr>
                <w:rFonts w:ascii="宋体" w:hAnsi="宋体"/>
                <w:color w:val="auto"/>
                <w:kern w:val="0"/>
                <w:szCs w:val="21"/>
                <w:highlight w:val="none"/>
              </w:rPr>
            </w:pPr>
          </w:p>
        </w:tc>
        <w:tc>
          <w:tcPr>
            <w:tcW w:w="1105" w:type="dxa"/>
          </w:tcPr>
          <w:p>
            <w:pPr>
              <w:autoSpaceDE w:val="0"/>
              <w:autoSpaceDN w:val="0"/>
              <w:adjustRightInd w:val="0"/>
              <w:snapToGrid w:val="0"/>
              <w:jc w:val="left"/>
              <w:rPr>
                <w:rFonts w:ascii="宋体" w:hAnsi="宋体"/>
                <w:color w:val="auto"/>
                <w:kern w:val="0"/>
                <w:szCs w:val="21"/>
                <w:highlight w:val="none"/>
              </w:rPr>
            </w:pPr>
          </w:p>
        </w:tc>
        <w:tc>
          <w:tcPr>
            <w:tcW w:w="1173" w:type="dxa"/>
          </w:tcPr>
          <w:p>
            <w:pPr>
              <w:autoSpaceDE w:val="0"/>
              <w:autoSpaceDN w:val="0"/>
              <w:adjustRightInd w:val="0"/>
              <w:snapToGrid w:val="0"/>
              <w:jc w:val="left"/>
              <w:rPr>
                <w:rFonts w:ascii="宋体" w:hAnsi="宋体"/>
                <w:color w:val="auto"/>
                <w:kern w:val="0"/>
                <w:szCs w:val="21"/>
                <w:highlight w:val="none"/>
              </w:rPr>
            </w:pPr>
          </w:p>
        </w:tc>
        <w:tc>
          <w:tcPr>
            <w:tcW w:w="1254" w:type="dxa"/>
          </w:tcPr>
          <w:p>
            <w:pPr>
              <w:autoSpaceDE w:val="0"/>
              <w:autoSpaceDN w:val="0"/>
              <w:adjustRightInd w:val="0"/>
              <w:snapToGrid w:val="0"/>
              <w:jc w:val="left"/>
              <w:rPr>
                <w:rFonts w:ascii="宋体" w:hAnsi="宋体"/>
                <w:color w:val="auto"/>
                <w:kern w:val="0"/>
                <w:szCs w:val="21"/>
                <w:highlight w:val="none"/>
              </w:rPr>
            </w:pPr>
          </w:p>
        </w:tc>
        <w:tc>
          <w:tcPr>
            <w:tcW w:w="1414"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274" w:type="dxa"/>
          </w:tcPr>
          <w:p>
            <w:pPr>
              <w:autoSpaceDE w:val="0"/>
              <w:autoSpaceDN w:val="0"/>
              <w:adjustRightInd w:val="0"/>
              <w:snapToGrid w:val="0"/>
              <w:jc w:val="left"/>
              <w:rPr>
                <w:rFonts w:ascii="宋体" w:hAnsi="宋体"/>
                <w:color w:val="auto"/>
                <w:kern w:val="0"/>
                <w:szCs w:val="21"/>
                <w:highlight w:val="none"/>
              </w:rPr>
            </w:pPr>
          </w:p>
        </w:tc>
        <w:tc>
          <w:tcPr>
            <w:tcW w:w="1105" w:type="dxa"/>
          </w:tcPr>
          <w:p>
            <w:pPr>
              <w:autoSpaceDE w:val="0"/>
              <w:autoSpaceDN w:val="0"/>
              <w:adjustRightInd w:val="0"/>
              <w:snapToGrid w:val="0"/>
              <w:jc w:val="left"/>
              <w:rPr>
                <w:rFonts w:ascii="宋体" w:hAnsi="宋体"/>
                <w:color w:val="auto"/>
                <w:kern w:val="0"/>
                <w:szCs w:val="21"/>
                <w:highlight w:val="none"/>
              </w:rPr>
            </w:pPr>
          </w:p>
        </w:tc>
        <w:tc>
          <w:tcPr>
            <w:tcW w:w="1173" w:type="dxa"/>
          </w:tcPr>
          <w:p>
            <w:pPr>
              <w:autoSpaceDE w:val="0"/>
              <w:autoSpaceDN w:val="0"/>
              <w:adjustRightInd w:val="0"/>
              <w:snapToGrid w:val="0"/>
              <w:jc w:val="left"/>
              <w:rPr>
                <w:rFonts w:ascii="宋体" w:hAnsi="宋体"/>
                <w:color w:val="auto"/>
                <w:kern w:val="0"/>
                <w:szCs w:val="21"/>
                <w:highlight w:val="none"/>
              </w:rPr>
            </w:pPr>
          </w:p>
        </w:tc>
        <w:tc>
          <w:tcPr>
            <w:tcW w:w="1254" w:type="dxa"/>
          </w:tcPr>
          <w:p>
            <w:pPr>
              <w:autoSpaceDE w:val="0"/>
              <w:autoSpaceDN w:val="0"/>
              <w:adjustRightInd w:val="0"/>
              <w:snapToGrid w:val="0"/>
              <w:jc w:val="left"/>
              <w:rPr>
                <w:rFonts w:ascii="宋体" w:hAnsi="宋体"/>
                <w:color w:val="auto"/>
                <w:kern w:val="0"/>
                <w:szCs w:val="21"/>
                <w:highlight w:val="none"/>
              </w:rPr>
            </w:pPr>
          </w:p>
        </w:tc>
        <w:tc>
          <w:tcPr>
            <w:tcW w:w="1414"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274" w:type="dxa"/>
          </w:tcPr>
          <w:p>
            <w:pPr>
              <w:autoSpaceDE w:val="0"/>
              <w:autoSpaceDN w:val="0"/>
              <w:adjustRightInd w:val="0"/>
              <w:snapToGrid w:val="0"/>
              <w:jc w:val="left"/>
              <w:rPr>
                <w:rFonts w:ascii="宋体" w:hAnsi="宋体"/>
                <w:color w:val="auto"/>
                <w:kern w:val="0"/>
                <w:szCs w:val="21"/>
                <w:highlight w:val="none"/>
              </w:rPr>
            </w:pPr>
          </w:p>
        </w:tc>
        <w:tc>
          <w:tcPr>
            <w:tcW w:w="1105" w:type="dxa"/>
          </w:tcPr>
          <w:p>
            <w:pPr>
              <w:autoSpaceDE w:val="0"/>
              <w:autoSpaceDN w:val="0"/>
              <w:adjustRightInd w:val="0"/>
              <w:snapToGrid w:val="0"/>
              <w:jc w:val="left"/>
              <w:rPr>
                <w:rFonts w:ascii="宋体" w:hAnsi="宋体"/>
                <w:color w:val="auto"/>
                <w:kern w:val="0"/>
                <w:szCs w:val="21"/>
                <w:highlight w:val="none"/>
              </w:rPr>
            </w:pPr>
          </w:p>
        </w:tc>
        <w:tc>
          <w:tcPr>
            <w:tcW w:w="1173" w:type="dxa"/>
          </w:tcPr>
          <w:p>
            <w:pPr>
              <w:autoSpaceDE w:val="0"/>
              <w:autoSpaceDN w:val="0"/>
              <w:adjustRightInd w:val="0"/>
              <w:snapToGrid w:val="0"/>
              <w:jc w:val="left"/>
              <w:rPr>
                <w:rFonts w:ascii="宋体" w:hAnsi="宋体"/>
                <w:color w:val="auto"/>
                <w:kern w:val="0"/>
                <w:szCs w:val="21"/>
                <w:highlight w:val="none"/>
              </w:rPr>
            </w:pPr>
          </w:p>
        </w:tc>
        <w:tc>
          <w:tcPr>
            <w:tcW w:w="1254" w:type="dxa"/>
          </w:tcPr>
          <w:p>
            <w:pPr>
              <w:autoSpaceDE w:val="0"/>
              <w:autoSpaceDN w:val="0"/>
              <w:adjustRightInd w:val="0"/>
              <w:snapToGrid w:val="0"/>
              <w:jc w:val="left"/>
              <w:rPr>
                <w:rFonts w:ascii="宋体" w:hAnsi="宋体"/>
                <w:color w:val="auto"/>
                <w:kern w:val="0"/>
                <w:szCs w:val="21"/>
                <w:highlight w:val="none"/>
              </w:rPr>
            </w:pPr>
          </w:p>
        </w:tc>
        <w:tc>
          <w:tcPr>
            <w:tcW w:w="1414"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274" w:type="dxa"/>
          </w:tcPr>
          <w:p>
            <w:pPr>
              <w:autoSpaceDE w:val="0"/>
              <w:autoSpaceDN w:val="0"/>
              <w:adjustRightInd w:val="0"/>
              <w:snapToGrid w:val="0"/>
              <w:jc w:val="left"/>
              <w:rPr>
                <w:rFonts w:ascii="宋体" w:hAnsi="宋体"/>
                <w:color w:val="auto"/>
                <w:kern w:val="0"/>
                <w:szCs w:val="21"/>
                <w:highlight w:val="none"/>
              </w:rPr>
            </w:pPr>
          </w:p>
        </w:tc>
        <w:tc>
          <w:tcPr>
            <w:tcW w:w="1105" w:type="dxa"/>
          </w:tcPr>
          <w:p>
            <w:pPr>
              <w:autoSpaceDE w:val="0"/>
              <w:autoSpaceDN w:val="0"/>
              <w:adjustRightInd w:val="0"/>
              <w:snapToGrid w:val="0"/>
              <w:jc w:val="left"/>
              <w:rPr>
                <w:rFonts w:ascii="宋体" w:hAnsi="宋体"/>
                <w:color w:val="auto"/>
                <w:kern w:val="0"/>
                <w:szCs w:val="21"/>
                <w:highlight w:val="none"/>
              </w:rPr>
            </w:pPr>
          </w:p>
        </w:tc>
        <w:tc>
          <w:tcPr>
            <w:tcW w:w="1173" w:type="dxa"/>
          </w:tcPr>
          <w:p>
            <w:pPr>
              <w:autoSpaceDE w:val="0"/>
              <w:autoSpaceDN w:val="0"/>
              <w:adjustRightInd w:val="0"/>
              <w:snapToGrid w:val="0"/>
              <w:jc w:val="left"/>
              <w:rPr>
                <w:rFonts w:ascii="宋体" w:hAnsi="宋体"/>
                <w:color w:val="auto"/>
                <w:kern w:val="0"/>
                <w:szCs w:val="21"/>
                <w:highlight w:val="none"/>
              </w:rPr>
            </w:pPr>
          </w:p>
        </w:tc>
        <w:tc>
          <w:tcPr>
            <w:tcW w:w="1254" w:type="dxa"/>
          </w:tcPr>
          <w:p>
            <w:pPr>
              <w:autoSpaceDE w:val="0"/>
              <w:autoSpaceDN w:val="0"/>
              <w:adjustRightInd w:val="0"/>
              <w:snapToGrid w:val="0"/>
              <w:jc w:val="left"/>
              <w:rPr>
                <w:rFonts w:ascii="宋体" w:hAnsi="宋体"/>
                <w:color w:val="auto"/>
                <w:kern w:val="0"/>
                <w:szCs w:val="21"/>
                <w:highlight w:val="none"/>
              </w:rPr>
            </w:pPr>
          </w:p>
        </w:tc>
        <w:tc>
          <w:tcPr>
            <w:tcW w:w="1414"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274" w:type="dxa"/>
          </w:tcPr>
          <w:p>
            <w:pPr>
              <w:autoSpaceDE w:val="0"/>
              <w:autoSpaceDN w:val="0"/>
              <w:adjustRightInd w:val="0"/>
              <w:snapToGrid w:val="0"/>
              <w:jc w:val="left"/>
              <w:rPr>
                <w:rFonts w:ascii="宋体" w:hAnsi="宋体"/>
                <w:color w:val="auto"/>
                <w:kern w:val="0"/>
                <w:szCs w:val="21"/>
                <w:highlight w:val="none"/>
              </w:rPr>
            </w:pPr>
          </w:p>
        </w:tc>
        <w:tc>
          <w:tcPr>
            <w:tcW w:w="1105" w:type="dxa"/>
          </w:tcPr>
          <w:p>
            <w:pPr>
              <w:autoSpaceDE w:val="0"/>
              <w:autoSpaceDN w:val="0"/>
              <w:adjustRightInd w:val="0"/>
              <w:snapToGrid w:val="0"/>
              <w:jc w:val="left"/>
              <w:rPr>
                <w:rFonts w:ascii="宋体" w:hAnsi="宋体"/>
                <w:color w:val="auto"/>
                <w:kern w:val="0"/>
                <w:szCs w:val="21"/>
                <w:highlight w:val="none"/>
              </w:rPr>
            </w:pPr>
          </w:p>
        </w:tc>
        <w:tc>
          <w:tcPr>
            <w:tcW w:w="1173" w:type="dxa"/>
          </w:tcPr>
          <w:p>
            <w:pPr>
              <w:autoSpaceDE w:val="0"/>
              <w:autoSpaceDN w:val="0"/>
              <w:adjustRightInd w:val="0"/>
              <w:snapToGrid w:val="0"/>
              <w:jc w:val="left"/>
              <w:rPr>
                <w:rFonts w:ascii="宋体" w:hAnsi="宋体"/>
                <w:color w:val="auto"/>
                <w:kern w:val="0"/>
                <w:szCs w:val="21"/>
                <w:highlight w:val="none"/>
              </w:rPr>
            </w:pPr>
          </w:p>
        </w:tc>
        <w:tc>
          <w:tcPr>
            <w:tcW w:w="1254" w:type="dxa"/>
          </w:tcPr>
          <w:p>
            <w:pPr>
              <w:autoSpaceDE w:val="0"/>
              <w:autoSpaceDN w:val="0"/>
              <w:adjustRightInd w:val="0"/>
              <w:snapToGrid w:val="0"/>
              <w:jc w:val="left"/>
              <w:rPr>
                <w:rFonts w:ascii="宋体" w:hAnsi="宋体"/>
                <w:color w:val="auto"/>
                <w:kern w:val="0"/>
                <w:szCs w:val="21"/>
                <w:highlight w:val="none"/>
              </w:rPr>
            </w:pPr>
          </w:p>
        </w:tc>
        <w:tc>
          <w:tcPr>
            <w:tcW w:w="1414"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274" w:type="dxa"/>
          </w:tcPr>
          <w:p>
            <w:pPr>
              <w:autoSpaceDE w:val="0"/>
              <w:autoSpaceDN w:val="0"/>
              <w:adjustRightInd w:val="0"/>
              <w:snapToGrid w:val="0"/>
              <w:jc w:val="left"/>
              <w:rPr>
                <w:rFonts w:ascii="宋体" w:hAnsi="宋体"/>
                <w:color w:val="auto"/>
                <w:kern w:val="0"/>
                <w:szCs w:val="21"/>
                <w:highlight w:val="none"/>
              </w:rPr>
            </w:pPr>
          </w:p>
        </w:tc>
        <w:tc>
          <w:tcPr>
            <w:tcW w:w="1105" w:type="dxa"/>
          </w:tcPr>
          <w:p>
            <w:pPr>
              <w:autoSpaceDE w:val="0"/>
              <w:autoSpaceDN w:val="0"/>
              <w:adjustRightInd w:val="0"/>
              <w:snapToGrid w:val="0"/>
              <w:jc w:val="left"/>
              <w:rPr>
                <w:rFonts w:ascii="宋体" w:hAnsi="宋体"/>
                <w:color w:val="auto"/>
                <w:kern w:val="0"/>
                <w:szCs w:val="21"/>
                <w:highlight w:val="none"/>
              </w:rPr>
            </w:pPr>
          </w:p>
        </w:tc>
        <w:tc>
          <w:tcPr>
            <w:tcW w:w="1173" w:type="dxa"/>
          </w:tcPr>
          <w:p>
            <w:pPr>
              <w:autoSpaceDE w:val="0"/>
              <w:autoSpaceDN w:val="0"/>
              <w:adjustRightInd w:val="0"/>
              <w:snapToGrid w:val="0"/>
              <w:jc w:val="left"/>
              <w:rPr>
                <w:rFonts w:ascii="宋体" w:hAnsi="宋体"/>
                <w:color w:val="auto"/>
                <w:kern w:val="0"/>
                <w:szCs w:val="21"/>
                <w:highlight w:val="none"/>
              </w:rPr>
            </w:pPr>
          </w:p>
        </w:tc>
        <w:tc>
          <w:tcPr>
            <w:tcW w:w="1254" w:type="dxa"/>
          </w:tcPr>
          <w:p>
            <w:pPr>
              <w:autoSpaceDE w:val="0"/>
              <w:autoSpaceDN w:val="0"/>
              <w:adjustRightInd w:val="0"/>
              <w:snapToGrid w:val="0"/>
              <w:jc w:val="left"/>
              <w:rPr>
                <w:rFonts w:ascii="宋体" w:hAnsi="宋体"/>
                <w:color w:val="auto"/>
                <w:kern w:val="0"/>
                <w:szCs w:val="21"/>
                <w:highlight w:val="none"/>
              </w:rPr>
            </w:pPr>
          </w:p>
        </w:tc>
        <w:tc>
          <w:tcPr>
            <w:tcW w:w="1414"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274" w:type="dxa"/>
          </w:tcPr>
          <w:p>
            <w:pPr>
              <w:autoSpaceDE w:val="0"/>
              <w:autoSpaceDN w:val="0"/>
              <w:adjustRightInd w:val="0"/>
              <w:snapToGrid w:val="0"/>
              <w:jc w:val="left"/>
              <w:rPr>
                <w:rFonts w:ascii="宋体" w:hAnsi="宋体"/>
                <w:color w:val="auto"/>
                <w:kern w:val="0"/>
                <w:szCs w:val="21"/>
                <w:highlight w:val="none"/>
              </w:rPr>
            </w:pPr>
          </w:p>
        </w:tc>
        <w:tc>
          <w:tcPr>
            <w:tcW w:w="1105" w:type="dxa"/>
          </w:tcPr>
          <w:p>
            <w:pPr>
              <w:autoSpaceDE w:val="0"/>
              <w:autoSpaceDN w:val="0"/>
              <w:adjustRightInd w:val="0"/>
              <w:snapToGrid w:val="0"/>
              <w:jc w:val="left"/>
              <w:rPr>
                <w:rFonts w:ascii="宋体" w:hAnsi="宋体"/>
                <w:color w:val="auto"/>
                <w:kern w:val="0"/>
                <w:szCs w:val="21"/>
                <w:highlight w:val="none"/>
              </w:rPr>
            </w:pPr>
          </w:p>
        </w:tc>
        <w:tc>
          <w:tcPr>
            <w:tcW w:w="1173" w:type="dxa"/>
          </w:tcPr>
          <w:p>
            <w:pPr>
              <w:autoSpaceDE w:val="0"/>
              <w:autoSpaceDN w:val="0"/>
              <w:adjustRightInd w:val="0"/>
              <w:snapToGrid w:val="0"/>
              <w:jc w:val="left"/>
              <w:rPr>
                <w:rFonts w:ascii="宋体" w:hAnsi="宋体"/>
                <w:color w:val="auto"/>
                <w:kern w:val="0"/>
                <w:szCs w:val="21"/>
                <w:highlight w:val="none"/>
              </w:rPr>
            </w:pPr>
          </w:p>
        </w:tc>
        <w:tc>
          <w:tcPr>
            <w:tcW w:w="1254" w:type="dxa"/>
          </w:tcPr>
          <w:p>
            <w:pPr>
              <w:autoSpaceDE w:val="0"/>
              <w:autoSpaceDN w:val="0"/>
              <w:adjustRightInd w:val="0"/>
              <w:snapToGrid w:val="0"/>
              <w:jc w:val="left"/>
              <w:rPr>
                <w:rFonts w:ascii="宋体" w:hAnsi="宋体"/>
                <w:color w:val="auto"/>
                <w:kern w:val="0"/>
                <w:szCs w:val="21"/>
                <w:highlight w:val="none"/>
              </w:rPr>
            </w:pPr>
          </w:p>
        </w:tc>
        <w:tc>
          <w:tcPr>
            <w:tcW w:w="1414"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bl>
    <w:p>
      <w:pPr>
        <w:spacing w:line="20" w:lineRule="exact"/>
        <w:jc w:val="center"/>
        <w:rPr>
          <w:rFonts w:ascii="宋体" w:hAnsi="宋体"/>
          <w:color w:val="auto"/>
          <w:szCs w:val="21"/>
          <w:highlight w:val="none"/>
        </w:rPr>
      </w:pPr>
    </w:p>
    <w:p>
      <w:pPr>
        <w:spacing w:line="360" w:lineRule="auto"/>
        <w:rPr>
          <w:rFonts w:ascii="宋体" w:hAnsi="宋体"/>
          <w:color w:val="auto"/>
          <w:highlight w:val="none"/>
        </w:rPr>
      </w:pPr>
      <w:r>
        <w:rPr>
          <w:rFonts w:ascii="宋体" w:hAnsi="宋体"/>
          <w:color w:val="auto"/>
          <w:sz w:val="32"/>
          <w:szCs w:val="32"/>
          <w:highlight w:val="none"/>
        </w:rPr>
        <w:br w:type="page"/>
      </w:r>
      <w:bookmarkEnd w:id="883"/>
      <w:bookmarkEnd w:id="884"/>
      <w:bookmarkStart w:id="888" w:name="_Toc224103515"/>
    </w:p>
    <w:bookmarkEnd w:id="888"/>
    <w:p>
      <w:pPr>
        <w:pStyle w:val="4"/>
        <w:spacing w:before="0" w:line="240" w:lineRule="auto"/>
        <w:jc w:val="center"/>
        <w:rPr>
          <w:rFonts w:ascii="宋体" w:hAnsi="宋体"/>
          <w:b w:val="0"/>
          <w:color w:val="auto"/>
          <w:highlight w:val="none"/>
        </w:rPr>
      </w:pPr>
      <w:bookmarkStart w:id="889" w:name="_Toc287607889"/>
      <w:bookmarkStart w:id="890" w:name="_Toc534185842"/>
      <w:bookmarkStart w:id="891" w:name="_Toc224103516"/>
      <w:bookmarkStart w:id="892" w:name="_Toc287620835"/>
      <w:bookmarkStart w:id="893" w:name="_Toc57905934"/>
      <w:bookmarkStart w:id="894" w:name="_Toc277082661"/>
      <w:bookmarkStart w:id="895" w:name="_Toc509218865"/>
      <w:bookmarkStart w:id="896" w:name="_Toc430530551"/>
      <w:r>
        <w:rPr>
          <w:rFonts w:ascii="宋体" w:hAnsi="宋体"/>
          <w:b w:val="0"/>
          <w:color w:val="auto"/>
          <w:highlight w:val="none"/>
        </w:rPr>
        <w:t>（</w:t>
      </w:r>
      <w:r>
        <w:rPr>
          <w:rFonts w:hint="eastAsia" w:ascii="宋体" w:hAnsi="宋体"/>
          <w:b w:val="0"/>
          <w:color w:val="auto"/>
          <w:highlight w:val="none"/>
          <w:lang w:val="en-US" w:eastAsia="zh-CN"/>
        </w:rPr>
        <w:t>四</w:t>
      </w:r>
      <w:r>
        <w:rPr>
          <w:rFonts w:ascii="宋体" w:hAnsi="宋体"/>
          <w:b w:val="0"/>
          <w:color w:val="auto"/>
          <w:highlight w:val="none"/>
        </w:rPr>
        <w:t>）类似项目情况表</w:t>
      </w:r>
      <w:bookmarkEnd w:id="889"/>
      <w:bookmarkEnd w:id="890"/>
      <w:bookmarkEnd w:id="891"/>
      <w:bookmarkEnd w:id="892"/>
      <w:bookmarkEnd w:id="893"/>
      <w:bookmarkEnd w:id="894"/>
      <w:bookmarkEnd w:id="895"/>
      <w:bookmarkEnd w:id="896"/>
    </w:p>
    <w:tbl>
      <w:tblPr>
        <w:tblStyle w:val="45"/>
        <w:tblW w:w="948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56"/>
        <w:gridCol w:w="802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3"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项目名称</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项目所在地</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6"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发包人名称</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发包人地址</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发包人电话</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01"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合同价格</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0"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开工日期</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49"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竣工日期</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83"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承担的工作</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52"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工程质量</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789"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项目经理</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30"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技术负责人</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367"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项目描述</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48"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备注</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bl>
    <w:p>
      <w:pPr>
        <w:rPr>
          <w:rFonts w:ascii="宋体" w:hAnsi="宋体"/>
          <w:color w:val="auto"/>
          <w:highlight w:val="none"/>
        </w:rPr>
      </w:pPr>
      <w:bookmarkStart w:id="897" w:name="_Toc224103520"/>
      <w:bookmarkStart w:id="898" w:name="_Toc287620839"/>
      <w:bookmarkStart w:id="899" w:name="_Toc430530552"/>
      <w:bookmarkStart w:id="900" w:name="_Toc277082663"/>
      <w:bookmarkStart w:id="901" w:name="_Toc287607893"/>
      <w:bookmarkStart w:id="902" w:name="_Toc57905935"/>
      <w:bookmarkStart w:id="903" w:name="_Toc509218866"/>
      <w:bookmarkStart w:id="904" w:name="_Toc534185843"/>
      <w:r>
        <w:rPr>
          <w:rFonts w:ascii="宋体" w:hAnsi="宋体"/>
          <w:color w:val="auto"/>
          <w:highlight w:val="none"/>
        </w:rPr>
        <w:br w:type="page"/>
      </w:r>
    </w:p>
    <w:p>
      <w:pPr>
        <w:pStyle w:val="4"/>
        <w:spacing w:before="0" w:after="0" w:line="360" w:lineRule="auto"/>
        <w:jc w:val="center"/>
        <w:rPr>
          <w:rFonts w:ascii="宋体" w:hAnsi="宋体"/>
          <w:b w:val="0"/>
          <w:color w:val="auto"/>
          <w:highlight w:val="none"/>
        </w:rPr>
      </w:pPr>
      <w:r>
        <w:rPr>
          <w:rFonts w:ascii="宋体" w:hAnsi="宋体"/>
          <w:b w:val="0"/>
          <w:color w:val="auto"/>
          <w:highlight w:val="none"/>
        </w:rPr>
        <w:t>（</w:t>
      </w:r>
      <w:r>
        <w:rPr>
          <w:rFonts w:hint="eastAsia" w:ascii="宋体" w:hAnsi="宋体"/>
          <w:b w:val="0"/>
          <w:color w:val="auto"/>
          <w:highlight w:val="none"/>
          <w:lang w:val="en-US" w:eastAsia="zh-CN"/>
        </w:rPr>
        <w:t>五</w:t>
      </w:r>
      <w:r>
        <w:rPr>
          <w:rFonts w:ascii="宋体" w:hAnsi="宋体"/>
          <w:b w:val="0"/>
          <w:color w:val="auto"/>
          <w:highlight w:val="none"/>
        </w:rPr>
        <w:t>）</w:t>
      </w:r>
      <w:bookmarkEnd w:id="897"/>
      <w:bookmarkEnd w:id="898"/>
      <w:bookmarkEnd w:id="899"/>
      <w:bookmarkEnd w:id="900"/>
      <w:bookmarkEnd w:id="901"/>
      <w:r>
        <w:rPr>
          <w:rFonts w:hint="eastAsia" w:ascii="宋体" w:hAnsi="宋体"/>
          <w:b w:val="0"/>
          <w:color w:val="auto"/>
          <w:highlight w:val="none"/>
        </w:rPr>
        <w:t>承诺</w:t>
      </w:r>
      <w:bookmarkEnd w:id="902"/>
    </w:p>
    <w:p>
      <w:pPr>
        <w:snapToGrid w:val="0"/>
        <w:spacing w:line="380" w:lineRule="exact"/>
        <w:rPr>
          <w:rFonts w:ascii="宋体" w:hAnsi="宋体"/>
          <w:color w:val="auto"/>
          <w:szCs w:val="21"/>
          <w:highlight w:val="none"/>
          <w:u w:val="single"/>
        </w:rPr>
      </w:pPr>
      <w:r>
        <w:rPr>
          <w:rFonts w:hint="eastAsia" w:ascii="宋体" w:hAnsi="宋体"/>
          <w:color w:val="auto"/>
          <w:szCs w:val="21"/>
          <w:highlight w:val="none"/>
          <w:u w:val="single"/>
        </w:rPr>
        <w:t xml:space="preserve">        （招标人名称）</w:t>
      </w:r>
      <w:r>
        <w:rPr>
          <w:rFonts w:hint="eastAsia" w:ascii="宋体" w:hAnsi="宋体"/>
          <w:color w:val="auto"/>
          <w:szCs w:val="21"/>
          <w:highlight w:val="none"/>
        </w:rPr>
        <w:t>：</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我公司</w:t>
      </w:r>
      <w:r>
        <w:rPr>
          <w:rFonts w:hint="eastAsia" w:ascii="宋体" w:hAnsi="宋体"/>
          <w:color w:val="auto"/>
          <w:szCs w:val="21"/>
          <w:highlight w:val="none"/>
          <w:u w:val="single"/>
        </w:rPr>
        <w:t xml:space="preserve">        （投标人名称）</w:t>
      </w:r>
      <w:r>
        <w:rPr>
          <w:rFonts w:hint="eastAsia" w:ascii="宋体" w:hAnsi="宋体"/>
          <w:color w:val="auto"/>
          <w:szCs w:val="21"/>
          <w:highlight w:val="none"/>
        </w:rPr>
        <w:t>参加了贵单位</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的投标，自愿作出以下承诺：</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1、我公司投标截止日投标资格情况不存在下列情形之一：</w:t>
      </w:r>
    </w:p>
    <w:p>
      <w:pPr>
        <w:snapToGrid w:val="0"/>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（3）被列入《重庆市工程建设领域招标投标信用管理暂行办法》规定的黑名单且在记分有效期内；</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（5）被重庆市</w:t>
      </w:r>
      <w:r>
        <w:rPr>
          <w:rFonts w:hint="eastAsia" w:ascii="宋体" w:hAnsi="宋体"/>
          <w:color w:val="auto"/>
          <w:szCs w:val="21"/>
          <w:highlight w:val="none"/>
          <w:lang w:eastAsia="zh-CN"/>
        </w:rPr>
        <w:t>市级有关行业</w:t>
      </w:r>
      <w:r>
        <w:rPr>
          <w:rFonts w:hint="eastAsia" w:ascii="宋体" w:hAnsi="宋体"/>
          <w:color w:val="auto"/>
          <w:szCs w:val="21"/>
          <w:highlight w:val="none"/>
        </w:rPr>
        <w:t>主管部门暂停在渝承揽新业务且在暂停期内。</w:t>
      </w:r>
    </w:p>
    <w:p>
      <w:pPr>
        <w:numPr>
          <w:ilvl w:val="0"/>
          <w:numId w:val="0"/>
        </w:num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我公司若中标，在签订合同之前，将按照建设行政主管部门的要求组建施工项目部，配置项目管理班子，出具任命文件。任命文件应当明确施工项目部的职责、岗位设置、人员配备，并书面通知</w:t>
      </w:r>
      <w:r>
        <w:rPr>
          <w:rFonts w:hint="eastAsia" w:ascii="宋体" w:hAnsi="宋体"/>
          <w:color w:val="auto"/>
          <w:szCs w:val="21"/>
          <w:highlight w:val="none"/>
          <w:lang w:val="en-US" w:eastAsia="zh-CN"/>
        </w:rPr>
        <w:t>贵单位</w:t>
      </w:r>
      <w:r>
        <w:rPr>
          <w:rFonts w:hint="eastAsia" w:ascii="宋体" w:hAnsi="宋体"/>
          <w:color w:val="auto"/>
          <w:szCs w:val="21"/>
          <w:highlight w:val="none"/>
        </w:rPr>
        <w:t>。相关岗位管理人员应持有建设行政主管部门要求的岗位证书，并提供我公司为其缴纳的养老保险证明材料。中标后不能满足该要求的，取消我公司中标资格，给</w:t>
      </w:r>
      <w:r>
        <w:rPr>
          <w:rFonts w:hint="eastAsia" w:ascii="宋体" w:hAnsi="宋体"/>
          <w:color w:val="auto"/>
          <w:szCs w:val="21"/>
          <w:highlight w:val="none"/>
          <w:lang w:val="en-US" w:eastAsia="zh-CN"/>
        </w:rPr>
        <w:t>贵单位</w:t>
      </w:r>
      <w:r>
        <w:rPr>
          <w:rFonts w:hint="eastAsia" w:ascii="宋体" w:hAnsi="宋体"/>
          <w:color w:val="auto"/>
          <w:szCs w:val="21"/>
          <w:highlight w:val="none"/>
        </w:rPr>
        <w:t>造成损失的，我公司依法承担违约赔偿责任。</w:t>
      </w:r>
    </w:p>
    <w:p>
      <w:pPr>
        <w:numPr>
          <w:ilvl w:val="0"/>
          <w:numId w:val="2"/>
        </w:num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我公司承诺：已标价工程量清单符合第五章“工程量清单”给出的范围及数量，招标文件中规定工程量清单不允许修改的内容不得修改，每项工程量清单综合单价报价不得高于对应工程量清单综合单价最高限价。</w:t>
      </w:r>
      <w:r>
        <w:rPr>
          <w:rFonts w:hint="eastAsia" w:ascii="宋体" w:hAnsi="宋体"/>
          <w:color w:val="auto"/>
          <w:szCs w:val="21"/>
          <w:highlight w:val="none"/>
          <w:lang w:val="en-US" w:eastAsia="zh-CN"/>
        </w:rPr>
        <w:t>贵单位</w:t>
      </w:r>
      <w:r>
        <w:rPr>
          <w:rFonts w:hint="eastAsia" w:ascii="宋体" w:hAnsi="宋体"/>
          <w:color w:val="auto"/>
          <w:szCs w:val="21"/>
          <w:highlight w:val="none"/>
        </w:rPr>
        <w:t>可在合同签订前对我公司已标价工程量清单进行清标。若发现我公司的工程量清单综合单价报价超过招标时给出的工程量清单综合单价最高限价的，在工程结算时</w:t>
      </w:r>
      <w:r>
        <w:rPr>
          <w:rFonts w:hint="eastAsia" w:ascii="宋体" w:hAnsi="宋体"/>
          <w:color w:val="auto"/>
          <w:szCs w:val="21"/>
          <w:highlight w:val="none"/>
          <w:lang w:val="en-US" w:eastAsia="zh-CN"/>
        </w:rPr>
        <w:t>贵单位</w:t>
      </w:r>
      <w:r>
        <w:rPr>
          <w:rFonts w:hint="eastAsia" w:ascii="宋体" w:hAnsi="宋体"/>
          <w:color w:val="auto"/>
          <w:szCs w:val="21"/>
          <w:highlight w:val="none"/>
        </w:rPr>
        <w:t>以发出的工程量清单综合单价最高限价为基础，按照我公司的中标总报价与本工程的总价最高限价的下浮比例进行同比例下调，我公司无条件接受，否则按我公司违约处理。</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、我公司在资格审查部分中提供的相关证明材料真实有效，不存在弄虚作假情形。</w:t>
      </w:r>
      <w:r>
        <w:rPr>
          <w:rFonts w:hint="eastAsia" w:ascii="宋体" w:hAnsi="宋体"/>
          <w:color w:val="auto"/>
          <w:szCs w:val="21"/>
          <w:highlight w:val="none"/>
          <w:u w:val="single"/>
          <w:lang w:val="en-US" w:eastAsia="zh-CN"/>
        </w:rPr>
        <w:t>贵单位</w:t>
      </w:r>
      <w:r>
        <w:rPr>
          <w:rFonts w:hint="eastAsia" w:ascii="宋体" w:hAnsi="宋体"/>
          <w:color w:val="auto"/>
          <w:szCs w:val="21"/>
          <w:highlight w:val="none"/>
          <w:u w:val="single"/>
        </w:rPr>
        <w:t>在合同签订前均有权对我</w:t>
      </w:r>
      <w:r>
        <w:rPr>
          <w:rFonts w:hint="eastAsia" w:ascii="宋体" w:hAnsi="宋体"/>
          <w:color w:val="auto"/>
          <w:szCs w:val="21"/>
          <w:highlight w:val="none"/>
          <w:u w:val="single"/>
          <w:lang w:val="en-US" w:eastAsia="zh-CN"/>
        </w:rPr>
        <w:t>公</w:t>
      </w:r>
      <w:r>
        <w:rPr>
          <w:rFonts w:hint="eastAsia" w:ascii="宋体" w:hAnsi="宋体"/>
          <w:color w:val="auto"/>
          <w:szCs w:val="21"/>
          <w:highlight w:val="none"/>
          <w:u w:val="single"/>
        </w:rPr>
        <w:t>司提供的资料进行核实，若发现弄虚作假，</w:t>
      </w:r>
      <w:r>
        <w:rPr>
          <w:rFonts w:hint="eastAsia" w:ascii="宋体" w:hAnsi="宋体"/>
          <w:color w:val="auto"/>
          <w:szCs w:val="21"/>
          <w:highlight w:val="none"/>
          <w:u w:val="single"/>
          <w:lang w:val="en-US" w:eastAsia="zh-CN"/>
        </w:rPr>
        <w:t>按相关规定</w:t>
      </w:r>
      <w:r>
        <w:rPr>
          <w:rFonts w:hint="eastAsia" w:ascii="宋体" w:hAnsi="宋体"/>
          <w:color w:val="auto"/>
          <w:szCs w:val="21"/>
          <w:highlight w:val="none"/>
          <w:u w:val="single"/>
        </w:rPr>
        <w:t>取消</w:t>
      </w:r>
      <w:r>
        <w:rPr>
          <w:rFonts w:hint="eastAsia" w:ascii="宋体" w:hAnsi="宋体"/>
          <w:color w:val="auto"/>
          <w:szCs w:val="21"/>
          <w:highlight w:val="none"/>
          <w:u w:val="single"/>
          <w:lang w:val="en-US" w:eastAsia="zh-CN"/>
        </w:rPr>
        <w:t>我公司</w:t>
      </w:r>
      <w:r>
        <w:rPr>
          <w:rFonts w:hint="eastAsia" w:ascii="宋体" w:hAnsi="宋体"/>
          <w:color w:val="auto"/>
          <w:szCs w:val="21"/>
          <w:highlight w:val="none"/>
          <w:u w:val="single"/>
        </w:rPr>
        <w:t>中标资格，并按相关法律法规报招标投标监督部门，投标保证金不予退还，我</w:t>
      </w:r>
      <w:r>
        <w:rPr>
          <w:rFonts w:hint="eastAsia" w:ascii="宋体" w:hAnsi="宋体"/>
          <w:color w:val="auto"/>
          <w:szCs w:val="21"/>
          <w:highlight w:val="none"/>
          <w:u w:val="single"/>
          <w:lang w:val="en-US" w:eastAsia="zh-CN"/>
        </w:rPr>
        <w:t>公</w:t>
      </w:r>
      <w:r>
        <w:rPr>
          <w:rFonts w:hint="eastAsia" w:ascii="宋体" w:hAnsi="宋体"/>
          <w:color w:val="auto"/>
          <w:szCs w:val="21"/>
          <w:highlight w:val="none"/>
          <w:u w:val="single"/>
        </w:rPr>
        <w:t>司自愿承担因此造成的相关责任并赔偿相应损失</w:t>
      </w:r>
      <w:r>
        <w:rPr>
          <w:rFonts w:hint="eastAsia" w:ascii="宋体" w:hAnsi="宋体"/>
          <w:color w:val="auto"/>
          <w:szCs w:val="21"/>
          <w:highlight w:val="none"/>
        </w:rPr>
        <w:t>。</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、我公司不存在第二章 投标人须知第 1.4.3 项规定的任何一种情形。</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、我公司的投标文件符合第二章 投标人须知第 1.3.1 项的规定。</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、我公司的投标文件符合第四章 合同条款及格式规定，投标文件中没有</w:t>
      </w:r>
      <w:r>
        <w:rPr>
          <w:rFonts w:hint="eastAsia" w:ascii="宋体" w:hAnsi="宋体"/>
          <w:color w:val="auto"/>
          <w:szCs w:val="21"/>
          <w:highlight w:val="none"/>
          <w:lang w:val="en-US" w:eastAsia="zh-CN"/>
        </w:rPr>
        <w:t>贵单位</w:t>
      </w:r>
      <w:r>
        <w:rPr>
          <w:rFonts w:hint="eastAsia" w:ascii="宋体" w:hAnsi="宋体"/>
          <w:color w:val="auto"/>
          <w:szCs w:val="21"/>
          <w:highlight w:val="none"/>
        </w:rPr>
        <w:t>不能接受的条件。</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、我公司的</w:t>
      </w:r>
      <w:r>
        <w:rPr>
          <w:rFonts w:hint="eastAsia" w:ascii="宋体" w:hAnsi="宋体" w:eastAsia="宋体" w:cs="Times New Roman"/>
          <w:color w:val="auto"/>
          <w:szCs w:val="21"/>
          <w:highlight w:val="none"/>
        </w:rPr>
        <w:t>投标文件符合第七章 技术标准和要求（如有）。</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9、我公司接受招标文件中关于“不允许负数报价”的相关要求（如有）。</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ascii="宋体" w:hAnsi="宋体"/>
          <w:color w:val="auto"/>
          <w:kern w:val="0"/>
          <w:szCs w:val="21"/>
          <w:highlight w:val="none"/>
        </w:rPr>
      </w:pPr>
      <w:r>
        <w:rPr>
          <w:rFonts w:hint="eastAsia" w:ascii="宋体" w:hAnsi="宋体" w:eastAsia="宋体" w:cs="Times New Roman"/>
          <w:color w:val="auto"/>
          <w:szCs w:val="21"/>
          <w:highlight w:val="none"/>
          <w:lang w:val="en-US" w:eastAsia="zh-CN"/>
        </w:rPr>
        <w:t>10、我公司</w:t>
      </w:r>
      <w:r>
        <w:rPr>
          <w:rFonts w:hint="eastAsia" w:ascii="宋体" w:hAnsi="宋体" w:eastAsia="宋体" w:cs="Times New Roman"/>
          <w:color w:val="auto"/>
          <w:szCs w:val="21"/>
          <w:highlight w:val="none"/>
        </w:rPr>
        <w:t>承诺：中标后，拟派的高空作业人员到本项目任职</w:t>
      </w:r>
      <w:r>
        <w:rPr>
          <w:rFonts w:hint="eastAsia" w:ascii="宋体" w:hAnsi="宋体" w:eastAsia="宋体" w:cs="Times New Roman"/>
          <w:color w:val="auto"/>
          <w:szCs w:val="21"/>
          <w:highlight w:val="none"/>
          <w:lang w:eastAsia="zh-CN"/>
        </w:rPr>
        <w:t>。</w:t>
      </w:r>
      <w:bookmarkEnd w:id="903"/>
      <w:bookmarkEnd w:id="904"/>
    </w:p>
    <w:p>
      <w:pPr>
        <w:tabs>
          <w:tab w:val="left" w:pos="4200"/>
          <w:tab w:val="left" w:pos="4620"/>
        </w:tabs>
        <w:autoSpaceDE w:val="0"/>
        <w:autoSpaceDN w:val="0"/>
        <w:adjustRightInd w:val="0"/>
        <w:snapToGrid w:val="0"/>
        <w:spacing w:line="360" w:lineRule="auto"/>
        <w:jc w:val="left"/>
        <w:rPr>
          <w:rFonts w:ascii="宋体" w:hAnsi="宋体"/>
          <w:color w:val="auto"/>
          <w:kern w:val="0"/>
          <w:szCs w:val="21"/>
          <w:highlight w:val="none"/>
        </w:rPr>
      </w:pPr>
    </w:p>
    <w:p>
      <w:pPr>
        <w:tabs>
          <w:tab w:val="left" w:pos="4200"/>
          <w:tab w:val="left" w:pos="462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pPr>
        <w:tabs>
          <w:tab w:val="left" w:pos="6300"/>
        </w:tabs>
        <w:autoSpaceDE w:val="0"/>
        <w:autoSpaceDN w:val="0"/>
        <w:adjustRightInd w:val="0"/>
        <w:snapToGrid w:val="0"/>
        <w:ind w:firstLine="420" w:firstLineChars="200"/>
        <w:jc w:val="right"/>
        <w:rPr>
          <w:rFonts w:ascii="宋体" w:hAnsi="宋体"/>
          <w:b/>
          <w:color w:val="auto"/>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日</w:t>
      </w:r>
    </w:p>
    <w:p>
      <w:pPr>
        <w:rPr>
          <w:color w:val="auto"/>
          <w:highlight w:val="none"/>
        </w:rPr>
      </w:pPr>
      <w:r>
        <w:rPr>
          <w:color w:val="auto"/>
          <w:highlight w:val="none"/>
        </w:rPr>
        <w:br w:type="page"/>
      </w:r>
    </w:p>
    <w:p>
      <w:pPr>
        <w:pStyle w:val="4"/>
        <w:spacing w:before="0" w:line="360" w:lineRule="auto"/>
        <w:jc w:val="center"/>
        <w:rPr>
          <w:rFonts w:ascii="宋体" w:hAnsi="宋体"/>
          <w:b w:val="0"/>
          <w:color w:val="auto"/>
          <w:highlight w:val="none"/>
        </w:rPr>
      </w:pPr>
      <w:bookmarkStart w:id="905" w:name="_Toc57905936"/>
      <w:r>
        <w:rPr>
          <w:rFonts w:hint="eastAsia" w:ascii="宋体" w:hAnsi="宋体"/>
          <w:b w:val="0"/>
          <w:color w:val="auto"/>
          <w:highlight w:val="none"/>
        </w:rPr>
        <w:t>（</w:t>
      </w:r>
      <w:r>
        <w:rPr>
          <w:rFonts w:hint="eastAsia" w:ascii="宋体" w:hAnsi="宋体"/>
          <w:b w:val="0"/>
          <w:color w:val="auto"/>
          <w:highlight w:val="none"/>
          <w:lang w:val="en-US" w:eastAsia="zh-CN"/>
        </w:rPr>
        <w:t>六</w:t>
      </w:r>
      <w:r>
        <w:rPr>
          <w:rFonts w:hint="eastAsia" w:ascii="宋体" w:hAnsi="宋体"/>
          <w:b w:val="0"/>
          <w:color w:val="auto"/>
          <w:highlight w:val="none"/>
        </w:rPr>
        <w:t>）其他资料</w:t>
      </w:r>
      <w:bookmarkEnd w:id="905"/>
    </w:p>
    <w:bookmarkEnd w:id="603"/>
    <w:bookmarkEnd w:id="604"/>
    <w:bookmarkEnd w:id="605"/>
    <w:p>
      <w:pPr>
        <w:rPr>
          <w:rFonts w:ascii="宋体" w:hAnsi="宋体"/>
          <w:b/>
          <w:color w:val="auto"/>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haracter">
                  <wp:posOffset>3884295</wp:posOffset>
                </wp:positionH>
                <wp:positionV relativeFrom="line">
                  <wp:posOffset>9352915</wp:posOffset>
                </wp:positionV>
                <wp:extent cx="419735" cy="198120"/>
                <wp:effectExtent l="0" t="0" r="0" b="0"/>
                <wp:wrapNone/>
                <wp:docPr id="116" name="矩形 114"/>
                <wp:cNvGraphicFramePr/>
                <a:graphic xmlns:a="http://schemas.openxmlformats.org/drawingml/2006/main">
                  <a:graphicData uri="http://schemas.microsoft.com/office/word/2010/wordprocessingShape">
                    <wps:wsp>
                      <wps:cNvSpPr/>
                      <wps:spPr>
                        <a:xfrm rot="-2640000">
                          <a:off x="6445250" y="7244715"/>
                          <a:ext cx="419735" cy="198120"/>
                        </a:xfrm>
                        <a:prstGeom prst="rect">
                          <a:avLst/>
                        </a:prstGeom>
                        <a:noFill/>
                        <a:ln w="9525">
                          <a:noFill/>
                        </a:ln>
                        <a:effectLst/>
                      </wps:spPr>
                      <wps:txbx>
                        <w:txbxContent>
                          <w:p>
                            <w:pPr>
                              <w:rPr>
                                <w:sz w:val="20"/>
                              </w:rPr>
                            </w:pPr>
                            <w:r>
                              <w:rPr>
                                <w:rFonts w:hint="eastAsia" w:ascii="宋体" w:cs="宋体"/>
                                <w:bCs/>
                                <w:color w:val="000000"/>
                                <w:sz w:val="22"/>
                              </w:rPr>
                              <w:t>密封线</w:t>
                            </w:r>
                          </w:p>
                        </w:txbxContent>
                      </wps:txbx>
                      <wps:bodyPr wrap="none" lIns="0" tIns="0" rIns="0" bIns="0" upright="1">
                        <a:spAutoFit/>
                      </wps:bodyPr>
                    </wps:wsp>
                  </a:graphicData>
                </a:graphic>
              </wp:anchor>
            </w:drawing>
          </mc:Choice>
          <mc:Fallback>
            <w:pict>
              <v:rect id="矩形 114" o:spid="_x0000_s1026" o:spt="1" style="position:absolute;left:0pt;margin-left:305.85pt;margin-top:736.45pt;height:15.6pt;width:33.05pt;mso-position-horizontal-relative:char;mso-position-vertical-relative:line;mso-wrap-style:none;rotation:-2883584f;z-index:251659264;mso-width-relative:page;mso-height-relative:page;" filled="f" stroked="f" coordsize="21600,21600" o:gfxdata="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hgYZNkAAAANAQAADwAAAAAAAAABACAAAAAiAAAAZHJzL2Rvd25yZXYueG1sUEsBAhQAFAAA&#10;AAgAh07iQF7svvbuAQAAwAMAAA4AAAAAAAAAAQAgAAAAKAEAAGRycy9lMm9Eb2MueG1sUEsFBgAA&#10;AAAGAAYAWQEAAIgFAAAAAA==&#10;">
                <v:fill on="f" focussize="0,0"/>
                <v:stroke on="f"/>
                <v:imagedata o:title=""/>
                <o:lock v:ext="edit" aspectratio="f"/>
                <v:textbox inset="0mm,0mm,0mm,0mm" style="mso-fit-shape-to-text:t;">
                  <w:txbxContent>
                    <w:p>
                      <w:pPr>
                        <w:rPr>
                          <w:sz w:val="20"/>
                        </w:rPr>
                      </w:pPr>
                      <w:r>
                        <w:rPr>
                          <w:rFonts w:hint="eastAsia" w:ascii="宋体" w:cs="宋体"/>
                          <w:bCs/>
                          <w:color w:val="000000"/>
                          <w:sz w:val="22"/>
                        </w:rPr>
                        <w:t>密封线</w:t>
                      </w:r>
                    </w:p>
                  </w:txbxContent>
                </v:textbox>
              </v:rect>
            </w:pict>
          </mc:Fallback>
        </mc:AlternateContent>
      </w:r>
    </w:p>
    <w:sectPr>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微软雅黑"/>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方正仿宋简体">
    <w:altName w:val="微软雅黑"/>
    <w:panose1 w:val="00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Microsoft Sans Serif">
    <w:panose1 w:val="020B0604020202020204"/>
    <w:charset w:val="00"/>
    <w:family w:val="swiss"/>
    <w:pitch w:val="default"/>
    <w:sig w:usb0="E5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0"/>
      </w:rPr>
    </w:pPr>
    <w:r>
      <w:fldChar w:fldCharType="begin"/>
    </w:r>
    <w:r>
      <w:rPr>
        <w:rStyle w:val="50"/>
      </w:rPr>
      <w:instrText xml:space="preserve">PAGE  </w:instrText>
    </w:r>
    <w:r>
      <w:fldChar w:fldCharType="separate"/>
    </w:r>
    <w:r>
      <w:rPr>
        <w:rStyle w:val="50"/>
      </w:rPr>
      <w:t>- 3 -</w:t>
    </w:r>
    <w:r>
      <w:fldChar w:fldCharType="end"/>
    </w:r>
  </w:p>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t xml:space="preserve">- </w:t>
    </w:r>
    <w:r>
      <w:fldChar w:fldCharType="begin"/>
    </w:r>
    <w:r>
      <w:instrText xml:space="preserve"> PAGE </w:instrText>
    </w:r>
    <w:r>
      <w:fldChar w:fldCharType="separate"/>
    </w:r>
    <w:r>
      <w:t>243</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0"/>
      </w:rPr>
    </w:pPr>
    <w:r>
      <w:fldChar w:fldCharType="begin"/>
    </w:r>
    <w:r>
      <w:rPr>
        <w:rStyle w:val="50"/>
      </w:rPr>
      <w:instrText xml:space="preserve">PAGE  </w:instrText>
    </w:r>
    <w:r>
      <w:fldChar w:fldCharType="separate"/>
    </w:r>
    <w:r>
      <w:rPr>
        <w:rStyle w:val="50"/>
      </w:rPr>
      <w:t>264</w:t>
    </w:r>
    <w:r>
      <w:fldChar w:fldCharType="end"/>
    </w:r>
  </w:p>
  <w:p>
    <w:pPr>
      <w:pStyle w:val="2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34"/>
        <w:ind w:firstLine="360" w:firstLineChars="200"/>
        <w:rPr>
          <w:rFonts w:ascii="Times New Roman" w:hAnsi="Times New Roman" w:cs="Times New Roman"/>
          <w:lang w:eastAsia="zh-CN"/>
        </w:rPr>
      </w:pPr>
      <w:r>
        <w:rPr>
          <w:rStyle w:val="55"/>
        </w:rPr>
        <w:footnoteRef/>
      </w:r>
      <w:r>
        <w:rPr>
          <w:rFonts w:ascii="Times New Roman" w:hAnsi="Times New Roman" w:cs="Times New Roman"/>
          <w:lang w:eastAsia="zh-CN"/>
        </w:rPr>
        <w:t>“</w:t>
      </w:r>
      <w:r>
        <w:rPr>
          <w:rFonts w:ascii="Times New Roman" w:cs="Times New Roman"/>
          <w:lang w:eastAsia="zh-CN"/>
        </w:rPr>
        <w:t>总价</w:t>
      </w:r>
      <w:r>
        <w:rPr>
          <w:rFonts w:ascii="Times New Roman" w:hAnsi="Times New Roman" w:cs="Times New Roman"/>
          <w:lang w:eastAsia="zh-CN"/>
        </w:rPr>
        <w:t>”</w:t>
      </w:r>
      <w:r>
        <w:rPr>
          <w:rFonts w:ascii="Times New Roman" w:cs="Times New Roman"/>
          <w:lang w:eastAsia="zh-CN"/>
        </w:rPr>
        <w:t>是指</w:t>
      </w:r>
      <w:r>
        <w:rPr>
          <w:rFonts w:ascii="Times New Roman" w:hAnsi="Times New Roman" w:cs="Times New Roman"/>
          <w:lang w:eastAsia="zh-CN"/>
        </w:rPr>
        <w:t>在工程量清单中以“项”或“总额”为计量单位、以总价计价的子目，一般用于不能按照约定的工程量计算规则确定数量的子目。总价子目一般按照分期、完成合同价的百分比或完成进度计划的形象进度节点等方式予以分解支付。总价子目的计量方法由发包人在专用合同条款12.3.1中明</w:t>
      </w:r>
      <w:r>
        <w:rPr>
          <w:rFonts w:ascii="Times New Roman" w:cs="Times New Roman"/>
          <w:lang w:eastAsia="zh-CN"/>
        </w:rPr>
        <w:t>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B7D411"/>
    <w:multiLevelType w:val="singleLevel"/>
    <w:tmpl w:val="CFB7D411"/>
    <w:lvl w:ilvl="0" w:tentative="0">
      <w:start w:val="7"/>
      <w:numFmt w:val="decimal"/>
      <w:suff w:val="space"/>
      <w:lvlText w:val="%1."/>
      <w:lvlJc w:val="left"/>
    </w:lvl>
  </w:abstractNum>
  <w:abstractNum w:abstractNumId="1">
    <w:nsid w:val="5F471D00"/>
    <w:multiLevelType w:val="singleLevel"/>
    <w:tmpl w:val="5F471D00"/>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E1OGI3Y2Q2MWFiNzg3ZTFhODM4M2NjNWI1ODgyM2YifQ=="/>
  </w:docVars>
  <w:rsids>
    <w:rsidRoot w:val="00172A27"/>
    <w:rsid w:val="00001B1E"/>
    <w:rsid w:val="000027C8"/>
    <w:rsid w:val="00003A3F"/>
    <w:rsid w:val="00005E79"/>
    <w:rsid w:val="000067A3"/>
    <w:rsid w:val="000133A8"/>
    <w:rsid w:val="00014DF1"/>
    <w:rsid w:val="00015C9C"/>
    <w:rsid w:val="0001647D"/>
    <w:rsid w:val="0001650A"/>
    <w:rsid w:val="00017B09"/>
    <w:rsid w:val="00017D2A"/>
    <w:rsid w:val="00017F2D"/>
    <w:rsid w:val="00021228"/>
    <w:rsid w:val="000215EB"/>
    <w:rsid w:val="00022747"/>
    <w:rsid w:val="00022F4C"/>
    <w:rsid w:val="00023B7F"/>
    <w:rsid w:val="00024492"/>
    <w:rsid w:val="0002592F"/>
    <w:rsid w:val="00025DD0"/>
    <w:rsid w:val="00025FB1"/>
    <w:rsid w:val="000301A4"/>
    <w:rsid w:val="00030255"/>
    <w:rsid w:val="000316FE"/>
    <w:rsid w:val="00032255"/>
    <w:rsid w:val="0003238E"/>
    <w:rsid w:val="0003256A"/>
    <w:rsid w:val="00033076"/>
    <w:rsid w:val="00033847"/>
    <w:rsid w:val="000347EB"/>
    <w:rsid w:val="00034B81"/>
    <w:rsid w:val="00035320"/>
    <w:rsid w:val="0003558C"/>
    <w:rsid w:val="00035863"/>
    <w:rsid w:val="000358D8"/>
    <w:rsid w:val="00035E2F"/>
    <w:rsid w:val="000365B0"/>
    <w:rsid w:val="0003673D"/>
    <w:rsid w:val="00037549"/>
    <w:rsid w:val="00037672"/>
    <w:rsid w:val="00040CBD"/>
    <w:rsid w:val="000415C5"/>
    <w:rsid w:val="000418B4"/>
    <w:rsid w:val="000426A8"/>
    <w:rsid w:val="000426EA"/>
    <w:rsid w:val="000434B1"/>
    <w:rsid w:val="000437CD"/>
    <w:rsid w:val="00046EAC"/>
    <w:rsid w:val="000479E7"/>
    <w:rsid w:val="00050329"/>
    <w:rsid w:val="00050A2B"/>
    <w:rsid w:val="00050F21"/>
    <w:rsid w:val="00053B37"/>
    <w:rsid w:val="00054784"/>
    <w:rsid w:val="00054C30"/>
    <w:rsid w:val="00054D78"/>
    <w:rsid w:val="00054F64"/>
    <w:rsid w:val="0005572F"/>
    <w:rsid w:val="0005605E"/>
    <w:rsid w:val="00057103"/>
    <w:rsid w:val="000574B5"/>
    <w:rsid w:val="000578DC"/>
    <w:rsid w:val="00057D13"/>
    <w:rsid w:val="00061927"/>
    <w:rsid w:val="00061B42"/>
    <w:rsid w:val="00062D58"/>
    <w:rsid w:val="00063C01"/>
    <w:rsid w:val="000640B5"/>
    <w:rsid w:val="000654D9"/>
    <w:rsid w:val="00065C93"/>
    <w:rsid w:val="00065F0A"/>
    <w:rsid w:val="000677BF"/>
    <w:rsid w:val="00067E50"/>
    <w:rsid w:val="000703E1"/>
    <w:rsid w:val="00070444"/>
    <w:rsid w:val="00070DB4"/>
    <w:rsid w:val="00070F01"/>
    <w:rsid w:val="00072C40"/>
    <w:rsid w:val="0007377C"/>
    <w:rsid w:val="00074445"/>
    <w:rsid w:val="00074926"/>
    <w:rsid w:val="000753AE"/>
    <w:rsid w:val="0007662F"/>
    <w:rsid w:val="00076C46"/>
    <w:rsid w:val="00077788"/>
    <w:rsid w:val="000777DB"/>
    <w:rsid w:val="000819E5"/>
    <w:rsid w:val="00081E58"/>
    <w:rsid w:val="00084056"/>
    <w:rsid w:val="00084085"/>
    <w:rsid w:val="000843AE"/>
    <w:rsid w:val="00084AD3"/>
    <w:rsid w:val="00085720"/>
    <w:rsid w:val="00086C0A"/>
    <w:rsid w:val="00086F23"/>
    <w:rsid w:val="00090828"/>
    <w:rsid w:val="0009092D"/>
    <w:rsid w:val="00090FD7"/>
    <w:rsid w:val="000925AC"/>
    <w:rsid w:val="000927A3"/>
    <w:rsid w:val="00092F8F"/>
    <w:rsid w:val="00093409"/>
    <w:rsid w:val="0009358F"/>
    <w:rsid w:val="00093B07"/>
    <w:rsid w:val="00095189"/>
    <w:rsid w:val="0009559A"/>
    <w:rsid w:val="00095DEF"/>
    <w:rsid w:val="0009606E"/>
    <w:rsid w:val="000967E2"/>
    <w:rsid w:val="00097C86"/>
    <w:rsid w:val="000A0398"/>
    <w:rsid w:val="000A0D3C"/>
    <w:rsid w:val="000A2AF4"/>
    <w:rsid w:val="000A2CA5"/>
    <w:rsid w:val="000A41FD"/>
    <w:rsid w:val="000A4A55"/>
    <w:rsid w:val="000A569B"/>
    <w:rsid w:val="000A6BF5"/>
    <w:rsid w:val="000A7403"/>
    <w:rsid w:val="000B0F51"/>
    <w:rsid w:val="000B1596"/>
    <w:rsid w:val="000B1B81"/>
    <w:rsid w:val="000B1DE8"/>
    <w:rsid w:val="000B283B"/>
    <w:rsid w:val="000B3303"/>
    <w:rsid w:val="000B489F"/>
    <w:rsid w:val="000B4C5B"/>
    <w:rsid w:val="000B5039"/>
    <w:rsid w:val="000B55BE"/>
    <w:rsid w:val="000B5C3A"/>
    <w:rsid w:val="000B5E88"/>
    <w:rsid w:val="000B6648"/>
    <w:rsid w:val="000B786B"/>
    <w:rsid w:val="000C00B2"/>
    <w:rsid w:val="000C079C"/>
    <w:rsid w:val="000C0EE5"/>
    <w:rsid w:val="000C1370"/>
    <w:rsid w:val="000C13A1"/>
    <w:rsid w:val="000C30AC"/>
    <w:rsid w:val="000C3285"/>
    <w:rsid w:val="000C463E"/>
    <w:rsid w:val="000C5AA2"/>
    <w:rsid w:val="000C5C93"/>
    <w:rsid w:val="000C6282"/>
    <w:rsid w:val="000D1F8D"/>
    <w:rsid w:val="000D21F1"/>
    <w:rsid w:val="000D252E"/>
    <w:rsid w:val="000D3548"/>
    <w:rsid w:val="000D3551"/>
    <w:rsid w:val="000D42D0"/>
    <w:rsid w:val="000D5211"/>
    <w:rsid w:val="000D65FC"/>
    <w:rsid w:val="000D6B45"/>
    <w:rsid w:val="000D6FB3"/>
    <w:rsid w:val="000D7254"/>
    <w:rsid w:val="000D753D"/>
    <w:rsid w:val="000D76E1"/>
    <w:rsid w:val="000D7823"/>
    <w:rsid w:val="000E0DB3"/>
    <w:rsid w:val="000E10A5"/>
    <w:rsid w:val="000E1A63"/>
    <w:rsid w:val="000E2122"/>
    <w:rsid w:val="000E413E"/>
    <w:rsid w:val="000E4C3D"/>
    <w:rsid w:val="000E6849"/>
    <w:rsid w:val="000E72B9"/>
    <w:rsid w:val="000F05AB"/>
    <w:rsid w:val="000F091D"/>
    <w:rsid w:val="000F1B68"/>
    <w:rsid w:val="000F1BD2"/>
    <w:rsid w:val="000F2179"/>
    <w:rsid w:val="000F278B"/>
    <w:rsid w:val="000F2955"/>
    <w:rsid w:val="000F40C0"/>
    <w:rsid w:val="000F45C8"/>
    <w:rsid w:val="000F4BBE"/>
    <w:rsid w:val="000F50C6"/>
    <w:rsid w:val="000F51EA"/>
    <w:rsid w:val="000F5AD4"/>
    <w:rsid w:val="000F7CF5"/>
    <w:rsid w:val="00100471"/>
    <w:rsid w:val="00101E5F"/>
    <w:rsid w:val="001025D9"/>
    <w:rsid w:val="00105F22"/>
    <w:rsid w:val="001062D4"/>
    <w:rsid w:val="001066B1"/>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2046B"/>
    <w:rsid w:val="001209B5"/>
    <w:rsid w:val="001214C7"/>
    <w:rsid w:val="00121F6B"/>
    <w:rsid w:val="00121FD0"/>
    <w:rsid w:val="00122362"/>
    <w:rsid w:val="0012259E"/>
    <w:rsid w:val="00122D4D"/>
    <w:rsid w:val="0012481C"/>
    <w:rsid w:val="001303A1"/>
    <w:rsid w:val="00131C48"/>
    <w:rsid w:val="00131D1B"/>
    <w:rsid w:val="001330BB"/>
    <w:rsid w:val="00134327"/>
    <w:rsid w:val="001347A9"/>
    <w:rsid w:val="00135872"/>
    <w:rsid w:val="00136D1E"/>
    <w:rsid w:val="00136E6E"/>
    <w:rsid w:val="00137F99"/>
    <w:rsid w:val="00140FF4"/>
    <w:rsid w:val="001440F2"/>
    <w:rsid w:val="001455A1"/>
    <w:rsid w:val="00145AE6"/>
    <w:rsid w:val="00145F46"/>
    <w:rsid w:val="001460D9"/>
    <w:rsid w:val="001466BF"/>
    <w:rsid w:val="00146C44"/>
    <w:rsid w:val="00147FD9"/>
    <w:rsid w:val="00150025"/>
    <w:rsid w:val="00150696"/>
    <w:rsid w:val="00150964"/>
    <w:rsid w:val="001509E3"/>
    <w:rsid w:val="00150A27"/>
    <w:rsid w:val="00150F2A"/>
    <w:rsid w:val="00152078"/>
    <w:rsid w:val="001534E6"/>
    <w:rsid w:val="00153F38"/>
    <w:rsid w:val="0015532E"/>
    <w:rsid w:val="0015596B"/>
    <w:rsid w:val="00155D1F"/>
    <w:rsid w:val="00156677"/>
    <w:rsid w:val="0016132F"/>
    <w:rsid w:val="0016174D"/>
    <w:rsid w:val="00162B36"/>
    <w:rsid w:val="0016317C"/>
    <w:rsid w:val="00164DCB"/>
    <w:rsid w:val="00165642"/>
    <w:rsid w:val="00165B64"/>
    <w:rsid w:val="00165D82"/>
    <w:rsid w:val="00166F24"/>
    <w:rsid w:val="00167BBE"/>
    <w:rsid w:val="001721A5"/>
    <w:rsid w:val="0017293A"/>
    <w:rsid w:val="00172A27"/>
    <w:rsid w:val="00172DEA"/>
    <w:rsid w:val="00172F37"/>
    <w:rsid w:val="00173A7B"/>
    <w:rsid w:val="00174134"/>
    <w:rsid w:val="00176A64"/>
    <w:rsid w:val="00176B11"/>
    <w:rsid w:val="00176C6C"/>
    <w:rsid w:val="00177E29"/>
    <w:rsid w:val="00177F8E"/>
    <w:rsid w:val="001806AD"/>
    <w:rsid w:val="001818BD"/>
    <w:rsid w:val="00182F9F"/>
    <w:rsid w:val="00184528"/>
    <w:rsid w:val="00184AF6"/>
    <w:rsid w:val="001862DC"/>
    <w:rsid w:val="00186401"/>
    <w:rsid w:val="00186442"/>
    <w:rsid w:val="001866A1"/>
    <w:rsid w:val="00192735"/>
    <w:rsid w:val="00193696"/>
    <w:rsid w:val="001947FB"/>
    <w:rsid w:val="001953C5"/>
    <w:rsid w:val="00195720"/>
    <w:rsid w:val="00196CDD"/>
    <w:rsid w:val="001975C9"/>
    <w:rsid w:val="001A05FF"/>
    <w:rsid w:val="001A189F"/>
    <w:rsid w:val="001A1CD8"/>
    <w:rsid w:val="001A293D"/>
    <w:rsid w:val="001A2A77"/>
    <w:rsid w:val="001A3908"/>
    <w:rsid w:val="001A5133"/>
    <w:rsid w:val="001A77C4"/>
    <w:rsid w:val="001A7BE0"/>
    <w:rsid w:val="001B15C6"/>
    <w:rsid w:val="001B17D1"/>
    <w:rsid w:val="001B229E"/>
    <w:rsid w:val="001B2B2F"/>
    <w:rsid w:val="001B2DEF"/>
    <w:rsid w:val="001B3B8F"/>
    <w:rsid w:val="001B412E"/>
    <w:rsid w:val="001B48E0"/>
    <w:rsid w:val="001B4A7A"/>
    <w:rsid w:val="001B4D7D"/>
    <w:rsid w:val="001B5125"/>
    <w:rsid w:val="001B5B97"/>
    <w:rsid w:val="001B6AA4"/>
    <w:rsid w:val="001C023F"/>
    <w:rsid w:val="001C02D5"/>
    <w:rsid w:val="001C0B84"/>
    <w:rsid w:val="001C1E56"/>
    <w:rsid w:val="001C2CF6"/>
    <w:rsid w:val="001C4064"/>
    <w:rsid w:val="001C49F4"/>
    <w:rsid w:val="001C71D7"/>
    <w:rsid w:val="001D0E02"/>
    <w:rsid w:val="001D0F66"/>
    <w:rsid w:val="001D125F"/>
    <w:rsid w:val="001D16DA"/>
    <w:rsid w:val="001D17FB"/>
    <w:rsid w:val="001D2271"/>
    <w:rsid w:val="001D251C"/>
    <w:rsid w:val="001D3B3D"/>
    <w:rsid w:val="001D42FF"/>
    <w:rsid w:val="001D4381"/>
    <w:rsid w:val="001D47CF"/>
    <w:rsid w:val="001D4A3E"/>
    <w:rsid w:val="001D6225"/>
    <w:rsid w:val="001D6439"/>
    <w:rsid w:val="001D67FA"/>
    <w:rsid w:val="001D6D8C"/>
    <w:rsid w:val="001E054D"/>
    <w:rsid w:val="001E1308"/>
    <w:rsid w:val="001E1520"/>
    <w:rsid w:val="001E19DD"/>
    <w:rsid w:val="001E19F9"/>
    <w:rsid w:val="001E2C16"/>
    <w:rsid w:val="001E3AAF"/>
    <w:rsid w:val="001E3D84"/>
    <w:rsid w:val="001E4F0E"/>
    <w:rsid w:val="001E594C"/>
    <w:rsid w:val="001E5E16"/>
    <w:rsid w:val="001E6BFA"/>
    <w:rsid w:val="001F07E9"/>
    <w:rsid w:val="001F0D0C"/>
    <w:rsid w:val="001F234F"/>
    <w:rsid w:val="001F24B9"/>
    <w:rsid w:val="001F31AC"/>
    <w:rsid w:val="001F3815"/>
    <w:rsid w:val="001F3DB0"/>
    <w:rsid w:val="001F3E77"/>
    <w:rsid w:val="001F57A7"/>
    <w:rsid w:val="001F5A67"/>
    <w:rsid w:val="001F5B59"/>
    <w:rsid w:val="00200192"/>
    <w:rsid w:val="00200EBF"/>
    <w:rsid w:val="00204D75"/>
    <w:rsid w:val="002050D7"/>
    <w:rsid w:val="002051B0"/>
    <w:rsid w:val="00205413"/>
    <w:rsid w:val="0020686F"/>
    <w:rsid w:val="002076AA"/>
    <w:rsid w:val="0021027A"/>
    <w:rsid w:val="00212A14"/>
    <w:rsid w:val="00214D88"/>
    <w:rsid w:val="00215906"/>
    <w:rsid w:val="00215A2A"/>
    <w:rsid w:val="002166F9"/>
    <w:rsid w:val="002168E9"/>
    <w:rsid w:val="0021733C"/>
    <w:rsid w:val="00217891"/>
    <w:rsid w:val="002207FA"/>
    <w:rsid w:val="00221627"/>
    <w:rsid w:val="00221E51"/>
    <w:rsid w:val="00221F8E"/>
    <w:rsid w:val="00221FE1"/>
    <w:rsid w:val="002220C5"/>
    <w:rsid w:val="00222689"/>
    <w:rsid w:val="00223852"/>
    <w:rsid w:val="002245B9"/>
    <w:rsid w:val="00225099"/>
    <w:rsid w:val="002250CA"/>
    <w:rsid w:val="0022607A"/>
    <w:rsid w:val="00226152"/>
    <w:rsid w:val="002264D0"/>
    <w:rsid w:val="002270BE"/>
    <w:rsid w:val="002329B7"/>
    <w:rsid w:val="00232AD2"/>
    <w:rsid w:val="0023462F"/>
    <w:rsid w:val="00235CED"/>
    <w:rsid w:val="002369E6"/>
    <w:rsid w:val="00237DCC"/>
    <w:rsid w:val="00237DD3"/>
    <w:rsid w:val="00237F17"/>
    <w:rsid w:val="0024052C"/>
    <w:rsid w:val="002410BB"/>
    <w:rsid w:val="0024122A"/>
    <w:rsid w:val="00241889"/>
    <w:rsid w:val="00243253"/>
    <w:rsid w:val="002432CD"/>
    <w:rsid w:val="00246803"/>
    <w:rsid w:val="002476F0"/>
    <w:rsid w:val="00247DA6"/>
    <w:rsid w:val="00251F81"/>
    <w:rsid w:val="00251FD7"/>
    <w:rsid w:val="002526AC"/>
    <w:rsid w:val="00252997"/>
    <w:rsid w:val="00253DE9"/>
    <w:rsid w:val="002555DD"/>
    <w:rsid w:val="002555E1"/>
    <w:rsid w:val="00255C94"/>
    <w:rsid w:val="00257031"/>
    <w:rsid w:val="00257EFE"/>
    <w:rsid w:val="002603C8"/>
    <w:rsid w:val="0026138C"/>
    <w:rsid w:val="00262012"/>
    <w:rsid w:val="002625BA"/>
    <w:rsid w:val="0026466E"/>
    <w:rsid w:val="00264D7B"/>
    <w:rsid w:val="00264DF5"/>
    <w:rsid w:val="00264EBF"/>
    <w:rsid w:val="002656F0"/>
    <w:rsid w:val="00265D30"/>
    <w:rsid w:val="00265D64"/>
    <w:rsid w:val="00265DD9"/>
    <w:rsid w:val="002667EA"/>
    <w:rsid w:val="00266C56"/>
    <w:rsid w:val="00267A99"/>
    <w:rsid w:val="002702C1"/>
    <w:rsid w:val="0027264B"/>
    <w:rsid w:val="002736CE"/>
    <w:rsid w:val="00273F7A"/>
    <w:rsid w:val="002742E2"/>
    <w:rsid w:val="00274CFD"/>
    <w:rsid w:val="00274ED6"/>
    <w:rsid w:val="002752C6"/>
    <w:rsid w:val="0027586B"/>
    <w:rsid w:val="00276BC6"/>
    <w:rsid w:val="00276C59"/>
    <w:rsid w:val="00276F21"/>
    <w:rsid w:val="0027711A"/>
    <w:rsid w:val="0027792D"/>
    <w:rsid w:val="00281357"/>
    <w:rsid w:val="002830A8"/>
    <w:rsid w:val="00283515"/>
    <w:rsid w:val="00283721"/>
    <w:rsid w:val="00283BAD"/>
    <w:rsid w:val="0028466A"/>
    <w:rsid w:val="002846E8"/>
    <w:rsid w:val="00284F98"/>
    <w:rsid w:val="00285507"/>
    <w:rsid w:val="0028561D"/>
    <w:rsid w:val="00285FF7"/>
    <w:rsid w:val="002860F1"/>
    <w:rsid w:val="002907E7"/>
    <w:rsid w:val="00291148"/>
    <w:rsid w:val="00292278"/>
    <w:rsid w:val="00295263"/>
    <w:rsid w:val="00295974"/>
    <w:rsid w:val="0029631A"/>
    <w:rsid w:val="00297BEE"/>
    <w:rsid w:val="002A0448"/>
    <w:rsid w:val="002A05DC"/>
    <w:rsid w:val="002A0F20"/>
    <w:rsid w:val="002A274B"/>
    <w:rsid w:val="002A3274"/>
    <w:rsid w:val="002A32D9"/>
    <w:rsid w:val="002A59B9"/>
    <w:rsid w:val="002B13CB"/>
    <w:rsid w:val="002B1854"/>
    <w:rsid w:val="002B1A51"/>
    <w:rsid w:val="002B1A7F"/>
    <w:rsid w:val="002B2AE1"/>
    <w:rsid w:val="002B3159"/>
    <w:rsid w:val="002B3A8F"/>
    <w:rsid w:val="002B3E1F"/>
    <w:rsid w:val="002B4646"/>
    <w:rsid w:val="002B5324"/>
    <w:rsid w:val="002B5C91"/>
    <w:rsid w:val="002B5F4B"/>
    <w:rsid w:val="002B6603"/>
    <w:rsid w:val="002B6F5F"/>
    <w:rsid w:val="002C0828"/>
    <w:rsid w:val="002C124B"/>
    <w:rsid w:val="002C1A0B"/>
    <w:rsid w:val="002C264C"/>
    <w:rsid w:val="002C33AF"/>
    <w:rsid w:val="002C3B75"/>
    <w:rsid w:val="002C47E9"/>
    <w:rsid w:val="002C4E26"/>
    <w:rsid w:val="002C4E6C"/>
    <w:rsid w:val="002C54BF"/>
    <w:rsid w:val="002C5519"/>
    <w:rsid w:val="002C59CD"/>
    <w:rsid w:val="002C67E5"/>
    <w:rsid w:val="002C6F5D"/>
    <w:rsid w:val="002D0639"/>
    <w:rsid w:val="002D08F4"/>
    <w:rsid w:val="002D097F"/>
    <w:rsid w:val="002D0D0C"/>
    <w:rsid w:val="002D1172"/>
    <w:rsid w:val="002D1258"/>
    <w:rsid w:val="002D13E8"/>
    <w:rsid w:val="002D223F"/>
    <w:rsid w:val="002D2807"/>
    <w:rsid w:val="002D2D97"/>
    <w:rsid w:val="002D3245"/>
    <w:rsid w:val="002D3BDF"/>
    <w:rsid w:val="002D426C"/>
    <w:rsid w:val="002D4721"/>
    <w:rsid w:val="002D472F"/>
    <w:rsid w:val="002D4DB6"/>
    <w:rsid w:val="002D7BD7"/>
    <w:rsid w:val="002E0719"/>
    <w:rsid w:val="002E0D86"/>
    <w:rsid w:val="002E1086"/>
    <w:rsid w:val="002E16AE"/>
    <w:rsid w:val="002E1795"/>
    <w:rsid w:val="002E1871"/>
    <w:rsid w:val="002E1A25"/>
    <w:rsid w:val="002E1C38"/>
    <w:rsid w:val="002E3521"/>
    <w:rsid w:val="002E37F4"/>
    <w:rsid w:val="002E4190"/>
    <w:rsid w:val="002E43A5"/>
    <w:rsid w:val="002E6B8C"/>
    <w:rsid w:val="002E7318"/>
    <w:rsid w:val="002E7617"/>
    <w:rsid w:val="002E7C56"/>
    <w:rsid w:val="002E7D8E"/>
    <w:rsid w:val="002F210E"/>
    <w:rsid w:val="002F27B6"/>
    <w:rsid w:val="002F2B50"/>
    <w:rsid w:val="002F405F"/>
    <w:rsid w:val="002F491B"/>
    <w:rsid w:val="002F4953"/>
    <w:rsid w:val="002F4ACB"/>
    <w:rsid w:val="002F7430"/>
    <w:rsid w:val="002F777B"/>
    <w:rsid w:val="00300191"/>
    <w:rsid w:val="00300AAF"/>
    <w:rsid w:val="00300F8D"/>
    <w:rsid w:val="00301A0A"/>
    <w:rsid w:val="003030A6"/>
    <w:rsid w:val="003059F4"/>
    <w:rsid w:val="0030689E"/>
    <w:rsid w:val="003068D7"/>
    <w:rsid w:val="00306CC7"/>
    <w:rsid w:val="003071B2"/>
    <w:rsid w:val="00307599"/>
    <w:rsid w:val="00307AAC"/>
    <w:rsid w:val="00310399"/>
    <w:rsid w:val="00310D8D"/>
    <w:rsid w:val="00313909"/>
    <w:rsid w:val="0031445A"/>
    <w:rsid w:val="003149F6"/>
    <w:rsid w:val="00316368"/>
    <w:rsid w:val="00316AB8"/>
    <w:rsid w:val="003174B4"/>
    <w:rsid w:val="00317994"/>
    <w:rsid w:val="0032047A"/>
    <w:rsid w:val="00320939"/>
    <w:rsid w:val="00320F9D"/>
    <w:rsid w:val="00321B76"/>
    <w:rsid w:val="00321BBE"/>
    <w:rsid w:val="00323813"/>
    <w:rsid w:val="00325077"/>
    <w:rsid w:val="0032515F"/>
    <w:rsid w:val="003253BE"/>
    <w:rsid w:val="0032679D"/>
    <w:rsid w:val="00327D78"/>
    <w:rsid w:val="00327E48"/>
    <w:rsid w:val="003302F7"/>
    <w:rsid w:val="00332437"/>
    <w:rsid w:val="00332A90"/>
    <w:rsid w:val="00332AB7"/>
    <w:rsid w:val="00332B68"/>
    <w:rsid w:val="00333E90"/>
    <w:rsid w:val="00334C69"/>
    <w:rsid w:val="00334E81"/>
    <w:rsid w:val="00335E6A"/>
    <w:rsid w:val="00337322"/>
    <w:rsid w:val="00340CDE"/>
    <w:rsid w:val="0034133E"/>
    <w:rsid w:val="003415A1"/>
    <w:rsid w:val="00342048"/>
    <w:rsid w:val="00342994"/>
    <w:rsid w:val="00342F54"/>
    <w:rsid w:val="00343F87"/>
    <w:rsid w:val="00346101"/>
    <w:rsid w:val="00347C24"/>
    <w:rsid w:val="00347EB1"/>
    <w:rsid w:val="003508F6"/>
    <w:rsid w:val="00350BB0"/>
    <w:rsid w:val="00351C8D"/>
    <w:rsid w:val="00351FF3"/>
    <w:rsid w:val="00352B90"/>
    <w:rsid w:val="00353231"/>
    <w:rsid w:val="00354D6E"/>
    <w:rsid w:val="0035514C"/>
    <w:rsid w:val="00356084"/>
    <w:rsid w:val="00356E07"/>
    <w:rsid w:val="003642D2"/>
    <w:rsid w:val="0036450C"/>
    <w:rsid w:val="00364574"/>
    <w:rsid w:val="0036546D"/>
    <w:rsid w:val="003664C3"/>
    <w:rsid w:val="003675A1"/>
    <w:rsid w:val="0036773D"/>
    <w:rsid w:val="00367FEB"/>
    <w:rsid w:val="003711C1"/>
    <w:rsid w:val="00371BC3"/>
    <w:rsid w:val="00371CBE"/>
    <w:rsid w:val="003726AD"/>
    <w:rsid w:val="00372C9E"/>
    <w:rsid w:val="00373AD4"/>
    <w:rsid w:val="0037428F"/>
    <w:rsid w:val="00374539"/>
    <w:rsid w:val="003747BD"/>
    <w:rsid w:val="00374DD5"/>
    <w:rsid w:val="0037591D"/>
    <w:rsid w:val="0037720A"/>
    <w:rsid w:val="0038006D"/>
    <w:rsid w:val="00381AE0"/>
    <w:rsid w:val="00381EB9"/>
    <w:rsid w:val="0038206D"/>
    <w:rsid w:val="00383A81"/>
    <w:rsid w:val="00383D6A"/>
    <w:rsid w:val="00384693"/>
    <w:rsid w:val="00384B63"/>
    <w:rsid w:val="00385DC1"/>
    <w:rsid w:val="00385F02"/>
    <w:rsid w:val="00386080"/>
    <w:rsid w:val="00386D80"/>
    <w:rsid w:val="00386DED"/>
    <w:rsid w:val="0038719C"/>
    <w:rsid w:val="00390E97"/>
    <w:rsid w:val="003924AE"/>
    <w:rsid w:val="00392E76"/>
    <w:rsid w:val="00393BF6"/>
    <w:rsid w:val="00393F1C"/>
    <w:rsid w:val="00393F6E"/>
    <w:rsid w:val="00394276"/>
    <w:rsid w:val="00394BA4"/>
    <w:rsid w:val="0039536F"/>
    <w:rsid w:val="0039597A"/>
    <w:rsid w:val="0039697D"/>
    <w:rsid w:val="0039750E"/>
    <w:rsid w:val="00397618"/>
    <w:rsid w:val="00397731"/>
    <w:rsid w:val="003A014B"/>
    <w:rsid w:val="003A1350"/>
    <w:rsid w:val="003A17CE"/>
    <w:rsid w:val="003A1920"/>
    <w:rsid w:val="003A1A61"/>
    <w:rsid w:val="003A2C3E"/>
    <w:rsid w:val="003A2D49"/>
    <w:rsid w:val="003A3487"/>
    <w:rsid w:val="003A4BD2"/>
    <w:rsid w:val="003A591A"/>
    <w:rsid w:val="003A5F2B"/>
    <w:rsid w:val="003A722D"/>
    <w:rsid w:val="003B01FB"/>
    <w:rsid w:val="003B0557"/>
    <w:rsid w:val="003B0E02"/>
    <w:rsid w:val="003B0FDA"/>
    <w:rsid w:val="003B231B"/>
    <w:rsid w:val="003B3157"/>
    <w:rsid w:val="003B3B43"/>
    <w:rsid w:val="003B3FC0"/>
    <w:rsid w:val="003B4786"/>
    <w:rsid w:val="003B56E2"/>
    <w:rsid w:val="003B602A"/>
    <w:rsid w:val="003B71D0"/>
    <w:rsid w:val="003B7450"/>
    <w:rsid w:val="003C03AA"/>
    <w:rsid w:val="003C1A92"/>
    <w:rsid w:val="003C21C5"/>
    <w:rsid w:val="003C2C74"/>
    <w:rsid w:val="003C374D"/>
    <w:rsid w:val="003C3E88"/>
    <w:rsid w:val="003C45E6"/>
    <w:rsid w:val="003C568C"/>
    <w:rsid w:val="003C63A8"/>
    <w:rsid w:val="003C6725"/>
    <w:rsid w:val="003C7107"/>
    <w:rsid w:val="003C7CDE"/>
    <w:rsid w:val="003D0D2D"/>
    <w:rsid w:val="003D16A1"/>
    <w:rsid w:val="003D16F1"/>
    <w:rsid w:val="003D1778"/>
    <w:rsid w:val="003D1B5E"/>
    <w:rsid w:val="003D28A5"/>
    <w:rsid w:val="003D30C9"/>
    <w:rsid w:val="003D472B"/>
    <w:rsid w:val="003D49E5"/>
    <w:rsid w:val="003D4F91"/>
    <w:rsid w:val="003D5092"/>
    <w:rsid w:val="003D6240"/>
    <w:rsid w:val="003D7D65"/>
    <w:rsid w:val="003E007A"/>
    <w:rsid w:val="003E09C9"/>
    <w:rsid w:val="003E0CFA"/>
    <w:rsid w:val="003E0D77"/>
    <w:rsid w:val="003E0DA2"/>
    <w:rsid w:val="003E0F5C"/>
    <w:rsid w:val="003E11B1"/>
    <w:rsid w:val="003E11D8"/>
    <w:rsid w:val="003E1873"/>
    <w:rsid w:val="003E25CD"/>
    <w:rsid w:val="003E25DA"/>
    <w:rsid w:val="003E2BDE"/>
    <w:rsid w:val="003E2F13"/>
    <w:rsid w:val="003E3005"/>
    <w:rsid w:val="003E386C"/>
    <w:rsid w:val="003E44BC"/>
    <w:rsid w:val="003E509B"/>
    <w:rsid w:val="003E60A8"/>
    <w:rsid w:val="003E6141"/>
    <w:rsid w:val="003E620D"/>
    <w:rsid w:val="003E6F86"/>
    <w:rsid w:val="003F111F"/>
    <w:rsid w:val="003F1441"/>
    <w:rsid w:val="003F1A7F"/>
    <w:rsid w:val="003F28AB"/>
    <w:rsid w:val="003F330F"/>
    <w:rsid w:val="003F36C9"/>
    <w:rsid w:val="003F441E"/>
    <w:rsid w:val="003F4A7C"/>
    <w:rsid w:val="003F5144"/>
    <w:rsid w:val="003F5DC0"/>
    <w:rsid w:val="003F73B2"/>
    <w:rsid w:val="0040067C"/>
    <w:rsid w:val="004012CF"/>
    <w:rsid w:val="0040177F"/>
    <w:rsid w:val="00401801"/>
    <w:rsid w:val="00402034"/>
    <w:rsid w:val="00402971"/>
    <w:rsid w:val="00402AC1"/>
    <w:rsid w:val="00402FB4"/>
    <w:rsid w:val="004032FE"/>
    <w:rsid w:val="00403576"/>
    <w:rsid w:val="00404A4F"/>
    <w:rsid w:val="00405414"/>
    <w:rsid w:val="004056FA"/>
    <w:rsid w:val="004058F1"/>
    <w:rsid w:val="00405B47"/>
    <w:rsid w:val="00406172"/>
    <w:rsid w:val="004061C3"/>
    <w:rsid w:val="00407301"/>
    <w:rsid w:val="00407985"/>
    <w:rsid w:val="00410BE9"/>
    <w:rsid w:val="004117D4"/>
    <w:rsid w:val="00411C6C"/>
    <w:rsid w:val="00411D3D"/>
    <w:rsid w:val="004133BA"/>
    <w:rsid w:val="00413638"/>
    <w:rsid w:val="00413B4D"/>
    <w:rsid w:val="00413ED4"/>
    <w:rsid w:val="00414B0A"/>
    <w:rsid w:val="00414B6F"/>
    <w:rsid w:val="00414DD6"/>
    <w:rsid w:val="004150E6"/>
    <w:rsid w:val="004159EE"/>
    <w:rsid w:val="0041663C"/>
    <w:rsid w:val="004177A0"/>
    <w:rsid w:val="00422014"/>
    <w:rsid w:val="00422F2E"/>
    <w:rsid w:val="004237E6"/>
    <w:rsid w:val="00424573"/>
    <w:rsid w:val="00425258"/>
    <w:rsid w:val="004252ED"/>
    <w:rsid w:val="0042547A"/>
    <w:rsid w:val="00425FAD"/>
    <w:rsid w:val="00426287"/>
    <w:rsid w:val="0042646D"/>
    <w:rsid w:val="00426C16"/>
    <w:rsid w:val="00426CCD"/>
    <w:rsid w:val="00426F58"/>
    <w:rsid w:val="00430AD8"/>
    <w:rsid w:val="00433728"/>
    <w:rsid w:val="004338FB"/>
    <w:rsid w:val="00433CB6"/>
    <w:rsid w:val="00434569"/>
    <w:rsid w:val="00434775"/>
    <w:rsid w:val="00436264"/>
    <w:rsid w:val="0043688D"/>
    <w:rsid w:val="0044016F"/>
    <w:rsid w:val="004403BC"/>
    <w:rsid w:val="00440C8E"/>
    <w:rsid w:val="004411B0"/>
    <w:rsid w:val="0044183D"/>
    <w:rsid w:val="004422F3"/>
    <w:rsid w:val="004424D6"/>
    <w:rsid w:val="004426D5"/>
    <w:rsid w:val="00442B64"/>
    <w:rsid w:val="00443AA8"/>
    <w:rsid w:val="00444AFB"/>
    <w:rsid w:val="00444F38"/>
    <w:rsid w:val="00445781"/>
    <w:rsid w:val="00446F78"/>
    <w:rsid w:val="00450551"/>
    <w:rsid w:val="00450E73"/>
    <w:rsid w:val="00451333"/>
    <w:rsid w:val="00451AD8"/>
    <w:rsid w:val="00452BA8"/>
    <w:rsid w:val="00452C04"/>
    <w:rsid w:val="00452C3B"/>
    <w:rsid w:val="00452CF5"/>
    <w:rsid w:val="00453AEE"/>
    <w:rsid w:val="0045516B"/>
    <w:rsid w:val="00455C4E"/>
    <w:rsid w:val="00456C7D"/>
    <w:rsid w:val="00457C26"/>
    <w:rsid w:val="004607DA"/>
    <w:rsid w:val="00460A63"/>
    <w:rsid w:val="00461628"/>
    <w:rsid w:val="00461886"/>
    <w:rsid w:val="00462A0F"/>
    <w:rsid w:val="00464FEE"/>
    <w:rsid w:val="00465B8F"/>
    <w:rsid w:val="00465BC5"/>
    <w:rsid w:val="00467585"/>
    <w:rsid w:val="00467813"/>
    <w:rsid w:val="004704E1"/>
    <w:rsid w:val="004704EB"/>
    <w:rsid w:val="00470B02"/>
    <w:rsid w:val="00470DED"/>
    <w:rsid w:val="00471F7B"/>
    <w:rsid w:val="004738CC"/>
    <w:rsid w:val="00473922"/>
    <w:rsid w:val="004742F2"/>
    <w:rsid w:val="004749A9"/>
    <w:rsid w:val="00474B56"/>
    <w:rsid w:val="00474B70"/>
    <w:rsid w:val="004750DD"/>
    <w:rsid w:val="0047645E"/>
    <w:rsid w:val="00477CA6"/>
    <w:rsid w:val="00477F89"/>
    <w:rsid w:val="004807F6"/>
    <w:rsid w:val="00480C5C"/>
    <w:rsid w:val="004815E1"/>
    <w:rsid w:val="004824CC"/>
    <w:rsid w:val="00482F64"/>
    <w:rsid w:val="00482FF5"/>
    <w:rsid w:val="00483326"/>
    <w:rsid w:val="0048426B"/>
    <w:rsid w:val="0048533A"/>
    <w:rsid w:val="004861E3"/>
    <w:rsid w:val="004864EC"/>
    <w:rsid w:val="00486E1F"/>
    <w:rsid w:val="00487255"/>
    <w:rsid w:val="004877A9"/>
    <w:rsid w:val="00491E53"/>
    <w:rsid w:val="0049221E"/>
    <w:rsid w:val="0049286D"/>
    <w:rsid w:val="00492C5B"/>
    <w:rsid w:val="0049312E"/>
    <w:rsid w:val="004933BA"/>
    <w:rsid w:val="00494084"/>
    <w:rsid w:val="004944CE"/>
    <w:rsid w:val="00494BCE"/>
    <w:rsid w:val="0049512D"/>
    <w:rsid w:val="0049547D"/>
    <w:rsid w:val="004956F3"/>
    <w:rsid w:val="00496A42"/>
    <w:rsid w:val="00496E5E"/>
    <w:rsid w:val="00497B07"/>
    <w:rsid w:val="00497F32"/>
    <w:rsid w:val="004A0046"/>
    <w:rsid w:val="004A14A9"/>
    <w:rsid w:val="004A195A"/>
    <w:rsid w:val="004A2078"/>
    <w:rsid w:val="004A2959"/>
    <w:rsid w:val="004A39D9"/>
    <w:rsid w:val="004A3BE1"/>
    <w:rsid w:val="004A45C0"/>
    <w:rsid w:val="004A4B79"/>
    <w:rsid w:val="004A5051"/>
    <w:rsid w:val="004A7948"/>
    <w:rsid w:val="004A7ADA"/>
    <w:rsid w:val="004B0657"/>
    <w:rsid w:val="004B134A"/>
    <w:rsid w:val="004B147C"/>
    <w:rsid w:val="004B256E"/>
    <w:rsid w:val="004B2D58"/>
    <w:rsid w:val="004B53F7"/>
    <w:rsid w:val="004B709E"/>
    <w:rsid w:val="004C1884"/>
    <w:rsid w:val="004C52F8"/>
    <w:rsid w:val="004C552D"/>
    <w:rsid w:val="004C6663"/>
    <w:rsid w:val="004C70BF"/>
    <w:rsid w:val="004D0F84"/>
    <w:rsid w:val="004D1CA0"/>
    <w:rsid w:val="004D33F3"/>
    <w:rsid w:val="004D3D5B"/>
    <w:rsid w:val="004D62A4"/>
    <w:rsid w:val="004D646A"/>
    <w:rsid w:val="004D6CB7"/>
    <w:rsid w:val="004D7170"/>
    <w:rsid w:val="004D7662"/>
    <w:rsid w:val="004D786D"/>
    <w:rsid w:val="004E104C"/>
    <w:rsid w:val="004E20A4"/>
    <w:rsid w:val="004E25EB"/>
    <w:rsid w:val="004E37B5"/>
    <w:rsid w:val="004E3C1F"/>
    <w:rsid w:val="004E42F1"/>
    <w:rsid w:val="004E5C08"/>
    <w:rsid w:val="004E61F6"/>
    <w:rsid w:val="004E670B"/>
    <w:rsid w:val="004E755F"/>
    <w:rsid w:val="004E79D0"/>
    <w:rsid w:val="004F18EA"/>
    <w:rsid w:val="004F210D"/>
    <w:rsid w:val="004F22A2"/>
    <w:rsid w:val="004F2678"/>
    <w:rsid w:val="004F2DD9"/>
    <w:rsid w:val="004F4D07"/>
    <w:rsid w:val="004F6718"/>
    <w:rsid w:val="004F6BD5"/>
    <w:rsid w:val="004F74C3"/>
    <w:rsid w:val="004F7829"/>
    <w:rsid w:val="004F7B94"/>
    <w:rsid w:val="00500514"/>
    <w:rsid w:val="005005B7"/>
    <w:rsid w:val="0050188D"/>
    <w:rsid w:val="0050246E"/>
    <w:rsid w:val="00504207"/>
    <w:rsid w:val="005049DE"/>
    <w:rsid w:val="00504DDF"/>
    <w:rsid w:val="005050E3"/>
    <w:rsid w:val="00505C40"/>
    <w:rsid w:val="00506BCC"/>
    <w:rsid w:val="00506D93"/>
    <w:rsid w:val="0050725D"/>
    <w:rsid w:val="00507390"/>
    <w:rsid w:val="00507D2E"/>
    <w:rsid w:val="00510C3C"/>
    <w:rsid w:val="00510F3D"/>
    <w:rsid w:val="0051174F"/>
    <w:rsid w:val="00511B7C"/>
    <w:rsid w:val="005121F6"/>
    <w:rsid w:val="005124E1"/>
    <w:rsid w:val="005126A3"/>
    <w:rsid w:val="00512791"/>
    <w:rsid w:val="00513FA7"/>
    <w:rsid w:val="005145EB"/>
    <w:rsid w:val="005149CC"/>
    <w:rsid w:val="00514D8B"/>
    <w:rsid w:val="00515A9C"/>
    <w:rsid w:val="00516A7C"/>
    <w:rsid w:val="00516B9F"/>
    <w:rsid w:val="00517675"/>
    <w:rsid w:val="0052022B"/>
    <w:rsid w:val="005202FC"/>
    <w:rsid w:val="0052138F"/>
    <w:rsid w:val="0052139B"/>
    <w:rsid w:val="00522BC7"/>
    <w:rsid w:val="00523E65"/>
    <w:rsid w:val="00523F75"/>
    <w:rsid w:val="00524716"/>
    <w:rsid w:val="0052524B"/>
    <w:rsid w:val="00525557"/>
    <w:rsid w:val="00525833"/>
    <w:rsid w:val="00526131"/>
    <w:rsid w:val="00526C90"/>
    <w:rsid w:val="00526E2B"/>
    <w:rsid w:val="00527756"/>
    <w:rsid w:val="00531469"/>
    <w:rsid w:val="005318BB"/>
    <w:rsid w:val="0053229A"/>
    <w:rsid w:val="0053293B"/>
    <w:rsid w:val="005333D5"/>
    <w:rsid w:val="00533882"/>
    <w:rsid w:val="00533A0E"/>
    <w:rsid w:val="005341E3"/>
    <w:rsid w:val="005348C6"/>
    <w:rsid w:val="00536682"/>
    <w:rsid w:val="005374EA"/>
    <w:rsid w:val="00537BE1"/>
    <w:rsid w:val="00540675"/>
    <w:rsid w:val="005406E4"/>
    <w:rsid w:val="00541A86"/>
    <w:rsid w:val="0054235C"/>
    <w:rsid w:val="0054329C"/>
    <w:rsid w:val="00543AC4"/>
    <w:rsid w:val="00545811"/>
    <w:rsid w:val="00545BF2"/>
    <w:rsid w:val="00546331"/>
    <w:rsid w:val="0054791B"/>
    <w:rsid w:val="00550520"/>
    <w:rsid w:val="0055222E"/>
    <w:rsid w:val="0055250D"/>
    <w:rsid w:val="005530C0"/>
    <w:rsid w:val="00554298"/>
    <w:rsid w:val="0055676A"/>
    <w:rsid w:val="005567C4"/>
    <w:rsid w:val="00560AC2"/>
    <w:rsid w:val="00560BB3"/>
    <w:rsid w:val="00561FA5"/>
    <w:rsid w:val="00563AEA"/>
    <w:rsid w:val="00564141"/>
    <w:rsid w:val="005644A8"/>
    <w:rsid w:val="00564947"/>
    <w:rsid w:val="00564BBF"/>
    <w:rsid w:val="00564E1B"/>
    <w:rsid w:val="00564F4F"/>
    <w:rsid w:val="00565ED9"/>
    <w:rsid w:val="0056698E"/>
    <w:rsid w:val="005676F1"/>
    <w:rsid w:val="00567723"/>
    <w:rsid w:val="0057120F"/>
    <w:rsid w:val="00571233"/>
    <w:rsid w:val="0057130A"/>
    <w:rsid w:val="00571907"/>
    <w:rsid w:val="00571AC6"/>
    <w:rsid w:val="0057274D"/>
    <w:rsid w:val="00572924"/>
    <w:rsid w:val="0057356C"/>
    <w:rsid w:val="00573BDF"/>
    <w:rsid w:val="00573CC6"/>
    <w:rsid w:val="00573E1E"/>
    <w:rsid w:val="005744A4"/>
    <w:rsid w:val="0057633C"/>
    <w:rsid w:val="0057676F"/>
    <w:rsid w:val="005769A2"/>
    <w:rsid w:val="00580625"/>
    <w:rsid w:val="00581682"/>
    <w:rsid w:val="00582382"/>
    <w:rsid w:val="00582D77"/>
    <w:rsid w:val="00582DFB"/>
    <w:rsid w:val="00583203"/>
    <w:rsid w:val="0058364F"/>
    <w:rsid w:val="005842AD"/>
    <w:rsid w:val="005849EA"/>
    <w:rsid w:val="00585B55"/>
    <w:rsid w:val="00586CF4"/>
    <w:rsid w:val="005877E5"/>
    <w:rsid w:val="0058790A"/>
    <w:rsid w:val="00590842"/>
    <w:rsid w:val="00590CDB"/>
    <w:rsid w:val="00591928"/>
    <w:rsid w:val="00591D65"/>
    <w:rsid w:val="00592A43"/>
    <w:rsid w:val="00593DC3"/>
    <w:rsid w:val="0059433A"/>
    <w:rsid w:val="00594ECA"/>
    <w:rsid w:val="00595505"/>
    <w:rsid w:val="005964EC"/>
    <w:rsid w:val="00596AB7"/>
    <w:rsid w:val="00596D1F"/>
    <w:rsid w:val="005A1261"/>
    <w:rsid w:val="005A1DB5"/>
    <w:rsid w:val="005A4A58"/>
    <w:rsid w:val="005A4C07"/>
    <w:rsid w:val="005A5F3A"/>
    <w:rsid w:val="005A7422"/>
    <w:rsid w:val="005A76AD"/>
    <w:rsid w:val="005A79D6"/>
    <w:rsid w:val="005B1372"/>
    <w:rsid w:val="005B1ECD"/>
    <w:rsid w:val="005B3807"/>
    <w:rsid w:val="005B43D5"/>
    <w:rsid w:val="005B4F87"/>
    <w:rsid w:val="005B542D"/>
    <w:rsid w:val="005B5D9A"/>
    <w:rsid w:val="005B677B"/>
    <w:rsid w:val="005B724F"/>
    <w:rsid w:val="005C2504"/>
    <w:rsid w:val="005C41C5"/>
    <w:rsid w:val="005C5B5C"/>
    <w:rsid w:val="005C7004"/>
    <w:rsid w:val="005D1A4D"/>
    <w:rsid w:val="005D213D"/>
    <w:rsid w:val="005D22BA"/>
    <w:rsid w:val="005D2E9B"/>
    <w:rsid w:val="005D35F9"/>
    <w:rsid w:val="005D46FC"/>
    <w:rsid w:val="005D4D8B"/>
    <w:rsid w:val="005D5BBA"/>
    <w:rsid w:val="005D629A"/>
    <w:rsid w:val="005D7183"/>
    <w:rsid w:val="005E000B"/>
    <w:rsid w:val="005E0730"/>
    <w:rsid w:val="005E0759"/>
    <w:rsid w:val="005E0A8E"/>
    <w:rsid w:val="005E1D48"/>
    <w:rsid w:val="005E1FF0"/>
    <w:rsid w:val="005E26FB"/>
    <w:rsid w:val="005E2B27"/>
    <w:rsid w:val="005E2F31"/>
    <w:rsid w:val="005E4400"/>
    <w:rsid w:val="005E681E"/>
    <w:rsid w:val="005E71E9"/>
    <w:rsid w:val="005E776F"/>
    <w:rsid w:val="005F023F"/>
    <w:rsid w:val="005F0A40"/>
    <w:rsid w:val="005F0A77"/>
    <w:rsid w:val="005F0C3A"/>
    <w:rsid w:val="005F133C"/>
    <w:rsid w:val="005F2C7A"/>
    <w:rsid w:val="005F30C1"/>
    <w:rsid w:val="005F3260"/>
    <w:rsid w:val="005F4D7C"/>
    <w:rsid w:val="005F587F"/>
    <w:rsid w:val="005F621E"/>
    <w:rsid w:val="006002F0"/>
    <w:rsid w:val="0060077C"/>
    <w:rsid w:val="00601949"/>
    <w:rsid w:val="00602468"/>
    <w:rsid w:val="006028D2"/>
    <w:rsid w:val="00605D03"/>
    <w:rsid w:val="00605DDB"/>
    <w:rsid w:val="006061FB"/>
    <w:rsid w:val="00606EC0"/>
    <w:rsid w:val="00607AE9"/>
    <w:rsid w:val="00610ED1"/>
    <w:rsid w:val="006132AB"/>
    <w:rsid w:val="00613EE3"/>
    <w:rsid w:val="00613FE1"/>
    <w:rsid w:val="006140DF"/>
    <w:rsid w:val="00614799"/>
    <w:rsid w:val="00615A2B"/>
    <w:rsid w:val="00615DDA"/>
    <w:rsid w:val="00616CC2"/>
    <w:rsid w:val="00616DC1"/>
    <w:rsid w:val="00621192"/>
    <w:rsid w:val="00621B25"/>
    <w:rsid w:val="00621F6E"/>
    <w:rsid w:val="0062287B"/>
    <w:rsid w:val="00623C2F"/>
    <w:rsid w:val="006242A7"/>
    <w:rsid w:val="0062464B"/>
    <w:rsid w:val="00624C04"/>
    <w:rsid w:val="00624DAE"/>
    <w:rsid w:val="00625243"/>
    <w:rsid w:val="00626A94"/>
    <w:rsid w:val="0062773D"/>
    <w:rsid w:val="0062794E"/>
    <w:rsid w:val="00627EF5"/>
    <w:rsid w:val="006303C8"/>
    <w:rsid w:val="0063110A"/>
    <w:rsid w:val="006317AC"/>
    <w:rsid w:val="0063297F"/>
    <w:rsid w:val="0063688A"/>
    <w:rsid w:val="00637C91"/>
    <w:rsid w:val="00640A23"/>
    <w:rsid w:val="00642829"/>
    <w:rsid w:val="00643351"/>
    <w:rsid w:val="00643B9A"/>
    <w:rsid w:val="006443D9"/>
    <w:rsid w:val="006446F6"/>
    <w:rsid w:val="0064565A"/>
    <w:rsid w:val="00645DD1"/>
    <w:rsid w:val="006467D5"/>
    <w:rsid w:val="00646A04"/>
    <w:rsid w:val="00646E99"/>
    <w:rsid w:val="0064702D"/>
    <w:rsid w:val="006474D1"/>
    <w:rsid w:val="0065141B"/>
    <w:rsid w:val="00651CC5"/>
    <w:rsid w:val="00651DFD"/>
    <w:rsid w:val="006527CC"/>
    <w:rsid w:val="00653B6F"/>
    <w:rsid w:val="006549EA"/>
    <w:rsid w:val="00654A45"/>
    <w:rsid w:val="0065537B"/>
    <w:rsid w:val="006555FB"/>
    <w:rsid w:val="0065672C"/>
    <w:rsid w:val="00657E9C"/>
    <w:rsid w:val="0066042B"/>
    <w:rsid w:val="00661519"/>
    <w:rsid w:val="0066358C"/>
    <w:rsid w:val="006650EA"/>
    <w:rsid w:val="00666566"/>
    <w:rsid w:val="0066661E"/>
    <w:rsid w:val="00666821"/>
    <w:rsid w:val="00670441"/>
    <w:rsid w:val="006718E5"/>
    <w:rsid w:val="00671A10"/>
    <w:rsid w:val="00672CE5"/>
    <w:rsid w:val="00674103"/>
    <w:rsid w:val="00674F36"/>
    <w:rsid w:val="00674FDB"/>
    <w:rsid w:val="00675453"/>
    <w:rsid w:val="00675DD9"/>
    <w:rsid w:val="006760D5"/>
    <w:rsid w:val="00676C1D"/>
    <w:rsid w:val="00677D27"/>
    <w:rsid w:val="0068077A"/>
    <w:rsid w:val="006809C2"/>
    <w:rsid w:val="006809F0"/>
    <w:rsid w:val="006811ED"/>
    <w:rsid w:val="00682E75"/>
    <w:rsid w:val="006839A4"/>
    <w:rsid w:val="00683D0B"/>
    <w:rsid w:val="00683F5A"/>
    <w:rsid w:val="00685501"/>
    <w:rsid w:val="0068641B"/>
    <w:rsid w:val="006869E5"/>
    <w:rsid w:val="0068752F"/>
    <w:rsid w:val="00691169"/>
    <w:rsid w:val="00691E55"/>
    <w:rsid w:val="00691F93"/>
    <w:rsid w:val="006926BE"/>
    <w:rsid w:val="006940C2"/>
    <w:rsid w:val="00694876"/>
    <w:rsid w:val="00695AB4"/>
    <w:rsid w:val="00696FBE"/>
    <w:rsid w:val="006A00F4"/>
    <w:rsid w:val="006A06AA"/>
    <w:rsid w:val="006A096B"/>
    <w:rsid w:val="006A0E29"/>
    <w:rsid w:val="006A138A"/>
    <w:rsid w:val="006A17EA"/>
    <w:rsid w:val="006A1A5D"/>
    <w:rsid w:val="006A2A92"/>
    <w:rsid w:val="006A3519"/>
    <w:rsid w:val="006A3DB7"/>
    <w:rsid w:val="006A47CB"/>
    <w:rsid w:val="006A635E"/>
    <w:rsid w:val="006A731A"/>
    <w:rsid w:val="006A74B2"/>
    <w:rsid w:val="006A7A44"/>
    <w:rsid w:val="006B0C7E"/>
    <w:rsid w:val="006B107F"/>
    <w:rsid w:val="006B1EE4"/>
    <w:rsid w:val="006B228B"/>
    <w:rsid w:val="006B324C"/>
    <w:rsid w:val="006B33D4"/>
    <w:rsid w:val="006B348A"/>
    <w:rsid w:val="006B3D38"/>
    <w:rsid w:val="006B4003"/>
    <w:rsid w:val="006B4F96"/>
    <w:rsid w:val="006B51BF"/>
    <w:rsid w:val="006B5BD6"/>
    <w:rsid w:val="006B5EB2"/>
    <w:rsid w:val="006B6FB8"/>
    <w:rsid w:val="006B7B75"/>
    <w:rsid w:val="006C19F2"/>
    <w:rsid w:val="006C358C"/>
    <w:rsid w:val="006C6A2A"/>
    <w:rsid w:val="006C6FA3"/>
    <w:rsid w:val="006C7369"/>
    <w:rsid w:val="006C7791"/>
    <w:rsid w:val="006D09F4"/>
    <w:rsid w:val="006D0F43"/>
    <w:rsid w:val="006D134D"/>
    <w:rsid w:val="006D1589"/>
    <w:rsid w:val="006D1729"/>
    <w:rsid w:val="006D1920"/>
    <w:rsid w:val="006D1E11"/>
    <w:rsid w:val="006D4276"/>
    <w:rsid w:val="006D4538"/>
    <w:rsid w:val="006D4E89"/>
    <w:rsid w:val="006D56C0"/>
    <w:rsid w:val="006D5950"/>
    <w:rsid w:val="006D63F3"/>
    <w:rsid w:val="006D65DB"/>
    <w:rsid w:val="006D6652"/>
    <w:rsid w:val="006D69E1"/>
    <w:rsid w:val="006E0211"/>
    <w:rsid w:val="006E3AB9"/>
    <w:rsid w:val="006E4199"/>
    <w:rsid w:val="006E437C"/>
    <w:rsid w:val="006E471D"/>
    <w:rsid w:val="006E4760"/>
    <w:rsid w:val="006E4B23"/>
    <w:rsid w:val="006E5E47"/>
    <w:rsid w:val="006E6CD5"/>
    <w:rsid w:val="006E7915"/>
    <w:rsid w:val="006F1CA3"/>
    <w:rsid w:val="006F21DF"/>
    <w:rsid w:val="006F22B4"/>
    <w:rsid w:val="006F37F6"/>
    <w:rsid w:val="006F453E"/>
    <w:rsid w:val="006F56FB"/>
    <w:rsid w:val="006F5759"/>
    <w:rsid w:val="006F5A07"/>
    <w:rsid w:val="006F5B3E"/>
    <w:rsid w:val="006F6BA4"/>
    <w:rsid w:val="006F7FC3"/>
    <w:rsid w:val="0070125B"/>
    <w:rsid w:val="0070154F"/>
    <w:rsid w:val="00701BA5"/>
    <w:rsid w:val="00704A15"/>
    <w:rsid w:val="007057C6"/>
    <w:rsid w:val="00705B58"/>
    <w:rsid w:val="0071018D"/>
    <w:rsid w:val="00711643"/>
    <w:rsid w:val="00711D58"/>
    <w:rsid w:val="00712C56"/>
    <w:rsid w:val="00713B15"/>
    <w:rsid w:val="00713B1F"/>
    <w:rsid w:val="0071475A"/>
    <w:rsid w:val="00714A05"/>
    <w:rsid w:val="00714A35"/>
    <w:rsid w:val="00714DE8"/>
    <w:rsid w:val="007154CF"/>
    <w:rsid w:val="00715E70"/>
    <w:rsid w:val="0071695D"/>
    <w:rsid w:val="00716CC1"/>
    <w:rsid w:val="00720F38"/>
    <w:rsid w:val="00721ECB"/>
    <w:rsid w:val="007229DE"/>
    <w:rsid w:val="00722D39"/>
    <w:rsid w:val="00724BD6"/>
    <w:rsid w:val="007251B2"/>
    <w:rsid w:val="007273C5"/>
    <w:rsid w:val="00727695"/>
    <w:rsid w:val="00727D4F"/>
    <w:rsid w:val="007323BE"/>
    <w:rsid w:val="0073255F"/>
    <w:rsid w:val="007329B5"/>
    <w:rsid w:val="007335DB"/>
    <w:rsid w:val="0073384E"/>
    <w:rsid w:val="00734563"/>
    <w:rsid w:val="0073499B"/>
    <w:rsid w:val="00736977"/>
    <w:rsid w:val="00737307"/>
    <w:rsid w:val="0074049E"/>
    <w:rsid w:val="00741AF0"/>
    <w:rsid w:val="00742860"/>
    <w:rsid w:val="0074408D"/>
    <w:rsid w:val="007447A5"/>
    <w:rsid w:val="007455C8"/>
    <w:rsid w:val="00745C76"/>
    <w:rsid w:val="00745DEE"/>
    <w:rsid w:val="0074667D"/>
    <w:rsid w:val="0074697F"/>
    <w:rsid w:val="00747BB1"/>
    <w:rsid w:val="00747DC1"/>
    <w:rsid w:val="00747E7D"/>
    <w:rsid w:val="00750462"/>
    <w:rsid w:val="007507CF"/>
    <w:rsid w:val="00751DDE"/>
    <w:rsid w:val="007523B9"/>
    <w:rsid w:val="00752749"/>
    <w:rsid w:val="007542C5"/>
    <w:rsid w:val="0075437C"/>
    <w:rsid w:val="00754686"/>
    <w:rsid w:val="007546CD"/>
    <w:rsid w:val="00754F5E"/>
    <w:rsid w:val="00755721"/>
    <w:rsid w:val="00756C7E"/>
    <w:rsid w:val="007604FB"/>
    <w:rsid w:val="007615EF"/>
    <w:rsid w:val="00761B67"/>
    <w:rsid w:val="00762375"/>
    <w:rsid w:val="00763440"/>
    <w:rsid w:val="0076352C"/>
    <w:rsid w:val="00763A24"/>
    <w:rsid w:val="00763A72"/>
    <w:rsid w:val="00764085"/>
    <w:rsid w:val="0076426C"/>
    <w:rsid w:val="00767B35"/>
    <w:rsid w:val="007709C0"/>
    <w:rsid w:val="00770CBC"/>
    <w:rsid w:val="00770D17"/>
    <w:rsid w:val="00771A5F"/>
    <w:rsid w:val="00771BA2"/>
    <w:rsid w:val="00771EA2"/>
    <w:rsid w:val="00772D14"/>
    <w:rsid w:val="0077354E"/>
    <w:rsid w:val="00773BCE"/>
    <w:rsid w:val="00773F60"/>
    <w:rsid w:val="007745A5"/>
    <w:rsid w:val="0077524C"/>
    <w:rsid w:val="007769F4"/>
    <w:rsid w:val="0077768C"/>
    <w:rsid w:val="00780869"/>
    <w:rsid w:val="00780CCE"/>
    <w:rsid w:val="0078152D"/>
    <w:rsid w:val="00781B0F"/>
    <w:rsid w:val="00781EF3"/>
    <w:rsid w:val="00781F85"/>
    <w:rsid w:val="007838FC"/>
    <w:rsid w:val="00784124"/>
    <w:rsid w:val="00784656"/>
    <w:rsid w:val="00785BF3"/>
    <w:rsid w:val="0078684A"/>
    <w:rsid w:val="007900FE"/>
    <w:rsid w:val="00792302"/>
    <w:rsid w:val="007927E7"/>
    <w:rsid w:val="00793EF6"/>
    <w:rsid w:val="00794924"/>
    <w:rsid w:val="00794CA6"/>
    <w:rsid w:val="0079645E"/>
    <w:rsid w:val="007971B7"/>
    <w:rsid w:val="007976FB"/>
    <w:rsid w:val="00797CA0"/>
    <w:rsid w:val="007A0946"/>
    <w:rsid w:val="007A127B"/>
    <w:rsid w:val="007A1C41"/>
    <w:rsid w:val="007A1D72"/>
    <w:rsid w:val="007A26FC"/>
    <w:rsid w:val="007A2DF6"/>
    <w:rsid w:val="007A4182"/>
    <w:rsid w:val="007A5158"/>
    <w:rsid w:val="007A5774"/>
    <w:rsid w:val="007A6735"/>
    <w:rsid w:val="007A68F1"/>
    <w:rsid w:val="007A7185"/>
    <w:rsid w:val="007A7788"/>
    <w:rsid w:val="007A7C4D"/>
    <w:rsid w:val="007B0214"/>
    <w:rsid w:val="007B130C"/>
    <w:rsid w:val="007B185D"/>
    <w:rsid w:val="007B1B5B"/>
    <w:rsid w:val="007B1BAB"/>
    <w:rsid w:val="007B1CD2"/>
    <w:rsid w:val="007B2A90"/>
    <w:rsid w:val="007B2F45"/>
    <w:rsid w:val="007B361F"/>
    <w:rsid w:val="007B4029"/>
    <w:rsid w:val="007B42D6"/>
    <w:rsid w:val="007B4EDE"/>
    <w:rsid w:val="007B6111"/>
    <w:rsid w:val="007B70C3"/>
    <w:rsid w:val="007B75D5"/>
    <w:rsid w:val="007B773F"/>
    <w:rsid w:val="007B7C3C"/>
    <w:rsid w:val="007B7D6F"/>
    <w:rsid w:val="007C0459"/>
    <w:rsid w:val="007C04BC"/>
    <w:rsid w:val="007C1D62"/>
    <w:rsid w:val="007C1F31"/>
    <w:rsid w:val="007C285A"/>
    <w:rsid w:val="007C3562"/>
    <w:rsid w:val="007C359F"/>
    <w:rsid w:val="007C3F2A"/>
    <w:rsid w:val="007C3F4B"/>
    <w:rsid w:val="007C4164"/>
    <w:rsid w:val="007C4426"/>
    <w:rsid w:val="007C47FC"/>
    <w:rsid w:val="007C50A7"/>
    <w:rsid w:val="007C52EA"/>
    <w:rsid w:val="007C6F61"/>
    <w:rsid w:val="007C798B"/>
    <w:rsid w:val="007D05E5"/>
    <w:rsid w:val="007D1168"/>
    <w:rsid w:val="007D1CD7"/>
    <w:rsid w:val="007D20DA"/>
    <w:rsid w:val="007D2FD3"/>
    <w:rsid w:val="007D4C7D"/>
    <w:rsid w:val="007D642C"/>
    <w:rsid w:val="007D7C6D"/>
    <w:rsid w:val="007E05AE"/>
    <w:rsid w:val="007E0641"/>
    <w:rsid w:val="007E06CE"/>
    <w:rsid w:val="007E07F2"/>
    <w:rsid w:val="007E167D"/>
    <w:rsid w:val="007E1889"/>
    <w:rsid w:val="007E376B"/>
    <w:rsid w:val="007E39CD"/>
    <w:rsid w:val="007E4F78"/>
    <w:rsid w:val="007E543C"/>
    <w:rsid w:val="007E5E39"/>
    <w:rsid w:val="007E5E79"/>
    <w:rsid w:val="007E5F69"/>
    <w:rsid w:val="007E6EA8"/>
    <w:rsid w:val="007F0040"/>
    <w:rsid w:val="007F03F4"/>
    <w:rsid w:val="007F0C1B"/>
    <w:rsid w:val="007F2E3D"/>
    <w:rsid w:val="007F3E3E"/>
    <w:rsid w:val="007F40B6"/>
    <w:rsid w:val="007F452E"/>
    <w:rsid w:val="007F4693"/>
    <w:rsid w:val="007F4DE0"/>
    <w:rsid w:val="007F5766"/>
    <w:rsid w:val="007F6734"/>
    <w:rsid w:val="007F67A4"/>
    <w:rsid w:val="008002AC"/>
    <w:rsid w:val="00800878"/>
    <w:rsid w:val="00801DC0"/>
    <w:rsid w:val="00802911"/>
    <w:rsid w:val="00802A8E"/>
    <w:rsid w:val="008051E8"/>
    <w:rsid w:val="00805A06"/>
    <w:rsid w:val="00805FEB"/>
    <w:rsid w:val="00806358"/>
    <w:rsid w:val="00806654"/>
    <w:rsid w:val="008066D8"/>
    <w:rsid w:val="00806F52"/>
    <w:rsid w:val="0080722F"/>
    <w:rsid w:val="008073AD"/>
    <w:rsid w:val="00807A31"/>
    <w:rsid w:val="00807F1F"/>
    <w:rsid w:val="0081099F"/>
    <w:rsid w:val="008115E4"/>
    <w:rsid w:val="00812040"/>
    <w:rsid w:val="008124E6"/>
    <w:rsid w:val="00813374"/>
    <w:rsid w:val="008136A3"/>
    <w:rsid w:val="008140D1"/>
    <w:rsid w:val="00814A2E"/>
    <w:rsid w:val="00814B26"/>
    <w:rsid w:val="00815897"/>
    <w:rsid w:val="00815F0A"/>
    <w:rsid w:val="0081671B"/>
    <w:rsid w:val="00816752"/>
    <w:rsid w:val="00817191"/>
    <w:rsid w:val="00817D58"/>
    <w:rsid w:val="008201A2"/>
    <w:rsid w:val="0082072D"/>
    <w:rsid w:val="00820F5A"/>
    <w:rsid w:val="008217AF"/>
    <w:rsid w:val="00821C3E"/>
    <w:rsid w:val="0082233B"/>
    <w:rsid w:val="00822D67"/>
    <w:rsid w:val="00824092"/>
    <w:rsid w:val="008254D6"/>
    <w:rsid w:val="008256DF"/>
    <w:rsid w:val="00826C9F"/>
    <w:rsid w:val="008275BB"/>
    <w:rsid w:val="00827796"/>
    <w:rsid w:val="00827CA0"/>
    <w:rsid w:val="00830143"/>
    <w:rsid w:val="00830720"/>
    <w:rsid w:val="008311E8"/>
    <w:rsid w:val="0083198D"/>
    <w:rsid w:val="00833CAA"/>
    <w:rsid w:val="0083432A"/>
    <w:rsid w:val="00835326"/>
    <w:rsid w:val="008353C5"/>
    <w:rsid w:val="008363DB"/>
    <w:rsid w:val="008367B9"/>
    <w:rsid w:val="00836AC6"/>
    <w:rsid w:val="00836DE1"/>
    <w:rsid w:val="00841AE4"/>
    <w:rsid w:val="008424BD"/>
    <w:rsid w:val="00842F85"/>
    <w:rsid w:val="008431C6"/>
    <w:rsid w:val="00844D9D"/>
    <w:rsid w:val="0084589D"/>
    <w:rsid w:val="00845BB4"/>
    <w:rsid w:val="00846FD1"/>
    <w:rsid w:val="00847C0F"/>
    <w:rsid w:val="00847F2D"/>
    <w:rsid w:val="008508B0"/>
    <w:rsid w:val="00850CDE"/>
    <w:rsid w:val="00851DA3"/>
    <w:rsid w:val="00851EC3"/>
    <w:rsid w:val="00851EFD"/>
    <w:rsid w:val="00852749"/>
    <w:rsid w:val="008534A0"/>
    <w:rsid w:val="00854127"/>
    <w:rsid w:val="008541BD"/>
    <w:rsid w:val="00854CE0"/>
    <w:rsid w:val="00855467"/>
    <w:rsid w:val="008558F4"/>
    <w:rsid w:val="00855C82"/>
    <w:rsid w:val="008569D1"/>
    <w:rsid w:val="00857D66"/>
    <w:rsid w:val="008604B3"/>
    <w:rsid w:val="0086065E"/>
    <w:rsid w:val="00860D44"/>
    <w:rsid w:val="00861777"/>
    <w:rsid w:val="008618BC"/>
    <w:rsid w:val="008625CF"/>
    <w:rsid w:val="008631A9"/>
    <w:rsid w:val="008631D6"/>
    <w:rsid w:val="008644AA"/>
    <w:rsid w:val="00866D2C"/>
    <w:rsid w:val="00866E0D"/>
    <w:rsid w:val="00870412"/>
    <w:rsid w:val="00871286"/>
    <w:rsid w:val="0087150C"/>
    <w:rsid w:val="0087317F"/>
    <w:rsid w:val="00873488"/>
    <w:rsid w:val="00873586"/>
    <w:rsid w:val="00873B3D"/>
    <w:rsid w:val="008746CF"/>
    <w:rsid w:val="008747AD"/>
    <w:rsid w:val="00874861"/>
    <w:rsid w:val="00874E4B"/>
    <w:rsid w:val="008771F7"/>
    <w:rsid w:val="00877736"/>
    <w:rsid w:val="0088114A"/>
    <w:rsid w:val="00881758"/>
    <w:rsid w:val="0088237B"/>
    <w:rsid w:val="00882863"/>
    <w:rsid w:val="00882DFA"/>
    <w:rsid w:val="0088455D"/>
    <w:rsid w:val="008854F6"/>
    <w:rsid w:val="0088566E"/>
    <w:rsid w:val="00890576"/>
    <w:rsid w:val="00890A11"/>
    <w:rsid w:val="008919D8"/>
    <w:rsid w:val="00891D81"/>
    <w:rsid w:val="00892F7A"/>
    <w:rsid w:val="0089332E"/>
    <w:rsid w:val="00893463"/>
    <w:rsid w:val="00893902"/>
    <w:rsid w:val="00893B3A"/>
    <w:rsid w:val="0089431F"/>
    <w:rsid w:val="00894DCB"/>
    <w:rsid w:val="00895B32"/>
    <w:rsid w:val="00896169"/>
    <w:rsid w:val="00896671"/>
    <w:rsid w:val="00896A47"/>
    <w:rsid w:val="00897794"/>
    <w:rsid w:val="008A040A"/>
    <w:rsid w:val="008A08FF"/>
    <w:rsid w:val="008A0B95"/>
    <w:rsid w:val="008A11A7"/>
    <w:rsid w:val="008A143E"/>
    <w:rsid w:val="008A1CF2"/>
    <w:rsid w:val="008A2521"/>
    <w:rsid w:val="008A2622"/>
    <w:rsid w:val="008A3788"/>
    <w:rsid w:val="008A4912"/>
    <w:rsid w:val="008A4E90"/>
    <w:rsid w:val="008A5076"/>
    <w:rsid w:val="008A5662"/>
    <w:rsid w:val="008A599D"/>
    <w:rsid w:val="008A5FF2"/>
    <w:rsid w:val="008A6976"/>
    <w:rsid w:val="008A6CBE"/>
    <w:rsid w:val="008A7EE8"/>
    <w:rsid w:val="008B00AE"/>
    <w:rsid w:val="008B0DE7"/>
    <w:rsid w:val="008B1D38"/>
    <w:rsid w:val="008B280C"/>
    <w:rsid w:val="008B304A"/>
    <w:rsid w:val="008B32A3"/>
    <w:rsid w:val="008B4D7C"/>
    <w:rsid w:val="008B5D25"/>
    <w:rsid w:val="008B6D7A"/>
    <w:rsid w:val="008C0197"/>
    <w:rsid w:val="008C07D0"/>
    <w:rsid w:val="008C0BCA"/>
    <w:rsid w:val="008C1FAE"/>
    <w:rsid w:val="008C2336"/>
    <w:rsid w:val="008C655D"/>
    <w:rsid w:val="008C69AD"/>
    <w:rsid w:val="008C69BC"/>
    <w:rsid w:val="008C741E"/>
    <w:rsid w:val="008D08A4"/>
    <w:rsid w:val="008D0F5E"/>
    <w:rsid w:val="008D1530"/>
    <w:rsid w:val="008D556A"/>
    <w:rsid w:val="008D5696"/>
    <w:rsid w:val="008D619E"/>
    <w:rsid w:val="008D6BAE"/>
    <w:rsid w:val="008D79E0"/>
    <w:rsid w:val="008E0D8F"/>
    <w:rsid w:val="008E128C"/>
    <w:rsid w:val="008E3B40"/>
    <w:rsid w:val="008E601C"/>
    <w:rsid w:val="008E626D"/>
    <w:rsid w:val="008E7CA7"/>
    <w:rsid w:val="008F02F8"/>
    <w:rsid w:val="008F0E19"/>
    <w:rsid w:val="008F156B"/>
    <w:rsid w:val="008F191F"/>
    <w:rsid w:val="008F2F0A"/>
    <w:rsid w:val="008F36AE"/>
    <w:rsid w:val="008F55C0"/>
    <w:rsid w:val="008F5751"/>
    <w:rsid w:val="008F594D"/>
    <w:rsid w:val="008F5EA9"/>
    <w:rsid w:val="008F7C2F"/>
    <w:rsid w:val="00900130"/>
    <w:rsid w:val="00901034"/>
    <w:rsid w:val="009024D7"/>
    <w:rsid w:val="0090254C"/>
    <w:rsid w:val="00902D20"/>
    <w:rsid w:val="0090353E"/>
    <w:rsid w:val="0090392D"/>
    <w:rsid w:val="009046BF"/>
    <w:rsid w:val="00904D25"/>
    <w:rsid w:val="00904E04"/>
    <w:rsid w:val="00906450"/>
    <w:rsid w:val="0090683B"/>
    <w:rsid w:val="00907635"/>
    <w:rsid w:val="00907B80"/>
    <w:rsid w:val="00910CA5"/>
    <w:rsid w:val="00911600"/>
    <w:rsid w:val="00912854"/>
    <w:rsid w:val="0091461A"/>
    <w:rsid w:val="0091484C"/>
    <w:rsid w:val="009152C8"/>
    <w:rsid w:val="00915CAD"/>
    <w:rsid w:val="00915CE8"/>
    <w:rsid w:val="00916F91"/>
    <w:rsid w:val="00917CA5"/>
    <w:rsid w:val="00920A83"/>
    <w:rsid w:val="00920F58"/>
    <w:rsid w:val="009223DE"/>
    <w:rsid w:val="0092319C"/>
    <w:rsid w:val="00923573"/>
    <w:rsid w:val="00923DBC"/>
    <w:rsid w:val="00924D5F"/>
    <w:rsid w:val="00925B41"/>
    <w:rsid w:val="00925F6E"/>
    <w:rsid w:val="00926535"/>
    <w:rsid w:val="00926FCA"/>
    <w:rsid w:val="00927160"/>
    <w:rsid w:val="00927A54"/>
    <w:rsid w:val="00930568"/>
    <w:rsid w:val="00932284"/>
    <w:rsid w:val="00933AF5"/>
    <w:rsid w:val="009340F4"/>
    <w:rsid w:val="00934291"/>
    <w:rsid w:val="00935AF5"/>
    <w:rsid w:val="00936833"/>
    <w:rsid w:val="00940C05"/>
    <w:rsid w:val="00943C7C"/>
    <w:rsid w:val="00944CB1"/>
    <w:rsid w:val="00944D93"/>
    <w:rsid w:val="00945B2A"/>
    <w:rsid w:val="00945B4F"/>
    <w:rsid w:val="00947CCD"/>
    <w:rsid w:val="00951737"/>
    <w:rsid w:val="009518B9"/>
    <w:rsid w:val="00953021"/>
    <w:rsid w:val="009539D5"/>
    <w:rsid w:val="00954802"/>
    <w:rsid w:val="00954D23"/>
    <w:rsid w:val="00955131"/>
    <w:rsid w:val="0095513A"/>
    <w:rsid w:val="00956987"/>
    <w:rsid w:val="00956C0F"/>
    <w:rsid w:val="00957CE3"/>
    <w:rsid w:val="009615C0"/>
    <w:rsid w:val="00963200"/>
    <w:rsid w:val="009634A8"/>
    <w:rsid w:val="00963865"/>
    <w:rsid w:val="009647DE"/>
    <w:rsid w:val="00965BE5"/>
    <w:rsid w:val="00965D6D"/>
    <w:rsid w:val="0096721E"/>
    <w:rsid w:val="009678CB"/>
    <w:rsid w:val="00967A83"/>
    <w:rsid w:val="009700F7"/>
    <w:rsid w:val="00970D15"/>
    <w:rsid w:val="009717E4"/>
    <w:rsid w:val="00971861"/>
    <w:rsid w:val="00972C4F"/>
    <w:rsid w:val="00972D60"/>
    <w:rsid w:val="00972FF8"/>
    <w:rsid w:val="00973B22"/>
    <w:rsid w:val="00975460"/>
    <w:rsid w:val="009768B0"/>
    <w:rsid w:val="00980C1A"/>
    <w:rsid w:val="0098119B"/>
    <w:rsid w:val="00983D97"/>
    <w:rsid w:val="00984380"/>
    <w:rsid w:val="0098535F"/>
    <w:rsid w:val="0098570A"/>
    <w:rsid w:val="00985785"/>
    <w:rsid w:val="0098653C"/>
    <w:rsid w:val="009865D9"/>
    <w:rsid w:val="00986B40"/>
    <w:rsid w:val="00986D20"/>
    <w:rsid w:val="00986D76"/>
    <w:rsid w:val="0099002E"/>
    <w:rsid w:val="00992ADB"/>
    <w:rsid w:val="009937FC"/>
    <w:rsid w:val="00995784"/>
    <w:rsid w:val="0099634D"/>
    <w:rsid w:val="00997714"/>
    <w:rsid w:val="009A0F2E"/>
    <w:rsid w:val="009A1363"/>
    <w:rsid w:val="009A23D1"/>
    <w:rsid w:val="009A2623"/>
    <w:rsid w:val="009A26B4"/>
    <w:rsid w:val="009A36C9"/>
    <w:rsid w:val="009A3F4F"/>
    <w:rsid w:val="009A414B"/>
    <w:rsid w:val="009A41E9"/>
    <w:rsid w:val="009A58D9"/>
    <w:rsid w:val="009A6F18"/>
    <w:rsid w:val="009A710D"/>
    <w:rsid w:val="009B098A"/>
    <w:rsid w:val="009B0EBD"/>
    <w:rsid w:val="009B24A4"/>
    <w:rsid w:val="009B2621"/>
    <w:rsid w:val="009B34E3"/>
    <w:rsid w:val="009B38A3"/>
    <w:rsid w:val="009B6D2B"/>
    <w:rsid w:val="009C0924"/>
    <w:rsid w:val="009C2A4C"/>
    <w:rsid w:val="009C2CB0"/>
    <w:rsid w:val="009C3B75"/>
    <w:rsid w:val="009C3E28"/>
    <w:rsid w:val="009C4064"/>
    <w:rsid w:val="009C434F"/>
    <w:rsid w:val="009C43F3"/>
    <w:rsid w:val="009C4AC7"/>
    <w:rsid w:val="009C4CE2"/>
    <w:rsid w:val="009C4FC4"/>
    <w:rsid w:val="009C7251"/>
    <w:rsid w:val="009D037F"/>
    <w:rsid w:val="009D076A"/>
    <w:rsid w:val="009D194F"/>
    <w:rsid w:val="009D1F58"/>
    <w:rsid w:val="009D2930"/>
    <w:rsid w:val="009D2AE5"/>
    <w:rsid w:val="009D2CF3"/>
    <w:rsid w:val="009D37F9"/>
    <w:rsid w:val="009D3921"/>
    <w:rsid w:val="009D3CBC"/>
    <w:rsid w:val="009D47EF"/>
    <w:rsid w:val="009D4AD8"/>
    <w:rsid w:val="009D4B56"/>
    <w:rsid w:val="009D4C64"/>
    <w:rsid w:val="009D6C33"/>
    <w:rsid w:val="009D7273"/>
    <w:rsid w:val="009D7C39"/>
    <w:rsid w:val="009E0981"/>
    <w:rsid w:val="009E0D5C"/>
    <w:rsid w:val="009E114C"/>
    <w:rsid w:val="009E230A"/>
    <w:rsid w:val="009E34EE"/>
    <w:rsid w:val="009E3C16"/>
    <w:rsid w:val="009E4DD0"/>
    <w:rsid w:val="009E7B97"/>
    <w:rsid w:val="009F00F6"/>
    <w:rsid w:val="009F09F3"/>
    <w:rsid w:val="009F130C"/>
    <w:rsid w:val="009F2D54"/>
    <w:rsid w:val="009F2F92"/>
    <w:rsid w:val="009F3395"/>
    <w:rsid w:val="009F397E"/>
    <w:rsid w:val="009F4163"/>
    <w:rsid w:val="009F50DD"/>
    <w:rsid w:val="009F70B8"/>
    <w:rsid w:val="00A009B3"/>
    <w:rsid w:val="00A00C92"/>
    <w:rsid w:val="00A02691"/>
    <w:rsid w:val="00A03272"/>
    <w:rsid w:val="00A03790"/>
    <w:rsid w:val="00A0643F"/>
    <w:rsid w:val="00A06AAB"/>
    <w:rsid w:val="00A078F5"/>
    <w:rsid w:val="00A07E1C"/>
    <w:rsid w:val="00A11238"/>
    <w:rsid w:val="00A11CF1"/>
    <w:rsid w:val="00A12B21"/>
    <w:rsid w:val="00A12E36"/>
    <w:rsid w:val="00A13146"/>
    <w:rsid w:val="00A1481C"/>
    <w:rsid w:val="00A163EA"/>
    <w:rsid w:val="00A1667D"/>
    <w:rsid w:val="00A174BA"/>
    <w:rsid w:val="00A17AD1"/>
    <w:rsid w:val="00A202E6"/>
    <w:rsid w:val="00A2039D"/>
    <w:rsid w:val="00A20539"/>
    <w:rsid w:val="00A20D8F"/>
    <w:rsid w:val="00A2144C"/>
    <w:rsid w:val="00A2227D"/>
    <w:rsid w:val="00A2279E"/>
    <w:rsid w:val="00A23769"/>
    <w:rsid w:val="00A24EAE"/>
    <w:rsid w:val="00A25699"/>
    <w:rsid w:val="00A25A39"/>
    <w:rsid w:val="00A27A0B"/>
    <w:rsid w:val="00A27BCB"/>
    <w:rsid w:val="00A304D0"/>
    <w:rsid w:val="00A30ED2"/>
    <w:rsid w:val="00A345A7"/>
    <w:rsid w:val="00A371EB"/>
    <w:rsid w:val="00A37D42"/>
    <w:rsid w:val="00A41E6F"/>
    <w:rsid w:val="00A425C1"/>
    <w:rsid w:val="00A431C0"/>
    <w:rsid w:val="00A43902"/>
    <w:rsid w:val="00A4426D"/>
    <w:rsid w:val="00A44B7E"/>
    <w:rsid w:val="00A44FDF"/>
    <w:rsid w:val="00A450A8"/>
    <w:rsid w:val="00A51227"/>
    <w:rsid w:val="00A517BD"/>
    <w:rsid w:val="00A52410"/>
    <w:rsid w:val="00A5330A"/>
    <w:rsid w:val="00A533C0"/>
    <w:rsid w:val="00A53BE0"/>
    <w:rsid w:val="00A55075"/>
    <w:rsid w:val="00A55120"/>
    <w:rsid w:val="00A553A4"/>
    <w:rsid w:val="00A55E02"/>
    <w:rsid w:val="00A564AD"/>
    <w:rsid w:val="00A56520"/>
    <w:rsid w:val="00A60C9C"/>
    <w:rsid w:val="00A6117A"/>
    <w:rsid w:val="00A61C04"/>
    <w:rsid w:val="00A6310C"/>
    <w:rsid w:val="00A63A13"/>
    <w:rsid w:val="00A643F8"/>
    <w:rsid w:val="00A65DD1"/>
    <w:rsid w:val="00A66C8B"/>
    <w:rsid w:val="00A6760C"/>
    <w:rsid w:val="00A67AD1"/>
    <w:rsid w:val="00A70557"/>
    <w:rsid w:val="00A70C31"/>
    <w:rsid w:val="00A712CE"/>
    <w:rsid w:val="00A71DB5"/>
    <w:rsid w:val="00A729A6"/>
    <w:rsid w:val="00A7346F"/>
    <w:rsid w:val="00A74C39"/>
    <w:rsid w:val="00A75C0F"/>
    <w:rsid w:val="00A760F3"/>
    <w:rsid w:val="00A776C2"/>
    <w:rsid w:val="00A776D1"/>
    <w:rsid w:val="00A77E09"/>
    <w:rsid w:val="00A816AF"/>
    <w:rsid w:val="00A81720"/>
    <w:rsid w:val="00A818E4"/>
    <w:rsid w:val="00A81E5C"/>
    <w:rsid w:val="00A82B19"/>
    <w:rsid w:val="00A83ED1"/>
    <w:rsid w:val="00A84DE6"/>
    <w:rsid w:val="00A85372"/>
    <w:rsid w:val="00A8686B"/>
    <w:rsid w:val="00A86B9E"/>
    <w:rsid w:val="00A87111"/>
    <w:rsid w:val="00A90D15"/>
    <w:rsid w:val="00A90F3D"/>
    <w:rsid w:val="00A91F19"/>
    <w:rsid w:val="00A92878"/>
    <w:rsid w:val="00A929A2"/>
    <w:rsid w:val="00A92FE9"/>
    <w:rsid w:val="00A93DF7"/>
    <w:rsid w:val="00A94383"/>
    <w:rsid w:val="00A94545"/>
    <w:rsid w:val="00A95A20"/>
    <w:rsid w:val="00A969D8"/>
    <w:rsid w:val="00A96F32"/>
    <w:rsid w:val="00A9721B"/>
    <w:rsid w:val="00AA0635"/>
    <w:rsid w:val="00AA1412"/>
    <w:rsid w:val="00AA162D"/>
    <w:rsid w:val="00AA21C4"/>
    <w:rsid w:val="00AA26CD"/>
    <w:rsid w:val="00AA2A40"/>
    <w:rsid w:val="00AA36ED"/>
    <w:rsid w:val="00AA37B5"/>
    <w:rsid w:val="00AA4860"/>
    <w:rsid w:val="00AA4899"/>
    <w:rsid w:val="00AA48B5"/>
    <w:rsid w:val="00AA5262"/>
    <w:rsid w:val="00AA5AB7"/>
    <w:rsid w:val="00AA5BE3"/>
    <w:rsid w:val="00AA5E1A"/>
    <w:rsid w:val="00AA77EF"/>
    <w:rsid w:val="00AB019A"/>
    <w:rsid w:val="00AB22B2"/>
    <w:rsid w:val="00AB2877"/>
    <w:rsid w:val="00AB2F06"/>
    <w:rsid w:val="00AB315D"/>
    <w:rsid w:val="00AB3E95"/>
    <w:rsid w:val="00AB7491"/>
    <w:rsid w:val="00AB7519"/>
    <w:rsid w:val="00AB7A7D"/>
    <w:rsid w:val="00AC0487"/>
    <w:rsid w:val="00AC1320"/>
    <w:rsid w:val="00AC1E7A"/>
    <w:rsid w:val="00AC2E6C"/>
    <w:rsid w:val="00AC4379"/>
    <w:rsid w:val="00AC5372"/>
    <w:rsid w:val="00AC656E"/>
    <w:rsid w:val="00AC6B32"/>
    <w:rsid w:val="00AC6CEC"/>
    <w:rsid w:val="00AC6EAD"/>
    <w:rsid w:val="00AC7C73"/>
    <w:rsid w:val="00AD26BD"/>
    <w:rsid w:val="00AD3A05"/>
    <w:rsid w:val="00AD3AEF"/>
    <w:rsid w:val="00AD554D"/>
    <w:rsid w:val="00AD6676"/>
    <w:rsid w:val="00AD67B3"/>
    <w:rsid w:val="00AD68C8"/>
    <w:rsid w:val="00AD6C4D"/>
    <w:rsid w:val="00AD70D1"/>
    <w:rsid w:val="00AE0021"/>
    <w:rsid w:val="00AE09CD"/>
    <w:rsid w:val="00AE0E2E"/>
    <w:rsid w:val="00AE1841"/>
    <w:rsid w:val="00AE2231"/>
    <w:rsid w:val="00AE2348"/>
    <w:rsid w:val="00AE24DA"/>
    <w:rsid w:val="00AE25A2"/>
    <w:rsid w:val="00AE283B"/>
    <w:rsid w:val="00AE4C8C"/>
    <w:rsid w:val="00AE5231"/>
    <w:rsid w:val="00AE588D"/>
    <w:rsid w:val="00AE5D50"/>
    <w:rsid w:val="00AE624F"/>
    <w:rsid w:val="00AE63E4"/>
    <w:rsid w:val="00AE7A44"/>
    <w:rsid w:val="00AE7B48"/>
    <w:rsid w:val="00AF007F"/>
    <w:rsid w:val="00AF1536"/>
    <w:rsid w:val="00AF1A4C"/>
    <w:rsid w:val="00AF2B90"/>
    <w:rsid w:val="00AF343C"/>
    <w:rsid w:val="00AF4BC0"/>
    <w:rsid w:val="00AF4CF2"/>
    <w:rsid w:val="00AF4F99"/>
    <w:rsid w:val="00AF501B"/>
    <w:rsid w:val="00AF62F4"/>
    <w:rsid w:val="00AF6473"/>
    <w:rsid w:val="00AF7CBB"/>
    <w:rsid w:val="00AF7F4D"/>
    <w:rsid w:val="00B00065"/>
    <w:rsid w:val="00B01DF9"/>
    <w:rsid w:val="00B01EDB"/>
    <w:rsid w:val="00B028FA"/>
    <w:rsid w:val="00B03C25"/>
    <w:rsid w:val="00B04490"/>
    <w:rsid w:val="00B0491A"/>
    <w:rsid w:val="00B05ECB"/>
    <w:rsid w:val="00B067AF"/>
    <w:rsid w:val="00B06B93"/>
    <w:rsid w:val="00B073DA"/>
    <w:rsid w:val="00B10129"/>
    <w:rsid w:val="00B1026B"/>
    <w:rsid w:val="00B10F2A"/>
    <w:rsid w:val="00B11B90"/>
    <w:rsid w:val="00B11D89"/>
    <w:rsid w:val="00B121C0"/>
    <w:rsid w:val="00B12FBB"/>
    <w:rsid w:val="00B14699"/>
    <w:rsid w:val="00B14DB1"/>
    <w:rsid w:val="00B156B7"/>
    <w:rsid w:val="00B1585A"/>
    <w:rsid w:val="00B15A0B"/>
    <w:rsid w:val="00B15F1B"/>
    <w:rsid w:val="00B16181"/>
    <w:rsid w:val="00B16D73"/>
    <w:rsid w:val="00B17BE7"/>
    <w:rsid w:val="00B204F6"/>
    <w:rsid w:val="00B21F71"/>
    <w:rsid w:val="00B22D45"/>
    <w:rsid w:val="00B238C9"/>
    <w:rsid w:val="00B248C2"/>
    <w:rsid w:val="00B27178"/>
    <w:rsid w:val="00B2717C"/>
    <w:rsid w:val="00B3092D"/>
    <w:rsid w:val="00B30A4B"/>
    <w:rsid w:val="00B30B15"/>
    <w:rsid w:val="00B31853"/>
    <w:rsid w:val="00B3191E"/>
    <w:rsid w:val="00B31E1E"/>
    <w:rsid w:val="00B32204"/>
    <w:rsid w:val="00B333E1"/>
    <w:rsid w:val="00B33DB2"/>
    <w:rsid w:val="00B33F8E"/>
    <w:rsid w:val="00B3407F"/>
    <w:rsid w:val="00B345D2"/>
    <w:rsid w:val="00B35148"/>
    <w:rsid w:val="00B36740"/>
    <w:rsid w:val="00B3716B"/>
    <w:rsid w:val="00B3768B"/>
    <w:rsid w:val="00B37DE4"/>
    <w:rsid w:val="00B40FE7"/>
    <w:rsid w:val="00B473B8"/>
    <w:rsid w:val="00B5187F"/>
    <w:rsid w:val="00B51ACC"/>
    <w:rsid w:val="00B52F0B"/>
    <w:rsid w:val="00B53D03"/>
    <w:rsid w:val="00B557E1"/>
    <w:rsid w:val="00B558D1"/>
    <w:rsid w:val="00B56207"/>
    <w:rsid w:val="00B56D7A"/>
    <w:rsid w:val="00B61369"/>
    <w:rsid w:val="00B64716"/>
    <w:rsid w:val="00B649ED"/>
    <w:rsid w:val="00B64E56"/>
    <w:rsid w:val="00B64F01"/>
    <w:rsid w:val="00B64FA6"/>
    <w:rsid w:val="00B66C2B"/>
    <w:rsid w:val="00B712BB"/>
    <w:rsid w:val="00B7175B"/>
    <w:rsid w:val="00B718C5"/>
    <w:rsid w:val="00B730D5"/>
    <w:rsid w:val="00B73D09"/>
    <w:rsid w:val="00B7416C"/>
    <w:rsid w:val="00B74604"/>
    <w:rsid w:val="00B75904"/>
    <w:rsid w:val="00B760E3"/>
    <w:rsid w:val="00B80280"/>
    <w:rsid w:val="00B80B44"/>
    <w:rsid w:val="00B81F41"/>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5B7"/>
    <w:rsid w:val="00B91C34"/>
    <w:rsid w:val="00B9224A"/>
    <w:rsid w:val="00B9228D"/>
    <w:rsid w:val="00B9249D"/>
    <w:rsid w:val="00B928A6"/>
    <w:rsid w:val="00B92B28"/>
    <w:rsid w:val="00B94C5B"/>
    <w:rsid w:val="00B94C69"/>
    <w:rsid w:val="00B96229"/>
    <w:rsid w:val="00B97E0C"/>
    <w:rsid w:val="00BA03D4"/>
    <w:rsid w:val="00BA29C7"/>
    <w:rsid w:val="00BA2CE6"/>
    <w:rsid w:val="00BA2FCE"/>
    <w:rsid w:val="00BA3BF9"/>
    <w:rsid w:val="00BA3F9C"/>
    <w:rsid w:val="00BA5C2F"/>
    <w:rsid w:val="00BA6488"/>
    <w:rsid w:val="00BA6CA3"/>
    <w:rsid w:val="00BA74AB"/>
    <w:rsid w:val="00BA773F"/>
    <w:rsid w:val="00BA789B"/>
    <w:rsid w:val="00BA7F0D"/>
    <w:rsid w:val="00BB0786"/>
    <w:rsid w:val="00BB1C58"/>
    <w:rsid w:val="00BB2296"/>
    <w:rsid w:val="00BB43C3"/>
    <w:rsid w:val="00BB639A"/>
    <w:rsid w:val="00BB65C9"/>
    <w:rsid w:val="00BB6CDC"/>
    <w:rsid w:val="00BB6F16"/>
    <w:rsid w:val="00BC03DE"/>
    <w:rsid w:val="00BC2790"/>
    <w:rsid w:val="00BC3892"/>
    <w:rsid w:val="00BC4BD9"/>
    <w:rsid w:val="00BC4E9C"/>
    <w:rsid w:val="00BC58C9"/>
    <w:rsid w:val="00BC5BCB"/>
    <w:rsid w:val="00BC5F7D"/>
    <w:rsid w:val="00BC6DFA"/>
    <w:rsid w:val="00BD0221"/>
    <w:rsid w:val="00BD0B37"/>
    <w:rsid w:val="00BD0E48"/>
    <w:rsid w:val="00BD1CD8"/>
    <w:rsid w:val="00BD2F8E"/>
    <w:rsid w:val="00BD30D5"/>
    <w:rsid w:val="00BD3281"/>
    <w:rsid w:val="00BD3BCF"/>
    <w:rsid w:val="00BD538C"/>
    <w:rsid w:val="00BD59D4"/>
    <w:rsid w:val="00BD60D9"/>
    <w:rsid w:val="00BD79ED"/>
    <w:rsid w:val="00BE04D0"/>
    <w:rsid w:val="00BE0DE5"/>
    <w:rsid w:val="00BE0F85"/>
    <w:rsid w:val="00BE1904"/>
    <w:rsid w:val="00BE1D2C"/>
    <w:rsid w:val="00BE1F84"/>
    <w:rsid w:val="00BE270B"/>
    <w:rsid w:val="00BE5B39"/>
    <w:rsid w:val="00BE6456"/>
    <w:rsid w:val="00BE6784"/>
    <w:rsid w:val="00BE7CF6"/>
    <w:rsid w:val="00BF26D7"/>
    <w:rsid w:val="00BF3228"/>
    <w:rsid w:val="00BF3260"/>
    <w:rsid w:val="00BF3B1C"/>
    <w:rsid w:val="00BF4BDF"/>
    <w:rsid w:val="00C00816"/>
    <w:rsid w:val="00C00AE3"/>
    <w:rsid w:val="00C014BE"/>
    <w:rsid w:val="00C01702"/>
    <w:rsid w:val="00C0190A"/>
    <w:rsid w:val="00C01ABD"/>
    <w:rsid w:val="00C021A4"/>
    <w:rsid w:val="00C0335F"/>
    <w:rsid w:val="00C03999"/>
    <w:rsid w:val="00C04223"/>
    <w:rsid w:val="00C04E1F"/>
    <w:rsid w:val="00C05505"/>
    <w:rsid w:val="00C05E35"/>
    <w:rsid w:val="00C06187"/>
    <w:rsid w:val="00C06A89"/>
    <w:rsid w:val="00C06CFB"/>
    <w:rsid w:val="00C112EE"/>
    <w:rsid w:val="00C11313"/>
    <w:rsid w:val="00C11FA6"/>
    <w:rsid w:val="00C121EC"/>
    <w:rsid w:val="00C126AC"/>
    <w:rsid w:val="00C129A2"/>
    <w:rsid w:val="00C13966"/>
    <w:rsid w:val="00C139B0"/>
    <w:rsid w:val="00C14070"/>
    <w:rsid w:val="00C147DD"/>
    <w:rsid w:val="00C149B9"/>
    <w:rsid w:val="00C1548D"/>
    <w:rsid w:val="00C15FD3"/>
    <w:rsid w:val="00C167EF"/>
    <w:rsid w:val="00C16869"/>
    <w:rsid w:val="00C16F23"/>
    <w:rsid w:val="00C17337"/>
    <w:rsid w:val="00C20EBB"/>
    <w:rsid w:val="00C21065"/>
    <w:rsid w:val="00C21185"/>
    <w:rsid w:val="00C2206E"/>
    <w:rsid w:val="00C22477"/>
    <w:rsid w:val="00C22C1A"/>
    <w:rsid w:val="00C22C27"/>
    <w:rsid w:val="00C23FED"/>
    <w:rsid w:val="00C24157"/>
    <w:rsid w:val="00C241C7"/>
    <w:rsid w:val="00C2526D"/>
    <w:rsid w:val="00C25332"/>
    <w:rsid w:val="00C2543D"/>
    <w:rsid w:val="00C26316"/>
    <w:rsid w:val="00C32BB7"/>
    <w:rsid w:val="00C3487F"/>
    <w:rsid w:val="00C34A96"/>
    <w:rsid w:val="00C34FAA"/>
    <w:rsid w:val="00C35655"/>
    <w:rsid w:val="00C357DB"/>
    <w:rsid w:val="00C369BD"/>
    <w:rsid w:val="00C37A26"/>
    <w:rsid w:val="00C40408"/>
    <w:rsid w:val="00C40BF2"/>
    <w:rsid w:val="00C41C76"/>
    <w:rsid w:val="00C41D75"/>
    <w:rsid w:val="00C41E59"/>
    <w:rsid w:val="00C4221D"/>
    <w:rsid w:val="00C426EF"/>
    <w:rsid w:val="00C427EA"/>
    <w:rsid w:val="00C4297A"/>
    <w:rsid w:val="00C42DB6"/>
    <w:rsid w:val="00C432D2"/>
    <w:rsid w:val="00C43980"/>
    <w:rsid w:val="00C43A62"/>
    <w:rsid w:val="00C44A54"/>
    <w:rsid w:val="00C44B2A"/>
    <w:rsid w:val="00C4526C"/>
    <w:rsid w:val="00C46FB0"/>
    <w:rsid w:val="00C47DE7"/>
    <w:rsid w:val="00C5095B"/>
    <w:rsid w:val="00C50AF2"/>
    <w:rsid w:val="00C51006"/>
    <w:rsid w:val="00C520E6"/>
    <w:rsid w:val="00C521ED"/>
    <w:rsid w:val="00C522F3"/>
    <w:rsid w:val="00C536ED"/>
    <w:rsid w:val="00C539DD"/>
    <w:rsid w:val="00C541F9"/>
    <w:rsid w:val="00C543EE"/>
    <w:rsid w:val="00C543F3"/>
    <w:rsid w:val="00C55D19"/>
    <w:rsid w:val="00C56429"/>
    <w:rsid w:val="00C5693C"/>
    <w:rsid w:val="00C5783C"/>
    <w:rsid w:val="00C60855"/>
    <w:rsid w:val="00C60D06"/>
    <w:rsid w:val="00C647A6"/>
    <w:rsid w:val="00C64C37"/>
    <w:rsid w:val="00C655BE"/>
    <w:rsid w:val="00C661AD"/>
    <w:rsid w:val="00C666CD"/>
    <w:rsid w:val="00C679A1"/>
    <w:rsid w:val="00C70183"/>
    <w:rsid w:val="00C7080B"/>
    <w:rsid w:val="00C70F8D"/>
    <w:rsid w:val="00C72031"/>
    <w:rsid w:val="00C725A3"/>
    <w:rsid w:val="00C7270D"/>
    <w:rsid w:val="00C72C20"/>
    <w:rsid w:val="00C730F9"/>
    <w:rsid w:val="00C74557"/>
    <w:rsid w:val="00C75B0A"/>
    <w:rsid w:val="00C8000E"/>
    <w:rsid w:val="00C8093C"/>
    <w:rsid w:val="00C8118D"/>
    <w:rsid w:val="00C82108"/>
    <w:rsid w:val="00C8256D"/>
    <w:rsid w:val="00C8281E"/>
    <w:rsid w:val="00C8314F"/>
    <w:rsid w:val="00C8376F"/>
    <w:rsid w:val="00C83C87"/>
    <w:rsid w:val="00C8449B"/>
    <w:rsid w:val="00C86422"/>
    <w:rsid w:val="00C8642F"/>
    <w:rsid w:val="00C86596"/>
    <w:rsid w:val="00C876E4"/>
    <w:rsid w:val="00C87CDF"/>
    <w:rsid w:val="00C90B07"/>
    <w:rsid w:val="00C9124D"/>
    <w:rsid w:val="00C922F1"/>
    <w:rsid w:val="00C92A40"/>
    <w:rsid w:val="00C92A53"/>
    <w:rsid w:val="00C92B48"/>
    <w:rsid w:val="00C93D8E"/>
    <w:rsid w:val="00C960EB"/>
    <w:rsid w:val="00C964D5"/>
    <w:rsid w:val="00CA1825"/>
    <w:rsid w:val="00CA2D27"/>
    <w:rsid w:val="00CA42C9"/>
    <w:rsid w:val="00CA4458"/>
    <w:rsid w:val="00CA4800"/>
    <w:rsid w:val="00CA51B9"/>
    <w:rsid w:val="00CA5B85"/>
    <w:rsid w:val="00CA76FB"/>
    <w:rsid w:val="00CB0BC4"/>
    <w:rsid w:val="00CB3118"/>
    <w:rsid w:val="00CB3617"/>
    <w:rsid w:val="00CB3A12"/>
    <w:rsid w:val="00CB495D"/>
    <w:rsid w:val="00CB4FE1"/>
    <w:rsid w:val="00CB5035"/>
    <w:rsid w:val="00CB512B"/>
    <w:rsid w:val="00CB52B2"/>
    <w:rsid w:val="00CB68D8"/>
    <w:rsid w:val="00CB6D26"/>
    <w:rsid w:val="00CB7DD3"/>
    <w:rsid w:val="00CC0967"/>
    <w:rsid w:val="00CC0ACB"/>
    <w:rsid w:val="00CC0CDD"/>
    <w:rsid w:val="00CC19BE"/>
    <w:rsid w:val="00CC1FF4"/>
    <w:rsid w:val="00CC2777"/>
    <w:rsid w:val="00CC2C74"/>
    <w:rsid w:val="00CC30B6"/>
    <w:rsid w:val="00CC552B"/>
    <w:rsid w:val="00CC642C"/>
    <w:rsid w:val="00CC71B4"/>
    <w:rsid w:val="00CC7490"/>
    <w:rsid w:val="00CD00EF"/>
    <w:rsid w:val="00CD1331"/>
    <w:rsid w:val="00CD16A3"/>
    <w:rsid w:val="00CD2D67"/>
    <w:rsid w:val="00CD31D8"/>
    <w:rsid w:val="00CD3DBB"/>
    <w:rsid w:val="00CD455C"/>
    <w:rsid w:val="00CD4E3E"/>
    <w:rsid w:val="00CD6005"/>
    <w:rsid w:val="00CD603B"/>
    <w:rsid w:val="00CD6131"/>
    <w:rsid w:val="00CD65CC"/>
    <w:rsid w:val="00CD686F"/>
    <w:rsid w:val="00CD6B27"/>
    <w:rsid w:val="00CD6B44"/>
    <w:rsid w:val="00CD6C7A"/>
    <w:rsid w:val="00CD728A"/>
    <w:rsid w:val="00CD75FB"/>
    <w:rsid w:val="00CE02DE"/>
    <w:rsid w:val="00CE1295"/>
    <w:rsid w:val="00CE1A55"/>
    <w:rsid w:val="00CE2410"/>
    <w:rsid w:val="00CE33C6"/>
    <w:rsid w:val="00CE3862"/>
    <w:rsid w:val="00CE393F"/>
    <w:rsid w:val="00CE41E1"/>
    <w:rsid w:val="00CE5294"/>
    <w:rsid w:val="00CE6071"/>
    <w:rsid w:val="00CE7D13"/>
    <w:rsid w:val="00CF2621"/>
    <w:rsid w:val="00CF2ED6"/>
    <w:rsid w:val="00CF3926"/>
    <w:rsid w:val="00CF5A08"/>
    <w:rsid w:val="00CF7883"/>
    <w:rsid w:val="00D0139A"/>
    <w:rsid w:val="00D02201"/>
    <w:rsid w:val="00D02643"/>
    <w:rsid w:val="00D03CB6"/>
    <w:rsid w:val="00D05B8C"/>
    <w:rsid w:val="00D071F2"/>
    <w:rsid w:val="00D073F9"/>
    <w:rsid w:val="00D10337"/>
    <w:rsid w:val="00D10EC5"/>
    <w:rsid w:val="00D11707"/>
    <w:rsid w:val="00D1221F"/>
    <w:rsid w:val="00D126B1"/>
    <w:rsid w:val="00D160D4"/>
    <w:rsid w:val="00D1657E"/>
    <w:rsid w:val="00D207F5"/>
    <w:rsid w:val="00D20DE3"/>
    <w:rsid w:val="00D21526"/>
    <w:rsid w:val="00D2187E"/>
    <w:rsid w:val="00D21F51"/>
    <w:rsid w:val="00D226A5"/>
    <w:rsid w:val="00D22BCC"/>
    <w:rsid w:val="00D24678"/>
    <w:rsid w:val="00D26BE3"/>
    <w:rsid w:val="00D26FC1"/>
    <w:rsid w:val="00D27A2D"/>
    <w:rsid w:val="00D31956"/>
    <w:rsid w:val="00D32B06"/>
    <w:rsid w:val="00D32D41"/>
    <w:rsid w:val="00D330A5"/>
    <w:rsid w:val="00D335DA"/>
    <w:rsid w:val="00D33996"/>
    <w:rsid w:val="00D34711"/>
    <w:rsid w:val="00D34779"/>
    <w:rsid w:val="00D35050"/>
    <w:rsid w:val="00D352DB"/>
    <w:rsid w:val="00D3534A"/>
    <w:rsid w:val="00D35B32"/>
    <w:rsid w:val="00D36C82"/>
    <w:rsid w:val="00D372E1"/>
    <w:rsid w:val="00D40100"/>
    <w:rsid w:val="00D40C39"/>
    <w:rsid w:val="00D41F92"/>
    <w:rsid w:val="00D4246B"/>
    <w:rsid w:val="00D429F0"/>
    <w:rsid w:val="00D42C8C"/>
    <w:rsid w:val="00D45057"/>
    <w:rsid w:val="00D45EFC"/>
    <w:rsid w:val="00D4654F"/>
    <w:rsid w:val="00D506E4"/>
    <w:rsid w:val="00D51B97"/>
    <w:rsid w:val="00D52DA8"/>
    <w:rsid w:val="00D5309F"/>
    <w:rsid w:val="00D535F2"/>
    <w:rsid w:val="00D54942"/>
    <w:rsid w:val="00D54F7E"/>
    <w:rsid w:val="00D56336"/>
    <w:rsid w:val="00D56FAE"/>
    <w:rsid w:val="00D5718E"/>
    <w:rsid w:val="00D5771F"/>
    <w:rsid w:val="00D60F10"/>
    <w:rsid w:val="00D62BF4"/>
    <w:rsid w:val="00D634FD"/>
    <w:rsid w:val="00D64314"/>
    <w:rsid w:val="00D646D8"/>
    <w:rsid w:val="00D659FA"/>
    <w:rsid w:val="00D65D3B"/>
    <w:rsid w:val="00D70019"/>
    <w:rsid w:val="00D704B0"/>
    <w:rsid w:val="00D7100F"/>
    <w:rsid w:val="00D7161A"/>
    <w:rsid w:val="00D73215"/>
    <w:rsid w:val="00D744BC"/>
    <w:rsid w:val="00D76B29"/>
    <w:rsid w:val="00D76D98"/>
    <w:rsid w:val="00D77153"/>
    <w:rsid w:val="00D77AFA"/>
    <w:rsid w:val="00D8046D"/>
    <w:rsid w:val="00D81173"/>
    <w:rsid w:val="00D81ADE"/>
    <w:rsid w:val="00D81D7C"/>
    <w:rsid w:val="00D83CCD"/>
    <w:rsid w:val="00D83E8F"/>
    <w:rsid w:val="00D83FF1"/>
    <w:rsid w:val="00D87136"/>
    <w:rsid w:val="00D907F5"/>
    <w:rsid w:val="00D917FD"/>
    <w:rsid w:val="00D9264F"/>
    <w:rsid w:val="00D92714"/>
    <w:rsid w:val="00D92F8A"/>
    <w:rsid w:val="00D93379"/>
    <w:rsid w:val="00D969D1"/>
    <w:rsid w:val="00D9763D"/>
    <w:rsid w:val="00DA0302"/>
    <w:rsid w:val="00DA0369"/>
    <w:rsid w:val="00DA0496"/>
    <w:rsid w:val="00DA07DE"/>
    <w:rsid w:val="00DA0BED"/>
    <w:rsid w:val="00DA0DF1"/>
    <w:rsid w:val="00DA2047"/>
    <w:rsid w:val="00DA26AA"/>
    <w:rsid w:val="00DA326C"/>
    <w:rsid w:val="00DA3EC7"/>
    <w:rsid w:val="00DA4387"/>
    <w:rsid w:val="00DA5430"/>
    <w:rsid w:val="00DA5854"/>
    <w:rsid w:val="00DA62D6"/>
    <w:rsid w:val="00DA64AB"/>
    <w:rsid w:val="00DA675A"/>
    <w:rsid w:val="00DA6C90"/>
    <w:rsid w:val="00DA73A2"/>
    <w:rsid w:val="00DB06D4"/>
    <w:rsid w:val="00DB0865"/>
    <w:rsid w:val="00DB119D"/>
    <w:rsid w:val="00DB1B65"/>
    <w:rsid w:val="00DB2DF4"/>
    <w:rsid w:val="00DB4D7C"/>
    <w:rsid w:val="00DB5213"/>
    <w:rsid w:val="00DB5749"/>
    <w:rsid w:val="00DB5BB9"/>
    <w:rsid w:val="00DB6038"/>
    <w:rsid w:val="00DB60AF"/>
    <w:rsid w:val="00DB64AD"/>
    <w:rsid w:val="00DB6C9F"/>
    <w:rsid w:val="00DB7AD6"/>
    <w:rsid w:val="00DB7B8B"/>
    <w:rsid w:val="00DC0ECC"/>
    <w:rsid w:val="00DC157B"/>
    <w:rsid w:val="00DC287C"/>
    <w:rsid w:val="00DC2B68"/>
    <w:rsid w:val="00DC34D4"/>
    <w:rsid w:val="00DC5581"/>
    <w:rsid w:val="00DC674C"/>
    <w:rsid w:val="00DD05FF"/>
    <w:rsid w:val="00DD06EF"/>
    <w:rsid w:val="00DD0B9D"/>
    <w:rsid w:val="00DD0DCA"/>
    <w:rsid w:val="00DD2CAD"/>
    <w:rsid w:val="00DD2CE7"/>
    <w:rsid w:val="00DD3370"/>
    <w:rsid w:val="00DD4286"/>
    <w:rsid w:val="00DD4383"/>
    <w:rsid w:val="00DD43B9"/>
    <w:rsid w:val="00DD4F6F"/>
    <w:rsid w:val="00DE1CDF"/>
    <w:rsid w:val="00DE2F78"/>
    <w:rsid w:val="00DE2FA9"/>
    <w:rsid w:val="00DE35EE"/>
    <w:rsid w:val="00DE3C25"/>
    <w:rsid w:val="00DE3CF2"/>
    <w:rsid w:val="00DE44F7"/>
    <w:rsid w:val="00DE462E"/>
    <w:rsid w:val="00DE5652"/>
    <w:rsid w:val="00DE66F2"/>
    <w:rsid w:val="00DF0D48"/>
    <w:rsid w:val="00DF2C55"/>
    <w:rsid w:val="00DF4C1E"/>
    <w:rsid w:val="00DF5373"/>
    <w:rsid w:val="00DF64FF"/>
    <w:rsid w:val="00DF758A"/>
    <w:rsid w:val="00E01129"/>
    <w:rsid w:val="00E01201"/>
    <w:rsid w:val="00E01C52"/>
    <w:rsid w:val="00E03709"/>
    <w:rsid w:val="00E065FF"/>
    <w:rsid w:val="00E06D35"/>
    <w:rsid w:val="00E07F5E"/>
    <w:rsid w:val="00E1018C"/>
    <w:rsid w:val="00E113BB"/>
    <w:rsid w:val="00E118CC"/>
    <w:rsid w:val="00E12DEC"/>
    <w:rsid w:val="00E132AD"/>
    <w:rsid w:val="00E13809"/>
    <w:rsid w:val="00E1431C"/>
    <w:rsid w:val="00E171E9"/>
    <w:rsid w:val="00E20F38"/>
    <w:rsid w:val="00E2104A"/>
    <w:rsid w:val="00E22CE6"/>
    <w:rsid w:val="00E233DE"/>
    <w:rsid w:val="00E2443B"/>
    <w:rsid w:val="00E252B2"/>
    <w:rsid w:val="00E25481"/>
    <w:rsid w:val="00E25483"/>
    <w:rsid w:val="00E256F5"/>
    <w:rsid w:val="00E261EE"/>
    <w:rsid w:val="00E27141"/>
    <w:rsid w:val="00E279D1"/>
    <w:rsid w:val="00E27F67"/>
    <w:rsid w:val="00E404D3"/>
    <w:rsid w:val="00E410BA"/>
    <w:rsid w:val="00E41762"/>
    <w:rsid w:val="00E41A8B"/>
    <w:rsid w:val="00E42601"/>
    <w:rsid w:val="00E45359"/>
    <w:rsid w:val="00E45626"/>
    <w:rsid w:val="00E45EEA"/>
    <w:rsid w:val="00E46C04"/>
    <w:rsid w:val="00E46D2D"/>
    <w:rsid w:val="00E4769F"/>
    <w:rsid w:val="00E47A93"/>
    <w:rsid w:val="00E50C5D"/>
    <w:rsid w:val="00E50EBA"/>
    <w:rsid w:val="00E51114"/>
    <w:rsid w:val="00E512ED"/>
    <w:rsid w:val="00E51595"/>
    <w:rsid w:val="00E534C8"/>
    <w:rsid w:val="00E5434F"/>
    <w:rsid w:val="00E56602"/>
    <w:rsid w:val="00E56D48"/>
    <w:rsid w:val="00E5799C"/>
    <w:rsid w:val="00E604E8"/>
    <w:rsid w:val="00E60F41"/>
    <w:rsid w:val="00E61F35"/>
    <w:rsid w:val="00E61FB6"/>
    <w:rsid w:val="00E62B88"/>
    <w:rsid w:val="00E63861"/>
    <w:rsid w:val="00E63881"/>
    <w:rsid w:val="00E6464E"/>
    <w:rsid w:val="00E6512C"/>
    <w:rsid w:val="00E66E63"/>
    <w:rsid w:val="00E66EE1"/>
    <w:rsid w:val="00E675A2"/>
    <w:rsid w:val="00E67E41"/>
    <w:rsid w:val="00E70007"/>
    <w:rsid w:val="00E70552"/>
    <w:rsid w:val="00E70828"/>
    <w:rsid w:val="00E70838"/>
    <w:rsid w:val="00E7161A"/>
    <w:rsid w:val="00E71681"/>
    <w:rsid w:val="00E72586"/>
    <w:rsid w:val="00E72B55"/>
    <w:rsid w:val="00E72F22"/>
    <w:rsid w:val="00E73FD9"/>
    <w:rsid w:val="00E801B6"/>
    <w:rsid w:val="00E80CF8"/>
    <w:rsid w:val="00E814A2"/>
    <w:rsid w:val="00E816C9"/>
    <w:rsid w:val="00E817DA"/>
    <w:rsid w:val="00E81894"/>
    <w:rsid w:val="00E81D4B"/>
    <w:rsid w:val="00E821F4"/>
    <w:rsid w:val="00E83271"/>
    <w:rsid w:val="00E83AEE"/>
    <w:rsid w:val="00E849E3"/>
    <w:rsid w:val="00E851B3"/>
    <w:rsid w:val="00E86053"/>
    <w:rsid w:val="00E86566"/>
    <w:rsid w:val="00E867CC"/>
    <w:rsid w:val="00E86E65"/>
    <w:rsid w:val="00E87129"/>
    <w:rsid w:val="00E87130"/>
    <w:rsid w:val="00E91EBC"/>
    <w:rsid w:val="00E938F7"/>
    <w:rsid w:val="00E93AA4"/>
    <w:rsid w:val="00E94F81"/>
    <w:rsid w:val="00E952F3"/>
    <w:rsid w:val="00E95A72"/>
    <w:rsid w:val="00E95A93"/>
    <w:rsid w:val="00E95CD9"/>
    <w:rsid w:val="00E965B8"/>
    <w:rsid w:val="00E96746"/>
    <w:rsid w:val="00E975FC"/>
    <w:rsid w:val="00E97CAF"/>
    <w:rsid w:val="00EA02C5"/>
    <w:rsid w:val="00EA0800"/>
    <w:rsid w:val="00EA0B57"/>
    <w:rsid w:val="00EA1013"/>
    <w:rsid w:val="00EA1072"/>
    <w:rsid w:val="00EA2AE8"/>
    <w:rsid w:val="00EA415F"/>
    <w:rsid w:val="00EA46E3"/>
    <w:rsid w:val="00EA513C"/>
    <w:rsid w:val="00EA576B"/>
    <w:rsid w:val="00EA5D05"/>
    <w:rsid w:val="00EA7670"/>
    <w:rsid w:val="00EB083C"/>
    <w:rsid w:val="00EB1D4E"/>
    <w:rsid w:val="00EB20D2"/>
    <w:rsid w:val="00EB2305"/>
    <w:rsid w:val="00EB3DE4"/>
    <w:rsid w:val="00EB4DDB"/>
    <w:rsid w:val="00EB7E92"/>
    <w:rsid w:val="00EC0A46"/>
    <w:rsid w:val="00EC220B"/>
    <w:rsid w:val="00EC27C1"/>
    <w:rsid w:val="00EC302E"/>
    <w:rsid w:val="00EC36C5"/>
    <w:rsid w:val="00EC3BF9"/>
    <w:rsid w:val="00EC4755"/>
    <w:rsid w:val="00EC5D20"/>
    <w:rsid w:val="00EC5DFE"/>
    <w:rsid w:val="00EC66C4"/>
    <w:rsid w:val="00EC72AE"/>
    <w:rsid w:val="00EC7BA5"/>
    <w:rsid w:val="00EC7EB4"/>
    <w:rsid w:val="00ED020A"/>
    <w:rsid w:val="00ED0C88"/>
    <w:rsid w:val="00ED11CC"/>
    <w:rsid w:val="00ED1EB8"/>
    <w:rsid w:val="00ED2D76"/>
    <w:rsid w:val="00ED2EB1"/>
    <w:rsid w:val="00ED3050"/>
    <w:rsid w:val="00ED3919"/>
    <w:rsid w:val="00ED438A"/>
    <w:rsid w:val="00ED43AC"/>
    <w:rsid w:val="00ED4A2E"/>
    <w:rsid w:val="00ED7A70"/>
    <w:rsid w:val="00EE0A05"/>
    <w:rsid w:val="00EE0E28"/>
    <w:rsid w:val="00EE50D0"/>
    <w:rsid w:val="00EE59A7"/>
    <w:rsid w:val="00EE646B"/>
    <w:rsid w:val="00EE6962"/>
    <w:rsid w:val="00EE6D18"/>
    <w:rsid w:val="00EE78F6"/>
    <w:rsid w:val="00EE7E52"/>
    <w:rsid w:val="00EF0D9F"/>
    <w:rsid w:val="00EF1ECC"/>
    <w:rsid w:val="00EF2B3F"/>
    <w:rsid w:val="00EF3E73"/>
    <w:rsid w:val="00EF5801"/>
    <w:rsid w:val="00EF6DB2"/>
    <w:rsid w:val="00EF6F37"/>
    <w:rsid w:val="00F02257"/>
    <w:rsid w:val="00F02DBA"/>
    <w:rsid w:val="00F0315C"/>
    <w:rsid w:val="00F0389C"/>
    <w:rsid w:val="00F04313"/>
    <w:rsid w:val="00F06086"/>
    <w:rsid w:val="00F06F0F"/>
    <w:rsid w:val="00F0726F"/>
    <w:rsid w:val="00F07B12"/>
    <w:rsid w:val="00F07D69"/>
    <w:rsid w:val="00F1034D"/>
    <w:rsid w:val="00F1079F"/>
    <w:rsid w:val="00F117ED"/>
    <w:rsid w:val="00F11876"/>
    <w:rsid w:val="00F1193D"/>
    <w:rsid w:val="00F11BB1"/>
    <w:rsid w:val="00F12A31"/>
    <w:rsid w:val="00F132B1"/>
    <w:rsid w:val="00F15411"/>
    <w:rsid w:val="00F15A83"/>
    <w:rsid w:val="00F15B34"/>
    <w:rsid w:val="00F15DEB"/>
    <w:rsid w:val="00F21D22"/>
    <w:rsid w:val="00F223DB"/>
    <w:rsid w:val="00F229E1"/>
    <w:rsid w:val="00F24BC9"/>
    <w:rsid w:val="00F25A5C"/>
    <w:rsid w:val="00F27375"/>
    <w:rsid w:val="00F27CDB"/>
    <w:rsid w:val="00F30B45"/>
    <w:rsid w:val="00F30B77"/>
    <w:rsid w:val="00F31036"/>
    <w:rsid w:val="00F311E3"/>
    <w:rsid w:val="00F34B11"/>
    <w:rsid w:val="00F34EE2"/>
    <w:rsid w:val="00F35399"/>
    <w:rsid w:val="00F35C42"/>
    <w:rsid w:val="00F37298"/>
    <w:rsid w:val="00F37BD3"/>
    <w:rsid w:val="00F4040B"/>
    <w:rsid w:val="00F4354F"/>
    <w:rsid w:val="00F43732"/>
    <w:rsid w:val="00F43E2A"/>
    <w:rsid w:val="00F44AAE"/>
    <w:rsid w:val="00F45152"/>
    <w:rsid w:val="00F45668"/>
    <w:rsid w:val="00F45BAE"/>
    <w:rsid w:val="00F460E0"/>
    <w:rsid w:val="00F47378"/>
    <w:rsid w:val="00F50CDA"/>
    <w:rsid w:val="00F50D4E"/>
    <w:rsid w:val="00F50E87"/>
    <w:rsid w:val="00F51638"/>
    <w:rsid w:val="00F51D1E"/>
    <w:rsid w:val="00F52610"/>
    <w:rsid w:val="00F528BE"/>
    <w:rsid w:val="00F52B6A"/>
    <w:rsid w:val="00F52FA7"/>
    <w:rsid w:val="00F5316C"/>
    <w:rsid w:val="00F53389"/>
    <w:rsid w:val="00F542C1"/>
    <w:rsid w:val="00F5457A"/>
    <w:rsid w:val="00F547D0"/>
    <w:rsid w:val="00F558AF"/>
    <w:rsid w:val="00F558F7"/>
    <w:rsid w:val="00F559D8"/>
    <w:rsid w:val="00F55A60"/>
    <w:rsid w:val="00F57267"/>
    <w:rsid w:val="00F61966"/>
    <w:rsid w:val="00F61E54"/>
    <w:rsid w:val="00F623EA"/>
    <w:rsid w:val="00F628A5"/>
    <w:rsid w:val="00F62992"/>
    <w:rsid w:val="00F62D60"/>
    <w:rsid w:val="00F63194"/>
    <w:rsid w:val="00F636F2"/>
    <w:rsid w:val="00F637E7"/>
    <w:rsid w:val="00F6395E"/>
    <w:rsid w:val="00F640AA"/>
    <w:rsid w:val="00F64BD2"/>
    <w:rsid w:val="00F64DCE"/>
    <w:rsid w:val="00F6516C"/>
    <w:rsid w:val="00F654ED"/>
    <w:rsid w:val="00F65F9E"/>
    <w:rsid w:val="00F66653"/>
    <w:rsid w:val="00F6725A"/>
    <w:rsid w:val="00F67A29"/>
    <w:rsid w:val="00F67DA6"/>
    <w:rsid w:val="00F702EB"/>
    <w:rsid w:val="00F708ED"/>
    <w:rsid w:val="00F710D6"/>
    <w:rsid w:val="00F717E1"/>
    <w:rsid w:val="00F71D7D"/>
    <w:rsid w:val="00F72BDF"/>
    <w:rsid w:val="00F735A7"/>
    <w:rsid w:val="00F74441"/>
    <w:rsid w:val="00F745D9"/>
    <w:rsid w:val="00F758A0"/>
    <w:rsid w:val="00F76BB3"/>
    <w:rsid w:val="00F76D4E"/>
    <w:rsid w:val="00F772DA"/>
    <w:rsid w:val="00F7781E"/>
    <w:rsid w:val="00F81708"/>
    <w:rsid w:val="00F82D68"/>
    <w:rsid w:val="00F8304F"/>
    <w:rsid w:val="00F847B5"/>
    <w:rsid w:val="00F85DFD"/>
    <w:rsid w:val="00F8679A"/>
    <w:rsid w:val="00F868BC"/>
    <w:rsid w:val="00F875DE"/>
    <w:rsid w:val="00F879B1"/>
    <w:rsid w:val="00F90D95"/>
    <w:rsid w:val="00F90F9D"/>
    <w:rsid w:val="00F91054"/>
    <w:rsid w:val="00F92653"/>
    <w:rsid w:val="00F92C69"/>
    <w:rsid w:val="00F92CC0"/>
    <w:rsid w:val="00F9332E"/>
    <w:rsid w:val="00F937E7"/>
    <w:rsid w:val="00F9521E"/>
    <w:rsid w:val="00F95E15"/>
    <w:rsid w:val="00F961DD"/>
    <w:rsid w:val="00F97015"/>
    <w:rsid w:val="00F9746E"/>
    <w:rsid w:val="00FA03B6"/>
    <w:rsid w:val="00FA1144"/>
    <w:rsid w:val="00FA226B"/>
    <w:rsid w:val="00FA2DC5"/>
    <w:rsid w:val="00FA36DB"/>
    <w:rsid w:val="00FA4D82"/>
    <w:rsid w:val="00FA528E"/>
    <w:rsid w:val="00FA52E7"/>
    <w:rsid w:val="00FA5DD2"/>
    <w:rsid w:val="00FA63FC"/>
    <w:rsid w:val="00FA67A0"/>
    <w:rsid w:val="00FA70D4"/>
    <w:rsid w:val="00FB072F"/>
    <w:rsid w:val="00FB092A"/>
    <w:rsid w:val="00FB0BC2"/>
    <w:rsid w:val="00FB1D41"/>
    <w:rsid w:val="00FB2F90"/>
    <w:rsid w:val="00FB308E"/>
    <w:rsid w:val="00FB32D4"/>
    <w:rsid w:val="00FB3461"/>
    <w:rsid w:val="00FB37A8"/>
    <w:rsid w:val="00FB5CA3"/>
    <w:rsid w:val="00FC006A"/>
    <w:rsid w:val="00FC0934"/>
    <w:rsid w:val="00FC12B5"/>
    <w:rsid w:val="00FC1882"/>
    <w:rsid w:val="00FC1AD6"/>
    <w:rsid w:val="00FC1C2D"/>
    <w:rsid w:val="00FC272C"/>
    <w:rsid w:val="00FC2B2D"/>
    <w:rsid w:val="00FC2CDB"/>
    <w:rsid w:val="00FC3263"/>
    <w:rsid w:val="00FC3A48"/>
    <w:rsid w:val="00FC5058"/>
    <w:rsid w:val="00FC54B8"/>
    <w:rsid w:val="00FC61EA"/>
    <w:rsid w:val="00FC735E"/>
    <w:rsid w:val="00FC7F42"/>
    <w:rsid w:val="00FD0883"/>
    <w:rsid w:val="00FD1263"/>
    <w:rsid w:val="00FD1EA4"/>
    <w:rsid w:val="00FD273B"/>
    <w:rsid w:val="00FD2A4B"/>
    <w:rsid w:val="00FD2B18"/>
    <w:rsid w:val="00FD34B2"/>
    <w:rsid w:val="00FD350C"/>
    <w:rsid w:val="00FD4A4B"/>
    <w:rsid w:val="00FD4B1F"/>
    <w:rsid w:val="00FD4ED0"/>
    <w:rsid w:val="00FD5D94"/>
    <w:rsid w:val="00FD65DE"/>
    <w:rsid w:val="00FE0D70"/>
    <w:rsid w:val="00FE1A06"/>
    <w:rsid w:val="00FE2E8D"/>
    <w:rsid w:val="00FE3738"/>
    <w:rsid w:val="00FE3ACE"/>
    <w:rsid w:val="00FE3DF9"/>
    <w:rsid w:val="00FE4F1F"/>
    <w:rsid w:val="00FE513E"/>
    <w:rsid w:val="00FE531F"/>
    <w:rsid w:val="00FE5E5C"/>
    <w:rsid w:val="00FE5F67"/>
    <w:rsid w:val="00FE65F9"/>
    <w:rsid w:val="00FE7764"/>
    <w:rsid w:val="00FE7F8D"/>
    <w:rsid w:val="00FF249C"/>
    <w:rsid w:val="00FF2EA1"/>
    <w:rsid w:val="00FF35F6"/>
    <w:rsid w:val="00FF5C39"/>
    <w:rsid w:val="00FF6321"/>
    <w:rsid w:val="00FF67D2"/>
    <w:rsid w:val="00FF7622"/>
    <w:rsid w:val="013F4369"/>
    <w:rsid w:val="02197498"/>
    <w:rsid w:val="029B6737"/>
    <w:rsid w:val="029E16D8"/>
    <w:rsid w:val="02D3433D"/>
    <w:rsid w:val="02E7478A"/>
    <w:rsid w:val="03000A08"/>
    <w:rsid w:val="03454DED"/>
    <w:rsid w:val="03C545D6"/>
    <w:rsid w:val="04625545"/>
    <w:rsid w:val="046D5737"/>
    <w:rsid w:val="04717E20"/>
    <w:rsid w:val="05AB059E"/>
    <w:rsid w:val="05DC71B6"/>
    <w:rsid w:val="06665122"/>
    <w:rsid w:val="06C3127B"/>
    <w:rsid w:val="06C43DE0"/>
    <w:rsid w:val="06C64491"/>
    <w:rsid w:val="073B6DEB"/>
    <w:rsid w:val="074A1FE5"/>
    <w:rsid w:val="077305E3"/>
    <w:rsid w:val="080A52B6"/>
    <w:rsid w:val="08191001"/>
    <w:rsid w:val="09945539"/>
    <w:rsid w:val="0A93506B"/>
    <w:rsid w:val="0B9E48FD"/>
    <w:rsid w:val="0BB622A7"/>
    <w:rsid w:val="0C3E42BE"/>
    <w:rsid w:val="0D4806BF"/>
    <w:rsid w:val="0D4B008E"/>
    <w:rsid w:val="0E024D74"/>
    <w:rsid w:val="0E0B0A7A"/>
    <w:rsid w:val="0E484301"/>
    <w:rsid w:val="0E5F1249"/>
    <w:rsid w:val="102B5AE8"/>
    <w:rsid w:val="10611A0A"/>
    <w:rsid w:val="10AC5059"/>
    <w:rsid w:val="113464A3"/>
    <w:rsid w:val="116D0F4A"/>
    <w:rsid w:val="127A292F"/>
    <w:rsid w:val="1282121E"/>
    <w:rsid w:val="13012641"/>
    <w:rsid w:val="13F26291"/>
    <w:rsid w:val="13FD7A4B"/>
    <w:rsid w:val="146E36D7"/>
    <w:rsid w:val="146E3E3D"/>
    <w:rsid w:val="14DC6FEA"/>
    <w:rsid w:val="152F2422"/>
    <w:rsid w:val="15F36B10"/>
    <w:rsid w:val="15F67B8F"/>
    <w:rsid w:val="15F86E50"/>
    <w:rsid w:val="15F873A5"/>
    <w:rsid w:val="16CD33F4"/>
    <w:rsid w:val="16E1457B"/>
    <w:rsid w:val="16F26FDC"/>
    <w:rsid w:val="17721137"/>
    <w:rsid w:val="17E75995"/>
    <w:rsid w:val="19450E59"/>
    <w:rsid w:val="19483FD9"/>
    <w:rsid w:val="19813FB0"/>
    <w:rsid w:val="1A3D4C07"/>
    <w:rsid w:val="1B5A4D98"/>
    <w:rsid w:val="1B610368"/>
    <w:rsid w:val="1BA96B88"/>
    <w:rsid w:val="1C6A496F"/>
    <w:rsid w:val="1DD063A3"/>
    <w:rsid w:val="1F100C2A"/>
    <w:rsid w:val="1F125176"/>
    <w:rsid w:val="1F374DC3"/>
    <w:rsid w:val="1FD644E5"/>
    <w:rsid w:val="1FFE6BEE"/>
    <w:rsid w:val="204F166B"/>
    <w:rsid w:val="20BA340F"/>
    <w:rsid w:val="20FE602D"/>
    <w:rsid w:val="210E1A59"/>
    <w:rsid w:val="216F7993"/>
    <w:rsid w:val="21825E03"/>
    <w:rsid w:val="21BB220E"/>
    <w:rsid w:val="221D5633"/>
    <w:rsid w:val="24A10DF8"/>
    <w:rsid w:val="26C171CB"/>
    <w:rsid w:val="27F43460"/>
    <w:rsid w:val="2805374C"/>
    <w:rsid w:val="28054429"/>
    <w:rsid w:val="285A1251"/>
    <w:rsid w:val="286E52FC"/>
    <w:rsid w:val="2ABB7DF2"/>
    <w:rsid w:val="2ADE448E"/>
    <w:rsid w:val="2BD902EC"/>
    <w:rsid w:val="2D0C6C82"/>
    <w:rsid w:val="2E135BB8"/>
    <w:rsid w:val="2E386092"/>
    <w:rsid w:val="2EE737A0"/>
    <w:rsid w:val="2EF21CAB"/>
    <w:rsid w:val="2F3841ED"/>
    <w:rsid w:val="2F58187C"/>
    <w:rsid w:val="30B1408E"/>
    <w:rsid w:val="30CE71F9"/>
    <w:rsid w:val="30EF67E5"/>
    <w:rsid w:val="310311E3"/>
    <w:rsid w:val="31F4722E"/>
    <w:rsid w:val="320B7848"/>
    <w:rsid w:val="328D7DE2"/>
    <w:rsid w:val="32BA571C"/>
    <w:rsid w:val="32EE6C13"/>
    <w:rsid w:val="33C53375"/>
    <w:rsid w:val="344D3544"/>
    <w:rsid w:val="34562CDE"/>
    <w:rsid w:val="35DB1C68"/>
    <w:rsid w:val="35EC697A"/>
    <w:rsid w:val="36F4767F"/>
    <w:rsid w:val="378418A7"/>
    <w:rsid w:val="383C102E"/>
    <w:rsid w:val="386709AA"/>
    <w:rsid w:val="387D642F"/>
    <w:rsid w:val="38D86C09"/>
    <w:rsid w:val="3919772A"/>
    <w:rsid w:val="39211F43"/>
    <w:rsid w:val="39432B7F"/>
    <w:rsid w:val="3A310809"/>
    <w:rsid w:val="3A7645E5"/>
    <w:rsid w:val="3AA01AB2"/>
    <w:rsid w:val="3AC705C2"/>
    <w:rsid w:val="3B3339E2"/>
    <w:rsid w:val="3B4130B9"/>
    <w:rsid w:val="3BBF0327"/>
    <w:rsid w:val="3D4027C3"/>
    <w:rsid w:val="3D7502B8"/>
    <w:rsid w:val="3DB46376"/>
    <w:rsid w:val="3DFB39FD"/>
    <w:rsid w:val="3E287CA5"/>
    <w:rsid w:val="3E971150"/>
    <w:rsid w:val="3ED16F9F"/>
    <w:rsid w:val="3ED95EA9"/>
    <w:rsid w:val="3EFE309E"/>
    <w:rsid w:val="3F512870"/>
    <w:rsid w:val="3F6236D0"/>
    <w:rsid w:val="3F94702A"/>
    <w:rsid w:val="3FB302CA"/>
    <w:rsid w:val="3FE06D3B"/>
    <w:rsid w:val="3FE2521F"/>
    <w:rsid w:val="40D309FB"/>
    <w:rsid w:val="41D71CA1"/>
    <w:rsid w:val="4233454F"/>
    <w:rsid w:val="42A77BCB"/>
    <w:rsid w:val="43527DA5"/>
    <w:rsid w:val="446454B9"/>
    <w:rsid w:val="45093CD4"/>
    <w:rsid w:val="454D7023"/>
    <w:rsid w:val="46F07AD6"/>
    <w:rsid w:val="47364D74"/>
    <w:rsid w:val="48826C2D"/>
    <w:rsid w:val="489573EB"/>
    <w:rsid w:val="49375FAE"/>
    <w:rsid w:val="49CF100D"/>
    <w:rsid w:val="4AF83480"/>
    <w:rsid w:val="4B85051F"/>
    <w:rsid w:val="4BBF36E3"/>
    <w:rsid w:val="4C806421"/>
    <w:rsid w:val="4CA0475B"/>
    <w:rsid w:val="4CA9593B"/>
    <w:rsid w:val="4CDF4A30"/>
    <w:rsid w:val="4D0E1A0D"/>
    <w:rsid w:val="4D450A84"/>
    <w:rsid w:val="4DFB11F6"/>
    <w:rsid w:val="4E774DAA"/>
    <w:rsid w:val="4E8C5DAC"/>
    <w:rsid w:val="4EF13B48"/>
    <w:rsid w:val="4FB76013"/>
    <w:rsid w:val="50EB36A6"/>
    <w:rsid w:val="511206F1"/>
    <w:rsid w:val="51663C9A"/>
    <w:rsid w:val="52D80BEE"/>
    <w:rsid w:val="538928D5"/>
    <w:rsid w:val="546B6E19"/>
    <w:rsid w:val="548254F0"/>
    <w:rsid w:val="5485514F"/>
    <w:rsid w:val="548D558B"/>
    <w:rsid w:val="549A6C2B"/>
    <w:rsid w:val="54C36344"/>
    <w:rsid w:val="55082A65"/>
    <w:rsid w:val="55C53EA6"/>
    <w:rsid w:val="565B7FD3"/>
    <w:rsid w:val="57D4668D"/>
    <w:rsid w:val="59016536"/>
    <w:rsid w:val="590C29FE"/>
    <w:rsid w:val="59382F53"/>
    <w:rsid w:val="59A537CB"/>
    <w:rsid w:val="59F26FCA"/>
    <w:rsid w:val="5A2B7E5E"/>
    <w:rsid w:val="5AA07F40"/>
    <w:rsid w:val="5B071AB3"/>
    <w:rsid w:val="5B650D9F"/>
    <w:rsid w:val="5B7C4A30"/>
    <w:rsid w:val="5B8A26BD"/>
    <w:rsid w:val="5BDE0537"/>
    <w:rsid w:val="5BED4D57"/>
    <w:rsid w:val="5D0E6CE6"/>
    <w:rsid w:val="5D4D387D"/>
    <w:rsid w:val="5D6851F5"/>
    <w:rsid w:val="5E531B97"/>
    <w:rsid w:val="5F144DEA"/>
    <w:rsid w:val="5F7E3018"/>
    <w:rsid w:val="60F1388E"/>
    <w:rsid w:val="611A4C01"/>
    <w:rsid w:val="61A77079"/>
    <w:rsid w:val="62D6732E"/>
    <w:rsid w:val="638279B4"/>
    <w:rsid w:val="639C64A0"/>
    <w:rsid w:val="642372D3"/>
    <w:rsid w:val="651708B8"/>
    <w:rsid w:val="65454382"/>
    <w:rsid w:val="655D7FBE"/>
    <w:rsid w:val="65FF1E91"/>
    <w:rsid w:val="68BB4E93"/>
    <w:rsid w:val="69E1278B"/>
    <w:rsid w:val="6ABD617F"/>
    <w:rsid w:val="6AC25622"/>
    <w:rsid w:val="6AEC3960"/>
    <w:rsid w:val="6B57195A"/>
    <w:rsid w:val="6B8320C0"/>
    <w:rsid w:val="6BD154CC"/>
    <w:rsid w:val="6C9A59BC"/>
    <w:rsid w:val="6CC92D08"/>
    <w:rsid w:val="6E071562"/>
    <w:rsid w:val="6F083740"/>
    <w:rsid w:val="6FBA0F1E"/>
    <w:rsid w:val="70904B27"/>
    <w:rsid w:val="70C31D6B"/>
    <w:rsid w:val="70F74CDB"/>
    <w:rsid w:val="71904B0C"/>
    <w:rsid w:val="71C73801"/>
    <w:rsid w:val="7233601F"/>
    <w:rsid w:val="74533F62"/>
    <w:rsid w:val="74891E24"/>
    <w:rsid w:val="76C667BC"/>
    <w:rsid w:val="77646FC0"/>
    <w:rsid w:val="776F0CF3"/>
    <w:rsid w:val="78DB67FF"/>
    <w:rsid w:val="79FE79DA"/>
    <w:rsid w:val="7A735C17"/>
    <w:rsid w:val="7A887546"/>
    <w:rsid w:val="7AA71D7C"/>
    <w:rsid w:val="7AAD5FEE"/>
    <w:rsid w:val="7BF9402F"/>
    <w:rsid w:val="7CF312BE"/>
    <w:rsid w:val="7D9120E2"/>
    <w:rsid w:val="7E695E0F"/>
    <w:rsid w:val="7E910D86"/>
    <w:rsid w:val="7EE63A81"/>
    <w:rsid w:val="7F0D4166"/>
    <w:rsid w:val="7FF97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94"/>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193"/>
    <w:qFormat/>
    <w:uiPriority w:val="0"/>
    <w:pPr>
      <w:keepNext/>
      <w:keepLines/>
      <w:spacing w:before="260" w:after="260" w:line="416" w:lineRule="auto"/>
      <w:outlineLvl w:val="2"/>
    </w:pPr>
    <w:rPr>
      <w:b/>
      <w:bCs/>
      <w:sz w:val="32"/>
      <w:szCs w:val="32"/>
    </w:rPr>
  </w:style>
  <w:style w:type="paragraph" w:styleId="5">
    <w:name w:val="heading 4"/>
    <w:basedOn w:val="1"/>
    <w:next w:val="1"/>
    <w:link w:val="179"/>
    <w:qFormat/>
    <w:uiPriority w:val="0"/>
    <w:pPr>
      <w:widowControl/>
      <w:spacing w:before="100" w:beforeAutospacing="1" w:after="100" w:afterAutospacing="1"/>
      <w:jc w:val="left"/>
      <w:outlineLvl w:val="3"/>
    </w:pPr>
    <w:rPr>
      <w:rFonts w:ascii="宋体" w:hAnsi="宋体" w:cs="宋体"/>
      <w:b/>
      <w:bCs/>
      <w:kern w:val="0"/>
      <w:sz w:val="24"/>
    </w:rPr>
  </w:style>
  <w:style w:type="paragraph" w:styleId="6">
    <w:name w:val="heading 5"/>
    <w:basedOn w:val="1"/>
    <w:next w:val="1"/>
    <w:link w:val="292"/>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7">
    <w:name w:val="heading 6"/>
    <w:basedOn w:val="8"/>
    <w:next w:val="1"/>
    <w:link w:val="195"/>
    <w:qFormat/>
    <w:uiPriority w:val="0"/>
    <w:pPr>
      <w:keepNext/>
      <w:keepLines/>
      <w:ind w:firstLine="200" w:firstLineChars="200"/>
      <w:outlineLvl w:val="5"/>
    </w:pPr>
    <w:rPr>
      <w:rFonts w:hAnsi="Arial"/>
    </w:rPr>
  </w:style>
  <w:style w:type="paragraph" w:styleId="9">
    <w:name w:val="heading 7"/>
    <w:basedOn w:val="1"/>
    <w:next w:val="1"/>
    <w:link w:val="272"/>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0">
    <w:name w:val="heading 8"/>
    <w:basedOn w:val="1"/>
    <w:next w:val="1"/>
    <w:link w:val="267"/>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1">
    <w:name w:val="heading 9"/>
    <w:basedOn w:val="1"/>
    <w:next w:val="1"/>
    <w:link w:val="198"/>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7">
    <w:name w:val="Default Paragraph Font"/>
    <w:unhideWhenUsed/>
    <w:qFormat/>
    <w:uiPriority w:val="1"/>
  </w:style>
  <w:style w:type="table" w:default="1" w:styleId="45">
    <w:name w:val="Normal Table"/>
    <w:unhideWhenUsed/>
    <w:qFormat/>
    <w:uiPriority w:val="99"/>
    <w:tblPr>
      <w:tblCellMar>
        <w:top w:w="0" w:type="dxa"/>
        <w:left w:w="108" w:type="dxa"/>
        <w:bottom w:w="0" w:type="dxa"/>
        <w:right w:w="108" w:type="dxa"/>
      </w:tblCellMar>
    </w:tblPr>
  </w:style>
  <w:style w:type="paragraph" w:styleId="8">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2">
    <w:name w:val="toc 7"/>
    <w:basedOn w:val="1"/>
    <w:next w:val="1"/>
    <w:qFormat/>
    <w:uiPriority w:val="39"/>
    <w:pPr>
      <w:ind w:left="1260"/>
      <w:jc w:val="left"/>
    </w:pPr>
    <w:rPr>
      <w:sz w:val="18"/>
      <w:szCs w:val="18"/>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204"/>
    <w:qFormat/>
    <w:uiPriority w:val="0"/>
    <w:pPr>
      <w:shd w:val="clear" w:color="auto" w:fill="000080"/>
    </w:pPr>
  </w:style>
  <w:style w:type="paragraph" w:styleId="15">
    <w:name w:val="annotation text"/>
    <w:basedOn w:val="1"/>
    <w:link w:val="289"/>
    <w:qFormat/>
    <w:uiPriority w:val="99"/>
    <w:pPr>
      <w:jc w:val="left"/>
    </w:pPr>
  </w:style>
  <w:style w:type="paragraph" w:styleId="16">
    <w:name w:val="Body Text 3"/>
    <w:basedOn w:val="1"/>
    <w:link w:val="307"/>
    <w:qFormat/>
    <w:uiPriority w:val="0"/>
    <w:pPr>
      <w:spacing w:after="120"/>
    </w:pPr>
    <w:rPr>
      <w:sz w:val="16"/>
      <w:szCs w:val="16"/>
    </w:rPr>
  </w:style>
  <w:style w:type="paragraph" w:styleId="17">
    <w:name w:val="Body Text"/>
    <w:basedOn w:val="1"/>
    <w:next w:val="1"/>
    <w:link w:val="214"/>
    <w:qFormat/>
    <w:uiPriority w:val="0"/>
    <w:pPr>
      <w:spacing w:after="120"/>
    </w:pPr>
  </w:style>
  <w:style w:type="paragraph" w:styleId="18">
    <w:name w:val="Body Text Indent"/>
    <w:basedOn w:val="1"/>
    <w:link w:val="269"/>
    <w:qFormat/>
    <w:uiPriority w:val="0"/>
    <w:pPr>
      <w:ind w:firstLine="407" w:firstLineChars="200"/>
    </w:p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qFormat/>
    <w:uiPriority w:val="0"/>
    <w:pPr>
      <w:ind w:left="600" w:leftChars="600"/>
    </w:pPr>
  </w:style>
  <w:style w:type="paragraph" w:styleId="21">
    <w:name w:val="toc 5"/>
    <w:basedOn w:val="1"/>
    <w:next w:val="1"/>
    <w:qFormat/>
    <w:uiPriority w:val="39"/>
    <w:pPr>
      <w:ind w:left="840"/>
      <w:jc w:val="left"/>
    </w:pPr>
    <w:rPr>
      <w:sz w:val="18"/>
      <w:szCs w:val="18"/>
    </w:rPr>
  </w:style>
  <w:style w:type="paragraph" w:styleId="22">
    <w:name w:val="toc 3"/>
    <w:basedOn w:val="4"/>
    <w:next w:val="1"/>
    <w:qFormat/>
    <w:uiPriority w:val="39"/>
    <w:pPr>
      <w:keepNext w:val="0"/>
      <w:keepLines w:val="0"/>
      <w:spacing w:before="0" w:after="0" w:line="240" w:lineRule="auto"/>
      <w:ind w:left="420"/>
      <w:jc w:val="left"/>
      <w:outlineLvl w:val="9"/>
    </w:pPr>
    <w:rPr>
      <w:b w:val="0"/>
      <w:bCs w:val="0"/>
      <w:i/>
      <w:iCs/>
      <w:sz w:val="20"/>
      <w:szCs w:val="20"/>
    </w:rPr>
  </w:style>
  <w:style w:type="paragraph" w:styleId="23">
    <w:name w:val="Plain Text"/>
    <w:basedOn w:val="1"/>
    <w:link w:val="303"/>
    <w:qFormat/>
    <w:uiPriority w:val="0"/>
    <w:rPr>
      <w:rFonts w:ascii="宋体" w:hAnsi="Courier New" w:cs="Courier New"/>
      <w:szCs w:val="21"/>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157"/>
    <w:qFormat/>
    <w:uiPriority w:val="0"/>
    <w:pPr>
      <w:ind w:left="100" w:leftChars="2500"/>
    </w:pPr>
  </w:style>
  <w:style w:type="paragraph" w:styleId="26">
    <w:name w:val="Body Text Indent 2"/>
    <w:basedOn w:val="1"/>
    <w:link w:val="271"/>
    <w:qFormat/>
    <w:uiPriority w:val="0"/>
    <w:pPr>
      <w:widowControl/>
      <w:spacing w:line="480" w:lineRule="auto"/>
      <w:ind w:firstLine="560"/>
      <w:jc w:val="left"/>
    </w:pPr>
    <w:rPr>
      <w:kern w:val="0"/>
      <w:sz w:val="28"/>
    </w:rPr>
  </w:style>
  <w:style w:type="paragraph" w:styleId="27">
    <w:name w:val="endnote text"/>
    <w:basedOn w:val="1"/>
    <w:link w:val="181"/>
    <w:qFormat/>
    <w:uiPriority w:val="0"/>
    <w:pPr>
      <w:widowControl/>
      <w:snapToGrid w:val="0"/>
      <w:jc w:val="left"/>
    </w:pPr>
    <w:rPr>
      <w:rFonts w:ascii="Arial" w:hAnsi="Arial" w:cs="Arial"/>
      <w:kern w:val="0"/>
      <w:sz w:val="20"/>
      <w:lang w:eastAsia="en-US"/>
    </w:rPr>
  </w:style>
  <w:style w:type="paragraph" w:styleId="28">
    <w:name w:val="Balloon Text"/>
    <w:basedOn w:val="1"/>
    <w:link w:val="208"/>
    <w:qFormat/>
    <w:uiPriority w:val="0"/>
    <w:rPr>
      <w:sz w:val="18"/>
      <w:szCs w:val="18"/>
    </w:rPr>
  </w:style>
  <w:style w:type="paragraph" w:styleId="29">
    <w:name w:val="footer"/>
    <w:basedOn w:val="1"/>
    <w:link w:val="196"/>
    <w:qFormat/>
    <w:uiPriority w:val="0"/>
    <w:pPr>
      <w:tabs>
        <w:tab w:val="center" w:pos="4153"/>
        <w:tab w:val="right" w:pos="8306"/>
      </w:tabs>
      <w:snapToGrid w:val="0"/>
      <w:jc w:val="left"/>
    </w:pPr>
    <w:rPr>
      <w:sz w:val="18"/>
      <w:szCs w:val="18"/>
    </w:rPr>
  </w:style>
  <w:style w:type="paragraph" w:styleId="30">
    <w:name w:val="header"/>
    <w:basedOn w:val="1"/>
    <w:link w:val="236"/>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2"/>
    <w:next w:val="1"/>
    <w:qFormat/>
    <w:uiPriority w:val="39"/>
    <w:pPr>
      <w:keepNext w:val="0"/>
      <w:keepLines w:val="0"/>
      <w:spacing w:before="120" w:after="120" w:line="240" w:lineRule="auto"/>
      <w:jc w:val="left"/>
      <w:outlineLvl w:val="9"/>
    </w:pPr>
    <w:rPr>
      <w:caps/>
      <w:kern w:val="2"/>
      <w:sz w:val="20"/>
      <w:szCs w:val="20"/>
    </w:rPr>
  </w:style>
  <w:style w:type="paragraph" w:styleId="32">
    <w:name w:val="toc 4"/>
    <w:basedOn w:val="5"/>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300"/>
    <w:qFormat/>
    <w:uiPriority w:val="0"/>
    <w:pPr>
      <w:widowControl/>
      <w:jc w:val="center"/>
    </w:pPr>
    <w:rPr>
      <w:kern w:val="0"/>
      <w:sz w:val="20"/>
      <w:u w:val="single"/>
      <w:lang w:eastAsia="en-US"/>
    </w:rPr>
  </w:style>
  <w:style w:type="paragraph" w:styleId="34">
    <w:name w:val="footnote text"/>
    <w:basedOn w:val="1"/>
    <w:link w:val="216"/>
    <w:qFormat/>
    <w:uiPriority w:val="0"/>
    <w:pPr>
      <w:widowControl/>
      <w:snapToGrid w:val="0"/>
      <w:jc w:val="left"/>
    </w:pPr>
    <w:rPr>
      <w:rFonts w:ascii="Arial" w:hAnsi="Arial" w:cs="Arial"/>
      <w:kern w:val="0"/>
      <w:sz w:val="18"/>
      <w:szCs w:val="18"/>
      <w:lang w:eastAsia="en-US"/>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268"/>
    <w:qFormat/>
    <w:uiPriority w:val="0"/>
    <w:pPr>
      <w:spacing w:line="360" w:lineRule="auto"/>
      <w:ind w:firstLine="280" w:firstLineChars="100"/>
    </w:pPr>
    <w:rPr>
      <w:rFonts w:ascii="宋体" w:hAnsi="宋体"/>
      <w:sz w:val="28"/>
      <w:szCs w:val="28"/>
    </w:rPr>
  </w:style>
  <w:style w:type="paragraph" w:styleId="37">
    <w:name w:val="toc 2"/>
    <w:basedOn w:val="3"/>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8">
    <w:name w:val="toc 9"/>
    <w:basedOn w:val="1"/>
    <w:next w:val="1"/>
    <w:qFormat/>
    <w:uiPriority w:val="39"/>
    <w:pPr>
      <w:ind w:left="1680"/>
      <w:jc w:val="left"/>
    </w:pPr>
    <w:rPr>
      <w:sz w:val="18"/>
      <w:szCs w:val="18"/>
    </w:rPr>
  </w:style>
  <w:style w:type="paragraph" w:styleId="39">
    <w:name w:val="Body Text 2"/>
    <w:basedOn w:val="1"/>
    <w:link w:val="264"/>
    <w:qFormat/>
    <w:uiPriority w:val="0"/>
    <w:rPr>
      <w:i/>
      <w:iCs/>
      <w:sz w:val="26"/>
    </w:rPr>
  </w:style>
  <w:style w:type="paragraph" w:styleId="40">
    <w:name w:val="HTML Preformatted"/>
    <w:basedOn w:val="1"/>
    <w:link w:val="169"/>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eastAsia="仿宋_GB2312"/>
      <w:szCs w:val="21"/>
    </w:rPr>
  </w:style>
  <w:style w:type="paragraph" w:styleId="43">
    <w:name w:val="Title"/>
    <w:basedOn w:val="1"/>
    <w:link w:val="211"/>
    <w:qFormat/>
    <w:uiPriority w:val="0"/>
    <w:pPr>
      <w:widowControl/>
      <w:jc w:val="center"/>
    </w:pPr>
    <w:rPr>
      <w:kern w:val="0"/>
      <w:sz w:val="20"/>
      <w:u w:val="single"/>
      <w:lang w:eastAsia="en-US"/>
    </w:rPr>
  </w:style>
  <w:style w:type="paragraph" w:styleId="44">
    <w:name w:val="annotation subject"/>
    <w:basedOn w:val="15"/>
    <w:next w:val="15"/>
    <w:link w:val="263"/>
    <w:qFormat/>
    <w:uiPriority w:val="0"/>
    <w:rPr>
      <w:b/>
      <w:bCs/>
    </w:rPr>
  </w:style>
  <w:style w:type="table" w:styleId="46">
    <w:name w:val="Table Grid"/>
    <w:basedOn w:val="45"/>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8">
    <w:name w:val="Strong"/>
    <w:qFormat/>
    <w:uiPriority w:val="0"/>
    <w:rPr>
      <w:b/>
      <w:bCs/>
    </w:rPr>
  </w:style>
  <w:style w:type="character" w:styleId="49">
    <w:name w:val="endnote reference"/>
    <w:qFormat/>
    <w:uiPriority w:val="0"/>
    <w:rPr>
      <w:vertAlign w:val="superscript"/>
    </w:rPr>
  </w:style>
  <w:style w:type="character" w:styleId="50">
    <w:name w:val="page number"/>
    <w:basedOn w:val="47"/>
    <w:qFormat/>
    <w:uiPriority w:val="0"/>
  </w:style>
  <w:style w:type="character" w:styleId="51">
    <w:name w:val="FollowedHyperlink"/>
    <w:qFormat/>
    <w:uiPriority w:val="0"/>
    <w:rPr>
      <w:color w:val="800080"/>
      <w:u w:val="single"/>
    </w:rPr>
  </w:style>
  <w:style w:type="character" w:styleId="52">
    <w:name w:val="Emphasis"/>
    <w:qFormat/>
    <w:uiPriority w:val="0"/>
    <w:rPr>
      <w:i/>
      <w:iCs/>
    </w:rPr>
  </w:style>
  <w:style w:type="character" w:styleId="53">
    <w:name w:val="Hyperlink"/>
    <w:qFormat/>
    <w:uiPriority w:val="99"/>
    <w:rPr>
      <w:color w:val="0000FF"/>
      <w:u w:val="single"/>
    </w:rPr>
  </w:style>
  <w:style w:type="character" w:styleId="54">
    <w:name w:val="annotation reference"/>
    <w:qFormat/>
    <w:uiPriority w:val="0"/>
    <w:rPr>
      <w:sz w:val="21"/>
      <w:szCs w:val="21"/>
    </w:rPr>
  </w:style>
  <w:style w:type="character" w:styleId="55">
    <w:name w:val="footnote reference"/>
    <w:qFormat/>
    <w:uiPriority w:val="0"/>
    <w:rPr>
      <w:vertAlign w:val="superscript"/>
    </w:rPr>
  </w:style>
  <w:style w:type="character" w:customStyle="1" w:styleId="56">
    <w:name w:val="标题 1 字符"/>
    <w:link w:val="2"/>
    <w:qFormat/>
    <w:uiPriority w:val="0"/>
    <w:rPr>
      <w:rFonts w:eastAsia="宋体"/>
      <w:b/>
      <w:bCs/>
      <w:kern w:val="44"/>
      <w:sz w:val="44"/>
      <w:szCs w:val="44"/>
      <w:lang w:val="en-US" w:eastAsia="zh-CN" w:bidi="ar-SA"/>
    </w:rPr>
  </w:style>
  <w:style w:type="paragraph" w:customStyle="1" w:styleId="57">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58">
    <w:name w:val="_Style 101"/>
    <w:basedOn w:val="1"/>
    <w:qFormat/>
    <w:uiPriority w:val="99"/>
    <w:pPr>
      <w:ind w:firstLine="420" w:firstLineChars="200"/>
    </w:pPr>
    <w:rPr>
      <w:sz w:val="28"/>
      <w:szCs w:val="28"/>
    </w:rPr>
  </w:style>
  <w:style w:type="paragraph" w:customStyle="1" w:styleId="59">
    <w:name w:val="表格标题"/>
    <w:basedOn w:val="60"/>
    <w:qFormat/>
    <w:uiPriority w:val="0"/>
  </w:style>
  <w:style w:type="paragraph" w:customStyle="1" w:styleId="60">
    <w:name w:val="表格内容"/>
    <w:basedOn w:val="1"/>
    <w:qFormat/>
    <w:uiPriority w:val="0"/>
    <w:pPr>
      <w:suppressLineNumbers/>
      <w:suppressAutoHyphens/>
    </w:pPr>
  </w:style>
  <w:style w:type="paragraph" w:customStyle="1" w:styleId="61">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62">
    <w:name w:val="修订1"/>
    <w:qFormat/>
    <w:uiPriority w:val="0"/>
    <w:rPr>
      <w:rFonts w:ascii="Times New Roman" w:hAnsi="Times New Roman" w:eastAsia="宋体" w:cs="Times New Roman"/>
      <w:kern w:val="2"/>
      <w:sz w:val="21"/>
      <w:szCs w:val="24"/>
      <w:lang w:val="en-US" w:eastAsia="zh-CN" w:bidi="ar-SA"/>
    </w:rPr>
  </w:style>
  <w:style w:type="paragraph" w:customStyle="1" w:styleId="63">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64">
    <w:name w:val="标准样式1"/>
    <w:basedOn w:val="1"/>
    <w:qFormat/>
    <w:uiPriority w:val="0"/>
    <w:pPr>
      <w:spacing w:line="600" w:lineRule="exact"/>
      <w:ind w:firstLine="567"/>
    </w:pPr>
    <w:rPr>
      <w:rFonts w:ascii="Calibri" w:hAnsi="Calibri"/>
      <w:sz w:val="28"/>
    </w:rPr>
  </w:style>
  <w:style w:type="paragraph" w:customStyle="1" w:styleId="65">
    <w:name w:val="列出段落11"/>
    <w:basedOn w:val="1"/>
    <w:qFormat/>
    <w:uiPriority w:val="0"/>
    <w:pPr>
      <w:ind w:firstLine="420" w:firstLineChars="200"/>
    </w:pPr>
    <w:rPr>
      <w:sz w:val="28"/>
      <w:szCs w:val="28"/>
    </w:rPr>
  </w:style>
  <w:style w:type="paragraph" w:customStyle="1" w:styleId="66">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67">
    <w:name w:val="WW-表格标题"/>
    <w:basedOn w:val="68"/>
    <w:qFormat/>
    <w:uiPriority w:val="0"/>
  </w:style>
  <w:style w:type="paragraph" w:customStyle="1" w:styleId="68">
    <w:name w:val="WW-表格内容"/>
    <w:basedOn w:val="1"/>
    <w:qFormat/>
    <w:uiPriority w:val="0"/>
    <w:pPr>
      <w:suppressLineNumbers/>
      <w:suppressAutoHyphens/>
    </w:pPr>
  </w:style>
  <w:style w:type="paragraph" w:customStyle="1" w:styleId="69">
    <w:name w:val="引用2"/>
    <w:basedOn w:val="1"/>
    <w:next w:val="1"/>
    <w:link w:val="299"/>
    <w:qFormat/>
    <w:uiPriority w:val="0"/>
    <w:rPr>
      <w:i/>
      <w:iCs/>
      <w:color w:val="000000"/>
    </w:rPr>
  </w:style>
  <w:style w:type="paragraph" w:customStyle="1" w:styleId="70">
    <w:name w:val="Char Char Char Char Char Char Char Char Char Char"/>
    <w:basedOn w:val="14"/>
    <w:qFormat/>
    <w:uiPriority w:val="0"/>
    <w:pPr>
      <w:spacing w:line="360" w:lineRule="auto"/>
      <w:ind w:firstLine="200" w:firstLineChars="200"/>
    </w:pPr>
    <w:rPr>
      <w:rFonts w:ascii="Tahoma" w:hAnsi="Tahoma"/>
      <w:sz w:val="24"/>
    </w:rPr>
  </w:style>
  <w:style w:type="paragraph" w:customStyle="1" w:styleId="7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2">
    <w:name w:val="Char Char Char Char"/>
    <w:basedOn w:val="14"/>
    <w:qFormat/>
    <w:uiPriority w:val="0"/>
    <w:pPr>
      <w:spacing w:line="360" w:lineRule="auto"/>
      <w:ind w:firstLine="200" w:firstLineChars="200"/>
    </w:pPr>
    <w:rPr>
      <w:rFonts w:ascii="Tahoma" w:hAnsi="Tahoma"/>
      <w:sz w:val="24"/>
    </w:rPr>
  </w:style>
  <w:style w:type="paragraph" w:customStyle="1" w:styleId="73">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4">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5">
    <w:name w:val="p16"/>
    <w:basedOn w:val="1"/>
    <w:qFormat/>
    <w:uiPriority w:val="0"/>
    <w:pPr>
      <w:widowControl/>
    </w:pPr>
    <w:rPr>
      <w:rFonts w:ascii="Calibri" w:hAnsi="Calibri" w:cs="宋体"/>
      <w:kern w:val="0"/>
      <w:szCs w:val="21"/>
    </w:rPr>
  </w:style>
  <w:style w:type="paragraph" w:customStyle="1" w:styleId="76">
    <w:name w:val="列出段落1"/>
    <w:basedOn w:val="1"/>
    <w:qFormat/>
    <w:uiPriority w:val="0"/>
    <w:pPr>
      <w:ind w:firstLine="420" w:firstLineChars="200"/>
    </w:pPr>
    <w:rPr>
      <w:sz w:val="28"/>
      <w:szCs w:val="28"/>
    </w:rPr>
  </w:style>
  <w:style w:type="paragraph" w:customStyle="1" w:styleId="77">
    <w:name w:val="样式1"/>
    <w:basedOn w:val="1"/>
    <w:next w:val="5"/>
    <w:qFormat/>
    <w:uiPriority w:val="0"/>
    <w:pPr>
      <w:spacing w:line="360" w:lineRule="auto"/>
      <w:ind w:firstLine="420" w:firstLineChars="200"/>
    </w:pPr>
    <w:rPr>
      <w:rFonts w:ascii="宋体" w:hAnsi="宋体"/>
      <w:szCs w:val="21"/>
    </w:rPr>
  </w:style>
  <w:style w:type="paragraph" w:customStyle="1" w:styleId="78">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79">
    <w:name w:val="Char9 Char Char Char Char Char Char"/>
    <w:basedOn w:val="14"/>
    <w:qFormat/>
    <w:uiPriority w:val="0"/>
    <w:pPr>
      <w:spacing w:line="360" w:lineRule="auto"/>
      <w:ind w:firstLine="200" w:firstLineChars="200"/>
    </w:pPr>
    <w:rPr>
      <w:rFonts w:ascii="Tahoma" w:hAnsi="Tahoma"/>
      <w:sz w:val="24"/>
    </w:rPr>
  </w:style>
  <w:style w:type="paragraph" w:customStyle="1" w:styleId="80">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81">
    <w:name w:val="引用1"/>
    <w:basedOn w:val="1"/>
    <w:next w:val="1"/>
    <w:link w:val="150"/>
    <w:qFormat/>
    <w:uiPriority w:val="29"/>
    <w:rPr>
      <w:i/>
      <w:iCs/>
      <w:color w:val="000000"/>
      <w:szCs w:val="20"/>
    </w:rPr>
  </w:style>
  <w:style w:type="paragraph" w:customStyle="1" w:styleId="82">
    <w:name w:val="表格文字"/>
    <w:basedOn w:val="1"/>
    <w:qFormat/>
    <w:uiPriority w:val="0"/>
    <w:pPr>
      <w:adjustRightInd w:val="0"/>
      <w:spacing w:line="420" w:lineRule="atLeast"/>
      <w:jc w:val="left"/>
      <w:textAlignment w:val="baseline"/>
    </w:pPr>
    <w:rPr>
      <w:kern w:val="0"/>
      <w:szCs w:val="20"/>
    </w:rPr>
  </w:style>
  <w:style w:type="paragraph" w:customStyle="1" w:styleId="83">
    <w:name w:val="_Style 96"/>
    <w:semiHidden/>
    <w:qFormat/>
    <w:uiPriority w:val="99"/>
    <w:rPr>
      <w:rFonts w:ascii="Calibri" w:hAnsi="Calibri" w:eastAsia="宋体" w:cs="Times New Roman"/>
      <w:kern w:val="2"/>
      <w:sz w:val="21"/>
      <w:szCs w:val="24"/>
      <w:lang w:val="en-US" w:eastAsia="zh-CN" w:bidi="ar-SA"/>
    </w:rPr>
  </w:style>
  <w:style w:type="paragraph" w:customStyle="1" w:styleId="8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85">
    <w:name w:val="_Style 105"/>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6">
    <w:name w:val="正  文"/>
    <w:basedOn w:val="1"/>
    <w:qFormat/>
    <w:uiPriority w:val="0"/>
    <w:pPr>
      <w:spacing w:line="360" w:lineRule="auto"/>
      <w:ind w:firstLine="200" w:firstLineChars="200"/>
    </w:pPr>
    <w:rPr>
      <w:rFonts w:ascii="宋体" w:hAnsi="Calibri"/>
      <w:sz w:val="24"/>
    </w:rPr>
  </w:style>
  <w:style w:type="paragraph" w:customStyle="1" w:styleId="87">
    <w:name w:val="标题4"/>
    <w:basedOn w:val="3"/>
    <w:next w:val="20"/>
    <w:link w:val="243"/>
    <w:qFormat/>
    <w:uiPriority w:val="0"/>
    <w:pPr>
      <w:spacing w:line="413" w:lineRule="auto"/>
    </w:pPr>
    <w:rPr>
      <w:rFonts w:ascii="Arial" w:hAnsi="Arial"/>
      <w:kern w:val="0"/>
      <w:sz w:val="24"/>
    </w:rPr>
  </w:style>
  <w:style w:type="paragraph" w:customStyle="1" w:styleId="88">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89">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90">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92">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93">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94">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95">
    <w:name w:val="1 Char"/>
    <w:basedOn w:val="1"/>
    <w:qFormat/>
    <w:uiPriority w:val="0"/>
    <w:pPr>
      <w:widowControl/>
      <w:spacing w:after="160" w:line="240" w:lineRule="exact"/>
      <w:jc w:val="left"/>
    </w:pPr>
    <w:rPr>
      <w:rFonts w:ascii="Calibri" w:hAnsi="Calibri"/>
      <w:szCs w:val="20"/>
    </w:rPr>
  </w:style>
  <w:style w:type="paragraph" w:customStyle="1" w:styleId="96">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97">
    <w:name w:val="pa-34"/>
    <w:basedOn w:val="1"/>
    <w:qFormat/>
    <w:uiPriority w:val="0"/>
    <w:pPr>
      <w:widowControl/>
      <w:spacing w:line="360" w:lineRule="atLeast"/>
      <w:ind w:firstLine="420"/>
      <w:jc w:val="left"/>
    </w:pPr>
    <w:rPr>
      <w:rFonts w:ascii="宋体" w:hAnsi="宋体" w:cs="宋体"/>
      <w:kern w:val="0"/>
      <w:sz w:val="24"/>
    </w:rPr>
  </w:style>
  <w:style w:type="paragraph" w:customStyle="1" w:styleId="98">
    <w:name w:val="TOC 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99">
    <w:name w:val="p15"/>
    <w:basedOn w:val="1"/>
    <w:qFormat/>
    <w:uiPriority w:val="0"/>
    <w:pPr>
      <w:widowControl/>
      <w:spacing w:after="120"/>
    </w:pPr>
    <w:rPr>
      <w:kern w:val="0"/>
      <w:szCs w:val="21"/>
    </w:rPr>
  </w:style>
  <w:style w:type="paragraph" w:customStyle="1" w:styleId="10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01">
    <w:name w:val="Char Char Char Char Char Char Char Char Char Char Char Char Char Char Char Char"/>
    <w:basedOn w:val="14"/>
    <w:qFormat/>
    <w:uiPriority w:val="0"/>
    <w:pPr>
      <w:spacing w:line="360" w:lineRule="auto"/>
      <w:ind w:firstLine="200" w:firstLineChars="200"/>
    </w:pPr>
    <w:rPr>
      <w:rFonts w:ascii="Tahoma" w:hAnsi="Tahoma"/>
      <w:sz w:val="24"/>
    </w:rPr>
  </w:style>
  <w:style w:type="paragraph" w:customStyle="1" w:styleId="102">
    <w:name w:val="_Style 124"/>
    <w:basedOn w:val="1"/>
    <w:next w:val="1"/>
    <w:link w:val="197"/>
    <w:qFormat/>
    <w:uiPriority w:val="0"/>
    <w:rPr>
      <w:i/>
      <w:iCs/>
      <w:color w:val="000000"/>
      <w:szCs w:val="22"/>
    </w:rPr>
  </w:style>
  <w:style w:type="paragraph" w:customStyle="1" w:styleId="103">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04">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5">
    <w:name w:val="Char Char"/>
    <w:basedOn w:val="1"/>
    <w:qFormat/>
    <w:uiPriority w:val="0"/>
    <w:pPr>
      <w:widowControl/>
      <w:jc w:val="left"/>
    </w:pPr>
    <w:rPr>
      <w:rFonts w:ascii="Verdana" w:hAnsi="Verdana" w:eastAsia="Times New Roman"/>
      <w:kern w:val="0"/>
      <w:sz w:val="16"/>
      <w:szCs w:val="20"/>
      <w:lang w:eastAsia="en-US"/>
    </w:rPr>
  </w:style>
  <w:style w:type="paragraph" w:customStyle="1" w:styleId="106">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paragraph" w:customStyle="1" w:styleId="107">
    <w:name w:val="pa-27"/>
    <w:basedOn w:val="1"/>
    <w:qFormat/>
    <w:uiPriority w:val="0"/>
    <w:pPr>
      <w:widowControl/>
      <w:spacing w:line="360" w:lineRule="atLeast"/>
      <w:ind w:firstLine="420"/>
    </w:pPr>
    <w:rPr>
      <w:rFonts w:ascii="宋体" w:hAnsi="宋体" w:cs="宋体"/>
      <w:kern w:val="0"/>
      <w:sz w:val="24"/>
    </w:rPr>
  </w:style>
  <w:style w:type="paragraph" w:customStyle="1" w:styleId="108">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9">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明显引用1"/>
    <w:basedOn w:val="1"/>
    <w:next w:val="1"/>
    <w:link w:val="297"/>
    <w:qFormat/>
    <w:uiPriority w:val="30"/>
    <w:pPr>
      <w:pBdr>
        <w:bottom w:val="single" w:color="4F81BD" w:sz="4" w:space="4"/>
      </w:pBdr>
      <w:spacing w:before="200" w:after="280"/>
      <w:ind w:left="936" w:right="936"/>
    </w:pPr>
    <w:rPr>
      <w:b/>
      <w:bCs/>
      <w:i/>
      <w:iCs/>
      <w:color w:val="4F81BD"/>
      <w:szCs w:val="20"/>
    </w:rPr>
  </w:style>
  <w:style w:type="paragraph" w:customStyle="1" w:styleId="112">
    <w:name w:val="样式15"/>
    <w:basedOn w:val="4"/>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13">
    <w:name w:val="TOC 标题2"/>
    <w:basedOn w:val="2"/>
    <w:next w:val="1"/>
    <w:unhideWhenUsed/>
    <w:qFormat/>
    <w:uiPriority w:val="0"/>
    <w:pPr>
      <w:outlineLvl w:val="9"/>
    </w:pPr>
    <w:rPr>
      <w:rFonts w:ascii="Calibri" w:hAnsi="Calibri"/>
    </w:rPr>
  </w:style>
  <w:style w:type="paragraph" w:customStyle="1" w:styleId="114">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115">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6">
    <w:name w:val="标题5"/>
    <w:basedOn w:val="4"/>
    <w:link w:val="165"/>
    <w:qFormat/>
    <w:uiPriority w:val="0"/>
    <w:pPr>
      <w:spacing w:line="413" w:lineRule="auto"/>
    </w:pPr>
    <w:rPr>
      <w:rFonts w:ascii="Arial" w:hAnsi="Arial"/>
      <w:kern w:val="0"/>
      <w:sz w:val="24"/>
    </w:rPr>
  </w:style>
  <w:style w:type="paragraph" w:customStyle="1" w:styleId="117">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18">
    <w:name w:val="_Style 64"/>
    <w:basedOn w:val="1"/>
    <w:next w:val="1"/>
    <w:link w:val="296"/>
    <w:qFormat/>
    <w:uiPriority w:val="0"/>
    <w:pPr>
      <w:pBdr>
        <w:bottom w:val="single" w:color="4F81BD" w:sz="4" w:space="4"/>
      </w:pBdr>
      <w:spacing w:before="200" w:after="280"/>
      <w:ind w:left="936" w:right="936"/>
    </w:pPr>
    <w:rPr>
      <w:b/>
      <w:bCs/>
      <w:i/>
      <w:iCs/>
      <w:color w:val="4F81BD"/>
      <w:szCs w:val="22"/>
    </w:rPr>
  </w:style>
  <w:style w:type="paragraph" w:customStyle="1" w:styleId="119">
    <w:name w:val="_Style 128"/>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0">
    <w:name w:val="Char2"/>
    <w:basedOn w:val="1"/>
    <w:qFormat/>
    <w:uiPriority w:val="0"/>
    <w:rPr>
      <w:rFonts w:ascii="Calibri" w:hAnsi="Calibri"/>
    </w:rPr>
  </w:style>
  <w:style w:type="paragraph" w:customStyle="1" w:styleId="121">
    <w:name w:val="_Style 87"/>
    <w:basedOn w:val="1"/>
    <w:qFormat/>
    <w:uiPriority w:val="99"/>
    <w:pPr>
      <w:ind w:firstLine="420" w:firstLineChars="200"/>
    </w:pPr>
    <w:rPr>
      <w:rFonts w:ascii="Calibri" w:hAnsi="Calibri"/>
      <w:sz w:val="28"/>
      <w:szCs w:val="28"/>
    </w:rPr>
  </w:style>
  <w:style w:type="paragraph" w:customStyle="1" w:styleId="122">
    <w:name w:val="自定样式1"/>
    <w:basedOn w:val="1"/>
    <w:qFormat/>
    <w:uiPriority w:val="0"/>
    <w:pPr>
      <w:suppressAutoHyphens/>
      <w:jc w:val="center"/>
    </w:pPr>
    <w:rPr>
      <w:rFonts w:ascii="宋体" w:hAnsi="宋体"/>
      <w:color w:val="000000"/>
      <w:sz w:val="18"/>
    </w:rPr>
  </w:style>
  <w:style w:type="paragraph" w:customStyle="1" w:styleId="123">
    <w:name w:val="_Style 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4">
    <w:name w:val="Char"/>
    <w:basedOn w:val="1"/>
    <w:qFormat/>
    <w:uiPriority w:val="0"/>
  </w:style>
  <w:style w:type="paragraph" w:customStyle="1" w:styleId="125">
    <w:name w:val="标题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6">
    <w:name w:val="列表段落1"/>
    <w:basedOn w:val="1"/>
    <w:qFormat/>
    <w:uiPriority w:val="34"/>
    <w:pPr>
      <w:ind w:firstLine="420" w:firstLineChars="200"/>
    </w:pPr>
    <w:rPr>
      <w:rFonts w:ascii="Calibri" w:hAnsi="Calibri"/>
    </w:rPr>
  </w:style>
  <w:style w:type="paragraph" w:customStyle="1" w:styleId="127">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28">
    <w:name w:val="表体"/>
    <w:basedOn w:val="1"/>
    <w:next w:val="1"/>
    <w:qFormat/>
    <w:uiPriority w:val="0"/>
    <w:pPr>
      <w:spacing w:line="0" w:lineRule="atLeast"/>
    </w:pPr>
    <w:rPr>
      <w:rFonts w:ascii="Calibri" w:hAnsi="Calibri"/>
      <w:b/>
      <w:snapToGrid w:val="0"/>
      <w:szCs w:val="20"/>
    </w:rPr>
  </w:style>
  <w:style w:type="paragraph" w:customStyle="1" w:styleId="129">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30">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31">
    <w:name w:val="Char Char1 Char Char"/>
    <w:basedOn w:val="14"/>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2">
    <w:name w:val="Char11"/>
    <w:basedOn w:val="1"/>
    <w:qFormat/>
    <w:uiPriority w:val="0"/>
  </w:style>
  <w:style w:type="paragraph" w:customStyle="1" w:styleId="133">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134">
    <w:name w:val="样式 标题 3 + (中文) 黑体 小四 非加粗 段前: 7.8 磅 段后: 0 磅 行距: 固定值 20 磅"/>
    <w:basedOn w:val="4"/>
    <w:next w:val="1"/>
    <w:qFormat/>
    <w:uiPriority w:val="0"/>
    <w:pPr>
      <w:spacing w:before="0" w:after="0" w:line="400" w:lineRule="exact"/>
    </w:pPr>
    <w:rPr>
      <w:rFonts w:eastAsia="黑体" w:cs="宋体"/>
      <w:b w:val="0"/>
      <w:bCs w:val="0"/>
      <w:sz w:val="24"/>
      <w:szCs w:val="20"/>
    </w:rPr>
  </w:style>
  <w:style w:type="paragraph" w:customStyle="1" w:styleId="135">
    <w:name w:val="_Style 86"/>
    <w:qFormat/>
    <w:uiPriority w:val="0"/>
    <w:rPr>
      <w:rFonts w:ascii="Times New Roman" w:hAnsi="Times New Roman" w:eastAsia="宋体" w:cs="Times New Roman"/>
      <w:kern w:val="2"/>
      <w:sz w:val="21"/>
      <w:szCs w:val="24"/>
      <w:lang w:val="en-US" w:eastAsia="zh-CN" w:bidi="ar-SA"/>
    </w:rPr>
  </w:style>
  <w:style w:type="paragraph" w:customStyle="1" w:styleId="136">
    <w:name w:val="Char1"/>
    <w:basedOn w:val="1"/>
    <w:qFormat/>
    <w:uiPriority w:val="0"/>
  </w:style>
  <w:style w:type="paragraph" w:customStyle="1" w:styleId="137">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38">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39">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0">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4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42">
    <w:name w:val="正文文本 Char2"/>
    <w:qFormat/>
    <w:uiPriority w:val="99"/>
    <w:rPr>
      <w:kern w:val="2"/>
      <w:sz w:val="21"/>
      <w:szCs w:val="24"/>
    </w:rPr>
  </w:style>
  <w:style w:type="character" w:customStyle="1" w:styleId="143">
    <w:name w:val="尾注文本 Char1"/>
    <w:qFormat/>
    <w:uiPriority w:val="0"/>
    <w:rPr>
      <w:rFonts w:ascii="Arial" w:hAnsi="Arial" w:cs="Arial"/>
      <w:szCs w:val="24"/>
      <w:lang w:eastAsia="en-US"/>
    </w:rPr>
  </w:style>
  <w:style w:type="character" w:customStyle="1" w:styleId="144">
    <w:name w:val="脚注文本 Char"/>
    <w:qFormat/>
    <w:uiPriority w:val="0"/>
    <w:rPr>
      <w:rFonts w:ascii="Arial" w:hAnsi="Arial" w:eastAsia="宋体" w:cs="Arial"/>
      <w:sz w:val="18"/>
      <w:szCs w:val="18"/>
      <w:lang w:eastAsia="en-US"/>
    </w:rPr>
  </w:style>
  <w:style w:type="character" w:customStyle="1" w:styleId="145">
    <w:name w:val="Char Char17"/>
    <w:qFormat/>
    <w:uiPriority w:val="0"/>
    <w:rPr>
      <w:kern w:val="2"/>
      <w:sz w:val="26"/>
      <w:szCs w:val="24"/>
    </w:rPr>
  </w:style>
  <w:style w:type="character" w:customStyle="1" w:styleId="146">
    <w:name w:val="副标题 Char1"/>
    <w:qFormat/>
    <w:uiPriority w:val="0"/>
    <w:rPr>
      <w:szCs w:val="24"/>
      <w:u w:val="single"/>
      <w:lang w:eastAsia="en-US"/>
    </w:rPr>
  </w:style>
  <w:style w:type="character" w:customStyle="1" w:styleId="147">
    <w:name w:val="标题 Char1"/>
    <w:qFormat/>
    <w:uiPriority w:val="10"/>
    <w:rPr>
      <w:szCs w:val="24"/>
      <w:u w:val="single"/>
      <w:lang w:eastAsia="en-US"/>
    </w:rPr>
  </w:style>
  <w:style w:type="character" w:customStyle="1" w:styleId="148">
    <w:name w:val="Char Char24"/>
    <w:qFormat/>
    <w:uiPriority w:val="0"/>
    <w:rPr>
      <w:b/>
      <w:bCs/>
      <w:kern w:val="44"/>
      <w:sz w:val="44"/>
      <w:szCs w:val="44"/>
    </w:rPr>
  </w:style>
  <w:style w:type="character" w:customStyle="1" w:styleId="149">
    <w:name w:val="批注主题 Char"/>
    <w:qFormat/>
    <w:uiPriority w:val="0"/>
    <w:rPr>
      <w:rFonts w:ascii="宋体" w:hAnsi="宋体" w:eastAsia="宋体"/>
      <w:kern w:val="2"/>
      <w:sz w:val="24"/>
      <w:szCs w:val="28"/>
      <w:lang w:val="en-US" w:eastAsia="zh-CN" w:bidi="ar-SA"/>
    </w:rPr>
  </w:style>
  <w:style w:type="character" w:customStyle="1" w:styleId="150">
    <w:name w:val="引用 Char1"/>
    <w:link w:val="81"/>
    <w:qFormat/>
    <w:uiPriority w:val="29"/>
    <w:rPr>
      <w:i/>
      <w:iCs/>
      <w:color w:val="000000"/>
      <w:kern w:val="2"/>
      <w:sz w:val="21"/>
    </w:rPr>
  </w:style>
  <w:style w:type="character" w:customStyle="1" w:styleId="151">
    <w:name w:val="Char Char23"/>
    <w:qFormat/>
    <w:uiPriority w:val="0"/>
    <w:rPr>
      <w:rFonts w:ascii="Cambria" w:hAnsi="Cambria" w:eastAsia="宋体" w:cs="Times New Roman"/>
      <w:b/>
      <w:bCs/>
      <w:kern w:val="2"/>
      <w:sz w:val="32"/>
      <w:szCs w:val="32"/>
    </w:rPr>
  </w:style>
  <w:style w:type="character" w:customStyle="1" w:styleId="152">
    <w:name w:val="ITTHEADER2 Char"/>
    <w:qFormat/>
    <w:uiPriority w:val="0"/>
    <w:rPr>
      <w:rFonts w:ascii="仿宋_GB2312" w:eastAsia="仿宋_GB2312" w:cs="MingLiU"/>
      <w:b/>
      <w:spacing w:val="1"/>
      <w:w w:val="99"/>
      <w:sz w:val="28"/>
      <w:szCs w:val="32"/>
      <w:lang w:val="en-US" w:eastAsia="zh-CN" w:bidi="ar-SA"/>
    </w:rPr>
  </w:style>
  <w:style w:type="character" w:customStyle="1" w:styleId="153">
    <w:name w:val="标题 9 Char1"/>
    <w:qFormat/>
    <w:uiPriority w:val="0"/>
    <w:rPr>
      <w:rFonts w:ascii="Times New Roman" w:hAnsi="Times New Roman" w:eastAsia="仿宋_GB2312" w:cs="Times New Roman"/>
      <w:sz w:val="30"/>
      <w:szCs w:val="20"/>
    </w:rPr>
  </w:style>
  <w:style w:type="character" w:customStyle="1" w:styleId="154">
    <w:name w:val="正文文本 Char1"/>
    <w:qFormat/>
    <w:uiPriority w:val="0"/>
    <w:rPr>
      <w:kern w:val="2"/>
      <w:sz w:val="21"/>
      <w:szCs w:val="22"/>
    </w:rPr>
  </w:style>
  <w:style w:type="character" w:customStyle="1" w:styleId="155">
    <w:name w:val="引用 Char2"/>
    <w:qFormat/>
    <w:uiPriority w:val="99"/>
    <w:rPr>
      <w:i/>
      <w:iCs/>
      <w:color w:val="000000"/>
      <w:kern w:val="2"/>
      <w:sz w:val="21"/>
      <w:szCs w:val="24"/>
    </w:rPr>
  </w:style>
  <w:style w:type="character" w:customStyle="1" w:styleId="156">
    <w:name w:val="正文文本 Char3"/>
    <w:semiHidden/>
    <w:qFormat/>
    <w:uiPriority w:val="99"/>
    <w:rPr>
      <w:rFonts w:ascii="Calibri" w:hAnsi="Calibri" w:eastAsia="宋体" w:cs="Times New Roman"/>
      <w:szCs w:val="24"/>
    </w:rPr>
  </w:style>
  <w:style w:type="character" w:customStyle="1" w:styleId="157">
    <w:name w:val="日期 字符"/>
    <w:link w:val="25"/>
    <w:qFormat/>
    <w:uiPriority w:val="0"/>
    <w:rPr>
      <w:rFonts w:eastAsia="宋体"/>
      <w:kern w:val="2"/>
      <w:sz w:val="21"/>
      <w:szCs w:val="24"/>
      <w:lang w:val="en-US" w:eastAsia="zh-CN" w:bidi="ar-SA"/>
    </w:rPr>
  </w:style>
  <w:style w:type="character" w:customStyle="1" w:styleId="158">
    <w:name w:val="标题 2 Char"/>
    <w:qFormat/>
    <w:uiPriority w:val="0"/>
    <w:rPr>
      <w:rFonts w:ascii="仿宋_GB2312" w:hAnsi="Calibri" w:eastAsia="仿宋_GB2312" w:cs="Times New Roman"/>
      <w:b/>
      <w:spacing w:val="1"/>
      <w:w w:val="99"/>
      <w:kern w:val="0"/>
      <w:sz w:val="28"/>
      <w:szCs w:val="32"/>
    </w:rPr>
  </w:style>
  <w:style w:type="character" w:customStyle="1" w:styleId="159">
    <w:name w:val="标题 7 Char"/>
    <w:qFormat/>
    <w:uiPriority w:val="0"/>
    <w:rPr>
      <w:rFonts w:ascii="Calibri" w:hAnsi="Calibri" w:eastAsia="宋体" w:cs="Times New Roman"/>
      <w:b/>
      <w:bCs/>
      <w:sz w:val="24"/>
      <w:szCs w:val="24"/>
    </w:rPr>
  </w:style>
  <w:style w:type="character" w:customStyle="1" w:styleId="160">
    <w:name w:val="批注框文本 Char1"/>
    <w:qFormat/>
    <w:uiPriority w:val="0"/>
    <w:rPr>
      <w:kern w:val="2"/>
      <w:sz w:val="18"/>
      <w:szCs w:val="18"/>
    </w:rPr>
  </w:style>
  <w:style w:type="character" w:customStyle="1" w:styleId="161">
    <w:name w:val="日期 Char1"/>
    <w:qFormat/>
    <w:uiPriority w:val="0"/>
    <w:rPr>
      <w:kern w:val="2"/>
      <w:sz w:val="21"/>
      <w:szCs w:val="22"/>
    </w:rPr>
  </w:style>
  <w:style w:type="character" w:customStyle="1" w:styleId="162">
    <w:name w:val="_Style 171"/>
    <w:qFormat/>
    <w:uiPriority w:val="0"/>
    <w:rPr>
      <w:b/>
      <w:bCs/>
      <w:i/>
      <w:iCs/>
      <w:color w:val="4F81BD"/>
    </w:rPr>
  </w:style>
  <w:style w:type="character" w:customStyle="1" w:styleId="163">
    <w:name w:val="Char Char22"/>
    <w:qFormat/>
    <w:uiPriority w:val="0"/>
    <w:rPr>
      <w:b/>
      <w:bCs/>
      <w:kern w:val="2"/>
      <w:sz w:val="32"/>
      <w:szCs w:val="32"/>
    </w:rPr>
  </w:style>
  <w:style w:type="character" w:customStyle="1" w:styleId="164">
    <w:name w:val="标题 6 Char1"/>
    <w:qFormat/>
    <w:uiPriority w:val="0"/>
    <w:rPr>
      <w:rFonts w:ascii="Times New Roman" w:hAnsi="Arial" w:eastAsia="仿宋_GB2312" w:cs="Times New Roman"/>
      <w:sz w:val="30"/>
      <w:szCs w:val="20"/>
    </w:rPr>
  </w:style>
  <w:style w:type="character" w:customStyle="1" w:styleId="165">
    <w:name w:val="标题5 Char Char"/>
    <w:link w:val="116"/>
    <w:qFormat/>
    <w:uiPriority w:val="0"/>
    <w:rPr>
      <w:rFonts w:ascii="Arial" w:hAnsi="Arial"/>
      <w:b/>
      <w:bCs/>
      <w:sz w:val="24"/>
      <w:szCs w:val="32"/>
      <w:lang w:bidi="ar-SA"/>
    </w:rPr>
  </w:style>
  <w:style w:type="character" w:customStyle="1" w:styleId="166">
    <w:name w:val="正文文本缩进 Char1"/>
    <w:qFormat/>
    <w:uiPriority w:val="0"/>
    <w:rPr>
      <w:kern w:val="2"/>
      <w:sz w:val="21"/>
      <w:szCs w:val="24"/>
    </w:rPr>
  </w:style>
  <w:style w:type="character" w:customStyle="1" w:styleId="167">
    <w:name w:val="标题 4 Char1"/>
    <w:qFormat/>
    <w:uiPriority w:val="0"/>
    <w:rPr>
      <w:rFonts w:ascii="宋体" w:hAnsi="宋体" w:eastAsia="宋体" w:cs="宋体"/>
      <w:b/>
      <w:bCs/>
      <w:sz w:val="24"/>
      <w:szCs w:val="24"/>
    </w:rPr>
  </w:style>
  <w:style w:type="character" w:customStyle="1" w:styleId="168">
    <w:name w:val="尾注文本 Char"/>
    <w:qFormat/>
    <w:uiPriority w:val="0"/>
    <w:rPr>
      <w:kern w:val="2"/>
      <w:sz w:val="21"/>
      <w:szCs w:val="24"/>
    </w:rPr>
  </w:style>
  <w:style w:type="character" w:customStyle="1" w:styleId="169">
    <w:name w:val="HTML 预设格式 字符"/>
    <w:link w:val="40"/>
    <w:qFormat/>
    <w:uiPriority w:val="0"/>
    <w:rPr>
      <w:rFonts w:ascii="宋体" w:hAnsi="宋体" w:eastAsia="宋体" w:cs="宋体"/>
      <w:color w:val="000000"/>
      <w:sz w:val="24"/>
      <w:szCs w:val="24"/>
      <w:lang w:val="en-US" w:eastAsia="zh-CN" w:bidi="ar-SA"/>
    </w:rPr>
  </w:style>
  <w:style w:type="character" w:customStyle="1" w:styleId="170">
    <w:name w:val="尾注文本 Char2"/>
    <w:semiHidden/>
    <w:qFormat/>
    <w:uiPriority w:val="99"/>
    <w:rPr>
      <w:rFonts w:ascii="Calibri" w:hAnsi="Calibri" w:eastAsia="宋体" w:cs="Times New Roman"/>
      <w:szCs w:val="24"/>
    </w:rPr>
  </w:style>
  <w:style w:type="character" w:customStyle="1" w:styleId="171">
    <w:name w:val="明显强调1"/>
    <w:qFormat/>
    <w:uiPriority w:val="0"/>
    <w:rPr>
      <w:b/>
      <w:bCs/>
      <w:i/>
      <w:iCs/>
      <w:color w:val="4F81BD"/>
    </w:rPr>
  </w:style>
  <w:style w:type="character" w:customStyle="1" w:styleId="172">
    <w:name w:val="正文文本 Char"/>
    <w:qFormat/>
    <w:uiPriority w:val="0"/>
    <w:rPr>
      <w:sz w:val="26"/>
      <w:szCs w:val="24"/>
    </w:rPr>
  </w:style>
  <w:style w:type="character" w:customStyle="1" w:styleId="173">
    <w:name w:val="脚注文本 Char2"/>
    <w:semiHidden/>
    <w:qFormat/>
    <w:uiPriority w:val="99"/>
    <w:rPr>
      <w:rFonts w:ascii="Calibri" w:hAnsi="Calibri" w:eastAsia="宋体" w:cs="Times New Roman"/>
      <w:sz w:val="18"/>
      <w:szCs w:val="18"/>
    </w:rPr>
  </w:style>
  <w:style w:type="character" w:customStyle="1" w:styleId="174">
    <w:name w:val="正文文本 2 Char1"/>
    <w:semiHidden/>
    <w:qFormat/>
    <w:uiPriority w:val="99"/>
    <w:rPr>
      <w:rFonts w:ascii="Calibri" w:hAnsi="Calibri" w:eastAsia="宋体" w:cs="Times New Roman"/>
      <w:szCs w:val="24"/>
    </w:rPr>
  </w:style>
  <w:style w:type="character" w:customStyle="1" w:styleId="175">
    <w:name w:val="_Style 248"/>
    <w:qFormat/>
    <w:uiPriority w:val="0"/>
    <w:rPr>
      <w:b/>
      <w:bCs/>
      <w:smallCaps/>
      <w:spacing w:val="5"/>
    </w:rPr>
  </w:style>
  <w:style w:type="character" w:customStyle="1" w:styleId="176">
    <w:name w:val="明显引用 Char3"/>
    <w:qFormat/>
    <w:uiPriority w:val="30"/>
    <w:rPr>
      <w:rFonts w:ascii="Calibri" w:hAnsi="Calibri" w:eastAsia="宋体" w:cs="Times New Roman"/>
      <w:b/>
      <w:bCs/>
      <w:i/>
      <w:iCs/>
      <w:color w:val="4F81BD"/>
      <w:szCs w:val="24"/>
    </w:rPr>
  </w:style>
  <w:style w:type="character" w:customStyle="1" w:styleId="177">
    <w:name w:val="_Style 254"/>
    <w:qFormat/>
    <w:uiPriority w:val="0"/>
    <w:rPr>
      <w:b/>
      <w:bCs/>
      <w:smallCaps/>
      <w:color w:val="C0504D"/>
      <w:spacing w:val="5"/>
      <w:u w:val="single"/>
    </w:rPr>
  </w:style>
  <w:style w:type="character" w:customStyle="1" w:styleId="178">
    <w:name w:val="正文文本缩进 Char2"/>
    <w:semiHidden/>
    <w:qFormat/>
    <w:uiPriority w:val="99"/>
    <w:rPr>
      <w:rFonts w:ascii="Calibri" w:hAnsi="Calibri" w:eastAsia="宋体" w:cs="Times New Roman"/>
      <w:szCs w:val="24"/>
    </w:rPr>
  </w:style>
  <w:style w:type="character" w:customStyle="1" w:styleId="179">
    <w:name w:val="标题 4 字符"/>
    <w:link w:val="5"/>
    <w:qFormat/>
    <w:uiPriority w:val="0"/>
    <w:rPr>
      <w:rFonts w:ascii="宋体" w:hAnsi="宋体" w:eastAsia="宋体" w:cs="宋体"/>
      <w:b/>
      <w:bCs/>
      <w:sz w:val="24"/>
      <w:szCs w:val="24"/>
      <w:lang w:val="en-US" w:eastAsia="zh-CN" w:bidi="ar-SA"/>
    </w:rPr>
  </w:style>
  <w:style w:type="character" w:customStyle="1" w:styleId="180">
    <w:name w:val="正文文本缩进 3 Char"/>
    <w:qFormat/>
    <w:uiPriority w:val="0"/>
    <w:rPr>
      <w:kern w:val="2"/>
      <w:sz w:val="16"/>
      <w:szCs w:val="16"/>
    </w:rPr>
  </w:style>
  <w:style w:type="character" w:customStyle="1" w:styleId="181">
    <w:name w:val="尾注文本 字符"/>
    <w:link w:val="27"/>
    <w:qFormat/>
    <w:uiPriority w:val="0"/>
    <w:rPr>
      <w:rFonts w:ascii="Arial" w:hAnsi="Arial" w:eastAsia="宋体" w:cs="Arial"/>
      <w:szCs w:val="24"/>
      <w:lang w:val="en-US" w:eastAsia="en-US" w:bidi="ar-SA"/>
    </w:rPr>
  </w:style>
  <w:style w:type="character" w:customStyle="1" w:styleId="182">
    <w:name w:val="引用 Char3"/>
    <w:qFormat/>
    <w:uiPriority w:val="29"/>
    <w:rPr>
      <w:rFonts w:ascii="Calibri" w:hAnsi="Calibri" w:eastAsia="宋体" w:cs="Times New Roman"/>
      <w:i/>
      <w:iCs/>
      <w:color w:val="000000"/>
      <w:szCs w:val="24"/>
    </w:rPr>
  </w:style>
  <w:style w:type="character" w:customStyle="1" w:styleId="183">
    <w:name w:val="Char Char32"/>
    <w:qFormat/>
    <w:uiPriority w:val="0"/>
    <w:rPr>
      <w:rFonts w:ascii="仿宋_GB2312" w:eastAsia="仿宋_GB2312" w:cs="MingLiU"/>
      <w:b/>
      <w:spacing w:val="1"/>
      <w:w w:val="99"/>
      <w:sz w:val="28"/>
      <w:szCs w:val="32"/>
    </w:rPr>
  </w:style>
  <w:style w:type="character" w:customStyle="1" w:styleId="184">
    <w:name w:val="日期 Char"/>
    <w:qFormat/>
    <w:uiPriority w:val="0"/>
    <w:rPr>
      <w:rFonts w:eastAsia="宋体"/>
      <w:szCs w:val="24"/>
    </w:rPr>
  </w:style>
  <w:style w:type="character" w:customStyle="1" w:styleId="185">
    <w:name w:val="页脚 Char"/>
    <w:qFormat/>
    <w:uiPriority w:val="0"/>
    <w:rPr>
      <w:sz w:val="18"/>
      <w:szCs w:val="18"/>
    </w:rPr>
  </w:style>
  <w:style w:type="character" w:customStyle="1" w:styleId="186">
    <w:name w:val="style121"/>
    <w:qFormat/>
    <w:uiPriority w:val="0"/>
    <w:rPr>
      <w:rFonts w:hint="eastAsia" w:ascii="宋体" w:hAnsi="宋体" w:eastAsia="宋体"/>
      <w:sz w:val="18"/>
      <w:szCs w:val="18"/>
    </w:rPr>
  </w:style>
  <w:style w:type="character" w:customStyle="1" w:styleId="187">
    <w:name w:val="ss16"/>
    <w:qFormat/>
    <w:uiPriority w:val="0"/>
    <w:rPr>
      <w:rFonts w:hint="eastAsia" w:ascii="宋体" w:hAnsi="宋体" w:eastAsia="宋体"/>
      <w:color w:val="000000"/>
      <w:sz w:val="9"/>
      <w:szCs w:val="9"/>
    </w:rPr>
  </w:style>
  <w:style w:type="character" w:customStyle="1" w:styleId="188">
    <w:name w:val="textcontents"/>
    <w:qFormat/>
    <w:uiPriority w:val="0"/>
    <w:rPr>
      <w:rFonts w:cs="Times New Roman"/>
    </w:rPr>
  </w:style>
  <w:style w:type="character" w:customStyle="1" w:styleId="189">
    <w:name w:val="14t1"/>
    <w:qFormat/>
    <w:uiPriority w:val="0"/>
    <w:rPr>
      <w:rFonts w:hint="eastAsia" w:ascii="宋体" w:hAnsi="宋体" w:eastAsia="宋体"/>
      <w:sz w:val="11"/>
      <w:szCs w:val="11"/>
    </w:rPr>
  </w:style>
  <w:style w:type="character" w:customStyle="1" w:styleId="190">
    <w:name w:val="不明显参考1"/>
    <w:qFormat/>
    <w:uiPriority w:val="0"/>
    <w:rPr>
      <w:smallCaps/>
      <w:color w:val="C0504D"/>
      <w:u w:val="single"/>
    </w:rPr>
  </w:style>
  <w:style w:type="character" w:customStyle="1" w:styleId="191">
    <w:name w:val="unnamed1"/>
    <w:basedOn w:val="47"/>
    <w:qFormat/>
    <w:uiPriority w:val="0"/>
  </w:style>
  <w:style w:type="character" w:customStyle="1" w:styleId="192">
    <w:name w:val="批注主题 Char3"/>
    <w:semiHidden/>
    <w:qFormat/>
    <w:uiPriority w:val="99"/>
    <w:rPr>
      <w:rFonts w:ascii="Calibri" w:hAnsi="Calibri" w:eastAsia="宋体" w:cs="Times New Roman"/>
      <w:b/>
      <w:bCs/>
      <w:szCs w:val="24"/>
    </w:rPr>
  </w:style>
  <w:style w:type="character" w:customStyle="1" w:styleId="193">
    <w:name w:val="标题 3 字符"/>
    <w:link w:val="4"/>
    <w:qFormat/>
    <w:uiPriority w:val="0"/>
    <w:rPr>
      <w:rFonts w:eastAsia="宋体"/>
      <w:b/>
      <w:bCs/>
      <w:kern w:val="2"/>
      <w:sz w:val="32"/>
      <w:szCs w:val="32"/>
      <w:lang w:val="en-US" w:eastAsia="zh-CN" w:bidi="ar-SA"/>
    </w:rPr>
  </w:style>
  <w:style w:type="character" w:customStyle="1" w:styleId="194">
    <w:name w:val="标题 2 字符"/>
    <w:link w:val="3"/>
    <w:qFormat/>
    <w:uiPriority w:val="0"/>
    <w:rPr>
      <w:rFonts w:ascii="Cambria" w:hAnsi="Cambria" w:eastAsia="宋体"/>
      <w:b/>
      <w:bCs/>
      <w:kern w:val="2"/>
      <w:sz w:val="32"/>
      <w:szCs w:val="32"/>
      <w:lang w:val="en-US" w:eastAsia="zh-CN" w:bidi="ar-SA"/>
    </w:rPr>
  </w:style>
  <w:style w:type="character" w:customStyle="1" w:styleId="195">
    <w:name w:val="标题 6 字符"/>
    <w:link w:val="7"/>
    <w:qFormat/>
    <w:uiPriority w:val="0"/>
    <w:rPr>
      <w:rFonts w:hAnsi="Arial" w:eastAsia="仿宋_GB2312"/>
      <w:sz w:val="30"/>
      <w:lang w:val="en-US" w:eastAsia="zh-CN" w:bidi="ar-SA"/>
    </w:rPr>
  </w:style>
  <w:style w:type="character" w:customStyle="1" w:styleId="196">
    <w:name w:val="页脚 字符"/>
    <w:link w:val="29"/>
    <w:qFormat/>
    <w:uiPriority w:val="0"/>
    <w:rPr>
      <w:rFonts w:eastAsia="宋体"/>
      <w:kern w:val="2"/>
      <w:sz w:val="18"/>
      <w:szCs w:val="18"/>
      <w:lang w:val="en-US" w:eastAsia="zh-CN" w:bidi="ar-SA"/>
    </w:rPr>
  </w:style>
  <w:style w:type="character" w:customStyle="1" w:styleId="197">
    <w:name w:val="引用 Char4"/>
    <w:link w:val="102"/>
    <w:qFormat/>
    <w:uiPriority w:val="0"/>
    <w:rPr>
      <w:i/>
      <w:iCs/>
      <w:color w:val="000000"/>
      <w:kern w:val="2"/>
      <w:sz w:val="21"/>
      <w:szCs w:val="22"/>
      <w:lang w:bidi="ar-SA"/>
    </w:rPr>
  </w:style>
  <w:style w:type="character" w:customStyle="1" w:styleId="198">
    <w:name w:val="标题 9 字符"/>
    <w:link w:val="11"/>
    <w:qFormat/>
    <w:uiPriority w:val="0"/>
    <w:rPr>
      <w:rFonts w:eastAsia="仿宋_GB2312"/>
      <w:sz w:val="30"/>
      <w:lang w:val="en-US" w:eastAsia="zh-CN" w:bidi="ar-SA"/>
    </w:rPr>
  </w:style>
  <w:style w:type="character" w:customStyle="1" w:styleId="199">
    <w:name w:val="标题 3 Char"/>
    <w:qFormat/>
    <w:uiPriority w:val="0"/>
    <w:rPr>
      <w:rFonts w:ascii="仿宋_GB2312" w:hAnsi="Calibri" w:eastAsia="仿宋_GB2312" w:cs="Times New Roman"/>
      <w:b/>
      <w:kern w:val="0"/>
      <w:sz w:val="24"/>
      <w:szCs w:val="28"/>
    </w:rPr>
  </w:style>
  <w:style w:type="character" w:customStyle="1" w:styleId="200">
    <w:name w:val="批注文字 Char2"/>
    <w:qFormat/>
    <w:uiPriority w:val="0"/>
    <w:rPr>
      <w:rFonts w:ascii="Calibri" w:hAnsi="Calibri" w:eastAsia="宋体" w:cs="Times New Roman"/>
      <w:szCs w:val="24"/>
    </w:rPr>
  </w:style>
  <w:style w:type="character" w:customStyle="1" w:styleId="201">
    <w:name w:val="normaltext1"/>
    <w:qFormat/>
    <w:uiPriority w:val="0"/>
    <w:rPr>
      <w:rFonts w:hint="default" w:ascii="ˎ̥" w:hAnsi="ˎ̥"/>
      <w:sz w:val="9"/>
      <w:szCs w:val="9"/>
    </w:rPr>
  </w:style>
  <w:style w:type="character" w:customStyle="1" w:styleId="202">
    <w:name w:val="ca-141"/>
    <w:qFormat/>
    <w:uiPriority w:val="0"/>
    <w:rPr>
      <w:rFonts w:hint="eastAsia" w:ascii="仿宋_GB2312" w:eastAsia="仿宋_GB2312"/>
      <w:sz w:val="21"/>
      <w:szCs w:val="21"/>
    </w:rPr>
  </w:style>
  <w:style w:type="character" w:customStyle="1" w:styleId="203">
    <w:name w:val="main_tdbg_7601"/>
    <w:qFormat/>
    <w:uiPriority w:val="0"/>
    <w:rPr>
      <w:sz w:val="14"/>
      <w:szCs w:val="14"/>
    </w:rPr>
  </w:style>
  <w:style w:type="character" w:customStyle="1" w:styleId="204">
    <w:name w:val="文档结构图 字符"/>
    <w:link w:val="14"/>
    <w:qFormat/>
    <w:uiPriority w:val="0"/>
    <w:rPr>
      <w:rFonts w:eastAsia="宋体"/>
      <w:kern w:val="2"/>
      <w:sz w:val="21"/>
      <w:szCs w:val="24"/>
      <w:lang w:val="en-US" w:eastAsia="zh-CN" w:bidi="ar-SA"/>
    </w:rPr>
  </w:style>
  <w:style w:type="character" w:customStyle="1" w:styleId="205">
    <w:name w:val="批注框文本 Char3"/>
    <w:semiHidden/>
    <w:qFormat/>
    <w:uiPriority w:val="99"/>
    <w:rPr>
      <w:rFonts w:ascii="Calibri" w:hAnsi="Calibri" w:eastAsia="宋体" w:cs="Times New Roman"/>
      <w:sz w:val="18"/>
      <w:szCs w:val="18"/>
    </w:rPr>
  </w:style>
  <w:style w:type="character" w:customStyle="1" w:styleId="206">
    <w:name w:val="Char Char9"/>
    <w:qFormat/>
    <w:locked/>
    <w:uiPriority w:val="0"/>
    <w:rPr>
      <w:rFonts w:ascii="仿宋_GB2312" w:eastAsia="仿宋_GB2312" w:cs="MingLiU"/>
      <w:b/>
      <w:sz w:val="24"/>
      <w:szCs w:val="28"/>
      <w:lang w:val="en-US" w:eastAsia="zh-CN" w:bidi="ar-SA"/>
    </w:rPr>
  </w:style>
  <w:style w:type="character" w:customStyle="1" w:styleId="207">
    <w:name w:val="title11"/>
    <w:qFormat/>
    <w:uiPriority w:val="0"/>
    <w:rPr>
      <w:b/>
      <w:bCs/>
      <w:color w:val="FFFFFF"/>
      <w:sz w:val="11"/>
      <w:szCs w:val="11"/>
    </w:rPr>
  </w:style>
  <w:style w:type="character" w:customStyle="1" w:styleId="208">
    <w:name w:val="批注框文本 字符"/>
    <w:link w:val="28"/>
    <w:qFormat/>
    <w:uiPriority w:val="0"/>
    <w:rPr>
      <w:rFonts w:eastAsia="宋体"/>
      <w:kern w:val="2"/>
      <w:sz w:val="18"/>
      <w:szCs w:val="18"/>
      <w:lang w:val="en-US" w:eastAsia="zh-CN" w:bidi="ar-SA"/>
    </w:rPr>
  </w:style>
  <w:style w:type="character" w:customStyle="1" w:styleId="209">
    <w:name w:val="标题 8 Char1"/>
    <w:qFormat/>
    <w:uiPriority w:val="0"/>
    <w:rPr>
      <w:rFonts w:ascii="Times New Roman" w:hAnsi="Arial" w:eastAsia="仿宋_GB2312" w:cs="Times New Roman"/>
      <w:sz w:val="30"/>
      <w:szCs w:val="20"/>
    </w:rPr>
  </w:style>
  <w:style w:type="character" w:customStyle="1" w:styleId="210">
    <w:name w:val="标题 Char2"/>
    <w:qFormat/>
    <w:uiPriority w:val="10"/>
    <w:rPr>
      <w:rFonts w:ascii="Cambria" w:hAnsi="Cambria" w:eastAsia="宋体" w:cs="Times New Roman"/>
      <w:b/>
      <w:bCs/>
      <w:sz w:val="32"/>
      <w:szCs w:val="32"/>
    </w:rPr>
  </w:style>
  <w:style w:type="character" w:customStyle="1" w:styleId="211">
    <w:name w:val="标题 字符"/>
    <w:link w:val="43"/>
    <w:qFormat/>
    <w:uiPriority w:val="0"/>
    <w:rPr>
      <w:rFonts w:eastAsia="宋体"/>
      <w:szCs w:val="24"/>
      <w:u w:val="single"/>
      <w:lang w:val="en-US" w:eastAsia="en-US" w:bidi="ar-SA"/>
    </w:rPr>
  </w:style>
  <w:style w:type="character" w:customStyle="1" w:styleId="212">
    <w:name w:val="批注主题 Char1"/>
    <w:qFormat/>
    <w:uiPriority w:val="0"/>
    <w:rPr>
      <w:b/>
      <w:bCs/>
      <w:kern w:val="2"/>
      <w:sz w:val="21"/>
      <w:szCs w:val="22"/>
    </w:rPr>
  </w:style>
  <w:style w:type="character" w:customStyle="1" w:styleId="213">
    <w:name w:val="副标题 Char"/>
    <w:qFormat/>
    <w:uiPriority w:val="0"/>
    <w:rPr>
      <w:rFonts w:ascii="Cambria" w:hAnsi="Cambria" w:eastAsia="宋体" w:cs="Times New Roman"/>
      <w:b/>
      <w:bCs/>
      <w:kern w:val="28"/>
      <w:sz w:val="32"/>
      <w:szCs w:val="32"/>
    </w:rPr>
  </w:style>
  <w:style w:type="character" w:customStyle="1" w:styleId="214">
    <w:name w:val="正文文本 字符"/>
    <w:link w:val="17"/>
    <w:qFormat/>
    <w:uiPriority w:val="0"/>
    <w:rPr>
      <w:rFonts w:eastAsia="宋体"/>
      <w:kern w:val="2"/>
      <w:sz w:val="21"/>
      <w:szCs w:val="24"/>
      <w:lang w:val="en-US" w:eastAsia="zh-CN" w:bidi="ar-SA"/>
    </w:rPr>
  </w:style>
  <w:style w:type="character" w:customStyle="1" w:styleId="215">
    <w:name w:val="纯文本 Char1"/>
    <w:qFormat/>
    <w:uiPriority w:val="0"/>
    <w:rPr>
      <w:rFonts w:ascii="宋体" w:hAnsi="Courier New" w:cs="Courier New"/>
      <w:kern w:val="2"/>
      <w:sz w:val="21"/>
      <w:szCs w:val="21"/>
    </w:rPr>
  </w:style>
  <w:style w:type="character" w:customStyle="1" w:styleId="216">
    <w:name w:val="脚注文本 字符"/>
    <w:link w:val="34"/>
    <w:qFormat/>
    <w:uiPriority w:val="0"/>
    <w:rPr>
      <w:rFonts w:ascii="Arial" w:hAnsi="Arial" w:eastAsia="宋体" w:cs="Arial"/>
      <w:sz w:val="18"/>
      <w:szCs w:val="18"/>
      <w:lang w:val="en-US" w:eastAsia="en-US" w:bidi="ar-SA"/>
    </w:rPr>
  </w:style>
  <w:style w:type="character" w:customStyle="1" w:styleId="217">
    <w:name w:val="标题 2 Char1"/>
    <w:qFormat/>
    <w:uiPriority w:val="0"/>
    <w:rPr>
      <w:rFonts w:ascii="Cambria" w:hAnsi="Cambria" w:eastAsia="宋体" w:cs="Times New Roman"/>
      <w:b/>
      <w:bCs/>
      <w:kern w:val="2"/>
      <w:sz w:val="32"/>
      <w:szCs w:val="32"/>
    </w:rPr>
  </w:style>
  <w:style w:type="character" w:customStyle="1" w:styleId="218">
    <w:name w:val="脚注文本 Char1"/>
    <w:qFormat/>
    <w:uiPriority w:val="0"/>
    <w:rPr>
      <w:rFonts w:ascii="Arial" w:hAnsi="Arial" w:cs="Arial"/>
      <w:sz w:val="18"/>
      <w:szCs w:val="18"/>
      <w:lang w:eastAsia="en-US"/>
    </w:rPr>
  </w:style>
  <w:style w:type="character" w:customStyle="1" w:styleId="219">
    <w:name w:val="HTML 预设格式 Char2"/>
    <w:semiHidden/>
    <w:qFormat/>
    <w:uiPriority w:val="99"/>
    <w:rPr>
      <w:rFonts w:ascii="Courier New" w:hAnsi="Courier New" w:eastAsia="宋体" w:cs="Courier New"/>
      <w:sz w:val="20"/>
      <w:szCs w:val="20"/>
    </w:rPr>
  </w:style>
  <w:style w:type="character" w:customStyle="1" w:styleId="220">
    <w:name w:val="标题 8 Char"/>
    <w:qFormat/>
    <w:uiPriority w:val="0"/>
    <w:rPr>
      <w:rFonts w:ascii="Arial" w:hAnsi="Arial" w:eastAsia="黑体" w:cs="Times New Roman"/>
      <w:sz w:val="24"/>
      <w:szCs w:val="24"/>
    </w:rPr>
  </w:style>
  <w:style w:type="character" w:customStyle="1" w:styleId="221">
    <w:name w:val="s3"/>
    <w:qFormat/>
    <w:uiPriority w:val="0"/>
  </w:style>
  <w:style w:type="character" w:customStyle="1" w:styleId="222">
    <w:name w:val="标题 4 Char"/>
    <w:qFormat/>
    <w:uiPriority w:val="0"/>
    <w:rPr>
      <w:rFonts w:ascii="仿宋_GB2312" w:hAnsi="Calibri" w:eastAsia="仿宋_GB2312" w:cs="Times New Roman"/>
      <w:b/>
      <w:kern w:val="0"/>
      <w:sz w:val="24"/>
      <w:szCs w:val="28"/>
    </w:rPr>
  </w:style>
  <w:style w:type="character" w:customStyle="1" w:styleId="223">
    <w:name w:val="正文文本缩进 2 Char"/>
    <w:qFormat/>
    <w:uiPriority w:val="0"/>
    <w:rPr>
      <w:kern w:val="2"/>
      <w:sz w:val="21"/>
      <w:szCs w:val="24"/>
    </w:rPr>
  </w:style>
  <w:style w:type="character" w:customStyle="1" w:styleId="224">
    <w:name w:val="style21"/>
    <w:qFormat/>
    <w:uiPriority w:val="0"/>
    <w:rPr>
      <w:b/>
      <w:bCs/>
      <w:sz w:val="28"/>
      <w:szCs w:val="28"/>
    </w:rPr>
  </w:style>
  <w:style w:type="character" w:customStyle="1" w:styleId="225">
    <w:name w:val="正文文本缩进 2 Char2"/>
    <w:semiHidden/>
    <w:qFormat/>
    <w:uiPriority w:val="99"/>
    <w:rPr>
      <w:rFonts w:ascii="Calibri" w:hAnsi="Calibri" w:eastAsia="宋体" w:cs="Times New Roman"/>
      <w:szCs w:val="24"/>
    </w:rPr>
  </w:style>
  <w:style w:type="character" w:customStyle="1" w:styleId="226">
    <w:name w:val="ht1"/>
    <w:qFormat/>
    <w:uiPriority w:val="0"/>
    <w:rPr>
      <w:rFonts w:ascii="黑体" w:eastAsia="黑体"/>
      <w:b/>
      <w:bCs/>
    </w:rPr>
  </w:style>
  <w:style w:type="character" w:customStyle="1" w:styleId="227">
    <w:name w:val="文档结构图 Char3"/>
    <w:semiHidden/>
    <w:qFormat/>
    <w:uiPriority w:val="99"/>
    <w:rPr>
      <w:rFonts w:ascii="宋体" w:hAnsi="Calibri" w:eastAsia="宋体" w:cs="Times New Roman"/>
      <w:sz w:val="18"/>
      <w:szCs w:val="18"/>
    </w:rPr>
  </w:style>
  <w:style w:type="character" w:customStyle="1" w:styleId="228">
    <w:name w:val="书籍标题1"/>
    <w:qFormat/>
    <w:uiPriority w:val="0"/>
    <w:rPr>
      <w:b/>
      <w:bCs/>
      <w:smallCaps/>
      <w:spacing w:val="5"/>
    </w:rPr>
  </w:style>
  <w:style w:type="character" w:customStyle="1" w:styleId="229">
    <w:name w:val="标题 7 Char1"/>
    <w:qFormat/>
    <w:uiPriority w:val="0"/>
    <w:rPr>
      <w:rFonts w:ascii="Times New Roman" w:hAnsi="Times New Roman" w:eastAsia="仿宋_GB2312" w:cs="Times New Roman"/>
      <w:sz w:val="30"/>
      <w:szCs w:val="20"/>
    </w:rPr>
  </w:style>
  <w:style w:type="character" w:customStyle="1" w:styleId="230">
    <w:name w:val="明显引用 Char2"/>
    <w:qFormat/>
    <w:uiPriority w:val="99"/>
    <w:rPr>
      <w:b/>
      <w:bCs/>
      <w:i/>
      <w:iCs/>
      <w:color w:val="4F81BD"/>
      <w:kern w:val="2"/>
      <w:sz w:val="21"/>
      <w:szCs w:val="24"/>
    </w:rPr>
  </w:style>
  <w:style w:type="character" w:customStyle="1" w:styleId="231">
    <w:name w:val="不明显强调1"/>
    <w:qFormat/>
    <w:uiPriority w:val="0"/>
    <w:rPr>
      <w:i/>
      <w:iCs/>
      <w:color w:val="808080"/>
    </w:rPr>
  </w:style>
  <w:style w:type="character" w:customStyle="1" w:styleId="232">
    <w:name w:val="普通文字 Char Char2"/>
    <w:qFormat/>
    <w:uiPriority w:val="0"/>
    <w:rPr>
      <w:rFonts w:ascii="宋体" w:hAnsi="Courier New"/>
      <w:kern w:val="2"/>
      <w:sz w:val="28"/>
      <w:szCs w:val="28"/>
    </w:rPr>
  </w:style>
  <w:style w:type="character" w:customStyle="1" w:styleId="233">
    <w:name w:val="标题 6 Char"/>
    <w:qFormat/>
    <w:uiPriority w:val="0"/>
    <w:rPr>
      <w:rFonts w:ascii="Arial" w:hAnsi="Arial" w:eastAsia="黑体" w:cs="Times New Roman"/>
      <w:b/>
      <w:bCs/>
      <w:sz w:val="24"/>
      <w:szCs w:val="24"/>
    </w:rPr>
  </w:style>
  <w:style w:type="character" w:customStyle="1" w:styleId="234">
    <w:name w:val="l1"/>
    <w:basedOn w:val="47"/>
    <w:qFormat/>
    <w:uiPriority w:val="0"/>
  </w:style>
  <w:style w:type="character" w:customStyle="1" w:styleId="235">
    <w:name w:val="未处理的提及1"/>
    <w:unhideWhenUsed/>
    <w:qFormat/>
    <w:uiPriority w:val="99"/>
    <w:rPr>
      <w:color w:val="808080"/>
      <w:shd w:val="clear" w:color="auto" w:fill="E6E6E6"/>
    </w:rPr>
  </w:style>
  <w:style w:type="character" w:customStyle="1" w:styleId="236">
    <w:name w:val="页眉 字符"/>
    <w:link w:val="30"/>
    <w:qFormat/>
    <w:uiPriority w:val="0"/>
    <w:rPr>
      <w:rFonts w:eastAsia="宋体"/>
      <w:kern w:val="2"/>
      <w:sz w:val="18"/>
      <w:szCs w:val="18"/>
      <w:lang w:val="en-US" w:eastAsia="zh-CN" w:bidi="ar-SA"/>
    </w:rPr>
  </w:style>
  <w:style w:type="character" w:customStyle="1" w:styleId="237">
    <w:name w:val="Char Char35"/>
    <w:qFormat/>
    <w:uiPriority w:val="0"/>
    <w:rPr>
      <w:rFonts w:ascii="仿宋_GB2312" w:eastAsia="仿宋_GB2312" w:cs="MingLiU"/>
      <w:b/>
      <w:sz w:val="24"/>
      <w:szCs w:val="28"/>
    </w:rPr>
  </w:style>
  <w:style w:type="character" w:customStyle="1" w:styleId="238">
    <w:name w:val="Char Char11"/>
    <w:qFormat/>
    <w:locked/>
    <w:uiPriority w:val="0"/>
    <w:rPr>
      <w:rFonts w:eastAsia="黑体"/>
      <w:kern w:val="2"/>
      <w:sz w:val="44"/>
      <w:szCs w:val="44"/>
      <w:lang w:val="en-US" w:eastAsia="zh-CN" w:bidi="ar-SA"/>
    </w:rPr>
  </w:style>
  <w:style w:type="character" w:customStyle="1" w:styleId="239">
    <w:name w:val="style31"/>
    <w:qFormat/>
    <w:uiPriority w:val="0"/>
    <w:rPr>
      <w:sz w:val="10"/>
      <w:szCs w:val="10"/>
    </w:rPr>
  </w:style>
  <w:style w:type="character" w:customStyle="1" w:styleId="240">
    <w:name w:val="0d1471"/>
    <w:qFormat/>
    <w:uiPriority w:val="0"/>
    <w:rPr>
      <w:color w:val="000000"/>
      <w:sz w:val="11"/>
      <w:szCs w:val="11"/>
      <w:u w:val="none"/>
    </w:rPr>
  </w:style>
  <w:style w:type="character" w:customStyle="1" w:styleId="241">
    <w:name w:val="标题 9 Char"/>
    <w:qFormat/>
    <w:uiPriority w:val="0"/>
    <w:rPr>
      <w:rFonts w:ascii="Arial" w:hAnsi="Arial" w:eastAsia="黑体" w:cs="Times New Roman"/>
      <w:szCs w:val="21"/>
    </w:rPr>
  </w:style>
  <w:style w:type="character" w:customStyle="1" w:styleId="242">
    <w:name w:val="标题 3 Char1"/>
    <w:qFormat/>
    <w:uiPriority w:val="0"/>
    <w:rPr>
      <w:rFonts w:ascii="Times New Roman" w:hAnsi="Times New Roman" w:eastAsia="宋体" w:cs="Times New Roman"/>
      <w:b/>
      <w:bCs/>
      <w:kern w:val="2"/>
      <w:sz w:val="32"/>
      <w:szCs w:val="32"/>
    </w:rPr>
  </w:style>
  <w:style w:type="character" w:customStyle="1" w:styleId="243">
    <w:name w:val="标题4 Char Char"/>
    <w:link w:val="87"/>
    <w:qFormat/>
    <w:uiPriority w:val="0"/>
    <w:rPr>
      <w:rFonts w:ascii="Arial" w:hAnsi="Arial"/>
      <w:b/>
      <w:bCs/>
      <w:sz w:val="24"/>
      <w:szCs w:val="32"/>
      <w:lang w:bidi="ar-SA"/>
    </w:rPr>
  </w:style>
  <w:style w:type="character" w:customStyle="1" w:styleId="244">
    <w:name w:val="标题 5 Char1"/>
    <w:qFormat/>
    <w:uiPriority w:val="0"/>
    <w:rPr>
      <w:rFonts w:ascii="宋体" w:hAnsi="宋体" w:eastAsia="宋体" w:cs="宋体"/>
      <w:b/>
      <w:bCs/>
      <w:sz w:val="20"/>
      <w:szCs w:val="20"/>
    </w:rPr>
  </w:style>
  <w:style w:type="character" w:customStyle="1" w:styleId="245">
    <w:name w:val="正文文本缩进 3 Char1"/>
    <w:qFormat/>
    <w:uiPriority w:val="0"/>
    <w:rPr>
      <w:rFonts w:ascii="宋体" w:hAnsi="宋体"/>
      <w:kern w:val="2"/>
      <w:sz w:val="28"/>
      <w:szCs w:val="28"/>
    </w:rPr>
  </w:style>
  <w:style w:type="character" w:customStyle="1" w:styleId="246">
    <w:name w:val="Char Char33"/>
    <w:qFormat/>
    <w:uiPriority w:val="0"/>
    <w:rPr>
      <w:rFonts w:ascii="仿宋_GB2312" w:eastAsia="仿宋_GB2312" w:cs="MingLiU"/>
      <w:b/>
      <w:sz w:val="24"/>
      <w:szCs w:val="28"/>
    </w:rPr>
  </w:style>
  <w:style w:type="character" w:customStyle="1" w:styleId="247">
    <w:name w:val="批注文字 Char1"/>
    <w:qFormat/>
    <w:uiPriority w:val="99"/>
    <w:rPr>
      <w:rFonts w:ascii="Times New Roman" w:hAnsi="Times New Roman" w:eastAsia="宋体" w:cs="Times New Roman"/>
      <w:szCs w:val="24"/>
    </w:rPr>
  </w:style>
  <w:style w:type="character" w:customStyle="1" w:styleId="248">
    <w:name w:val="正文文本 3 Char1"/>
    <w:qFormat/>
    <w:uiPriority w:val="0"/>
    <w:rPr>
      <w:kern w:val="2"/>
      <w:sz w:val="16"/>
      <w:szCs w:val="16"/>
    </w:rPr>
  </w:style>
  <w:style w:type="character" w:customStyle="1" w:styleId="249">
    <w:name w:val="页眉 Char"/>
    <w:qFormat/>
    <w:uiPriority w:val="0"/>
    <w:rPr>
      <w:sz w:val="18"/>
      <w:szCs w:val="18"/>
    </w:rPr>
  </w:style>
  <w:style w:type="character" w:customStyle="1" w:styleId="250">
    <w:name w:val="明显引用 Char"/>
    <w:qFormat/>
    <w:uiPriority w:val="0"/>
    <w:rPr>
      <w:rFonts w:ascii="Times New Roman" w:hAnsi="Times New Roman" w:eastAsia="宋体" w:cs="Times New Roman"/>
      <w:b/>
      <w:bCs/>
      <w:i/>
      <w:iCs/>
      <w:color w:val="4F81BD"/>
      <w:kern w:val="2"/>
      <w:sz w:val="21"/>
      <w:szCs w:val="24"/>
    </w:rPr>
  </w:style>
  <w:style w:type="character" w:customStyle="1" w:styleId="251">
    <w:name w:val="color_red1"/>
    <w:qFormat/>
    <w:uiPriority w:val="0"/>
    <w:rPr>
      <w:color w:val="FA0004"/>
    </w:rPr>
  </w:style>
  <w:style w:type="character" w:customStyle="1" w:styleId="252">
    <w:name w:val="批注主题 Char2"/>
    <w:qFormat/>
    <w:uiPriority w:val="99"/>
    <w:rPr>
      <w:b/>
      <w:bCs/>
      <w:kern w:val="2"/>
      <w:sz w:val="21"/>
      <w:szCs w:val="24"/>
    </w:rPr>
  </w:style>
  <w:style w:type="character" w:customStyle="1" w:styleId="253">
    <w:name w:val="Char Char34"/>
    <w:qFormat/>
    <w:uiPriority w:val="0"/>
    <w:rPr>
      <w:rFonts w:ascii="仿宋_GB2312" w:eastAsia="仿宋_GB2312" w:cs="MingLiU"/>
      <w:b/>
      <w:spacing w:val="1"/>
      <w:w w:val="99"/>
      <w:sz w:val="28"/>
      <w:szCs w:val="32"/>
    </w:rPr>
  </w:style>
  <w:style w:type="character" w:customStyle="1" w:styleId="254">
    <w:name w:val="标题 1 Char"/>
    <w:qFormat/>
    <w:uiPriority w:val="0"/>
    <w:rPr>
      <w:rFonts w:ascii="Times New Roman" w:hAnsi="Times New Roman" w:eastAsia="宋体" w:cs="Times New Roman"/>
      <w:b/>
      <w:bCs/>
      <w:kern w:val="44"/>
      <w:sz w:val="44"/>
      <w:szCs w:val="44"/>
    </w:rPr>
  </w:style>
  <w:style w:type="character" w:customStyle="1" w:styleId="255">
    <w:name w:val="docpro"/>
    <w:basedOn w:val="47"/>
    <w:qFormat/>
    <w:uiPriority w:val="0"/>
  </w:style>
  <w:style w:type="character" w:customStyle="1" w:styleId="256">
    <w:name w:val="正文文本 3 Char"/>
    <w:qFormat/>
    <w:uiPriority w:val="0"/>
    <w:rPr>
      <w:kern w:val="2"/>
      <w:sz w:val="16"/>
      <w:szCs w:val="16"/>
    </w:rPr>
  </w:style>
  <w:style w:type="character" w:customStyle="1" w:styleId="257">
    <w:name w:val="标题 5 Char"/>
    <w:qFormat/>
    <w:uiPriority w:val="0"/>
    <w:rPr>
      <w:rFonts w:ascii="Calibri" w:hAnsi="Calibri" w:eastAsia="宋体" w:cs="Times New Roman"/>
      <w:b/>
      <w:bCs/>
      <w:sz w:val="28"/>
      <w:szCs w:val="28"/>
    </w:rPr>
  </w:style>
  <w:style w:type="character" w:customStyle="1" w:styleId="258">
    <w:name w:val="style161"/>
    <w:qFormat/>
    <w:uiPriority w:val="0"/>
    <w:rPr>
      <w:b/>
      <w:bCs/>
      <w:color w:val="333333"/>
    </w:rPr>
  </w:style>
  <w:style w:type="character" w:customStyle="1" w:styleId="259">
    <w:name w:val="文档结构图 Char2"/>
    <w:qFormat/>
    <w:uiPriority w:val="99"/>
    <w:rPr>
      <w:kern w:val="2"/>
      <w:sz w:val="21"/>
      <w:szCs w:val="24"/>
      <w:shd w:val="clear" w:color="auto" w:fill="000080"/>
    </w:rPr>
  </w:style>
  <w:style w:type="character" w:customStyle="1" w:styleId="260">
    <w:name w:val="页脚 Char1"/>
    <w:semiHidden/>
    <w:qFormat/>
    <w:uiPriority w:val="99"/>
    <w:rPr>
      <w:kern w:val="2"/>
      <w:sz w:val="18"/>
      <w:szCs w:val="18"/>
    </w:rPr>
  </w:style>
  <w:style w:type="character" w:customStyle="1" w:styleId="261">
    <w:name w:val="日期 Char2"/>
    <w:qFormat/>
    <w:uiPriority w:val="99"/>
    <w:rPr>
      <w:kern w:val="2"/>
      <w:sz w:val="21"/>
      <w:szCs w:val="24"/>
    </w:rPr>
  </w:style>
  <w:style w:type="character" w:customStyle="1" w:styleId="262">
    <w:name w:val="HTML 预设格式 Char"/>
    <w:qFormat/>
    <w:uiPriority w:val="0"/>
    <w:rPr>
      <w:rFonts w:ascii="宋体" w:hAnsi="宋体" w:eastAsia="宋体" w:cs="宋体"/>
      <w:color w:val="000000"/>
      <w:sz w:val="24"/>
      <w:szCs w:val="24"/>
    </w:rPr>
  </w:style>
  <w:style w:type="character" w:customStyle="1" w:styleId="263">
    <w:name w:val="批注主题 字符"/>
    <w:link w:val="44"/>
    <w:qFormat/>
    <w:uiPriority w:val="0"/>
    <w:rPr>
      <w:rFonts w:eastAsia="宋体"/>
      <w:b/>
      <w:bCs/>
      <w:kern w:val="2"/>
      <w:sz w:val="21"/>
      <w:szCs w:val="24"/>
      <w:lang w:val="en-US" w:eastAsia="zh-CN" w:bidi="ar-SA"/>
    </w:rPr>
  </w:style>
  <w:style w:type="character" w:customStyle="1" w:styleId="264">
    <w:name w:val="正文文本 2 字符"/>
    <w:link w:val="39"/>
    <w:qFormat/>
    <w:uiPriority w:val="0"/>
    <w:rPr>
      <w:i/>
      <w:iCs/>
      <w:kern w:val="2"/>
      <w:sz w:val="26"/>
      <w:szCs w:val="24"/>
    </w:rPr>
  </w:style>
  <w:style w:type="character" w:customStyle="1" w:styleId="265">
    <w:name w:val="批注框文本 Char"/>
    <w:qFormat/>
    <w:uiPriority w:val="0"/>
    <w:rPr>
      <w:sz w:val="18"/>
      <w:szCs w:val="18"/>
    </w:rPr>
  </w:style>
  <w:style w:type="character" w:customStyle="1" w:styleId="266">
    <w:name w:val="文档结构图 Char"/>
    <w:qFormat/>
    <w:uiPriority w:val="0"/>
    <w:rPr>
      <w:rFonts w:ascii="宋体"/>
      <w:kern w:val="2"/>
      <w:sz w:val="18"/>
      <w:szCs w:val="18"/>
    </w:rPr>
  </w:style>
  <w:style w:type="character" w:customStyle="1" w:styleId="267">
    <w:name w:val="标题 8 字符"/>
    <w:link w:val="10"/>
    <w:qFormat/>
    <w:uiPriority w:val="0"/>
    <w:rPr>
      <w:rFonts w:hAnsi="Arial" w:eastAsia="仿宋_GB2312"/>
      <w:sz w:val="30"/>
      <w:lang w:val="en-US" w:eastAsia="zh-CN" w:bidi="ar-SA"/>
    </w:rPr>
  </w:style>
  <w:style w:type="character" w:customStyle="1" w:styleId="268">
    <w:name w:val="正文文本缩进 3 字符"/>
    <w:link w:val="36"/>
    <w:qFormat/>
    <w:uiPriority w:val="0"/>
    <w:rPr>
      <w:rFonts w:ascii="宋体" w:hAnsi="宋体" w:eastAsia="宋体"/>
      <w:kern w:val="2"/>
      <w:sz w:val="28"/>
      <w:szCs w:val="28"/>
      <w:lang w:val="en-US" w:eastAsia="zh-CN" w:bidi="ar-SA"/>
    </w:rPr>
  </w:style>
  <w:style w:type="character" w:customStyle="1" w:styleId="269">
    <w:name w:val="正文文本缩进 字符"/>
    <w:link w:val="18"/>
    <w:qFormat/>
    <w:uiPriority w:val="0"/>
    <w:rPr>
      <w:rFonts w:eastAsia="宋体"/>
      <w:kern w:val="2"/>
      <w:sz w:val="21"/>
      <w:szCs w:val="24"/>
      <w:lang w:val="en-US" w:eastAsia="zh-CN" w:bidi="ar-SA"/>
    </w:rPr>
  </w:style>
  <w:style w:type="character" w:customStyle="1" w:styleId="270">
    <w:name w:val="_Style 196"/>
    <w:qFormat/>
    <w:uiPriority w:val="0"/>
    <w:rPr>
      <w:i/>
      <w:iCs/>
      <w:color w:val="808080"/>
    </w:rPr>
  </w:style>
  <w:style w:type="character" w:customStyle="1" w:styleId="271">
    <w:name w:val="正文文本缩进 2 字符"/>
    <w:link w:val="26"/>
    <w:qFormat/>
    <w:uiPriority w:val="0"/>
    <w:rPr>
      <w:rFonts w:eastAsia="宋体"/>
      <w:sz w:val="28"/>
      <w:szCs w:val="24"/>
      <w:lang w:val="en-US" w:eastAsia="zh-CN" w:bidi="ar-SA"/>
    </w:rPr>
  </w:style>
  <w:style w:type="character" w:customStyle="1" w:styleId="272">
    <w:name w:val="标题 7 字符"/>
    <w:link w:val="9"/>
    <w:qFormat/>
    <w:uiPriority w:val="0"/>
    <w:rPr>
      <w:rFonts w:eastAsia="仿宋_GB2312"/>
      <w:sz w:val="30"/>
      <w:lang w:val="en-US" w:eastAsia="zh-CN" w:bidi="ar-SA"/>
    </w:rPr>
  </w:style>
  <w:style w:type="character" w:customStyle="1" w:styleId="273">
    <w:name w:val="Char Char13"/>
    <w:qFormat/>
    <w:uiPriority w:val="0"/>
    <w:rPr>
      <w:kern w:val="2"/>
      <w:sz w:val="18"/>
      <w:szCs w:val="18"/>
    </w:rPr>
  </w:style>
  <w:style w:type="character" w:customStyle="1" w:styleId="274">
    <w:name w:val="正文文本缩进 2 Char1"/>
    <w:qFormat/>
    <w:uiPriority w:val="0"/>
    <w:rPr>
      <w:sz w:val="28"/>
      <w:szCs w:val="24"/>
    </w:rPr>
  </w:style>
  <w:style w:type="character" w:customStyle="1" w:styleId="275">
    <w:name w:val="Char Char21"/>
    <w:qFormat/>
    <w:uiPriority w:val="0"/>
    <w:rPr>
      <w:rFonts w:ascii="宋体" w:hAnsi="宋体" w:cs="宋体"/>
      <w:b/>
      <w:bCs/>
      <w:sz w:val="24"/>
      <w:szCs w:val="24"/>
    </w:rPr>
  </w:style>
  <w:style w:type="character" w:customStyle="1" w:styleId="276">
    <w:name w:val="文档结构图 Char1"/>
    <w:qFormat/>
    <w:uiPriority w:val="0"/>
    <w:rPr>
      <w:rFonts w:ascii="宋体"/>
      <w:kern w:val="2"/>
      <w:sz w:val="18"/>
      <w:szCs w:val="18"/>
    </w:rPr>
  </w:style>
  <w:style w:type="character" w:customStyle="1" w:styleId="277">
    <w:name w:val="标题 Char"/>
    <w:qFormat/>
    <w:uiPriority w:val="0"/>
    <w:rPr>
      <w:rFonts w:ascii="Cambria" w:hAnsi="Cambria" w:eastAsia="宋体" w:cs="Times New Roman"/>
      <w:b/>
      <w:bCs/>
      <w:kern w:val="2"/>
      <w:sz w:val="32"/>
      <w:szCs w:val="32"/>
    </w:rPr>
  </w:style>
  <w:style w:type="character" w:customStyle="1" w:styleId="278">
    <w:name w:val="_Style 275"/>
    <w:qFormat/>
    <w:uiPriority w:val="0"/>
    <w:rPr>
      <w:smallCaps/>
      <w:color w:val="C0504D"/>
      <w:u w:val="single"/>
    </w:rPr>
  </w:style>
  <w:style w:type="character" w:customStyle="1" w:styleId="279">
    <w:name w:val="Char Char12"/>
    <w:qFormat/>
    <w:uiPriority w:val="0"/>
    <w:rPr>
      <w:rFonts w:eastAsia="黑体"/>
      <w:kern w:val="2"/>
      <w:sz w:val="44"/>
      <w:szCs w:val="44"/>
      <w:lang w:val="en-US" w:eastAsia="zh-CN" w:bidi="ar-SA"/>
    </w:rPr>
  </w:style>
  <w:style w:type="character" w:customStyle="1" w:styleId="280">
    <w:name w:val="明显参考1"/>
    <w:qFormat/>
    <w:uiPriority w:val="0"/>
    <w:rPr>
      <w:b/>
      <w:bCs/>
      <w:smallCaps/>
      <w:color w:val="C0504D"/>
      <w:spacing w:val="5"/>
      <w:u w:val="single"/>
    </w:rPr>
  </w:style>
  <w:style w:type="character" w:customStyle="1" w:styleId="281">
    <w:name w:val="Char Char36"/>
    <w:qFormat/>
    <w:uiPriority w:val="0"/>
    <w:rPr>
      <w:rFonts w:ascii="仿宋_GB2312" w:eastAsia="仿宋_GB2312" w:cs="MingLiU"/>
      <w:b/>
      <w:sz w:val="24"/>
      <w:szCs w:val="28"/>
    </w:rPr>
  </w:style>
  <w:style w:type="character" w:customStyle="1" w:styleId="282">
    <w:name w:val="批注框文本 Char2"/>
    <w:qFormat/>
    <w:uiPriority w:val="99"/>
    <w:rPr>
      <w:kern w:val="2"/>
      <w:sz w:val="18"/>
      <w:szCs w:val="18"/>
    </w:rPr>
  </w:style>
  <w:style w:type="character" w:customStyle="1" w:styleId="283">
    <w:name w:val="subhead1"/>
    <w:qFormat/>
    <w:uiPriority w:val="0"/>
    <w:rPr>
      <w:rFonts w:hint="default" w:ascii="Tahoma" w:hAnsi="Tahoma" w:cs="Tahoma"/>
      <w:color w:val="000000"/>
      <w:sz w:val="18"/>
      <w:szCs w:val="18"/>
      <w:u w:val="none"/>
      <w:shd w:val="clear" w:color="auto" w:fill="FFFFFF"/>
    </w:rPr>
  </w:style>
  <w:style w:type="character" w:customStyle="1" w:styleId="284">
    <w:name w:val="正文文本缩进 3 Char2"/>
    <w:semiHidden/>
    <w:qFormat/>
    <w:uiPriority w:val="99"/>
    <w:rPr>
      <w:rFonts w:ascii="Calibri" w:hAnsi="Calibri" w:eastAsia="宋体" w:cs="Times New Roman"/>
      <w:sz w:val="16"/>
      <w:szCs w:val="16"/>
    </w:rPr>
  </w:style>
  <w:style w:type="character" w:customStyle="1" w:styleId="285">
    <w:name w:val="纯文本 Char"/>
    <w:qFormat/>
    <w:uiPriority w:val="0"/>
    <w:rPr>
      <w:rFonts w:ascii="宋体" w:hAnsi="Courier New"/>
      <w:sz w:val="28"/>
      <w:szCs w:val="28"/>
    </w:rPr>
  </w:style>
  <w:style w:type="character" w:customStyle="1" w:styleId="286">
    <w:name w:val="纯文本 Char2"/>
    <w:semiHidden/>
    <w:qFormat/>
    <w:uiPriority w:val="99"/>
    <w:rPr>
      <w:rFonts w:ascii="宋体" w:hAnsi="Courier New" w:eastAsia="宋体" w:cs="Courier New"/>
      <w:szCs w:val="21"/>
    </w:rPr>
  </w:style>
  <w:style w:type="character" w:customStyle="1" w:styleId="287">
    <w:name w:val="页眉 Char1"/>
    <w:semiHidden/>
    <w:qFormat/>
    <w:uiPriority w:val="99"/>
    <w:rPr>
      <w:kern w:val="2"/>
      <w:sz w:val="18"/>
      <w:szCs w:val="18"/>
    </w:rPr>
  </w:style>
  <w:style w:type="character" w:customStyle="1" w:styleId="288">
    <w:name w:val="Char Char14"/>
    <w:qFormat/>
    <w:uiPriority w:val="0"/>
    <w:rPr>
      <w:kern w:val="2"/>
      <w:sz w:val="18"/>
      <w:szCs w:val="18"/>
    </w:rPr>
  </w:style>
  <w:style w:type="character" w:customStyle="1" w:styleId="289">
    <w:name w:val="批注文字 字符"/>
    <w:link w:val="15"/>
    <w:qFormat/>
    <w:uiPriority w:val="99"/>
    <w:rPr>
      <w:rFonts w:eastAsia="宋体"/>
      <w:kern w:val="2"/>
      <w:sz w:val="21"/>
      <w:szCs w:val="24"/>
      <w:lang w:val="en-US" w:eastAsia="zh-CN" w:bidi="ar-SA"/>
    </w:rPr>
  </w:style>
  <w:style w:type="character" w:customStyle="1" w:styleId="290">
    <w:name w:val="批注文字 Char Char"/>
    <w:qFormat/>
    <w:uiPriority w:val="0"/>
    <w:rPr>
      <w:rFonts w:ascii="宋体" w:hAnsi="Times New Roman" w:eastAsia="宋体" w:cs="Times New Roman"/>
      <w:sz w:val="28"/>
      <w:szCs w:val="20"/>
    </w:rPr>
  </w:style>
  <w:style w:type="character" w:customStyle="1" w:styleId="291">
    <w:name w:val="标题 1 Char1"/>
    <w:qFormat/>
    <w:uiPriority w:val="0"/>
    <w:rPr>
      <w:rFonts w:ascii="Times New Roman" w:hAnsi="Times New Roman" w:eastAsia="宋体" w:cs="Times New Roman"/>
      <w:b/>
      <w:bCs/>
      <w:kern w:val="44"/>
      <w:sz w:val="44"/>
      <w:szCs w:val="44"/>
    </w:rPr>
  </w:style>
  <w:style w:type="character" w:customStyle="1" w:styleId="292">
    <w:name w:val="标题 5 字符"/>
    <w:link w:val="6"/>
    <w:qFormat/>
    <w:uiPriority w:val="0"/>
    <w:rPr>
      <w:rFonts w:ascii="宋体" w:hAnsi="宋体" w:eastAsia="宋体" w:cs="宋体"/>
      <w:b/>
      <w:bCs/>
      <w:lang w:val="en-US" w:eastAsia="zh-CN" w:bidi="ar-SA"/>
    </w:rPr>
  </w:style>
  <w:style w:type="character" w:customStyle="1" w:styleId="293">
    <w:name w:val="手改 Char Char"/>
    <w:qFormat/>
    <w:uiPriority w:val="0"/>
    <w:rPr>
      <w:kern w:val="2"/>
      <w:sz w:val="21"/>
      <w:szCs w:val="24"/>
    </w:rPr>
  </w:style>
  <w:style w:type="character" w:customStyle="1" w:styleId="294">
    <w:name w:val="intel3"/>
    <w:basedOn w:val="47"/>
    <w:qFormat/>
    <w:uiPriority w:val="0"/>
  </w:style>
  <w:style w:type="character" w:customStyle="1" w:styleId="295">
    <w:name w:val="副标题 Char2"/>
    <w:qFormat/>
    <w:uiPriority w:val="11"/>
    <w:rPr>
      <w:rFonts w:ascii="Cambria" w:hAnsi="Cambria" w:eastAsia="宋体" w:cs="Times New Roman"/>
      <w:b/>
      <w:bCs/>
      <w:kern w:val="28"/>
      <w:sz w:val="32"/>
      <w:szCs w:val="32"/>
    </w:rPr>
  </w:style>
  <w:style w:type="character" w:customStyle="1" w:styleId="296">
    <w:name w:val="明显引用 Char4"/>
    <w:link w:val="118"/>
    <w:qFormat/>
    <w:uiPriority w:val="0"/>
    <w:rPr>
      <w:b/>
      <w:bCs/>
      <w:i/>
      <w:iCs/>
      <w:color w:val="4F81BD"/>
      <w:kern w:val="2"/>
      <w:sz w:val="21"/>
      <w:szCs w:val="22"/>
      <w:lang w:bidi="ar-SA"/>
    </w:rPr>
  </w:style>
  <w:style w:type="character" w:customStyle="1" w:styleId="297">
    <w:name w:val="明显引用 Char1"/>
    <w:link w:val="111"/>
    <w:qFormat/>
    <w:uiPriority w:val="30"/>
    <w:rPr>
      <w:b/>
      <w:bCs/>
      <w:i/>
      <w:iCs/>
      <w:color w:val="4F81BD"/>
      <w:kern w:val="2"/>
      <w:sz w:val="21"/>
    </w:rPr>
  </w:style>
  <w:style w:type="character" w:customStyle="1" w:styleId="298">
    <w:name w:val="HTML 预设格式 Char1"/>
    <w:qFormat/>
    <w:uiPriority w:val="0"/>
    <w:rPr>
      <w:rFonts w:ascii="宋体" w:hAnsi="宋体" w:cs="宋体"/>
      <w:color w:val="000000"/>
      <w:sz w:val="24"/>
      <w:szCs w:val="24"/>
    </w:rPr>
  </w:style>
  <w:style w:type="character" w:customStyle="1" w:styleId="299">
    <w:name w:val="引用 Char"/>
    <w:link w:val="69"/>
    <w:qFormat/>
    <w:uiPriority w:val="0"/>
    <w:rPr>
      <w:rFonts w:ascii="Times New Roman" w:hAnsi="Times New Roman" w:eastAsia="宋体" w:cs="Times New Roman"/>
      <w:i/>
      <w:iCs/>
      <w:color w:val="000000"/>
      <w:kern w:val="2"/>
      <w:sz w:val="21"/>
      <w:szCs w:val="24"/>
    </w:rPr>
  </w:style>
  <w:style w:type="character" w:customStyle="1" w:styleId="300">
    <w:name w:val="副标题 字符"/>
    <w:link w:val="33"/>
    <w:qFormat/>
    <w:uiPriority w:val="0"/>
    <w:rPr>
      <w:rFonts w:eastAsia="宋体"/>
      <w:szCs w:val="24"/>
      <w:u w:val="single"/>
      <w:lang w:val="en-US" w:eastAsia="en-US" w:bidi="ar-SA"/>
    </w:rPr>
  </w:style>
  <w:style w:type="character" w:customStyle="1" w:styleId="301">
    <w:name w:val="ITTHEADER1 Char"/>
    <w:qFormat/>
    <w:uiPriority w:val="0"/>
    <w:rPr>
      <w:rFonts w:eastAsia="黑体"/>
      <w:kern w:val="2"/>
      <w:sz w:val="44"/>
      <w:szCs w:val="44"/>
      <w:lang w:val="en-US" w:eastAsia="zh-CN" w:bidi="ar-SA"/>
    </w:rPr>
  </w:style>
  <w:style w:type="character" w:customStyle="1" w:styleId="302">
    <w:name w:val="日期 Char3"/>
    <w:semiHidden/>
    <w:qFormat/>
    <w:uiPriority w:val="99"/>
    <w:rPr>
      <w:rFonts w:ascii="Calibri" w:hAnsi="Calibri" w:eastAsia="宋体" w:cs="Times New Roman"/>
      <w:szCs w:val="24"/>
    </w:rPr>
  </w:style>
  <w:style w:type="character" w:customStyle="1" w:styleId="303">
    <w:name w:val="纯文本 字符"/>
    <w:link w:val="23"/>
    <w:qFormat/>
    <w:uiPriority w:val="0"/>
    <w:rPr>
      <w:rFonts w:ascii="宋体" w:hAnsi="Courier New" w:eastAsia="宋体" w:cs="Courier New"/>
      <w:kern w:val="2"/>
      <w:sz w:val="21"/>
      <w:szCs w:val="21"/>
      <w:lang w:val="en-US" w:eastAsia="zh-CN" w:bidi="ar-SA"/>
    </w:rPr>
  </w:style>
  <w:style w:type="character" w:customStyle="1" w:styleId="304">
    <w:name w:val="批注文字 Char"/>
    <w:qFormat/>
    <w:uiPriority w:val="0"/>
    <w:rPr>
      <w:rFonts w:ascii="Times New Roman" w:hAnsi="Times New Roman" w:eastAsia="宋体" w:cs="Times New Roman"/>
      <w:kern w:val="2"/>
      <w:sz w:val="21"/>
      <w:szCs w:val="24"/>
    </w:rPr>
  </w:style>
  <w:style w:type="character" w:customStyle="1" w:styleId="305">
    <w:name w:val="Section Char"/>
    <w:qFormat/>
    <w:uiPriority w:val="0"/>
    <w:rPr>
      <w:rFonts w:ascii="仿宋_GB2312" w:eastAsia="仿宋_GB2312" w:cs="MingLiU"/>
      <w:b/>
      <w:sz w:val="24"/>
      <w:szCs w:val="28"/>
      <w:lang w:val="en-US" w:eastAsia="zh-CN" w:bidi="ar-SA"/>
    </w:rPr>
  </w:style>
  <w:style w:type="character" w:customStyle="1" w:styleId="306">
    <w:name w:val="正文文本 3 Char2"/>
    <w:semiHidden/>
    <w:qFormat/>
    <w:uiPriority w:val="99"/>
    <w:rPr>
      <w:rFonts w:ascii="Calibri" w:hAnsi="Calibri" w:eastAsia="宋体" w:cs="Times New Roman"/>
      <w:sz w:val="16"/>
      <w:szCs w:val="16"/>
    </w:rPr>
  </w:style>
  <w:style w:type="character" w:customStyle="1" w:styleId="307">
    <w:name w:val="正文文本 3 字符"/>
    <w:link w:val="16"/>
    <w:qFormat/>
    <w:uiPriority w:val="0"/>
    <w:rPr>
      <w:rFonts w:eastAsia="宋体"/>
      <w:kern w:val="2"/>
      <w:sz w:val="16"/>
      <w:szCs w:val="16"/>
      <w:lang w:val="en-US" w:eastAsia="zh-CN" w:bidi="ar-SA"/>
    </w:rPr>
  </w:style>
  <w:style w:type="character" w:customStyle="1" w:styleId="308">
    <w:name w:val="普通文字 Char Char1"/>
    <w:qFormat/>
    <w:uiPriority w:val="0"/>
    <w:rPr>
      <w:rFonts w:ascii="宋体" w:hAnsi="Courier New"/>
      <w:kern w:val="2"/>
      <w:sz w:val="28"/>
      <w:szCs w:val="28"/>
    </w:rPr>
  </w:style>
  <w:style w:type="character" w:customStyle="1" w:styleId="309">
    <w:name w:val="正文文本缩进 Char"/>
    <w:qFormat/>
    <w:uiPriority w:val="0"/>
    <w:rPr>
      <w:rFonts w:ascii="黑体" w:hAnsi="宋体" w:eastAsia="黑体"/>
      <w:color w:val="000000"/>
      <w:sz w:val="28"/>
      <w:szCs w:val="32"/>
    </w:rPr>
  </w:style>
  <w:style w:type="character" w:customStyle="1" w:styleId="310">
    <w:name w:val="font161"/>
    <w:qFormat/>
    <w:uiPriority w:val="0"/>
    <w:rPr>
      <w:b/>
      <w:bCs/>
      <w:sz w:val="32"/>
      <w:szCs w:val="32"/>
    </w:rPr>
  </w:style>
  <w:style w:type="paragraph" w:customStyle="1" w:styleId="311">
    <w:name w:val="List Paragraph"/>
    <w:basedOn w:val="1"/>
    <w:qFormat/>
    <w:uiPriority w:val="99"/>
    <w:pPr>
      <w:ind w:firstLine="420" w:firstLineChars="200"/>
    </w:pPr>
    <w:rPr>
      <w:sz w:val="28"/>
      <w:szCs w:val="28"/>
    </w:rPr>
  </w:style>
  <w:style w:type="paragraph" w:customStyle="1" w:styleId="312">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313">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93</Pages>
  <Words>42790</Words>
  <Characters>44704</Characters>
  <Lines>1335</Lines>
  <Paragraphs>376</Paragraphs>
  <TotalTime>7</TotalTime>
  <ScaleCrop>false</ScaleCrop>
  <LinksUpToDate>false</LinksUpToDate>
  <CharactersWithSpaces>49373</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2021-12-17T11:12:00Z</dcterms:created>
  <dc:creator>USER</dc:creator>
  <cp:lastModifiedBy>Administrator</cp:lastModifiedBy>
  <cp:lastPrinted>2020-08-27T03:13:00Z</cp:lastPrinted>
  <dcterms:modified xsi:type="dcterms:W3CDTF">2025-05-13T07:41:45Z</dcterms:modified>
  <dc:title>第一卷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84FBAF914D924136A5C7430FA2FFCE44</vt:lpwstr>
  </property>
  <property fmtid="{D5CDD505-2E9C-101B-9397-08002B2CF9AE}" pid="4" name="KSOTemplateDocerSaveRecord">
    <vt:lpwstr>eyJoZGlkIjoiOTE5Y2QzNjZlNTYzNGM0ZmRhYmY3Y2ZmMDE1ZTYyNGQiLCJ1c2VySWQiOiIxMjA2NzY4ODg3In0=</vt:lpwstr>
  </property>
</Properties>
</file>