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E305C">
      <w:pPr>
        <w:keepNext w:val="0"/>
        <w:keepLines w:val="0"/>
        <w:pageBreakBefore w:val="0"/>
        <w:widowControl w:val="0"/>
        <w:kinsoku/>
        <w:wordWrap w:val="0"/>
        <w:overflowPunct/>
        <w:topLinePunct w:val="0"/>
        <w:autoSpaceDE/>
        <w:autoSpaceDN/>
        <w:bidi w:val="0"/>
        <w:spacing w:line="660" w:lineRule="exact"/>
        <w:ind w:left="1606" w:leftChars="0" w:hanging="1606" w:hangingChars="500"/>
        <w:jc w:val="left"/>
        <w:textAlignment w:val="auto"/>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项目名称：</w:t>
      </w:r>
      <w:r>
        <w:rPr>
          <w:rFonts w:hint="eastAsia" w:ascii="宋体" w:hAnsi="宋体" w:cs="宋体"/>
          <w:b/>
          <w:color w:val="auto"/>
          <w:kern w:val="2"/>
          <w:sz w:val="32"/>
          <w:szCs w:val="32"/>
          <w:highlight w:val="none"/>
          <w:lang w:val="en-US" w:eastAsia="zh-CN" w:bidi="ar-SA"/>
        </w:rPr>
        <w:t>成渝高速公路复线工程宝兴镇等4个镇临时用地土地复垦工程</w:t>
      </w:r>
    </w:p>
    <w:p w14:paraId="04FA82F1">
      <w:pPr>
        <w:rPr>
          <w:rFonts w:hint="eastAsia" w:ascii="宋体" w:hAnsi="宋体" w:eastAsia="宋体" w:cs="宋体"/>
          <w:color w:val="auto"/>
          <w:sz w:val="32"/>
          <w:szCs w:val="32"/>
          <w:highlight w:val="none"/>
        </w:rPr>
      </w:pPr>
    </w:p>
    <w:p w14:paraId="7E2A8524">
      <w:pPr>
        <w:rPr>
          <w:rFonts w:hint="eastAsia" w:ascii="宋体" w:hAnsi="宋体" w:eastAsia="宋体" w:cs="宋体"/>
          <w:color w:val="auto"/>
          <w:sz w:val="32"/>
          <w:szCs w:val="32"/>
          <w:highlight w:val="none"/>
        </w:rPr>
      </w:pPr>
    </w:p>
    <w:p w14:paraId="6F53DCD2">
      <w:pPr>
        <w:pStyle w:val="3"/>
        <w:rPr>
          <w:rFonts w:hint="eastAsia" w:ascii="宋体" w:hAnsi="宋体" w:eastAsia="宋体" w:cs="宋体"/>
          <w:color w:val="auto"/>
          <w:sz w:val="32"/>
          <w:szCs w:val="32"/>
          <w:highlight w:val="none"/>
        </w:rPr>
      </w:pPr>
    </w:p>
    <w:p w14:paraId="4BB4DC09">
      <w:pPr>
        <w:rPr>
          <w:rFonts w:hint="eastAsia" w:ascii="宋体" w:hAnsi="宋体" w:eastAsia="宋体" w:cs="宋体"/>
          <w:color w:val="auto"/>
          <w:sz w:val="32"/>
          <w:szCs w:val="32"/>
          <w:highlight w:val="none"/>
        </w:rPr>
      </w:pPr>
      <w:bookmarkStart w:id="0" w:name="_Toc109721475"/>
      <w:bookmarkStart w:id="1" w:name="_Toc17688"/>
      <w:bookmarkStart w:id="2" w:name="_Toc110000690"/>
      <w:bookmarkStart w:id="3" w:name="_Toc110328768"/>
      <w:bookmarkStart w:id="4" w:name="_Toc110443976"/>
    </w:p>
    <w:p w14:paraId="0CF0DF64">
      <w:pPr>
        <w:pStyle w:val="3"/>
        <w:rPr>
          <w:rFonts w:hint="eastAsia" w:ascii="宋体" w:hAnsi="宋体" w:eastAsia="宋体" w:cs="宋体"/>
          <w:color w:val="auto"/>
          <w:sz w:val="32"/>
          <w:szCs w:val="32"/>
          <w:highlight w:val="none"/>
        </w:rPr>
      </w:pPr>
    </w:p>
    <w:p w14:paraId="0A6EBEA9">
      <w:pPr>
        <w:rPr>
          <w:rFonts w:hint="eastAsia" w:ascii="宋体" w:hAnsi="宋体" w:eastAsia="宋体" w:cs="宋体"/>
          <w:color w:val="auto"/>
          <w:sz w:val="32"/>
          <w:szCs w:val="32"/>
          <w:highlight w:val="none"/>
        </w:rPr>
      </w:pPr>
    </w:p>
    <w:p w14:paraId="4F8911B4">
      <w:pPr>
        <w:pStyle w:val="3"/>
        <w:rPr>
          <w:rFonts w:hint="eastAsia" w:ascii="宋体" w:hAnsi="宋体" w:eastAsia="宋体" w:cs="宋体"/>
          <w:color w:val="auto"/>
          <w:sz w:val="32"/>
          <w:szCs w:val="32"/>
          <w:highlight w:val="none"/>
        </w:rPr>
      </w:pPr>
    </w:p>
    <w:p w14:paraId="69ACC744">
      <w:pPr>
        <w:pStyle w:val="74"/>
        <w:rPr>
          <w:rFonts w:hint="eastAsia" w:ascii="宋体" w:hAnsi="宋体" w:eastAsia="宋体" w:cs="宋体"/>
          <w:color w:val="auto"/>
          <w:sz w:val="32"/>
          <w:szCs w:val="32"/>
          <w:highlight w:val="none"/>
        </w:rPr>
      </w:pPr>
    </w:p>
    <w:p w14:paraId="6EC1E6D8">
      <w:pPr>
        <w:pStyle w:val="3"/>
        <w:rPr>
          <w:rFonts w:hint="eastAsia" w:ascii="宋体" w:hAnsi="宋体" w:eastAsia="宋体" w:cs="宋体"/>
          <w:color w:val="auto"/>
          <w:sz w:val="40"/>
          <w:szCs w:val="40"/>
          <w:highlight w:val="none"/>
        </w:rPr>
      </w:pPr>
    </w:p>
    <w:p w14:paraId="1DC7E026">
      <w:pPr>
        <w:spacing w:line="240" w:lineRule="auto"/>
        <w:jc w:val="center"/>
        <w:outlineLvl w:val="0"/>
        <w:rPr>
          <w:rFonts w:hint="eastAsia" w:ascii="宋体" w:hAnsi="宋体" w:eastAsia="宋体" w:cs="宋体"/>
          <w:b/>
          <w:bCs/>
          <w:color w:val="auto"/>
          <w:spacing w:val="0"/>
          <w:w w:val="90"/>
          <w:sz w:val="60"/>
          <w:szCs w:val="60"/>
          <w:highlight w:val="none"/>
          <w:lang w:eastAsia="zh-CN"/>
        </w:rPr>
      </w:pPr>
      <w:bookmarkStart w:id="5" w:name="_Toc18063"/>
      <w:bookmarkStart w:id="6" w:name="_Toc16443"/>
      <w:r>
        <w:rPr>
          <w:rFonts w:hint="eastAsia" w:ascii="宋体" w:hAnsi="宋体" w:eastAsia="宋体" w:cs="宋体"/>
          <w:b/>
          <w:bCs/>
          <w:color w:val="auto"/>
          <w:spacing w:val="0"/>
          <w:w w:val="90"/>
          <w:sz w:val="60"/>
          <w:szCs w:val="60"/>
          <w:highlight w:val="none"/>
          <w:lang w:eastAsia="zh-CN"/>
        </w:rPr>
        <w:t>竞</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争</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性</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比</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选</w:t>
      </w:r>
    </w:p>
    <w:p w14:paraId="0052F6A4">
      <w:pPr>
        <w:spacing w:line="240" w:lineRule="auto"/>
        <w:jc w:val="center"/>
        <w:outlineLvl w:val="0"/>
        <w:rPr>
          <w:rFonts w:hint="eastAsia" w:ascii="宋体" w:hAnsi="宋体" w:eastAsia="宋体" w:cs="宋体"/>
          <w:b/>
          <w:bCs/>
          <w:color w:val="auto"/>
          <w:spacing w:val="0"/>
          <w:w w:val="90"/>
          <w:sz w:val="60"/>
          <w:szCs w:val="60"/>
          <w:highlight w:val="none"/>
        </w:rPr>
      </w:pPr>
      <w:r>
        <w:rPr>
          <w:rFonts w:hint="eastAsia" w:ascii="宋体" w:hAnsi="宋体" w:eastAsia="宋体" w:cs="宋体"/>
          <w:b/>
          <w:bCs/>
          <w:color w:val="auto"/>
          <w:spacing w:val="0"/>
          <w:w w:val="90"/>
          <w:sz w:val="60"/>
          <w:szCs w:val="60"/>
          <w:highlight w:val="none"/>
        </w:rPr>
        <w:t>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购</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件</w:t>
      </w:r>
      <w:bookmarkEnd w:id="0"/>
      <w:bookmarkEnd w:id="1"/>
      <w:bookmarkEnd w:id="2"/>
      <w:bookmarkEnd w:id="3"/>
      <w:bookmarkEnd w:id="4"/>
      <w:bookmarkEnd w:id="5"/>
      <w:bookmarkEnd w:id="6"/>
    </w:p>
    <w:p w14:paraId="672563FD">
      <w:pPr>
        <w:keepNext w:val="0"/>
        <w:keepLines w:val="0"/>
        <w:pageBreakBefore w:val="0"/>
        <w:widowControl w:val="0"/>
        <w:kinsoku/>
        <w:wordWrap w:val="0"/>
        <w:overflowPunct/>
        <w:topLinePunct w:val="0"/>
        <w:autoSpaceDE/>
        <w:autoSpaceDN/>
        <w:bidi w:val="0"/>
        <w:spacing w:line="660" w:lineRule="exact"/>
        <w:jc w:val="both"/>
        <w:textAlignment w:val="auto"/>
        <w:outlineLvl w:val="0"/>
        <w:rPr>
          <w:rFonts w:hint="eastAsia" w:ascii="宋体" w:hAnsi="宋体" w:eastAsia="宋体" w:cs="宋体"/>
          <w:b/>
          <w:color w:val="auto"/>
          <w:kern w:val="2"/>
          <w:sz w:val="32"/>
          <w:szCs w:val="32"/>
          <w:highlight w:val="none"/>
          <w:lang w:val="en-US" w:eastAsia="zh-CN" w:bidi="ar-SA"/>
        </w:rPr>
      </w:pPr>
    </w:p>
    <w:p w14:paraId="2645189E">
      <w:pPr>
        <w:keepNext w:val="0"/>
        <w:keepLines w:val="0"/>
        <w:pageBreakBefore w:val="0"/>
        <w:widowControl w:val="0"/>
        <w:kinsoku/>
        <w:wordWrap w:val="0"/>
        <w:overflowPunct/>
        <w:topLinePunct w:val="0"/>
        <w:autoSpaceDE/>
        <w:autoSpaceDN/>
        <w:bidi w:val="0"/>
        <w:spacing w:line="660" w:lineRule="exact"/>
        <w:jc w:val="center"/>
        <w:textAlignment w:val="auto"/>
        <w:outlineLvl w:val="0"/>
        <w:rPr>
          <w:rFonts w:hint="default" w:ascii="宋体" w:hAnsi="宋体" w:eastAsia="宋体" w:cs="宋体"/>
          <w:b/>
          <w:color w:val="auto"/>
          <w:kern w:val="2"/>
          <w:sz w:val="28"/>
          <w:szCs w:val="28"/>
          <w:highlight w:val="none"/>
          <w:u w:val="single"/>
          <w:lang w:val="en-US" w:eastAsia="zh-CN" w:bidi="ar-SA"/>
        </w:rPr>
      </w:pPr>
      <w:r>
        <w:rPr>
          <w:rFonts w:hint="eastAsia" w:ascii="宋体" w:hAnsi="宋体" w:eastAsia="宋体" w:cs="宋体"/>
          <w:b/>
          <w:color w:val="auto"/>
          <w:kern w:val="2"/>
          <w:sz w:val="28"/>
          <w:szCs w:val="28"/>
          <w:highlight w:val="none"/>
          <w:lang w:val="en-US" w:eastAsia="zh-CN" w:bidi="ar-SA"/>
        </w:rPr>
        <w:t>项目编号：</w:t>
      </w:r>
      <w:r>
        <w:rPr>
          <w:rFonts w:hint="eastAsia" w:ascii="宋体" w:hAnsi="宋体" w:cs="宋体"/>
          <w:b/>
          <w:color w:val="auto"/>
          <w:kern w:val="2"/>
          <w:sz w:val="28"/>
          <w:szCs w:val="28"/>
          <w:highlight w:val="none"/>
          <w:lang w:val="en-US" w:eastAsia="zh-CN" w:bidi="ar-SA"/>
        </w:rPr>
        <w:t>百业咨基字【2026】第039号</w:t>
      </w:r>
    </w:p>
    <w:p w14:paraId="4F606B81">
      <w:pPr>
        <w:pStyle w:val="3"/>
        <w:rPr>
          <w:rFonts w:hint="eastAsia" w:ascii="宋体" w:hAnsi="宋体" w:eastAsia="宋体" w:cs="宋体"/>
          <w:color w:val="auto"/>
          <w:sz w:val="32"/>
          <w:szCs w:val="32"/>
          <w:highlight w:val="none"/>
        </w:rPr>
      </w:pPr>
    </w:p>
    <w:p w14:paraId="1EA4E557">
      <w:pPr>
        <w:rPr>
          <w:rFonts w:hint="eastAsia" w:ascii="宋体" w:hAnsi="宋体" w:eastAsia="宋体" w:cs="宋体"/>
          <w:color w:val="auto"/>
          <w:sz w:val="32"/>
          <w:szCs w:val="32"/>
          <w:highlight w:val="none"/>
        </w:rPr>
      </w:pPr>
    </w:p>
    <w:p w14:paraId="6F6EA0D8">
      <w:pPr>
        <w:pStyle w:val="3"/>
        <w:rPr>
          <w:rFonts w:hint="eastAsia" w:ascii="宋体" w:hAnsi="宋体" w:eastAsia="宋体" w:cs="宋体"/>
          <w:color w:val="auto"/>
          <w:sz w:val="32"/>
          <w:szCs w:val="32"/>
          <w:highlight w:val="none"/>
        </w:rPr>
      </w:pPr>
    </w:p>
    <w:p w14:paraId="2E323921">
      <w:pPr>
        <w:rPr>
          <w:rFonts w:hint="eastAsia" w:ascii="宋体" w:hAnsi="宋体" w:eastAsia="宋体" w:cs="宋体"/>
          <w:color w:val="auto"/>
          <w:sz w:val="32"/>
          <w:szCs w:val="32"/>
          <w:highlight w:val="none"/>
        </w:rPr>
      </w:pPr>
    </w:p>
    <w:p w14:paraId="66DA00C9">
      <w:pPr>
        <w:pStyle w:val="3"/>
        <w:rPr>
          <w:rFonts w:hint="eastAsia" w:ascii="宋体" w:hAnsi="宋体" w:eastAsia="宋体" w:cs="宋体"/>
          <w:color w:val="auto"/>
          <w:sz w:val="32"/>
          <w:szCs w:val="32"/>
          <w:highlight w:val="none"/>
        </w:rPr>
      </w:pPr>
    </w:p>
    <w:p w14:paraId="01FA80D9">
      <w:pPr>
        <w:pStyle w:val="74"/>
        <w:rPr>
          <w:rFonts w:hint="eastAsia" w:ascii="宋体" w:hAnsi="宋体" w:eastAsia="宋体" w:cs="宋体"/>
          <w:color w:val="auto"/>
          <w:sz w:val="32"/>
          <w:szCs w:val="32"/>
          <w:highlight w:val="none"/>
        </w:rPr>
      </w:pPr>
    </w:p>
    <w:p w14:paraId="14C6D12C">
      <w:pPr>
        <w:pStyle w:val="3"/>
        <w:rPr>
          <w:rFonts w:hint="eastAsia" w:ascii="宋体" w:hAnsi="宋体" w:eastAsia="宋体" w:cs="宋体"/>
          <w:color w:val="auto"/>
          <w:sz w:val="32"/>
          <w:szCs w:val="32"/>
          <w:highlight w:val="none"/>
        </w:rPr>
      </w:pPr>
    </w:p>
    <w:p w14:paraId="04483D17">
      <w:pPr>
        <w:pStyle w:val="2"/>
        <w:rPr>
          <w:rFonts w:hint="eastAsia" w:ascii="宋体" w:hAnsi="宋体" w:eastAsia="宋体" w:cs="宋体"/>
          <w:color w:val="auto"/>
          <w:sz w:val="32"/>
          <w:szCs w:val="32"/>
          <w:highlight w:val="none"/>
        </w:rPr>
      </w:pPr>
    </w:p>
    <w:p w14:paraId="45CC2C90">
      <w:pPr>
        <w:pStyle w:val="2"/>
        <w:rPr>
          <w:rFonts w:hint="eastAsia" w:ascii="宋体" w:hAnsi="宋体" w:eastAsia="宋体" w:cs="宋体"/>
          <w:color w:val="auto"/>
          <w:sz w:val="32"/>
          <w:szCs w:val="32"/>
          <w:highlight w:val="none"/>
        </w:rPr>
      </w:pPr>
    </w:p>
    <w:p w14:paraId="03A134C8">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采   购  人：</w:t>
      </w:r>
      <w:r>
        <w:rPr>
          <w:rFonts w:hint="eastAsia" w:ascii="宋体" w:hAnsi="宋体" w:cs="宋体"/>
          <w:b/>
          <w:color w:val="auto"/>
          <w:kern w:val="2"/>
          <w:sz w:val="32"/>
          <w:szCs w:val="32"/>
          <w:highlight w:val="none"/>
          <w:lang w:val="en-US" w:eastAsia="zh-CN" w:bidi="ar-SA"/>
        </w:rPr>
        <w:t>重庆市大足区交通运输委员会</w:t>
      </w:r>
    </w:p>
    <w:p w14:paraId="46AAD709">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代 理 机 构：</w:t>
      </w:r>
      <w:r>
        <w:rPr>
          <w:rFonts w:hint="eastAsia" w:ascii="宋体" w:hAnsi="宋体" w:cs="宋体"/>
          <w:b/>
          <w:color w:val="auto"/>
          <w:kern w:val="2"/>
          <w:sz w:val="32"/>
          <w:szCs w:val="32"/>
          <w:highlight w:val="none"/>
          <w:lang w:val="en-US" w:eastAsia="zh-CN" w:bidi="ar-SA"/>
        </w:rPr>
        <w:t>重庆百业工程咨询有限公司</w:t>
      </w:r>
    </w:p>
    <w:p w14:paraId="5309D319">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rPr>
          <w:rFonts w:hint="eastAsia" w:ascii="宋体" w:hAnsi="宋体" w:eastAsia="宋体" w:cs="宋体"/>
          <w:b/>
          <w:color w:val="auto"/>
          <w:kern w:val="2"/>
          <w:sz w:val="32"/>
          <w:szCs w:val="32"/>
          <w:highlight w:val="none"/>
          <w:lang w:val="en-US" w:eastAsia="zh-CN" w:bidi="ar-SA"/>
        </w:rPr>
        <w:sectPr>
          <w:head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b/>
          <w:color w:val="auto"/>
          <w:kern w:val="2"/>
          <w:sz w:val="32"/>
          <w:szCs w:val="32"/>
          <w:highlight w:val="none"/>
          <w:lang w:val="en-US" w:eastAsia="zh-CN" w:bidi="ar-SA"/>
        </w:rPr>
        <w:t>编 制 时 间：</w:t>
      </w:r>
      <w:r>
        <w:rPr>
          <w:rFonts w:hint="eastAsia" w:ascii="宋体" w:hAnsi="宋体" w:cs="宋体"/>
          <w:b/>
          <w:color w:val="auto"/>
          <w:kern w:val="2"/>
          <w:sz w:val="32"/>
          <w:szCs w:val="32"/>
          <w:highlight w:val="none"/>
          <w:lang w:val="en-US" w:eastAsia="zh-CN" w:bidi="ar-SA"/>
        </w:rPr>
        <w:t>2026</w:t>
      </w:r>
      <w:r>
        <w:rPr>
          <w:rFonts w:hint="eastAsia" w:ascii="宋体" w:hAnsi="宋体" w:eastAsia="宋体" w:cs="宋体"/>
          <w:b/>
          <w:color w:val="auto"/>
          <w:kern w:val="2"/>
          <w:sz w:val="32"/>
          <w:szCs w:val="32"/>
          <w:highlight w:val="none"/>
          <w:lang w:val="en-US" w:eastAsia="zh-CN" w:bidi="ar-SA"/>
        </w:rPr>
        <w:t>年</w:t>
      </w:r>
      <w:r>
        <w:rPr>
          <w:rFonts w:hint="eastAsia" w:ascii="宋体" w:hAnsi="宋体" w:cs="宋体"/>
          <w:b/>
          <w:color w:val="auto"/>
          <w:kern w:val="2"/>
          <w:sz w:val="32"/>
          <w:szCs w:val="32"/>
          <w:highlight w:val="none"/>
          <w:lang w:val="en-US" w:eastAsia="zh-CN" w:bidi="ar-SA"/>
        </w:rPr>
        <w:t>6</w:t>
      </w:r>
      <w:r>
        <w:rPr>
          <w:rFonts w:hint="eastAsia" w:ascii="宋体" w:hAnsi="宋体" w:eastAsia="宋体" w:cs="宋体"/>
          <w:b/>
          <w:color w:val="auto"/>
          <w:kern w:val="2"/>
          <w:sz w:val="32"/>
          <w:szCs w:val="32"/>
          <w:highlight w:val="none"/>
          <w:lang w:val="en-US" w:eastAsia="zh-CN" w:bidi="ar-SA"/>
        </w:rPr>
        <w:t>月</w:t>
      </w:r>
    </w:p>
    <w:p w14:paraId="7B0B80C7">
      <w:pPr>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目   录</w:t>
      </w:r>
    </w:p>
    <w:p w14:paraId="2A683119">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_Toc5157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第一篇  </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_Toc5157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E57F7FD">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一、比选内容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7AA5CAD">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_Toc19020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二、供应商的资格条件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_Toc19020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4598D19">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_Toc5779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三、比选的有关说明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_Toc5779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4813EE2">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_Toc29177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四、报名方式及投标程序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_Toc29177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790EACC">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_Toc27911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五、其它有关规定</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_Toc27911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FADB196">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_Toc10829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六、联系方式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_Toc10829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A4849D4">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_Toc9370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第二篇  项目技术需求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_Toc9370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8FEE7F5">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_Toc9992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eastAsia="zh-CN"/>
        </w:rPr>
        <w:t>一览表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_Toc9992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264403D">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_Toc29868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_Toc29868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734693E">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_Toc21026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三、现场踏勘</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_Toc21026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926323C">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_Toc22286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四、安全要求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_Toc22286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157901B">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_Toc24341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五、质量要求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_Toc24341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7399B9F">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_Toc30347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第三篇  项目商务需求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_Toc30347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25B3A4F">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_Toc1462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一、工期、建设地点、验收方式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_Toc1462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6A41CE2">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_Toc27388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二、人员要求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_Toc27388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E9D1C2F">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_Toc2186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三、报价要求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3F10283">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_Toc30385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四、付款方式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_Toc30385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4E56657">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_Toc2803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结算原则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_Toc2803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DFE714C">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_Toc22650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六、知识产权</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_Toc22650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44EACF8">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_Toc7602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七、其他</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_Toc7602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AA7E29F">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_Toc7825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第四篇  </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程序、成交原则、无效</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及采购终止</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_Toc7825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194EFC4">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_Toc23696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一、比选程序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_Toc23696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8DA4BCA">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二、成交原则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C510BB0">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_Toc3624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三、无效比选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_Toc3624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2838C36">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_Toc20646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四、采购终止</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_Toc20646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B1E6C1A">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_Toc32554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第五篇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18510E1">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_Toc11799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一、比选费用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_Toc11799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6161B0E">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_Toc8025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二、采购文件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_Toc8025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0767C1D">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_Toc11415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三、竞争性比选要求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_Toc11415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14D2450">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_Toc897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四、成交供应商的确认和变更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_Toc897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274CC36">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_Toc17540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五、成交通知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_Toc17540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31CAF82">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_Toc11044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六、采购代理服务费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_Toc11044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21B87E9">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_Toc18807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、签订合同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_Toc18807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53F95CA">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_Toc19034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第六篇 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_Toc19034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02C6CE4">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_Toc31953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第一部分 合同协议书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_Toc31953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EA30C76">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_Toc11256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第二部分 通用合同条款</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_Toc11256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B886A27">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_Toc22795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第七篇  响应文件编制要求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_Toc22795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2620A80">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_Toc14253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、报价部分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_Toc14253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F313A63">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_Toc27108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、技术部分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_Toc27108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EFDE64F">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_Toc10716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、商务部分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_Toc10716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C504315">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_Toc25419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、资格条件及其他</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_Toc25419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E490818">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_Toc4969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、其他应提供的资料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_Toc4969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9FDBDDF">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_Toc21631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信息卡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_Toc21631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44C80C7">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_Toc10456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附件二：重庆百业工程咨询有限公司项目报名表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_Toc10456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3A21639">
      <w:pPr>
        <w:pStyle w:val="51"/>
        <w:tabs>
          <w:tab w:val="right" w:leader="dot" w:pos="9000"/>
        </w:tabs>
        <w:spacing w:line="360" w:lineRule="auto"/>
        <w:ind w:left="422" w:leftChars="65" w:hanging="240" w:hangingChars="100"/>
        <w:rPr>
          <w:rFonts w:hint="eastAsia" w:ascii="宋体" w:hAnsi="宋体" w:eastAsia="宋体" w:cs="宋体"/>
          <w:color w:val="auto"/>
          <w:sz w:val="24"/>
          <w:szCs w:val="24"/>
          <w:highlight w:val="none"/>
        </w:rPr>
        <w:sectPr>
          <w:headerReference r:id="rId5" w:type="first"/>
          <w:footerReference r:id="rId7" w:type="first"/>
          <w:headerReference r:id="rId4" w:type="default"/>
          <w:footerReference r:id="rId6" w:type="default"/>
          <w:pgSz w:w="11907" w:h="16840"/>
          <w:pgMar w:top="1134" w:right="1418" w:bottom="1134" w:left="1418" w:header="851" w:footer="992" w:gutter="0"/>
          <w:pgNumType w:fmt="decimal" w:start="1"/>
          <w:cols w:space="720" w:num="1"/>
          <w:titlePg/>
          <w:docGrid w:linePitch="381" w:charSpace="-5735"/>
        </w:sectPr>
      </w:pPr>
      <w:r>
        <w:rPr>
          <w:rFonts w:hint="eastAsia" w:ascii="宋体" w:hAnsi="宋体" w:eastAsia="宋体" w:cs="宋体"/>
          <w:color w:val="auto"/>
          <w:sz w:val="24"/>
          <w:szCs w:val="24"/>
          <w:highlight w:val="none"/>
        </w:rPr>
        <w:fldChar w:fldCharType="end"/>
      </w:r>
    </w:p>
    <w:p w14:paraId="45068F41">
      <w:pPr>
        <w:pStyle w:val="5"/>
        <w:bidi w:val="0"/>
        <w:jc w:val="center"/>
        <w:rPr>
          <w:rFonts w:hint="eastAsia" w:ascii="宋体" w:hAnsi="宋体" w:eastAsia="宋体" w:cs="宋体"/>
          <w:color w:val="auto"/>
          <w:sz w:val="24"/>
          <w:szCs w:val="24"/>
          <w:highlight w:val="none"/>
        </w:rPr>
      </w:pPr>
      <w:bookmarkStart w:id="7" w:name="_Toc12789052"/>
      <w:bookmarkStart w:id="8" w:name="_Toc11641050"/>
      <w:bookmarkStart w:id="9" w:name="_Toc5157"/>
      <w:r>
        <w:rPr>
          <w:rFonts w:hint="eastAsia" w:ascii="宋体" w:hAnsi="宋体" w:eastAsia="宋体" w:cs="宋体"/>
          <w:color w:val="auto"/>
          <w:sz w:val="24"/>
          <w:szCs w:val="24"/>
          <w:highlight w:val="none"/>
        </w:rPr>
        <w:t xml:space="preserve">第一篇  </w:t>
      </w:r>
      <w:bookmarkEnd w:id="7"/>
      <w:bookmarkEnd w:id="8"/>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公告</w:t>
      </w:r>
      <w:bookmarkEnd w:id="9"/>
    </w:p>
    <w:p w14:paraId="0E3E5F4E">
      <w:pPr>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重庆百业工程咨询有限公司</w:t>
      </w:r>
      <w:r>
        <w:rPr>
          <w:rFonts w:hint="eastAsia" w:ascii="宋体" w:hAnsi="宋体" w:eastAsia="宋体" w:cs="宋体"/>
          <w:color w:val="auto"/>
          <w:sz w:val="24"/>
          <w:szCs w:val="24"/>
          <w:highlight w:val="none"/>
        </w:rPr>
        <w:t>（以下简称：采购代理机构）受</w:t>
      </w:r>
      <w:r>
        <w:rPr>
          <w:rFonts w:hint="eastAsia" w:ascii="宋体" w:hAnsi="宋体" w:cs="宋体"/>
          <w:color w:val="auto"/>
          <w:sz w:val="24"/>
          <w:szCs w:val="24"/>
          <w:highlight w:val="none"/>
          <w:u w:val="single"/>
          <w:lang w:eastAsia="zh-CN"/>
        </w:rPr>
        <w:t>重庆市大足区交通运输委员会</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成渝高速公路复线工程宝兴镇等4个镇临时用地土地复垦工程</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。欢迎有资格的供应商前来参加。</w:t>
      </w:r>
    </w:p>
    <w:p w14:paraId="43B1E485">
      <w:pPr>
        <w:pStyle w:val="6"/>
        <w:bidi w:val="0"/>
        <w:spacing w:line="360" w:lineRule="auto"/>
        <w:rPr>
          <w:rFonts w:hint="eastAsia" w:ascii="宋体" w:hAnsi="宋体" w:eastAsia="宋体" w:cs="宋体"/>
          <w:color w:val="auto"/>
          <w:sz w:val="24"/>
          <w:szCs w:val="24"/>
          <w:highlight w:val="none"/>
          <w:lang w:val="en-US" w:eastAsia="zh-CN"/>
        </w:rPr>
      </w:pPr>
      <w:bookmarkStart w:id="10" w:name="_Toc317775175"/>
      <w:bookmarkStart w:id="11" w:name="_Toc51660705"/>
      <w:bookmarkStart w:id="12" w:name="_Toc3216"/>
      <w:bookmarkStart w:id="13" w:name="_Toc313893526"/>
      <w:r>
        <w:rPr>
          <w:rFonts w:hint="eastAsia" w:ascii="宋体" w:hAnsi="宋体" w:eastAsia="宋体" w:cs="宋体"/>
          <w:color w:val="auto"/>
          <w:sz w:val="24"/>
          <w:szCs w:val="24"/>
          <w:highlight w:val="none"/>
          <w:lang w:val="en-US" w:eastAsia="zh-CN"/>
        </w:rPr>
        <w:t>一、比选内容</w:t>
      </w:r>
      <w:bookmarkEnd w:id="10"/>
      <w:bookmarkEnd w:id="11"/>
      <w:bookmarkEnd w:id="12"/>
      <w:bookmarkEnd w:id="13"/>
    </w:p>
    <w:tbl>
      <w:tblPr>
        <w:tblStyle w:val="63"/>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59"/>
        <w:gridCol w:w="3055"/>
        <w:gridCol w:w="1553"/>
        <w:gridCol w:w="810"/>
      </w:tblGrid>
      <w:tr w14:paraId="30BC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tcBorders>
              <w:top w:val="single" w:color="auto" w:sz="4" w:space="0"/>
              <w:left w:val="single" w:color="auto" w:sz="4" w:space="0"/>
              <w:right w:val="single" w:color="auto" w:sz="4" w:space="0"/>
            </w:tcBorders>
            <w:vAlign w:val="center"/>
          </w:tcPr>
          <w:p w14:paraId="697F954E">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459" w:type="dxa"/>
            <w:tcBorders>
              <w:top w:val="single" w:color="auto" w:sz="4" w:space="0"/>
              <w:left w:val="single" w:color="auto" w:sz="4" w:space="0"/>
              <w:right w:val="single" w:color="auto" w:sz="4" w:space="0"/>
            </w:tcBorders>
            <w:vAlign w:val="center"/>
          </w:tcPr>
          <w:p w14:paraId="43538311">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比选</w:t>
            </w:r>
            <w:r>
              <w:rPr>
                <w:rFonts w:hint="eastAsia" w:ascii="宋体" w:hAnsi="宋体" w:eastAsia="宋体" w:cs="宋体"/>
                <w:b/>
                <w:color w:val="auto"/>
                <w:kern w:val="0"/>
                <w:sz w:val="24"/>
                <w:szCs w:val="24"/>
                <w:highlight w:val="none"/>
              </w:rPr>
              <w:t>内容</w:t>
            </w:r>
          </w:p>
        </w:tc>
        <w:tc>
          <w:tcPr>
            <w:tcW w:w="3055" w:type="dxa"/>
            <w:tcBorders>
              <w:top w:val="single" w:color="auto" w:sz="4" w:space="0"/>
              <w:left w:val="single" w:color="auto" w:sz="4" w:space="0"/>
              <w:right w:val="single" w:color="auto" w:sz="4" w:space="0"/>
            </w:tcBorders>
            <w:vAlign w:val="center"/>
          </w:tcPr>
          <w:p w14:paraId="03569807">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最高限价</w:t>
            </w:r>
          </w:p>
          <w:p w14:paraId="4126D2E7">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（元）</w:t>
            </w:r>
          </w:p>
        </w:tc>
        <w:tc>
          <w:tcPr>
            <w:tcW w:w="1553" w:type="dxa"/>
            <w:tcBorders>
              <w:top w:val="single" w:color="auto" w:sz="4" w:space="0"/>
              <w:left w:val="single" w:color="auto" w:sz="4" w:space="0"/>
              <w:right w:val="single" w:color="auto" w:sz="4" w:space="0"/>
            </w:tcBorders>
            <w:vAlign w:val="center"/>
          </w:tcPr>
          <w:p w14:paraId="3C016B19">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资金来源</w:t>
            </w:r>
          </w:p>
        </w:tc>
        <w:tc>
          <w:tcPr>
            <w:tcW w:w="810" w:type="dxa"/>
            <w:tcBorders>
              <w:top w:val="single" w:color="auto" w:sz="4" w:space="0"/>
              <w:left w:val="single" w:color="auto" w:sz="4" w:space="0"/>
              <w:right w:val="single" w:color="auto" w:sz="4" w:space="0"/>
            </w:tcBorders>
            <w:vAlign w:val="center"/>
          </w:tcPr>
          <w:p w14:paraId="1C06352E">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14:paraId="2B83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tcBorders>
              <w:top w:val="single" w:color="auto" w:sz="4" w:space="0"/>
              <w:left w:val="single" w:color="auto" w:sz="4" w:space="0"/>
              <w:bottom w:val="single" w:color="auto" w:sz="4" w:space="0"/>
              <w:right w:val="single" w:color="auto" w:sz="4" w:space="0"/>
            </w:tcBorders>
            <w:vAlign w:val="center"/>
          </w:tcPr>
          <w:p w14:paraId="7A9B0E78">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459" w:type="dxa"/>
            <w:tcBorders>
              <w:top w:val="single" w:color="auto" w:sz="4" w:space="0"/>
              <w:left w:val="single" w:color="auto" w:sz="4" w:space="0"/>
              <w:bottom w:val="single" w:color="auto" w:sz="4" w:space="0"/>
              <w:right w:val="single" w:color="auto" w:sz="4" w:space="0"/>
            </w:tcBorders>
            <w:vAlign w:val="center"/>
          </w:tcPr>
          <w:p w14:paraId="740F2A42">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成渝高速公路复线工程宝兴镇等4个镇临时用地土地复垦工程</w:t>
            </w:r>
          </w:p>
        </w:tc>
        <w:tc>
          <w:tcPr>
            <w:tcW w:w="3055" w:type="dxa"/>
            <w:tcBorders>
              <w:top w:val="single" w:color="auto" w:sz="4" w:space="0"/>
              <w:left w:val="single" w:color="auto" w:sz="4" w:space="0"/>
              <w:bottom w:val="single" w:color="auto" w:sz="4" w:space="0"/>
              <w:right w:val="single" w:color="auto" w:sz="4" w:space="0"/>
            </w:tcBorders>
            <w:vAlign w:val="center"/>
          </w:tcPr>
          <w:p w14:paraId="51BDE3C3">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969139.77</w:t>
            </w:r>
          </w:p>
        </w:tc>
        <w:tc>
          <w:tcPr>
            <w:tcW w:w="1553" w:type="dxa"/>
            <w:tcBorders>
              <w:top w:val="single" w:color="auto" w:sz="4" w:space="0"/>
              <w:left w:val="single" w:color="auto" w:sz="4" w:space="0"/>
              <w:bottom w:val="single" w:color="auto" w:sz="4" w:space="0"/>
              <w:right w:val="single" w:color="auto" w:sz="4" w:space="0"/>
            </w:tcBorders>
            <w:vAlign w:val="center"/>
          </w:tcPr>
          <w:p w14:paraId="0F06FB02">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上级补助资金</w:t>
            </w:r>
          </w:p>
        </w:tc>
        <w:tc>
          <w:tcPr>
            <w:tcW w:w="810" w:type="dxa"/>
            <w:tcBorders>
              <w:top w:val="single" w:color="auto" w:sz="4" w:space="0"/>
              <w:left w:val="single" w:color="auto" w:sz="4" w:space="0"/>
              <w:bottom w:val="single" w:color="auto" w:sz="4" w:space="0"/>
              <w:right w:val="single" w:color="auto" w:sz="4" w:space="0"/>
            </w:tcBorders>
            <w:vAlign w:val="center"/>
          </w:tcPr>
          <w:p w14:paraId="46F67DDD">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bl>
    <w:p w14:paraId="6D50646E">
      <w:pPr>
        <w:pStyle w:val="6"/>
        <w:bidi w:val="0"/>
        <w:spacing w:line="360" w:lineRule="auto"/>
        <w:rPr>
          <w:rFonts w:hint="eastAsia" w:ascii="宋体" w:hAnsi="宋体" w:eastAsia="宋体" w:cs="宋体"/>
          <w:color w:val="auto"/>
          <w:sz w:val="24"/>
          <w:szCs w:val="24"/>
          <w:highlight w:val="none"/>
          <w:lang w:val="en-US" w:eastAsia="zh-CN"/>
        </w:rPr>
      </w:pPr>
      <w:bookmarkStart w:id="14" w:name="_Toc51660707"/>
      <w:bookmarkStart w:id="15" w:name="_Toc19020"/>
      <w:bookmarkStart w:id="16" w:name="_Toc373860293"/>
      <w:bookmarkStart w:id="17" w:name="_Toc317775178"/>
      <w:r>
        <w:rPr>
          <w:rFonts w:hint="eastAsia" w:ascii="宋体" w:hAnsi="宋体" w:eastAsia="宋体" w:cs="宋体"/>
          <w:color w:val="auto"/>
          <w:sz w:val="24"/>
          <w:szCs w:val="24"/>
          <w:highlight w:val="none"/>
          <w:lang w:val="en-US" w:eastAsia="zh-CN"/>
        </w:rPr>
        <w:t>二、供应商的资格条件</w:t>
      </w:r>
      <w:bookmarkEnd w:id="14"/>
      <w:bookmarkEnd w:id="15"/>
    </w:p>
    <w:p w14:paraId="38B117ED">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基本资格</w:t>
      </w:r>
      <w:r>
        <w:rPr>
          <w:rFonts w:hint="eastAsia" w:ascii="宋体" w:hAnsi="宋体" w:eastAsia="宋体" w:cs="宋体"/>
          <w:b/>
          <w:color w:val="auto"/>
          <w:sz w:val="24"/>
          <w:szCs w:val="24"/>
          <w:highlight w:val="none"/>
        </w:rPr>
        <w:t>条件</w:t>
      </w:r>
    </w:p>
    <w:p w14:paraId="497D4120">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E15DCFE">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033C883">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97A3E7F">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7360044">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p>
    <w:p w14:paraId="00413E0A">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3AFD7E50">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（二）特定资格条件</w:t>
      </w:r>
    </w:p>
    <w:p w14:paraId="1EA7B812">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8" w:name="_Toc51660708"/>
      <w:r>
        <w:rPr>
          <w:rFonts w:hint="eastAsia" w:ascii="宋体" w:hAnsi="宋体" w:eastAsia="宋体" w:cs="宋体"/>
          <w:color w:val="auto"/>
          <w:sz w:val="24"/>
          <w:szCs w:val="24"/>
          <w:highlight w:val="none"/>
          <w:lang w:val="en-US" w:eastAsia="zh-CN"/>
        </w:rPr>
        <w:t>1.具备建设行政主管部门颁发的</w:t>
      </w:r>
      <w:r>
        <w:rPr>
          <w:rFonts w:hint="eastAsia" w:ascii="宋体" w:hAnsi="宋体" w:cs="宋体"/>
          <w:b/>
          <w:bCs/>
          <w:color w:val="auto"/>
          <w:sz w:val="24"/>
          <w:szCs w:val="24"/>
          <w:highlight w:val="none"/>
          <w:u w:val="single"/>
          <w:lang w:val="en-US" w:eastAsia="zh-CN"/>
        </w:rPr>
        <w:t>建筑</w:t>
      </w:r>
      <w:r>
        <w:rPr>
          <w:rFonts w:hint="eastAsia" w:ascii="宋体" w:hAnsi="宋体" w:eastAsia="宋体" w:cs="宋体"/>
          <w:b/>
          <w:bCs/>
          <w:color w:val="auto"/>
          <w:sz w:val="24"/>
          <w:szCs w:val="24"/>
          <w:highlight w:val="none"/>
          <w:u w:val="single"/>
          <w:lang w:val="en-US" w:eastAsia="zh-CN"/>
        </w:rPr>
        <w:t>工程施工总承包</w:t>
      </w:r>
      <w:r>
        <w:rPr>
          <w:rFonts w:hint="eastAsia" w:ascii="宋体" w:hAnsi="宋体" w:cs="宋体"/>
          <w:b/>
          <w:bCs/>
          <w:color w:val="auto"/>
          <w:sz w:val="24"/>
          <w:szCs w:val="24"/>
          <w:highlight w:val="none"/>
          <w:u w:val="single"/>
          <w:lang w:val="en-US" w:eastAsia="zh-CN"/>
        </w:rPr>
        <w:t>或市政公用工程施工总承包三级</w:t>
      </w:r>
      <w:r>
        <w:rPr>
          <w:rFonts w:hint="eastAsia" w:ascii="宋体" w:hAnsi="宋体" w:eastAsia="宋体" w:cs="宋体"/>
          <w:color w:val="auto"/>
          <w:sz w:val="24"/>
          <w:szCs w:val="24"/>
          <w:highlight w:val="none"/>
          <w:u w:val="single"/>
          <w:lang w:val="en-US" w:eastAsia="zh-CN"/>
        </w:rPr>
        <w:t>及以上资质</w:t>
      </w:r>
      <w:r>
        <w:rPr>
          <w:rFonts w:hint="eastAsia" w:ascii="宋体" w:hAnsi="宋体" w:eastAsia="宋体" w:cs="宋体"/>
          <w:color w:val="auto"/>
          <w:sz w:val="24"/>
          <w:szCs w:val="24"/>
          <w:highlight w:val="none"/>
          <w:lang w:val="en-US" w:eastAsia="zh-CN"/>
        </w:rPr>
        <w:t>。（提供资质证书复印件，并加盖单位公章）。</w:t>
      </w:r>
    </w:p>
    <w:p w14:paraId="78975EAF">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备建设行政主管部门颁发的有效的安全生产许可证，企业主要负责人、拟担任该项目项目经理具备相应的由建设行政主管部门颁发的有效的安全生产考核合格证书（提供有效的安全生产许可证及安全生产考核合格证书复印件加盖供应商公章）。</w:t>
      </w:r>
    </w:p>
    <w:p w14:paraId="6B4BC2B8">
      <w:pPr>
        <w:pStyle w:val="6"/>
        <w:bidi w:val="0"/>
        <w:spacing w:line="360" w:lineRule="auto"/>
        <w:rPr>
          <w:rFonts w:hint="eastAsia" w:ascii="宋体" w:hAnsi="宋体" w:eastAsia="宋体" w:cs="宋体"/>
          <w:color w:val="auto"/>
          <w:sz w:val="24"/>
          <w:szCs w:val="24"/>
          <w:highlight w:val="none"/>
          <w:lang w:val="en-US" w:eastAsia="zh-CN"/>
        </w:rPr>
      </w:pPr>
      <w:bookmarkStart w:id="19" w:name="_Toc5779"/>
      <w:r>
        <w:rPr>
          <w:rFonts w:hint="eastAsia" w:ascii="宋体" w:hAnsi="宋体" w:eastAsia="宋体" w:cs="宋体"/>
          <w:color w:val="auto"/>
          <w:sz w:val="24"/>
          <w:szCs w:val="24"/>
          <w:highlight w:val="none"/>
          <w:lang w:val="en-US" w:eastAsia="zh-CN"/>
        </w:rPr>
        <w:t>三、比选的有关说明</w:t>
      </w:r>
      <w:bookmarkEnd w:id="16"/>
      <w:bookmarkEnd w:id="18"/>
      <w:bookmarkEnd w:id="19"/>
    </w:p>
    <w:p w14:paraId="3164AF9F">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（一）供应商应通过行采家平台登记加入“行采家供应商库”。</w:t>
      </w:r>
    </w:p>
    <w:p w14:paraId="46FDCF34">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（二）凡有意参加比选的供应商，请自行在行采家（https：//www.gec123.com/）上下载本项目采购文件及补遗等比选前公布的所有项目资料，无论供应商下载与否，均视为已知晓所有实质性要求内容。</w:t>
      </w:r>
    </w:p>
    <w:p w14:paraId="2C07AF1B">
      <w:pPr>
        <w:pStyle w:val="6"/>
        <w:bidi w:val="0"/>
        <w:spacing w:line="360" w:lineRule="auto"/>
        <w:rPr>
          <w:rFonts w:hint="eastAsia" w:ascii="宋体" w:hAnsi="宋体" w:eastAsia="宋体" w:cs="宋体"/>
          <w:color w:val="auto"/>
          <w:sz w:val="24"/>
          <w:szCs w:val="24"/>
          <w:highlight w:val="none"/>
          <w:lang w:val="en-US" w:eastAsia="zh-CN"/>
        </w:rPr>
      </w:pPr>
      <w:bookmarkStart w:id="20" w:name="_Toc29177"/>
      <w:r>
        <w:rPr>
          <w:rFonts w:hint="eastAsia" w:ascii="宋体" w:hAnsi="宋体" w:eastAsia="宋体" w:cs="宋体"/>
          <w:color w:val="auto"/>
          <w:sz w:val="24"/>
          <w:szCs w:val="24"/>
          <w:highlight w:val="none"/>
          <w:lang w:val="en-US" w:eastAsia="zh-CN"/>
        </w:rPr>
        <w:t>四、报名方式及投标程序</w:t>
      </w:r>
      <w:bookmarkEnd w:id="20"/>
    </w:p>
    <w:p w14:paraId="4402AA9B">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（一）报名方式</w:t>
      </w:r>
    </w:p>
    <w:p w14:paraId="0B136328">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报名和</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发售期：</w:t>
      </w:r>
      <w:r>
        <w:rPr>
          <w:rFonts w:hint="eastAsia" w:ascii="宋体" w:hAnsi="宋体" w:cs="宋体"/>
          <w:color w:val="auto"/>
          <w:sz w:val="24"/>
          <w:szCs w:val="24"/>
          <w:highlight w:val="none"/>
          <w:lang w:val="en-US" w:eastAsia="zh-CN"/>
        </w:rPr>
        <w:t>公告发布之日起</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6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16 </w:t>
      </w:r>
      <w:r>
        <w:rPr>
          <w:rFonts w:hint="eastAsia" w:ascii="宋体" w:hAnsi="宋体" w:eastAsia="宋体" w:cs="宋体"/>
          <w:color w:val="auto"/>
          <w:sz w:val="24"/>
          <w:szCs w:val="24"/>
          <w:highlight w:val="none"/>
        </w:rPr>
        <w:t>日1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工作时间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ACFA02B">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采购文件售价</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00元/份（售后不退）。</w:t>
      </w:r>
    </w:p>
    <w:p w14:paraId="5E2B4BA2">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3.报名方式：</w:t>
      </w: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报名和采购文件发售期内，供应商将《</w:t>
      </w:r>
      <w:r>
        <w:rPr>
          <w:rFonts w:hint="eastAsia" w:ascii="宋体" w:hAnsi="宋体" w:cs="宋体"/>
          <w:color w:val="auto"/>
          <w:sz w:val="24"/>
          <w:szCs w:val="24"/>
          <w:highlight w:val="none"/>
          <w:lang w:val="en-US" w:eastAsia="zh-CN"/>
        </w:rPr>
        <w:t>重庆百业工程咨询有限公司</w:t>
      </w:r>
      <w:r>
        <w:rPr>
          <w:rFonts w:hint="eastAsia" w:ascii="宋体" w:hAnsi="宋体" w:eastAsia="宋体" w:cs="宋体"/>
          <w:color w:val="auto"/>
          <w:sz w:val="24"/>
          <w:szCs w:val="24"/>
          <w:highlight w:val="none"/>
          <w:lang w:val="en-US" w:eastAsia="zh-CN"/>
        </w:rPr>
        <w:t>项目报名表》（格式详见附件）填写完整加盖供应商公章扫描后同文件购买费转账截图一起发送至指定邮箱</w:t>
      </w:r>
      <w:r>
        <w:rPr>
          <w:rFonts w:hint="eastAsia" w:ascii="宋体" w:hAnsi="宋体" w:cs="宋体"/>
          <w:color w:val="auto"/>
          <w:sz w:val="24"/>
          <w:szCs w:val="24"/>
          <w:highlight w:val="none"/>
          <w:lang w:val="en-US" w:eastAsia="zh-CN"/>
        </w:rPr>
        <w:t>1550994832</w:t>
      </w:r>
      <w:r>
        <w:rPr>
          <w:rFonts w:hint="eastAsia" w:ascii="宋体" w:hAnsi="宋体" w:eastAsia="宋体" w:cs="宋体"/>
          <w:color w:val="auto"/>
          <w:sz w:val="24"/>
          <w:szCs w:val="24"/>
          <w:highlight w:val="none"/>
          <w:lang w:val="en-US" w:eastAsia="zh-CN"/>
        </w:rPr>
        <w:t>@qq.com，按要求发送邮箱后方才报名成功。</w:t>
      </w:r>
    </w:p>
    <w:p w14:paraId="670F4638">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投标程序</w:t>
      </w:r>
    </w:p>
    <w:p w14:paraId="3F6CD2CD">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1、线上报价时间：</w:t>
      </w:r>
      <w:r>
        <w:rPr>
          <w:rFonts w:hint="eastAsia" w:ascii="宋体" w:hAnsi="宋体" w:eastAsia="宋体" w:cs="宋体"/>
          <w:b w:val="0"/>
          <w:bCs w:val="0"/>
          <w:color w:val="auto"/>
          <w:sz w:val="24"/>
          <w:szCs w:val="24"/>
          <w:highlight w:val="none"/>
          <w:u w:val="single"/>
        </w:rPr>
        <w:t>202</w:t>
      </w:r>
      <w:r>
        <w:rPr>
          <w:rFonts w:hint="eastAsia" w:ascii="宋体" w:hAnsi="宋体" w:eastAsia="宋体" w:cs="宋体"/>
          <w:b w:val="0"/>
          <w:bCs w:val="0"/>
          <w:color w:val="auto"/>
          <w:sz w:val="24"/>
          <w:szCs w:val="24"/>
          <w:highlight w:val="none"/>
          <w:u w:val="single"/>
          <w:lang w:val="en-US" w:eastAsia="zh-CN"/>
        </w:rPr>
        <w:t>6</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6</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17</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u w:val="single"/>
          <w:lang w:val="en-US" w:eastAsia="zh-CN"/>
        </w:rPr>
        <w:t>09</w:t>
      </w:r>
      <w:r>
        <w:rPr>
          <w:rFonts w:hint="eastAsia" w:ascii="宋体" w:hAnsi="宋体" w:eastAsia="宋体" w:cs="宋体"/>
          <w:b w:val="0"/>
          <w:bCs w:val="0"/>
          <w:color w:val="auto"/>
          <w:sz w:val="24"/>
          <w:szCs w:val="24"/>
          <w:highlight w:val="none"/>
          <w:u w:val="single"/>
          <w:lang w:val="en-US" w:eastAsia="zh-CN"/>
        </w:rPr>
        <w:t>:00</w:t>
      </w:r>
      <w:r>
        <w:rPr>
          <w:rFonts w:hint="eastAsia" w:ascii="宋体" w:hAnsi="宋体" w:eastAsia="宋体" w:cs="宋体"/>
          <w:b w:val="0"/>
          <w:bCs w:val="0"/>
          <w:color w:val="auto"/>
          <w:sz w:val="24"/>
          <w:szCs w:val="24"/>
          <w:highlight w:val="none"/>
          <w:lang w:val="en-US" w:eastAsia="zh-CN"/>
        </w:rPr>
        <w:t>至</w:t>
      </w:r>
      <w:r>
        <w:rPr>
          <w:rFonts w:hint="eastAsia" w:ascii="宋体" w:hAnsi="宋体" w:eastAsia="宋体" w:cs="宋体"/>
          <w:b w:val="0"/>
          <w:bCs w:val="0"/>
          <w:color w:val="auto"/>
          <w:sz w:val="24"/>
          <w:szCs w:val="24"/>
          <w:highlight w:val="none"/>
          <w:u w:val="single"/>
        </w:rPr>
        <w:t>202</w:t>
      </w:r>
      <w:r>
        <w:rPr>
          <w:rFonts w:hint="eastAsia" w:ascii="宋体" w:hAnsi="宋体" w:eastAsia="宋体" w:cs="宋体"/>
          <w:b w:val="0"/>
          <w:bCs w:val="0"/>
          <w:color w:val="auto"/>
          <w:sz w:val="24"/>
          <w:szCs w:val="24"/>
          <w:highlight w:val="none"/>
          <w:u w:val="single"/>
          <w:lang w:val="en-US" w:eastAsia="zh-CN"/>
        </w:rPr>
        <w:t>6</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6</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17</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u w:val="single"/>
          <w:lang w:val="en-US" w:eastAsia="zh-CN"/>
        </w:rPr>
        <w:t>11:00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 xml:space="preserve">  </w:t>
      </w:r>
    </w:p>
    <w:p w14:paraId="6C81EB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2、线上报价要求：按本项目规定的时间在行采家平台</w:t>
      </w:r>
      <w:r>
        <w:rPr>
          <w:rFonts w:hint="eastAsia" w:ascii="宋体" w:hAnsi="宋体" w:eastAsia="宋体" w:cs="宋体"/>
          <w:b w:val="0"/>
          <w:bCs/>
          <w:color w:val="auto"/>
          <w:sz w:val="24"/>
          <w:szCs w:val="24"/>
          <w:highlight w:val="none"/>
        </w:rPr>
        <w:t>进行网上报价及上传电子响应文件</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lang w:eastAsia="zh-CN"/>
        </w:rPr>
        <w:t>电子文档内容应与纸质文件正本一致，如不一致以线下纸质文件正本为准</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t>，未在规定时间内报价及上传电子响应文件的供应商将失去成交供应商资格。</w:t>
      </w:r>
    </w:p>
    <w:p w14:paraId="73C29CB7">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、线下递交响应文件时间：</w:t>
      </w:r>
      <w:r>
        <w:rPr>
          <w:rFonts w:hint="eastAsia" w:ascii="宋体" w:hAnsi="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6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17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（以北京时间为准，逾期不予受理）。</w:t>
      </w:r>
    </w:p>
    <w:p w14:paraId="2F44BAF3">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线下开标时间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6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17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5:3</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none"/>
          <w:lang w:val="en-US" w:eastAsia="zh-CN"/>
        </w:rPr>
        <w:t>(北京时间）。</w:t>
      </w:r>
    </w:p>
    <w:p w14:paraId="4FC6E466">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比选地点</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重庆百业工程咨询有限公司</w:t>
      </w:r>
      <w:r>
        <w:rPr>
          <w:rFonts w:hint="eastAsia" w:ascii="宋体" w:hAnsi="宋体" w:eastAsia="宋体" w:cs="宋体"/>
          <w:color w:val="auto"/>
          <w:sz w:val="24"/>
          <w:szCs w:val="24"/>
          <w:highlight w:val="none"/>
          <w:lang w:val="en-US" w:eastAsia="zh-CN"/>
        </w:rPr>
        <w:t>开标室（</w:t>
      </w:r>
      <w:r>
        <w:rPr>
          <w:rFonts w:hint="eastAsia" w:ascii="宋体" w:hAnsi="宋体" w:cs="宋体"/>
          <w:color w:val="auto"/>
          <w:sz w:val="24"/>
          <w:szCs w:val="24"/>
          <w:highlight w:val="none"/>
          <w:lang w:val="en-US" w:eastAsia="zh-CN"/>
        </w:rPr>
        <w:t>重庆市大足区棠香街道五星大道中段200号2幢8-5</w:t>
      </w:r>
      <w:r>
        <w:rPr>
          <w:rFonts w:hint="eastAsia" w:ascii="宋体" w:hAnsi="宋体" w:eastAsia="宋体" w:cs="宋体"/>
          <w:color w:val="auto"/>
          <w:sz w:val="24"/>
          <w:szCs w:val="24"/>
          <w:highlight w:val="none"/>
          <w:lang w:val="en-US" w:eastAsia="zh-CN"/>
        </w:rPr>
        <w:t>）。</w:t>
      </w:r>
    </w:p>
    <w:p w14:paraId="733C4ED2">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（三）供应商须满足以下要件，其响应文件才被接受：</w:t>
      </w:r>
    </w:p>
    <w:p w14:paraId="27A9BBBF">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.在采购文件发售期内，按时间要求报名；</w:t>
      </w:r>
    </w:p>
    <w:p w14:paraId="26042B14">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.按时在线下比选地点递交了纸质版响应文件。</w:t>
      </w:r>
    </w:p>
    <w:p w14:paraId="24CB3603">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.递交“供应商信息卡”（格式详见附件），内容填写完整，加盖供应商公章；</w:t>
      </w:r>
    </w:p>
    <w:p w14:paraId="4367F45B">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说明：相关原件递交起止时间：如果采购文件要求必须提交的相关原件，其递交时间与投标文件递交时间一致（逾期不予受理）。</w:t>
      </w:r>
    </w:p>
    <w:bookmarkEnd w:id="17"/>
    <w:p w14:paraId="123B516F">
      <w:pPr>
        <w:pStyle w:val="6"/>
        <w:bidi w:val="0"/>
        <w:spacing w:line="360" w:lineRule="auto"/>
        <w:rPr>
          <w:rFonts w:hint="eastAsia" w:ascii="宋体" w:hAnsi="宋体" w:eastAsia="宋体" w:cs="宋体"/>
          <w:color w:val="auto"/>
          <w:sz w:val="24"/>
          <w:szCs w:val="24"/>
          <w:highlight w:val="none"/>
          <w:lang w:val="en-US" w:eastAsia="zh-CN"/>
        </w:rPr>
      </w:pPr>
      <w:bookmarkStart w:id="21" w:name="_Toc17342"/>
      <w:bookmarkStart w:id="22" w:name="_Toc27911"/>
      <w:bookmarkStart w:id="23" w:name="_Toc51660711"/>
      <w:bookmarkStart w:id="24" w:name="_Toc51660712"/>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、其它有关规定</w:t>
      </w:r>
      <w:bookmarkEnd w:id="21"/>
      <w:bookmarkEnd w:id="22"/>
      <w:bookmarkEnd w:id="23"/>
    </w:p>
    <w:p w14:paraId="12094A46">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活动，否则均为无效响应。</w:t>
      </w:r>
    </w:p>
    <w:p w14:paraId="5EC610F9">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（二）为采购项目提供整体设计、规范编制或者项目管理、监理、检测等服务的供应商，不得再参加本项目的采购活动，否则均为无效响应。</w:t>
      </w:r>
    </w:p>
    <w:p w14:paraId="282D271A">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（三）本项目在响应文件提交截止时间前发布的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及补遗文件（如果有）一律在</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https://www.gec123.com/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上发布，请各供应商注意下载；无论供应商下载与否，均视同供应商已知晓本项目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、补遗文件（如果有）的内容。</w:t>
      </w:r>
    </w:p>
    <w:p w14:paraId="027DAD63">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7FD28BC5">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14:paraId="649F2118">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（六）本项目不接受联合体参与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3CB267CD">
      <w:pPr>
        <w:pageBreakBefore w:val="0"/>
        <w:kinsoku/>
        <w:wordWrap/>
        <w:overflowPunct/>
        <w:topLinePunct w:val="0"/>
        <w:autoSpaceDE/>
        <w:autoSpaceDN/>
        <w:bidi w:val="0"/>
        <w:adjustRightInd/>
        <w:snapToGrid w:val="0"/>
        <w:spacing w:line="360" w:lineRule="auto"/>
        <w:ind w:firstLine="480" w:firstLineChars="200"/>
        <w:textAlignment w:val="auto"/>
        <w:rPr>
          <w:rStyle w:val="76"/>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（七）按照《财政部关于在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活动中查询及使用信用记录有关问题的通知》财库〔2016〕125号，供应商列入失信被执行人、重大税收违法案件当事人名单、</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严重违法失信行为记录名单及其他不符合《中华人民共和国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法》第二十二条规定条件的供应商，将拒绝其参与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w:t>
      </w:r>
    </w:p>
    <w:p w14:paraId="696197D5">
      <w:pPr>
        <w:pStyle w:val="6"/>
        <w:bidi w:val="0"/>
        <w:spacing w:line="360" w:lineRule="auto"/>
        <w:rPr>
          <w:rFonts w:hint="eastAsia" w:ascii="宋体" w:hAnsi="宋体" w:eastAsia="宋体" w:cs="宋体"/>
          <w:color w:val="auto"/>
          <w:sz w:val="24"/>
          <w:szCs w:val="24"/>
          <w:highlight w:val="none"/>
          <w:lang w:val="en-US" w:eastAsia="zh-CN"/>
        </w:rPr>
      </w:pPr>
      <w:bookmarkStart w:id="25" w:name="_Toc10829"/>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、联系方式</w:t>
      </w:r>
      <w:bookmarkEnd w:id="24"/>
      <w:bookmarkEnd w:id="25"/>
    </w:p>
    <w:p w14:paraId="1AD3FC92">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eastAsia="宋体" w:cs="宋体"/>
          <w:color w:val="auto"/>
          <w:kern w:val="2"/>
          <w:sz w:val="24"/>
          <w:szCs w:val="24"/>
          <w:highlight w:val="none"/>
          <w:lang w:val="en-US" w:eastAsia="zh-CN" w:bidi="ar-SA"/>
        </w:rPr>
        <w:t>重庆市大足区交通运输委员会</w:t>
      </w:r>
    </w:p>
    <w:p w14:paraId="6C175608">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eastAsia="宋体" w:cs="宋体"/>
          <w:color w:val="auto"/>
          <w:kern w:val="2"/>
          <w:sz w:val="24"/>
          <w:szCs w:val="24"/>
          <w:highlight w:val="none"/>
          <w:lang w:val="en-US" w:eastAsia="zh-CN" w:bidi="ar-SA"/>
        </w:rPr>
        <w:t>重庆市大足区龙中路238号</w:t>
      </w:r>
    </w:p>
    <w:p w14:paraId="69E8BD10">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廖</w:t>
      </w:r>
      <w:r>
        <w:rPr>
          <w:rFonts w:hint="eastAsia" w:ascii="宋体" w:hAnsi="宋体" w:eastAsia="宋体" w:cs="宋体"/>
          <w:color w:val="auto"/>
          <w:kern w:val="2"/>
          <w:sz w:val="24"/>
          <w:szCs w:val="24"/>
          <w:highlight w:val="none"/>
          <w:lang w:val="en-US" w:eastAsia="zh-CN" w:bidi="ar-SA"/>
        </w:rPr>
        <w:t>老师</w:t>
      </w:r>
    </w:p>
    <w:p w14:paraId="507649D5">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  话：</w:t>
      </w:r>
      <w:r>
        <w:rPr>
          <w:rFonts w:hint="eastAsia" w:eastAsia="宋体" w:cs="宋体"/>
          <w:color w:val="auto"/>
          <w:kern w:val="2"/>
          <w:sz w:val="24"/>
          <w:szCs w:val="24"/>
          <w:highlight w:val="none"/>
          <w:lang w:val="en-US" w:eastAsia="zh-CN" w:bidi="ar-SA"/>
        </w:rPr>
        <w:t>19923720828</w:t>
      </w:r>
    </w:p>
    <w:p w14:paraId="495A181D">
      <w:pPr>
        <w:pStyle w:val="2"/>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bookmarkStart w:id="26" w:name="_Toc102227313"/>
      <w:r>
        <w:rPr>
          <w:rFonts w:hint="eastAsia" w:ascii="宋体" w:hAnsi="宋体" w:eastAsia="宋体" w:cs="宋体"/>
          <w:color w:val="auto"/>
          <w:kern w:val="2"/>
          <w:sz w:val="24"/>
          <w:szCs w:val="24"/>
          <w:highlight w:val="none"/>
          <w:lang w:val="en-US" w:eastAsia="zh-CN" w:bidi="ar-SA"/>
        </w:rPr>
        <w:t>（二）采购代理机构：</w:t>
      </w:r>
      <w:r>
        <w:rPr>
          <w:rFonts w:hint="eastAsia" w:eastAsia="宋体" w:cs="宋体"/>
          <w:color w:val="auto"/>
          <w:kern w:val="2"/>
          <w:sz w:val="24"/>
          <w:szCs w:val="24"/>
          <w:highlight w:val="none"/>
          <w:lang w:val="en-US" w:eastAsia="zh-CN" w:bidi="ar-SA"/>
        </w:rPr>
        <w:t>重庆百业工程咨询有限公司</w:t>
      </w:r>
    </w:p>
    <w:p w14:paraId="156EDF6C">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eastAsia="宋体" w:cs="宋体"/>
          <w:color w:val="auto"/>
          <w:kern w:val="2"/>
          <w:sz w:val="24"/>
          <w:szCs w:val="24"/>
          <w:highlight w:val="none"/>
          <w:lang w:val="en-US" w:eastAsia="zh-CN" w:bidi="ar-SA"/>
        </w:rPr>
        <w:t>重庆市大足区棠香街道五星大道中段200号2幢8-5</w:t>
      </w:r>
    </w:p>
    <w:p w14:paraId="6D5D849A">
      <w:pPr>
        <w:pStyle w:val="2"/>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张</w:t>
      </w:r>
      <w:r>
        <w:rPr>
          <w:rFonts w:hint="eastAsia" w:ascii="宋体" w:hAnsi="宋体" w:eastAsia="宋体" w:cs="宋体"/>
          <w:color w:val="auto"/>
          <w:kern w:val="2"/>
          <w:sz w:val="24"/>
          <w:szCs w:val="24"/>
          <w:highlight w:val="none"/>
          <w:lang w:val="en-US" w:eastAsia="zh-CN" w:bidi="ar-SA"/>
        </w:rPr>
        <w:t>老师</w:t>
      </w:r>
    </w:p>
    <w:p w14:paraId="666295E1">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lang w:val="en-US" w:eastAsia="zh-CN" w:bidi="ar-SA"/>
        </w:rPr>
        <w:t>电  话：</w:t>
      </w:r>
      <w:r>
        <w:rPr>
          <w:rFonts w:hint="eastAsia" w:eastAsia="宋体" w:cs="宋体"/>
          <w:color w:val="auto"/>
          <w:kern w:val="2"/>
          <w:sz w:val="24"/>
          <w:szCs w:val="24"/>
          <w:highlight w:val="none"/>
          <w:lang w:val="en-US" w:eastAsia="zh-CN" w:bidi="ar-SA"/>
        </w:rPr>
        <w:t>13310232231</w:t>
      </w:r>
      <w:r>
        <w:rPr>
          <w:rFonts w:hint="eastAsia" w:ascii="宋体" w:hAnsi="宋体" w:eastAsia="宋体" w:cs="宋体"/>
          <w:color w:val="auto"/>
          <w:sz w:val="24"/>
          <w:szCs w:val="24"/>
          <w:highlight w:val="none"/>
        </w:rPr>
        <w:br w:type="page"/>
      </w:r>
    </w:p>
    <w:p w14:paraId="2BEF2B1D">
      <w:pPr>
        <w:pStyle w:val="5"/>
        <w:bidi w:val="0"/>
        <w:jc w:val="center"/>
        <w:rPr>
          <w:rFonts w:hint="eastAsia" w:ascii="宋体" w:hAnsi="宋体" w:eastAsia="宋体" w:cs="宋体"/>
          <w:color w:val="auto"/>
          <w:sz w:val="24"/>
          <w:szCs w:val="24"/>
          <w:highlight w:val="none"/>
          <w:lang w:val="en-US" w:eastAsia="zh-CN"/>
        </w:rPr>
      </w:pPr>
      <w:bookmarkStart w:id="27" w:name="_Toc9370"/>
      <w:r>
        <w:rPr>
          <w:rFonts w:hint="eastAsia" w:ascii="宋体" w:hAnsi="宋体" w:eastAsia="宋体" w:cs="宋体"/>
          <w:color w:val="auto"/>
          <w:sz w:val="24"/>
          <w:szCs w:val="24"/>
          <w:highlight w:val="none"/>
          <w:lang w:val="en-US" w:eastAsia="zh-CN"/>
        </w:rPr>
        <w:t xml:space="preserve">第二篇 </w:t>
      </w:r>
      <w:bookmarkEnd w:id="26"/>
      <w:r>
        <w:rPr>
          <w:rFonts w:hint="eastAsia" w:ascii="宋体" w:hAnsi="宋体" w:eastAsia="宋体" w:cs="宋体"/>
          <w:color w:val="auto"/>
          <w:sz w:val="24"/>
          <w:szCs w:val="24"/>
          <w:highlight w:val="none"/>
          <w:lang w:val="en-US" w:eastAsia="zh-CN"/>
        </w:rPr>
        <w:t xml:space="preserve"> 项目技术需求</w:t>
      </w:r>
      <w:bookmarkEnd w:id="27"/>
    </w:p>
    <w:p w14:paraId="78637110">
      <w:pPr>
        <w:pStyle w:val="6"/>
        <w:bidi w:val="0"/>
        <w:rPr>
          <w:rFonts w:hint="eastAsia" w:ascii="宋体" w:hAnsi="宋体" w:eastAsia="宋体" w:cs="宋体"/>
          <w:color w:val="auto"/>
          <w:sz w:val="24"/>
          <w:szCs w:val="24"/>
          <w:highlight w:val="none"/>
        </w:rPr>
      </w:pPr>
      <w:bookmarkStart w:id="28" w:name="_Toc9992"/>
      <w:bookmarkStart w:id="29" w:name="_Toc427852462"/>
      <w:bookmarkStart w:id="30" w:name="_Toc345321101"/>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一览表</w:t>
      </w:r>
      <w:bookmarkEnd w:id="28"/>
    </w:p>
    <w:tbl>
      <w:tblPr>
        <w:tblStyle w:val="63"/>
        <w:tblpPr w:leftFromText="180" w:rightFromText="180" w:vertAnchor="text" w:horzAnchor="page" w:tblpXSpec="center" w:tblpY="278"/>
        <w:tblOverlap w:val="never"/>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4"/>
        <w:gridCol w:w="2188"/>
        <w:gridCol w:w="2147"/>
      </w:tblGrid>
      <w:tr w14:paraId="1155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364" w:type="dxa"/>
            <w:tcBorders>
              <w:top w:val="single" w:color="auto" w:sz="4" w:space="0"/>
              <w:left w:val="single" w:color="auto" w:sz="4" w:space="0"/>
              <w:right w:val="single" w:color="auto" w:sz="4" w:space="0"/>
            </w:tcBorders>
            <w:noWrap w:val="0"/>
            <w:vAlign w:val="center"/>
          </w:tcPr>
          <w:p w14:paraId="1D464D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2188" w:type="dxa"/>
            <w:tcBorders>
              <w:top w:val="single" w:color="auto" w:sz="4" w:space="0"/>
              <w:left w:val="single" w:color="auto" w:sz="4" w:space="0"/>
              <w:right w:val="single" w:color="auto" w:sz="4" w:space="0"/>
            </w:tcBorders>
            <w:noWrap w:val="0"/>
            <w:vAlign w:val="center"/>
          </w:tcPr>
          <w:p w14:paraId="72DE85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数量/单位</w:t>
            </w:r>
          </w:p>
        </w:tc>
        <w:tc>
          <w:tcPr>
            <w:tcW w:w="2147" w:type="dxa"/>
            <w:tcBorders>
              <w:top w:val="single" w:color="auto" w:sz="4" w:space="0"/>
              <w:left w:val="single" w:color="auto" w:sz="4" w:space="0"/>
              <w:right w:val="single" w:color="auto" w:sz="4" w:space="0"/>
            </w:tcBorders>
            <w:noWrap w:val="0"/>
            <w:vAlign w:val="center"/>
          </w:tcPr>
          <w:p w14:paraId="491A9F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476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364" w:type="dxa"/>
            <w:tcBorders>
              <w:top w:val="single" w:color="auto" w:sz="4" w:space="0"/>
              <w:left w:val="single" w:color="auto" w:sz="4" w:space="0"/>
              <w:bottom w:val="single" w:color="auto" w:sz="4" w:space="0"/>
              <w:right w:val="single" w:color="auto" w:sz="4" w:space="0"/>
            </w:tcBorders>
            <w:noWrap w:val="0"/>
            <w:vAlign w:val="center"/>
          </w:tcPr>
          <w:p w14:paraId="6EA2B1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成渝高速公路复线工程宝兴镇等4个镇临时用地土地复垦工程</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2552EE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2147" w:type="dxa"/>
            <w:tcBorders>
              <w:top w:val="single" w:color="auto" w:sz="4" w:space="0"/>
              <w:left w:val="single" w:color="auto" w:sz="4" w:space="0"/>
              <w:bottom w:val="single" w:color="auto" w:sz="4" w:space="0"/>
              <w:right w:val="single" w:color="auto" w:sz="4" w:space="0"/>
            </w:tcBorders>
            <w:noWrap w:val="0"/>
            <w:vAlign w:val="center"/>
          </w:tcPr>
          <w:p w14:paraId="5868A4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详见下文</w:t>
            </w:r>
          </w:p>
        </w:tc>
      </w:tr>
    </w:tbl>
    <w:p w14:paraId="5F892482">
      <w:pPr>
        <w:pStyle w:val="6"/>
        <w:bidi w:val="0"/>
        <w:rPr>
          <w:rFonts w:hint="eastAsia" w:ascii="宋体" w:hAnsi="宋体" w:eastAsia="宋体" w:cs="宋体"/>
          <w:color w:val="auto"/>
          <w:sz w:val="24"/>
          <w:szCs w:val="24"/>
          <w:highlight w:val="none"/>
        </w:rPr>
      </w:pPr>
      <w:bookmarkStart w:id="31" w:name="_Toc29868"/>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内容</w:t>
      </w:r>
      <w:bookmarkEnd w:id="31"/>
    </w:p>
    <w:p w14:paraId="2E56A5B6">
      <w:pPr>
        <w:pStyle w:val="77"/>
        <w:pageBreakBefore w:val="0"/>
        <w:kinsoku/>
        <w:topLinePunct w:val="0"/>
        <w:bidi w:val="0"/>
        <w:adjustRightInd/>
        <w:snapToGrid/>
        <w:spacing w:before="0"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w:t>
      </w:r>
      <w:r>
        <w:rPr>
          <w:rFonts w:hint="eastAsia" w:ascii="宋体" w:hAnsi="宋体" w:cs="宋体"/>
          <w:color w:val="auto"/>
          <w:sz w:val="24"/>
          <w:szCs w:val="24"/>
          <w:highlight w:val="none"/>
          <w:lang w:eastAsia="zh-CN"/>
        </w:rPr>
        <w:t>成渝高速公路复线工程宝兴镇等4个镇临时用地土地复垦工程</w:t>
      </w:r>
      <w:r>
        <w:rPr>
          <w:rFonts w:hint="eastAsia" w:ascii="宋体" w:hAnsi="宋体" w:eastAsia="宋体" w:cs="宋体"/>
          <w:color w:val="auto"/>
          <w:kern w:val="2"/>
          <w:sz w:val="24"/>
          <w:szCs w:val="24"/>
          <w:highlight w:val="none"/>
          <w:lang w:val="en-US" w:eastAsia="zh-CN" w:bidi="ar-SA"/>
        </w:rPr>
        <w:t>。</w:t>
      </w:r>
    </w:p>
    <w:p w14:paraId="44AE0D20">
      <w:pPr>
        <w:pStyle w:val="77"/>
        <w:pageBreakBefore w:val="0"/>
        <w:kinsoku/>
        <w:topLinePunct w:val="0"/>
        <w:bidi w:val="0"/>
        <w:adjustRightInd/>
        <w:snapToGrid/>
        <w:spacing w:before="0"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2.建设地点：</w:t>
      </w:r>
      <w:r>
        <w:rPr>
          <w:rFonts w:hint="eastAsia" w:ascii="宋体" w:hAnsi="宋体" w:cs="宋体"/>
          <w:color w:val="auto"/>
          <w:sz w:val="24"/>
          <w:szCs w:val="24"/>
          <w:highlight w:val="none"/>
          <w:lang w:eastAsia="zh-CN"/>
        </w:rPr>
        <w:t>大足区三驱镇月池村；宝兴镇杨柳社区、黄桥村、宝兴镇国有道路；龙岗街道官峰村；智凤街道登云社区</w:t>
      </w:r>
      <w:r>
        <w:rPr>
          <w:rFonts w:hint="eastAsia" w:ascii="宋体" w:hAnsi="宋体" w:eastAsia="宋体" w:cs="宋体"/>
          <w:color w:val="auto"/>
          <w:sz w:val="24"/>
          <w:szCs w:val="24"/>
          <w:highlight w:val="none"/>
          <w:lang w:val="en-US" w:eastAsia="zh-CN"/>
        </w:rPr>
        <w:t>。</w:t>
      </w:r>
    </w:p>
    <w:p w14:paraId="40742D7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3.工程概况：</w:t>
      </w:r>
      <w:r>
        <w:rPr>
          <w:rFonts w:hint="eastAsia" w:ascii="宋体" w:hAnsi="宋体" w:cs="宋体"/>
          <w:color w:val="auto"/>
          <w:kern w:val="2"/>
          <w:sz w:val="24"/>
          <w:szCs w:val="24"/>
          <w:highlight w:val="none"/>
          <w:lang w:val="en-US" w:eastAsia="zh-CN" w:bidi="ar-SA"/>
        </w:rPr>
        <w:t>本项目</w:t>
      </w:r>
      <w:r>
        <w:rPr>
          <w:rFonts w:hint="eastAsia" w:ascii="宋体" w:hAnsi="宋体" w:eastAsia="宋体" w:cs="宋体"/>
          <w:b w:val="0"/>
          <w:bCs w:val="0"/>
          <w:color w:val="auto"/>
          <w:kern w:val="2"/>
          <w:sz w:val="24"/>
          <w:szCs w:val="24"/>
          <w:highlight w:val="none"/>
          <w:lang w:val="en-US" w:eastAsia="zh-CN" w:bidi="ar-SA"/>
        </w:rPr>
        <w:t>总面积</w:t>
      </w:r>
      <w:r>
        <w:rPr>
          <w:rFonts w:hint="eastAsia" w:ascii="宋体" w:hAnsi="宋体" w:cs="宋体"/>
          <w:b w:val="0"/>
          <w:bCs w:val="0"/>
          <w:color w:val="auto"/>
          <w:kern w:val="2"/>
          <w:sz w:val="24"/>
          <w:szCs w:val="24"/>
          <w:highlight w:val="none"/>
          <w:lang w:val="en-US" w:eastAsia="zh-CN" w:bidi="ar-SA"/>
        </w:rPr>
        <w:t>6.7028hm2</w:t>
      </w:r>
      <w:r>
        <w:rPr>
          <w:rFonts w:hint="eastAsia" w:ascii="宋体" w:hAnsi="宋体" w:eastAsia="宋体" w:cs="宋体"/>
          <w:b w:val="0"/>
          <w:bCs w:val="0"/>
          <w:color w:val="auto"/>
          <w:kern w:val="2"/>
          <w:sz w:val="24"/>
          <w:szCs w:val="24"/>
          <w:highlight w:val="none"/>
          <w:lang w:val="en-US" w:eastAsia="zh-CN" w:bidi="ar-SA"/>
        </w:rPr>
        <w:t>，采取复垦工程措施，合理规划，使损毁土地与周边土地无缝衔接，达到规模化、集约化、生态化的目标</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具体内容详见采购人发布的施工图纸及工程量清单</w:t>
      </w:r>
      <w:r>
        <w:rPr>
          <w:rFonts w:hint="eastAsia" w:ascii="宋体" w:hAnsi="宋体" w:eastAsia="宋体" w:cs="宋体"/>
          <w:color w:val="auto"/>
          <w:sz w:val="24"/>
          <w:szCs w:val="24"/>
          <w:highlight w:val="none"/>
          <w:lang w:eastAsia="zh-CN"/>
        </w:rPr>
        <w:t>。</w:t>
      </w:r>
    </w:p>
    <w:p w14:paraId="48308948">
      <w:pPr>
        <w:pStyle w:val="77"/>
        <w:pageBreakBefore w:val="0"/>
        <w:kinsoku/>
        <w:topLinePunct w:val="0"/>
        <w:bidi w:val="0"/>
        <w:adjustRightInd/>
        <w:snapToGrid/>
        <w:spacing w:before="0"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4.招标范围：</w:t>
      </w:r>
      <w:r>
        <w:rPr>
          <w:rFonts w:hint="eastAsia" w:ascii="宋体" w:hAnsi="宋体" w:cs="宋体"/>
          <w:color w:val="auto"/>
          <w:kern w:val="2"/>
          <w:sz w:val="24"/>
          <w:szCs w:val="24"/>
          <w:highlight w:val="none"/>
          <w:lang w:val="en-US" w:eastAsia="zh-CN" w:bidi="ar-SA"/>
        </w:rPr>
        <w:t>成渝高速公路复线工程宝兴镇等4个镇临时用地土地复垦工程</w:t>
      </w:r>
      <w:r>
        <w:rPr>
          <w:rFonts w:hint="eastAsia" w:ascii="宋体" w:hAnsi="宋体" w:eastAsia="宋体" w:cs="宋体"/>
          <w:color w:val="auto"/>
          <w:kern w:val="2"/>
          <w:sz w:val="24"/>
          <w:szCs w:val="24"/>
          <w:highlight w:val="none"/>
          <w:lang w:val="en-US" w:eastAsia="zh-CN" w:bidi="ar-SA"/>
        </w:rPr>
        <w:t>相关资料所包括的建设内容，具体内容详见采购人发布的施工图纸及工程量清单,以及采购人提供的采购文件、答疑资料、澄清资料、其他补遗资料等包含的其他相关内容。</w:t>
      </w:r>
    </w:p>
    <w:p w14:paraId="6CA7725F">
      <w:pPr>
        <w:pStyle w:val="6"/>
        <w:bidi w:val="0"/>
        <w:rPr>
          <w:rFonts w:hint="eastAsia" w:ascii="宋体" w:hAnsi="宋体" w:eastAsia="宋体" w:cs="宋体"/>
          <w:color w:val="auto"/>
          <w:sz w:val="24"/>
          <w:szCs w:val="24"/>
          <w:highlight w:val="none"/>
          <w:lang w:val="en-US" w:eastAsia="zh-CN"/>
        </w:rPr>
      </w:pPr>
      <w:bookmarkStart w:id="32" w:name="_Toc21026"/>
      <w:r>
        <w:rPr>
          <w:rFonts w:hint="eastAsia" w:ascii="宋体" w:hAnsi="宋体" w:eastAsia="宋体" w:cs="宋体"/>
          <w:color w:val="auto"/>
          <w:sz w:val="24"/>
          <w:szCs w:val="24"/>
          <w:highlight w:val="none"/>
          <w:lang w:val="en-US" w:eastAsia="zh-CN"/>
        </w:rPr>
        <w:t>三、</w:t>
      </w:r>
      <w:bookmarkStart w:id="33" w:name="_Toc80863889"/>
      <w:r>
        <w:rPr>
          <w:rFonts w:hint="eastAsia" w:ascii="宋体" w:hAnsi="宋体" w:eastAsia="宋体" w:cs="宋体"/>
          <w:color w:val="auto"/>
          <w:sz w:val="24"/>
          <w:szCs w:val="24"/>
          <w:highlight w:val="none"/>
          <w:lang w:val="en-US" w:eastAsia="zh-CN"/>
        </w:rPr>
        <w:t>现场踏勘</w:t>
      </w:r>
      <w:bookmarkEnd w:id="32"/>
      <w:bookmarkEnd w:id="33"/>
    </w:p>
    <w:bookmarkEnd w:id="29"/>
    <w:bookmarkEnd w:id="30"/>
    <w:p w14:paraId="15E2B372">
      <w:pPr>
        <w:pageBreakBefore w:val="0"/>
        <w:kinsoku/>
        <w:topLinePunct w:val="0"/>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34" w:name="_Toc12789058"/>
      <w:r>
        <w:rPr>
          <w:rFonts w:hint="eastAsia" w:ascii="宋体" w:hAnsi="宋体" w:eastAsia="宋体" w:cs="宋体"/>
          <w:color w:val="auto"/>
          <w:kern w:val="2"/>
          <w:sz w:val="24"/>
          <w:szCs w:val="24"/>
          <w:highlight w:val="none"/>
          <w:lang w:val="en-US" w:eastAsia="zh-CN" w:bidi="ar-SA"/>
        </w:rPr>
        <w:t>（一）采购人不组织现场踏勘，由各供应商在比选开始前自行到现场进行踏勘了解实际情况，根据实际踏勘情况做服务方案。踏勘产生的费用和风险等均由供应商自行承担。</w:t>
      </w:r>
    </w:p>
    <w:p w14:paraId="186A88E8">
      <w:pPr>
        <w:pageBreakBefore w:val="0"/>
        <w:kinsoku/>
        <w:topLinePunct w:val="0"/>
        <w:bidi w:val="0"/>
        <w:adjustRightInd/>
        <w:snapToGrid/>
        <w:spacing w:line="400" w:lineRule="exact"/>
        <w:ind w:firstLine="480" w:firstLineChars="200"/>
        <w:textAlignment w:val="auto"/>
        <w:rPr>
          <w:rStyle w:val="76"/>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二）无论供应商是否踏勘过现场，均视为在响应截止时间之前踏勘过现场且对本项目潜在的风险和义务已完全了解，已充分考虑了本项目可能面临的不确定因素可能导致的风险，成交供应商不得以不完全了解现场情况为借口而提出延长服务期限或提出额外赔偿等要求。</w:t>
      </w:r>
      <w:bookmarkStart w:id="35" w:name="_Toc11993"/>
    </w:p>
    <w:p w14:paraId="786CEDD0">
      <w:pPr>
        <w:pStyle w:val="6"/>
        <w:bidi w:val="0"/>
        <w:rPr>
          <w:rFonts w:hint="eastAsia" w:ascii="宋体" w:hAnsi="宋体" w:eastAsia="宋体" w:cs="宋体"/>
          <w:color w:val="auto"/>
          <w:sz w:val="24"/>
          <w:szCs w:val="24"/>
          <w:highlight w:val="none"/>
          <w:lang w:val="en-US" w:eastAsia="zh-CN"/>
        </w:rPr>
      </w:pPr>
      <w:bookmarkStart w:id="36" w:name="_Toc22286"/>
      <w:r>
        <w:rPr>
          <w:rFonts w:hint="eastAsia" w:ascii="宋体" w:hAnsi="宋体" w:eastAsia="宋体" w:cs="宋体"/>
          <w:color w:val="auto"/>
          <w:sz w:val="24"/>
          <w:szCs w:val="24"/>
          <w:highlight w:val="none"/>
          <w:lang w:val="en-US" w:eastAsia="zh-CN"/>
        </w:rPr>
        <w:t>四、安全要求</w:t>
      </w:r>
      <w:bookmarkEnd w:id="35"/>
      <w:bookmarkEnd w:id="36"/>
    </w:p>
    <w:p w14:paraId="0D59964C">
      <w:pPr>
        <w:pageBreakBefore w:val="0"/>
        <w:kinsoku/>
        <w:topLinePunct w:val="0"/>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78467599">
      <w:pPr>
        <w:pStyle w:val="6"/>
        <w:bidi w:val="0"/>
        <w:rPr>
          <w:rFonts w:hint="eastAsia" w:ascii="宋体" w:hAnsi="宋体" w:eastAsia="宋体" w:cs="宋体"/>
          <w:color w:val="auto"/>
          <w:sz w:val="24"/>
          <w:szCs w:val="24"/>
          <w:highlight w:val="none"/>
        </w:rPr>
      </w:pPr>
      <w:bookmarkStart w:id="37" w:name="_Toc24341"/>
      <w:r>
        <w:rPr>
          <w:rFonts w:hint="eastAsia" w:ascii="宋体" w:hAnsi="宋体" w:eastAsia="宋体" w:cs="宋体"/>
          <w:color w:val="auto"/>
          <w:sz w:val="24"/>
          <w:szCs w:val="24"/>
          <w:highlight w:val="none"/>
          <w:lang w:val="en-US" w:eastAsia="zh-CN"/>
        </w:rPr>
        <w:t>五、质量要求</w:t>
      </w:r>
      <w:bookmarkEnd w:id="37"/>
    </w:p>
    <w:p w14:paraId="55671159">
      <w:pPr>
        <w:pageBreakBefore w:val="0"/>
        <w:kinsoku/>
        <w:topLinePunct w:val="0"/>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工程质量符合强制性质量标准，符合国家和重庆市现行有关施工质量验收规范要求，并达到合格标准。</w:t>
      </w:r>
    </w:p>
    <w:p w14:paraId="04365CEC">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729A0A8">
      <w:pPr>
        <w:pStyle w:val="5"/>
        <w:bidi w:val="0"/>
        <w:jc w:val="center"/>
        <w:rPr>
          <w:rFonts w:hint="eastAsia" w:ascii="宋体" w:hAnsi="宋体" w:eastAsia="宋体" w:cs="宋体"/>
          <w:color w:val="auto"/>
          <w:sz w:val="24"/>
          <w:szCs w:val="24"/>
          <w:highlight w:val="none"/>
        </w:rPr>
      </w:pPr>
      <w:bookmarkStart w:id="38" w:name="_Toc30347"/>
      <w:r>
        <w:rPr>
          <w:rFonts w:hint="eastAsia" w:ascii="宋体" w:hAnsi="宋体" w:eastAsia="宋体" w:cs="宋体"/>
          <w:color w:val="auto"/>
          <w:sz w:val="24"/>
          <w:szCs w:val="24"/>
          <w:highlight w:val="none"/>
        </w:rPr>
        <w:t>第三篇  项目商务需求</w:t>
      </w:r>
      <w:bookmarkEnd w:id="34"/>
      <w:bookmarkEnd w:id="38"/>
    </w:p>
    <w:p w14:paraId="147BAFDB">
      <w:pPr>
        <w:pStyle w:val="6"/>
        <w:bidi w:val="0"/>
        <w:rPr>
          <w:rFonts w:hint="eastAsia" w:ascii="宋体" w:hAnsi="宋体" w:eastAsia="宋体" w:cs="宋体"/>
          <w:color w:val="auto"/>
          <w:sz w:val="24"/>
          <w:szCs w:val="24"/>
          <w:highlight w:val="none"/>
          <w:lang w:val="en-US" w:eastAsia="zh-CN"/>
        </w:rPr>
      </w:pPr>
      <w:bookmarkStart w:id="39" w:name="_Toc1462"/>
      <w:bookmarkStart w:id="40" w:name="_Toc51655840"/>
      <w:bookmarkStart w:id="41" w:name="_Toc15498"/>
      <w:bookmarkStart w:id="42" w:name="_Toc486325801"/>
      <w:bookmarkStart w:id="43" w:name="_Toc525909820"/>
      <w:bookmarkStart w:id="44" w:name="_Toc267320049"/>
      <w:bookmarkStart w:id="45" w:name="_Toc344475123"/>
      <w:bookmarkStart w:id="46" w:name="_Toc344475120"/>
      <w:bookmarkStart w:id="47" w:name="_Toc11641055"/>
      <w:bookmarkStart w:id="48" w:name="_Toc12789059"/>
      <w:r>
        <w:rPr>
          <w:rFonts w:hint="eastAsia" w:ascii="宋体" w:hAnsi="宋体" w:eastAsia="宋体" w:cs="宋体"/>
          <w:color w:val="auto"/>
          <w:sz w:val="24"/>
          <w:szCs w:val="24"/>
          <w:highlight w:val="none"/>
          <w:lang w:val="en-US" w:eastAsia="zh-CN"/>
        </w:rPr>
        <w:t>一、工期、建设地点、验收方式</w:t>
      </w:r>
      <w:bookmarkEnd w:id="39"/>
      <w:bookmarkEnd w:id="40"/>
      <w:bookmarkEnd w:id="41"/>
    </w:p>
    <w:p w14:paraId="1B4F3923">
      <w:pPr>
        <w:pageBreakBefore w:val="0"/>
        <w:numPr>
          <w:ilvl w:val="0"/>
          <w:numId w:val="0"/>
        </w:numPr>
        <w:kinsoku/>
        <w:wordWrap/>
        <w:overflowPunct/>
        <w:topLinePunct w:val="0"/>
        <w:autoSpaceDE/>
        <w:autoSpaceDN/>
        <w:bidi w:val="0"/>
        <w:snapToGrid w:val="0"/>
        <w:spacing w:line="400" w:lineRule="exact"/>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sz w:val="24"/>
          <w:szCs w:val="24"/>
          <w:highlight w:val="none"/>
          <w:lang w:val="en-US" w:eastAsia="zh-CN"/>
        </w:rPr>
        <w:t>工期</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60</w:t>
      </w:r>
      <w:r>
        <w:rPr>
          <w:rFonts w:hint="eastAsia" w:ascii="宋体" w:hAnsi="宋体" w:eastAsia="宋体" w:cs="宋体"/>
          <w:color w:val="auto"/>
          <w:kern w:val="2"/>
          <w:sz w:val="24"/>
          <w:szCs w:val="24"/>
          <w:highlight w:val="none"/>
          <w:lang w:val="en-US" w:eastAsia="zh-CN" w:bidi="ar-SA"/>
        </w:rPr>
        <w:t>日历天</w:t>
      </w:r>
      <w:r>
        <w:rPr>
          <w:rFonts w:hint="eastAsia" w:ascii="宋体" w:hAnsi="宋体" w:cs="宋体"/>
          <w:color w:val="auto"/>
          <w:kern w:val="2"/>
          <w:sz w:val="24"/>
          <w:szCs w:val="24"/>
          <w:highlight w:val="none"/>
          <w:lang w:val="en-US" w:eastAsia="zh-CN" w:bidi="ar-SA"/>
        </w:rPr>
        <w:t>，缺陷责任期1年。</w:t>
      </w:r>
    </w:p>
    <w:p w14:paraId="7BFB4D94">
      <w:pPr>
        <w:pageBreakBefore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（二）建设</w:t>
      </w:r>
      <w:r>
        <w:rPr>
          <w:rFonts w:hint="eastAsia" w:ascii="宋体" w:hAnsi="宋体" w:eastAsia="宋体" w:cs="宋体"/>
          <w:color w:val="auto"/>
          <w:sz w:val="24"/>
          <w:szCs w:val="24"/>
          <w:highlight w:val="none"/>
        </w:rPr>
        <w:t>地点：</w:t>
      </w:r>
      <w:r>
        <w:rPr>
          <w:rFonts w:hint="eastAsia" w:ascii="宋体" w:hAnsi="宋体" w:eastAsia="宋体" w:cs="宋体"/>
          <w:color w:val="auto"/>
          <w:kern w:val="2"/>
          <w:sz w:val="24"/>
          <w:szCs w:val="24"/>
          <w:highlight w:val="none"/>
          <w:lang w:val="en-US" w:eastAsia="zh-CN" w:bidi="ar-SA"/>
        </w:rPr>
        <w:t>采购人指定地点。</w:t>
      </w:r>
    </w:p>
    <w:p w14:paraId="262EA922">
      <w:pPr>
        <w:pageBreakBefore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验收方式</w:t>
      </w:r>
    </w:p>
    <w:p w14:paraId="0EA85BD0">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施工过程应遵照现行国家有关规范进行，按照图级进行及有关要求进行检查验收。成交供应商应保证工程质量，工程用建筑材料须符合国家及行业标准，项目工程达到国家现行有关施工质量验收规范要求，并达到合格标准。</w:t>
      </w:r>
    </w:p>
    <w:p w14:paraId="04B00CC0">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2.工程完工后，按国家相关标准验收程序和规程进行验收，三方签字确认。验收的相关费用由成交供应商承担。</w:t>
      </w:r>
    </w:p>
    <w:p w14:paraId="565932EF">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3.成交供应商未达到采购文件的要求，且对采购人造成损失的，由成交供应商承担一切责任，并赔偿所造成的损失。</w:t>
      </w:r>
    </w:p>
    <w:p w14:paraId="05C211B7">
      <w:pPr>
        <w:pStyle w:val="6"/>
        <w:bidi w:val="0"/>
        <w:rPr>
          <w:rFonts w:hint="eastAsia" w:ascii="宋体" w:hAnsi="宋体" w:eastAsia="宋体" w:cs="宋体"/>
          <w:color w:val="auto"/>
          <w:sz w:val="24"/>
          <w:szCs w:val="24"/>
          <w:highlight w:val="none"/>
          <w:lang w:val="en-US" w:eastAsia="zh-CN"/>
        </w:rPr>
      </w:pPr>
      <w:bookmarkStart w:id="49" w:name="_Toc27388"/>
      <w:r>
        <w:rPr>
          <w:rFonts w:hint="eastAsia" w:ascii="宋体" w:hAnsi="宋体" w:eastAsia="宋体" w:cs="宋体"/>
          <w:color w:val="auto"/>
          <w:sz w:val="24"/>
          <w:szCs w:val="24"/>
          <w:highlight w:val="none"/>
          <w:lang w:val="en-US" w:eastAsia="zh-CN"/>
        </w:rPr>
        <w:t>二、人员要求</w:t>
      </w:r>
      <w:bookmarkEnd w:id="49"/>
    </w:p>
    <w:p w14:paraId="6E4C6214">
      <w:pPr>
        <w:pStyle w:val="2"/>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bookmarkStart w:id="50" w:name="_Toc267320050"/>
      <w:r>
        <w:rPr>
          <w:rFonts w:hint="eastAsia" w:ascii="宋体" w:hAnsi="宋体" w:eastAsia="宋体" w:cs="宋体"/>
          <w:color w:val="auto"/>
          <w:kern w:val="2"/>
          <w:sz w:val="24"/>
          <w:szCs w:val="24"/>
          <w:highlight w:val="none"/>
          <w:lang w:val="en-US" w:eastAsia="zh-CN" w:bidi="ar-SA"/>
        </w:rPr>
        <w:t>1.项目经理：拟派的项目经理须在供应商单位注册，并应具有</w:t>
      </w:r>
      <w:r>
        <w:rPr>
          <w:rFonts w:hint="eastAsia" w:eastAsia="宋体" w:cs="宋体"/>
          <w:color w:val="auto"/>
          <w:kern w:val="2"/>
          <w:sz w:val="24"/>
          <w:szCs w:val="24"/>
          <w:highlight w:val="none"/>
          <w:u w:val="single"/>
          <w:lang w:val="en-US" w:eastAsia="zh-CN" w:bidi="ar-SA"/>
        </w:rPr>
        <w:t>建筑或市政</w:t>
      </w:r>
      <w:r>
        <w:rPr>
          <w:rFonts w:hint="eastAsia" w:ascii="宋体" w:hAnsi="宋体" w:eastAsia="宋体" w:cs="宋体"/>
          <w:color w:val="auto"/>
          <w:kern w:val="2"/>
          <w:sz w:val="24"/>
          <w:szCs w:val="24"/>
          <w:highlight w:val="none"/>
          <w:u w:val="single"/>
          <w:lang w:val="en-US" w:eastAsia="zh-CN" w:bidi="ar-SA"/>
        </w:rPr>
        <w:t>工程</w:t>
      </w:r>
      <w:r>
        <w:rPr>
          <w:rFonts w:hint="eastAsia" w:ascii="宋体" w:hAnsi="宋体" w:eastAsia="宋体" w:cs="宋体"/>
          <w:color w:val="auto"/>
          <w:kern w:val="2"/>
          <w:sz w:val="24"/>
          <w:szCs w:val="24"/>
          <w:highlight w:val="none"/>
          <w:lang w:val="en-US" w:eastAsia="zh-CN" w:bidi="ar-SA"/>
        </w:rPr>
        <w:t>专业</w:t>
      </w:r>
      <w:r>
        <w:rPr>
          <w:rFonts w:hint="eastAsia" w:ascii="宋体" w:hAnsi="宋体" w:eastAsia="宋体" w:cs="宋体"/>
          <w:color w:val="auto"/>
          <w:kern w:val="2"/>
          <w:sz w:val="24"/>
          <w:szCs w:val="24"/>
          <w:highlight w:val="none"/>
          <w:u w:val="single"/>
          <w:lang w:val="en-US" w:eastAsia="zh-CN" w:bidi="ar-SA"/>
        </w:rPr>
        <w:t>二级</w:t>
      </w:r>
      <w:r>
        <w:rPr>
          <w:rFonts w:hint="eastAsia" w:ascii="宋体" w:hAnsi="宋体" w:eastAsia="宋体" w:cs="宋体"/>
          <w:color w:val="auto"/>
          <w:kern w:val="2"/>
          <w:sz w:val="24"/>
          <w:szCs w:val="24"/>
          <w:highlight w:val="none"/>
          <w:lang w:val="en-US" w:eastAsia="zh-CN" w:bidi="ar-SA"/>
        </w:rPr>
        <w:t>及以上注册建造师执业资格（提供拟派项目经理身份证、建造师注册证、安全生产考核合格证书（B类）复印件）。</w:t>
      </w:r>
    </w:p>
    <w:p w14:paraId="46B6C35A">
      <w:pPr>
        <w:pStyle w:val="2"/>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2.项目技术负责人：应具有</w:t>
      </w:r>
      <w:r>
        <w:rPr>
          <w:rFonts w:hint="eastAsia" w:ascii="宋体" w:hAnsi="宋体" w:eastAsia="宋体" w:cs="宋体"/>
          <w:color w:val="auto"/>
          <w:kern w:val="2"/>
          <w:sz w:val="24"/>
          <w:szCs w:val="24"/>
          <w:highlight w:val="none"/>
          <w:u w:val="single"/>
          <w:lang w:val="en-US" w:eastAsia="zh-CN" w:bidi="ar-SA"/>
        </w:rPr>
        <w:t>工程类中级</w:t>
      </w:r>
      <w:r>
        <w:rPr>
          <w:rFonts w:hint="eastAsia" w:ascii="宋体" w:hAnsi="宋体" w:eastAsia="宋体" w:cs="宋体"/>
          <w:color w:val="auto"/>
          <w:kern w:val="2"/>
          <w:sz w:val="24"/>
          <w:szCs w:val="24"/>
          <w:highlight w:val="none"/>
          <w:lang w:val="en-US" w:eastAsia="zh-CN" w:bidi="ar-SA"/>
        </w:rPr>
        <w:t>及以上职称（提供身份证、职称证复印件）。</w:t>
      </w:r>
    </w:p>
    <w:p w14:paraId="2B145F50">
      <w:pPr>
        <w:pStyle w:val="2"/>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主要管理人员：供应商自行承诺（格式自拟）成交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的养老保险证明材料。成交后不能满足该要求的，取消其成交资格，给采购人造成损失的，供应商依法承担违约赔偿责任。</w:t>
      </w:r>
    </w:p>
    <w:p w14:paraId="610A241E">
      <w:pPr>
        <w:pStyle w:val="2"/>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注：项目经理、项目技术负责人须提供本单位为其缴纳的</w:t>
      </w:r>
      <w:r>
        <w:rPr>
          <w:rFonts w:hint="eastAsia" w:eastAsia="宋体" w:cs="宋体"/>
          <w:color w:val="auto"/>
          <w:kern w:val="2"/>
          <w:sz w:val="24"/>
          <w:szCs w:val="24"/>
          <w:highlight w:val="none"/>
          <w:lang w:val="en-US" w:eastAsia="zh-CN" w:bidi="ar-SA"/>
        </w:rPr>
        <w:t>2025</w:t>
      </w:r>
      <w:r>
        <w:rPr>
          <w:rFonts w:hint="eastAsia" w:ascii="宋体" w:hAnsi="宋体" w:eastAsia="宋体" w:cs="宋体"/>
          <w:color w:val="auto"/>
          <w:kern w:val="2"/>
          <w:sz w:val="24"/>
          <w:szCs w:val="24"/>
          <w:highlight w:val="none"/>
          <w:lang w:val="en-US" w:eastAsia="zh-CN" w:bidi="ar-SA"/>
        </w:rPr>
        <w:t>年</w:t>
      </w:r>
      <w:r>
        <w:rPr>
          <w:rFonts w:hint="eastAsia" w:eastAsia="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zh-CN" w:bidi="ar-SA"/>
        </w:rPr>
        <w:t>月至</w:t>
      </w:r>
      <w:r>
        <w:rPr>
          <w:rFonts w:hint="eastAsia" w:eastAsia="宋体" w:cs="宋体"/>
          <w:color w:val="auto"/>
          <w:kern w:val="2"/>
          <w:sz w:val="24"/>
          <w:szCs w:val="24"/>
          <w:highlight w:val="none"/>
          <w:lang w:val="en-US" w:eastAsia="zh-CN" w:bidi="ar-SA"/>
        </w:rPr>
        <w:t>2026</w:t>
      </w:r>
      <w:r>
        <w:rPr>
          <w:rFonts w:hint="eastAsia" w:ascii="宋体" w:hAnsi="宋体" w:eastAsia="宋体" w:cs="宋体"/>
          <w:color w:val="auto"/>
          <w:kern w:val="2"/>
          <w:sz w:val="24"/>
          <w:szCs w:val="24"/>
          <w:highlight w:val="none"/>
          <w:lang w:val="en-US" w:eastAsia="zh-CN" w:bidi="ar-SA"/>
        </w:rPr>
        <w:t>年</w:t>
      </w:r>
      <w:r>
        <w:rPr>
          <w:rFonts w:hint="eastAsia"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月连续养老保险证明（提供养老保险证明复印件）。</w:t>
      </w:r>
    </w:p>
    <w:bookmarkEnd w:id="42"/>
    <w:bookmarkEnd w:id="43"/>
    <w:bookmarkEnd w:id="44"/>
    <w:bookmarkEnd w:id="45"/>
    <w:bookmarkEnd w:id="50"/>
    <w:p w14:paraId="3FB2211F">
      <w:pPr>
        <w:pStyle w:val="6"/>
        <w:bidi w:val="0"/>
        <w:rPr>
          <w:rFonts w:hint="eastAsia" w:ascii="宋体" w:hAnsi="宋体" w:eastAsia="宋体" w:cs="宋体"/>
          <w:color w:val="auto"/>
          <w:sz w:val="24"/>
          <w:szCs w:val="24"/>
          <w:highlight w:val="none"/>
          <w:lang w:val="en-US" w:eastAsia="zh-CN"/>
        </w:rPr>
      </w:pPr>
      <w:bookmarkStart w:id="51" w:name="_Toc2186"/>
      <w:bookmarkStart w:id="52" w:name="_Toc17129"/>
      <w:bookmarkStart w:id="53" w:name="_Toc376184485"/>
      <w:bookmarkStart w:id="54" w:name="_Toc267320051"/>
      <w:bookmarkStart w:id="55" w:name="_Toc51655843"/>
      <w:r>
        <w:rPr>
          <w:rFonts w:hint="eastAsia" w:ascii="宋体" w:hAnsi="宋体" w:eastAsia="宋体" w:cs="宋体"/>
          <w:color w:val="auto"/>
          <w:sz w:val="24"/>
          <w:szCs w:val="24"/>
          <w:highlight w:val="none"/>
          <w:lang w:val="en-US" w:eastAsia="zh-CN"/>
        </w:rPr>
        <w:t>三、报价要求</w:t>
      </w:r>
      <w:bookmarkEnd w:id="51"/>
    </w:p>
    <w:bookmarkEnd w:id="52"/>
    <w:p w14:paraId="06FB9215">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1、比选报价</w:t>
      </w:r>
      <w:r>
        <w:rPr>
          <w:rFonts w:hint="eastAsia" w:ascii="宋体" w:hAnsi="宋体" w:eastAsia="宋体" w:cs="宋体"/>
          <w:color w:val="auto"/>
          <w:kern w:val="0"/>
          <w:sz w:val="24"/>
          <w:szCs w:val="24"/>
          <w:highlight w:val="none"/>
        </w:rPr>
        <w:t>须为人民币报价</w:t>
      </w:r>
      <w:r>
        <w:rPr>
          <w:rFonts w:hint="eastAsia" w:ascii="宋体" w:hAnsi="宋体" w:eastAsia="宋体" w:cs="宋体"/>
          <w:color w:val="auto"/>
          <w:sz w:val="24"/>
          <w:szCs w:val="24"/>
          <w:highlight w:val="none"/>
        </w:rPr>
        <w:t>，包含完成该项目的全部工作内容，亦包含建设工程一般风险费、管理费、利润、措施费（含安全文明施工专项费）、规费、税金、采购代理服务费等所有费用。因成交供应商自身原因造成漏报、少报皆由其自行承担责任，采购人不再补偿。</w:t>
      </w:r>
    </w:p>
    <w:p w14:paraId="52E427CD">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2、本项目必须采用工程量清单计价。工程量清单应采用综合单价计价。</w:t>
      </w:r>
    </w:p>
    <w:p w14:paraId="0023DADE">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3、供应商应按重庆市规划和自然资源局、重庆市财政局关于印发《重庆市土地开发整理项目预算定额标准》的通知（渝规资〔2023〕433号）及相应的配套定额和文件，结合自身实力、市场行情自主合理报价。</w:t>
      </w:r>
    </w:p>
    <w:p w14:paraId="6F9C2008">
      <w:pPr>
        <w:numPr>
          <w:ilvl w:val="0"/>
          <w:numId w:val="0"/>
        </w:numPr>
        <w:autoSpaceDE w:val="0"/>
        <w:autoSpaceDN w:val="0"/>
        <w:adjustRightInd w:val="0"/>
        <w:snapToGrid w:val="0"/>
        <w:spacing w:line="360" w:lineRule="auto"/>
        <w:ind w:firstLine="480" w:firstLineChars="200"/>
        <w:rPr>
          <w:rFonts w:hint="eastAsia" w:ascii="仿宋" w:hAnsi="仿宋" w:eastAsia="仿宋" w:cs="仿宋"/>
          <w:kern w:val="2"/>
          <w:sz w:val="21"/>
          <w:szCs w:val="21"/>
          <w:highlight w:val="none"/>
          <w:lang w:val="en-US" w:eastAsia="zh-CN" w:bidi="ar-SA"/>
        </w:rPr>
      </w:pPr>
      <w:r>
        <w:rPr>
          <w:rFonts w:hint="eastAsia" w:ascii="宋体" w:hAnsi="宋体" w:eastAsia="宋体" w:cs="宋体"/>
          <w:color w:val="auto"/>
          <w:sz w:val="24"/>
          <w:szCs w:val="24"/>
          <w:highlight w:val="none"/>
        </w:rPr>
        <w:t>4、供应商应认真填写工程量清单中所列的本合同各工程子目的单价或总价。供应商没有填入单价或总价的工程子目，采购人将认为该子目的价款已包括在工程量清单其他子目的单价和总价中。供应商必须按招标工程量清单填报价格。项目编码、项目名称、项目特征、计量单位、工程量必须与招标工程量清单一致。</w:t>
      </w:r>
      <w:r>
        <w:rPr>
          <w:rFonts w:hint="eastAsia" w:ascii="宋体" w:hAnsi="宋体" w:eastAsia="宋体" w:cs="宋体"/>
          <w:color w:val="auto"/>
          <w:sz w:val="24"/>
          <w:szCs w:val="24"/>
          <w:highlight w:val="none"/>
          <w:lang w:val="en-US" w:eastAsia="zh-CN"/>
        </w:rPr>
        <w:t>必须将报价编制依据在编制中说明，否则将被视为重大偏差，否则由评标委员会作否决投标处理。</w:t>
      </w:r>
    </w:p>
    <w:p w14:paraId="2C0EA83F">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5、报价函中的总报价必须与已标价工程量清单总报价一致。否则由评审小组作无效报价处理。</w:t>
      </w:r>
    </w:p>
    <w:p w14:paraId="31465FB4">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、采购人在工程量清单中所列出的暂列金额、暂估价、安全文明施工费，供应商不得修改。否则由评审小组作无效报价处理。</w:t>
      </w:r>
    </w:p>
    <w:p w14:paraId="3F0A9AF1">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、本工程投标总报价</w:t>
      </w:r>
      <w:r>
        <w:rPr>
          <w:rFonts w:hint="eastAsia" w:ascii="宋体" w:hAnsi="宋体" w:eastAsia="宋体" w:cs="宋体"/>
          <w:b/>
          <w:bCs/>
          <w:color w:val="auto"/>
          <w:sz w:val="24"/>
          <w:szCs w:val="24"/>
          <w:highlight w:val="none"/>
          <w:u w:val="single"/>
        </w:rPr>
        <w:t>最高限价为：</w:t>
      </w:r>
      <w:r>
        <w:rPr>
          <w:rFonts w:hint="eastAsia" w:ascii="宋体" w:hAnsi="宋体" w:cs="宋体"/>
          <w:b/>
          <w:bCs/>
          <w:color w:val="auto"/>
          <w:sz w:val="24"/>
          <w:szCs w:val="24"/>
          <w:highlight w:val="none"/>
          <w:u w:val="single"/>
          <w:lang w:eastAsia="zh-CN"/>
        </w:rPr>
        <w:t>969139.77</w:t>
      </w:r>
      <w:r>
        <w:rPr>
          <w:rFonts w:hint="eastAsia" w:ascii="宋体" w:hAnsi="宋体" w:eastAsia="宋体" w:cs="宋体"/>
          <w:b/>
          <w:bCs/>
          <w:color w:val="auto"/>
          <w:sz w:val="24"/>
          <w:szCs w:val="24"/>
          <w:highlight w:val="none"/>
          <w:u w:val="single"/>
        </w:rPr>
        <w:t>元（大写：</w:t>
      </w:r>
      <w:r>
        <w:rPr>
          <w:rFonts w:hint="eastAsia" w:ascii="宋体" w:hAnsi="宋体" w:cs="宋体"/>
          <w:b/>
          <w:bCs/>
          <w:color w:val="auto"/>
          <w:sz w:val="24"/>
          <w:szCs w:val="24"/>
          <w:highlight w:val="none"/>
          <w:u w:val="single"/>
          <w:lang w:val="en-US" w:eastAsia="zh-CN"/>
        </w:rPr>
        <w:t>玖拾陆万玖仟壹佰叁拾玖元柒角柒分</w:t>
      </w:r>
      <w:bookmarkStart w:id="354" w:name="_GoBack"/>
      <w:bookmarkEnd w:id="354"/>
      <w:r>
        <w:rPr>
          <w:rFonts w:hint="eastAsia" w:ascii="宋体" w:hAnsi="宋体" w:eastAsia="宋体" w:cs="宋体"/>
          <w:b/>
          <w:bCs/>
          <w:color w:val="auto"/>
          <w:sz w:val="24"/>
          <w:szCs w:val="24"/>
          <w:highlight w:val="none"/>
          <w:u w:val="single"/>
        </w:rPr>
        <w:t>）</w:t>
      </w:r>
      <w:r>
        <w:rPr>
          <w:rFonts w:hint="eastAsia" w:ascii="宋体" w:hAnsi="宋体" w:eastAsia="宋体" w:cs="宋体"/>
          <w:color w:val="auto"/>
          <w:sz w:val="24"/>
          <w:szCs w:val="24"/>
          <w:highlight w:val="none"/>
        </w:rPr>
        <w:t>,供应商的投标总报价不得超过投标总报价最高限价，否则由评审小组作无效报价处理。</w:t>
      </w:r>
    </w:p>
    <w:p w14:paraId="21C772DF">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本工程招标将设置全部工程量清单</w:t>
      </w:r>
      <w:r>
        <w:rPr>
          <w:rFonts w:hint="eastAsia" w:ascii="宋体" w:hAnsi="宋体" w:eastAsia="宋体" w:cs="宋体"/>
          <w:b/>
          <w:bCs/>
          <w:color w:val="auto"/>
          <w:sz w:val="24"/>
          <w:szCs w:val="24"/>
          <w:highlight w:val="none"/>
        </w:rPr>
        <w:t>综合单价最高限价，</w:t>
      </w:r>
      <w:r>
        <w:rPr>
          <w:rFonts w:hint="eastAsia" w:ascii="宋体" w:hAnsi="宋体" w:eastAsia="宋体" w:cs="宋体"/>
          <w:color w:val="auto"/>
          <w:sz w:val="24"/>
          <w:szCs w:val="24"/>
          <w:highlight w:val="none"/>
        </w:rPr>
        <w:t>供应商的每项清单综合单价报价不得超过每项清单综合单价最高限价，否则由评审小组作无效处理。</w:t>
      </w:r>
    </w:p>
    <w:p w14:paraId="2DD8677D">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安全文明施工及环境保护费</w:t>
      </w:r>
      <w:r>
        <w:rPr>
          <w:rFonts w:hint="eastAsia" w:ascii="宋体" w:hAnsi="宋体" w:eastAsia="宋体" w:cs="宋体"/>
          <w:color w:val="auto"/>
          <w:sz w:val="24"/>
          <w:szCs w:val="24"/>
          <w:highlight w:val="none"/>
        </w:rPr>
        <w:t>：</w:t>
      </w:r>
    </w:p>
    <w:p w14:paraId="33CC6462">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按工程</w:t>
      </w:r>
      <w:r>
        <w:rPr>
          <w:rFonts w:hint="eastAsia" w:ascii="宋体" w:hAnsi="宋体" w:cs="宋体"/>
          <w:color w:val="auto"/>
          <w:sz w:val="24"/>
          <w:szCs w:val="24"/>
          <w:highlight w:val="none"/>
          <w:lang w:val="en-US" w:eastAsia="zh-CN"/>
        </w:rPr>
        <w:t>施工费</w:t>
      </w:r>
      <w:r>
        <w:rPr>
          <w:rFonts w:hint="eastAsia" w:ascii="宋体" w:hAnsi="宋体" w:eastAsia="宋体" w:cs="宋体"/>
          <w:color w:val="auto"/>
          <w:sz w:val="24"/>
          <w:szCs w:val="24"/>
          <w:highlight w:val="none"/>
          <w:lang w:val="en-US" w:eastAsia="zh-CN"/>
        </w:rPr>
        <w:t>乘以安全文明施工及环境保护费费率</w:t>
      </w:r>
      <w:r>
        <w:rPr>
          <w:rFonts w:hint="eastAsia" w:ascii="宋体" w:hAnsi="宋体" w:eastAsia="宋体" w:cs="宋体"/>
          <w:b/>
          <w:bCs/>
          <w:color w:val="auto"/>
          <w:sz w:val="24"/>
          <w:szCs w:val="24"/>
          <w:highlight w:val="none"/>
          <w:lang w:val="en-US" w:eastAsia="zh-CN"/>
        </w:rPr>
        <w:t>1.35%</w:t>
      </w:r>
      <w:r>
        <w:rPr>
          <w:rFonts w:hint="eastAsia" w:ascii="宋体" w:hAnsi="宋体" w:eastAsia="宋体" w:cs="宋体"/>
          <w:color w:val="auto"/>
          <w:sz w:val="24"/>
          <w:szCs w:val="24"/>
          <w:highlight w:val="none"/>
          <w:lang w:val="en-US" w:eastAsia="zh-CN"/>
        </w:rPr>
        <w:t>计算</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安全文明施工费为：</w:t>
      </w:r>
      <w:r>
        <w:rPr>
          <w:rFonts w:hint="eastAsia" w:ascii="宋体" w:hAnsi="宋体" w:cs="宋体"/>
          <w:b/>
          <w:bCs/>
          <w:color w:val="auto"/>
          <w:sz w:val="24"/>
          <w:szCs w:val="24"/>
          <w:highlight w:val="none"/>
          <w:lang w:eastAsia="zh-CN"/>
        </w:rPr>
        <w:t>12909.11</w:t>
      </w:r>
      <w:r>
        <w:rPr>
          <w:rFonts w:hint="eastAsia" w:ascii="宋体" w:hAnsi="宋体" w:eastAsia="宋体" w:cs="宋体"/>
          <w:b/>
          <w:bCs/>
          <w:color w:val="auto"/>
          <w:sz w:val="24"/>
          <w:szCs w:val="24"/>
          <w:highlight w:val="none"/>
        </w:rPr>
        <w:t>元（大写：</w:t>
      </w:r>
      <w:r>
        <w:rPr>
          <w:rFonts w:hint="eastAsia" w:ascii="宋体" w:hAnsi="宋体" w:cs="宋体"/>
          <w:b/>
          <w:bCs/>
          <w:color w:val="auto"/>
          <w:sz w:val="24"/>
          <w:szCs w:val="24"/>
          <w:highlight w:val="none"/>
          <w:lang w:val="en-US" w:eastAsia="zh-CN"/>
        </w:rPr>
        <w:t>壹万贰仟玖佰零玖元壹角壹分</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。工程量清单报价中的安全文明施工费必须按照采购人给出的暂定金额填报，否则视为对采购文件不作实质性响应，其响应文件按无效处理。</w:t>
      </w:r>
    </w:p>
    <w:p w14:paraId="59B90C23">
      <w:pPr>
        <w:pStyle w:val="2"/>
        <w:pageBreakBefore w:val="0"/>
        <w:numPr>
          <w:ilvl w:val="0"/>
          <w:numId w:val="14"/>
        </w:numPr>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本工程人工单价根据重庆市规划和自然资源局、重庆市财政局关于印发《重庆市土地开发整理项目预算定额标准》的通知（渝规资〔2023〕433号）</w:t>
      </w:r>
      <w:r>
        <w:rPr>
          <w:rFonts w:hint="eastAsia" w:eastAsia="宋体" w:cs="宋体"/>
          <w:color w:val="auto"/>
          <w:sz w:val="24"/>
          <w:szCs w:val="24"/>
          <w:highlight w:val="none"/>
          <w:lang w:val="en-US" w:eastAsia="zh-CN"/>
        </w:rPr>
        <w:t>执行</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材料、设备等价格参照</w:t>
      </w:r>
      <w:r>
        <w:rPr>
          <w:rFonts w:hint="eastAsia" w:eastAsia="宋体" w:cs="宋体"/>
          <w:color w:val="auto"/>
          <w:sz w:val="24"/>
          <w:szCs w:val="24"/>
          <w:highlight w:val="none"/>
          <w:lang w:val="en-US" w:eastAsia="zh-CN"/>
        </w:rPr>
        <w:t>近期</w:t>
      </w:r>
      <w:r>
        <w:rPr>
          <w:rFonts w:hint="eastAsia" w:ascii="宋体" w:hAnsi="宋体" w:eastAsia="宋体" w:cs="宋体"/>
          <w:color w:val="auto"/>
          <w:sz w:val="24"/>
          <w:szCs w:val="24"/>
          <w:highlight w:val="none"/>
        </w:rPr>
        <w:t>《重庆市工程造价信息》发布大足区及重庆主城区的不含税价，信息价没有的根据大足地区周边市场价不含税价调查确定。</w:t>
      </w:r>
    </w:p>
    <w:p w14:paraId="11E013FA">
      <w:pPr>
        <w:pStyle w:val="6"/>
        <w:bidi w:val="0"/>
        <w:rPr>
          <w:rFonts w:hint="eastAsia" w:ascii="宋体" w:hAnsi="宋体" w:eastAsia="宋体" w:cs="宋体"/>
          <w:color w:val="auto"/>
          <w:sz w:val="24"/>
          <w:szCs w:val="24"/>
          <w:highlight w:val="none"/>
          <w:lang w:val="en-US" w:eastAsia="zh-CN"/>
        </w:rPr>
      </w:pPr>
      <w:bookmarkStart w:id="56" w:name="_Toc30385"/>
      <w:r>
        <w:rPr>
          <w:rFonts w:hint="eastAsia" w:ascii="宋体" w:hAnsi="宋体" w:eastAsia="宋体" w:cs="宋体"/>
          <w:color w:val="auto"/>
          <w:sz w:val="24"/>
          <w:szCs w:val="24"/>
          <w:highlight w:val="none"/>
          <w:lang w:val="en-US" w:eastAsia="zh-CN"/>
        </w:rPr>
        <w:t>四、付款方式</w:t>
      </w:r>
      <w:bookmarkEnd w:id="53"/>
      <w:bookmarkEnd w:id="54"/>
      <w:bookmarkEnd w:id="55"/>
      <w:bookmarkEnd w:id="56"/>
    </w:p>
    <w:p w14:paraId="50BDD405">
      <w:pPr>
        <w:pStyle w:val="2"/>
        <w:pageBreakBefore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bookmarkStart w:id="57" w:name="_Toc267320053"/>
      <w:bookmarkStart w:id="58" w:name="_Toc51655845"/>
      <w:bookmarkStart w:id="59" w:name="_Toc376184487"/>
      <w:r>
        <w:rPr>
          <w:rFonts w:hint="eastAsia" w:eastAsia="宋体" w:cs="宋体"/>
          <w:color w:val="auto"/>
          <w:sz w:val="24"/>
          <w:szCs w:val="24"/>
          <w:highlight w:val="none"/>
          <w:lang w:val="en-US" w:eastAsia="zh-CN"/>
        </w:rPr>
        <w:t>本复垦</w:t>
      </w:r>
      <w:r>
        <w:rPr>
          <w:rFonts w:hint="eastAsia" w:ascii="宋体" w:hAnsi="宋体" w:eastAsia="宋体" w:cs="宋体"/>
          <w:color w:val="auto"/>
          <w:sz w:val="24"/>
          <w:szCs w:val="24"/>
          <w:highlight w:val="none"/>
          <w:lang w:val="en-US" w:eastAsia="zh-CN"/>
        </w:rPr>
        <w:t>工程竣工验收合格后支付至合同价款的80%；待结算审计完成后支付至审定金额的97%，余下3%为本工程质量保修金（质量缺陷责任期满后经发包人确认保修范围整改完毕再进行支付</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若施工阶段因拆迁等问题导致部分地块延期施工超过2个月，</w:t>
      </w:r>
      <w:r>
        <w:rPr>
          <w:rFonts w:hint="eastAsia" w:eastAsia="宋体" w:cs="宋体"/>
          <w:color w:val="auto"/>
          <w:sz w:val="24"/>
          <w:szCs w:val="24"/>
          <w:highlight w:val="none"/>
          <w:lang w:val="en-US" w:eastAsia="zh-CN"/>
        </w:rPr>
        <w:t>则对</w:t>
      </w:r>
      <w:r>
        <w:rPr>
          <w:rFonts w:hint="eastAsia" w:ascii="宋体" w:hAnsi="宋体" w:eastAsia="宋体" w:cs="宋体"/>
          <w:color w:val="auto"/>
          <w:sz w:val="24"/>
          <w:szCs w:val="24"/>
          <w:highlight w:val="none"/>
          <w:lang w:val="en-US" w:eastAsia="zh-CN"/>
        </w:rPr>
        <w:t>已完工工程进行验收</w:t>
      </w:r>
      <w:r>
        <w:rPr>
          <w:rFonts w:hint="eastAsia" w:eastAsia="宋体" w:cs="宋体"/>
          <w:color w:val="auto"/>
          <w:sz w:val="24"/>
          <w:szCs w:val="24"/>
          <w:highlight w:val="none"/>
          <w:lang w:val="en-US" w:eastAsia="zh-CN"/>
        </w:rPr>
        <w:t>，验收合格后</w:t>
      </w:r>
      <w:r>
        <w:rPr>
          <w:rFonts w:hint="eastAsia" w:ascii="宋体" w:hAnsi="宋体" w:eastAsia="宋体" w:cs="宋体"/>
          <w:color w:val="auto"/>
          <w:sz w:val="24"/>
          <w:szCs w:val="24"/>
          <w:highlight w:val="none"/>
          <w:lang w:val="en-US" w:eastAsia="zh-CN"/>
        </w:rPr>
        <w:t>办理支付</w:t>
      </w:r>
      <w:r>
        <w:rPr>
          <w:rFonts w:hint="eastAsia" w:eastAsia="宋体" w:cs="宋体"/>
          <w:color w:val="auto"/>
          <w:sz w:val="24"/>
          <w:szCs w:val="24"/>
          <w:highlight w:val="none"/>
          <w:lang w:val="en-US" w:eastAsia="zh-CN"/>
        </w:rPr>
        <w:t>及结算</w:t>
      </w:r>
      <w:r>
        <w:rPr>
          <w:rFonts w:hint="eastAsia" w:ascii="宋体" w:hAnsi="宋体" w:eastAsia="宋体" w:cs="宋体"/>
          <w:color w:val="auto"/>
          <w:sz w:val="24"/>
          <w:szCs w:val="24"/>
          <w:highlight w:val="none"/>
          <w:lang w:val="en-US" w:eastAsia="zh-CN"/>
        </w:rPr>
        <w:t>手续）。</w:t>
      </w:r>
    </w:p>
    <w:p w14:paraId="5786808B">
      <w:pPr>
        <w:pStyle w:val="6"/>
        <w:bidi w:val="0"/>
        <w:rPr>
          <w:rFonts w:hint="eastAsia" w:ascii="宋体" w:hAnsi="宋体" w:eastAsia="宋体" w:cs="宋体"/>
          <w:color w:val="auto"/>
          <w:sz w:val="24"/>
          <w:szCs w:val="24"/>
          <w:highlight w:val="none"/>
        </w:rPr>
      </w:pPr>
      <w:bookmarkStart w:id="60" w:name="_Toc2803"/>
      <w:r>
        <w:rPr>
          <w:rFonts w:hint="eastAsia" w:ascii="宋体" w:hAnsi="宋体" w:eastAsia="宋体" w:cs="宋体"/>
          <w:color w:val="auto"/>
          <w:sz w:val="24"/>
          <w:szCs w:val="24"/>
          <w:highlight w:val="none"/>
          <w:lang w:val="en-US" w:eastAsia="zh-CN"/>
        </w:rPr>
        <w:t>五、</w:t>
      </w:r>
      <w:bookmarkEnd w:id="57"/>
      <w:bookmarkEnd w:id="58"/>
      <w:bookmarkEnd w:id="59"/>
      <w:bookmarkStart w:id="61" w:name="_Toc32273"/>
      <w:bookmarkStart w:id="62" w:name="_Toc267320054"/>
      <w:r>
        <w:rPr>
          <w:rFonts w:hint="eastAsia" w:ascii="宋体" w:hAnsi="宋体" w:eastAsia="宋体" w:cs="宋体"/>
          <w:color w:val="auto"/>
          <w:sz w:val="24"/>
          <w:szCs w:val="24"/>
          <w:highlight w:val="none"/>
        </w:rPr>
        <w:t>结算原则</w:t>
      </w:r>
      <w:bookmarkEnd w:id="60"/>
      <w:bookmarkEnd w:id="61"/>
    </w:p>
    <w:p w14:paraId="1B433C3C">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算总价=中标单价*实际完成工程量±增减（变更）工程造价±合同约定的其他费用，施工单位提供的工程结算价款，审减率超过5%以上的，超过部分的审减效益费用由施工单位承担，由建设单位从工程结算价中扣除。</w:t>
      </w:r>
    </w:p>
    <w:p w14:paraId="51010FDA">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2、增减（变更）工程结算： </w:t>
      </w:r>
    </w:p>
    <w:p w14:paraId="686A7694">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（1）工程内容与已标价工程量清单中有相同的子项或类似子项，则按投标时的相同子项或类似子项的综合单价执行（类似子项及综合单价由发包审定）；</w:t>
      </w:r>
    </w:p>
    <w:p w14:paraId="24168D4E">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内容如有与已标价工程量清单不同的子项（既无相同子项，又无类似子项），按编制依据：重庆市规划和自然资源局、重庆市财政局关于印发《重庆市土地开发整理项目预算定额标准》的通知（渝规资〔2023〕433号）及其他相关配套文件计算后，再按承包人报价浮动率【承包人报价浮动率=（1-中标价/投标总报价最高限价）×100%】进行下浮后结算【人工单价按《重庆市土地开发整理项目预算定额标准》的通知（渝规资〔2023〕433号）计算，材料单价按</w:t>
      </w:r>
      <w:r>
        <w:rPr>
          <w:rFonts w:hint="eastAsia" w:ascii="宋体" w:hAnsi="宋体" w:eastAsia="宋体" w:cs="宋体"/>
          <w:color w:val="auto"/>
          <w:sz w:val="24"/>
          <w:szCs w:val="24"/>
          <w:highlight w:val="none"/>
          <w:lang w:val="en-US" w:eastAsia="zh-CN"/>
        </w:rPr>
        <w:t>开标当期</w:t>
      </w:r>
      <w:r>
        <w:rPr>
          <w:rFonts w:hint="eastAsia" w:ascii="宋体" w:hAnsi="宋体" w:eastAsia="宋体" w:cs="宋体"/>
          <w:color w:val="auto"/>
          <w:sz w:val="24"/>
          <w:szCs w:val="24"/>
          <w:highlight w:val="none"/>
        </w:rPr>
        <w:t>《重庆工程造价信息》公布的大足区地区材料价格并结合当地近期市场价计算，材料价格为不含税价。下浮基数不含安全文明施工费、认质核价的材料费、规费、税金】。</w:t>
      </w:r>
    </w:p>
    <w:p w14:paraId="077E8A29">
      <w:pPr>
        <w:pStyle w:val="6"/>
        <w:bidi w:val="0"/>
        <w:rPr>
          <w:rFonts w:hint="eastAsia" w:ascii="宋体" w:hAnsi="宋体" w:eastAsia="宋体" w:cs="宋体"/>
          <w:color w:val="auto"/>
          <w:sz w:val="24"/>
          <w:szCs w:val="24"/>
          <w:highlight w:val="none"/>
          <w:lang w:val="en-US" w:eastAsia="zh-CN"/>
        </w:rPr>
      </w:pPr>
      <w:bookmarkStart w:id="63" w:name="_Toc22650"/>
      <w:r>
        <w:rPr>
          <w:rFonts w:hint="eastAsia" w:ascii="宋体" w:hAnsi="宋体" w:eastAsia="宋体" w:cs="宋体"/>
          <w:color w:val="auto"/>
          <w:sz w:val="24"/>
          <w:szCs w:val="24"/>
          <w:highlight w:val="none"/>
          <w:lang w:val="en-US" w:eastAsia="zh-CN"/>
        </w:rPr>
        <w:t>六、知识产权</w:t>
      </w:r>
      <w:bookmarkEnd w:id="63"/>
    </w:p>
    <w:p w14:paraId="45C1815F">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4FAF9FFA">
      <w:pPr>
        <w:pStyle w:val="6"/>
        <w:bidi w:val="0"/>
        <w:rPr>
          <w:rFonts w:hint="eastAsia" w:ascii="宋体" w:hAnsi="宋体" w:eastAsia="宋体" w:cs="宋体"/>
          <w:color w:val="auto"/>
          <w:sz w:val="24"/>
          <w:szCs w:val="24"/>
          <w:highlight w:val="none"/>
        </w:rPr>
      </w:pPr>
      <w:bookmarkStart w:id="64" w:name="_Toc376184488"/>
      <w:bookmarkStart w:id="65" w:name="_Toc7602"/>
      <w:bookmarkStart w:id="66" w:name="_Toc51655846"/>
      <w:r>
        <w:rPr>
          <w:rFonts w:hint="eastAsia" w:ascii="宋体" w:hAnsi="宋体" w:eastAsia="宋体" w:cs="宋体"/>
          <w:color w:val="auto"/>
          <w:sz w:val="24"/>
          <w:szCs w:val="24"/>
          <w:highlight w:val="none"/>
          <w:lang w:val="en-US" w:eastAsia="zh-CN"/>
        </w:rPr>
        <w:t>七、其他</w:t>
      </w:r>
      <w:bookmarkEnd w:id="62"/>
      <w:bookmarkEnd w:id="64"/>
      <w:bookmarkEnd w:id="65"/>
      <w:bookmarkEnd w:id="66"/>
    </w:p>
    <w:p w14:paraId="7F268637">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其他未尽事宜由供需双方在采购合同中详细约定。</w:t>
      </w:r>
      <w:bookmarkEnd w:id="46"/>
    </w:p>
    <w:p w14:paraId="55C448E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C2760EF">
      <w:pPr>
        <w:pStyle w:val="5"/>
        <w:bidi w:val="0"/>
        <w:jc w:val="center"/>
        <w:rPr>
          <w:rFonts w:hint="eastAsia" w:ascii="宋体" w:hAnsi="宋体" w:eastAsia="宋体" w:cs="宋体"/>
          <w:color w:val="auto"/>
          <w:sz w:val="24"/>
          <w:szCs w:val="24"/>
          <w:highlight w:val="none"/>
        </w:rPr>
      </w:pPr>
      <w:bookmarkStart w:id="67" w:name="_Toc7825"/>
      <w:r>
        <w:rPr>
          <w:rFonts w:hint="eastAsia" w:ascii="宋体" w:hAnsi="宋体" w:eastAsia="宋体" w:cs="宋体"/>
          <w:color w:val="auto"/>
          <w:sz w:val="24"/>
          <w:szCs w:val="24"/>
          <w:highlight w:val="none"/>
        </w:rPr>
        <w:t xml:space="preserve">第四篇  </w:t>
      </w:r>
      <w:bookmarkEnd w:id="47"/>
      <w:bookmarkEnd w:id="48"/>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程序、成交原则、无效</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及采购终止</w:t>
      </w:r>
      <w:bookmarkEnd w:id="67"/>
    </w:p>
    <w:p w14:paraId="4C1F9252">
      <w:pPr>
        <w:pStyle w:val="6"/>
        <w:bidi w:val="0"/>
        <w:rPr>
          <w:rFonts w:hint="eastAsia" w:ascii="宋体" w:hAnsi="宋体" w:eastAsia="宋体" w:cs="宋体"/>
          <w:color w:val="auto"/>
          <w:sz w:val="24"/>
          <w:szCs w:val="24"/>
          <w:highlight w:val="none"/>
          <w:lang w:val="en-US" w:eastAsia="zh-CN"/>
        </w:rPr>
      </w:pPr>
      <w:bookmarkStart w:id="68" w:name="_Toc23696"/>
      <w:r>
        <w:rPr>
          <w:rFonts w:hint="eastAsia" w:ascii="宋体" w:hAnsi="宋体" w:eastAsia="宋体" w:cs="宋体"/>
          <w:color w:val="auto"/>
          <w:sz w:val="24"/>
          <w:szCs w:val="24"/>
          <w:highlight w:val="none"/>
          <w:lang w:val="en-US" w:eastAsia="zh-CN"/>
        </w:rPr>
        <w:t>一、比选程序</w:t>
      </w:r>
      <w:bookmarkEnd w:id="68"/>
    </w:p>
    <w:p w14:paraId="2D5BCE6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kern w:val="0"/>
          <w:sz w:val="24"/>
          <w:szCs w:val="24"/>
          <w:highlight w:val="none"/>
        </w:rPr>
        <w:t>按采购文件规定的时间和地点进行，供应商须有法定代表人或授权代表参加并签到</w:t>
      </w:r>
      <w:r>
        <w:rPr>
          <w:rFonts w:hint="eastAsia" w:ascii="宋体" w:hAnsi="宋体" w:eastAsia="宋体" w:cs="宋体"/>
          <w:color w:val="auto"/>
          <w:sz w:val="24"/>
          <w:szCs w:val="24"/>
          <w:highlight w:val="none"/>
        </w:rPr>
        <w:t>。</w:t>
      </w:r>
    </w:p>
    <w:p w14:paraId="7B53CB2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评审小组对各供应商的资格条件、响应文件的有效性、完整性和响应程度进行审查。评审小组由采购人按规定组建。各供应商只有在完全符合要求的前提下，才能参与正式评审。</w:t>
      </w:r>
    </w:p>
    <w:p w14:paraId="76D113C6">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1.资格性检查。依据法律法规和</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的规定，对响应文件中的资格证明等进行审查，以确定供应商是否具备</w:t>
      </w:r>
      <w:r>
        <w:rPr>
          <w:rFonts w:hint="eastAsia" w:ascii="宋体" w:hAnsi="宋体" w:eastAsia="宋体" w:cs="宋体"/>
          <w:color w:val="auto"/>
          <w:kern w:val="0"/>
          <w:sz w:val="24"/>
          <w:szCs w:val="24"/>
          <w:highlight w:val="none"/>
          <w:lang w:eastAsia="zh-CN"/>
        </w:rPr>
        <w:t>比选</w:t>
      </w:r>
      <w:r>
        <w:rPr>
          <w:rFonts w:hint="eastAsia" w:ascii="宋体" w:hAnsi="宋体" w:eastAsia="宋体" w:cs="宋体"/>
          <w:color w:val="auto"/>
          <w:kern w:val="0"/>
          <w:sz w:val="24"/>
          <w:szCs w:val="24"/>
          <w:highlight w:val="none"/>
        </w:rPr>
        <w:t>资格。资格性检查资料表如下：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46CF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noWrap w:val="0"/>
            <w:vAlign w:val="center"/>
          </w:tcPr>
          <w:p w14:paraId="7142DA1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689" w:type="dxa"/>
            <w:gridSpan w:val="2"/>
            <w:noWrap w:val="0"/>
            <w:vAlign w:val="center"/>
          </w:tcPr>
          <w:p w14:paraId="7F6B18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241" w:type="dxa"/>
            <w:noWrap w:val="0"/>
            <w:vAlign w:val="center"/>
          </w:tcPr>
          <w:p w14:paraId="049F1A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032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trPr>
        <w:tc>
          <w:tcPr>
            <w:tcW w:w="676" w:type="dxa"/>
            <w:vMerge w:val="restart"/>
            <w:noWrap w:val="0"/>
            <w:vAlign w:val="center"/>
          </w:tcPr>
          <w:p w14:paraId="69288C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noWrap w:val="0"/>
            <w:vAlign w:val="center"/>
          </w:tcPr>
          <w:p w14:paraId="5BAD760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应符合的基本资格条件</w:t>
            </w:r>
          </w:p>
        </w:tc>
        <w:tc>
          <w:tcPr>
            <w:tcW w:w="3980" w:type="dxa"/>
            <w:noWrap w:val="0"/>
            <w:vAlign w:val="center"/>
          </w:tcPr>
          <w:p w14:paraId="7D4C787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241" w:type="dxa"/>
            <w:noWrap w:val="0"/>
            <w:vAlign w:val="center"/>
          </w:tcPr>
          <w:p w14:paraId="5A7E9C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供应商法人营业执照（副本）或事业单位法人证书（副本）或个体工商户营业执照或有效的自然人身份证明或社会团体法人登记证书复印件（注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,1)</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p>
          <w:p w14:paraId="7F9567A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供应商法定代表人身份证明和法定代表人授权代表委托书。</w:t>
            </w:r>
          </w:p>
          <w:p w14:paraId="65D1D7A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不具有独立法人的分公司、办事处等分支机构不能参加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tc>
      </w:tr>
      <w:tr w14:paraId="5216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676" w:type="dxa"/>
            <w:vMerge w:val="continue"/>
            <w:noWrap w:val="0"/>
            <w:vAlign w:val="center"/>
          </w:tcPr>
          <w:p w14:paraId="41C1611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3F2159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409030C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241" w:type="dxa"/>
            <w:vMerge w:val="restart"/>
            <w:noWrap w:val="0"/>
            <w:vAlign w:val="center"/>
          </w:tcPr>
          <w:p w14:paraId="68588E7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提供“基本资格条件承诺函”（格式详见附件）。</w:t>
            </w:r>
          </w:p>
        </w:tc>
      </w:tr>
      <w:tr w14:paraId="314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6" w:type="dxa"/>
            <w:vMerge w:val="continue"/>
            <w:noWrap w:val="0"/>
            <w:vAlign w:val="center"/>
          </w:tcPr>
          <w:p w14:paraId="351D3FC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7D8625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D315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241" w:type="dxa"/>
            <w:vMerge w:val="continue"/>
            <w:noWrap w:val="0"/>
            <w:vAlign w:val="center"/>
          </w:tcPr>
          <w:p w14:paraId="553CC1C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5042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6" w:type="dxa"/>
            <w:vMerge w:val="continue"/>
            <w:noWrap w:val="0"/>
            <w:vAlign w:val="center"/>
          </w:tcPr>
          <w:p w14:paraId="0942977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5BCA0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3C7A12D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241" w:type="dxa"/>
            <w:vMerge w:val="continue"/>
            <w:noWrap w:val="0"/>
            <w:vAlign w:val="center"/>
          </w:tcPr>
          <w:p w14:paraId="106629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1EE5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noWrap w:val="0"/>
            <w:vAlign w:val="center"/>
          </w:tcPr>
          <w:p w14:paraId="3AB2CDE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5B9BF5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F8CAA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,2)</w:instrText>
            </w:r>
            <w:r>
              <w:rPr>
                <w:rFonts w:hint="eastAsia" w:ascii="宋体" w:hAnsi="宋体" w:eastAsia="宋体" w:cs="宋体"/>
                <w:color w:val="auto"/>
                <w:sz w:val="24"/>
                <w:szCs w:val="24"/>
                <w:highlight w:val="none"/>
              </w:rPr>
              <w:fldChar w:fldCharType="end"/>
            </w:r>
          </w:p>
        </w:tc>
        <w:tc>
          <w:tcPr>
            <w:tcW w:w="4241" w:type="dxa"/>
            <w:vMerge w:val="continue"/>
            <w:noWrap w:val="0"/>
            <w:vAlign w:val="center"/>
          </w:tcPr>
          <w:p w14:paraId="461E5F8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eastAsia="zh-CN"/>
              </w:rPr>
            </w:pPr>
          </w:p>
        </w:tc>
      </w:tr>
      <w:tr w14:paraId="4887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noWrap w:val="0"/>
            <w:vAlign w:val="center"/>
          </w:tcPr>
          <w:p w14:paraId="21CEB0D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7E31C0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2E071F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241" w:type="dxa"/>
            <w:noWrap w:val="0"/>
            <w:vAlign w:val="center"/>
          </w:tcPr>
          <w:p w14:paraId="00C40EC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en-US" w:eastAsia="zh-CN"/>
              </w:rPr>
            </w:pPr>
          </w:p>
        </w:tc>
      </w:tr>
      <w:tr w14:paraId="2BA5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7E30CFF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89" w:type="dxa"/>
            <w:gridSpan w:val="2"/>
            <w:noWrap w:val="0"/>
            <w:vAlign w:val="center"/>
          </w:tcPr>
          <w:p w14:paraId="6DF4895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c>
          <w:tcPr>
            <w:tcW w:w="4241" w:type="dxa"/>
            <w:noWrap w:val="0"/>
            <w:vAlign w:val="center"/>
          </w:tcPr>
          <w:p w14:paraId="1112430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按第一篇“（二）特定资格条件”的要求提交。</w:t>
            </w:r>
          </w:p>
        </w:tc>
      </w:tr>
    </w:tbl>
    <w:p w14:paraId="7157A990">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供应商按“多证合一”登记制度办理营业执照的，组织机构代码证、税务登记证（副本）和社会保险登记证以供应商所提供的营业执照（副本）复印件为准。</w:t>
      </w:r>
    </w:p>
    <w:p w14:paraId="773CBC7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法实施条例》第十九条“参加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活动前三年内，在经营活动中没有重大违法记录”中“重大违法记录”，是指供应商因违法经营受到刑事处罚或者责令停产停业、吊销许可证或者执照、较大数额罚款等行政处罚。</w:t>
      </w:r>
    </w:p>
    <w:p w14:paraId="7AC70C39">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kern w:val="0"/>
          <w:sz w:val="24"/>
          <w:szCs w:val="24"/>
          <w:highlight w:val="none"/>
        </w:rPr>
        <w:t>从响应文件的有效性、完整性和对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的响应程度进行审查，以确定是否对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的实质性要求作出响应。符合性检查资料表如下：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454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noWrap w:val="0"/>
            <w:vAlign w:val="center"/>
          </w:tcPr>
          <w:p w14:paraId="19CC189F">
            <w:pPr>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734" w:type="dxa"/>
            <w:gridSpan w:val="2"/>
            <w:noWrap w:val="0"/>
            <w:vAlign w:val="center"/>
          </w:tcPr>
          <w:p w14:paraId="6674F77E">
            <w:pPr>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156" w:type="dxa"/>
            <w:noWrap w:val="0"/>
            <w:vAlign w:val="center"/>
          </w:tcPr>
          <w:p w14:paraId="5AE8928D">
            <w:pPr>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3B3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noWrap w:val="0"/>
            <w:vAlign w:val="center"/>
          </w:tcPr>
          <w:p w14:paraId="003EEBF5">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97" w:type="dxa"/>
            <w:vMerge w:val="restart"/>
            <w:noWrap w:val="0"/>
            <w:vAlign w:val="center"/>
          </w:tcPr>
          <w:p w14:paraId="3A404903">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2237" w:type="dxa"/>
            <w:noWrap w:val="0"/>
            <w:vAlign w:val="center"/>
          </w:tcPr>
          <w:p w14:paraId="3ADC78A2">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sz w:val="24"/>
                <w:szCs w:val="24"/>
                <w:highlight w:val="none"/>
              </w:rPr>
              <w:t>签署或盖章</w:t>
            </w:r>
          </w:p>
        </w:tc>
        <w:tc>
          <w:tcPr>
            <w:tcW w:w="5156" w:type="dxa"/>
            <w:noWrap w:val="0"/>
            <w:vAlign w:val="center"/>
          </w:tcPr>
          <w:p w14:paraId="2C2162B2">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按照采购文件</w:t>
            </w:r>
            <w:r>
              <w:rPr>
                <w:rFonts w:hint="eastAsia" w:ascii="宋体" w:hAnsi="宋体" w:eastAsia="宋体" w:cs="宋体"/>
                <w:color w:val="auto"/>
                <w:sz w:val="24"/>
                <w:szCs w:val="24"/>
                <w:highlight w:val="none"/>
              </w:rPr>
              <w:t>“第七篇 响应文件格式要求”要求签署或盖章。</w:t>
            </w:r>
          </w:p>
        </w:tc>
      </w:tr>
      <w:tr w14:paraId="0BC2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38" w:type="dxa"/>
            <w:vMerge w:val="continue"/>
            <w:noWrap w:val="0"/>
            <w:vAlign w:val="center"/>
          </w:tcPr>
          <w:p w14:paraId="23161EAE">
            <w:pPr>
              <w:spacing w:line="240" w:lineRule="auto"/>
              <w:jc w:val="center"/>
              <w:rPr>
                <w:rFonts w:hint="eastAsia" w:ascii="宋体" w:hAnsi="宋体" w:eastAsia="宋体" w:cs="宋体"/>
                <w:color w:val="auto"/>
                <w:kern w:val="0"/>
                <w:sz w:val="24"/>
                <w:szCs w:val="24"/>
                <w:highlight w:val="none"/>
              </w:rPr>
            </w:pPr>
          </w:p>
        </w:tc>
        <w:tc>
          <w:tcPr>
            <w:tcW w:w="1497" w:type="dxa"/>
            <w:vMerge w:val="continue"/>
            <w:noWrap w:val="0"/>
            <w:vAlign w:val="center"/>
          </w:tcPr>
          <w:p w14:paraId="39C96F9E">
            <w:pPr>
              <w:spacing w:line="240" w:lineRule="auto"/>
              <w:jc w:val="left"/>
              <w:rPr>
                <w:rFonts w:hint="eastAsia" w:ascii="宋体" w:hAnsi="宋体" w:eastAsia="宋体" w:cs="宋体"/>
                <w:color w:val="auto"/>
                <w:kern w:val="0"/>
                <w:sz w:val="24"/>
                <w:szCs w:val="24"/>
                <w:highlight w:val="none"/>
              </w:rPr>
            </w:pPr>
          </w:p>
        </w:tc>
        <w:tc>
          <w:tcPr>
            <w:tcW w:w="2237" w:type="dxa"/>
            <w:noWrap w:val="0"/>
            <w:vAlign w:val="center"/>
          </w:tcPr>
          <w:p w14:paraId="04D22B3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156" w:type="dxa"/>
            <w:noWrap w:val="0"/>
            <w:vAlign w:val="center"/>
          </w:tcPr>
          <w:p w14:paraId="33A7339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法定代表人身份证明及授权委托书有效，符合比选采购文件规定的格式，签署或盖章齐全。</w:t>
            </w:r>
          </w:p>
        </w:tc>
      </w:tr>
      <w:tr w14:paraId="759B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noWrap w:val="0"/>
            <w:vAlign w:val="center"/>
          </w:tcPr>
          <w:p w14:paraId="11191F4D">
            <w:pPr>
              <w:spacing w:line="240" w:lineRule="auto"/>
              <w:jc w:val="center"/>
              <w:rPr>
                <w:rFonts w:hint="eastAsia" w:ascii="宋体" w:hAnsi="宋体" w:eastAsia="宋体" w:cs="宋体"/>
                <w:color w:val="auto"/>
                <w:kern w:val="0"/>
                <w:sz w:val="24"/>
                <w:szCs w:val="24"/>
                <w:highlight w:val="none"/>
              </w:rPr>
            </w:pPr>
          </w:p>
        </w:tc>
        <w:tc>
          <w:tcPr>
            <w:tcW w:w="1497" w:type="dxa"/>
            <w:vMerge w:val="continue"/>
            <w:noWrap w:val="0"/>
            <w:vAlign w:val="center"/>
          </w:tcPr>
          <w:p w14:paraId="4280F2D2">
            <w:pPr>
              <w:spacing w:line="240" w:lineRule="auto"/>
              <w:jc w:val="left"/>
              <w:rPr>
                <w:rFonts w:hint="eastAsia" w:ascii="宋体" w:hAnsi="宋体" w:eastAsia="宋体" w:cs="宋体"/>
                <w:color w:val="auto"/>
                <w:kern w:val="0"/>
                <w:sz w:val="24"/>
                <w:szCs w:val="24"/>
                <w:highlight w:val="none"/>
              </w:rPr>
            </w:pPr>
          </w:p>
        </w:tc>
        <w:tc>
          <w:tcPr>
            <w:tcW w:w="2237" w:type="dxa"/>
            <w:noWrap w:val="0"/>
            <w:vAlign w:val="center"/>
          </w:tcPr>
          <w:p w14:paraId="13AFC1F7">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156" w:type="dxa"/>
            <w:noWrap w:val="0"/>
            <w:vAlign w:val="center"/>
          </w:tcPr>
          <w:p w14:paraId="1137F833">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65D1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noWrap w:val="0"/>
            <w:vAlign w:val="center"/>
          </w:tcPr>
          <w:p w14:paraId="14919234">
            <w:pPr>
              <w:spacing w:line="240" w:lineRule="auto"/>
              <w:jc w:val="center"/>
              <w:rPr>
                <w:rFonts w:hint="eastAsia" w:ascii="宋体" w:hAnsi="宋体" w:eastAsia="宋体" w:cs="宋体"/>
                <w:color w:val="auto"/>
                <w:kern w:val="0"/>
                <w:sz w:val="24"/>
                <w:szCs w:val="24"/>
                <w:highlight w:val="none"/>
              </w:rPr>
            </w:pPr>
          </w:p>
        </w:tc>
        <w:tc>
          <w:tcPr>
            <w:tcW w:w="1497" w:type="dxa"/>
            <w:vMerge w:val="continue"/>
            <w:noWrap w:val="0"/>
            <w:vAlign w:val="center"/>
          </w:tcPr>
          <w:p w14:paraId="3F33E0F0">
            <w:pPr>
              <w:spacing w:line="240" w:lineRule="auto"/>
              <w:jc w:val="left"/>
              <w:rPr>
                <w:rFonts w:hint="eastAsia" w:ascii="宋体" w:hAnsi="宋体" w:eastAsia="宋体" w:cs="宋体"/>
                <w:color w:val="auto"/>
                <w:kern w:val="0"/>
                <w:sz w:val="24"/>
                <w:szCs w:val="24"/>
                <w:highlight w:val="none"/>
              </w:rPr>
            </w:pPr>
          </w:p>
        </w:tc>
        <w:tc>
          <w:tcPr>
            <w:tcW w:w="2237" w:type="dxa"/>
            <w:noWrap w:val="0"/>
            <w:vAlign w:val="center"/>
          </w:tcPr>
          <w:p w14:paraId="049BA104">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156" w:type="dxa"/>
            <w:noWrap w:val="0"/>
            <w:vAlign w:val="center"/>
          </w:tcPr>
          <w:p w14:paraId="7B970BF2">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w:t>
            </w:r>
            <w:r>
              <w:rPr>
                <w:rFonts w:hint="eastAsia" w:ascii="宋体" w:hAnsi="宋体" w:eastAsia="宋体" w:cs="宋体"/>
                <w:color w:val="auto"/>
                <w:sz w:val="24"/>
                <w:szCs w:val="24"/>
                <w:highlight w:val="none"/>
              </w:rPr>
              <w:t>或限价内</w:t>
            </w:r>
            <w:r>
              <w:rPr>
                <w:rFonts w:hint="eastAsia" w:ascii="宋体" w:hAnsi="宋体" w:eastAsia="宋体" w:cs="宋体"/>
                <w:color w:val="auto"/>
                <w:sz w:val="24"/>
                <w:szCs w:val="24"/>
                <w:highlight w:val="none"/>
                <w:lang w:val="zh-CN"/>
              </w:rPr>
              <w:t>报价，</w:t>
            </w:r>
            <w:r>
              <w:rPr>
                <w:rFonts w:hint="eastAsia" w:ascii="宋体" w:hAnsi="宋体" w:eastAsia="宋体" w:cs="宋体"/>
                <w:color w:val="auto"/>
                <w:sz w:val="24"/>
                <w:szCs w:val="24"/>
                <w:highlight w:val="none"/>
              </w:rPr>
              <w:t>只能有一个有效报价，不得提交选择性报价。</w:t>
            </w:r>
          </w:p>
        </w:tc>
      </w:tr>
      <w:tr w14:paraId="38B0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0B68BFC3">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97" w:type="dxa"/>
            <w:noWrap w:val="0"/>
            <w:vAlign w:val="center"/>
          </w:tcPr>
          <w:p w14:paraId="412343F0">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2237" w:type="dxa"/>
            <w:noWrap w:val="0"/>
            <w:vAlign w:val="center"/>
          </w:tcPr>
          <w:p w14:paraId="57659B29">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份数</w:t>
            </w:r>
          </w:p>
        </w:tc>
        <w:tc>
          <w:tcPr>
            <w:tcW w:w="5156" w:type="dxa"/>
            <w:noWrap w:val="0"/>
            <w:vAlign w:val="center"/>
          </w:tcPr>
          <w:p w14:paraId="42686293">
            <w:pPr>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正、副本数量符合</w:t>
            </w:r>
            <w:r>
              <w:rPr>
                <w:rFonts w:hint="eastAsia" w:ascii="宋体" w:hAnsi="宋体" w:eastAsia="宋体" w:cs="宋体"/>
                <w:color w:val="auto"/>
                <w:kern w:val="0"/>
                <w:sz w:val="24"/>
                <w:szCs w:val="24"/>
                <w:highlight w:val="none"/>
              </w:rPr>
              <w:t>采购文件</w:t>
            </w:r>
            <w:r>
              <w:rPr>
                <w:rFonts w:hint="eastAsia" w:ascii="宋体" w:hAnsi="宋体" w:eastAsia="宋体" w:cs="宋体"/>
                <w:color w:val="auto"/>
                <w:kern w:val="0"/>
                <w:sz w:val="24"/>
                <w:szCs w:val="24"/>
                <w:highlight w:val="none"/>
                <w:lang w:val="zh-CN"/>
              </w:rPr>
              <w:t>要求。</w:t>
            </w:r>
          </w:p>
        </w:tc>
      </w:tr>
      <w:tr w14:paraId="3DD8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noWrap w:val="0"/>
            <w:vAlign w:val="center"/>
          </w:tcPr>
          <w:p w14:paraId="68E9A4A9">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97" w:type="dxa"/>
            <w:vMerge w:val="restart"/>
            <w:noWrap w:val="0"/>
            <w:vAlign w:val="center"/>
          </w:tcPr>
          <w:p w14:paraId="66085775">
            <w:pPr>
              <w:spacing w:line="24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采购文件的响应程度审查</w:t>
            </w:r>
          </w:p>
        </w:tc>
        <w:tc>
          <w:tcPr>
            <w:tcW w:w="2237" w:type="dxa"/>
            <w:noWrap w:val="0"/>
            <w:vAlign w:val="center"/>
          </w:tcPr>
          <w:p w14:paraId="163A4C9C">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rPr>
              <w:t>内容</w:t>
            </w:r>
          </w:p>
        </w:tc>
        <w:tc>
          <w:tcPr>
            <w:tcW w:w="5156" w:type="dxa"/>
            <w:noWrap w:val="0"/>
            <w:vAlign w:val="center"/>
          </w:tcPr>
          <w:p w14:paraId="5225F333">
            <w:pPr>
              <w:pStyle w:val="35"/>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对采购文件内容进行响应。</w:t>
            </w:r>
          </w:p>
        </w:tc>
      </w:tr>
      <w:tr w14:paraId="2554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noWrap w:val="0"/>
            <w:vAlign w:val="center"/>
          </w:tcPr>
          <w:p w14:paraId="48E84CD3">
            <w:pPr>
              <w:spacing w:line="240" w:lineRule="auto"/>
              <w:jc w:val="center"/>
              <w:rPr>
                <w:rFonts w:hint="eastAsia" w:ascii="宋体" w:hAnsi="宋体" w:eastAsia="宋体" w:cs="宋体"/>
                <w:color w:val="auto"/>
                <w:kern w:val="0"/>
                <w:sz w:val="24"/>
                <w:szCs w:val="24"/>
                <w:highlight w:val="none"/>
              </w:rPr>
            </w:pPr>
          </w:p>
        </w:tc>
        <w:tc>
          <w:tcPr>
            <w:tcW w:w="1497" w:type="dxa"/>
            <w:vMerge w:val="continue"/>
            <w:noWrap w:val="0"/>
            <w:vAlign w:val="center"/>
          </w:tcPr>
          <w:p w14:paraId="67DB2F19">
            <w:pPr>
              <w:spacing w:line="240" w:lineRule="auto"/>
              <w:rPr>
                <w:rFonts w:hint="eastAsia" w:ascii="宋体" w:hAnsi="宋体" w:eastAsia="宋体" w:cs="宋体"/>
                <w:color w:val="auto"/>
                <w:sz w:val="24"/>
                <w:szCs w:val="24"/>
                <w:highlight w:val="none"/>
                <w:lang w:val="zh-CN"/>
              </w:rPr>
            </w:pPr>
          </w:p>
        </w:tc>
        <w:tc>
          <w:tcPr>
            <w:tcW w:w="2237" w:type="dxa"/>
            <w:noWrap w:val="0"/>
            <w:vAlign w:val="center"/>
          </w:tcPr>
          <w:p w14:paraId="2A02D07F">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采购有效期</w:t>
            </w:r>
          </w:p>
        </w:tc>
        <w:tc>
          <w:tcPr>
            <w:tcW w:w="5156" w:type="dxa"/>
            <w:noWrap w:val="0"/>
            <w:vAlign w:val="center"/>
          </w:tcPr>
          <w:p w14:paraId="20C35469">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响应文件及有关承诺文件有效期为提交响应文件截止时间起90天。</w:t>
            </w:r>
          </w:p>
        </w:tc>
      </w:tr>
    </w:tbl>
    <w:p w14:paraId="47D49B76">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C1782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F4C904D">
      <w:pPr>
        <w:keepNext w:val="0"/>
        <w:keepLines w:val="0"/>
        <w:pageBreakBefore w:val="0"/>
        <w:kinsoku/>
        <w:wordWrap/>
        <w:overflowPunct/>
        <w:topLinePunct w:val="0"/>
        <w:autoSpaceDE/>
        <w:autoSpaceDN/>
        <w:bidi w:val="0"/>
        <w:adjustRightInd/>
        <w:spacing w:line="400" w:lineRule="exact"/>
        <w:ind w:firstLine="480" w:firstLineChars="200"/>
        <w:textAlignment w:val="auto"/>
        <w:rPr>
          <w:rStyle w:val="76"/>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（五）在</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的任何一方不得向他人透露与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有关的技术资料、价格或其他信息。</w:t>
      </w:r>
      <w:bookmarkStart w:id="69" w:name="_Toc453076389"/>
    </w:p>
    <w:p w14:paraId="581EC44C">
      <w:pPr>
        <w:pStyle w:val="6"/>
        <w:bidi w:val="0"/>
        <w:rPr>
          <w:rFonts w:hint="eastAsia" w:ascii="宋体" w:hAnsi="宋体" w:eastAsia="宋体" w:cs="宋体"/>
          <w:color w:val="auto"/>
          <w:sz w:val="24"/>
          <w:szCs w:val="24"/>
          <w:highlight w:val="none"/>
          <w:lang w:val="en-US" w:eastAsia="zh-CN"/>
        </w:rPr>
      </w:pPr>
      <w:bookmarkStart w:id="70" w:name="_Toc2608"/>
      <w:r>
        <w:rPr>
          <w:rFonts w:hint="eastAsia" w:ascii="宋体" w:hAnsi="宋体" w:eastAsia="宋体" w:cs="宋体"/>
          <w:color w:val="auto"/>
          <w:sz w:val="24"/>
          <w:szCs w:val="24"/>
          <w:highlight w:val="none"/>
          <w:lang w:val="en-US" w:eastAsia="zh-CN"/>
        </w:rPr>
        <w:t>二、</w:t>
      </w:r>
      <w:bookmarkEnd w:id="69"/>
      <w:r>
        <w:rPr>
          <w:rFonts w:hint="eastAsia" w:ascii="宋体" w:hAnsi="宋体" w:eastAsia="宋体" w:cs="宋体"/>
          <w:color w:val="auto"/>
          <w:sz w:val="24"/>
          <w:szCs w:val="24"/>
          <w:highlight w:val="none"/>
          <w:lang w:val="en-US" w:eastAsia="zh-CN"/>
        </w:rPr>
        <w:t>成交原则</w:t>
      </w:r>
      <w:bookmarkEnd w:id="70"/>
    </w:p>
    <w:p w14:paraId="7A8F592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（一）评标办法：</w:t>
      </w:r>
    </w:p>
    <w:p w14:paraId="1412734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采用综合评分法对资格性检查和符合性检查合格的供应商的响应文件和报价进行综合评分，综合评分法是指响应文件满足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全部实质性要求且按照评审因素的量化指标评审得分最高的供应商为成交候选供应商的评审方法。供应商总得分为价格、技术等评定因素分别按照相应权重值计算分项得分后相加，满分为100分。</w:t>
      </w:r>
    </w:p>
    <w:p w14:paraId="7607C26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各成员独立对每个有效响应（通过资格性检查、符合性检查的供应商）的文件进行评价、打分，然后汇总每个供应商每项评分因素的得分，按评审后得分由高到低的排列顺序推荐综合得分排名前三的供应商为本项目成交候选供应商，排名第一的为第一成交候选供应商。若供应商的评审得分相同的，按照报价由低到高的顺序排列推荐。评审得分且报价相同的，由采购人自行选择成交供应商。</w:t>
      </w:r>
    </w:p>
    <w:p w14:paraId="5414E0E5">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（二）评审标准</w:t>
      </w:r>
    </w:p>
    <w:tbl>
      <w:tblPr>
        <w:tblStyle w:val="6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211"/>
        <w:gridCol w:w="536"/>
        <w:gridCol w:w="5251"/>
        <w:gridCol w:w="2228"/>
      </w:tblGrid>
      <w:tr w14:paraId="1F17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61" w:type="pct"/>
            <w:vAlign w:val="center"/>
          </w:tcPr>
          <w:p w14:paraId="44C03D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rPr>
            </w:pPr>
            <w:bookmarkStart w:id="71" w:name="_Toc22238"/>
            <w:r>
              <w:rPr>
                <w:rFonts w:hint="eastAsia" w:ascii="宋体" w:hAnsi="宋体" w:eastAsia="宋体" w:cs="宋体"/>
                <w:b/>
                <w:bCs/>
                <w:color w:val="auto"/>
                <w:sz w:val="24"/>
                <w:szCs w:val="24"/>
                <w:highlight w:val="none"/>
              </w:rPr>
              <w:t>序号</w:t>
            </w:r>
            <w:bookmarkEnd w:id="71"/>
          </w:p>
        </w:tc>
        <w:tc>
          <w:tcPr>
            <w:tcW w:w="622" w:type="pct"/>
            <w:vAlign w:val="center"/>
          </w:tcPr>
          <w:p w14:paraId="1E79AA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rPr>
            </w:pPr>
            <w:bookmarkStart w:id="72" w:name="_Toc3274"/>
            <w:r>
              <w:rPr>
                <w:rFonts w:hint="eastAsia" w:ascii="宋体" w:hAnsi="宋体" w:eastAsia="宋体" w:cs="宋体"/>
                <w:b/>
                <w:bCs/>
                <w:color w:val="auto"/>
                <w:sz w:val="24"/>
                <w:szCs w:val="24"/>
                <w:highlight w:val="none"/>
              </w:rPr>
              <w:t>评分因素</w:t>
            </w:r>
            <w:bookmarkEnd w:id="72"/>
          </w:p>
          <w:p w14:paraId="32F130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rPr>
            </w:pPr>
            <w:bookmarkStart w:id="73" w:name="_Toc3483"/>
            <w:r>
              <w:rPr>
                <w:rFonts w:hint="eastAsia" w:ascii="宋体" w:hAnsi="宋体" w:eastAsia="宋体" w:cs="宋体"/>
                <w:b/>
                <w:bCs/>
                <w:color w:val="auto"/>
                <w:sz w:val="24"/>
                <w:szCs w:val="24"/>
                <w:highlight w:val="none"/>
              </w:rPr>
              <w:t>及权重</w:t>
            </w:r>
            <w:bookmarkEnd w:id="73"/>
          </w:p>
        </w:tc>
        <w:tc>
          <w:tcPr>
            <w:tcW w:w="275" w:type="pct"/>
            <w:vAlign w:val="center"/>
          </w:tcPr>
          <w:p w14:paraId="2B0A7A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rPr>
            </w:pPr>
            <w:bookmarkStart w:id="74" w:name="_Toc26905"/>
            <w:r>
              <w:rPr>
                <w:rFonts w:hint="eastAsia" w:ascii="宋体" w:hAnsi="宋体" w:eastAsia="宋体" w:cs="宋体"/>
                <w:b/>
                <w:bCs/>
                <w:color w:val="auto"/>
                <w:sz w:val="24"/>
                <w:szCs w:val="24"/>
                <w:highlight w:val="none"/>
              </w:rPr>
              <w:t>分值</w:t>
            </w:r>
            <w:bookmarkEnd w:id="74"/>
          </w:p>
        </w:tc>
        <w:tc>
          <w:tcPr>
            <w:tcW w:w="2696" w:type="pct"/>
            <w:vAlign w:val="center"/>
          </w:tcPr>
          <w:p w14:paraId="0659E7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rPr>
            </w:pPr>
            <w:bookmarkStart w:id="75" w:name="_Toc11202"/>
            <w:r>
              <w:rPr>
                <w:rFonts w:hint="eastAsia" w:ascii="宋体" w:hAnsi="宋体" w:eastAsia="宋体" w:cs="宋体"/>
                <w:b/>
                <w:bCs/>
                <w:color w:val="auto"/>
                <w:sz w:val="24"/>
                <w:szCs w:val="24"/>
                <w:highlight w:val="none"/>
              </w:rPr>
              <w:t>评分标准</w:t>
            </w:r>
            <w:bookmarkEnd w:id="75"/>
          </w:p>
        </w:tc>
        <w:tc>
          <w:tcPr>
            <w:tcW w:w="1144" w:type="pct"/>
            <w:vAlign w:val="center"/>
          </w:tcPr>
          <w:p w14:paraId="1E481E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rPr>
            </w:pPr>
            <w:bookmarkStart w:id="76" w:name="_Toc22413"/>
            <w:r>
              <w:rPr>
                <w:rFonts w:hint="eastAsia" w:ascii="宋体" w:hAnsi="宋体" w:eastAsia="宋体" w:cs="宋体"/>
                <w:b/>
                <w:bCs/>
                <w:color w:val="auto"/>
                <w:sz w:val="24"/>
                <w:szCs w:val="24"/>
                <w:highlight w:val="none"/>
              </w:rPr>
              <w:t>说明</w:t>
            </w:r>
            <w:bookmarkEnd w:id="76"/>
          </w:p>
        </w:tc>
      </w:tr>
      <w:tr w14:paraId="736D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261" w:type="pct"/>
            <w:vAlign w:val="center"/>
          </w:tcPr>
          <w:p w14:paraId="2FCF29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bookmarkStart w:id="77" w:name="_Toc24391"/>
            <w:r>
              <w:rPr>
                <w:rFonts w:hint="eastAsia" w:ascii="宋体" w:hAnsi="宋体" w:eastAsia="宋体" w:cs="宋体"/>
                <w:color w:val="auto"/>
                <w:sz w:val="24"/>
                <w:szCs w:val="24"/>
                <w:highlight w:val="none"/>
              </w:rPr>
              <w:t>1</w:t>
            </w:r>
            <w:bookmarkEnd w:id="77"/>
          </w:p>
        </w:tc>
        <w:tc>
          <w:tcPr>
            <w:tcW w:w="622" w:type="pct"/>
            <w:vAlign w:val="center"/>
          </w:tcPr>
          <w:p w14:paraId="131FE9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bookmarkStart w:id="78" w:name="_Toc13176"/>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报价</w:t>
            </w:r>
            <w:bookmarkEnd w:id="78"/>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275" w:type="pct"/>
            <w:vAlign w:val="center"/>
          </w:tcPr>
          <w:p w14:paraId="17DA5D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2696" w:type="pct"/>
            <w:vAlign w:val="center"/>
          </w:tcPr>
          <w:p w14:paraId="03913566">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评标基准价的计算：</w:t>
            </w:r>
          </w:p>
          <w:p w14:paraId="16E58EBA">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有效的投标报价中的</w:t>
            </w:r>
            <w:r>
              <w:rPr>
                <w:rFonts w:hint="eastAsia" w:ascii="宋体" w:hAnsi="宋体" w:eastAsia="宋体" w:cs="宋体"/>
                <w:color w:val="auto"/>
                <w:kern w:val="0"/>
                <w:sz w:val="21"/>
                <w:szCs w:val="21"/>
                <w:highlight w:val="none"/>
                <w:lang w:eastAsia="zh-CN"/>
              </w:rPr>
              <w:t>最低价</w:t>
            </w:r>
            <w:r>
              <w:rPr>
                <w:rFonts w:hint="eastAsia" w:ascii="宋体" w:hAnsi="宋体" w:eastAsia="宋体" w:cs="宋体"/>
                <w:color w:val="auto"/>
                <w:kern w:val="0"/>
                <w:sz w:val="21"/>
                <w:szCs w:val="21"/>
                <w:highlight w:val="none"/>
              </w:rPr>
              <w:t>作为评标基准价，按照下列公式计算每个</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的投标价格得分。</w:t>
            </w:r>
          </w:p>
          <w:p w14:paraId="02392201">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1"/>
                <w:szCs w:val="21"/>
                <w:highlight w:val="none"/>
              </w:rPr>
              <w:t>投标报价得分＝（评标基准价/投标报价）×价格权重×100。</w:t>
            </w:r>
          </w:p>
        </w:tc>
        <w:tc>
          <w:tcPr>
            <w:tcW w:w="1144" w:type="pct"/>
            <w:vAlign w:val="center"/>
          </w:tcPr>
          <w:p w14:paraId="293C9CE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lang w:eastAsia="zh-CN"/>
              </w:rPr>
            </w:pPr>
            <w:bookmarkStart w:id="79" w:name="_Toc20147"/>
            <w:r>
              <w:rPr>
                <w:rFonts w:hint="eastAsia" w:ascii="宋体" w:hAnsi="宋体" w:eastAsia="宋体" w:cs="宋体"/>
                <w:b/>
                <w:bCs/>
                <w:color w:val="auto"/>
                <w:sz w:val="24"/>
                <w:szCs w:val="24"/>
                <w:highlight w:val="none"/>
              </w:rPr>
              <w:t>报价高于最高限价的为无效报价</w:t>
            </w:r>
            <w:bookmarkEnd w:id="79"/>
            <w:r>
              <w:rPr>
                <w:rFonts w:hint="eastAsia" w:ascii="宋体" w:hAnsi="宋体" w:eastAsia="宋体" w:cs="宋体"/>
                <w:b/>
                <w:bCs/>
                <w:color w:val="auto"/>
                <w:sz w:val="24"/>
                <w:szCs w:val="24"/>
                <w:highlight w:val="none"/>
                <w:lang w:eastAsia="zh-CN"/>
              </w:rPr>
              <w:t>，不进入评标评标基准价中</w:t>
            </w:r>
          </w:p>
        </w:tc>
      </w:tr>
      <w:tr w14:paraId="303D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1" w:type="pct"/>
            <w:vMerge w:val="restart"/>
            <w:vAlign w:val="center"/>
          </w:tcPr>
          <w:p w14:paraId="25DA517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22" w:type="pct"/>
            <w:vMerge w:val="restart"/>
            <w:vAlign w:val="center"/>
          </w:tcPr>
          <w:p w14:paraId="0497AD5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bookmarkStart w:id="80" w:name="_Toc200"/>
            <w:r>
              <w:rPr>
                <w:rFonts w:hint="eastAsia" w:ascii="宋体" w:hAnsi="宋体" w:eastAsia="宋体" w:cs="宋体"/>
                <w:color w:val="auto"/>
                <w:sz w:val="24"/>
                <w:szCs w:val="24"/>
                <w:highlight w:val="none"/>
              </w:rPr>
              <w:t>技术部分</w:t>
            </w:r>
            <w:bookmarkEnd w:id="80"/>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p>
        </w:tc>
        <w:tc>
          <w:tcPr>
            <w:tcW w:w="275" w:type="pct"/>
            <w:vMerge w:val="restart"/>
            <w:vAlign w:val="center"/>
          </w:tcPr>
          <w:p w14:paraId="2CE9B18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0</w:t>
            </w:r>
          </w:p>
        </w:tc>
        <w:tc>
          <w:tcPr>
            <w:tcW w:w="5251" w:type="dxa"/>
            <w:vAlign w:val="center"/>
          </w:tcPr>
          <w:p w14:paraId="09D9076C">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1.施工方案 （14分）</w:t>
            </w:r>
          </w:p>
          <w:p w14:paraId="590AD137">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本项目的实际情况，提供施工方案，包含不限于施工方法、施工顺序、施工器具、施工技术、施工材料、对施工现场周围环境污染的保护措施等。方案详实、具体、可行得9-14分，方案较详实、具体、可行得4-8分，方案不够详实、具体，但具有一定可行性得1-3分，未提供得0分。</w:t>
            </w:r>
          </w:p>
        </w:tc>
        <w:tc>
          <w:tcPr>
            <w:tcW w:w="1144" w:type="pct"/>
            <w:vMerge w:val="restart"/>
            <w:vAlign w:val="center"/>
          </w:tcPr>
          <w:p w14:paraId="02F3083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全体成员对技术部分每项独立进行评审打分，取算术平均值为该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技术部分得分。得分保留至小数点后两位，第三位四舍五入。</w:t>
            </w: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24"/>
                <w:highlight w:val="none"/>
                <w:lang w:eastAsia="zh-CN"/>
              </w:rPr>
              <w:t>需</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eastAsia="zh-CN"/>
              </w:rPr>
              <w:t>服务</w:t>
            </w:r>
            <w:r>
              <w:rPr>
                <w:rFonts w:hint="eastAsia" w:ascii="宋体" w:hAnsi="宋体" w:eastAsia="宋体" w:cs="宋体"/>
                <w:b/>
                <w:bCs/>
                <w:color w:val="auto"/>
                <w:sz w:val="24"/>
                <w:szCs w:val="24"/>
                <w:highlight w:val="none"/>
              </w:rPr>
              <w:t>方案</w:t>
            </w:r>
            <w:r>
              <w:rPr>
                <w:rFonts w:hint="eastAsia" w:ascii="宋体" w:hAnsi="宋体" w:eastAsia="宋体" w:cs="宋体"/>
                <w:b/>
                <w:bCs/>
                <w:color w:val="auto"/>
                <w:sz w:val="24"/>
                <w:szCs w:val="24"/>
                <w:highlight w:val="none"/>
                <w:lang w:eastAsia="zh-CN"/>
              </w:rPr>
              <w:t>。（格式详见响应文件编制要求）</w:t>
            </w:r>
          </w:p>
        </w:tc>
      </w:tr>
      <w:tr w14:paraId="3331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61" w:type="pct"/>
            <w:vMerge w:val="continue"/>
            <w:vAlign w:val="center"/>
          </w:tcPr>
          <w:p w14:paraId="7448FD1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622" w:type="pct"/>
            <w:vMerge w:val="continue"/>
            <w:vAlign w:val="center"/>
          </w:tcPr>
          <w:p w14:paraId="062EFCD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75" w:type="pct"/>
            <w:vMerge w:val="continue"/>
            <w:vAlign w:val="center"/>
          </w:tcPr>
          <w:p w14:paraId="113223A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5251" w:type="dxa"/>
            <w:vAlign w:val="center"/>
          </w:tcPr>
          <w:p w14:paraId="6816A667">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2.施工配置情况（14分）</w:t>
            </w:r>
          </w:p>
          <w:p w14:paraId="489992E0">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施工设备配置情况，包含不限于施工组织架构、人员配备、资源配备及设备配置等。方案详实、具体、可行得9-14分，方案较详实、具体、可行得4-8分，方案不够详实、具体，但具有一定可行性得1-3分，未提供得0分。</w:t>
            </w:r>
          </w:p>
        </w:tc>
        <w:tc>
          <w:tcPr>
            <w:tcW w:w="1144" w:type="pct"/>
            <w:vMerge w:val="continue"/>
            <w:vAlign w:val="center"/>
          </w:tcPr>
          <w:p w14:paraId="0BC1CDB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040E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61" w:type="pct"/>
            <w:vMerge w:val="continue"/>
            <w:vAlign w:val="center"/>
          </w:tcPr>
          <w:p w14:paraId="6290693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622" w:type="pct"/>
            <w:vMerge w:val="continue"/>
            <w:vAlign w:val="center"/>
          </w:tcPr>
          <w:p w14:paraId="0B28A36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75" w:type="pct"/>
            <w:vMerge w:val="continue"/>
            <w:vAlign w:val="center"/>
          </w:tcPr>
          <w:p w14:paraId="0215992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5251" w:type="dxa"/>
            <w:vAlign w:val="center"/>
          </w:tcPr>
          <w:p w14:paraId="37F1C688">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3.质量保证措施（14分）</w:t>
            </w:r>
          </w:p>
          <w:p w14:paraId="5A33D131">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保证措施是否健全有效，硬性措施是否切实可行，限期工程的赶工措施是否可行。保证措施具有针对性，材料的质量保证措施满足竞采文件所要求的工程质量要求。方案详实、具体、可行得9-14分，方案较详实、具体、可行得4-8分，方案不够详实、具体，但具有一定可行性得1-3分，未提供得0分。</w:t>
            </w:r>
          </w:p>
        </w:tc>
        <w:tc>
          <w:tcPr>
            <w:tcW w:w="1144" w:type="pct"/>
            <w:vMerge w:val="continue"/>
            <w:vAlign w:val="center"/>
          </w:tcPr>
          <w:p w14:paraId="32448BB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6D89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61" w:type="pct"/>
            <w:vMerge w:val="continue"/>
            <w:vAlign w:val="center"/>
          </w:tcPr>
          <w:p w14:paraId="0624EDC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622" w:type="pct"/>
            <w:vMerge w:val="continue"/>
            <w:vAlign w:val="center"/>
          </w:tcPr>
          <w:p w14:paraId="702CC07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75" w:type="pct"/>
            <w:vMerge w:val="continue"/>
            <w:vAlign w:val="center"/>
          </w:tcPr>
          <w:p w14:paraId="7129551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5251" w:type="dxa"/>
            <w:vAlign w:val="center"/>
          </w:tcPr>
          <w:p w14:paraId="6979B519">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4.安全及应急预案（14分）</w:t>
            </w:r>
          </w:p>
          <w:p w14:paraId="6F133110">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及应急预案全有效，施工安全专项方案及安全管理保证措施具有针对性、文明施工和防止扰民措施是否得当等。方案详实、具体、可行得9-14分，方案较详实、具体、可行得4-8分，方案不够详实、具体，但具有一定可行性得1-3分，未提供得0分。</w:t>
            </w:r>
          </w:p>
        </w:tc>
        <w:tc>
          <w:tcPr>
            <w:tcW w:w="1144" w:type="pct"/>
            <w:vMerge w:val="continue"/>
            <w:vAlign w:val="center"/>
          </w:tcPr>
          <w:p w14:paraId="56E0F22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640D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61" w:type="pct"/>
            <w:vMerge w:val="continue"/>
            <w:vAlign w:val="center"/>
          </w:tcPr>
          <w:p w14:paraId="131C484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622" w:type="pct"/>
            <w:vMerge w:val="continue"/>
            <w:vAlign w:val="center"/>
          </w:tcPr>
          <w:p w14:paraId="38C5644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75" w:type="pct"/>
            <w:vMerge w:val="continue"/>
            <w:vAlign w:val="center"/>
          </w:tcPr>
          <w:p w14:paraId="66C7BF9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5251" w:type="dxa"/>
            <w:vAlign w:val="center"/>
          </w:tcPr>
          <w:p w14:paraId="5D862CF8">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5.进度计划（14分）</w:t>
            </w:r>
          </w:p>
          <w:p w14:paraId="7E778842">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度安排满足项目进度要求，关键线路进度安排可行、合理，实现进度安排的保证措施可行，工期安排合理可行，有序组织施工，在确保质量、降低成本、缩短工期、减轻劳动强度、提高工效等方面发挥很好作用得9-14分，方案较详实、具体、可行得4-8分，方案不够详实、具体，但具有一定可行性得1-3分，未提供得0分。</w:t>
            </w:r>
          </w:p>
        </w:tc>
        <w:tc>
          <w:tcPr>
            <w:tcW w:w="1144" w:type="pct"/>
            <w:vMerge w:val="continue"/>
            <w:vAlign w:val="center"/>
          </w:tcPr>
          <w:p w14:paraId="2A3C13A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7877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61" w:type="pct"/>
            <w:vAlign w:val="center"/>
          </w:tcPr>
          <w:p w14:paraId="6F83EEE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22" w:type="pct"/>
            <w:vAlign w:val="center"/>
          </w:tcPr>
          <w:p w14:paraId="7585768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Style w:val="379"/>
                <w:rFonts w:hint="eastAsia" w:ascii="宋体" w:hAnsi="宋体" w:eastAsia="宋体" w:cs="宋体"/>
                <w:color w:val="auto"/>
                <w:kern w:val="0"/>
                <w:sz w:val="24"/>
                <w:szCs w:val="24"/>
                <w:highlight w:val="none"/>
                <w:lang w:eastAsia="zh-CN"/>
              </w:rPr>
            </w:pPr>
            <w:r>
              <w:rPr>
                <w:rStyle w:val="379"/>
                <w:rFonts w:hint="eastAsia" w:ascii="宋体" w:hAnsi="宋体" w:eastAsia="宋体" w:cs="宋体"/>
                <w:color w:val="auto"/>
                <w:kern w:val="0"/>
                <w:sz w:val="24"/>
                <w:szCs w:val="24"/>
                <w:highlight w:val="none"/>
                <w:lang w:eastAsia="zh-CN"/>
              </w:rPr>
              <w:t>供应商</w:t>
            </w:r>
            <w:r>
              <w:rPr>
                <w:rStyle w:val="379"/>
                <w:rFonts w:hint="eastAsia" w:ascii="宋体" w:hAnsi="宋体" w:eastAsia="宋体" w:cs="宋体"/>
                <w:color w:val="auto"/>
                <w:kern w:val="0"/>
                <w:sz w:val="24"/>
                <w:szCs w:val="24"/>
                <w:highlight w:val="none"/>
              </w:rPr>
              <w:t>得分</w:t>
            </w:r>
          </w:p>
        </w:tc>
        <w:tc>
          <w:tcPr>
            <w:tcW w:w="2971" w:type="pct"/>
            <w:gridSpan w:val="2"/>
            <w:vAlign w:val="center"/>
          </w:tcPr>
          <w:p w14:paraId="2A56BC9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Style w:val="379"/>
                <w:rFonts w:hint="eastAsia" w:ascii="宋体" w:hAnsi="宋体" w:eastAsia="宋体" w:cs="宋体"/>
                <w:color w:val="auto"/>
                <w:kern w:val="0"/>
                <w:sz w:val="24"/>
                <w:szCs w:val="24"/>
                <w:highlight w:val="none"/>
                <w:lang w:val="en-US" w:eastAsia="zh-CN"/>
              </w:rPr>
            </w:pPr>
            <w:r>
              <w:rPr>
                <w:rStyle w:val="379"/>
                <w:rFonts w:hint="eastAsia" w:ascii="宋体" w:hAnsi="宋体" w:eastAsia="宋体" w:cs="宋体"/>
                <w:color w:val="auto"/>
                <w:kern w:val="0"/>
                <w:sz w:val="24"/>
                <w:szCs w:val="24"/>
                <w:highlight w:val="none"/>
                <w:lang w:eastAsia="zh-CN"/>
              </w:rPr>
              <w:t>供应商</w:t>
            </w:r>
            <w:r>
              <w:rPr>
                <w:rStyle w:val="379"/>
                <w:rFonts w:hint="eastAsia" w:ascii="宋体" w:hAnsi="宋体" w:eastAsia="宋体" w:cs="宋体"/>
                <w:color w:val="auto"/>
                <w:kern w:val="0"/>
                <w:sz w:val="24"/>
                <w:szCs w:val="24"/>
                <w:highlight w:val="none"/>
              </w:rPr>
              <w:t>得分</w:t>
            </w:r>
            <w:r>
              <w:rPr>
                <w:rStyle w:val="379"/>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得分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eastAsia="zh-CN"/>
              </w:rPr>
              <w:t>得分</w:t>
            </w:r>
          </w:p>
        </w:tc>
        <w:tc>
          <w:tcPr>
            <w:tcW w:w="1144" w:type="pct"/>
            <w:vAlign w:val="center"/>
          </w:tcPr>
          <w:p w14:paraId="26C5E7C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bl>
    <w:p w14:paraId="30669416">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认为，排名在前面的中标候选人的投标报价或者某些分项报价明显不合理或者低于成本，有可能影响服务质量和不能诚信履约的，将要求其在规定的期限内提供书面文件予以解释说明，并提交相关证明材料；否则，</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可以取消该中标候选人资格，按顺序由排在后一位的中标候选人递补，以此类推。</w:t>
      </w:r>
    </w:p>
    <w:p w14:paraId="2CA847B8">
      <w:pPr>
        <w:pStyle w:val="6"/>
        <w:bidi w:val="0"/>
        <w:rPr>
          <w:rFonts w:hint="eastAsia" w:ascii="宋体" w:hAnsi="宋体" w:eastAsia="宋体" w:cs="宋体"/>
          <w:color w:val="auto"/>
          <w:sz w:val="24"/>
          <w:szCs w:val="24"/>
          <w:highlight w:val="none"/>
          <w:lang w:val="en-US" w:eastAsia="zh-CN"/>
        </w:rPr>
      </w:pPr>
      <w:bookmarkStart w:id="81" w:name="_Toc64550276"/>
      <w:bookmarkStart w:id="82" w:name="_Toc19307"/>
      <w:bookmarkStart w:id="83" w:name="_Toc3624"/>
      <w:r>
        <w:rPr>
          <w:rFonts w:hint="eastAsia" w:ascii="宋体" w:hAnsi="宋体" w:eastAsia="宋体" w:cs="宋体"/>
          <w:color w:val="auto"/>
          <w:sz w:val="24"/>
          <w:szCs w:val="24"/>
          <w:highlight w:val="none"/>
          <w:lang w:val="en-US" w:eastAsia="zh-CN"/>
        </w:rPr>
        <w:t>三、无效</w:t>
      </w:r>
      <w:bookmarkEnd w:id="81"/>
      <w:bookmarkEnd w:id="82"/>
      <w:r>
        <w:rPr>
          <w:rFonts w:hint="eastAsia" w:ascii="宋体" w:hAnsi="宋体" w:eastAsia="宋体" w:cs="宋体"/>
          <w:color w:val="auto"/>
          <w:sz w:val="24"/>
          <w:szCs w:val="24"/>
          <w:highlight w:val="none"/>
          <w:lang w:val="en-US" w:eastAsia="zh-CN"/>
        </w:rPr>
        <w:t>比选</w:t>
      </w:r>
      <w:bookmarkEnd w:id="83"/>
    </w:p>
    <w:p w14:paraId="5BAD633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0D157BB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（一）供应商不符合规定的基本资格条件或特定资格条件的；</w:t>
      </w:r>
    </w:p>
    <w:p w14:paraId="5A53222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（二）供应商未通过符合性检查的；</w:t>
      </w:r>
    </w:p>
    <w:p w14:paraId="49F8922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（三）供应商未实质性响应</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w:t>
      </w:r>
    </w:p>
    <w:p w14:paraId="5F9F01FC">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（四）供应商的法定代表人或其授权代表未参加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w:t>
      </w:r>
    </w:p>
    <w:p w14:paraId="6374CCA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（五）供应商所提交的响应文件不按规定签字、盖章的；</w:t>
      </w:r>
    </w:p>
    <w:p w14:paraId="4C6D851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（六）供应商的报价超过采购预算或最高限价的；</w:t>
      </w:r>
    </w:p>
    <w:p w14:paraId="754E34E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（七）供应商不接受</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修正后的价格的；</w:t>
      </w:r>
    </w:p>
    <w:p w14:paraId="67D2C26E">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认为，供应商的报价明显不合理或者低于成本，有可能影响商品质量和不能诚信履约的，要求其在规定的期限内提供书面文件予以解释说明，并提交相关证明材料，供应商未在规定的期限内提供书面文件予以解释说明，并提交相关证明材料的；</w:t>
      </w:r>
    </w:p>
    <w:p w14:paraId="16B5ACE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（九）单位负责人为同一人或者存在直接控股、管理关系的不同供应商，参加同一合同项（分包）</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w:t>
      </w:r>
    </w:p>
    <w:p w14:paraId="1E25EEC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（十）为采购项目提供整体设计、规范编制或者项目管理、监理、检测等服务的供应商再参加该采购项目的其他采购活动的； </w:t>
      </w:r>
    </w:p>
    <w:p w14:paraId="2DE28FC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（十一）同一合同项（分包）下的货物，制造商参与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，再委托代理商参与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w:t>
      </w:r>
    </w:p>
    <w:p w14:paraId="1C45F19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（十二）供应商以联合体形式参与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w:t>
      </w:r>
    </w:p>
    <w:p w14:paraId="0BB78F19">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（十三）供应商响应文件内容有与国家现行法律法规相违背的内容，或附有采购人无法接受条件的。</w:t>
      </w:r>
    </w:p>
    <w:p w14:paraId="3EEF2434">
      <w:pPr>
        <w:pStyle w:val="6"/>
        <w:bidi w:val="0"/>
        <w:rPr>
          <w:rFonts w:hint="eastAsia" w:ascii="宋体" w:hAnsi="宋体" w:eastAsia="宋体" w:cs="宋体"/>
          <w:color w:val="auto"/>
          <w:sz w:val="24"/>
          <w:szCs w:val="24"/>
          <w:highlight w:val="none"/>
          <w:lang w:val="en-US" w:eastAsia="zh-CN"/>
        </w:rPr>
      </w:pPr>
      <w:bookmarkStart w:id="84" w:name="_Toc20646"/>
      <w:bookmarkStart w:id="85" w:name="_Toc64550277"/>
      <w:bookmarkStart w:id="86" w:name="_Toc24304"/>
      <w:r>
        <w:rPr>
          <w:rFonts w:hint="eastAsia" w:ascii="宋体" w:hAnsi="宋体" w:eastAsia="宋体" w:cs="宋体"/>
          <w:color w:val="auto"/>
          <w:sz w:val="24"/>
          <w:szCs w:val="24"/>
          <w:highlight w:val="none"/>
          <w:lang w:val="en-US" w:eastAsia="zh-CN"/>
        </w:rPr>
        <w:t>四、采购终止</w:t>
      </w:r>
      <w:bookmarkEnd w:id="84"/>
      <w:bookmarkEnd w:id="85"/>
      <w:bookmarkEnd w:id="86"/>
    </w:p>
    <w:p w14:paraId="038ADCCB">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出现下列情形之一的，采购人或者采购代理机构应当终止采购活动，发布项目终止公告并说明原因，重新开展采购活动：</w:t>
      </w:r>
    </w:p>
    <w:p w14:paraId="7F4873E1">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（一）因情况变化，不再符合规定的采购方式适用情形的；</w:t>
      </w:r>
    </w:p>
    <w:p w14:paraId="2A99791E">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607BF9CB">
      <w:pPr>
        <w:spacing w:line="360" w:lineRule="auto"/>
        <w:ind w:firstLine="480" w:firstLineChars="200"/>
        <w:rPr>
          <w:rFonts w:hint="eastAsia" w:ascii="宋体" w:hAnsi="宋体" w:eastAsia="宋体" w:cs="宋体"/>
          <w:color w:val="auto"/>
          <w:sz w:val="24"/>
          <w:szCs w:val="24"/>
          <w:highlight w:val="none"/>
        </w:rPr>
        <w:sectPr>
          <w:headerReference r:id="rId8" w:type="default"/>
          <w:footerReference r:id="rId9" w:type="default"/>
          <w:pgSz w:w="11907" w:h="16840"/>
          <w:pgMar w:top="1134" w:right="1134" w:bottom="1134" w:left="1247" w:header="1077" w:footer="794" w:gutter="0"/>
          <w:pgNumType w:fmt="decimal" w:start="3"/>
          <w:cols w:space="720" w:num="1"/>
          <w:docGrid w:linePitch="381" w:charSpace="0"/>
        </w:sectPr>
      </w:pPr>
    </w:p>
    <w:p w14:paraId="52FEF281">
      <w:pPr>
        <w:pStyle w:val="5"/>
        <w:bidi w:val="0"/>
        <w:jc w:val="center"/>
        <w:rPr>
          <w:rFonts w:hint="eastAsia" w:ascii="宋体" w:hAnsi="宋体" w:eastAsia="宋体" w:cs="宋体"/>
          <w:color w:val="auto"/>
          <w:sz w:val="24"/>
          <w:szCs w:val="24"/>
          <w:highlight w:val="none"/>
        </w:rPr>
      </w:pPr>
      <w:bookmarkStart w:id="87" w:name="_Hlt41879464"/>
      <w:bookmarkEnd w:id="87"/>
      <w:bookmarkStart w:id="88" w:name="_Toc32554"/>
      <w:bookmarkStart w:id="89" w:name="_Toc12789072"/>
      <w:r>
        <w:rPr>
          <w:rFonts w:hint="eastAsia" w:ascii="宋体" w:hAnsi="宋体" w:eastAsia="宋体" w:cs="宋体"/>
          <w:color w:val="auto"/>
          <w:sz w:val="24"/>
          <w:szCs w:val="24"/>
          <w:highlight w:val="none"/>
        </w:rPr>
        <w:t>第五篇  供应商须知</w:t>
      </w:r>
      <w:bookmarkEnd w:id="88"/>
    </w:p>
    <w:p w14:paraId="62FBBD44">
      <w:pPr>
        <w:pStyle w:val="6"/>
        <w:bidi w:val="0"/>
        <w:rPr>
          <w:rFonts w:hint="eastAsia" w:ascii="宋体" w:hAnsi="宋体" w:eastAsia="宋体" w:cs="宋体"/>
          <w:color w:val="auto"/>
          <w:sz w:val="24"/>
          <w:szCs w:val="24"/>
          <w:highlight w:val="none"/>
          <w:lang w:val="en-US" w:eastAsia="zh-CN"/>
        </w:rPr>
      </w:pPr>
      <w:bookmarkStart w:id="90" w:name="_Toc342913389"/>
      <w:bookmarkStart w:id="91" w:name="_Toc8012"/>
      <w:bookmarkStart w:id="92" w:name="_Toc11799"/>
      <w:r>
        <w:rPr>
          <w:rFonts w:hint="eastAsia" w:ascii="宋体" w:hAnsi="宋体" w:eastAsia="宋体" w:cs="宋体"/>
          <w:color w:val="auto"/>
          <w:sz w:val="24"/>
          <w:szCs w:val="24"/>
          <w:highlight w:val="none"/>
          <w:lang w:val="en-US" w:eastAsia="zh-CN"/>
        </w:rPr>
        <w:t>一、比选费用</w:t>
      </w:r>
      <w:bookmarkEnd w:id="90"/>
      <w:bookmarkEnd w:id="91"/>
      <w:bookmarkEnd w:id="92"/>
    </w:p>
    <w:p w14:paraId="2EEA66EB">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bookmarkStart w:id="93" w:name="_Toc342913391"/>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的供应商应承担其编制响应文件与递交响应文件所涉及的一切费用，不论</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结果如何，采购人和采购代理机构在任何情况下无义务也无责任承担这些费用。</w:t>
      </w:r>
    </w:p>
    <w:p w14:paraId="7D88F8D8">
      <w:pPr>
        <w:pStyle w:val="6"/>
        <w:bidi w:val="0"/>
        <w:rPr>
          <w:rFonts w:hint="eastAsia" w:ascii="宋体" w:hAnsi="宋体" w:eastAsia="宋体" w:cs="宋体"/>
          <w:color w:val="auto"/>
          <w:sz w:val="24"/>
          <w:szCs w:val="24"/>
          <w:highlight w:val="none"/>
          <w:lang w:val="en-US" w:eastAsia="zh-CN"/>
        </w:rPr>
      </w:pPr>
      <w:bookmarkStart w:id="94" w:name="_Toc20690"/>
      <w:bookmarkStart w:id="95" w:name="_Toc8025"/>
      <w:r>
        <w:rPr>
          <w:rFonts w:hint="eastAsia" w:ascii="宋体" w:hAnsi="宋体" w:eastAsia="宋体" w:cs="宋体"/>
          <w:color w:val="auto"/>
          <w:sz w:val="24"/>
          <w:szCs w:val="24"/>
          <w:highlight w:val="none"/>
          <w:lang w:val="en-US" w:eastAsia="zh-CN"/>
        </w:rPr>
        <w:t>二、</w:t>
      </w:r>
      <w:bookmarkEnd w:id="93"/>
      <w:bookmarkEnd w:id="94"/>
      <w:r>
        <w:rPr>
          <w:rFonts w:hint="eastAsia" w:ascii="宋体" w:hAnsi="宋体" w:eastAsia="宋体" w:cs="宋体"/>
          <w:color w:val="auto"/>
          <w:sz w:val="24"/>
          <w:szCs w:val="24"/>
          <w:highlight w:val="none"/>
          <w:lang w:val="en-US" w:eastAsia="zh-CN"/>
        </w:rPr>
        <w:t>采购文件</w:t>
      </w:r>
      <w:bookmarkEnd w:id="95"/>
    </w:p>
    <w:p w14:paraId="236FF176">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比选公告</w:t>
      </w:r>
      <w:r>
        <w:rPr>
          <w:rFonts w:hint="eastAsia" w:ascii="宋体" w:hAnsi="宋体" w:eastAsia="宋体" w:cs="宋体"/>
          <w:color w:val="auto"/>
          <w:sz w:val="24"/>
          <w:szCs w:val="24"/>
          <w:highlight w:val="none"/>
        </w:rPr>
        <w:t>、项目技术需求、项目商务需求、</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程序及方法、评审标准、响应无效和采购终止、供应商须知、合同主要条款和格式合同、响应文件编制要求七部分组成。</w:t>
      </w:r>
    </w:p>
    <w:p w14:paraId="2541E45D">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不可分割的部分。</w:t>
      </w:r>
    </w:p>
    <w:p w14:paraId="02835557">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的解释</w:t>
      </w:r>
    </w:p>
    <w:p w14:paraId="6EE64A89">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。一经进入</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程序，即视为供应商已详细阅读全部文件资料，完全理解</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所有条款内容并同意放弃对这方面有不明白及误解的权利。</w:t>
      </w:r>
      <w:bookmarkStart w:id="96" w:name="_Toc318159160"/>
      <w:bookmarkStart w:id="97" w:name="_Toc318159780"/>
      <w:bookmarkStart w:id="98" w:name="_Toc318159349"/>
      <w:bookmarkStart w:id="99" w:name="_Toc318166429"/>
    </w:p>
    <w:p w14:paraId="1DFD87AC">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根据与供应商进行</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可能实质性变动的内容为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第二、三、</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篇全部内容。</w:t>
      </w:r>
    </w:p>
    <w:p w14:paraId="2E89E923">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和响应文件（含有效的书面承诺）。</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判断响应文件对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的响应，仅基于响应文件本身而不靠外部证据。</w:t>
      </w:r>
    </w:p>
    <w:bookmarkEnd w:id="96"/>
    <w:bookmarkEnd w:id="97"/>
    <w:bookmarkEnd w:id="98"/>
    <w:bookmarkEnd w:id="99"/>
    <w:p w14:paraId="01FB9253">
      <w:pPr>
        <w:pStyle w:val="6"/>
        <w:bidi w:val="0"/>
        <w:rPr>
          <w:rFonts w:hint="eastAsia" w:ascii="宋体" w:hAnsi="宋体" w:eastAsia="宋体" w:cs="宋体"/>
          <w:color w:val="auto"/>
          <w:sz w:val="24"/>
          <w:szCs w:val="24"/>
          <w:highlight w:val="none"/>
          <w:lang w:val="en-US" w:eastAsia="zh-CN"/>
        </w:rPr>
      </w:pPr>
      <w:bookmarkStart w:id="100" w:name="_Toc179714297"/>
      <w:bookmarkStart w:id="101" w:name="_Toc11415"/>
      <w:bookmarkStart w:id="102" w:name="_Toc342913392"/>
      <w:bookmarkStart w:id="103" w:name="_Toc10014"/>
      <w:bookmarkStart w:id="104" w:name="_Toc102227318"/>
      <w:r>
        <w:rPr>
          <w:rFonts w:hint="eastAsia" w:ascii="宋体" w:hAnsi="宋体" w:eastAsia="宋体" w:cs="宋体"/>
          <w:color w:val="auto"/>
          <w:sz w:val="24"/>
          <w:szCs w:val="24"/>
          <w:highlight w:val="none"/>
          <w:lang w:val="en-US" w:eastAsia="zh-CN"/>
        </w:rPr>
        <w:t>三、竞争性比选要求</w:t>
      </w:r>
      <w:bookmarkEnd w:id="100"/>
      <w:bookmarkEnd w:id="101"/>
      <w:bookmarkEnd w:id="102"/>
      <w:bookmarkEnd w:id="103"/>
      <w:bookmarkEnd w:id="104"/>
    </w:p>
    <w:p w14:paraId="54931ECF">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69BD960B">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的要求编制响应文件，并对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提出的要求和条件作出实质性响应，同时应编制完整的页码、目录。</w:t>
      </w:r>
    </w:p>
    <w:p w14:paraId="2AA321F9">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5F1897ED">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33FBC51">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43F348A6">
      <w:pPr>
        <w:pageBreakBefore w:val="0"/>
        <w:kinsoku/>
        <w:wordWrap/>
        <w:overflowPunct/>
        <w:topLinePunct w:val="0"/>
        <w:autoSpaceDE/>
        <w:autoSpaceDN/>
        <w:bidi w:val="0"/>
        <w:adjustRightInd/>
        <w:spacing w:line="400" w:lineRule="exact"/>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0297AD4A">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有效期：响应文件及有关承诺文件有效期为提交响应文件截止时间起90天。</w:t>
      </w:r>
    </w:p>
    <w:p w14:paraId="087F80A0">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（四）修正错误</w:t>
      </w:r>
    </w:p>
    <w:p w14:paraId="23F9A58B">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1.若供应商所递交的响应文件或报价中的价格出现大写金额和小写金额不一致的错误，以大写金额修正为准。</w:t>
      </w:r>
    </w:p>
    <w:p w14:paraId="4107A5AA">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按上述修正错误的原则及方法修正供应商的报价，供应商同意并签字确认后，修正后的报价对供应商具有约束作用。如果供应商不接受修正后的价格，将失去成为供应商的资格。</w:t>
      </w:r>
    </w:p>
    <w:p w14:paraId="57B599B7">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（五）提交响应文件的份数和签署</w:t>
      </w:r>
    </w:p>
    <w:p w14:paraId="268A655C">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1.供应商须提供响应文件一式</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份，其中正本一份，副本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电子文档1份（应为正本的扫描件，载体为U盘或光盘）</w:t>
      </w:r>
      <w:r>
        <w:rPr>
          <w:rFonts w:hint="eastAsia" w:ascii="宋体" w:hAnsi="宋体" w:eastAsia="宋体" w:cs="宋体"/>
          <w:color w:val="auto"/>
          <w:sz w:val="24"/>
          <w:szCs w:val="24"/>
          <w:highlight w:val="none"/>
          <w:lang w:eastAsia="zh-CN"/>
        </w:rPr>
        <w:t>；副本可为正本的复印件，应与正本一致，如出现不一致情况以正本为准。</w:t>
      </w:r>
    </w:p>
    <w:p w14:paraId="5F7C8B25">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2.单独提供手持件：【身份证原件、法人身份证证明及授权委托书（法定代表人亲自参加比选的不需要）】，并加盖鲜章。</w:t>
      </w:r>
    </w:p>
    <w:p w14:paraId="5889E4E2">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（六）响应文件的递交</w:t>
      </w:r>
    </w:p>
    <w:p w14:paraId="019A7F57">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1.响应文件的密封与标记</w:t>
      </w:r>
    </w:p>
    <w:p w14:paraId="05EBC362">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1.1响应文件的正本、副本均应密封送达</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在封套上注明项目名称、</w:t>
      </w: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供应商名称。若正本、副本分别进行密封的，还应在封套上注明“正本”、“副本”字样。</w:t>
      </w:r>
    </w:p>
    <w:p w14:paraId="20291D2D">
      <w:pPr>
        <w:pStyle w:val="33"/>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1.2封套的封口处应加盖供应商公章或由法定代表人授权代表签字。</w:t>
      </w:r>
    </w:p>
    <w:p w14:paraId="7A32A6F4">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.如果未按上述规定进行密封和标记，采购代理机构对响应文件误投、丢失或提前拆封不负责任。</w:t>
      </w:r>
    </w:p>
    <w:p w14:paraId="6BF2878C">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5A833066">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名代表参与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，应为法定代表人或具有法定代表人授权委托书的授权代表。</w:t>
      </w:r>
    </w:p>
    <w:p w14:paraId="63A4EEF5">
      <w:pPr>
        <w:pStyle w:val="6"/>
        <w:bidi w:val="0"/>
        <w:rPr>
          <w:rFonts w:hint="eastAsia" w:ascii="宋体" w:hAnsi="宋体" w:eastAsia="宋体" w:cs="宋体"/>
          <w:color w:val="auto"/>
          <w:sz w:val="24"/>
          <w:szCs w:val="24"/>
          <w:highlight w:val="none"/>
          <w:lang w:val="en-US" w:eastAsia="zh-CN"/>
        </w:rPr>
      </w:pPr>
      <w:bookmarkStart w:id="105" w:name="_Toc897"/>
      <w:bookmarkStart w:id="106" w:name="_Toc29457"/>
      <w:r>
        <w:rPr>
          <w:rFonts w:hint="eastAsia" w:ascii="宋体" w:hAnsi="宋体" w:eastAsia="宋体" w:cs="宋体"/>
          <w:color w:val="auto"/>
          <w:sz w:val="24"/>
          <w:szCs w:val="24"/>
          <w:highlight w:val="none"/>
          <w:lang w:val="en-US" w:eastAsia="zh-CN"/>
        </w:rPr>
        <w:t>四、成交供应商的确认和变更</w:t>
      </w:r>
      <w:bookmarkEnd w:id="105"/>
      <w:bookmarkEnd w:id="106"/>
    </w:p>
    <w:p w14:paraId="3D6BC5E3">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5F152D6C">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直接确定成交供应商。采购人逾期未确定成交供应商且不提出异议的，视为确定评审报告提出的排序第一的供应商为成交供应商。</w:t>
      </w:r>
    </w:p>
    <w:p w14:paraId="5DED3516">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7A3A63CE">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成交供应商拒绝与采购人签订合同的，采购人可以按照评标报告推荐的成交候选供应商顺序，确定排名下一位的候选人为成交供应商，也可以重新开展采购活动。</w:t>
      </w:r>
    </w:p>
    <w:p w14:paraId="65351CD6">
      <w:pPr>
        <w:pStyle w:val="6"/>
        <w:bidi w:val="0"/>
        <w:rPr>
          <w:rFonts w:hint="eastAsia" w:ascii="宋体" w:hAnsi="宋体" w:eastAsia="宋体" w:cs="宋体"/>
          <w:color w:val="auto"/>
          <w:sz w:val="24"/>
          <w:szCs w:val="24"/>
          <w:highlight w:val="none"/>
          <w:lang w:val="en-US" w:eastAsia="zh-CN"/>
        </w:rPr>
      </w:pPr>
      <w:bookmarkStart w:id="107" w:name="_Toc17540"/>
      <w:bookmarkStart w:id="108" w:name="_Toc342913395"/>
      <w:bookmarkStart w:id="109" w:name="_Toc102227321"/>
      <w:bookmarkStart w:id="110" w:name="_Toc13407"/>
      <w:r>
        <w:rPr>
          <w:rFonts w:hint="eastAsia" w:ascii="宋体" w:hAnsi="宋体" w:eastAsia="宋体" w:cs="宋体"/>
          <w:color w:val="auto"/>
          <w:sz w:val="24"/>
          <w:szCs w:val="24"/>
          <w:highlight w:val="none"/>
          <w:lang w:val="en-US" w:eastAsia="zh-CN"/>
        </w:rPr>
        <w:t>五、成交通知</w:t>
      </w:r>
      <w:bookmarkEnd w:id="107"/>
      <w:bookmarkEnd w:id="108"/>
      <w:bookmarkEnd w:id="109"/>
      <w:bookmarkEnd w:id="110"/>
    </w:p>
    <w:p w14:paraId="77691844">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（一）成交供应商确定后，采购人或采购代理机构将在</w:t>
      </w:r>
      <w:r>
        <w:rPr>
          <w:rFonts w:hint="eastAsia" w:ascii="宋体" w:hAnsi="宋体" w:eastAsia="宋体" w:cs="宋体"/>
          <w:color w:val="auto"/>
          <w:sz w:val="24"/>
          <w:szCs w:val="24"/>
          <w:highlight w:val="none"/>
          <w:lang w:val="en-US" w:eastAsia="zh-CN"/>
        </w:rPr>
        <w:t>行采家（https://www.gec123.com/）</w:t>
      </w:r>
      <w:r>
        <w:rPr>
          <w:rFonts w:hint="eastAsia" w:ascii="宋体" w:hAnsi="宋体" w:eastAsia="宋体" w:cs="宋体"/>
          <w:color w:val="auto"/>
          <w:sz w:val="24"/>
          <w:szCs w:val="24"/>
          <w:highlight w:val="none"/>
        </w:rPr>
        <w:t>上发布成交结果公告。</w:t>
      </w:r>
    </w:p>
    <w:p w14:paraId="005AF90B">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6407D810">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55A97069">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bookmarkStart w:id="111" w:name="_Toc2108"/>
      <w:bookmarkStart w:id="112" w:name="_Toc19410"/>
      <w:bookmarkStart w:id="113" w:name="_Toc11295"/>
      <w:bookmarkStart w:id="114" w:name="_Toc30859"/>
      <w:bookmarkStart w:id="115" w:name="_Toc10383"/>
      <w:bookmarkStart w:id="116" w:name="_Toc4797"/>
      <w:bookmarkStart w:id="117" w:name="_Toc3060"/>
      <w:r>
        <w:rPr>
          <w:rFonts w:hint="eastAsia" w:ascii="宋体" w:hAnsi="宋体" w:eastAsia="宋体" w:cs="宋体"/>
          <w:color w:val="auto"/>
          <w:sz w:val="24"/>
          <w:szCs w:val="24"/>
          <w:highlight w:val="none"/>
        </w:rPr>
        <w:t>（四）如有供应商对成交结果提出质疑的，在质疑处理完毕后发出成交通知书。</w:t>
      </w:r>
      <w:bookmarkEnd w:id="111"/>
      <w:bookmarkEnd w:id="112"/>
      <w:bookmarkEnd w:id="113"/>
      <w:bookmarkEnd w:id="114"/>
      <w:bookmarkEnd w:id="115"/>
      <w:bookmarkEnd w:id="116"/>
      <w:bookmarkEnd w:id="117"/>
      <w:bookmarkStart w:id="118" w:name="_Toc23268"/>
    </w:p>
    <w:p w14:paraId="52BD7C8A">
      <w:pPr>
        <w:pStyle w:val="6"/>
        <w:bidi w:val="0"/>
        <w:rPr>
          <w:rFonts w:hint="eastAsia" w:ascii="宋体" w:hAnsi="宋体" w:eastAsia="宋体" w:cs="宋体"/>
          <w:color w:val="auto"/>
          <w:sz w:val="24"/>
          <w:szCs w:val="24"/>
          <w:highlight w:val="none"/>
          <w:lang w:val="en-US" w:eastAsia="zh-CN"/>
        </w:rPr>
      </w:pPr>
      <w:bookmarkStart w:id="119" w:name="_Toc20972"/>
      <w:bookmarkStart w:id="120" w:name="_Toc11044"/>
      <w:r>
        <w:rPr>
          <w:rFonts w:hint="eastAsia" w:ascii="宋体" w:hAnsi="宋体" w:eastAsia="宋体" w:cs="宋体"/>
          <w:color w:val="auto"/>
          <w:sz w:val="24"/>
          <w:szCs w:val="24"/>
          <w:highlight w:val="none"/>
          <w:lang w:val="en-US" w:eastAsia="zh-CN"/>
        </w:rPr>
        <w:t>六、采购代理服务费</w:t>
      </w:r>
      <w:bookmarkEnd w:id="118"/>
      <w:bookmarkEnd w:id="119"/>
      <w:bookmarkEnd w:id="120"/>
    </w:p>
    <w:p w14:paraId="510E7318">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lang w:val="en-US" w:eastAsia="zh-CN"/>
        </w:rPr>
      </w:pPr>
      <w:bookmarkStart w:id="121" w:name="_Toc102227322"/>
      <w:bookmarkStart w:id="122" w:name="_Toc8420"/>
      <w:bookmarkStart w:id="123" w:name="_Toc342913396"/>
      <w:r>
        <w:rPr>
          <w:rFonts w:hint="eastAsia" w:ascii="宋体" w:hAnsi="宋体" w:eastAsia="宋体" w:cs="宋体"/>
          <w:color w:val="auto"/>
          <w:sz w:val="24"/>
          <w:szCs w:val="24"/>
          <w:highlight w:val="none"/>
          <w:lang w:val="en-US" w:eastAsia="zh-CN"/>
        </w:rPr>
        <w:t>本项目采购代理服务费按照《招标代理服务收费管理暂行办法》（计价格〔2002〕1980号）文件计算。由成交供应商支付，即成交供应商在领取成交通知书之前以现金或转账形式一次性支付给代理机构，并在银行转账（汇款）凭证备注栏中注明“代理服务费”。</w:t>
      </w:r>
    </w:p>
    <w:p w14:paraId="619B86E2">
      <w:pPr>
        <w:pStyle w:val="6"/>
        <w:bidi w:val="0"/>
        <w:rPr>
          <w:rFonts w:hint="eastAsia" w:ascii="宋体" w:hAnsi="宋体" w:eastAsia="宋体" w:cs="宋体"/>
          <w:color w:val="auto"/>
          <w:sz w:val="24"/>
          <w:szCs w:val="24"/>
          <w:highlight w:val="none"/>
        </w:rPr>
      </w:pPr>
      <w:bookmarkStart w:id="124" w:name="_Toc18807"/>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、签订</w:t>
      </w:r>
      <w:bookmarkEnd w:id="121"/>
      <w:r>
        <w:rPr>
          <w:rFonts w:hint="eastAsia" w:ascii="宋体" w:hAnsi="宋体" w:eastAsia="宋体" w:cs="宋体"/>
          <w:color w:val="auto"/>
          <w:sz w:val="24"/>
          <w:szCs w:val="24"/>
          <w:highlight w:val="none"/>
        </w:rPr>
        <w:t>合同</w:t>
      </w:r>
      <w:bookmarkEnd w:id="122"/>
      <w:bookmarkEnd w:id="123"/>
      <w:bookmarkEnd w:id="124"/>
    </w:p>
    <w:p w14:paraId="2550AFDA">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10日内与成交供应商签订采购合同，无正当理由不得拒绝或拖延合同签订。所签订的合同不得对采购文件和供应商的响应文件作实质性修改。成交供应商必须在响应文件中自行承诺施工合同由中标单位的法定代表人或项目经理持身份证到业主单位签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并提供中标清单软件版电子文档</w:t>
      </w:r>
      <w:r>
        <w:rPr>
          <w:rFonts w:hint="eastAsia" w:ascii="宋体" w:hAnsi="宋体" w:eastAsia="宋体" w:cs="宋体"/>
          <w:color w:val="auto"/>
          <w:sz w:val="24"/>
          <w:szCs w:val="24"/>
          <w:highlight w:val="none"/>
        </w:rPr>
        <w:t>，否则视为不实质性响应</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，由评审小组作否决处理。</w:t>
      </w:r>
    </w:p>
    <w:p w14:paraId="629E9E46">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（二）采购文件、供应商的响应文件及澄清文件等，均为签订采购合同的依据。</w:t>
      </w:r>
    </w:p>
    <w:p w14:paraId="65EDA40A">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03FB794D">
      <w:pPr>
        <w:pStyle w:val="3"/>
        <w:rPr>
          <w:rFonts w:hint="eastAsia" w:ascii="宋体" w:hAnsi="宋体" w:eastAsia="宋体" w:cs="宋体"/>
          <w:color w:val="auto"/>
          <w:sz w:val="24"/>
          <w:szCs w:val="24"/>
          <w:highlight w:val="none"/>
          <w:lang w:eastAsia="zh-CN"/>
        </w:rPr>
      </w:pPr>
    </w:p>
    <w:p w14:paraId="0BD2BDEB">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26379A2B">
      <w:pPr>
        <w:pStyle w:val="5"/>
        <w:numPr>
          <w:ilvl w:val="0"/>
          <w:numId w:val="15"/>
        </w:numPr>
        <w:bidi w:val="0"/>
        <w:jc w:val="center"/>
        <w:rPr>
          <w:rFonts w:hint="eastAsia" w:ascii="宋体" w:hAnsi="宋体" w:eastAsia="宋体" w:cs="宋体"/>
          <w:color w:val="auto"/>
          <w:sz w:val="24"/>
          <w:szCs w:val="24"/>
          <w:highlight w:val="none"/>
          <w:lang w:eastAsia="zh-CN"/>
        </w:rPr>
      </w:pPr>
      <w:bookmarkStart w:id="125" w:name="_Toc19034"/>
      <w:r>
        <w:rPr>
          <w:rFonts w:hint="eastAsia" w:ascii="宋体" w:hAnsi="宋体" w:eastAsia="宋体" w:cs="宋体"/>
          <w:color w:val="auto"/>
          <w:sz w:val="24"/>
          <w:szCs w:val="24"/>
          <w:highlight w:val="none"/>
          <w:lang w:eastAsia="zh-CN"/>
        </w:rPr>
        <w:t>合同条款及格式</w:t>
      </w:r>
      <w:bookmarkEnd w:id="125"/>
    </w:p>
    <w:p w14:paraId="2C9F34DF">
      <w:pPr>
        <w:spacing w:line="500" w:lineRule="exact"/>
        <w:rPr>
          <w:rFonts w:hint="eastAsia" w:ascii="宋体" w:hAnsi="宋体" w:eastAsia="宋体" w:cs="宋体"/>
          <w:b/>
          <w:color w:val="auto"/>
          <w:sz w:val="24"/>
          <w:szCs w:val="24"/>
          <w:highlight w:val="none"/>
        </w:rPr>
      </w:pPr>
      <w:bookmarkStart w:id="126" w:name="_Toc6505"/>
      <w:bookmarkStart w:id="127" w:name="_Toc322559720"/>
      <w:bookmarkStart w:id="128" w:name="_Toc26878"/>
      <w:bookmarkStart w:id="129" w:name="_Toc325910652"/>
      <w:bookmarkStart w:id="130" w:name="_Toc298010387"/>
      <w:bookmarkStart w:id="131" w:name="_Toc330980512"/>
      <w:r>
        <w:rPr>
          <w:rFonts w:hint="eastAsia" w:ascii="宋体" w:hAnsi="宋体" w:eastAsia="宋体" w:cs="宋体"/>
          <w:b/>
          <w:color w:val="auto"/>
          <w:sz w:val="24"/>
          <w:szCs w:val="24"/>
          <w:highlight w:val="none"/>
        </w:rPr>
        <w:t>合同编号：</w:t>
      </w:r>
    </w:p>
    <w:p w14:paraId="6A9BF9B9">
      <w:pPr>
        <w:spacing w:line="500" w:lineRule="exact"/>
        <w:rPr>
          <w:rFonts w:hint="eastAsia" w:ascii="宋体" w:hAnsi="宋体" w:eastAsia="宋体" w:cs="宋体"/>
          <w:b/>
          <w:color w:val="auto"/>
          <w:sz w:val="24"/>
          <w:szCs w:val="24"/>
          <w:highlight w:val="none"/>
        </w:rPr>
      </w:pPr>
    </w:p>
    <w:p w14:paraId="2148A611">
      <w:pPr>
        <w:pStyle w:val="3"/>
        <w:spacing w:line="500" w:lineRule="exact"/>
        <w:rPr>
          <w:rFonts w:hint="eastAsia" w:ascii="宋体" w:hAnsi="宋体" w:eastAsia="宋体" w:cs="宋体"/>
          <w:color w:val="auto"/>
          <w:sz w:val="24"/>
          <w:szCs w:val="24"/>
          <w:highlight w:val="none"/>
        </w:rPr>
      </w:pPr>
    </w:p>
    <w:bookmarkEnd w:id="126"/>
    <w:p w14:paraId="7C6818A7">
      <w:pPr>
        <w:pStyle w:val="364"/>
        <w:spacing w:line="500" w:lineRule="exact"/>
        <w:rPr>
          <w:rFonts w:hint="eastAsia" w:ascii="宋体" w:hAnsi="宋体" w:eastAsia="宋体" w:cs="宋体"/>
          <w:color w:val="auto"/>
          <w:sz w:val="24"/>
          <w:szCs w:val="24"/>
          <w:highlight w:val="none"/>
        </w:rPr>
      </w:pPr>
    </w:p>
    <w:p w14:paraId="3ED693AD">
      <w:pPr>
        <w:pStyle w:val="364"/>
        <w:spacing w:line="500" w:lineRule="exact"/>
        <w:rPr>
          <w:rFonts w:hint="eastAsia" w:ascii="宋体" w:hAnsi="宋体" w:eastAsia="宋体" w:cs="宋体"/>
          <w:color w:val="auto"/>
          <w:sz w:val="24"/>
          <w:szCs w:val="24"/>
          <w:highlight w:val="none"/>
        </w:rPr>
      </w:pPr>
    </w:p>
    <w:p w14:paraId="756076CB">
      <w:pPr>
        <w:pStyle w:val="364"/>
        <w:spacing w:line="500" w:lineRule="exact"/>
        <w:rPr>
          <w:rFonts w:hint="eastAsia" w:ascii="宋体" w:hAnsi="宋体" w:eastAsia="宋体" w:cs="宋体"/>
          <w:color w:val="auto"/>
          <w:sz w:val="24"/>
          <w:szCs w:val="24"/>
          <w:highlight w:val="none"/>
        </w:rPr>
      </w:pPr>
    </w:p>
    <w:p w14:paraId="44A7A006">
      <w:pPr>
        <w:pStyle w:val="364"/>
        <w:spacing w:line="500" w:lineRule="exact"/>
        <w:rPr>
          <w:rFonts w:hint="eastAsia" w:ascii="宋体" w:hAnsi="宋体" w:eastAsia="宋体" w:cs="宋体"/>
          <w:color w:val="auto"/>
          <w:sz w:val="24"/>
          <w:szCs w:val="24"/>
          <w:highlight w:val="none"/>
        </w:rPr>
      </w:pPr>
    </w:p>
    <w:p w14:paraId="0E412ED4">
      <w:pPr>
        <w:pStyle w:val="364"/>
        <w:spacing w:line="500" w:lineRule="exact"/>
        <w:rPr>
          <w:rFonts w:hint="eastAsia" w:ascii="宋体" w:hAnsi="宋体" w:eastAsia="宋体" w:cs="宋体"/>
          <w:color w:val="auto"/>
          <w:sz w:val="24"/>
          <w:szCs w:val="24"/>
          <w:highlight w:val="none"/>
        </w:rPr>
      </w:pPr>
    </w:p>
    <w:p w14:paraId="23EF39B0">
      <w:pPr>
        <w:pStyle w:val="364"/>
        <w:spacing w:line="500" w:lineRule="exact"/>
        <w:rPr>
          <w:rFonts w:hint="eastAsia" w:ascii="宋体" w:hAnsi="宋体" w:eastAsia="宋体" w:cs="宋体"/>
          <w:color w:val="auto"/>
          <w:sz w:val="32"/>
          <w:szCs w:val="32"/>
          <w:highlight w:val="none"/>
        </w:rPr>
      </w:pPr>
    </w:p>
    <w:p w14:paraId="4F6EDB76">
      <w:pPr>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lang w:eastAsia="zh-CN"/>
        </w:rPr>
        <w:t>项目</w:t>
      </w:r>
    </w:p>
    <w:p w14:paraId="1DACD0E5">
      <w:pPr>
        <w:jc w:val="center"/>
        <w:rPr>
          <w:rFonts w:hint="eastAsia" w:ascii="宋体" w:hAnsi="宋体" w:eastAsia="宋体" w:cs="宋体"/>
          <w:b/>
          <w:bCs/>
          <w:color w:val="auto"/>
          <w:sz w:val="32"/>
          <w:szCs w:val="32"/>
          <w:highlight w:val="none"/>
          <w:lang w:eastAsia="zh-CN"/>
        </w:rPr>
      </w:pPr>
    </w:p>
    <w:p w14:paraId="4F965CE5">
      <w:pPr>
        <w:spacing w:line="500" w:lineRule="exact"/>
        <w:jc w:val="center"/>
        <w:rPr>
          <w:rFonts w:hint="eastAsia" w:ascii="宋体" w:hAnsi="宋体" w:eastAsia="宋体" w:cs="宋体"/>
          <w:b/>
          <w:bCs/>
          <w:color w:val="auto"/>
          <w:sz w:val="24"/>
          <w:szCs w:val="24"/>
          <w:highlight w:val="none"/>
        </w:rPr>
      </w:pPr>
    </w:p>
    <w:p w14:paraId="63C78583">
      <w:pPr>
        <w:pStyle w:val="3"/>
        <w:spacing w:line="500" w:lineRule="exact"/>
        <w:rPr>
          <w:rFonts w:hint="eastAsia" w:ascii="宋体" w:hAnsi="宋体" w:eastAsia="宋体" w:cs="宋体"/>
          <w:color w:val="auto"/>
          <w:sz w:val="24"/>
          <w:szCs w:val="24"/>
          <w:highlight w:val="none"/>
        </w:rPr>
      </w:pPr>
    </w:p>
    <w:p w14:paraId="684D5B14">
      <w:pPr>
        <w:spacing w:line="500" w:lineRule="exact"/>
        <w:rPr>
          <w:rFonts w:hint="eastAsia" w:ascii="宋体" w:hAnsi="宋体" w:eastAsia="宋体" w:cs="宋体"/>
          <w:color w:val="auto"/>
          <w:sz w:val="24"/>
          <w:szCs w:val="24"/>
          <w:highlight w:val="none"/>
        </w:rPr>
      </w:pPr>
    </w:p>
    <w:p w14:paraId="1CF4DC20">
      <w:pPr>
        <w:spacing w:line="500" w:lineRule="exact"/>
        <w:textAlignment w:val="center"/>
        <w:rPr>
          <w:rFonts w:hint="eastAsia" w:ascii="宋体" w:hAnsi="宋体" w:eastAsia="宋体" w:cs="宋体"/>
          <w:color w:val="auto"/>
          <w:spacing w:val="-20"/>
          <w:kern w:val="10"/>
          <w:sz w:val="24"/>
          <w:szCs w:val="24"/>
          <w:highlight w:val="none"/>
        </w:rPr>
      </w:pPr>
    </w:p>
    <w:p w14:paraId="6F860199">
      <w:pPr>
        <w:pStyle w:val="3"/>
        <w:spacing w:line="500" w:lineRule="exact"/>
        <w:rPr>
          <w:rFonts w:hint="eastAsia" w:ascii="宋体" w:hAnsi="宋体" w:eastAsia="宋体" w:cs="宋体"/>
          <w:color w:val="auto"/>
          <w:sz w:val="24"/>
          <w:szCs w:val="24"/>
          <w:highlight w:val="none"/>
        </w:rPr>
      </w:pPr>
    </w:p>
    <w:p w14:paraId="7F2CB8A6">
      <w:pPr>
        <w:spacing w:line="500" w:lineRule="exact"/>
        <w:rPr>
          <w:rFonts w:hint="eastAsia" w:ascii="宋体" w:hAnsi="宋体" w:eastAsia="宋体" w:cs="宋体"/>
          <w:color w:val="auto"/>
          <w:sz w:val="24"/>
          <w:szCs w:val="24"/>
          <w:highlight w:val="none"/>
        </w:rPr>
      </w:pPr>
    </w:p>
    <w:p w14:paraId="3700162A">
      <w:pPr>
        <w:pStyle w:val="3"/>
        <w:spacing w:line="500" w:lineRule="exact"/>
        <w:rPr>
          <w:rFonts w:hint="eastAsia" w:ascii="宋体" w:hAnsi="宋体" w:eastAsia="宋体" w:cs="宋体"/>
          <w:color w:val="auto"/>
          <w:sz w:val="24"/>
          <w:szCs w:val="24"/>
          <w:highlight w:val="none"/>
        </w:rPr>
      </w:pPr>
    </w:p>
    <w:p w14:paraId="75CD8AEF">
      <w:pPr>
        <w:spacing w:line="500" w:lineRule="exact"/>
        <w:rPr>
          <w:rFonts w:hint="eastAsia" w:ascii="宋体" w:hAnsi="宋体" w:eastAsia="宋体" w:cs="宋体"/>
          <w:color w:val="auto"/>
          <w:sz w:val="24"/>
          <w:szCs w:val="24"/>
          <w:highlight w:val="none"/>
        </w:rPr>
      </w:pPr>
    </w:p>
    <w:p w14:paraId="01DF4586">
      <w:pPr>
        <w:pStyle w:val="3"/>
        <w:spacing w:line="500" w:lineRule="exact"/>
        <w:rPr>
          <w:rFonts w:hint="eastAsia" w:ascii="宋体" w:hAnsi="宋体" w:eastAsia="宋体" w:cs="宋体"/>
          <w:color w:val="auto"/>
          <w:sz w:val="24"/>
          <w:szCs w:val="24"/>
          <w:highlight w:val="none"/>
        </w:rPr>
      </w:pPr>
    </w:p>
    <w:p w14:paraId="17B18CA4">
      <w:pPr>
        <w:spacing w:line="500" w:lineRule="exact"/>
        <w:rPr>
          <w:rFonts w:hint="eastAsia" w:ascii="宋体" w:hAnsi="宋体" w:eastAsia="宋体" w:cs="宋体"/>
          <w:color w:val="auto"/>
          <w:sz w:val="24"/>
          <w:szCs w:val="24"/>
          <w:highlight w:val="none"/>
        </w:rPr>
      </w:pPr>
    </w:p>
    <w:p w14:paraId="6E9E83C3">
      <w:pPr>
        <w:spacing w:line="500" w:lineRule="exact"/>
        <w:jc w:val="center"/>
        <w:textAlignment w:val="center"/>
        <w:rPr>
          <w:rFonts w:hint="eastAsia" w:ascii="宋体" w:hAnsi="宋体" w:eastAsia="宋体" w:cs="宋体"/>
          <w:b/>
          <w:color w:val="auto"/>
          <w:spacing w:val="-20"/>
          <w:kern w:val="10"/>
          <w:sz w:val="24"/>
          <w:szCs w:val="24"/>
          <w:highlight w:val="none"/>
        </w:rPr>
      </w:pPr>
      <w:r>
        <w:rPr>
          <w:rFonts w:hint="eastAsia" w:ascii="宋体" w:hAnsi="宋体" w:eastAsia="宋体" w:cs="宋体"/>
          <w:b/>
          <w:color w:val="auto"/>
          <w:spacing w:val="-20"/>
          <w:kern w:val="10"/>
          <w:sz w:val="24"/>
          <w:szCs w:val="24"/>
          <w:highlight w:val="none"/>
        </w:rPr>
        <w:t>中华人民共和国建设部</w:t>
      </w:r>
    </w:p>
    <w:p w14:paraId="43C3A841">
      <w:pPr>
        <w:spacing w:line="500" w:lineRule="exact"/>
        <w:jc w:val="center"/>
        <w:textAlignment w:val="center"/>
        <w:rPr>
          <w:rFonts w:hint="eastAsia" w:ascii="宋体" w:hAnsi="宋体" w:eastAsia="宋体" w:cs="宋体"/>
          <w:b/>
          <w:color w:val="auto"/>
          <w:spacing w:val="-20"/>
          <w:kern w:val="10"/>
          <w:sz w:val="24"/>
          <w:szCs w:val="24"/>
          <w:highlight w:val="none"/>
        </w:rPr>
      </w:pPr>
      <w:r>
        <w:rPr>
          <w:rFonts w:hint="eastAsia" w:ascii="宋体" w:hAnsi="宋体" w:eastAsia="宋体" w:cs="宋体"/>
          <w:b/>
          <w:color w:val="auto"/>
          <w:spacing w:val="-20"/>
          <w:kern w:val="10"/>
          <w:sz w:val="24"/>
          <w:szCs w:val="24"/>
          <w:highlight w:val="none"/>
        </w:rPr>
        <w:t>制定</w:t>
      </w:r>
    </w:p>
    <w:p w14:paraId="49C039C1">
      <w:pPr>
        <w:spacing w:line="5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b/>
          <w:color w:val="auto"/>
          <w:spacing w:val="-20"/>
          <w:kern w:val="10"/>
          <w:sz w:val="24"/>
          <w:szCs w:val="24"/>
          <w:highlight w:val="none"/>
        </w:rPr>
        <w:t>国家工商行政管理总局</w:t>
      </w:r>
    </w:p>
    <w:p w14:paraId="47B7FB2B">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48A5EE2">
      <w:pPr>
        <w:pStyle w:val="6"/>
        <w:bidi w:val="0"/>
        <w:jc w:val="center"/>
        <w:rPr>
          <w:rFonts w:hint="eastAsia"/>
          <w:highlight w:val="none"/>
        </w:rPr>
      </w:pPr>
      <w:bookmarkStart w:id="132" w:name="_Toc31953"/>
      <w:r>
        <w:rPr>
          <w:rFonts w:hint="eastAsia"/>
          <w:highlight w:val="none"/>
        </w:rPr>
        <w:t>第一部分 合同协议书</w:t>
      </w:r>
      <w:bookmarkEnd w:id="132"/>
    </w:p>
    <w:p w14:paraId="4632C586">
      <w:pPr>
        <w:snapToGrid w:val="0"/>
        <w:spacing w:line="500" w:lineRule="exact"/>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建设单位（全称）：</w:t>
      </w:r>
      <w:r>
        <w:rPr>
          <w:rFonts w:hint="eastAsia" w:ascii="宋体" w:hAnsi="宋体" w:cs="宋体"/>
          <w:color w:val="auto"/>
          <w:sz w:val="24"/>
          <w:szCs w:val="24"/>
          <w:highlight w:val="none"/>
          <w:u w:val="single"/>
          <w:shd w:val="clear" w:color="auto" w:fill="FFFFFF"/>
          <w:lang w:eastAsia="zh-CN"/>
        </w:rPr>
        <w:t>重庆市大足区交通运输委员会</w:t>
      </w:r>
    </w:p>
    <w:p w14:paraId="6D564739">
      <w:pPr>
        <w:snapToGrid w:val="0"/>
        <w:spacing w:line="500" w:lineRule="exact"/>
        <w:ind w:firstLine="482" w:firstLineChars="200"/>
        <w:rPr>
          <w:rFonts w:hint="eastAsia" w:ascii="宋体" w:hAnsi="宋体" w:eastAsia="宋体" w:cs="宋体"/>
          <w:b/>
          <w:color w:val="auto"/>
          <w:sz w:val="24"/>
          <w:szCs w:val="24"/>
          <w:highlight w:val="none"/>
          <w:u w:val="single"/>
          <w:lang w:val="en-US" w:eastAsia="zh-CN"/>
        </w:rPr>
      </w:pPr>
      <w:r>
        <w:rPr>
          <w:rFonts w:hint="eastAsia" w:ascii="宋体" w:hAnsi="宋体" w:eastAsia="宋体" w:cs="宋体"/>
          <w:b/>
          <w:color w:val="auto"/>
          <w:sz w:val="24"/>
          <w:szCs w:val="24"/>
          <w:highlight w:val="none"/>
        </w:rPr>
        <w:t>施工单位（全称）：</w:t>
      </w:r>
      <w:r>
        <w:rPr>
          <w:rFonts w:hint="eastAsia" w:ascii="宋体" w:hAnsi="宋体" w:eastAsia="宋体" w:cs="宋体"/>
          <w:color w:val="auto"/>
          <w:sz w:val="24"/>
          <w:szCs w:val="24"/>
          <w:highlight w:val="none"/>
          <w:u w:val="single"/>
          <w:lang w:val="en-US" w:eastAsia="zh-CN"/>
        </w:rPr>
        <w:t xml:space="preserve">                              </w:t>
      </w:r>
    </w:p>
    <w:p w14:paraId="727EE6EC">
      <w:pPr>
        <w:spacing w:line="500" w:lineRule="exact"/>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根据《中华人民共和国</w:t>
      </w:r>
      <w:r>
        <w:rPr>
          <w:rFonts w:hint="eastAsia" w:ascii="宋体" w:hAnsi="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》、《中华人民共和国建筑法》及有关法律、法规规定，遵循平等、自愿、公平和诚实信用的原则，双方就</w:t>
      </w:r>
      <w:r>
        <w:rPr>
          <w:rFonts w:hint="eastAsia" w:ascii="宋体" w:hAnsi="宋体" w:cs="宋体"/>
          <w:color w:val="auto"/>
          <w:sz w:val="24"/>
          <w:szCs w:val="24"/>
          <w:highlight w:val="none"/>
          <w:u w:val="single"/>
          <w:lang w:eastAsia="zh-CN"/>
        </w:rPr>
        <w:t>成渝高速公路复线工程宝兴镇等4个镇临时用地土地复垦工程</w:t>
      </w:r>
      <w:r>
        <w:rPr>
          <w:rFonts w:hint="eastAsia" w:ascii="宋体" w:hAnsi="宋体" w:eastAsia="宋体" w:cs="宋体"/>
          <w:color w:val="auto"/>
          <w:sz w:val="24"/>
          <w:szCs w:val="24"/>
          <w:highlight w:val="none"/>
        </w:rPr>
        <w:t>及有关事项协商一致，共同达成如下协议：</w:t>
      </w:r>
    </w:p>
    <w:p w14:paraId="1BC1971D">
      <w:pPr>
        <w:pStyle w:val="7"/>
        <w:spacing w:before="0" w:after="0" w:line="500" w:lineRule="exact"/>
        <w:ind w:firstLine="482" w:firstLineChars="200"/>
        <w:rPr>
          <w:rFonts w:hint="eastAsia" w:ascii="宋体" w:hAnsi="宋体" w:eastAsia="宋体" w:cs="宋体"/>
          <w:color w:val="auto"/>
          <w:sz w:val="24"/>
          <w:szCs w:val="24"/>
          <w:highlight w:val="none"/>
        </w:rPr>
      </w:pPr>
      <w:bookmarkStart w:id="133" w:name="_Toc351203481"/>
      <w:bookmarkStart w:id="134" w:name="_Toc532375573"/>
      <w:bookmarkStart w:id="135" w:name="_Toc532377166"/>
      <w:r>
        <w:rPr>
          <w:rFonts w:hint="eastAsia" w:ascii="宋体" w:hAnsi="宋体" w:eastAsia="宋体" w:cs="宋体"/>
          <w:color w:val="auto"/>
          <w:sz w:val="24"/>
          <w:szCs w:val="24"/>
          <w:highlight w:val="none"/>
        </w:rPr>
        <w:t>一、工程概况</w:t>
      </w:r>
      <w:bookmarkEnd w:id="133"/>
      <w:bookmarkEnd w:id="134"/>
      <w:bookmarkEnd w:id="135"/>
    </w:p>
    <w:p w14:paraId="56AF05A1">
      <w:pPr>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1.项目名称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eastAsia="zh-CN"/>
        </w:rPr>
        <w:t>成渝高速公路复线工程宝兴镇等4个镇临时用地土地复垦工程</w:t>
      </w:r>
      <w:r>
        <w:rPr>
          <w:rFonts w:hint="eastAsia" w:ascii="宋体" w:hAnsi="宋体" w:eastAsia="宋体" w:cs="宋体"/>
          <w:color w:val="auto"/>
          <w:sz w:val="24"/>
          <w:szCs w:val="24"/>
          <w:highlight w:val="none"/>
        </w:rPr>
        <w:t>。</w:t>
      </w:r>
    </w:p>
    <w:p w14:paraId="7FB8234D">
      <w:pPr>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2.项目地点：</w:t>
      </w:r>
      <w:r>
        <w:rPr>
          <w:rFonts w:hint="eastAsia" w:ascii="宋体" w:hAnsi="宋体" w:eastAsia="宋体" w:cs="宋体"/>
          <w:b/>
          <w:bCs/>
          <w:color w:val="auto"/>
          <w:sz w:val="24"/>
          <w:szCs w:val="24"/>
          <w:highlight w:val="none"/>
          <w:u w:val="single"/>
        </w:rPr>
        <w:t xml:space="preserve">               </w:t>
      </w:r>
    </w:p>
    <w:p w14:paraId="6C1B41C6">
      <w:pPr>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3.立项批准文号：</w:t>
      </w:r>
      <w:r>
        <w:rPr>
          <w:rFonts w:hint="eastAsia" w:ascii="宋体" w:hAnsi="宋体" w:eastAsia="宋体" w:cs="宋体"/>
          <w:b/>
          <w:bCs/>
          <w:color w:val="auto"/>
          <w:sz w:val="24"/>
          <w:szCs w:val="24"/>
          <w:highlight w:val="none"/>
          <w:u w:val="single"/>
        </w:rPr>
        <w:t xml:space="preserve">                      </w:t>
      </w:r>
    </w:p>
    <w:p w14:paraId="75322D27">
      <w:pPr>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color w:val="auto"/>
          <w:sz w:val="24"/>
          <w:szCs w:val="24"/>
          <w:highlight w:val="none"/>
          <w:u w:val="single"/>
          <w:lang w:val="en-US" w:eastAsia="zh-CN"/>
        </w:rPr>
        <w:t>业主自筹</w:t>
      </w:r>
      <w:r>
        <w:rPr>
          <w:rFonts w:hint="eastAsia" w:ascii="宋体" w:hAnsi="宋体" w:eastAsia="宋体" w:cs="宋体"/>
          <w:color w:val="auto"/>
          <w:sz w:val="24"/>
          <w:szCs w:val="24"/>
          <w:highlight w:val="none"/>
        </w:rPr>
        <w:t>。</w:t>
      </w:r>
    </w:p>
    <w:p w14:paraId="045B1456">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5.项目内容：</w:t>
      </w:r>
      <w:r>
        <w:rPr>
          <w:rFonts w:hint="eastAsia" w:ascii="宋体" w:hAnsi="宋体" w:eastAsia="宋体" w:cs="宋体"/>
          <w:b/>
          <w:bCs/>
          <w:color w:val="auto"/>
          <w:sz w:val="24"/>
          <w:szCs w:val="24"/>
          <w:highlight w:val="none"/>
          <w:u w:val="single"/>
        </w:rPr>
        <w:t xml:space="preserve">                      </w:t>
      </w:r>
    </w:p>
    <w:p w14:paraId="667A9129">
      <w:pPr>
        <w:pStyle w:val="7"/>
        <w:spacing w:before="0" w:after="0" w:line="500" w:lineRule="exact"/>
        <w:ind w:firstLine="482" w:firstLineChars="200"/>
        <w:rPr>
          <w:rFonts w:hint="eastAsia" w:ascii="宋体" w:hAnsi="宋体" w:eastAsia="宋体" w:cs="宋体"/>
          <w:color w:val="auto"/>
          <w:sz w:val="24"/>
          <w:szCs w:val="24"/>
          <w:highlight w:val="none"/>
        </w:rPr>
      </w:pPr>
      <w:bookmarkStart w:id="136" w:name="_Toc351203482"/>
      <w:bookmarkStart w:id="137" w:name="_Toc532375574"/>
      <w:bookmarkStart w:id="138" w:name="_Toc532377167"/>
      <w:r>
        <w:rPr>
          <w:rFonts w:hint="eastAsia" w:ascii="宋体" w:hAnsi="宋体" w:eastAsia="宋体" w:cs="宋体"/>
          <w:color w:val="auto"/>
          <w:sz w:val="24"/>
          <w:szCs w:val="24"/>
          <w:highlight w:val="none"/>
        </w:rPr>
        <w:t>二、项目工期</w:t>
      </w:r>
      <w:bookmarkEnd w:id="136"/>
      <w:bookmarkEnd w:id="137"/>
      <w:bookmarkEnd w:id="138"/>
    </w:p>
    <w:p w14:paraId="2C085043">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计划日期：</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年</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月</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日</w:t>
      </w:r>
      <w:r>
        <w:rPr>
          <w:rFonts w:hint="eastAsia" w:ascii="宋体" w:hAnsi="宋体" w:eastAsia="宋体" w:cs="宋体"/>
          <w:bCs/>
          <w:color w:val="auto"/>
          <w:sz w:val="24"/>
          <w:szCs w:val="24"/>
          <w:highlight w:val="none"/>
        </w:rPr>
        <w:t>，实际巡查日期以建设单位签发的开工通知明确的开工日期为准。</w:t>
      </w:r>
    </w:p>
    <w:p w14:paraId="2D3C97C4">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计划竣工日期：</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年</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月</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日</w:t>
      </w:r>
      <w:r>
        <w:rPr>
          <w:rFonts w:hint="eastAsia" w:ascii="宋体" w:hAnsi="宋体" w:eastAsia="宋体" w:cs="宋体"/>
          <w:bCs/>
          <w:color w:val="auto"/>
          <w:sz w:val="24"/>
          <w:szCs w:val="24"/>
          <w:highlight w:val="none"/>
        </w:rPr>
        <w:t>，实际竣工日期以工程验收合格之日为准。</w:t>
      </w:r>
    </w:p>
    <w:p w14:paraId="17ADD64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工期总日历天数</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天。工期总日历天数与根据前述计划开竣工日期计算的工期天数不一</w:t>
      </w:r>
      <w:r>
        <w:rPr>
          <w:rFonts w:hint="eastAsia" w:ascii="宋体" w:hAnsi="宋体" w:eastAsia="宋体" w:cs="宋体"/>
          <w:color w:val="auto"/>
          <w:sz w:val="24"/>
          <w:szCs w:val="24"/>
          <w:highlight w:val="none"/>
        </w:rPr>
        <w:t>致的，以工期总日历天数为准。</w:t>
      </w:r>
    </w:p>
    <w:p w14:paraId="5CA76DA1">
      <w:pPr>
        <w:pStyle w:val="7"/>
        <w:spacing w:before="0" w:after="0" w:line="500" w:lineRule="exact"/>
        <w:ind w:firstLine="482" w:firstLineChars="200"/>
        <w:rPr>
          <w:rFonts w:hint="eastAsia" w:ascii="宋体" w:hAnsi="宋体" w:eastAsia="宋体" w:cs="宋体"/>
          <w:color w:val="auto"/>
          <w:sz w:val="24"/>
          <w:szCs w:val="24"/>
          <w:highlight w:val="none"/>
        </w:rPr>
      </w:pPr>
      <w:bookmarkStart w:id="139" w:name="_Toc351203483"/>
      <w:bookmarkStart w:id="140" w:name="_Toc532377168"/>
      <w:bookmarkStart w:id="141" w:name="_Toc532375575"/>
      <w:r>
        <w:rPr>
          <w:rFonts w:hint="eastAsia" w:ascii="宋体" w:hAnsi="宋体" w:eastAsia="宋体" w:cs="宋体"/>
          <w:color w:val="auto"/>
          <w:sz w:val="24"/>
          <w:szCs w:val="24"/>
          <w:highlight w:val="none"/>
        </w:rPr>
        <w:t>三、质量标准</w:t>
      </w:r>
      <w:bookmarkEnd w:id="139"/>
      <w:bookmarkEnd w:id="140"/>
      <w:bookmarkEnd w:id="141"/>
    </w:p>
    <w:p w14:paraId="5159118A">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质量符合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w:t>
      </w:r>
    </w:p>
    <w:p w14:paraId="0D152155">
      <w:pPr>
        <w:pStyle w:val="7"/>
        <w:spacing w:before="0" w:after="0" w:line="500" w:lineRule="exact"/>
        <w:ind w:firstLine="482" w:firstLineChars="200"/>
        <w:rPr>
          <w:rFonts w:hint="eastAsia" w:ascii="宋体" w:hAnsi="宋体" w:eastAsia="宋体" w:cs="宋体"/>
          <w:color w:val="auto"/>
          <w:sz w:val="24"/>
          <w:szCs w:val="24"/>
          <w:highlight w:val="none"/>
        </w:rPr>
      </w:pPr>
      <w:bookmarkStart w:id="142" w:name="_Toc532375576"/>
      <w:bookmarkStart w:id="143" w:name="_Toc532377169"/>
      <w:bookmarkStart w:id="144" w:name="_Toc351203484"/>
      <w:r>
        <w:rPr>
          <w:rFonts w:hint="eastAsia" w:ascii="宋体" w:hAnsi="宋体" w:eastAsia="宋体" w:cs="宋体"/>
          <w:color w:val="auto"/>
          <w:sz w:val="24"/>
          <w:szCs w:val="24"/>
          <w:highlight w:val="none"/>
        </w:rPr>
        <w:t>四、签约合同价与合同价格形式</w:t>
      </w:r>
      <w:bookmarkEnd w:id="142"/>
      <w:bookmarkEnd w:id="143"/>
      <w:bookmarkEnd w:id="144"/>
      <w:r>
        <w:rPr>
          <w:rFonts w:hint="eastAsia" w:ascii="宋体" w:hAnsi="宋体" w:eastAsia="宋体" w:cs="宋体"/>
          <w:color w:val="auto"/>
          <w:sz w:val="24"/>
          <w:szCs w:val="24"/>
          <w:highlight w:val="none"/>
        </w:rPr>
        <w:tab/>
      </w:r>
    </w:p>
    <w:p w14:paraId="6A4407DA">
      <w:pPr>
        <w:spacing w:line="5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1.合同价与合同价格形式：</w:t>
      </w:r>
      <w:r>
        <w:rPr>
          <w:rFonts w:hint="eastAsia" w:ascii="宋体" w:hAnsi="宋体" w:eastAsia="宋体" w:cs="宋体"/>
          <w:color w:val="auto"/>
          <w:kern w:val="0"/>
          <w:sz w:val="24"/>
          <w:szCs w:val="24"/>
          <w:highlight w:val="none"/>
        </w:rPr>
        <w:t>清单计价模式。</w:t>
      </w:r>
    </w:p>
    <w:p w14:paraId="6858338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2.签约合同价为：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w:t>
      </w:r>
    </w:p>
    <w:p w14:paraId="6D8F7C31">
      <w:pPr>
        <w:pStyle w:val="7"/>
        <w:spacing w:before="0" w:after="0" w:line="500" w:lineRule="exact"/>
        <w:ind w:firstLine="482" w:firstLineChars="200"/>
        <w:rPr>
          <w:rFonts w:hint="eastAsia" w:ascii="宋体" w:hAnsi="宋体" w:eastAsia="宋体" w:cs="宋体"/>
          <w:color w:val="auto"/>
          <w:sz w:val="24"/>
          <w:szCs w:val="24"/>
          <w:highlight w:val="none"/>
        </w:rPr>
      </w:pPr>
      <w:bookmarkStart w:id="145" w:name="_Toc351203485"/>
      <w:bookmarkStart w:id="146" w:name="_Toc532375577"/>
      <w:bookmarkStart w:id="147" w:name="_Toc532377170"/>
      <w:r>
        <w:rPr>
          <w:rFonts w:hint="eastAsia" w:ascii="宋体" w:hAnsi="宋体" w:eastAsia="宋体" w:cs="宋体"/>
          <w:color w:val="auto"/>
          <w:sz w:val="24"/>
          <w:szCs w:val="24"/>
          <w:highlight w:val="none"/>
        </w:rPr>
        <w:t>五、</w:t>
      </w:r>
      <w:bookmarkEnd w:id="145"/>
      <w:r>
        <w:rPr>
          <w:rFonts w:hint="eastAsia" w:ascii="宋体" w:hAnsi="宋体" w:eastAsia="宋体" w:cs="宋体"/>
          <w:color w:val="auto"/>
          <w:sz w:val="24"/>
          <w:szCs w:val="24"/>
          <w:highlight w:val="none"/>
        </w:rPr>
        <w:t>项目经理及技术负责人</w:t>
      </w:r>
      <w:bookmarkEnd w:id="146"/>
      <w:bookmarkEnd w:id="147"/>
    </w:p>
    <w:p w14:paraId="77E24F3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施工单位承诺的项目经理：</w:t>
      </w:r>
    </w:p>
    <w:p w14:paraId="4444DA9F">
      <w:pPr>
        <w:autoSpaceDE w:val="0"/>
        <w:autoSpaceDN w:val="0"/>
        <w:adjustRightInd w:val="0"/>
        <w:snapToGrid w:val="0"/>
        <w:spacing w:line="5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w:t>
      </w:r>
    </w:p>
    <w:p w14:paraId="17297D6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w:t>
      </w:r>
    </w:p>
    <w:p w14:paraId="6389C1E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w:t>
      </w:r>
    </w:p>
    <w:p w14:paraId="0C4B341D">
      <w:pPr>
        <w:pStyle w:val="7"/>
        <w:spacing w:before="0" w:after="0" w:line="500" w:lineRule="exact"/>
        <w:ind w:firstLine="482" w:firstLineChars="200"/>
        <w:rPr>
          <w:rFonts w:hint="eastAsia" w:ascii="宋体" w:hAnsi="宋体" w:eastAsia="宋体" w:cs="宋体"/>
          <w:color w:val="auto"/>
          <w:sz w:val="24"/>
          <w:szCs w:val="24"/>
          <w:highlight w:val="none"/>
        </w:rPr>
      </w:pPr>
      <w:bookmarkStart w:id="148" w:name="_Toc532375578"/>
      <w:bookmarkStart w:id="149" w:name="_Toc351203486"/>
      <w:bookmarkStart w:id="150" w:name="_Toc532377171"/>
      <w:r>
        <w:rPr>
          <w:rFonts w:hint="eastAsia" w:ascii="宋体" w:hAnsi="宋体" w:eastAsia="宋体" w:cs="宋体"/>
          <w:color w:val="auto"/>
          <w:sz w:val="24"/>
          <w:szCs w:val="24"/>
          <w:highlight w:val="none"/>
        </w:rPr>
        <w:t>六、合同文件构成</w:t>
      </w:r>
      <w:bookmarkEnd w:id="148"/>
      <w:bookmarkEnd w:id="149"/>
      <w:bookmarkEnd w:id="150"/>
    </w:p>
    <w:p w14:paraId="06F65F0C">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合同由以下文件构成：</w:t>
      </w:r>
      <w:bookmarkStart w:id="151" w:name="_Toc532377172"/>
      <w:bookmarkStart w:id="152" w:name="_Toc532375579"/>
      <w:bookmarkStart w:id="153" w:name="_Toc351203487"/>
    </w:p>
    <w:p w14:paraId="56B5627E">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（1）合同协议书；</w:t>
      </w:r>
    </w:p>
    <w:p w14:paraId="5C1B3415">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（2）中标通知书；</w:t>
      </w:r>
    </w:p>
    <w:p w14:paraId="51ED5DD1">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（3）专用合同条款及附件；</w:t>
      </w:r>
    </w:p>
    <w:p w14:paraId="3B6B388A">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（4）通用合同条款；</w:t>
      </w:r>
    </w:p>
    <w:p w14:paraId="068C6D76">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（5）技术标准和要求；</w:t>
      </w:r>
    </w:p>
    <w:p w14:paraId="4821E97B">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（6）图纸（设计交底、图纸会审、设计变更通知、工程洽商或技术核定单等）；</w:t>
      </w:r>
    </w:p>
    <w:p w14:paraId="421C2EB2">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（7）工程量清单</w:t>
      </w:r>
    </w:p>
    <w:p w14:paraId="2CD30BE9">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（8）招标文件及经双方认可的其他合同文件。</w:t>
      </w:r>
    </w:p>
    <w:p w14:paraId="53C52E00">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在合同订立及履行过程中形成的与合同有关的文件均构成合同文件组成部分。</w:t>
      </w:r>
    </w:p>
    <w:p w14:paraId="5AFDF09C">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上述各项合同文件包括合同当事人就该项合同文件所作出的补充和修改，属于同一类内容的文件，应以最新签署的为准。专用合同条款及其附件须经合同当事人签字盖章。</w:t>
      </w:r>
    </w:p>
    <w:p w14:paraId="789081A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七、承诺</w:t>
      </w:r>
      <w:bookmarkEnd w:id="151"/>
      <w:bookmarkEnd w:id="152"/>
      <w:bookmarkEnd w:id="153"/>
    </w:p>
    <w:p w14:paraId="64F3493D">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1.建设单位承诺按照法律规定履行项目审批手续、筹集工程建设资金并按照合同约定的期限和方式支付合同价款。</w:t>
      </w:r>
    </w:p>
    <w:p w14:paraId="256D95EA">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施工单位承诺按照法律规定及合同约定组织完成工程施工，确保工程质量和安全，不进行转包及违法分包，并在缺陷责任期及保修期内承担相应的工程维修责任</w:t>
      </w:r>
      <w:r>
        <w:rPr>
          <w:rFonts w:hint="eastAsia" w:ascii="宋体" w:hAnsi="宋体" w:eastAsia="宋体" w:cs="宋体"/>
          <w:bCs/>
          <w:color w:val="auto"/>
          <w:sz w:val="24"/>
          <w:szCs w:val="24"/>
          <w:highlight w:val="none"/>
        </w:rPr>
        <w:t>。</w:t>
      </w:r>
    </w:p>
    <w:p w14:paraId="560B6540">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3.建设单位和施工单位通过招比选申请形式签订合同的，双方理解并承诺不再就同一工程另行签订与合同实质性内容相背离的协议。</w:t>
      </w:r>
    </w:p>
    <w:p w14:paraId="3266DFCF">
      <w:pPr>
        <w:pStyle w:val="7"/>
        <w:spacing w:before="0" w:after="0" w:line="500" w:lineRule="exact"/>
        <w:ind w:firstLine="482" w:firstLineChars="200"/>
        <w:rPr>
          <w:rFonts w:hint="eastAsia" w:ascii="宋体" w:hAnsi="宋体" w:eastAsia="宋体" w:cs="宋体"/>
          <w:color w:val="auto"/>
          <w:sz w:val="24"/>
          <w:szCs w:val="24"/>
          <w:highlight w:val="none"/>
        </w:rPr>
      </w:pPr>
      <w:bookmarkStart w:id="154" w:name="_Toc532375580"/>
      <w:bookmarkStart w:id="155" w:name="_Toc532377173"/>
      <w:bookmarkStart w:id="156" w:name="_Toc351203488"/>
      <w:r>
        <w:rPr>
          <w:rFonts w:hint="eastAsia" w:ascii="宋体" w:hAnsi="宋体" w:eastAsia="宋体" w:cs="宋体"/>
          <w:color w:val="auto"/>
          <w:sz w:val="24"/>
          <w:szCs w:val="24"/>
          <w:highlight w:val="none"/>
        </w:rPr>
        <w:t>八、词语含义</w:t>
      </w:r>
      <w:bookmarkEnd w:id="154"/>
      <w:bookmarkEnd w:id="155"/>
      <w:bookmarkEnd w:id="156"/>
    </w:p>
    <w:p w14:paraId="4BBBCEB8">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本协议书中词语含义与专用合同条款及通用合同条款中赋予的含义相同。</w:t>
      </w:r>
    </w:p>
    <w:p w14:paraId="00895779">
      <w:pPr>
        <w:pStyle w:val="7"/>
        <w:spacing w:before="0" w:after="0" w:line="500" w:lineRule="exact"/>
        <w:ind w:firstLine="482" w:firstLineChars="200"/>
        <w:rPr>
          <w:rFonts w:hint="eastAsia" w:ascii="宋体" w:hAnsi="宋体" w:eastAsia="宋体" w:cs="宋体"/>
          <w:color w:val="auto"/>
          <w:sz w:val="24"/>
          <w:szCs w:val="24"/>
          <w:highlight w:val="none"/>
        </w:rPr>
      </w:pPr>
      <w:bookmarkStart w:id="157" w:name="_Toc532377174"/>
      <w:bookmarkStart w:id="158" w:name="_Toc532375581"/>
      <w:r>
        <w:rPr>
          <w:rFonts w:hint="eastAsia" w:ascii="宋体" w:hAnsi="宋体" w:eastAsia="宋体" w:cs="宋体"/>
          <w:color w:val="auto"/>
          <w:sz w:val="24"/>
          <w:szCs w:val="24"/>
          <w:highlight w:val="none"/>
        </w:rPr>
        <w:t>九、签订时间</w:t>
      </w:r>
      <w:bookmarkEnd w:id="157"/>
      <w:bookmarkEnd w:id="158"/>
      <w:r>
        <w:rPr>
          <w:rFonts w:hint="eastAsia" w:ascii="宋体" w:hAnsi="宋体" w:eastAsia="宋体" w:cs="宋体"/>
          <w:color w:val="auto"/>
          <w:sz w:val="24"/>
          <w:szCs w:val="24"/>
          <w:highlight w:val="none"/>
        </w:rPr>
        <w:t>及地点</w:t>
      </w:r>
    </w:p>
    <w:p w14:paraId="601A7AC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日在</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0099640C">
      <w:pPr>
        <w:pStyle w:val="7"/>
        <w:spacing w:before="0" w:after="0" w:line="500" w:lineRule="exact"/>
        <w:ind w:firstLine="482" w:firstLineChars="200"/>
        <w:rPr>
          <w:rFonts w:hint="eastAsia" w:ascii="宋体" w:hAnsi="宋体" w:eastAsia="宋体" w:cs="宋体"/>
          <w:color w:val="auto"/>
          <w:sz w:val="24"/>
          <w:szCs w:val="24"/>
          <w:highlight w:val="none"/>
        </w:rPr>
      </w:pPr>
      <w:bookmarkStart w:id="159" w:name="_Toc532377176"/>
      <w:bookmarkStart w:id="160" w:name="_Toc351203491"/>
      <w:bookmarkStart w:id="161" w:name="_Toc532375583"/>
      <w:r>
        <w:rPr>
          <w:rFonts w:hint="eastAsia" w:ascii="宋体" w:hAnsi="宋体" w:eastAsia="宋体" w:cs="宋体"/>
          <w:color w:val="auto"/>
          <w:sz w:val="24"/>
          <w:szCs w:val="24"/>
          <w:highlight w:val="none"/>
        </w:rPr>
        <w:t>十、补充协议</w:t>
      </w:r>
      <w:bookmarkEnd w:id="159"/>
      <w:bookmarkEnd w:id="160"/>
      <w:bookmarkEnd w:id="161"/>
    </w:p>
    <w:p w14:paraId="786BBF30">
      <w:pPr>
        <w:spacing w:line="5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2A486E14">
      <w:pPr>
        <w:pStyle w:val="7"/>
        <w:spacing w:before="0" w:after="0" w:line="500" w:lineRule="exact"/>
        <w:ind w:firstLine="482" w:firstLineChars="200"/>
        <w:rPr>
          <w:rFonts w:hint="eastAsia" w:ascii="宋体" w:hAnsi="宋体" w:eastAsia="宋体" w:cs="宋体"/>
          <w:color w:val="auto"/>
          <w:sz w:val="24"/>
          <w:szCs w:val="24"/>
          <w:highlight w:val="none"/>
        </w:rPr>
      </w:pPr>
      <w:bookmarkStart w:id="162" w:name="_Toc351203492"/>
      <w:bookmarkStart w:id="163" w:name="_Toc532377177"/>
      <w:bookmarkStart w:id="164" w:name="_Toc532375584"/>
      <w:r>
        <w:rPr>
          <w:rFonts w:hint="eastAsia" w:ascii="宋体" w:hAnsi="宋体" w:eastAsia="宋体" w:cs="宋体"/>
          <w:color w:val="auto"/>
          <w:sz w:val="24"/>
          <w:szCs w:val="24"/>
          <w:highlight w:val="none"/>
        </w:rPr>
        <w:t>十一、合同生效</w:t>
      </w:r>
      <w:bookmarkEnd w:id="162"/>
      <w:bookmarkEnd w:id="163"/>
      <w:bookmarkEnd w:id="164"/>
    </w:p>
    <w:p w14:paraId="6E045E72">
      <w:pPr>
        <w:adjustRightInd w:val="0"/>
        <w:snapToGrid w:val="0"/>
        <w:spacing w:line="500" w:lineRule="exact"/>
        <w:ind w:firstLine="564"/>
        <w:rPr>
          <w:rFonts w:hint="eastAsia" w:ascii="宋体" w:hAnsi="宋体" w:eastAsia="宋体" w:cs="宋体"/>
          <w:color w:val="auto"/>
          <w:sz w:val="24"/>
          <w:szCs w:val="24"/>
          <w:highlight w:val="none"/>
        </w:rPr>
      </w:pPr>
      <w:bookmarkStart w:id="165" w:name="_Toc532375585"/>
      <w:bookmarkStart w:id="166" w:name="_Toc351203493"/>
      <w:bookmarkStart w:id="167" w:name="_Toc532377178"/>
      <w:r>
        <w:rPr>
          <w:rFonts w:hint="eastAsia" w:ascii="宋体" w:hAnsi="宋体" w:eastAsia="宋体" w:cs="宋体"/>
          <w:color w:val="auto"/>
          <w:sz w:val="24"/>
          <w:szCs w:val="24"/>
          <w:highlight w:val="none"/>
        </w:rPr>
        <w:t>双方签字盖章完善合同生效。</w:t>
      </w:r>
    </w:p>
    <w:p w14:paraId="4DAC1B77">
      <w:pPr>
        <w:pStyle w:val="7"/>
        <w:spacing w:before="0" w:after="0"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十二、合同份数</w:t>
      </w:r>
      <w:bookmarkEnd w:id="165"/>
      <w:bookmarkEnd w:id="166"/>
      <w:bookmarkEnd w:id="167"/>
    </w:p>
    <w:p w14:paraId="736B359E">
      <w:pPr>
        <w:adjustRightInd w:val="0"/>
        <w:spacing w:line="500" w:lineRule="exact"/>
        <w:ind w:firstLine="480" w:firstLineChars="200"/>
        <w:rPr>
          <w:rFonts w:hint="eastAsia" w:ascii="宋体" w:hAnsi="宋体" w:eastAsia="宋体" w:cs="宋体"/>
          <w:snapToGrid w:val="0"/>
          <w:color w:val="auto"/>
          <w:kern w:val="0"/>
          <w:sz w:val="24"/>
          <w:szCs w:val="24"/>
          <w:highlight w:val="none"/>
        </w:rPr>
      </w:pPr>
      <w:bookmarkStart w:id="168" w:name="_Toc467689623"/>
    </w:p>
    <w:p w14:paraId="438952CB">
      <w:pPr>
        <w:adjustRightInd w:val="0"/>
        <w:spacing w:line="5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本合同一式</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份，双方各执</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份，均具有同等法律效力。</w:t>
      </w:r>
      <w:bookmarkEnd w:id="168"/>
    </w:p>
    <w:p w14:paraId="5E8AC978">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建设单位：(公章)                 施工单位：(公章)</w:t>
      </w:r>
    </w:p>
    <w:p w14:paraId="6FB56B75">
      <w:pPr>
        <w:pStyle w:val="3"/>
        <w:spacing w:line="500" w:lineRule="exact"/>
        <w:rPr>
          <w:rFonts w:hint="eastAsia" w:ascii="宋体" w:hAnsi="宋体" w:eastAsia="宋体" w:cs="宋体"/>
          <w:color w:val="auto"/>
          <w:sz w:val="24"/>
          <w:szCs w:val="24"/>
          <w:highlight w:val="none"/>
        </w:rPr>
      </w:pPr>
    </w:p>
    <w:p w14:paraId="0208E7A0">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5EDD4418">
      <w:pPr>
        <w:adjustRightInd w:val="0"/>
        <w:snapToGrid w:val="0"/>
        <w:spacing w:line="500" w:lineRule="exact"/>
        <w:ind w:firstLine="5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                   或委托代理人：</w:t>
      </w:r>
    </w:p>
    <w:p w14:paraId="6E470028">
      <w:pPr>
        <w:pStyle w:val="3"/>
        <w:spacing w:line="500" w:lineRule="exact"/>
        <w:ind w:firstLine="564"/>
        <w:rPr>
          <w:rFonts w:hint="eastAsia" w:ascii="宋体" w:hAnsi="宋体" w:eastAsia="宋体" w:cs="宋体"/>
          <w:color w:val="auto"/>
          <w:sz w:val="24"/>
          <w:szCs w:val="24"/>
          <w:highlight w:val="none"/>
        </w:rPr>
      </w:pPr>
    </w:p>
    <w:p w14:paraId="566AAD93">
      <w:pPr>
        <w:adjustRightInd w:val="0"/>
        <w:snapToGrid w:val="0"/>
        <w:spacing w:line="500" w:lineRule="exact"/>
        <w:ind w:firstLine="5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1E775E8F">
      <w:pPr>
        <w:pStyle w:val="3"/>
        <w:spacing w:line="500" w:lineRule="exact"/>
        <w:ind w:firstLine="564"/>
        <w:rPr>
          <w:rFonts w:hint="eastAsia" w:ascii="宋体" w:hAnsi="宋体" w:eastAsia="宋体" w:cs="宋体"/>
          <w:color w:val="auto"/>
          <w:sz w:val="24"/>
          <w:szCs w:val="24"/>
          <w:highlight w:val="none"/>
        </w:rPr>
      </w:pPr>
    </w:p>
    <w:p w14:paraId="08B436C1">
      <w:pPr>
        <w:adjustRightInd w:val="0"/>
        <w:snapToGrid w:val="0"/>
        <w:spacing w:line="500" w:lineRule="exact"/>
        <w:ind w:left="6025" w:leftChars="266" w:hanging="5280" w:hanging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开户银行：</w:t>
      </w:r>
    </w:p>
    <w:p w14:paraId="7ED0E79D">
      <w:pPr>
        <w:adjustRightInd w:val="0"/>
        <w:snapToGrid w:val="0"/>
        <w:spacing w:line="500" w:lineRule="exact"/>
        <w:ind w:firstLine="5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账  号：</w:t>
      </w:r>
    </w:p>
    <w:p w14:paraId="5951E751">
      <w:pPr>
        <w:adjustRightInd w:val="0"/>
        <w:snapToGrid w:val="0"/>
        <w:spacing w:line="500" w:lineRule="exact"/>
        <w:ind w:firstLine="5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2B844EC">
      <w:pPr>
        <w:adjustRightInd w:val="0"/>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合同签订时间：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491F6B82">
      <w:pPr>
        <w:pStyle w:val="6"/>
        <w:spacing w:before="0" w:after="0" w:line="500" w:lineRule="exact"/>
        <w:ind w:firstLine="10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69" w:name="_Toc536106534"/>
      <w:bookmarkStart w:id="170" w:name="_Toc15958"/>
      <w:bookmarkStart w:id="171" w:name="_Toc351203494"/>
      <w:bookmarkStart w:id="172" w:name="_Toc11256"/>
      <w:r>
        <w:rPr>
          <w:rFonts w:hint="eastAsia" w:ascii="宋体" w:hAnsi="宋体" w:eastAsia="宋体" w:cs="宋体"/>
          <w:color w:val="auto"/>
          <w:sz w:val="24"/>
          <w:szCs w:val="24"/>
          <w:highlight w:val="none"/>
        </w:rPr>
        <w:t>第二部分 通用合同条款</w:t>
      </w:r>
      <w:bookmarkEnd w:id="169"/>
      <w:bookmarkEnd w:id="170"/>
      <w:bookmarkEnd w:id="171"/>
      <w:bookmarkEnd w:id="172"/>
      <w:bookmarkStart w:id="173" w:name="_Toc337558727"/>
    </w:p>
    <w:bookmarkEnd w:id="173"/>
    <w:p w14:paraId="74F2C1B4">
      <w:pPr>
        <w:spacing w:line="500" w:lineRule="exact"/>
        <w:ind w:firstLine="480" w:firstLineChars="200"/>
        <w:rPr>
          <w:rFonts w:hint="eastAsia" w:ascii="宋体" w:hAnsi="宋体" w:eastAsia="宋体" w:cs="宋体"/>
          <w:color w:val="auto"/>
          <w:kern w:val="0"/>
          <w:sz w:val="24"/>
          <w:szCs w:val="24"/>
          <w:highlight w:val="none"/>
        </w:rPr>
      </w:pPr>
      <w:bookmarkStart w:id="174" w:name="招标文件05章工程量清单"/>
      <w:bookmarkEnd w:id="174"/>
      <w:bookmarkStart w:id="175" w:name="_Toc532375607"/>
      <w:bookmarkStart w:id="176" w:name="_Toc532377320"/>
      <w:bookmarkStart w:id="177" w:name="_Toc529388290"/>
    </w:p>
    <w:p w14:paraId="3FB31ED1">
      <w:pPr>
        <w:spacing w:line="5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通用合同条款采用中华人民共和国住房和城乡建设部与中华人民共和国国家工商行政管理总局联合制定的《建设工程施工合同（示范文本）》（GF-2017-0201）第二部分 通用合同条款的内容（略）。</w:t>
      </w:r>
    </w:p>
    <w:p w14:paraId="40450590">
      <w:pPr>
        <w:spacing w:line="500" w:lineRule="exact"/>
        <w:ind w:firstLine="480" w:firstLineChars="200"/>
        <w:jc w:val="center"/>
        <w:rPr>
          <w:rFonts w:hint="eastAsia" w:ascii="宋体" w:hAnsi="宋体" w:eastAsia="宋体" w:cs="宋体"/>
          <w:color w:val="auto"/>
          <w:sz w:val="24"/>
          <w:szCs w:val="24"/>
          <w:highlight w:val="none"/>
        </w:rPr>
      </w:pPr>
    </w:p>
    <w:p w14:paraId="76C3497B">
      <w:pPr>
        <w:spacing w:line="500" w:lineRule="exact"/>
        <w:ind w:firstLine="480" w:firstLineChars="200"/>
        <w:jc w:val="center"/>
        <w:rPr>
          <w:rFonts w:hint="eastAsia" w:ascii="宋体" w:hAnsi="宋体" w:eastAsia="宋体" w:cs="宋体"/>
          <w:color w:val="auto"/>
          <w:sz w:val="24"/>
          <w:szCs w:val="24"/>
          <w:highlight w:val="none"/>
        </w:rPr>
      </w:pPr>
    </w:p>
    <w:p w14:paraId="346CB6A2">
      <w:pPr>
        <w:spacing w:line="500" w:lineRule="exact"/>
        <w:ind w:firstLine="480" w:firstLineChars="200"/>
        <w:jc w:val="center"/>
        <w:rPr>
          <w:rFonts w:hint="eastAsia" w:ascii="宋体" w:hAnsi="宋体" w:eastAsia="宋体" w:cs="宋体"/>
          <w:color w:val="auto"/>
          <w:sz w:val="24"/>
          <w:szCs w:val="24"/>
          <w:highlight w:val="none"/>
        </w:rPr>
      </w:pPr>
    </w:p>
    <w:p w14:paraId="416CDFCC">
      <w:pPr>
        <w:spacing w:line="500" w:lineRule="exact"/>
        <w:ind w:firstLine="480" w:firstLineChars="200"/>
        <w:jc w:val="center"/>
        <w:rPr>
          <w:rFonts w:hint="eastAsia" w:ascii="宋体" w:hAnsi="宋体" w:eastAsia="宋体" w:cs="宋体"/>
          <w:color w:val="auto"/>
          <w:sz w:val="24"/>
          <w:szCs w:val="24"/>
          <w:highlight w:val="none"/>
        </w:rPr>
      </w:pPr>
    </w:p>
    <w:p w14:paraId="5600C811">
      <w:pPr>
        <w:spacing w:line="500" w:lineRule="exact"/>
        <w:ind w:firstLine="480" w:firstLineChars="200"/>
        <w:jc w:val="center"/>
        <w:rPr>
          <w:rFonts w:hint="eastAsia" w:ascii="宋体" w:hAnsi="宋体" w:eastAsia="宋体" w:cs="宋体"/>
          <w:color w:val="auto"/>
          <w:sz w:val="24"/>
          <w:szCs w:val="24"/>
          <w:highlight w:val="none"/>
        </w:rPr>
      </w:pPr>
    </w:p>
    <w:p w14:paraId="598BE556">
      <w:pPr>
        <w:spacing w:line="500" w:lineRule="exact"/>
        <w:ind w:firstLine="480" w:firstLineChars="200"/>
        <w:jc w:val="center"/>
        <w:rPr>
          <w:rFonts w:hint="eastAsia" w:ascii="宋体" w:hAnsi="宋体" w:eastAsia="宋体" w:cs="宋体"/>
          <w:color w:val="auto"/>
          <w:sz w:val="24"/>
          <w:szCs w:val="24"/>
          <w:highlight w:val="none"/>
        </w:rPr>
      </w:pPr>
    </w:p>
    <w:p w14:paraId="51D25981">
      <w:pPr>
        <w:spacing w:line="500" w:lineRule="exact"/>
        <w:ind w:firstLine="480" w:firstLineChars="200"/>
        <w:jc w:val="center"/>
        <w:rPr>
          <w:rFonts w:hint="eastAsia" w:ascii="宋体" w:hAnsi="宋体" w:eastAsia="宋体" w:cs="宋体"/>
          <w:color w:val="auto"/>
          <w:sz w:val="24"/>
          <w:szCs w:val="24"/>
          <w:highlight w:val="none"/>
        </w:rPr>
      </w:pPr>
    </w:p>
    <w:p w14:paraId="6EA0F7F9">
      <w:pPr>
        <w:spacing w:line="500" w:lineRule="exact"/>
        <w:ind w:firstLine="480" w:firstLineChars="200"/>
        <w:jc w:val="center"/>
        <w:rPr>
          <w:rFonts w:hint="eastAsia" w:ascii="宋体" w:hAnsi="宋体" w:eastAsia="宋体" w:cs="宋体"/>
          <w:color w:val="auto"/>
          <w:sz w:val="24"/>
          <w:szCs w:val="24"/>
          <w:highlight w:val="none"/>
        </w:rPr>
      </w:pPr>
    </w:p>
    <w:p w14:paraId="7FF8E35B">
      <w:pPr>
        <w:spacing w:line="500" w:lineRule="exact"/>
        <w:ind w:firstLine="480" w:firstLineChars="200"/>
        <w:jc w:val="center"/>
        <w:rPr>
          <w:rFonts w:hint="eastAsia" w:ascii="宋体" w:hAnsi="宋体" w:eastAsia="宋体" w:cs="宋体"/>
          <w:color w:val="auto"/>
          <w:sz w:val="24"/>
          <w:szCs w:val="24"/>
          <w:highlight w:val="none"/>
        </w:rPr>
      </w:pPr>
    </w:p>
    <w:p w14:paraId="44CE37A7">
      <w:pPr>
        <w:spacing w:line="500" w:lineRule="exact"/>
        <w:ind w:firstLine="480" w:firstLineChars="200"/>
        <w:jc w:val="center"/>
        <w:rPr>
          <w:rFonts w:hint="eastAsia" w:ascii="宋体" w:hAnsi="宋体" w:eastAsia="宋体" w:cs="宋体"/>
          <w:color w:val="auto"/>
          <w:sz w:val="24"/>
          <w:szCs w:val="24"/>
          <w:highlight w:val="none"/>
        </w:rPr>
      </w:pPr>
    </w:p>
    <w:p w14:paraId="21CE7A17">
      <w:pPr>
        <w:spacing w:line="500" w:lineRule="exact"/>
        <w:ind w:firstLine="480" w:firstLineChars="200"/>
        <w:jc w:val="center"/>
        <w:rPr>
          <w:rFonts w:hint="eastAsia" w:ascii="宋体" w:hAnsi="宋体" w:eastAsia="宋体" w:cs="宋体"/>
          <w:color w:val="auto"/>
          <w:sz w:val="24"/>
          <w:szCs w:val="24"/>
          <w:highlight w:val="none"/>
        </w:rPr>
      </w:pPr>
    </w:p>
    <w:p w14:paraId="0357009E">
      <w:pPr>
        <w:spacing w:line="500" w:lineRule="exact"/>
        <w:ind w:firstLine="480" w:firstLineChars="200"/>
        <w:jc w:val="center"/>
        <w:rPr>
          <w:rFonts w:hint="eastAsia" w:ascii="宋体" w:hAnsi="宋体" w:eastAsia="宋体" w:cs="宋体"/>
          <w:color w:val="auto"/>
          <w:sz w:val="24"/>
          <w:szCs w:val="24"/>
          <w:highlight w:val="none"/>
        </w:rPr>
      </w:pPr>
    </w:p>
    <w:p w14:paraId="6BE5A341">
      <w:pPr>
        <w:spacing w:line="500" w:lineRule="exact"/>
        <w:ind w:firstLine="480" w:firstLineChars="200"/>
        <w:jc w:val="center"/>
        <w:rPr>
          <w:rFonts w:hint="eastAsia" w:ascii="宋体" w:hAnsi="宋体" w:eastAsia="宋体" w:cs="宋体"/>
          <w:color w:val="auto"/>
          <w:sz w:val="24"/>
          <w:szCs w:val="24"/>
          <w:highlight w:val="none"/>
        </w:rPr>
      </w:pPr>
    </w:p>
    <w:p w14:paraId="7C123856">
      <w:pPr>
        <w:spacing w:line="500" w:lineRule="exact"/>
        <w:ind w:firstLine="480" w:firstLineChars="200"/>
        <w:jc w:val="center"/>
        <w:rPr>
          <w:rFonts w:hint="eastAsia" w:ascii="宋体" w:hAnsi="宋体" w:eastAsia="宋体" w:cs="宋体"/>
          <w:color w:val="auto"/>
          <w:sz w:val="24"/>
          <w:szCs w:val="24"/>
          <w:highlight w:val="none"/>
        </w:rPr>
      </w:pPr>
    </w:p>
    <w:p w14:paraId="7112EEA8">
      <w:pPr>
        <w:spacing w:line="500" w:lineRule="exact"/>
        <w:ind w:firstLine="480" w:firstLineChars="200"/>
        <w:jc w:val="center"/>
        <w:rPr>
          <w:rFonts w:hint="eastAsia" w:ascii="宋体" w:hAnsi="宋体" w:eastAsia="宋体" w:cs="宋体"/>
          <w:color w:val="auto"/>
          <w:sz w:val="24"/>
          <w:szCs w:val="24"/>
          <w:highlight w:val="none"/>
        </w:rPr>
      </w:pPr>
    </w:p>
    <w:p w14:paraId="12EF56DD">
      <w:pPr>
        <w:spacing w:line="500" w:lineRule="exact"/>
        <w:ind w:firstLine="480" w:firstLineChars="200"/>
        <w:jc w:val="center"/>
        <w:rPr>
          <w:rFonts w:hint="eastAsia" w:ascii="宋体" w:hAnsi="宋体" w:eastAsia="宋体" w:cs="宋体"/>
          <w:color w:val="auto"/>
          <w:sz w:val="24"/>
          <w:szCs w:val="24"/>
          <w:highlight w:val="none"/>
        </w:rPr>
      </w:pPr>
    </w:p>
    <w:p w14:paraId="1E696ABC">
      <w:pPr>
        <w:spacing w:line="500" w:lineRule="exact"/>
        <w:ind w:firstLine="480" w:firstLineChars="200"/>
        <w:jc w:val="center"/>
        <w:rPr>
          <w:rFonts w:hint="eastAsia" w:ascii="宋体" w:hAnsi="宋体" w:eastAsia="宋体" w:cs="宋体"/>
          <w:color w:val="auto"/>
          <w:sz w:val="24"/>
          <w:szCs w:val="24"/>
          <w:highlight w:val="none"/>
        </w:rPr>
      </w:pPr>
    </w:p>
    <w:p w14:paraId="2582EEB3">
      <w:pPr>
        <w:spacing w:line="500" w:lineRule="exact"/>
        <w:ind w:firstLine="480" w:firstLineChars="200"/>
        <w:jc w:val="center"/>
        <w:rPr>
          <w:rFonts w:hint="eastAsia" w:ascii="宋体" w:hAnsi="宋体" w:eastAsia="宋体" w:cs="宋体"/>
          <w:color w:val="auto"/>
          <w:sz w:val="24"/>
          <w:szCs w:val="24"/>
          <w:highlight w:val="none"/>
        </w:rPr>
      </w:pPr>
    </w:p>
    <w:p w14:paraId="45BDD86F">
      <w:pPr>
        <w:spacing w:line="500" w:lineRule="exact"/>
        <w:ind w:firstLine="480" w:firstLineChars="200"/>
        <w:jc w:val="center"/>
        <w:rPr>
          <w:rFonts w:hint="eastAsia" w:ascii="宋体" w:hAnsi="宋体" w:eastAsia="宋体" w:cs="宋体"/>
          <w:color w:val="auto"/>
          <w:sz w:val="24"/>
          <w:szCs w:val="24"/>
          <w:highlight w:val="none"/>
        </w:rPr>
      </w:pPr>
    </w:p>
    <w:p w14:paraId="37BE6102">
      <w:pPr>
        <w:pStyle w:val="3"/>
        <w:rPr>
          <w:rFonts w:hint="eastAsia" w:ascii="宋体" w:hAnsi="宋体" w:eastAsia="宋体" w:cs="宋体"/>
          <w:color w:val="auto"/>
          <w:sz w:val="24"/>
          <w:szCs w:val="24"/>
          <w:highlight w:val="none"/>
        </w:rPr>
      </w:pPr>
    </w:p>
    <w:p w14:paraId="35E179CC">
      <w:pPr>
        <w:rPr>
          <w:rFonts w:hint="eastAsia" w:ascii="宋体" w:hAnsi="宋体" w:eastAsia="宋体" w:cs="宋体"/>
          <w:color w:val="auto"/>
          <w:sz w:val="24"/>
          <w:szCs w:val="24"/>
          <w:highlight w:val="none"/>
        </w:rPr>
      </w:pPr>
    </w:p>
    <w:p w14:paraId="5B0D1006">
      <w:pPr>
        <w:pStyle w:val="3"/>
        <w:rPr>
          <w:rFonts w:hint="eastAsia" w:ascii="宋体" w:hAnsi="宋体" w:eastAsia="宋体" w:cs="宋体"/>
          <w:color w:val="auto"/>
          <w:sz w:val="24"/>
          <w:szCs w:val="24"/>
          <w:highlight w:val="none"/>
        </w:rPr>
      </w:pPr>
    </w:p>
    <w:p w14:paraId="52A953E4">
      <w:pPr>
        <w:rPr>
          <w:rFonts w:hint="eastAsia" w:ascii="宋体" w:hAnsi="宋体" w:eastAsia="宋体" w:cs="宋体"/>
          <w:color w:val="auto"/>
          <w:sz w:val="24"/>
          <w:szCs w:val="24"/>
          <w:highlight w:val="none"/>
        </w:rPr>
      </w:pPr>
    </w:p>
    <w:p w14:paraId="42B1C503">
      <w:pPr>
        <w:spacing w:line="500" w:lineRule="exact"/>
        <w:rPr>
          <w:rFonts w:hint="eastAsia" w:ascii="宋体" w:hAnsi="宋体" w:eastAsia="宋体" w:cs="宋体"/>
          <w:color w:val="auto"/>
          <w:sz w:val="24"/>
          <w:szCs w:val="24"/>
          <w:highlight w:val="none"/>
        </w:rPr>
      </w:pPr>
    </w:p>
    <w:bookmarkEnd w:id="175"/>
    <w:bookmarkEnd w:id="176"/>
    <w:bookmarkEnd w:id="177"/>
    <w:p w14:paraId="70442085">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845D4AC">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第三部分  专用合同条款</w:t>
      </w:r>
    </w:p>
    <w:p w14:paraId="6B01B46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根据实际需要制定</w:t>
      </w:r>
    </w:p>
    <w:p w14:paraId="1E35CD4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End w:id="127"/>
      <w:bookmarkEnd w:id="128"/>
      <w:bookmarkEnd w:id="129"/>
      <w:bookmarkEnd w:id="130"/>
      <w:bookmarkEnd w:id="131"/>
      <w:r>
        <w:rPr>
          <w:rFonts w:hint="eastAsia" w:ascii="宋体" w:hAnsi="宋体" w:eastAsia="宋体" w:cs="宋体"/>
          <w:color w:val="auto"/>
          <w:sz w:val="24"/>
          <w:szCs w:val="24"/>
          <w:highlight w:val="none"/>
        </w:rPr>
        <w:t>附</w:t>
      </w:r>
      <w:bookmarkStart w:id="178" w:name="_Toc296891266"/>
      <w:bookmarkStart w:id="179" w:name="_Toc296944565"/>
      <w:bookmarkStart w:id="180" w:name="_Toc296346727"/>
      <w:bookmarkStart w:id="181" w:name="_Toc296503226"/>
      <w:bookmarkStart w:id="182" w:name="_Toc296891054"/>
      <w:bookmarkStart w:id="183" w:name="_Toc267261693"/>
      <w:bookmarkStart w:id="184" w:name="_Toc296347225"/>
      <w:r>
        <w:rPr>
          <w:rFonts w:hint="eastAsia" w:ascii="宋体" w:hAnsi="宋体" w:eastAsia="宋体" w:cs="宋体"/>
          <w:color w:val="auto"/>
          <w:sz w:val="24"/>
          <w:szCs w:val="24"/>
          <w:highlight w:val="none"/>
        </w:rPr>
        <w:t>件1：</w:t>
      </w:r>
      <w:bookmarkEnd w:id="178"/>
      <w:bookmarkEnd w:id="179"/>
      <w:bookmarkEnd w:id="180"/>
      <w:bookmarkEnd w:id="181"/>
      <w:bookmarkEnd w:id="182"/>
      <w:bookmarkEnd w:id="183"/>
      <w:bookmarkEnd w:id="184"/>
    </w:p>
    <w:p w14:paraId="7FB8D530">
      <w:pPr>
        <w:spacing w:before="156" w:beforeLines="50" w:after="156" w:after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工程质量保修书</w:t>
      </w:r>
    </w:p>
    <w:p w14:paraId="543D03A6">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color w:val="auto"/>
          <w:sz w:val="24"/>
          <w:szCs w:val="24"/>
          <w:highlight w:val="none"/>
          <w:u w:val="single"/>
        </w:rPr>
        <w:t xml:space="preserve">                             </w:t>
      </w:r>
    </w:p>
    <w:p w14:paraId="53B5B166">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color w:val="auto"/>
          <w:sz w:val="24"/>
          <w:szCs w:val="24"/>
          <w:highlight w:val="none"/>
          <w:u w:val="single"/>
        </w:rPr>
        <w:t xml:space="preserve">                             </w:t>
      </w:r>
    </w:p>
    <w:p w14:paraId="5B67BF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发包人和承包人根据《中华人民共和国建筑法》和《建设工程质量管理条例》，经协商一致就</w:t>
      </w:r>
    </w:p>
    <w:p w14:paraId="161B6F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（工程全称）签订工程质量保修书。</w:t>
      </w:r>
    </w:p>
    <w:p w14:paraId="5821D826">
      <w:pPr>
        <w:spacing w:line="360" w:lineRule="auto"/>
        <w:ind w:firstLine="480" w:firstLineChars="200"/>
        <w:rPr>
          <w:rFonts w:hint="eastAsia" w:ascii="宋体" w:hAnsi="宋体" w:eastAsia="宋体" w:cs="宋体"/>
          <w:color w:val="auto"/>
          <w:sz w:val="24"/>
          <w:szCs w:val="24"/>
          <w:highlight w:val="none"/>
        </w:rPr>
      </w:pPr>
      <w:bookmarkStart w:id="185" w:name="_Toc532375687"/>
      <w:r>
        <w:rPr>
          <w:rFonts w:hint="eastAsia" w:ascii="宋体" w:hAnsi="宋体" w:eastAsia="宋体" w:cs="宋体"/>
          <w:color w:val="auto"/>
          <w:sz w:val="24"/>
          <w:szCs w:val="24"/>
          <w:highlight w:val="none"/>
        </w:rPr>
        <w:t>一、工程质量保修范围和内容</w:t>
      </w:r>
      <w:bookmarkEnd w:id="185"/>
    </w:p>
    <w:p w14:paraId="4FC89A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承包人在质量保修期内，按照有关法律规定和合同约定，承担工程质量保修责任。</w:t>
      </w:r>
    </w:p>
    <w:p w14:paraId="5E4AC9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49AE1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承包人承包范围内容均属质量保修范围内容；其中：</w:t>
      </w:r>
    </w:p>
    <w:p w14:paraId="518B71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1.属于设计原因造成的质量问题，承包人负责维修，不留隐患，费用由发包人承担；</w:t>
      </w:r>
    </w:p>
    <w:p w14:paraId="213F81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2.属于施工造成的质量问题，承包人负责维修，不留隐患；</w:t>
      </w:r>
    </w:p>
    <w:p w14:paraId="7E3DC4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3.属于业主使用不当造成的质量问题，配合抢修，费用由发包人承担。</w:t>
      </w:r>
    </w:p>
    <w:p w14:paraId="46DED75B">
      <w:pPr>
        <w:spacing w:line="360" w:lineRule="auto"/>
        <w:ind w:firstLine="480" w:firstLineChars="200"/>
        <w:rPr>
          <w:rFonts w:hint="eastAsia" w:ascii="宋体" w:hAnsi="宋体" w:eastAsia="宋体" w:cs="宋体"/>
          <w:color w:val="auto"/>
          <w:sz w:val="24"/>
          <w:szCs w:val="24"/>
          <w:highlight w:val="none"/>
        </w:rPr>
      </w:pPr>
      <w:bookmarkStart w:id="186" w:name="_Toc532375688"/>
      <w:r>
        <w:rPr>
          <w:rFonts w:hint="eastAsia" w:ascii="宋体" w:hAnsi="宋体" w:eastAsia="宋体" w:cs="宋体"/>
          <w:color w:val="auto"/>
          <w:sz w:val="24"/>
          <w:szCs w:val="24"/>
          <w:highlight w:val="none"/>
        </w:rPr>
        <w:t>二、质量保修期</w:t>
      </w:r>
      <w:bookmarkEnd w:id="186"/>
    </w:p>
    <w:p w14:paraId="10B8EB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根据《建设工程质量管理条例》及有关规定，本工程质量保修期约定如下：</w:t>
      </w:r>
    </w:p>
    <w:p w14:paraId="1CE20F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1.基础设施工程、房屋建筑的地基基础工程和主体结构工程，为设计文件规定的该工程的合理使用年限；</w:t>
      </w:r>
    </w:p>
    <w:p w14:paraId="51294C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2.屋面防水工程、有防水要求的卫生间、房间和外墙面的防渗漏，为5年；</w:t>
      </w:r>
    </w:p>
    <w:p w14:paraId="714908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3.供热与供冷系统，为2个采暖期、供冷期；</w:t>
      </w:r>
    </w:p>
    <w:p w14:paraId="09A69E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4.电气管线、给排水管道、设备安装和装修工程，为2年；</w:t>
      </w:r>
    </w:p>
    <w:p w14:paraId="64CC54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5.其他项目保修期限：</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rPr>
        <w:t>；</w:t>
      </w:r>
    </w:p>
    <w:p w14:paraId="605615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建设工程的保修期，自工程竣工验收合格之日起计算。</w:t>
      </w:r>
    </w:p>
    <w:p w14:paraId="32B642C2">
      <w:pPr>
        <w:spacing w:line="360" w:lineRule="auto"/>
        <w:ind w:firstLine="480" w:firstLineChars="200"/>
        <w:rPr>
          <w:rFonts w:hint="eastAsia" w:ascii="宋体" w:hAnsi="宋体" w:eastAsia="宋体" w:cs="宋体"/>
          <w:color w:val="auto"/>
          <w:sz w:val="24"/>
          <w:szCs w:val="24"/>
          <w:highlight w:val="none"/>
        </w:rPr>
      </w:pPr>
      <w:bookmarkStart w:id="187" w:name="_Toc532375689"/>
      <w:r>
        <w:rPr>
          <w:rFonts w:hint="eastAsia" w:ascii="宋体" w:hAnsi="宋体" w:eastAsia="宋体" w:cs="宋体"/>
          <w:color w:val="auto"/>
          <w:sz w:val="24"/>
          <w:szCs w:val="24"/>
          <w:highlight w:val="none"/>
        </w:rPr>
        <w:t>三、质量保修责任</w:t>
      </w:r>
      <w:bookmarkEnd w:id="187"/>
    </w:p>
    <w:p w14:paraId="14ABFCA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1.属于保修范围、内容的项目，承包人应当在接到保修通知之日起7天内派人保修。承包人不在约定期限内派人保修的，发包人可以委托他人修理。</w:t>
      </w:r>
    </w:p>
    <w:p w14:paraId="5E58FF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2.发生紧急事故需抢修的，承包人在接到事故通知后，应当立即到达事故现场抢修。</w:t>
      </w:r>
    </w:p>
    <w:p w14:paraId="60BD82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A5FFA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4.质量保修完成后，由发包人组织验收。</w:t>
      </w:r>
    </w:p>
    <w:p w14:paraId="31701D4E">
      <w:pPr>
        <w:spacing w:line="360" w:lineRule="auto"/>
        <w:ind w:firstLine="480" w:firstLineChars="200"/>
        <w:rPr>
          <w:rFonts w:hint="eastAsia" w:ascii="宋体" w:hAnsi="宋体" w:eastAsia="宋体" w:cs="宋体"/>
          <w:color w:val="auto"/>
          <w:sz w:val="24"/>
          <w:szCs w:val="24"/>
          <w:highlight w:val="none"/>
        </w:rPr>
      </w:pPr>
      <w:bookmarkStart w:id="188" w:name="_Toc532375690"/>
      <w:r>
        <w:rPr>
          <w:rFonts w:hint="eastAsia" w:ascii="宋体" w:hAnsi="宋体" w:eastAsia="宋体" w:cs="宋体"/>
          <w:color w:val="auto"/>
          <w:sz w:val="24"/>
          <w:szCs w:val="24"/>
          <w:highlight w:val="none"/>
        </w:rPr>
        <w:t>四、保修费用</w:t>
      </w:r>
      <w:bookmarkEnd w:id="188"/>
    </w:p>
    <w:p w14:paraId="4BA9BC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保修费用由质量缺陷的责任方承担。</w:t>
      </w:r>
    </w:p>
    <w:p w14:paraId="167165BE">
      <w:pPr>
        <w:spacing w:line="360" w:lineRule="auto"/>
        <w:ind w:firstLine="480" w:firstLineChars="200"/>
        <w:rPr>
          <w:rFonts w:hint="eastAsia" w:ascii="宋体" w:hAnsi="宋体" w:eastAsia="宋体" w:cs="宋体"/>
          <w:color w:val="auto"/>
          <w:sz w:val="24"/>
          <w:szCs w:val="24"/>
          <w:highlight w:val="none"/>
        </w:rPr>
      </w:pPr>
      <w:bookmarkStart w:id="189" w:name="_Toc532375691"/>
      <w:r>
        <w:rPr>
          <w:rFonts w:hint="eastAsia" w:ascii="宋体" w:hAnsi="宋体" w:eastAsia="宋体" w:cs="宋体"/>
          <w:color w:val="auto"/>
          <w:sz w:val="24"/>
          <w:szCs w:val="24"/>
          <w:highlight w:val="none"/>
        </w:rPr>
        <w:t>五、双方约定的其他工程质量保修事项</w:t>
      </w:r>
    </w:p>
    <w:p w14:paraId="099B36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按国家相关法律和规定执行</w:t>
      </w:r>
      <w:r>
        <w:rPr>
          <w:rFonts w:hint="eastAsia" w:ascii="宋体" w:hAnsi="宋体" w:eastAsia="宋体" w:cs="宋体"/>
          <w:color w:val="auto"/>
          <w:sz w:val="24"/>
          <w:szCs w:val="24"/>
          <w:highlight w:val="none"/>
        </w:rPr>
        <w:t>。</w:t>
      </w:r>
      <w:bookmarkEnd w:id="189"/>
    </w:p>
    <w:p w14:paraId="4AD17D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本工程质量保修书由发包人、承包人在工程竣工验收前共同签署，作为施工合同附件，其有效期限至保修期满。</w:t>
      </w:r>
    </w:p>
    <w:p w14:paraId="7C01B4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六、本文件生效</w:t>
      </w:r>
    </w:p>
    <w:p w14:paraId="48B342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本工程质量保修书经发包人与承包人盖章后生效。</w:t>
      </w:r>
    </w:p>
    <w:p w14:paraId="46CECD67">
      <w:pPr>
        <w:pStyle w:val="3"/>
        <w:spacing w:line="360" w:lineRule="auto"/>
        <w:ind w:firstLine="480" w:firstLineChars="200"/>
        <w:rPr>
          <w:rFonts w:hint="eastAsia" w:ascii="宋体" w:hAnsi="宋体" w:eastAsia="宋体" w:cs="宋体"/>
          <w:color w:val="auto"/>
          <w:sz w:val="24"/>
          <w:szCs w:val="24"/>
          <w:highlight w:val="none"/>
        </w:rPr>
      </w:pPr>
    </w:p>
    <w:p w14:paraId="3D229F32">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发包人：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（盖单位公章）</w:t>
      </w:r>
    </w:p>
    <w:p w14:paraId="6E233833">
      <w:pPr>
        <w:spacing w:line="360" w:lineRule="auto"/>
        <w:ind w:firstLine="480" w:firstLineChars="200"/>
        <w:rPr>
          <w:rFonts w:hint="eastAsia" w:ascii="宋体" w:hAnsi="宋体" w:eastAsia="宋体" w:cs="宋体"/>
          <w:snapToGrid w:val="0"/>
          <w:color w:val="auto"/>
          <w:kern w:val="0"/>
          <w:sz w:val="24"/>
          <w:szCs w:val="24"/>
          <w:highlight w:val="none"/>
        </w:rPr>
      </w:pPr>
    </w:p>
    <w:p w14:paraId="595A5438">
      <w:pPr>
        <w:spacing w:line="360" w:lineRule="auto"/>
        <w:ind w:firstLine="480" w:firstLineChars="200"/>
        <w:rPr>
          <w:rFonts w:hint="eastAsia" w:ascii="宋体" w:hAnsi="宋体" w:eastAsia="宋体" w:cs="宋体"/>
          <w:snapToGrid w:val="0"/>
          <w:color w:val="auto"/>
          <w:kern w:val="0"/>
          <w:sz w:val="24"/>
          <w:szCs w:val="24"/>
          <w:highlight w:val="none"/>
        </w:rPr>
      </w:pPr>
    </w:p>
    <w:p w14:paraId="312EE1C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（签名）</w:t>
      </w:r>
    </w:p>
    <w:p w14:paraId="25AE9DAB">
      <w:pPr>
        <w:spacing w:line="360" w:lineRule="auto"/>
        <w:ind w:firstLine="480" w:firstLineChars="200"/>
        <w:rPr>
          <w:rFonts w:hint="eastAsia" w:ascii="宋体" w:hAnsi="宋体" w:eastAsia="宋体" w:cs="宋体"/>
          <w:snapToGrid w:val="0"/>
          <w:color w:val="auto"/>
          <w:kern w:val="0"/>
          <w:sz w:val="24"/>
          <w:szCs w:val="24"/>
          <w:highlight w:val="none"/>
        </w:rPr>
      </w:pPr>
    </w:p>
    <w:p w14:paraId="6C7AFC5D">
      <w:pPr>
        <w:spacing w:line="360" w:lineRule="auto"/>
        <w:ind w:firstLine="480" w:firstLineChars="200"/>
        <w:rPr>
          <w:rFonts w:hint="eastAsia" w:ascii="宋体" w:hAnsi="宋体" w:eastAsia="宋体" w:cs="宋体"/>
          <w:snapToGrid w:val="0"/>
          <w:color w:val="auto"/>
          <w:kern w:val="0"/>
          <w:sz w:val="24"/>
          <w:szCs w:val="24"/>
          <w:highlight w:val="none"/>
        </w:rPr>
      </w:pPr>
    </w:p>
    <w:p w14:paraId="7F2F6A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承包人：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（盖单位公章）</w:t>
      </w:r>
    </w:p>
    <w:p w14:paraId="43623849">
      <w:pPr>
        <w:spacing w:line="360" w:lineRule="auto"/>
        <w:ind w:firstLine="480" w:firstLineChars="200"/>
        <w:rPr>
          <w:rFonts w:hint="eastAsia" w:ascii="宋体" w:hAnsi="宋体" w:eastAsia="宋体" w:cs="宋体"/>
          <w:snapToGrid w:val="0"/>
          <w:color w:val="auto"/>
          <w:kern w:val="0"/>
          <w:sz w:val="24"/>
          <w:szCs w:val="24"/>
          <w:highlight w:val="none"/>
        </w:rPr>
      </w:pPr>
    </w:p>
    <w:p w14:paraId="400CC3A6">
      <w:pPr>
        <w:spacing w:line="360" w:lineRule="auto"/>
        <w:ind w:firstLine="480" w:firstLineChars="200"/>
        <w:rPr>
          <w:rFonts w:hint="eastAsia" w:ascii="宋体" w:hAnsi="宋体" w:eastAsia="宋体" w:cs="宋体"/>
          <w:snapToGrid w:val="0"/>
          <w:color w:val="auto"/>
          <w:kern w:val="0"/>
          <w:sz w:val="24"/>
          <w:szCs w:val="24"/>
          <w:highlight w:val="none"/>
        </w:rPr>
      </w:pPr>
    </w:p>
    <w:p w14:paraId="5726B943">
      <w:p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（签名）</w:t>
      </w:r>
    </w:p>
    <w:p w14:paraId="04EC021F">
      <w:pPr>
        <w:spacing w:line="360" w:lineRule="auto"/>
        <w:ind w:firstLine="478" w:firstLineChars="200"/>
        <w:rPr>
          <w:rFonts w:hint="eastAsia" w:ascii="宋体" w:hAnsi="宋体" w:eastAsia="宋体" w:cs="宋体"/>
          <w:snapToGrid w:val="0"/>
          <w:color w:val="auto"/>
          <w:spacing w:val="1"/>
          <w:w w:val="99"/>
          <w:kern w:val="0"/>
          <w:position w:val="-2"/>
          <w:sz w:val="24"/>
          <w:szCs w:val="24"/>
          <w:highlight w:val="none"/>
        </w:rPr>
      </w:pPr>
    </w:p>
    <w:p w14:paraId="17D4B016">
      <w:pPr>
        <w:spacing w:line="360" w:lineRule="auto"/>
        <w:ind w:firstLine="478" w:firstLineChars="200"/>
        <w:rPr>
          <w:rFonts w:hint="eastAsia" w:ascii="宋体" w:hAnsi="宋体" w:eastAsia="宋体" w:cs="宋体"/>
          <w:snapToGrid w:val="0"/>
          <w:color w:val="auto"/>
          <w:spacing w:val="1"/>
          <w:w w:val="99"/>
          <w:kern w:val="0"/>
          <w:position w:val="-2"/>
          <w:sz w:val="24"/>
          <w:szCs w:val="24"/>
          <w:highlight w:val="none"/>
        </w:rPr>
      </w:pPr>
    </w:p>
    <w:p w14:paraId="15460748">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签约时间：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032EBEB6">
      <w:pPr>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bookmarkStart w:id="190" w:name="_Toc267261701"/>
      <w:r>
        <w:rPr>
          <w:rFonts w:hint="eastAsia" w:ascii="宋体" w:hAnsi="宋体" w:eastAsia="宋体" w:cs="宋体"/>
          <w:color w:val="auto"/>
          <w:sz w:val="24"/>
          <w:szCs w:val="24"/>
          <w:highlight w:val="none"/>
        </w:rPr>
        <w:t>附</w:t>
      </w:r>
      <w:bookmarkStart w:id="191" w:name="_Toc296891059"/>
      <w:bookmarkStart w:id="192" w:name="_Toc296347230"/>
      <w:bookmarkStart w:id="193" w:name="_Toc296503231"/>
      <w:bookmarkStart w:id="194" w:name="_Toc296346732"/>
      <w:bookmarkStart w:id="195" w:name="_Toc296944570"/>
      <w:bookmarkStart w:id="196" w:name="_Toc296891271"/>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履约担保（如有）</w:t>
      </w:r>
    </w:p>
    <w:bookmarkEnd w:id="190"/>
    <w:bookmarkEnd w:id="191"/>
    <w:bookmarkEnd w:id="192"/>
    <w:bookmarkEnd w:id="193"/>
    <w:bookmarkEnd w:id="194"/>
    <w:bookmarkEnd w:id="195"/>
    <w:bookmarkEnd w:id="196"/>
    <w:p w14:paraId="64EC53B0">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履约保函示范文本</w:t>
      </w:r>
    </w:p>
    <w:p w14:paraId="68096981">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14:paraId="0DDF7C4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申请人：</w:t>
      </w:r>
    </w:p>
    <w:p w14:paraId="31E3F61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址：</w:t>
      </w:r>
    </w:p>
    <w:p w14:paraId="6E3F10E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受益人：</w:t>
      </w:r>
    </w:p>
    <w:p w14:paraId="21EF941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址：</w:t>
      </w:r>
    </w:p>
    <w:p w14:paraId="1081054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开立人：</w:t>
      </w:r>
    </w:p>
    <w:p w14:paraId="4BA2F1C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址：</w:t>
      </w:r>
    </w:p>
    <w:p w14:paraId="612EAF70">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4"/>
          <w:szCs w:val="24"/>
          <w:highlight w:val="none"/>
        </w:rPr>
      </w:pPr>
    </w:p>
    <w:p w14:paraId="20E4249D">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（受益人名称）：</w:t>
      </w:r>
    </w:p>
    <w:p w14:paraId="0450C9A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鉴于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以下简称“受益人”）与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（以下简称“申请人”）就工程</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（以下简称“基础合同”）约定的义务，向贵方提供不可撤销、不可转让的见索即付保函（以下简称“本保函”）。</w:t>
      </w:r>
    </w:p>
    <w:p w14:paraId="4E9BCFA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一、本保函担保范围：承包人未按照基础合同的约定履行义务，应当向贵方承担的违约责任和赔偿因此造成的损失、利息、律师费、诉讼费用等实现债权的费用。</w:t>
      </w:r>
    </w:p>
    <w:p w14:paraId="78F0B23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二、本保函担保金额最高不超过人民币（大写）</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元（¥</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69D2A26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spacing w:val="6"/>
          <w:kern w:val="2"/>
          <w:sz w:val="24"/>
          <w:szCs w:val="24"/>
          <w:highlight w:val="none"/>
        </w:rPr>
      </w:pPr>
      <w:r>
        <w:rPr>
          <w:rFonts w:hint="eastAsia" w:ascii="宋体" w:hAnsi="宋体" w:eastAsia="宋体" w:cs="宋体"/>
          <w:color w:val="auto"/>
          <w:kern w:val="2"/>
          <w:sz w:val="24"/>
          <w:szCs w:val="24"/>
          <w:highlight w:val="none"/>
        </w:rPr>
        <w:t>三、</w:t>
      </w:r>
      <w:r>
        <w:rPr>
          <w:rFonts w:hint="eastAsia" w:ascii="宋体" w:hAnsi="宋体" w:eastAsia="宋体" w:cs="宋体"/>
          <w:color w:val="auto"/>
          <w:spacing w:val="6"/>
          <w:kern w:val="2"/>
          <w:sz w:val="24"/>
          <w:szCs w:val="24"/>
          <w:highlight w:val="none"/>
        </w:rPr>
        <w:t>本保函有效期自</w:t>
      </w:r>
      <w:r>
        <w:rPr>
          <w:rFonts w:hint="eastAsia" w:ascii="宋体" w:hAnsi="宋体" w:eastAsia="宋体" w:cs="宋体"/>
          <w:color w:val="auto"/>
          <w:spacing w:val="6"/>
          <w:kern w:val="2"/>
          <w:sz w:val="24"/>
          <w:szCs w:val="24"/>
          <w:highlight w:val="none"/>
          <w:lang w:eastAsia="zh-CN"/>
        </w:rPr>
        <w:t>受益人与申请人签订的合同生效之日</w:t>
      </w:r>
      <w:r>
        <w:rPr>
          <w:rFonts w:hint="eastAsia" w:ascii="宋体" w:hAnsi="宋体" w:eastAsia="宋体" w:cs="宋体"/>
          <w:color w:val="auto"/>
          <w:spacing w:val="0"/>
          <w:kern w:val="2"/>
          <w:sz w:val="24"/>
          <w:szCs w:val="24"/>
          <w:highlight w:val="none"/>
          <w:lang w:eastAsia="zh-CN"/>
        </w:rPr>
        <w:t>起至合同约定的工期截止日后</w:t>
      </w:r>
      <w:r>
        <w:rPr>
          <w:rFonts w:hint="eastAsia" w:ascii="宋体" w:hAnsi="宋体" w:eastAsia="宋体" w:cs="宋体"/>
          <w:color w:val="auto"/>
          <w:spacing w:val="0"/>
          <w:kern w:val="2"/>
          <w:sz w:val="24"/>
          <w:szCs w:val="24"/>
          <w:highlight w:val="none"/>
          <w:u w:val="single"/>
          <w:lang w:val="en-US" w:eastAsia="zh-CN"/>
        </w:rPr>
        <w:t xml:space="preserve">  </w:t>
      </w:r>
      <w:r>
        <w:rPr>
          <w:rFonts w:hint="eastAsia" w:ascii="宋体" w:hAnsi="宋体" w:eastAsia="宋体" w:cs="宋体"/>
          <w:color w:val="auto"/>
          <w:spacing w:val="0"/>
          <w:kern w:val="2"/>
          <w:sz w:val="24"/>
          <w:szCs w:val="24"/>
          <w:highlight w:val="none"/>
        </w:rPr>
        <w:t>天</w:t>
      </w:r>
      <w:r>
        <w:rPr>
          <w:rFonts w:hint="eastAsia" w:ascii="宋体" w:hAnsi="宋体" w:eastAsia="宋体" w:cs="宋体"/>
          <w:color w:val="auto"/>
          <w:spacing w:val="0"/>
          <w:kern w:val="2"/>
          <w:sz w:val="24"/>
          <w:szCs w:val="24"/>
          <w:highlight w:val="none"/>
          <w:lang w:eastAsia="zh-CN"/>
        </w:rPr>
        <w:t>，最迟不超过</w:t>
      </w:r>
      <w:r>
        <w:rPr>
          <w:rFonts w:hint="eastAsia" w:ascii="宋体" w:hAnsi="宋体" w:eastAsia="宋体" w:cs="宋体"/>
          <w:color w:val="auto"/>
          <w:spacing w:val="0"/>
          <w:kern w:val="2"/>
          <w:sz w:val="24"/>
          <w:szCs w:val="24"/>
          <w:highlight w:val="none"/>
          <w:u w:val="single"/>
          <w:lang w:val="en-US" w:eastAsia="zh-CN"/>
        </w:rPr>
        <w:t xml:space="preserve">  </w:t>
      </w:r>
      <w:r>
        <w:rPr>
          <w:rFonts w:hint="eastAsia" w:ascii="宋体" w:hAnsi="宋体" w:eastAsia="宋体" w:cs="宋体"/>
          <w:color w:val="auto"/>
          <w:spacing w:val="0"/>
          <w:kern w:val="2"/>
          <w:sz w:val="24"/>
          <w:szCs w:val="24"/>
          <w:highlight w:val="none"/>
          <w:lang w:val="en-US" w:eastAsia="zh-CN"/>
        </w:rPr>
        <w:t>年</w:t>
      </w:r>
      <w:r>
        <w:rPr>
          <w:rFonts w:hint="eastAsia" w:ascii="宋体" w:hAnsi="宋体" w:eastAsia="宋体" w:cs="宋体"/>
          <w:color w:val="auto"/>
          <w:spacing w:val="0"/>
          <w:kern w:val="2"/>
          <w:sz w:val="24"/>
          <w:szCs w:val="24"/>
          <w:highlight w:val="none"/>
          <w:u w:val="single"/>
          <w:lang w:val="en-US" w:eastAsia="zh-CN"/>
        </w:rPr>
        <w:t xml:space="preserve">  </w:t>
      </w:r>
      <w:r>
        <w:rPr>
          <w:rFonts w:hint="eastAsia" w:ascii="宋体" w:hAnsi="宋体" w:eastAsia="宋体" w:cs="宋体"/>
          <w:color w:val="auto"/>
          <w:spacing w:val="0"/>
          <w:kern w:val="2"/>
          <w:sz w:val="24"/>
          <w:szCs w:val="24"/>
          <w:highlight w:val="none"/>
          <w:lang w:val="en-US" w:eastAsia="zh-CN"/>
        </w:rPr>
        <w:t>月</w:t>
      </w:r>
      <w:r>
        <w:rPr>
          <w:rFonts w:hint="eastAsia" w:ascii="宋体" w:hAnsi="宋体" w:eastAsia="宋体" w:cs="宋体"/>
          <w:color w:val="auto"/>
          <w:spacing w:val="0"/>
          <w:kern w:val="2"/>
          <w:sz w:val="24"/>
          <w:szCs w:val="24"/>
          <w:highlight w:val="none"/>
          <w:u w:val="single"/>
          <w:lang w:val="en-US" w:eastAsia="zh-CN"/>
        </w:rPr>
        <w:t xml:space="preserve">  </w:t>
      </w:r>
      <w:r>
        <w:rPr>
          <w:rFonts w:hint="eastAsia" w:ascii="宋体" w:hAnsi="宋体" w:eastAsia="宋体" w:cs="宋体"/>
          <w:color w:val="auto"/>
          <w:spacing w:val="0"/>
          <w:kern w:val="2"/>
          <w:sz w:val="24"/>
          <w:szCs w:val="24"/>
          <w:highlight w:val="none"/>
          <w:lang w:val="en-US" w:eastAsia="zh-CN"/>
        </w:rPr>
        <w:t>日。</w:t>
      </w:r>
    </w:p>
    <w:p w14:paraId="3DC0FAC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四、我方承诺，在收到受益人发来的书面</w:t>
      </w:r>
      <w:r>
        <w:rPr>
          <w:rFonts w:hint="eastAsia" w:ascii="宋体" w:hAnsi="宋体" w:eastAsia="宋体" w:cs="宋体"/>
          <w:color w:val="auto"/>
          <w:kern w:val="2"/>
          <w:sz w:val="24"/>
          <w:szCs w:val="24"/>
          <w:highlight w:val="none"/>
          <w:lang w:eastAsia="zh-CN"/>
        </w:rPr>
        <w:t>索赔</w:t>
      </w:r>
      <w:r>
        <w:rPr>
          <w:rFonts w:hint="eastAsia" w:ascii="宋体" w:hAnsi="宋体" w:eastAsia="宋体" w:cs="宋体"/>
          <w:color w:val="auto"/>
          <w:kern w:val="2"/>
          <w:sz w:val="24"/>
          <w:szCs w:val="24"/>
          <w:highlight w:val="none"/>
        </w:rPr>
        <w:t>通知</w:t>
      </w:r>
      <w:r>
        <w:rPr>
          <w:rFonts w:hint="eastAsia" w:ascii="宋体" w:hAnsi="宋体" w:eastAsia="宋体" w:cs="宋体"/>
          <w:color w:val="auto"/>
          <w:kern w:val="2"/>
          <w:sz w:val="24"/>
          <w:szCs w:val="24"/>
          <w:highlight w:val="none"/>
          <w:lang w:eastAsia="zh-CN"/>
        </w:rPr>
        <w:t>和本保函原件</w:t>
      </w:r>
      <w:r>
        <w:rPr>
          <w:rFonts w:hint="eastAsia" w:ascii="宋体" w:hAnsi="宋体" w:eastAsia="宋体" w:cs="宋体"/>
          <w:color w:val="auto"/>
          <w:kern w:val="2"/>
          <w:sz w:val="24"/>
          <w:szCs w:val="24"/>
          <w:highlight w:val="none"/>
        </w:rPr>
        <w:t>后的</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个工作日内无条件支付至受益人指定账户，前述书面</w:t>
      </w:r>
      <w:r>
        <w:rPr>
          <w:rFonts w:hint="eastAsia" w:ascii="宋体" w:hAnsi="宋体" w:eastAsia="宋体" w:cs="宋体"/>
          <w:color w:val="auto"/>
          <w:kern w:val="2"/>
          <w:sz w:val="24"/>
          <w:szCs w:val="24"/>
          <w:highlight w:val="none"/>
          <w:lang w:eastAsia="zh-CN"/>
        </w:rPr>
        <w:t>索赔</w:t>
      </w:r>
      <w:r>
        <w:rPr>
          <w:rFonts w:hint="eastAsia" w:ascii="宋体" w:hAnsi="宋体" w:eastAsia="宋体" w:cs="宋体"/>
          <w:color w:val="auto"/>
          <w:kern w:val="2"/>
          <w:sz w:val="24"/>
          <w:szCs w:val="24"/>
          <w:highlight w:val="none"/>
        </w:rPr>
        <w:t>通知即为付款要求之单据，且应满足以下要求：</w:t>
      </w:r>
    </w:p>
    <w:p w14:paraId="220ECAC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eastAsia="zh-CN"/>
        </w:rPr>
        <w:t>索赔</w:t>
      </w:r>
      <w:r>
        <w:rPr>
          <w:rFonts w:hint="eastAsia" w:ascii="宋体" w:hAnsi="宋体" w:eastAsia="宋体" w:cs="宋体"/>
          <w:color w:val="auto"/>
          <w:kern w:val="2"/>
          <w:sz w:val="24"/>
          <w:szCs w:val="24"/>
          <w:highlight w:val="none"/>
        </w:rPr>
        <w:t>通知到达的日期在本保函的有效期内；</w:t>
      </w:r>
    </w:p>
    <w:p w14:paraId="1BABA25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（2）载明要求支付的金额；</w:t>
      </w:r>
    </w:p>
    <w:p w14:paraId="6379836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（3）载明申请人违反合同义务的条款和内容；</w:t>
      </w:r>
    </w:p>
    <w:p w14:paraId="2326626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（4）声明不存在合同文件约定或我国法律规定免除申请人或开立人支付责任的情形；</w:t>
      </w:r>
    </w:p>
    <w:p w14:paraId="22638DF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eastAsia="zh-CN"/>
        </w:rPr>
        <w:t>索赔</w:t>
      </w:r>
      <w:r>
        <w:rPr>
          <w:rFonts w:hint="eastAsia" w:ascii="宋体" w:hAnsi="宋体" w:eastAsia="宋体" w:cs="宋体"/>
          <w:color w:val="auto"/>
          <w:kern w:val="2"/>
          <w:sz w:val="24"/>
          <w:szCs w:val="24"/>
          <w:highlight w:val="none"/>
        </w:rPr>
        <w:t>通知应在本保函有效期内到达的地址是：</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40F4093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受益人发出的书面索赔通知应由其为鉴明受益人法定代表人（负责人）或授权代理人签名或盖个人名章并加盖公章。</w:t>
      </w:r>
    </w:p>
    <w:p w14:paraId="09E7C0A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五、本保函项下的权利不得转让，不得设定担保。贵方未经我方书面同意转让本保函或其项下任何权利，对我方不发生法律效力。</w:t>
      </w:r>
    </w:p>
    <w:p w14:paraId="41623B7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六、与本保函有关的基础合同不成立、不生效、无效、被撤销、被解除，不影响本保函的独立有效。</w:t>
      </w:r>
    </w:p>
    <w:p w14:paraId="7E63A55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七、贵方应在本保函到期后的</w:t>
      </w:r>
      <w:r>
        <w:rPr>
          <w:rFonts w:hint="eastAsia" w:ascii="宋体" w:hAnsi="宋体" w:eastAsia="宋体" w:cs="宋体"/>
          <w:color w:val="auto"/>
          <w:kern w:val="2"/>
          <w:sz w:val="24"/>
          <w:szCs w:val="24"/>
          <w:highlight w:val="none"/>
          <w:lang w:val="en-US" w:eastAsia="zh-CN"/>
        </w:rPr>
        <w:t>七个工作</w:t>
      </w:r>
      <w:r>
        <w:rPr>
          <w:rFonts w:hint="eastAsia" w:ascii="宋体" w:hAnsi="宋体" w:eastAsia="宋体" w:cs="宋体"/>
          <w:color w:val="auto"/>
          <w:kern w:val="2"/>
          <w:sz w:val="24"/>
          <w:szCs w:val="24"/>
          <w:highlight w:val="none"/>
        </w:rPr>
        <w:t>日内将本保函正本退回我方注销，但是不论贵方是否按此要求将本保函正本退回我方，我方在本保函项下的义务和责任均在保函有效期到期后自动消灭。</w:t>
      </w:r>
    </w:p>
    <w:p w14:paraId="6EE4713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八、本保函适用的法律为中华人民共和国法律，争议裁判管辖地为中华人民共和国</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1583943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九、本保函自我方法定代表人或授权代表</w:t>
      </w:r>
      <w:r>
        <w:rPr>
          <w:rFonts w:hint="eastAsia" w:ascii="宋体" w:hAnsi="宋体" w:eastAsia="宋体" w:cs="宋体"/>
          <w:color w:val="auto"/>
          <w:kern w:val="2"/>
          <w:sz w:val="24"/>
          <w:szCs w:val="24"/>
          <w:highlight w:val="none"/>
          <w:lang w:eastAsia="zh-CN"/>
        </w:rPr>
        <w:t>签名</w:t>
      </w:r>
      <w:r>
        <w:rPr>
          <w:rFonts w:hint="eastAsia" w:ascii="宋体" w:hAnsi="宋体" w:eastAsia="宋体" w:cs="宋体"/>
          <w:color w:val="auto"/>
          <w:kern w:val="2"/>
          <w:sz w:val="24"/>
          <w:szCs w:val="24"/>
          <w:highlight w:val="none"/>
        </w:rPr>
        <w:t>或盖个人名章并加盖公章或合同专用章之日起生效。</w:t>
      </w:r>
    </w:p>
    <w:p w14:paraId="4FF4434C">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lang w:val="en-US" w:eastAsia="zh-CN"/>
        </w:rPr>
        <w:t>十、</w:t>
      </w:r>
      <w:r>
        <w:rPr>
          <w:rFonts w:hint="eastAsia" w:ascii="宋体" w:hAnsi="宋体" w:eastAsia="宋体" w:cs="宋体"/>
          <w:color w:val="auto"/>
          <w:kern w:val="2"/>
          <w:sz w:val="24"/>
          <w:szCs w:val="24"/>
          <w:highlight w:val="none"/>
          <w:lang w:eastAsia="zh-CN"/>
        </w:rPr>
        <w:t>本保函在重庆市辖区范围内的核验地点：</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none"/>
          <w:lang w:eastAsia="zh-CN"/>
        </w:rPr>
        <w:t>；核验方式：</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i/>
          <w:iCs/>
          <w:color w:val="auto"/>
          <w:kern w:val="2"/>
          <w:sz w:val="24"/>
          <w:szCs w:val="24"/>
          <w:highlight w:val="none"/>
          <w:u w:val="single"/>
        </w:rPr>
        <w:t>[提示：招标人可以根据项目实际情况，填写本保函在重庆本地的核验方式，如现场核验等]</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none"/>
          <w:lang w:val="en-US" w:eastAsia="zh-CN"/>
        </w:rPr>
        <w:t>。</w:t>
      </w:r>
    </w:p>
    <w:p w14:paraId="10F64739">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宋体" w:hAnsi="宋体" w:eastAsia="宋体" w:cs="宋体"/>
          <w:color w:val="auto"/>
          <w:kern w:val="2"/>
          <w:sz w:val="24"/>
          <w:szCs w:val="24"/>
          <w:highlight w:val="none"/>
          <w:lang w:val="en-US" w:eastAsia="zh-CN" w:bidi="ar-SA"/>
        </w:rPr>
      </w:pPr>
    </w:p>
    <w:p w14:paraId="411CA43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开 立 人：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（公章）</w:t>
      </w:r>
    </w:p>
    <w:p w14:paraId="626C6C0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法定代表人（或授权代表）：</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签名或盖个人名章</w:t>
      </w:r>
      <w:r>
        <w:rPr>
          <w:rFonts w:hint="eastAsia" w:ascii="宋体" w:hAnsi="宋体" w:eastAsia="宋体" w:cs="宋体"/>
          <w:color w:val="auto"/>
          <w:kern w:val="2"/>
          <w:sz w:val="24"/>
          <w:szCs w:val="24"/>
          <w:highlight w:val="none"/>
        </w:rPr>
        <w:t>）</w:t>
      </w:r>
    </w:p>
    <w:p w14:paraId="3A6149E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rPr>
        <w:t xml:space="preserve">地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址：</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6A94913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邮政编码：</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140CDB6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    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2831B4C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传    真：</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5AE7E8CB">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开立时间：    年    月    </w:t>
      </w:r>
      <w:r>
        <w:rPr>
          <w:rFonts w:hint="eastAsia" w:ascii="宋体" w:hAnsi="宋体" w:eastAsia="宋体" w:cs="宋体"/>
          <w:color w:val="auto"/>
          <w:sz w:val="24"/>
          <w:szCs w:val="24"/>
          <w:highlight w:val="none"/>
          <w:lang w:eastAsia="zh-CN"/>
        </w:rPr>
        <w:t>日</w:t>
      </w:r>
    </w:p>
    <w:p w14:paraId="16B7406D">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63B346">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p w14:paraId="4C32BB8D">
      <w:pPr>
        <w:spacing w:before="156" w:beforeLines="50" w:after="156" w:afterLines="50"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廉洁从业协议</w:t>
      </w:r>
    </w:p>
    <w:p w14:paraId="28C04AFE">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color w:val="auto"/>
          <w:sz w:val="24"/>
          <w:szCs w:val="24"/>
          <w:highlight w:val="none"/>
          <w:u w:val="single"/>
        </w:rPr>
        <w:t xml:space="preserve">                             </w:t>
      </w:r>
    </w:p>
    <w:p w14:paraId="56331D88">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color w:val="auto"/>
          <w:sz w:val="24"/>
          <w:szCs w:val="24"/>
          <w:highlight w:val="none"/>
          <w:u w:val="single"/>
        </w:rPr>
        <w:t xml:space="preserve">                             </w:t>
      </w:r>
    </w:p>
    <w:p w14:paraId="6BEF6E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37F5D7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发包人承包人的权利和义务</w:t>
      </w:r>
    </w:p>
    <w:p w14:paraId="069125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（1）严格遵守党的政策规定和国家有关法律法规及相关部门的有关规定。</w:t>
      </w:r>
    </w:p>
    <w:p w14:paraId="76D92D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（2）严格执行 工程的合同文件，自觉按合同办事。</w:t>
      </w:r>
    </w:p>
    <w:p w14:paraId="13F22E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（3）双方的业务活动坚持公开、公正、诚信、透明的原则（法律认定的商业秘密和合同文件另有规定除外），不得损害国家和集体利益，违反工程建设管理规章制度。</w:t>
      </w:r>
    </w:p>
    <w:p w14:paraId="6A051F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（4）建立健全廉政制度，开展廉政教育，设立廉政告示牌，公布举报电话，监督并认真查处违法违纪行为。</w:t>
      </w:r>
    </w:p>
    <w:p w14:paraId="7419A4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（5）发现对方在业务活动中有违反廉政规定的行为，有及时提醒对方纠正的权利和义务。</w:t>
      </w:r>
    </w:p>
    <w:p w14:paraId="2C7758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（6）发现对方严重违反协议义务条款的行为，有向其上级有关部门举报、建议给予处理并要求告知处理结果的权利。</w:t>
      </w:r>
    </w:p>
    <w:p w14:paraId="05CC64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发包人的义务</w:t>
      </w:r>
    </w:p>
    <w:p w14:paraId="696B89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（1）发包人及其工作人员不得索要或接受承包人的礼金、有价证券和贵重物品，不得在承包人报销任何应由发包人或发包人工作人员个人支付的费用等。</w:t>
      </w:r>
    </w:p>
    <w:p w14:paraId="4B50C0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（2）发包人工作人员不得参加承包人安排的超标准宴请和娱乐活动；不得接受承包人提供的通讯工具、交通工具和高档办公用品等。</w:t>
      </w:r>
    </w:p>
    <w:p w14:paraId="6404AD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（3）发包人及其工作人员不得要求或者接受承包人为其住房装修、婚丧嫁娶活动、配偶子女的工作安排以及出国出境、旅游等提供方便等。</w:t>
      </w:r>
    </w:p>
    <w:p w14:paraId="4B46C0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（4）发包人工作人员及其配偶、子女不得从事与发包人工程有关的材料设备供应、工程分包、劳务等经济活动等。</w:t>
      </w:r>
    </w:p>
    <w:p w14:paraId="422719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（5）发包人及其工作人员不得以任何理由向承包人推荐分包单位或推销材料，不得要求承包人购买合同规定外的材料和设备。</w:t>
      </w:r>
    </w:p>
    <w:p w14:paraId="124DA9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（6）发包人工作人员要秉公办事，不准营私舞弊，不准利用职权从事各种个人有偿中介活动和安排个人施工队伍。</w:t>
      </w:r>
    </w:p>
    <w:p w14:paraId="690794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承包人义务</w:t>
      </w:r>
    </w:p>
    <w:p w14:paraId="2CEBC9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（1）承包人不得以任何理由向发包人及其工作人员行贿或馈赠礼金、有价证券、贵重礼品。</w:t>
      </w:r>
    </w:p>
    <w:p w14:paraId="1B02B4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（2）承包人不得以任何名义为发包人及其工作人员报销应由发包人单位或个人支付的任何费用。</w:t>
      </w:r>
    </w:p>
    <w:p w14:paraId="5740BB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（3）承包人不得以任何理由安排发包人工作人员参加超标准宴请及娱乐活动。</w:t>
      </w:r>
    </w:p>
    <w:p w14:paraId="633268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（4）承包人不得为发包人单位和个人购置或提供通讯工具、交通工具和高档办公用品等。</w:t>
      </w:r>
    </w:p>
    <w:p w14:paraId="4227A6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违约责任</w:t>
      </w:r>
    </w:p>
    <w:p w14:paraId="1BF0C7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（1）发包人及其工作人员违反合同第1、2条，按管理权限，依据有关规定给予党纪、政纪或组织处理；涉嫌犯罪的，移交司法机关追究刑事责任；给承包人单位造成经济损失的，应予以赔偿。</w:t>
      </w:r>
    </w:p>
    <w:p w14:paraId="13B30D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（2）承包人及其工作人员违反合同第1、3条，按管理权限，依据有关规定给予党纪、政纪或组织处理；给发包人单位造成经济损失的，应予以赔偿。</w:t>
      </w:r>
    </w:p>
    <w:p w14:paraId="43288C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3BD9CA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协议有效期为</w:t>
      </w:r>
      <w:r>
        <w:rPr>
          <w:rFonts w:hint="eastAsia" w:ascii="宋体" w:hAnsi="宋体" w:eastAsia="宋体" w:cs="宋体"/>
          <w:color w:val="auto"/>
          <w:sz w:val="24"/>
          <w:szCs w:val="24"/>
          <w:highlight w:val="none"/>
          <w:lang w:val="en-US" w:eastAsia="zh-CN"/>
        </w:rPr>
        <w:t>发承包</w:t>
      </w:r>
      <w:r>
        <w:rPr>
          <w:rFonts w:hint="eastAsia" w:ascii="宋体" w:hAnsi="宋体" w:eastAsia="宋体" w:cs="宋体"/>
          <w:color w:val="auto"/>
          <w:sz w:val="24"/>
          <w:szCs w:val="24"/>
          <w:highlight w:val="none"/>
        </w:rPr>
        <w:t>双方签署之日起至该工程项目竣工验收后止。</w:t>
      </w:r>
    </w:p>
    <w:p w14:paraId="620D22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7.协议作为工程施工合同的附件，与工程施工合同具有同等的法律效力，经合同双方签署立即生效。</w:t>
      </w:r>
    </w:p>
    <w:p w14:paraId="792D1F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707199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发 包 人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承 包 人 </w:t>
      </w:r>
      <w:r>
        <w:rPr>
          <w:rFonts w:hint="eastAsia" w:ascii="宋体" w:hAnsi="宋体" w:eastAsia="宋体" w:cs="宋体"/>
          <w:color w:val="auto"/>
          <w:sz w:val="24"/>
          <w:szCs w:val="24"/>
          <w:highlight w:val="none"/>
        </w:rPr>
        <w:t>：</w:t>
      </w:r>
    </w:p>
    <w:p w14:paraId="5B19463A">
      <w:pPr>
        <w:spacing w:line="360" w:lineRule="auto"/>
        <w:rPr>
          <w:rFonts w:hint="eastAsia" w:ascii="宋体" w:hAnsi="宋体" w:eastAsia="宋体" w:cs="宋体"/>
          <w:color w:val="auto"/>
          <w:sz w:val="24"/>
          <w:szCs w:val="24"/>
          <w:highlight w:val="none"/>
        </w:rPr>
      </w:pPr>
    </w:p>
    <w:p w14:paraId="7E5A3B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法定代表人                      </w:t>
      </w:r>
    </w:p>
    <w:p w14:paraId="727C2E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或其授权的代理人：                  或授权的代理人：</w:t>
      </w:r>
    </w:p>
    <w:p w14:paraId="1DB86553">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p>
    <w:p w14:paraId="15F877CB">
      <w:pPr>
        <w:spacing w:before="156" w:beforeLines="50" w:after="156" w:afterLines="50" w:line="480" w:lineRule="auto"/>
        <w:jc w:val="center"/>
        <w:rPr>
          <w:rFonts w:hint="eastAsia" w:ascii="宋体" w:hAnsi="宋体" w:eastAsia="宋体" w:cs="宋体"/>
          <w:color w:val="auto"/>
          <w:sz w:val="24"/>
          <w:szCs w:val="24"/>
          <w:highlight w:val="none"/>
        </w:rPr>
      </w:pPr>
      <w:bookmarkStart w:id="197" w:name="_Toc239510288"/>
      <w:bookmarkStart w:id="198" w:name="_Toc435689499"/>
      <w:bookmarkStart w:id="199" w:name="_Toc435690184"/>
      <w:bookmarkStart w:id="200" w:name="_Toc336680145"/>
      <w:bookmarkStart w:id="201" w:name="_Toc448406299"/>
      <w:bookmarkStart w:id="202" w:name="_Toc247431422"/>
      <w:r>
        <w:rPr>
          <w:rFonts w:hint="eastAsia" w:ascii="宋体" w:hAnsi="宋体" w:eastAsia="宋体" w:cs="宋体"/>
          <w:color w:val="auto"/>
          <w:sz w:val="24"/>
          <w:szCs w:val="24"/>
          <w:highlight w:val="none"/>
        </w:rPr>
        <w:t>安全管理协议</w:t>
      </w:r>
      <w:bookmarkEnd w:id="197"/>
      <w:bookmarkEnd w:id="198"/>
      <w:bookmarkEnd w:id="199"/>
      <w:bookmarkEnd w:id="200"/>
      <w:bookmarkEnd w:id="201"/>
      <w:bookmarkEnd w:id="202"/>
    </w:p>
    <w:p w14:paraId="0078920E">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color w:val="auto"/>
          <w:sz w:val="24"/>
          <w:szCs w:val="24"/>
          <w:highlight w:val="none"/>
          <w:u w:val="single"/>
        </w:rPr>
        <w:t xml:space="preserve">                             </w:t>
      </w:r>
    </w:p>
    <w:p w14:paraId="4D63BF63">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color w:val="auto"/>
          <w:sz w:val="24"/>
          <w:szCs w:val="24"/>
          <w:highlight w:val="none"/>
          <w:u w:val="single"/>
        </w:rPr>
        <w:t xml:space="preserve">                             </w:t>
      </w:r>
    </w:p>
    <w:p w14:paraId="7572ACC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为了确保实现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安全生产目标，进一步明确双方的安全管理责任，加强安全生产管理工作的协调、管理力度，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（以下简称“发包人”）与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63B87B93">
      <w:pPr>
        <w:spacing w:line="360" w:lineRule="auto"/>
        <w:ind w:firstLine="480" w:firstLineChars="200"/>
        <w:rPr>
          <w:rFonts w:hint="eastAsia" w:ascii="宋体" w:hAnsi="宋体" w:eastAsia="宋体" w:cs="宋体"/>
          <w:color w:val="auto"/>
          <w:sz w:val="24"/>
          <w:szCs w:val="24"/>
          <w:highlight w:val="none"/>
        </w:rPr>
      </w:pPr>
      <w:bookmarkStart w:id="203" w:name="_Toc247431423"/>
      <w:bookmarkStart w:id="204" w:name="_Toc532375700"/>
      <w:bookmarkStart w:id="205" w:name="_Toc247418263"/>
      <w:bookmarkStart w:id="206" w:name="_Toc239510289"/>
      <w:r>
        <w:rPr>
          <w:rFonts w:hint="eastAsia" w:ascii="宋体" w:hAnsi="宋体" w:eastAsia="宋体" w:cs="宋体"/>
          <w:color w:val="auto"/>
          <w:sz w:val="24"/>
          <w:szCs w:val="24"/>
          <w:highlight w:val="none"/>
        </w:rPr>
        <w:t>一、协议有效期限</w:t>
      </w:r>
      <w:bookmarkEnd w:id="203"/>
      <w:bookmarkEnd w:id="204"/>
      <w:bookmarkEnd w:id="205"/>
      <w:bookmarkEnd w:id="206"/>
    </w:p>
    <w:p w14:paraId="65C4CAD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本协议中所涉及的安全管理责任自合同签订之日起开始生效，至合同工程全部完工验收且经发包人与承包人签订移交协议生效后之日终止。</w:t>
      </w:r>
    </w:p>
    <w:p w14:paraId="5ABF39E8">
      <w:pPr>
        <w:spacing w:line="360" w:lineRule="auto"/>
        <w:ind w:firstLine="480" w:firstLineChars="200"/>
        <w:rPr>
          <w:rFonts w:hint="eastAsia" w:ascii="宋体" w:hAnsi="宋体" w:eastAsia="宋体" w:cs="宋体"/>
          <w:color w:val="auto"/>
          <w:sz w:val="24"/>
          <w:szCs w:val="24"/>
          <w:highlight w:val="none"/>
        </w:rPr>
      </w:pPr>
      <w:bookmarkStart w:id="207" w:name="_Toc247418264"/>
      <w:bookmarkStart w:id="208" w:name="_Toc532375701"/>
      <w:bookmarkStart w:id="209" w:name="_Toc247431424"/>
      <w:bookmarkStart w:id="210" w:name="_Toc239510290"/>
      <w:r>
        <w:rPr>
          <w:rFonts w:hint="eastAsia" w:ascii="宋体" w:hAnsi="宋体" w:eastAsia="宋体" w:cs="宋体"/>
          <w:color w:val="auto"/>
          <w:sz w:val="24"/>
          <w:szCs w:val="24"/>
          <w:highlight w:val="none"/>
        </w:rPr>
        <w:t>二、责任目标</w:t>
      </w:r>
      <w:bookmarkEnd w:id="207"/>
      <w:bookmarkEnd w:id="208"/>
      <w:bookmarkEnd w:id="209"/>
      <w:bookmarkEnd w:id="210"/>
    </w:p>
    <w:p w14:paraId="3DDFF23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（一）承包人承诺承担和履行合同和发包人所规定的安全责任，且满足要求。</w:t>
      </w:r>
    </w:p>
    <w:p w14:paraId="3B7A6BF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（二）承包人的安全控制目标是确保本工程在实施过程中：</w:t>
      </w:r>
    </w:p>
    <w:p w14:paraId="59907A1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1．不发生人身重伤事故；</w:t>
      </w:r>
    </w:p>
    <w:p w14:paraId="067E5E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2．不发生火灾事故；</w:t>
      </w:r>
    </w:p>
    <w:p w14:paraId="34C6F53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3．不发生负有同等及以上事故责任的造成人身重伤的一般交通事故；</w:t>
      </w:r>
    </w:p>
    <w:p w14:paraId="3649B41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4．不发生集体食物中毒事件（同时5人及以上的食物中毒）；</w:t>
      </w:r>
    </w:p>
    <w:p w14:paraId="7B7244D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5．不发生流行性传染病 （无甲型传染病、其他常见传染病未形成多人同时患病）；</w:t>
      </w:r>
    </w:p>
    <w:p w14:paraId="167DAD5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6．不发生重大环境污染事件（生活、工业垃圾及其他污染物造成环境污染和大面积水土流失）；</w:t>
      </w:r>
    </w:p>
    <w:p w14:paraId="3EBEF5E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7．不发生对施工区附近生产、生活造成重大影响的事件（如造成重大设备损坏、重大财产损失、人员伤害等）；</w:t>
      </w:r>
    </w:p>
    <w:p w14:paraId="1DE0C41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8．不发生治安保卫事件（构成刑事拘留及以上的事件、盗窃直接损失超过1万元人民币的事件）。</w:t>
      </w:r>
    </w:p>
    <w:p w14:paraId="46D1D76E">
      <w:pPr>
        <w:spacing w:line="360" w:lineRule="auto"/>
        <w:ind w:firstLine="480" w:firstLineChars="200"/>
        <w:jc w:val="left"/>
        <w:rPr>
          <w:rFonts w:hint="eastAsia" w:ascii="宋体" w:hAnsi="宋体" w:eastAsia="宋体" w:cs="宋体"/>
          <w:color w:val="auto"/>
          <w:sz w:val="24"/>
          <w:szCs w:val="24"/>
          <w:highlight w:val="none"/>
        </w:rPr>
      </w:pPr>
      <w:bookmarkStart w:id="211" w:name="_Toc239510291"/>
      <w:bookmarkStart w:id="212" w:name="_Toc247418265"/>
      <w:bookmarkStart w:id="213" w:name="_Toc247431425"/>
      <w:r>
        <w:rPr>
          <w:rFonts w:hint="eastAsia" w:ascii="宋体" w:hAnsi="宋体" w:eastAsia="宋体" w:cs="宋体"/>
          <w:color w:val="auto"/>
          <w:sz w:val="24"/>
          <w:szCs w:val="24"/>
          <w:highlight w:val="none"/>
        </w:rPr>
        <w:t>（三）承包人承诺在施工中控制以下安全事故的发生：</w:t>
      </w:r>
      <w:bookmarkEnd w:id="211"/>
      <w:bookmarkEnd w:id="212"/>
      <w:bookmarkEnd w:id="213"/>
    </w:p>
    <w:p w14:paraId="390F6C6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1．人员轻伤事故。</w:t>
      </w:r>
    </w:p>
    <w:p w14:paraId="3C4B015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2．负有同等及以上事故责任的人身轻伤交通事故。</w:t>
      </w:r>
    </w:p>
    <w:p w14:paraId="5F12ABD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3．其他安全未遂事故和异常事件。</w:t>
      </w:r>
    </w:p>
    <w:p w14:paraId="20902282">
      <w:pPr>
        <w:spacing w:line="360" w:lineRule="auto"/>
        <w:ind w:firstLine="480" w:firstLineChars="200"/>
        <w:rPr>
          <w:rFonts w:hint="eastAsia" w:ascii="宋体" w:hAnsi="宋体" w:eastAsia="宋体" w:cs="宋体"/>
          <w:color w:val="auto"/>
          <w:sz w:val="24"/>
          <w:szCs w:val="24"/>
          <w:highlight w:val="none"/>
        </w:rPr>
      </w:pPr>
      <w:bookmarkStart w:id="214" w:name="_Toc247418266"/>
      <w:bookmarkStart w:id="215" w:name="_Toc247431426"/>
      <w:bookmarkStart w:id="216" w:name="_Toc239510292"/>
      <w:bookmarkStart w:id="217" w:name="_Toc532375702"/>
      <w:r>
        <w:rPr>
          <w:rFonts w:hint="eastAsia" w:ascii="宋体" w:hAnsi="宋体" w:eastAsia="宋体" w:cs="宋体"/>
          <w:color w:val="auto"/>
          <w:sz w:val="24"/>
          <w:szCs w:val="24"/>
          <w:highlight w:val="none"/>
        </w:rPr>
        <w:t>三、安全责任</w:t>
      </w:r>
      <w:bookmarkEnd w:id="214"/>
      <w:bookmarkEnd w:id="215"/>
      <w:bookmarkEnd w:id="216"/>
      <w:bookmarkEnd w:id="217"/>
    </w:p>
    <w:p w14:paraId="2446478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1．承包人负有安全生产的管理责任和直接责任。</w:t>
      </w:r>
    </w:p>
    <w:p w14:paraId="0B2557D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2．承包人的法人或签署合同的公司总经理或受委托的代理人对合同安全负有全面的领导责任。</w:t>
      </w:r>
    </w:p>
    <w:p w14:paraId="5242DB3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3．承包人项目经理对施工现场的安全工作负有全面的直接领导责任。</w:t>
      </w:r>
    </w:p>
    <w:p w14:paraId="0F6AFA5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4．承包人保证执行“谁施工、谁负责”的施工安全原则。</w:t>
      </w:r>
    </w:p>
    <w:p w14:paraId="18B3629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5．承包人保证服从发包人对安全工作的统一协调和管理。</w:t>
      </w:r>
    </w:p>
    <w:p w14:paraId="702DA52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6．承包人保证对本工程项目安全生产条件及其管理资源自行投入，保证安全资金的专款专用。</w:t>
      </w:r>
    </w:p>
    <w:p w14:paraId="1CC10E6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7．承包人保证建立本工程项目的安全管理体系及安全保证体系（注：项目安全管理大纲/手册、管理性的程序文件等）。</w:t>
      </w:r>
    </w:p>
    <w:p w14:paraId="19A4E75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8．承包人保证现场的安全管理专职人员必须持有建设主管部门安全生产培训考核合格证书。</w:t>
      </w:r>
    </w:p>
    <w:p w14:paraId="6359492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9．承包人保证为现场所有工作人员（含分包商员工及劳务人员）配备符合国家标准的有承包人和/或其下属分包商标志的个人基本劳动保护用品。</w:t>
      </w:r>
    </w:p>
    <w:p w14:paraId="42995A5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10．承包人保证按照国家法律规定为现场所有工作人员（含分包商员工及劳务人员）购买意外伤害保险。</w:t>
      </w:r>
    </w:p>
    <w:p w14:paraId="6BF029D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11．承包人保证施工生活营地（包括自建的和租用的营地）满足消防、安全用电、卫生防疫、防暴雨、防雷击等方面的安全要求。</w:t>
      </w:r>
    </w:p>
    <w:p w14:paraId="63FD53E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12．承包人保证对带入现场的设备、工具、材料按照国家法规和标准进行检测、试验，并持有法定部门出具的检验证书。</w:t>
      </w:r>
    </w:p>
    <w:p w14:paraId="0B95B83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13．承包人保证制订施工现场的文明施工措施，保护环境、树木和植被，保持施工现场的良好秩序和整洁的作业环境。</w:t>
      </w:r>
    </w:p>
    <w:p w14:paraId="2A0A1C2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14．承包人负责在施工过程中与当地政府、周边群众及其他承包商保持良好的沟通和交流。承包人遇到与周边群众发生纠纷时，应负责协调工作，确保工程能够顺利进行。</w:t>
      </w:r>
    </w:p>
    <w:p w14:paraId="795D1C3B">
      <w:pPr>
        <w:spacing w:line="360" w:lineRule="auto"/>
        <w:ind w:firstLine="480" w:firstLineChars="200"/>
        <w:rPr>
          <w:rFonts w:hint="eastAsia" w:ascii="宋体" w:hAnsi="宋体" w:eastAsia="宋体" w:cs="宋体"/>
          <w:color w:val="auto"/>
          <w:sz w:val="24"/>
          <w:szCs w:val="24"/>
          <w:highlight w:val="none"/>
        </w:rPr>
      </w:pPr>
      <w:bookmarkStart w:id="218" w:name="_Toc247418267"/>
      <w:bookmarkStart w:id="219" w:name="_Toc239510293"/>
      <w:bookmarkStart w:id="220" w:name="_Toc247431427"/>
      <w:bookmarkStart w:id="221" w:name="_Toc532375703"/>
      <w:r>
        <w:rPr>
          <w:rFonts w:hint="eastAsia" w:ascii="宋体" w:hAnsi="宋体" w:eastAsia="宋体" w:cs="宋体"/>
          <w:color w:val="auto"/>
          <w:sz w:val="24"/>
          <w:szCs w:val="24"/>
          <w:highlight w:val="none"/>
        </w:rPr>
        <w:t>四、接口及协调</w:t>
      </w:r>
      <w:bookmarkEnd w:id="218"/>
      <w:bookmarkEnd w:id="219"/>
      <w:bookmarkEnd w:id="220"/>
      <w:bookmarkEnd w:id="221"/>
    </w:p>
    <w:p w14:paraId="7ECE3E7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1．发包人委托监理公司对该工程实施监理，监理公司在安全管理方面代表发包人行使监督检查职能，承包人必须给予配合和支持。</w:t>
      </w:r>
    </w:p>
    <w:p w14:paraId="20CE5C7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2．承包人人员、车辆的出入，带入现场的设备、机具、材料，在现场使用的或直接管理的办公、生活、生产性设施的安全管理须满足发包人现场管理的基本要求。</w:t>
      </w:r>
    </w:p>
    <w:p w14:paraId="741F590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3F2E8DF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71C957A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5．承包人指定的专职安全管理人员应与发包人委托的监理公司建立联系，在业务上接受发包人委托的监理公司的协调和指导。</w:t>
      </w:r>
    </w:p>
    <w:p w14:paraId="45C1337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6．开工后承包人的专职安全管理人员应按照发包人委托的监理公司的规定，定期报送安全月度快报、季报、年报和各种专项事故报告等。</w:t>
      </w:r>
    </w:p>
    <w:p w14:paraId="60C9DCB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7．在工程实体未全部正式移交发包人施工管理部门之前，承包人依旧对施工范围内的安全管理负责。</w:t>
      </w:r>
    </w:p>
    <w:p w14:paraId="06C17D61">
      <w:pPr>
        <w:spacing w:line="360" w:lineRule="auto"/>
        <w:ind w:firstLine="480" w:firstLineChars="200"/>
        <w:rPr>
          <w:rFonts w:hint="eastAsia" w:ascii="宋体" w:hAnsi="宋体" w:eastAsia="宋体" w:cs="宋体"/>
          <w:color w:val="auto"/>
          <w:sz w:val="24"/>
          <w:szCs w:val="24"/>
          <w:highlight w:val="none"/>
        </w:rPr>
      </w:pPr>
      <w:bookmarkStart w:id="222" w:name="_Toc239510294"/>
      <w:bookmarkStart w:id="223" w:name="_Toc532375704"/>
      <w:bookmarkStart w:id="224" w:name="_Toc247418268"/>
      <w:bookmarkStart w:id="225" w:name="_Toc247431428"/>
      <w:r>
        <w:rPr>
          <w:rFonts w:hint="eastAsia" w:ascii="宋体" w:hAnsi="宋体" w:eastAsia="宋体" w:cs="宋体"/>
          <w:color w:val="auto"/>
          <w:sz w:val="24"/>
          <w:szCs w:val="24"/>
          <w:highlight w:val="none"/>
        </w:rPr>
        <w:t>五、安全资质审查</w:t>
      </w:r>
      <w:bookmarkEnd w:id="222"/>
      <w:bookmarkEnd w:id="223"/>
      <w:bookmarkEnd w:id="224"/>
      <w:bookmarkEnd w:id="225"/>
    </w:p>
    <w:p w14:paraId="6B29564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承包人在项目开工前5个工作天内向发包人委托的监理公司提供以下安全资质供审查和存档：</w:t>
      </w:r>
    </w:p>
    <w:p w14:paraId="031C1A5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1．企业安全生产许可证书复印件。</w:t>
      </w:r>
    </w:p>
    <w:p w14:paraId="610B107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2．企业近三年的施工简历及安全施工业绩证明文件。</w:t>
      </w:r>
    </w:p>
    <w:p w14:paraId="0C13A32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3．企业主要安全管理人员（包括项目经理、专职安全管理人员）经建设主管部门安全生产知识考核合格证书。</w:t>
      </w:r>
    </w:p>
    <w:p w14:paraId="34D4E11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4．特种作业人员资格证书。</w:t>
      </w:r>
    </w:p>
    <w:p w14:paraId="5D566FA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5．项目安全管理机构及其人员配备（承包人必须配有专职的安全员）。</w:t>
      </w:r>
    </w:p>
    <w:p w14:paraId="016005A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6．适用于项目的安全管理体系及保证体系文件（安全管理大纲及管理程序文件）。</w:t>
      </w:r>
    </w:p>
    <w:p w14:paraId="4CD3A746">
      <w:pPr>
        <w:spacing w:line="360" w:lineRule="auto"/>
        <w:ind w:firstLine="480" w:firstLineChars="200"/>
        <w:rPr>
          <w:rFonts w:hint="eastAsia" w:ascii="宋体" w:hAnsi="宋体" w:eastAsia="宋体" w:cs="宋体"/>
          <w:color w:val="auto"/>
          <w:sz w:val="24"/>
          <w:szCs w:val="24"/>
          <w:highlight w:val="none"/>
        </w:rPr>
      </w:pPr>
      <w:bookmarkStart w:id="226" w:name="_Toc532375705"/>
      <w:bookmarkStart w:id="227" w:name="_Toc247431429"/>
      <w:bookmarkStart w:id="228" w:name="_Toc247418269"/>
      <w:bookmarkStart w:id="229" w:name="_Toc239510295"/>
      <w:r>
        <w:rPr>
          <w:rFonts w:hint="eastAsia" w:ascii="宋体" w:hAnsi="宋体" w:eastAsia="宋体" w:cs="宋体"/>
          <w:color w:val="auto"/>
          <w:sz w:val="24"/>
          <w:szCs w:val="24"/>
          <w:highlight w:val="none"/>
        </w:rPr>
        <w:t>六、人员基本素质</w:t>
      </w:r>
      <w:bookmarkEnd w:id="226"/>
      <w:bookmarkEnd w:id="227"/>
      <w:bookmarkEnd w:id="228"/>
      <w:bookmarkEnd w:id="229"/>
    </w:p>
    <w:p w14:paraId="3D62FD2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承包人提供的人员必须满足下列要求：</w:t>
      </w:r>
    </w:p>
    <w:p w14:paraId="1498D53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6D90DF2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2．无刑事案件牵连。</w:t>
      </w:r>
    </w:p>
    <w:p w14:paraId="1031022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3．无吸毒、酗酒、赌博、嫖娼等恶习及违法行为。</w:t>
      </w:r>
    </w:p>
    <w:p w14:paraId="13F67F61">
      <w:pPr>
        <w:spacing w:line="360" w:lineRule="auto"/>
        <w:ind w:firstLine="480" w:firstLineChars="200"/>
        <w:rPr>
          <w:rFonts w:hint="eastAsia" w:ascii="宋体" w:hAnsi="宋体" w:eastAsia="宋体" w:cs="宋体"/>
          <w:color w:val="auto"/>
          <w:sz w:val="24"/>
          <w:szCs w:val="24"/>
          <w:highlight w:val="none"/>
        </w:rPr>
      </w:pPr>
      <w:bookmarkStart w:id="230" w:name="_Toc247418270"/>
      <w:bookmarkStart w:id="231" w:name="_Toc247431430"/>
      <w:bookmarkStart w:id="232" w:name="_Toc532375706"/>
      <w:bookmarkStart w:id="233" w:name="_Toc239510296"/>
      <w:r>
        <w:rPr>
          <w:rFonts w:hint="eastAsia" w:ascii="宋体" w:hAnsi="宋体" w:eastAsia="宋体" w:cs="宋体"/>
          <w:color w:val="auto"/>
          <w:sz w:val="24"/>
          <w:szCs w:val="24"/>
          <w:highlight w:val="none"/>
        </w:rPr>
        <w:t>七、劳动保护</w:t>
      </w:r>
      <w:bookmarkEnd w:id="230"/>
      <w:bookmarkEnd w:id="231"/>
      <w:bookmarkEnd w:id="232"/>
      <w:bookmarkEnd w:id="233"/>
    </w:p>
    <w:p w14:paraId="768B9E8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1．承包人负责为本单位任何用工形式的员工提供个人劳动保护用品（包括工作服、安全帽、安全鞋等）。</w:t>
      </w:r>
    </w:p>
    <w:p w14:paraId="4583152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2．承包人负责向特殊工种的员工提供特殊劳动保护，否则不得从事特殊工种作业。</w:t>
      </w:r>
    </w:p>
    <w:p w14:paraId="6FD455D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3．发包人委托的监理公司有权检查承包人的个人劳动保护用品是否符合国家的相应标准。</w:t>
      </w:r>
    </w:p>
    <w:p w14:paraId="65532D1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承包人在特殊风险场所作业而需要特殊防护用品或安全仪表时，必须在上述防护用品全部到位后才能开工。</w:t>
      </w:r>
    </w:p>
    <w:p w14:paraId="6FDE9EE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5．承包人应配备临时安全围栏、警示带、警告标志、防火布等集体防护用品。</w:t>
      </w:r>
    </w:p>
    <w:p w14:paraId="27327EED">
      <w:pPr>
        <w:spacing w:line="360" w:lineRule="auto"/>
        <w:ind w:firstLine="480" w:firstLineChars="200"/>
        <w:rPr>
          <w:rFonts w:hint="eastAsia" w:ascii="宋体" w:hAnsi="宋体" w:eastAsia="宋体" w:cs="宋体"/>
          <w:color w:val="auto"/>
          <w:sz w:val="24"/>
          <w:szCs w:val="24"/>
          <w:highlight w:val="none"/>
        </w:rPr>
      </w:pPr>
      <w:bookmarkStart w:id="234" w:name="_Toc247418271"/>
      <w:bookmarkStart w:id="235" w:name="_Toc247431431"/>
      <w:bookmarkStart w:id="236" w:name="_Toc239510297"/>
      <w:bookmarkStart w:id="237" w:name="_Toc532375707"/>
      <w:r>
        <w:rPr>
          <w:rFonts w:hint="eastAsia" w:ascii="宋体" w:hAnsi="宋体" w:eastAsia="宋体" w:cs="宋体"/>
          <w:color w:val="auto"/>
          <w:sz w:val="24"/>
          <w:szCs w:val="24"/>
          <w:highlight w:val="none"/>
        </w:rPr>
        <w:t>八、施工机具与材料</w:t>
      </w:r>
      <w:bookmarkEnd w:id="234"/>
      <w:bookmarkEnd w:id="235"/>
      <w:bookmarkEnd w:id="236"/>
      <w:bookmarkEnd w:id="237"/>
    </w:p>
    <w:p w14:paraId="437998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1．承包人对带入现场的施工机械和工器具的安全负责。</w:t>
      </w:r>
    </w:p>
    <w:p w14:paraId="2EFF8BB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2．对于承包人带入现场的特殊工器具，如起重设备、索具、机动车辆、压缩气瓶等，承包人必须按国家法规和标准进行检测、试验，并持有法定部门出具的检验证书。</w:t>
      </w:r>
    </w:p>
    <w:p w14:paraId="4A00A16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3．对于不属于法定检测的工器具，承包人也必须建立相应的管理、检测制度，这些工器具包括登高工具、脚手架材料、电动工具、安全防护设备及用具等。</w:t>
      </w:r>
    </w:p>
    <w:p w14:paraId="4F958615">
      <w:pPr>
        <w:spacing w:line="360" w:lineRule="auto"/>
        <w:ind w:firstLine="480" w:firstLineChars="200"/>
        <w:rPr>
          <w:rFonts w:hint="eastAsia" w:ascii="宋体" w:hAnsi="宋体" w:eastAsia="宋体" w:cs="宋体"/>
          <w:color w:val="auto"/>
          <w:sz w:val="24"/>
          <w:szCs w:val="24"/>
          <w:highlight w:val="none"/>
        </w:rPr>
      </w:pPr>
      <w:bookmarkStart w:id="238" w:name="_Toc532375708"/>
      <w:bookmarkStart w:id="239" w:name="_Toc239510298"/>
      <w:bookmarkStart w:id="240" w:name="_Toc247431432"/>
      <w:bookmarkStart w:id="241" w:name="_Toc247418272"/>
      <w:r>
        <w:rPr>
          <w:rFonts w:hint="eastAsia" w:ascii="宋体" w:hAnsi="宋体" w:eastAsia="宋体" w:cs="宋体"/>
          <w:color w:val="auto"/>
          <w:sz w:val="24"/>
          <w:szCs w:val="24"/>
          <w:highlight w:val="none"/>
        </w:rPr>
        <w:t>九、开工前安全条件检查</w:t>
      </w:r>
      <w:bookmarkEnd w:id="238"/>
      <w:bookmarkEnd w:id="239"/>
      <w:bookmarkEnd w:id="240"/>
      <w:bookmarkEnd w:id="241"/>
    </w:p>
    <w:p w14:paraId="1C86406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36FDCB8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B04668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1C13DB06">
      <w:pPr>
        <w:spacing w:line="360" w:lineRule="auto"/>
        <w:ind w:firstLine="480" w:firstLineChars="200"/>
        <w:rPr>
          <w:rFonts w:hint="eastAsia" w:ascii="宋体" w:hAnsi="宋体" w:eastAsia="宋体" w:cs="宋体"/>
          <w:color w:val="auto"/>
          <w:sz w:val="24"/>
          <w:szCs w:val="24"/>
          <w:highlight w:val="none"/>
        </w:rPr>
      </w:pPr>
      <w:bookmarkStart w:id="242" w:name="_Toc247418273"/>
      <w:bookmarkStart w:id="243" w:name="_Toc247431433"/>
      <w:bookmarkStart w:id="244" w:name="_Toc239510299"/>
      <w:bookmarkStart w:id="245" w:name="_Toc532375709"/>
      <w:r>
        <w:rPr>
          <w:rFonts w:hint="eastAsia" w:ascii="宋体" w:hAnsi="宋体" w:eastAsia="宋体" w:cs="宋体"/>
          <w:color w:val="auto"/>
          <w:sz w:val="24"/>
          <w:szCs w:val="24"/>
          <w:highlight w:val="none"/>
        </w:rPr>
        <w:t>十、安全监督</w:t>
      </w:r>
      <w:bookmarkEnd w:id="242"/>
      <w:bookmarkEnd w:id="243"/>
      <w:bookmarkEnd w:id="244"/>
      <w:bookmarkEnd w:id="245"/>
    </w:p>
    <w:p w14:paraId="58848E4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1．承包人应配备有满足项目安全管理需要的专职安全管理人员。</w:t>
      </w:r>
    </w:p>
    <w:p w14:paraId="3D573EA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2．承包人的专职安全管理人员必须持建设主管部门颁发的安全生产知识考核合格证书。</w:t>
      </w:r>
    </w:p>
    <w:p w14:paraId="36DC8CE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3．承包人的专职安全管理人员在业务上接受发包人委托的监理公司和发包人安全管理部门的协调和指导。</w:t>
      </w:r>
    </w:p>
    <w:p w14:paraId="36D0CE1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4．承包人应建立班前安全交底制度；施工期间坚持开展安全检查和日常安全监督并形成相应的记录。</w:t>
      </w:r>
    </w:p>
    <w:p w14:paraId="5C4E4A7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5．承包人应在每个作业区任命兼职安全员，赋予兼职安全员相应的授权和义务，并对兼职安全员进行定期考核。</w:t>
      </w:r>
    </w:p>
    <w:p w14:paraId="6242ABB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6．承包人应接受和配合发包人专业部门及委托的监理公司的监督与安全评价。</w:t>
      </w:r>
    </w:p>
    <w:p w14:paraId="0A6CB71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23B1173B">
      <w:pPr>
        <w:spacing w:line="360" w:lineRule="auto"/>
        <w:ind w:firstLine="480" w:firstLineChars="200"/>
        <w:rPr>
          <w:rFonts w:hint="eastAsia" w:ascii="宋体" w:hAnsi="宋体" w:eastAsia="宋体" w:cs="宋体"/>
          <w:color w:val="auto"/>
          <w:sz w:val="24"/>
          <w:szCs w:val="24"/>
          <w:highlight w:val="none"/>
        </w:rPr>
      </w:pPr>
      <w:bookmarkStart w:id="246" w:name="_Toc247431434"/>
      <w:bookmarkStart w:id="247" w:name="_Toc532375710"/>
      <w:bookmarkStart w:id="248" w:name="_Toc247418274"/>
      <w:bookmarkStart w:id="249" w:name="_Toc239510300"/>
      <w:r>
        <w:rPr>
          <w:rFonts w:hint="eastAsia" w:ascii="宋体" w:hAnsi="宋体" w:eastAsia="宋体" w:cs="宋体"/>
          <w:color w:val="auto"/>
          <w:sz w:val="24"/>
          <w:szCs w:val="24"/>
          <w:highlight w:val="none"/>
        </w:rPr>
        <w:t>十一、安全培训与授权</w:t>
      </w:r>
      <w:bookmarkEnd w:id="246"/>
      <w:bookmarkEnd w:id="247"/>
      <w:bookmarkEnd w:id="248"/>
      <w:bookmarkEnd w:id="249"/>
    </w:p>
    <w:p w14:paraId="6938ED3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71A7F5B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2．承包人应在特殊工种之外的其他工种中，筛选出高风险工种，并对其开展针对性的专题安全培训。</w:t>
      </w:r>
    </w:p>
    <w:p w14:paraId="7219B29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3．承包人应组织 “入场培训”和考核。发包人委托的监理公司有权监督培训、考核情况或组织抽查考核。</w:t>
      </w:r>
    </w:p>
    <w:p w14:paraId="7B606C6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4．承包人应建立安全培训和考核机制，编制培训教材和培训滚动计划。承包人应组织安全考试/考核，建立培训考核记录，发包人委托的监理公司有权查看这些记录。</w:t>
      </w:r>
    </w:p>
    <w:p w14:paraId="26848A17">
      <w:pPr>
        <w:spacing w:line="360" w:lineRule="auto"/>
        <w:ind w:firstLine="480" w:firstLineChars="200"/>
        <w:rPr>
          <w:rFonts w:hint="eastAsia" w:ascii="宋体" w:hAnsi="宋体" w:eastAsia="宋体" w:cs="宋体"/>
          <w:color w:val="auto"/>
          <w:sz w:val="24"/>
          <w:szCs w:val="24"/>
          <w:highlight w:val="none"/>
        </w:rPr>
      </w:pPr>
      <w:bookmarkStart w:id="250" w:name="_Toc247431435"/>
      <w:bookmarkStart w:id="251" w:name="_Toc239510301"/>
      <w:bookmarkStart w:id="252" w:name="_Toc532375711"/>
      <w:bookmarkStart w:id="253" w:name="_Toc247418275"/>
      <w:r>
        <w:rPr>
          <w:rFonts w:hint="eastAsia" w:ascii="宋体" w:hAnsi="宋体" w:eastAsia="宋体" w:cs="宋体"/>
          <w:color w:val="auto"/>
          <w:sz w:val="24"/>
          <w:szCs w:val="24"/>
          <w:highlight w:val="none"/>
        </w:rPr>
        <w:t>十二、职业健康与卫生防疫</w:t>
      </w:r>
      <w:bookmarkEnd w:id="250"/>
      <w:bookmarkEnd w:id="251"/>
      <w:bookmarkEnd w:id="252"/>
      <w:bookmarkEnd w:id="253"/>
    </w:p>
    <w:p w14:paraId="00246D0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4F9BD14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2．承包人应保证卫生防疫基本设施的投入，以满足医疗、急救的要求，建立外部医疗支持渠道。</w:t>
      </w:r>
    </w:p>
    <w:p w14:paraId="0BCAEB3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6F1FCA3F">
      <w:pPr>
        <w:spacing w:line="360" w:lineRule="auto"/>
        <w:ind w:firstLine="480" w:firstLineChars="200"/>
        <w:rPr>
          <w:rFonts w:hint="eastAsia" w:ascii="宋体" w:hAnsi="宋体" w:eastAsia="宋体" w:cs="宋体"/>
          <w:color w:val="auto"/>
          <w:sz w:val="24"/>
          <w:szCs w:val="24"/>
          <w:highlight w:val="none"/>
        </w:rPr>
      </w:pPr>
      <w:bookmarkStart w:id="254" w:name="_Toc532375712"/>
      <w:bookmarkStart w:id="255" w:name="_Toc247431436"/>
      <w:bookmarkStart w:id="256" w:name="_Toc247418276"/>
      <w:bookmarkStart w:id="257" w:name="_Toc239510302"/>
      <w:r>
        <w:rPr>
          <w:rFonts w:hint="eastAsia" w:ascii="宋体" w:hAnsi="宋体" w:eastAsia="宋体" w:cs="宋体"/>
          <w:color w:val="auto"/>
          <w:sz w:val="24"/>
          <w:szCs w:val="24"/>
          <w:highlight w:val="none"/>
        </w:rPr>
        <w:t>十三、文明施工与环保要求</w:t>
      </w:r>
      <w:bookmarkEnd w:id="254"/>
      <w:bookmarkEnd w:id="255"/>
      <w:bookmarkEnd w:id="256"/>
      <w:bookmarkEnd w:id="257"/>
    </w:p>
    <w:p w14:paraId="44BDCB0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1．承包人需制订施工现场的文明施工措施，保持良好的施工现场秩序。施工现场的物料堆放要摆放整齐，安全标志和宣传标志要清楚醒目，废料、废物要分类收集，安全通道要畅通。</w:t>
      </w:r>
    </w:p>
    <w:p w14:paraId="7998A52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2．承包人作业时应避免建筑材料抛洒、飞扬、流淌；应尽可能降低噪音、震动。</w:t>
      </w:r>
    </w:p>
    <w:p w14:paraId="412B71C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3．承包人应根据实际需要，在施工现场布置临时卫生设施（洗手间、卫生间等），施工作业不破坏环境卫生，不污染现场环境。</w:t>
      </w:r>
    </w:p>
    <w:p w14:paraId="5988281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4．承包人在施工中应充分重视对环境的保护，保护绿色植被，保护古树。施工如需伤害古树，必须报告发包人委托的监理公司，在未得到指令前，禁止擅自伤害古树。</w:t>
      </w:r>
    </w:p>
    <w:p w14:paraId="1524BA4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349ABEA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6．承包人在施工中应禁止向环境，排放工业污水、生活污水、废油或其他有害物质。</w:t>
      </w:r>
    </w:p>
    <w:p w14:paraId="746AF17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072AA149">
      <w:pPr>
        <w:spacing w:line="360" w:lineRule="auto"/>
        <w:ind w:firstLine="480" w:firstLineChars="200"/>
        <w:rPr>
          <w:rFonts w:hint="eastAsia" w:ascii="宋体" w:hAnsi="宋体" w:eastAsia="宋体" w:cs="宋体"/>
          <w:color w:val="auto"/>
          <w:sz w:val="24"/>
          <w:szCs w:val="24"/>
          <w:highlight w:val="none"/>
        </w:rPr>
      </w:pPr>
      <w:bookmarkStart w:id="258" w:name="_Toc532375713"/>
      <w:bookmarkStart w:id="259" w:name="_Toc239510303"/>
      <w:bookmarkStart w:id="260" w:name="_Toc247418277"/>
      <w:bookmarkStart w:id="261" w:name="_Toc247431437"/>
      <w:r>
        <w:rPr>
          <w:rFonts w:hint="eastAsia" w:ascii="宋体" w:hAnsi="宋体" w:eastAsia="宋体" w:cs="宋体"/>
          <w:color w:val="auto"/>
          <w:sz w:val="24"/>
          <w:szCs w:val="24"/>
          <w:highlight w:val="none"/>
        </w:rPr>
        <w:t>十四、工程风险管理与事故预防</w:t>
      </w:r>
      <w:bookmarkEnd w:id="258"/>
      <w:bookmarkEnd w:id="259"/>
      <w:bookmarkEnd w:id="260"/>
      <w:bookmarkEnd w:id="261"/>
    </w:p>
    <w:p w14:paraId="730718AE">
      <w:pPr>
        <w:spacing w:line="360" w:lineRule="auto"/>
        <w:ind w:firstLine="480" w:firstLineChars="200"/>
        <w:jc w:val="left"/>
        <w:rPr>
          <w:rFonts w:hint="eastAsia" w:ascii="宋体" w:hAnsi="宋体" w:eastAsia="宋体" w:cs="宋体"/>
          <w:color w:val="auto"/>
          <w:sz w:val="24"/>
          <w:szCs w:val="24"/>
          <w:highlight w:val="none"/>
        </w:rPr>
      </w:pPr>
      <w:bookmarkStart w:id="262" w:name="_Toc247431438"/>
      <w:bookmarkStart w:id="263" w:name="_Toc239510304"/>
      <w:bookmarkStart w:id="264" w:name="_Toc247418278"/>
      <w:r>
        <w:rPr>
          <w:rFonts w:hint="eastAsia" w:ascii="宋体" w:hAnsi="宋体" w:eastAsia="宋体" w:cs="宋体"/>
          <w:color w:val="auto"/>
          <w:sz w:val="24"/>
          <w:szCs w:val="24"/>
          <w:highlight w:val="none"/>
        </w:rPr>
        <w:t>（一）基本要求</w:t>
      </w:r>
      <w:bookmarkEnd w:id="262"/>
      <w:bookmarkEnd w:id="263"/>
      <w:bookmarkEnd w:id="264"/>
    </w:p>
    <w:p w14:paraId="05837D59">
      <w:pPr>
        <w:spacing w:line="360" w:lineRule="auto"/>
        <w:ind w:firstLine="480" w:firstLineChars="200"/>
        <w:jc w:val="left"/>
        <w:rPr>
          <w:rFonts w:hint="eastAsia" w:ascii="宋体" w:hAnsi="宋体" w:eastAsia="宋体" w:cs="宋体"/>
          <w:color w:val="auto"/>
          <w:sz w:val="24"/>
          <w:szCs w:val="24"/>
          <w:highlight w:val="none"/>
        </w:rPr>
      </w:pPr>
      <w:bookmarkStart w:id="265" w:name="_Toc532375714"/>
      <w:r>
        <w:rPr>
          <w:rFonts w:hint="eastAsia" w:ascii="宋体" w:hAnsi="宋体" w:eastAsia="宋体" w:cs="宋体"/>
          <w:color w:val="auto"/>
          <w:sz w:val="24"/>
          <w:szCs w:val="24"/>
          <w:highlight w:val="none"/>
        </w:rPr>
        <w:t>1．承包人应对施工过程进行全面、深入的危险源识别和风险分析。在施工安全组织设计中提供危险源及重要危险源清单、作业风险分析报告，该报告应包括（但不限于）如下信息：</w:t>
      </w:r>
      <w:bookmarkEnd w:id="265"/>
    </w:p>
    <w:p w14:paraId="5534CCD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（1）高风险作业和工种清单：作业名称、类别和数量、主要事故风险。</w:t>
      </w:r>
    </w:p>
    <w:p w14:paraId="6366AAF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（2）施工能源和机械的种类、数量和主要事故风险。</w:t>
      </w:r>
    </w:p>
    <w:p w14:paraId="5BFFA09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（3）施工作业条件的类型和主要事故风险。</w:t>
      </w:r>
    </w:p>
    <w:p w14:paraId="136BC5A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（4）主要工艺过程（或施工活动）的类别及其相关的事故风险。</w:t>
      </w:r>
    </w:p>
    <w:p w14:paraId="1720A80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（5）主要火灾危险（可燃物、点火源）。</w:t>
      </w:r>
    </w:p>
    <w:p w14:paraId="2026DD4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（6）主要自然灾害（洪水、大风、雷暴、暴雨、地质灾害等）。</w:t>
      </w:r>
    </w:p>
    <w:p w14:paraId="3853DCF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（7）主要环境保护事件（有害垃圾、机械的跑冒滴漏、原材料流失、水土流失等）。</w:t>
      </w:r>
    </w:p>
    <w:p w14:paraId="1F66764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w:t>
      </w:r>
    </w:p>
    <w:p w14:paraId="6AA73FF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2．承包人应针对识别出的危险源制定有针对性的事故预防措施并确保在施工中得到有效落实。</w:t>
      </w:r>
    </w:p>
    <w:p w14:paraId="6724B5E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3．承包人应建立日常施工活动的动态作业风险分析和安全交底制度。该制度应明确规定风险分析的方法、责任和交底的内容、时间及记录。</w:t>
      </w:r>
    </w:p>
    <w:p w14:paraId="4B405BEA">
      <w:pPr>
        <w:spacing w:line="360" w:lineRule="auto"/>
        <w:ind w:firstLine="480" w:firstLineChars="200"/>
        <w:jc w:val="left"/>
        <w:rPr>
          <w:rFonts w:hint="eastAsia" w:ascii="宋体" w:hAnsi="宋体" w:eastAsia="宋体" w:cs="宋体"/>
          <w:color w:val="auto"/>
          <w:sz w:val="24"/>
          <w:szCs w:val="24"/>
          <w:highlight w:val="none"/>
        </w:rPr>
      </w:pPr>
      <w:bookmarkStart w:id="266" w:name="_Toc239510305"/>
      <w:bookmarkStart w:id="267" w:name="_Toc247431439"/>
      <w:bookmarkStart w:id="268" w:name="_Toc247418279"/>
      <w:r>
        <w:rPr>
          <w:rFonts w:hint="eastAsia" w:ascii="宋体" w:hAnsi="宋体" w:eastAsia="宋体" w:cs="宋体"/>
          <w:color w:val="auto"/>
          <w:sz w:val="24"/>
          <w:szCs w:val="24"/>
          <w:highlight w:val="none"/>
        </w:rPr>
        <w:t>（二）现场作业基本安全条件</w:t>
      </w:r>
      <w:bookmarkEnd w:id="266"/>
      <w:bookmarkEnd w:id="267"/>
      <w:bookmarkEnd w:id="268"/>
    </w:p>
    <w:p w14:paraId="21D746A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38962718">
      <w:pPr>
        <w:spacing w:line="360" w:lineRule="auto"/>
        <w:ind w:firstLine="480" w:firstLineChars="200"/>
        <w:rPr>
          <w:rFonts w:hint="eastAsia" w:ascii="宋体" w:hAnsi="宋体" w:eastAsia="宋体" w:cs="宋体"/>
          <w:color w:val="auto"/>
          <w:sz w:val="24"/>
          <w:szCs w:val="24"/>
          <w:highlight w:val="none"/>
        </w:rPr>
      </w:pPr>
      <w:bookmarkStart w:id="269" w:name="_Toc247418280"/>
      <w:bookmarkStart w:id="270" w:name="_Toc239510306"/>
      <w:bookmarkStart w:id="271" w:name="_Toc532375715"/>
      <w:bookmarkStart w:id="272" w:name="_Toc247431440"/>
      <w:r>
        <w:rPr>
          <w:rFonts w:hint="eastAsia" w:ascii="宋体" w:hAnsi="宋体" w:eastAsia="宋体" w:cs="宋体"/>
          <w:color w:val="auto"/>
          <w:sz w:val="24"/>
          <w:szCs w:val="24"/>
          <w:highlight w:val="none"/>
        </w:rPr>
        <w:t>十五、事故报告与应急救援</w:t>
      </w:r>
      <w:bookmarkEnd w:id="269"/>
      <w:bookmarkEnd w:id="270"/>
      <w:bookmarkEnd w:id="271"/>
      <w:bookmarkEnd w:id="272"/>
    </w:p>
    <w:p w14:paraId="2BB2604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1．承包人应制定对于未遂事故及以上级别的安全事件和事故，定期报送安全月度快报、季报、年报和各种专项事故报告等。</w:t>
      </w:r>
    </w:p>
    <w:p w14:paraId="345F232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2．承包人应建立安全事故统计记录、未遂事故统计记录、违章统计记录，并根据统计情况进行分析，并就分析结果制定相应的预防措施。</w:t>
      </w:r>
    </w:p>
    <w:p w14:paraId="1B02FE4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3．承包人应建立事故应急救援机制，明确事故处置的基本原则，即现场发生事故时，首先抢救生命，向救援组织报警，并采取措施限制事故扩大。</w:t>
      </w:r>
    </w:p>
    <w:p w14:paraId="63C57B3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4．承包人应建立相应的应急响应组织，以便能迅速处理突发意外。</w:t>
      </w:r>
    </w:p>
    <w:p w14:paraId="3D2841D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5．承包人应建立专项应急响应预案，包括重大人身伤亡事故的救护预案、火灾响应预案、“四防”预案（防风、防冻、防雷、防暴雨）、重大疫病防护预案、环境污染防护预案、地质灾害防护预案等。</w:t>
      </w:r>
    </w:p>
    <w:p w14:paraId="1AB0658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6．承包人应对应急预案进行适当演练，保证应急预案的可操作性。</w:t>
      </w:r>
    </w:p>
    <w:p w14:paraId="591E012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7．在工地的其他施工单位发生重大事故时，承包人应无条件立即配合、支持事故抢险。</w:t>
      </w:r>
    </w:p>
    <w:p w14:paraId="4163579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8．承包人必须为事故处置支付各项费用，包括受伤者的抚恤、补偿等费用，并按合同要求赔偿对发包人造成的损失。</w:t>
      </w:r>
    </w:p>
    <w:p w14:paraId="32B8803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9．由于发包人原因而造成的事故，发包人应负责按事故的具体损失情况给予承包人经济赔偿。</w:t>
      </w:r>
    </w:p>
    <w:p w14:paraId="62AD6A9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10．涉及承包人员工的伤害事故，承包人除要报告发包人委托的监理公司外，还应负责按照国家、行业和本单位上级公司的要求，上报事故。</w:t>
      </w:r>
    </w:p>
    <w:p w14:paraId="70419954">
      <w:pPr>
        <w:spacing w:line="360" w:lineRule="auto"/>
        <w:ind w:firstLine="480" w:firstLineChars="200"/>
        <w:rPr>
          <w:rFonts w:hint="eastAsia" w:ascii="宋体" w:hAnsi="宋体" w:eastAsia="宋体" w:cs="宋体"/>
          <w:color w:val="auto"/>
          <w:sz w:val="24"/>
          <w:szCs w:val="24"/>
          <w:highlight w:val="none"/>
        </w:rPr>
      </w:pPr>
      <w:bookmarkStart w:id="273" w:name="_Toc247431441"/>
      <w:bookmarkStart w:id="274" w:name="_Toc239510307"/>
      <w:bookmarkStart w:id="275" w:name="_Toc532375716"/>
      <w:bookmarkStart w:id="276" w:name="_Toc247418281"/>
      <w:r>
        <w:rPr>
          <w:rFonts w:hint="eastAsia" w:ascii="宋体" w:hAnsi="宋体" w:eastAsia="宋体" w:cs="宋体"/>
          <w:color w:val="auto"/>
          <w:sz w:val="24"/>
          <w:szCs w:val="24"/>
          <w:highlight w:val="none"/>
        </w:rPr>
        <w:t>十六、安全业绩考核</w:t>
      </w:r>
      <w:bookmarkEnd w:id="273"/>
      <w:bookmarkEnd w:id="274"/>
      <w:bookmarkEnd w:id="275"/>
      <w:bookmarkEnd w:id="276"/>
    </w:p>
    <w:p w14:paraId="6D2474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为了落实安全管理的责任，承包人在施工过程中发生安全事故时，承包人除应按国家有关规定承担责任和处罚外，发包人还将按照以下标准进行考核：</w:t>
      </w:r>
    </w:p>
    <w:tbl>
      <w:tblPr>
        <w:tblStyle w:val="63"/>
        <w:tblW w:w="7005" w:type="dxa"/>
        <w:jc w:val="center"/>
        <w:tblLayout w:type="fixed"/>
        <w:tblCellMar>
          <w:top w:w="0" w:type="dxa"/>
          <w:left w:w="0" w:type="dxa"/>
          <w:bottom w:w="0" w:type="dxa"/>
          <w:right w:w="0" w:type="dxa"/>
        </w:tblCellMar>
      </w:tblPr>
      <w:tblGrid>
        <w:gridCol w:w="3240"/>
        <w:gridCol w:w="3765"/>
      </w:tblGrid>
      <w:tr w14:paraId="3C5EB5F2">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4E6A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38EA8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违约金额</w:t>
            </w:r>
          </w:p>
        </w:tc>
      </w:tr>
      <w:tr w14:paraId="6F534949">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DB3C2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420B586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签约合同价</w:t>
            </w:r>
            <w:r>
              <w:rPr>
                <w:rFonts w:hint="eastAsia" w:ascii="宋体" w:hAnsi="宋体" w:eastAsia="宋体" w:cs="宋体"/>
                <w:color w:val="auto"/>
                <w:sz w:val="24"/>
                <w:szCs w:val="24"/>
                <w:highlight w:val="none"/>
              </w:rPr>
              <w:t>的0.5‰</w:t>
            </w:r>
          </w:p>
        </w:tc>
      </w:tr>
      <w:tr w14:paraId="637A3BF6">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82C53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7250132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签约合同价的2‰</w:t>
            </w:r>
          </w:p>
        </w:tc>
      </w:tr>
      <w:tr w14:paraId="65867492">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2A5C1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11BA146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签约合同价的4‰</w:t>
            </w:r>
          </w:p>
        </w:tc>
      </w:tr>
    </w:tbl>
    <w:p w14:paraId="4AE041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（1）较大事故，是指造成3人以上10人以下死亡，或者10人以上50人以下重伤，或者1000万元以上5000万元以下直接经济损失的事故；</w:t>
      </w:r>
    </w:p>
    <w:p w14:paraId="195E076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（2）重大事故，是指造成10人以上30人以下死亡，或者50人以上100人以下重伤，或者5000万元以上1亿元以下直接经济损失的事故；</w:t>
      </w:r>
    </w:p>
    <w:p w14:paraId="3595BCC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（3）特别重大事故，是指造成30人以上死亡，或者100人以上重伤（包括急性工业中毒，下同），或者1亿元以上直接经济损失的事故；</w:t>
      </w:r>
    </w:p>
    <w:p w14:paraId="150C57C8">
      <w:pPr>
        <w:spacing w:line="27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（4）所称的“以上”包括本数，所称的“以下”不包括本数。</w:t>
      </w:r>
    </w:p>
    <w:p w14:paraId="1F3E9F96">
      <w:pPr>
        <w:spacing w:line="27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7C1F682D">
      <w:pPr>
        <w:spacing w:line="276" w:lineRule="auto"/>
        <w:ind w:firstLine="480" w:firstLineChars="200"/>
        <w:rPr>
          <w:rFonts w:hint="eastAsia" w:ascii="宋体" w:hAnsi="宋体" w:eastAsia="宋体" w:cs="宋体"/>
          <w:color w:val="auto"/>
          <w:sz w:val="24"/>
          <w:szCs w:val="24"/>
          <w:highlight w:val="none"/>
        </w:rPr>
      </w:pPr>
      <w:bookmarkStart w:id="277" w:name="_Toc239510308"/>
      <w:bookmarkStart w:id="278" w:name="_Toc247431442"/>
      <w:bookmarkStart w:id="279" w:name="_Toc247418282"/>
      <w:bookmarkStart w:id="280" w:name="_Toc532375717"/>
      <w:r>
        <w:rPr>
          <w:rFonts w:hint="eastAsia" w:ascii="宋体" w:hAnsi="宋体" w:eastAsia="宋体" w:cs="宋体"/>
          <w:color w:val="auto"/>
          <w:sz w:val="24"/>
          <w:szCs w:val="24"/>
          <w:highlight w:val="none"/>
        </w:rPr>
        <w:t>十七、协议条款的修订</w:t>
      </w:r>
      <w:bookmarkEnd w:id="277"/>
      <w:bookmarkEnd w:id="278"/>
      <w:bookmarkEnd w:id="279"/>
      <w:bookmarkEnd w:id="280"/>
    </w:p>
    <w:p w14:paraId="19EE6004">
      <w:pPr>
        <w:spacing w:line="27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在项目实施过程中，经双方友好协商，本协议的有关条款也可做出相应的修改。</w:t>
      </w:r>
    </w:p>
    <w:p w14:paraId="7B31E38C">
      <w:pPr>
        <w:spacing w:line="27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本工程安全管理协议，由发包人、承包人双方在施工承包合同签订后7天内共同签署，作为施工合同附件。</w:t>
      </w:r>
    </w:p>
    <w:p w14:paraId="17EF21D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  包  人（</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612E83E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0F495C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FA54EE">
      <w:pPr>
        <w:spacing w:line="360" w:lineRule="auto"/>
        <w:ind w:firstLine="480" w:firstLineChars="200"/>
        <w:jc w:val="left"/>
        <w:rPr>
          <w:rFonts w:hint="eastAsia" w:ascii="宋体" w:hAnsi="宋体" w:eastAsia="宋体" w:cs="宋体"/>
          <w:color w:val="auto"/>
          <w:sz w:val="24"/>
          <w:szCs w:val="24"/>
          <w:highlight w:val="none"/>
        </w:rPr>
      </w:pPr>
    </w:p>
    <w:p w14:paraId="593BC7B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  包  人（</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32AF7F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法定代表人（签名）：</w:t>
      </w:r>
      <w:r>
        <w:rPr>
          <w:rFonts w:hint="eastAsia" w:ascii="宋体" w:hAnsi="宋体" w:eastAsia="宋体" w:cs="宋体"/>
          <w:color w:val="auto"/>
          <w:sz w:val="24"/>
          <w:szCs w:val="24"/>
          <w:highlight w:val="none"/>
          <w:u w:val="single"/>
        </w:rPr>
        <w:t xml:space="preserve">                       </w:t>
      </w:r>
    </w:p>
    <w:p w14:paraId="3B2B71F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或其委托代理人（签名）：</w:t>
      </w:r>
      <w:r>
        <w:rPr>
          <w:rFonts w:hint="eastAsia" w:ascii="宋体" w:hAnsi="宋体" w:eastAsia="宋体" w:cs="宋体"/>
          <w:color w:val="auto"/>
          <w:sz w:val="24"/>
          <w:szCs w:val="24"/>
          <w:highlight w:val="none"/>
          <w:u w:val="single"/>
        </w:rPr>
        <w:t xml:space="preserve">                   </w:t>
      </w:r>
    </w:p>
    <w:p w14:paraId="711BA149">
      <w:pPr>
        <w:snapToGrid w:val="0"/>
        <w:spacing w:line="360" w:lineRule="auto"/>
        <w:jc w:val="left"/>
        <w:rPr>
          <w:rFonts w:hint="eastAsia" w:ascii="宋体" w:hAnsi="宋体" w:eastAsia="宋体" w:cs="宋体"/>
          <w:color w:val="auto"/>
          <w:sz w:val="24"/>
          <w:szCs w:val="24"/>
          <w:highlight w:val="none"/>
        </w:rPr>
      </w:pPr>
    </w:p>
    <w:p w14:paraId="4519C332">
      <w:pPr>
        <w:rPr>
          <w:rFonts w:hint="eastAsia" w:ascii="宋体" w:hAnsi="宋体" w:eastAsia="宋体" w:cs="宋体"/>
          <w:color w:val="auto"/>
          <w:sz w:val="24"/>
          <w:szCs w:val="24"/>
          <w:highlight w:val="none"/>
          <w:lang w:eastAsia="zh-CN"/>
        </w:rPr>
      </w:pPr>
    </w:p>
    <w:p w14:paraId="3A52A3A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2A11DB76">
      <w:pPr>
        <w:pStyle w:val="5"/>
        <w:bidi w:val="0"/>
        <w:jc w:val="center"/>
        <w:rPr>
          <w:rFonts w:hint="eastAsia" w:ascii="宋体" w:hAnsi="宋体" w:eastAsia="宋体" w:cs="宋体"/>
          <w:color w:val="auto"/>
          <w:sz w:val="24"/>
          <w:szCs w:val="24"/>
          <w:highlight w:val="none"/>
        </w:rPr>
      </w:pPr>
      <w:bookmarkStart w:id="281" w:name="_Toc22795"/>
      <w:r>
        <w:rPr>
          <w:rFonts w:hint="eastAsia" w:ascii="宋体" w:hAnsi="宋体" w:eastAsia="宋体" w:cs="宋体"/>
          <w:color w:val="auto"/>
          <w:sz w:val="24"/>
          <w:szCs w:val="24"/>
          <w:highlight w:val="none"/>
        </w:rPr>
        <w:t>第七篇  响应文件编制要求</w:t>
      </w:r>
      <w:bookmarkEnd w:id="89"/>
      <w:bookmarkEnd w:id="281"/>
    </w:p>
    <w:p w14:paraId="6428AC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、报价部分</w:t>
      </w:r>
    </w:p>
    <w:p w14:paraId="6DBEBD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（一）采购报价函</w:t>
      </w:r>
    </w:p>
    <w:p w14:paraId="649B4C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（二）已标工程量清单</w:t>
      </w:r>
    </w:p>
    <w:p w14:paraId="710AC6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、技术部分</w:t>
      </w:r>
    </w:p>
    <w:p w14:paraId="50A91E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（一）技术方案</w:t>
      </w:r>
    </w:p>
    <w:p w14:paraId="0D9E6C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（二）技术响应偏离表</w:t>
      </w:r>
    </w:p>
    <w:p w14:paraId="5F474B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、商务部分</w:t>
      </w:r>
    </w:p>
    <w:p w14:paraId="181398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）商务响应偏离表</w:t>
      </w:r>
    </w:p>
    <w:p w14:paraId="73CA1CD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（二）人员要求</w:t>
      </w:r>
    </w:p>
    <w:p w14:paraId="1C7B9C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、资格条件及其他</w:t>
      </w:r>
    </w:p>
    <w:p w14:paraId="638A85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（一）供应商法人营业执照（副本）或事业单位法人证书（副本）或个体工商户营业执照或有效的自然人身份证明或社会团体法人登记证书复印件</w:t>
      </w:r>
    </w:p>
    <w:p w14:paraId="2A3D059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（二）法定代表人身份证明书（格式）</w:t>
      </w:r>
    </w:p>
    <w:p w14:paraId="7B9B75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（三）法定代表人授权委托书（格式）</w:t>
      </w:r>
    </w:p>
    <w:p w14:paraId="53058F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4D3229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）特定资格条件证书或证明文件</w:t>
      </w:r>
    </w:p>
    <w:p w14:paraId="743B6E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、其他应提供的资料</w:t>
      </w:r>
    </w:p>
    <w:p w14:paraId="73020A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p>
    <w:p w14:paraId="7B4288A8">
      <w:pPr>
        <w:widowControl/>
        <w:spacing w:line="360" w:lineRule="auto"/>
        <w:jc w:val="left"/>
        <w:rPr>
          <w:rFonts w:hint="eastAsia" w:ascii="宋体" w:hAnsi="宋体" w:eastAsia="宋体" w:cs="宋体"/>
          <w:b/>
          <w:color w:val="auto"/>
          <w:sz w:val="24"/>
          <w:szCs w:val="24"/>
          <w:highlight w:val="none"/>
        </w:rPr>
        <w:sectPr>
          <w:footerReference r:id="rId10" w:type="default"/>
          <w:pgSz w:w="11907" w:h="16840"/>
          <w:pgMar w:top="1134" w:right="1191" w:bottom="1134" w:left="1304" w:header="851" w:footer="794" w:gutter="0"/>
          <w:pgNumType w:fmt="decimal"/>
          <w:cols w:space="720" w:num="1"/>
          <w:docGrid w:linePitch="381" w:charSpace="-5735"/>
        </w:sectPr>
      </w:pPr>
      <w:bookmarkStart w:id="282" w:name="_Toc294083526"/>
      <w:bookmarkStart w:id="283" w:name="_Toc29985636"/>
      <w:bookmarkStart w:id="284" w:name="_Toc433792168"/>
      <w:bookmarkStart w:id="285" w:name="_Toc377402559"/>
      <w:bookmarkStart w:id="286" w:name="_Toc51660749"/>
      <w:bookmarkStart w:id="287" w:name="_Toc332630166"/>
      <w:bookmarkStart w:id="288" w:name="_Toc375840799"/>
      <w:bookmarkStart w:id="289" w:name="_Toc30668156"/>
      <w:bookmarkStart w:id="290" w:name="_Toc350093071"/>
      <w:bookmarkStart w:id="291" w:name="_Toc333412485"/>
      <w:bookmarkStart w:id="292" w:name="_Toc23185485"/>
      <w:bookmarkStart w:id="293" w:name="_Toc328052593"/>
      <w:bookmarkStart w:id="294" w:name="_Toc375666796"/>
      <w:bookmarkStart w:id="295" w:name="_Toc375841207"/>
      <w:bookmarkStart w:id="296" w:name="_Toc6818910"/>
      <w:bookmarkStart w:id="297" w:name="_Toc20656408"/>
      <w:bookmarkStart w:id="298" w:name="_Toc350435647"/>
      <w:bookmarkStart w:id="299" w:name="_Toc21936037"/>
      <w:bookmarkStart w:id="300" w:name="_Toc342913419"/>
      <w:bookmarkStart w:id="301" w:name="_Toc313008356"/>
      <w:bookmarkStart w:id="302" w:name="_Toc313888360"/>
      <w:bookmarkStart w:id="303" w:name="_Toc12789073"/>
      <w:bookmarkStart w:id="304" w:name="_Toc283382454"/>
      <w:r>
        <w:rPr>
          <w:rFonts w:hint="eastAsia" w:ascii="宋体" w:hAnsi="宋体" w:eastAsia="宋体" w:cs="宋体"/>
          <w:b/>
          <w:color w:val="auto"/>
          <w:sz w:val="24"/>
          <w:szCs w:val="24"/>
          <w:highlight w:val="none"/>
        </w:rPr>
        <w:br w:type="page"/>
      </w:r>
    </w:p>
    <w:p w14:paraId="7C22B185">
      <w:pPr>
        <w:spacing w:line="360" w:lineRule="auto"/>
        <w:jc w:val="both"/>
        <w:rPr>
          <w:rStyle w:val="66"/>
          <w:rFonts w:hint="eastAsia" w:ascii="宋体" w:hAnsi="宋体" w:eastAsia="宋体" w:cs="宋体"/>
          <w:b/>
          <w:bCs w:val="0"/>
          <w:color w:val="auto"/>
          <w:sz w:val="24"/>
          <w:szCs w:val="24"/>
          <w:highlight w:val="none"/>
          <w:lang w:val="en-US" w:eastAsia="zh-CN"/>
        </w:rPr>
      </w:pPr>
    </w:p>
    <w:p w14:paraId="1A8A2B2F">
      <w:pPr>
        <w:spacing w:line="360" w:lineRule="auto"/>
        <w:jc w:val="both"/>
        <w:rPr>
          <w:rStyle w:val="66"/>
          <w:rFonts w:hint="eastAsia" w:ascii="宋体" w:hAnsi="宋体" w:eastAsia="宋体" w:cs="宋体"/>
          <w:b w:val="0"/>
          <w:bCs/>
          <w:color w:val="auto"/>
          <w:sz w:val="24"/>
          <w:szCs w:val="24"/>
          <w:highlight w:val="none"/>
          <w:u w:val="none"/>
          <w:lang w:val="en-US" w:eastAsia="zh-CN"/>
        </w:rPr>
      </w:pPr>
      <w:r>
        <w:rPr>
          <w:rStyle w:val="66"/>
          <w:rFonts w:hint="eastAsia" w:ascii="宋体" w:hAnsi="宋体" w:eastAsia="宋体" w:cs="宋体"/>
          <w:b/>
          <w:bCs w:val="0"/>
          <w:color w:val="auto"/>
          <w:sz w:val="24"/>
          <w:szCs w:val="24"/>
          <w:highlight w:val="none"/>
          <w:lang w:val="en-US" w:eastAsia="zh-CN"/>
        </w:rPr>
        <w:t>项目名称：</w:t>
      </w:r>
      <w:r>
        <w:rPr>
          <w:rStyle w:val="66"/>
          <w:rFonts w:hint="eastAsia" w:ascii="宋体" w:hAnsi="宋体" w:eastAsia="宋体" w:cs="宋体"/>
          <w:b w:val="0"/>
          <w:bCs/>
          <w:color w:val="auto"/>
          <w:sz w:val="24"/>
          <w:szCs w:val="24"/>
          <w:highlight w:val="none"/>
          <w:u w:val="none"/>
          <w:lang w:val="en-US" w:eastAsia="zh-CN"/>
        </w:rPr>
        <w:t xml:space="preserve">  </w:t>
      </w:r>
    </w:p>
    <w:p w14:paraId="30432C5C">
      <w:pPr>
        <w:spacing w:line="360" w:lineRule="auto"/>
        <w:jc w:val="both"/>
        <w:rPr>
          <w:rStyle w:val="66"/>
          <w:rFonts w:hint="eastAsia" w:ascii="宋体" w:hAnsi="宋体" w:eastAsia="宋体" w:cs="宋体"/>
          <w:color w:val="auto"/>
          <w:sz w:val="24"/>
          <w:szCs w:val="24"/>
          <w:highlight w:val="none"/>
          <w:u w:val="single"/>
          <w:lang w:val="en-US" w:eastAsia="zh-CN"/>
        </w:rPr>
      </w:pPr>
      <w:r>
        <w:rPr>
          <w:rStyle w:val="66"/>
          <w:rFonts w:hint="eastAsia" w:ascii="宋体" w:hAnsi="宋体" w:eastAsia="宋体" w:cs="宋体"/>
          <w:b/>
          <w:bCs w:val="0"/>
          <w:color w:val="auto"/>
          <w:sz w:val="24"/>
          <w:szCs w:val="24"/>
          <w:highlight w:val="none"/>
          <w:lang w:val="en-US" w:eastAsia="zh-CN"/>
        </w:rPr>
        <w:t>项目编号：</w:t>
      </w:r>
      <w:r>
        <w:rPr>
          <w:rStyle w:val="66"/>
          <w:rFonts w:hint="eastAsia" w:ascii="宋体" w:hAnsi="宋体" w:eastAsia="宋体" w:cs="宋体"/>
          <w:b w:val="0"/>
          <w:bCs/>
          <w:color w:val="auto"/>
          <w:sz w:val="24"/>
          <w:szCs w:val="24"/>
          <w:highlight w:val="none"/>
          <w:u w:val="none"/>
          <w:lang w:val="en-US" w:eastAsia="zh-CN"/>
        </w:rPr>
        <w:t xml:space="preserve">                                                            </w:t>
      </w:r>
      <w:r>
        <w:rPr>
          <w:rStyle w:val="66"/>
          <w:rFonts w:hint="eastAsia" w:ascii="宋体" w:hAnsi="宋体" w:eastAsia="宋体" w:cs="宋体"/>
          <w:b w:val="0"/>
          <w:bCs/>
          <w:color w:val="auto"/>
          <w:sz w:val="24"/>
          <w:szCs w:val="24"/>
          <w:highlight w:val="none"/>
          <w:lang w:val="en-US" w:eastAsia="zh-CN"/>
        </w:rPr>
        <w:t xml:space="preserve"> </w:t>
      </w:r>
      <w:r>
        <w:rPr>
          <w:rStyle w:val="66"/>
          <w:rFonts w:hint="eastAsia" w:ascii="宋体" w:hAnsi="宋体" w:eastAsia="宋体" w:cs="宋体"/>
          <w:color w:val="auto"/>
          <w:sz w:val="24"/>
          <w:szCs w:val="24"/>
          <w:highlight w:val="none"/>
          <w:lang w:val="en-US" w:eastAsia="zh-CN"/>
        </w:rPr>
        <w:t xml:space="preserve">       </w:t>
      </w:r>
    </w:p>
    <w:p w14:paraId="17532C55">
      <w:pPr>
        <w:spacing w:line="360" w:lineRule="auto"/>
        <w:jc w:val="center"/>
        <w:rPr>
          <w:rStyle w:val="66"/>
          <w:rFonts w:hint="eastAsia" w:ascii="宋体" w:hAnsi="宋体" w:eastAsia="宋体" w:cs="宋体"/>
          <w:color w:val="auto"/>
          <w:sz w:val="24"/>
          <w:szCs w:val="24"/>
          <w:highlight w:val="none"/>
          <w:lang w:val="en-US" w:eastAsia="zh-CN"/>
        </w:rPr>
      </w:pPr>
      <w:r>
        <w:rPr>
          <w:rStyle w:val="66"/>
          <w:rFonts w:hint="eastAsia" w:ascii="宋体" w:hAnsi="宋体" w:eastAsia="宋体" w:cs="宋体"/>
          <w:color w:val="auto"/>
          <w:sz w:val="24"/>
          <w:szCs w:val="24"/>
          <w:highlight w:val="none"/>
          <w:lang w:val="en-US" w:eastAsia="zh-CN"/>
        </w:rPr>
        <w:t xml:space="preserve"> </w:t>
      </w:r>
    </w:p>
    <w:p w14:paraId="2CCAD043">
      <w:pPr>
        <w:pStyle w:val="77"/>
        <w:spacing w:line="360" w:lineRule="auto"/>
        <w:rPr>
          <w:rFonts w:hint="eastAsia" w:ascii="宋体" w:hAnsi="宋体" w:eastAsia="宋体" w:cs="宋体"/>
          <w:color w:val="auto"/>
          <w:sz w:val="24"/>
          <w:szCs w:val="24"/>
          <w:highlight w:val="none"/>
        </w:rPr>
      </w:pPr>
    </w:p>
    <w:p w14:paraId="6C67C736">
      <w:pPr>
        <w:pStyle w:val="77"/>
        <w:spacing w:line="360" w:lineRule="auto"/>
        <w:rPr>
          <w:rFonts w:hint="eastAsia" w:ascii="宋体" w:hAnsi="宋体" w:eastAsia="宋体" w:cs="宋体"/>
          <w:color w:val="auto"/>
          <w:sz w:val="24"/>
          <w:szCs w:val="24"/>
          <w:highlight w:val="none"/>
        </w:rPr>
      </w:pPr>
    </w:p>
    <w:p w14:paraId="0EEF086B">
      <w:pPr>
        <w:pStyle w:val="3"/>
        <w:rPr>
          <w:rStyle w:val="66"/>
          <w:rFonts w:hint="eastAsia" w:ascii="宋体" w:hAnsi="宋体" w:eastAsia="宋体" w:cs="宋体"/>
          <w:color w:val="auto"/>
          <w:sz w:val="24"/>
          <w:szCs w:val="24"/>
          <w:highlight w:val="none"/>
        </w:rPr>
      </w:pPr>
    </w:p>
    <w:p w14:paraId="3AF14E85">
      <w:pPr>
        <w:rPr>
          <w:rStyle w:val="66"/>
          <w:rFonts w:hint="eastAsia" w:ascii="宋体" w:hAnsi="宋体" w:eastAsia="宋体" w:cs="宋体"/>
          <w:color w:val="auto"/>
          <w:sz w:val="24"/>
          <w:szCs w:val="24"/>
          <w:highlight w:val="none"/>
        </w:rPr>
      </w:pPr>
    </w:p>
    <w:p w14:paraId="48414132">
      <w:pPr>
        <w:pStyle w:val="3"/>
        <w:rPr>
          <w:rStyle w:val="66"/>
          <w:rFonts w:hint="eastAsia" w:ascii="宋体" w:hAnsi="宋体" w:eastAsia="宋体" w:cs="宋体"/>
          <w:color w:val="auto"/>
          <w:sz w:val="24"/>
          <w:szCs w:val="24"/>
          <w:highlight w:val="none"/>
        </w:rPr>
      </w:pPr>
    </w:p>
    <w:p w14:paraId="625C9211">
      <w:pPr>
        <w:rPr>
          <w:rStyle w:val="66"/>
          <w:rFonts w:hint="eastAsia" w:ascii="宋体" w:hAnsi="宋体" w:eastAsia="宋体" w:cs="宋体"/>
          <w:color w:val="auto"/>
          <w:sz w:val="24"/>
          <w:szCs w:val="24"/>
          <w:highlight w:val="none"/>
        </w:rPr>
      </w:pPr>
    </w:p>
    <w:p w14:paraId="4139B793">
      <w:pPr>
        <w:pStyle w:val="3"/>
        <w:rPr>
          <w:rStyle w:val="66"/>
          <w:rFonts w:hint="eastAsia" w:ascii="宋体" w:hAnsi="宋体" w:eastAsia="宋体" w:cs="宋体"/>
          <w:color w:val="auto"/>
          <w:sz w:val="24"/>
          <w:szCs w:val="24"/>
          <w:highlight w:val="none"/>
        </w:rPr>
      </w:pPr>
    </w:p>
    <w:p w14:paraId="0037B1DE">
      <w:pPr>
        <w:rPr>
          <w:rStyle w:val="66"/>
          <w:rFonts w:hint="eastAsia" w:ascii="宋体" w:hAnsi="宋体" w:eastAsia="宋体" w:cs="宋体"/>
          <w:color w:val="auto"/>
          <w:sz w:val="24"/>
          <w:szCs w:val="24"/>
          <w:highlight w:val="none"/>
        </w:rPr>
      </w:pPr>
    </w:p>
    <w:p w14:paraId="110A7EC9">
      <w:pPr>
        <w:pStyle w:val="3"/>
        <w:rPr>
          <w:rStyle w:val="66"/>
          <w:rFonts w:hint="eastAsia" w:ascii="宋体" w:hAnsi="宋体" w:eastAsia="宋体" w:cs="宋体"/>
          <w:color w:val="auto"/>
          <w:sz w:val="24"/>
          <w:szCs w:val="24"/>
          <w:highlight w:val="none"/>
        </w:rPr>
      </w:pPr>
    </w:p>
    <w:p w14:paraId="0E8F2789">
      <w:pPr>
        <w:rPr>
          <w:rFonts w:hint="eastAsia"/>
          <w:highlight w:val="none"/>
        </w:rPr>
      </w:pPr>
    </w:p>
    <w:p w14:paraId="7E8538DA">
      <w:pPr>
        <w:spacing w:line="360" w:lineRule="auto"/>
        <w:jc w:val="center"/>
        <w:rPr>
          <w:rStyle w:val="66"/>
          <w:rFonts w:hint="eastAsia" w:ascii="宋体" w:hAnsi="宋体" w:eastAsia="宋体" w:cs="宋体"/>
          <w:color w:val="auto"/>
          <w:sz w:val="96"/>
          <w:szCs w:val="96"/>
          <w:highlight w:val="none"/>
        </w:rPr>
      </w:pPr>
      <w:r>
        <w:rPr>
          <w:rStyle w:val="66"/>
          <w:rFonts w:hint="eastAsia" w:ascii="宋体" w:hAnsi="宋体" w:eastAsia="宋体" w:cs="宋体"/>
          <w:color w:val="auto"/>
          <w:sz w:val="96"/>
          <w:szCs w:val="96"/>
          <w:highlight w:val="none"/>
        </w:rPr>
        <w:t>响</w:t>
      </w:r>
      <w:r>
        <w:rPr>
          <w:rStyle w:val="66"/>
          <w:rFonts w:hint="eastAsia" w:ascii="宋体" w:hAnsi="宋体" w:eastAsia="宋体" w:cs="宋体"/>
          <w:color w:val="auto"/>
          <w:sz w:val="96"/>
          <w:szCs w:val="96"/>
          <w:highlight w:val="none"/>
          <w:lang w:val="en-US" w:eastAsia="zh-CN"/>
        </w:rPr>
        <w:t xml:space="preserve"> </w:t>
      </w:r>
      <w:r>
        <w:rPr>
          <w:rStyle w:val="66"/>
          <w:rFonts w:hint="eastAsia" w:ascii="宋体" w:hAnsi="宋体" w:eastAsia="宋体" w:cs="宋体"/>
          <w:color w:val="auto"/>
          <w:sz w:val="96"/>
          <w:szCs w:val="96"/>
          <w:highlight w:val="none"/>
        </w:rPr>
        <w:t>应</w:t>
      </w:r>
      <w:r>
        <w:rPr>
          <w:rStyle w:val="66"/>
          <w:rFonts w:hint="eastAsia" w:ascii="宋体" w:hAnsi="宋体" w:eastAsia="宋体" w:cs="宋体"/>
          <w:color w:val="auto"/>
          <w:sz w:val="96"/>
          <w:szCs w:val="96"/>
          <w:highlight w:val="none"/>
          <w:lang w:val="en-US" w:eastAsia="zh-CN"/>
        </w:rPr>
        <w:t xml:space="preserve"> </w:t>
      </w:r>
      <w:r>
        <w:rPr>
          <w:rStyle w:val="66"/>
          <w:rFonts w:hint="eastAsia" w:ascii="宋体" w:hAnsi="宋体" w:eastAsia="宋体" w:cs="宋体"/>
          <w:color w:val="auto"/>
          <w:sz w:val="96"/>
          <w:szCs w:val="96"/>
          <w:highlight w:val="none"/>
        </w:rPr>
        <w:t>文</w:t>
      </w:r>
      <w:r>
        <w:rPr>
          <w:rStyle w:val="66"/>
          <w:rFonts w:hint="eastAsia" w:ascii="宋体" w:hAnsi="宋体" w:eastAsia="宋体" w:cs="宋体"/>
          <w:color w:val="auto"/>
          <w:sz w:val="96"/>
          <w:szCs w:val="96"/>
          <w:highlight w:val="none"/>
          <w:lang w:val="en-US" w:eastAsia="zh-CN"/>
        </w:rPr>
        <w:t xml:space="preserve"> </w:t>
      </w:r>
      <w:r>
        <w:rPr>
          <w:rStyle w:val="66"/>
          <w:rFonts w:hint="eastAsia" w:ascii="宋体" w:hAnsi="宋体" w:eastAsia="宋体" w:cs="宋体"/>
          <w:color w:val="auto"/>
          <w:sz w:val="96"/>
          <w:szCs w:val="96"/>
          <w:highlight w:val="none"/>
        </w:rPr>
        <w:t>件</w:t>
      </w:r>
    </w:p>
    <w:p w14:paraId="641D658F">
      <w:pPr>
        <w:pStyle w:val="38"/>
        <w:spacing w:line="360" w:lineRule="auto"/>
        <w:rPr>
          <w:rFonts w:hint="eastAsia" w:ascii="宋体" w:hAnsi="宋体" w:eastAsia="宋体" w:cs="宋体"/>
          <w:color w:val="auto"/>
          <w:sz w:val="24"/>
          <w:szCs w:val="24"/>
          <w:highlight w:val="none"/>
        </w:rPr>
      </w:pPr>
    </w:p>
    <w:p w14:paraId="756D1D8D">
      <w:pPr>
        <w:spacing w:line="360" w:lineRule="auto"/>
        <w:jc w:val="center"/>
        <w:rPr>
          <w:rFonts w:hint="eastAsia" w:ascii="宋体" w:hAnsi="宋体" w:eastAsia="宋体" w:cs="宋体"/>
          <w:color w:val="auto"/>
          <w:sz w:val="24"/>
          <w:szCs w:val="24"/>
          <w:highlight w:val="none"/>
        </w:rPr>
      </w:pPr>
    </w:p>
    <w:p w14:paraId="6F2ADCBA">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（正本</w:t>
      </w:r>
      <w:r>
        <w:rPr>
          <w:rFonts w:hint="eastAsia" w:ascii="宋体" w:hAnsi="宋体" w:eastAsia="宋体" w:cs="宋体"/>
          <w:color w:val="auto"/>
          <w:sz w:val="24"/>
          <w:szCs w:val="24"/>
          <w:highlight w:val="none"/>
          <w:lang w:val="en-US" w:eastAsia="zh-CN"/>
        </w:rPr>
        <w:t>/副本</w:t>
      </w:r>
      <w:r>
        <w:rPr>
          <w:rFonts w:hint="eastAsia" w:ascii="宋体" w:hAnsi="宋体" w:eastAsia="宋体" w:cs="宋体"/>
          <w:color w:val="auto"/>
          <w:sz w:val="24"/>
          <w:szCs w:val="24"/>
          <w:highlight w:val="none"/>
          <w:lang w:eastAsia="zh-CN"/>
        </w:rPr>
        <w:t>）</w:t>
      </w:r>
    </w:p>
    <w:p w14:paraId="57356657">
      <w:pPr>
        <w:spacing w:line="360" w:lineRule="auto"/>
        <w:jc w:val="center"/>
        <w:rPr>
          <w:rFonts w:hint="eastAsia" w:ascii="宋体" w:hAnsi="宋体" w:eastAsia="宋体" w:cs="宋体"/>
          <w:color w:val="auto"/>
          <w:sz w:val="24"/>
          <w:szCs w:val="24"/>
          <w:highlight w:val="none"/>
        </w:rPr>
      </w:pPr>
    </w:p>
    <w:p w14:paraId="0A48EB59">
      <w:pPr>
        <w:spacing w:line="360" w:lineRule="auto"/>
        <w:jc w:val="center"/>
        <w:rPr>
          <w:rFonts w:hint="eastAsia" w:ascii="宋体" w:hAnsi="宋体" w:eastAsia="宋体" w:cs="宋体"/>
          <w:color w:val="auto"/>
          <w:sz w:val="24"/>
          <w:szCs w:val="24"/>
          <w:highlight w:val="none"/>
        </w:rPr>
      </w:pPr>
    </w:p>
    <w:p w14:paraId="26355367">
      <w:pPr>
        <w:spacing w:line="360" w:lineRule="auto"/>
        <w:jc w:val="center"/>
        <w:rPr>
          <w:rFonts w:hint="eastAsia" w:ascii="宋体" w:hAnsi="宋体" w:eastAsia="宋体" w:cs="宋体"/>
          <w:color w:val="auto"/>
          <w:sz w:val="24"/>
          <w:szCs w:val="24"/>
          <w:highlight w:val="none"/>
        </w:rPr>
      </w:pPr>
    </w:p>
    <w:p w14:paraId="4A60A4BB">
      <w:pPr>
        <w:spacing w:line="360" w:lineRule="auto"/>
        <w:jc w:val="center"/>
        <w:rPr>
          <w:rFonts w:hint="eastAsia" w:ascii="宋体" w:hAnsi="宋体" w:eastAsia="宋体" w:cs="宋体"/>
          <w:color w:val="auto"/>
          <w:sz w:val="24"/>
          <w:szCs w:val="24"/>
          <w:highlight w:val="none"/>
        </w:rPr>
      </w:pPr>
    </w:p>
    <w:p w14:paraId="66FCC67B">
      <w:pPr>
        <w:pStyle w:val="75"/>
        <w:spacing w:line="360" w:lineRule="auto"/>
        <w:rPr>
          <w:rFonts w:hint="eastAsia" w:ascii="宋体" w:hAnsi="宋体" w:eastAsia="宋体" w:cs="宋体"/>
          <w:color w:val="auto"/>
          <w:sz w:val="24"/>
          <w:szCs w:val="24"/>
          <w:highlight w:val="none"/>
        </w:rPr>
      </w:pPr>
    </w:p>
    <w:p w14:paraId="618171C5">
      <w:pPr>
        <w:pStyle w:val="75"/>
        <w:spacing w:line="360" w:lineRule="auto"/>
        <w:rPr>
          <w:rFonts w:hint="eastAsia" w:ascii="宋体" w:hAnsi="宋体" w:eastAsia="宋体" w:cs="宋体"/>
          <w:color w:val="auto"/>
          <w:sz w:val="24"/>
          <w:szCs w:val="24"/>
          <w:highlight w:val="none"/>
        </w:rPr>
      </w:pPr>
    </w:p>
    <w:p w14:paraId="485F6288">
      <w:pPr>
        <w:spacing w:line="360" w:lineRule="auto"/>
        <w:jc w:val="both"/>
        <w:rPr>
          <w:rFonts w:hint="eastAsia" w:ascii="宋体" w:hAnsi="宋体" w:eastAsia="宋体" w:cs="宋体"/>
          <w:color w:val="auto"/>
          <w:sz w:val="24"/>
          <w:szCs w:val="24"/>
          <w:highlight w:val="none"/>
        </w:rPr>
      </w:pPr>
    </w:p>
    <w:p w14:paraId="4B59D37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供应商名称：</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(盖章)</w:t>
      </w:r>
    </w:p>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14:paraId="3793C10D">
      <w:pPr>
        <w:spacing w:line="360" w:lineRule="auto"/>
        <w:jc w:val="center"/>
        <w:rPr>
          <w:rFonts w:hint="default" w:ascii="宋体" w:hAnsi="宋体" w:eastAsia="宋体" w:cs="宋体"/>
          <w:b/>
          <w:bCs/>
          <w:color w:val="auto"/>
          <w:sz w:val="24"/>
          <w:szCs w:val="24"/>
          <w:highlight w:val="none"/>
          <w:lang w:val="en-US" w:eastAsia="zh-CN"/>
        </w:rPr>
      </w:pPr>
      <w:bookmarkStart w:id="305" w:name="_Toc29985637"/>
      <w:bookmarkStart w:id="306" w:name="_Toc6818911"/>
      <w:bookmarkStart w:id="307" w:name="_Toc21936038"/>
      <w:bookmarkStart w:id="308" w:name="_Toc20656409"/>
      <w:bookmarkStart w:id="309" w:name="_Toc433792169"/>
      <w:bookmarkStart w:id="310" w:name="_Toc23185486"/>
      <w:bookmarkStart w:id="311" w:name="_Toc30668157"/>
      <w:bookmarkStart w:id="312" w:name="_Toc51660750"/>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p>
    <w:p w14:paraId="7B3FAA98">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21EE76E8">
      <w:pPr>
        <w:rPr>
          <w:rFonts w:hint="eastAsia"/>
          <w:highlight w:val="none"/>
          <w:lang w:eastAsia="zh-CN"/>
        </w:rPr>
      </w:pPr>
    </w:p>
    <w:p w14:paraId="0A69CE99">
      <w:pPr>
        <w:pStyle w:val="6"/>
        <w:spacing w:line="360" w:lineRule="auto"/>
        <w:rPr>
          <w:rFonts w:hint="eastAsia" w:ascii="宋体" w:hAnsi="宋体" w:eastAsia="宋体" w:cs="宋体"/>
          <w:color w:val="auto"/>
          <w:sz w:val="24"/>
          <w:szCs w:val="24"/>
          <w:highlight w:val="none"/>
        </w:rPr>
      </w:pPr>
      <w:bookmarkStart w:id="313" w:name="_Toc16124"/>
      <w:bookmarkStart w:id="314" w:name="_Toc14253"/>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、报价部分</w:t>
      </w:r>
      <w:bookmarkEnd w:id="300"/>
      <w:bookmarkEnd w:id="301"/>
      <w:bookmarkEnd w:id="302"/>
      <w:bookmarkEnd w:id="305"/>
      <w:bookmarkEnd w:id="306"/>
      <w:bookmarkEnd w:id="307"/>
      <w:bookmarkEnd w:id="308"/>
      <w:bookmarkEnd w:id="309"/>
      <w:bookmarkEnd w:id="310"/>
      <w:bookmarkEnd w:id="311"/>
      <w:bookmarkEnd w:id="312"/>
      <w:bookmarkEnd w:id="313"/>
      <w:bookmarkEnd w:id="314"/>
    </w:p>
    <w:bookmarkEnd w:id="303"/>
    <w:bookmarkEnd w:id="304"/>
    <w:p w14:paraId="7F5983EB">
      <w:pPr>
        <w:tabs>
          <w:tab w:val="left" w:pos="6300"/>
        </w:tabs>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报价函</w:t>
      </w:r>
    </w:p>
    <w:p w14:paraId="4299AE5A">
      <w:pPr>
        <w:tabs>
          <w:tab w:val="left" w:pos="6300"/>
        </w:tabs>
        <w:snapToGrid w:val="0"/>
        <w:spacing w:line="360" w:lineRule="auto"/>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报价函</w:t>
      </w:r>
    </w:p>
    <w:p w14:paraId="74E85DB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7D82FF69">
      <w:pPr>
        <w:tabs>
          <w:tab w:val="left" w:pos="6300"/>
        </w:tabs>
        <w:snapToGrid w:val="0"/>
        <w:spacing w:line="360" w:lineRule="auto"/>
        <w:ind w:firstLine="720" w:firstLineChars="3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lang w:eastAsia="zh-CN"/>
        </w:rPr>
        <w:t>：</w:t>
      </w:r>
    </w:p>
    <w:p w14:paraId="100E070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，经详细研究，决定参加该项目的</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77A03C34">
      <w:pPr>
        <w:numPr>
          <w:ilvl w:val="0"/>
          <w:numId w:val="16"/>
        </w:numPr>
        <w:tabs>
          <w:tab w:val="left" w:pos="6300"/>
        </w:tabs>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愿意按照采购文件中的一切要求，提供本项目的</w:t>
      </w:r>
      <w:r>
        <w:rPr>
          <w:rFonts w:hint="eastAsia" w:ascii="宋体" w:hAnsi="宋体" w:eastAsia="宋体" w:cs="宋体"/>
          <w:color w:val="auto"/>
          <w:sz w:val="24"/>
          <w:szCs w:val="24"/>
          <w:highlight w:val="none"/>
          <w:lang w:val="en-US" w:eastAsia="zh-CN"/>
        </w:rPr>
        <w:t>包括并不限于的工程</w:t>
      </w:r>
      <w:r>
        <w:rPr>
          <w:rFonts w:hint="eastAsia" w:ascii="宋体" w:hAnsi="宋体" w:eastAsia="宋体" w:cs="宋体"/>
          <w:color w:val="auto"/>
          <w:sz w:val="24"/>
          <w:szCs w:val="24"/>
          <w:highlight w:val="none"/>
          <w:lang w:eastAsia="zh-CN"/>
        </w:rPr>
        <w:t>施工服务，总报价为人民币（大写）：</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其中安全文明施工及环境保护费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该工程的项目经理为：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（名称及身份证号码）；工期：</w:t>
      </w:r>
      <w:r>
        <w:rPr>
          <w:rFonts w:hint="eastAsia" w:ascii="宋体" w:hAnsi="宋体" w:eastAsia="宋体" w:cs="宋体"/>
          <w:i/>
          <w:i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日历天；</w:t>
      </w:r>
      <w:r>
        <w:rPr>
          <w:rFonts w:hint="eastAsia" w:ascii="宋体" w:hAnsi="宋体" w:eastAsia="宋体" w:cs="宋体"/>
          <w:b w:val="0"/>
          <w:bCs w:val="0"/>
          <w:color w:val="auto"/>
          <w:kern w:val="2"/>
          <w:sz w:val="24"/>
          <w:szCs w:val="24"/>
          <w:highlight w:val="none"/>
          <w:lang w:val="en-US" w:eastAsia="zh-CN" w:bidi="ar-SA"/>
        </w:rPr>
        <w:t>质量要求</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szCs w:val="24"/>
          <w:highlight w:val="none"/>
          <w:u w:val="single"/>
          <w:lang w:val="en-US" w:eastAsia="zh-CN" w:bidi="ar-SA"/>
        </w:rPr>
        <w:t xml:space="preserve"> 达到国家和重庆市现行有关施工质量验收规范要求，并达到合格标准 </w:t>
      </w: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color w:val="auto"/>
          <w:kern w:val="2"/>
          <w:sz w:val="24"/>
          <w:szCs w:val="24"/>
          <w:highlight w:val="none"/>
          <w:lang w:val="en-US" w:eastAsia="zh-CN" w:bidi="ar-SA"/>
        </w:rPr>
        <w:t>安全目标</w:t>
      </w:r>
      <w:r>
        <w:rPr>
          <w:rFonts w:hint="eastAsia" w:ascii="宋体" w:hAnsi="宋体" w:eastAsia="宋体" w:cs="宋体"/>
          <w:color w:val="auto"/>
          <w:kern w:val="2"/>
          <w:sz w:val="24"/>
          <w:szCs w:val="24"/>
          <w:highlight w:val="none"/>
          <w:u w:val="single"/>
          <w:lang w:val="en-US" w:eastAsia="zh-CN" w:bidi="ar-SA"/>
        </w:rPr>
        <w:t xml:space="preserve"> 达到国家安全技术规范和标准的要求，无大小安全责任事故 </w:t>
      </w:r>
      <w:r>
        <w:rPr>
          <w:rFonts w:hint="eastAsia" w:ascii="宋体" w:hAnsi="宋体" w:eastAsia="宋体" w:cs="宋体"/>
          <w:color w:val="auto"/>
          <w:kern w:val="2"/>
          <w:sz w:val="24"/>
          <w:szCs w:val="24"/>
          <w:highlight w:val="none"/>
          <w:u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486F7AA">
      <w:pPr>
        <w:numPr>
          <w:ilvl w:val="0"/>
          <w:numId w:val="16"/>
        </w:num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我方现提交的响应文件为：响应文件</w:t>
      </w:r>
      <w:r>
        <w:rPr>
          <w:rFonts w:hint="eastAsia" w:ascii="宋体" w:hAnsi="宋体" w:eastAsia="宋体" w:cs="宋体"/>
          <w:color w:val="auto"/>
          <w:sz w:val="24"/>
          <w:szCs w:val="24"/>
          <w:highlight w:val="none"/>
          <w:lang w:eastAsia="zh-CN"/>
        </w:rPr>
        <w:t>纸质档</w:t>
      </w: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,副本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r>
        <w:rPr>
          <w:rFonts w:hint="eastAsia" w:ascii="宋体" w:hAnsi="宋体" w:cs="宋体"/>
          <w:color w:val="auto"/>
          <w:sz w:val="24"/>
          <w:szCs w:val="24"/>
          <w:highlight w:val="none"/>
          <w:lang w:val="en-US" w:eastAsia="zh-CN"/>
        </w:rPr>
        <w:t>，电子文档</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w:t>
      </w:r>
    </w:p>
    <w:p w14:paraId="451D0CD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的有效期为90天。</w:t>
      </w:r>
    </w:p>
    <w:p w14:paraId="3DEA250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的一切规定和要求及评审办法。</w:t>
      </w:r>
    </w:p>
    <w:p w14:paraId="0F8322A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过程中，我方若有违规行为，接受按照重庆市</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规定给予惩罚。</w:t>
      </w:r>
    </w:p>
    <w:p w14:paraId="2796BD8B">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6、我方若中选，将按照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690EB2CB">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我方理解，最低报价不是成交的唯一条件。</w:t>
      </w:r>
    </w:p>
    <w:p w14:paraId="445FDD1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6F08B669">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045D513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w:t>
      </w:r>
    </w:p>
    <w:p w14:paraId="68AABD69">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r>
        <w:rPr>
          <w:rFonts w:hint="eastAsia" w:ascii="宋体" w:hAnsi="宋体" w:eastAsia="宋体" w:cs="宋体"/>
          <w:color w:val="auto"/>
          <w:sz w:val="24"/>
          <w:szCs w:val="24"/>
          <w:highlight w:val="none"/>
        </w:rPr>
        <w:br w:type="page"/>
      </w:r>
    </w:p>
    <w:p w14:paraId="7D9E3179">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3E6A2AFB">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分项报价表明细</w:t>
      </w:r>
    </w:p>
    <w:p w14:paraId="4A43E15D">
      <w:pPr>
        <w:pStyle w:val="38"/>
        <w:numPr>
          <w:ilvl w:val="0"/>
          <w:numId w:val="0"/>
        </w:numPr>
        <w:spacing w:line="360" w:lineRule="auto"/>
        <w:ind w:left="753" w:leftChars="0"/>
        <w:jc w:val="center"/>
        <w:rPr>
          <w:rFonts w:hint="eastAsia" w:ascii="宋体" w:hAnsi="宋体" w:eastAsia="宋体" w:cs="宋体"/>
          <w:color w:val="auto"/>
          <w:sz w:val="24"/>
          <w:szCs w:val="24"/>
          <w:highlight w:val="none"/>
          <w:lang w:eastAsia="zh-CN"/>
        </w:rPr>
      </w:pPr>
      <w:bookmarkStart w:id="315" w:name="_Toc342913420"/>
      <w:bookmarkStart w:id="316" w:name="_Toc21936039"/>
      <w:bookmarkStart w:id="317" w:name="_Toc313008357"/>
      <w:bookmarkStart w:id="318" w:name="_Toc433792170"/>
      <w:bookmarkStart w:id="319" w:name="_Toc23185487"/>
      <w:bookmarkStart w:id="320" w:name="_Toc20656410"/>
      <w:bookmarkStart w:id="321" w:name="_Toc29985638"/>
      <w:bookmarkStart w:id="322" w:name="_Toc30668158"/>
      <w:bookmarkStart w:id="323" w:name="_Toc313888361"/>
      <w:bookmarkStart w:id="324" w:name="_Toc6818912"/>
      <w:bookmarkStart w:id="325" w:name="_Toc51660751"/>
      <w:r>
        <w:rPr>
          <w:rFonts w:hint="eastAsia" w:ascii="宋体" w:hAnsi="宋体" w:eastAsia="宋体" w:cs="宋体"/>
          <w:color w:val="auto"/>
          <w:sz w:val="24"/>
          <w:szCs w:val="24"/>
          <w:highlight w:val="none"/>
          <w:lang w:val="en-US" w:eastAsia="zh-CN"/>
        </w:rPr>
        <w:t>（供应商提供已标价工程量清单）</w:t>
      </w:r>
    </w:p>
    <w:p w14:paraId="2A1A3223">
      <w:pPr>
        <w:widowControl/>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p>
    <w:bookmarkEnd w:id="315"/>
    <w:bookmarkEnd w:id="316"/>
    <w:bookmarkEnd w:id="317"/>
    <w:bookmarkEnd w:id="318"/>
    <w:bookmarkEnd w:id="319"/>
    <w:bookmarkEnd w:id="320"/>
    <w:bookmarkEnd w:id="321"/>
    <w:bookmarkEnd w:id="322"/>
    <w:bookmarkEnd w:id="323"/>
    <w:bookmarkEnd w:id="324"/>
    <w:bookmarkEnd w:id="325"/>
    <w:p w14:paraId="2D66601C">
      <w:pPr>
        <w:pStyle w:val="6"/>
        <w:spacing w:line="360" w:lineRule="auto"/>
        <w:rPr>
          <w:rFonts w:hint="eastAsia" w:ascii="宋体" w:hAnsi="宋体" w:eastAsia="宋体" w:cs="宋体"/>
          <w:color w:val="auto"/>
          <w:sz w:val="24"/>
          <w:szCs w:val="24"/>
          <w:highlight w:val="none"/>
        </w:rPr>
      </w:pPr>
      <w:bookmarkStart w:id="326" w:name="_Toc27108"/>
      <w:bookmarkStart w:id="327" w:name="_Toc15690"/>
      <w:bookmarkStart w:id="328" w:name="_Toc433792172"/>
      <w:bookmarkStart w:id="329" w:name="_Toc313008359"/>
      <w:bookmarkStart w:id="330" w:name="_Toc29985640"/>
      <w:bookmarkStart w:id="331" w:name="_Toc20656412"/>
      <w:bookmarkStart w:id="332" w:name="_Toc51660753"/>
      <w:bookmarkStart w:id="333" w:name="_Toc23185489"/>
      <w:bookmarkStart w:id="334" w:name="_Toc6818914"/>
      <w:bookmarkStart w:id="335" w:name="_Toc313888363"/>
      <w:bookmarkStart w:id="336" w:name="_Toc30668160"/>
      <w:bookmarkStart w:id="337" w:name="_Toc21936041"/>
      <w:bookmarkStart w:id="338" w:name="_Toc342913422"/>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、技术部分</w:t>
      </w:r>
      <w:bookmarkEnd w:id="326"/>
      <w:bookmarkEnd w:id="327"/>
    </w:p>
    <w:p w14:paraId="43798C2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（一）技术方案（</w:t>
      </w:r>
      <w:r>
        <w:rPr>
          <w:rFonts w:hint="eastAsia" w:ascii="宋体" w:hAnsi="宋体" w:eastAsia="宋体" w:cs="宋体"/>
          <w:color w:val="auto"/>
          <w:sz w:val="24"/>
          <w:szCs w:val="24"/>
          <w:highlight w:val="none"/>
          <w:lang w:eastAsia="zh-CN"/>
        </w:rPr>
        <w:t>供应商根据</w:t>
      </w:r>
      <w:r>
        <w:rPr>
          <w:rFonts w:hint="eastAsia" w:ascii="宋体" w:hAnsi="宋体" w:eastAsia="宋体" w:cs="宋体"/>
          <w:color w:val="auto"/>
          <w:sz w:val="24"/>
          <w:szCs w:val="24"/>
          <w:highlight w:val="none"/>
        </w:rPr>
        <w:t>评审标准技术部分内容</w:t>
      </w:r>
      <w:r>
        <w:rPr>
          <w:rFonts w:hint="eastAsia" w:ascii="宋体" w:hAnsi="宋体" w:eastAsia="宋体" w:cs="宋体"/>
          <w:color w:val="auto"/>
          <w:sz w:val="24"/>
          <w:szCs w:val="24"/>
          <w:highlight w:val="none"/>
          <w:lang w:eastAsia="zh-CN"/>
        </w:rPr>
        <w:t>自行</w:t>
      </w:r>
      <w:r>
        <w:rPr>
          <w:rFonts w:hint="eastAsia" w:ascii="宋体" w:hAnsi="宋体" w:eastAsia="宋体" w:cs="宋体"/>
          <w:color w:val="auto"/>
          <w:sz w:val="24"/>
          <w:szCs w:val="24"/>
          <w:highlight w:val="none"/>
        </w:rPr>
        <w:t>编写</w:t>
      </w:r>
      <w:r>
        <w:rPr>
          <w:rFonts w:hint="eastAsia" w:ascii="宋体" w:hAnsi="宋体" w:eastAsia="宋体" w:cs="宋体"/>
          <w:color w:val="auto"/>
          <w:sz w:val="24"/>
          <w:szCs w:val="24"/>
          <w:highlight w:val="none"/>
          <w:lang w:eastAsia="zh-CN"/>
        </w:rPr>
        <w:t>，格式自拟</w:t>
      </w:r>
      <w:r>
        <w:rPr>
          <w:rFonts w:hint="eastAsia" w:ascii="宋体" w:hAnsi="宋体" w:eastAsia="宋体" w:cs="宋体"/>
          <w:color w:val="auto"/>
          <w:sz w:val="24"/>
          <w:szCs w:val="24"/>
          <w:highlight w:val="none"/>
        </w:rPr>
        <w:t>）</w:t>
      </w:r>
    </w:p>
    <w:p w14:paraId="04871715">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D365435">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（二）技术响应偏离表</w:t>
      </w:r>
    </w:p>
    <w:p w14:paraId="7C24F233">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技术响应偏离表</w:t>
      </w:r>
    </w:p>
    <w:p w14:paraId="27736F83">
      <w:pPr>
        <w:tabs>
          <w:tab w:val="left" w:pos="6300"/>
        </w:tabs>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49CDBDF6">
      <w:pPr>
        <w:tabs>
          <w:tab w:val="left" w:pos="6300"/>
        </w:tabs>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A3F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EF86EE1">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vAlign w:val="center"/>
          </w:tcPr>
          <w:p w14:paraId="1A8501CF">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采购项目需求</w:t>
            </w:r>
          </w:p>
        </w:tc>
        <w:tc>
          <w:tcPr>
            <w:tcW w:w="2434" w:type="dxa"/>
            <w:vAlign w:val="center"/>
          </w:tcPr>
          <w:p w14:paraId="09596ADB">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vAlign w:val="center"/>
          </w:tcPr>
          <w:p w14:paraId="29CF11C1">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0389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128F74">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1B9E3B6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719FB25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41497DA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711E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FFF5BB8">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EDCB7E8">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3B343B1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57A2AD6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1CC3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69475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555CFBEE">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52030752">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403F4BE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47CC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3D0C5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D93C40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24F7C3D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28FEF83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6D92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F65A31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43187F2D">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0E9D727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28F98073">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091F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B87A3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11EE59A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7D99E07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50B00091">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bl>
    <w:p w14:paraId="5B4F9B5E">
      <w:pPr>
        <w:snapToGrid w:val="0"/>
        <w:spacing w:line="360" w:lineRule="auto"/>
        <w:ind w:firstLine="465"/>
        <w:rPr>
          <w:rFonts w:hint="eastAsia" w:ascii="宋体" w:hAnsi="宋体" w:eastAsia="宋体" w:cs="宋体"/>
          <w:color w:val="auto"/>
          <w:sz w:val="24"/>
          <w:szCs w:val="24"/>
          <w:highlight w:val="none"/>
        </w:rPr>
      </w:pPr>
    </w:p>
    <w:p w14:paraId="69243C9B">
      <w:pPr>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                                 法定代表人或其委托代理人</w:t>
      </w:r>
      <w:r>
        <w:rPr>
          <w:rFonts w:hint="eastAsia" w:ascii="宋体" w:hAnsi="宋体" w:eastAsia="宋体" w:cs="宋体"/>
          <w:color w:val="auto"/>
          <w:sz w:val="24"/>
          <w:szCs w:val="24"/>
          <w:highlight w:val="none"/>
          <w:lang w:eastAsia="zh-CN"/>
        </w:rPr>
        <w:t>：</w:t>
      </w:r>
    </w:p>
    <w:p w14:paraId="2D4CF30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（签字或盖章）</w:t>
      </w:r>
    </w:p>
    <w:p w14:paraId="22500B9A">
      <w:pPr>
        <w:tabs>
          <w:tab w:val="left" w:pos="6300"/>
        </w:tabs>
        <w:snapToGrid w:val="0"/>
        <w:spacing w:line="360" w:lineRule="auto"/>
        <w:ind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73073263">
      <w:pPr>
        <w:tabs>
          <w:tab w:val="left" w:pos="6300"/>
        </w:tabs>
        <w:snapToGrid w:val="0"/>
        <w:spacing w:line="360" w:lineRule="auto"/>
        <w:ind w:firstLine="7202" w:firstLineChars="30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F1A95C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E9FD0C8">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项目技术需求”中所列技术要求进行比较和响应；</w:t>
      </w:r>
    </w:p>
    <w:p w14:paraId="0E36BC1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2.该表必须按照采购要求逐条如实填写，根据响应情况在“差异说明”项填写正偏离或负偏离及原因，完全符合的填写“无差异”；</w:t>
      </w:r>
    </w:p>
    <w:p w14:paraId="6500911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3.该表可扩展，并逐页签字或盖章。</w:t>
      </w:r>
    </w:p>
    <w:p w14:paraId="12D24E76">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176D695">
      <w:pPr>
        <w:pStyle w:val="6"/>
        <w:spacing w:line="360" w:lineRule="auto"/>
        <w:rPr>
          <w:rFonts w:hint="eastAsia" w:ascii="宋体" w:hAnsi="宋体" w:eastAsia="宋体" w:cs="宋体"/>
          <w:color w:val="auto"/>
          <w:sz w:val="24"/>
          <w:szCs w:val="24"/>
          <w:highlight w:val="none"/>
        </w:rPr>
      </w:pPr>
      <w:bookmarkStart w:id="339" w:name="_Toc1950"/>
      <w:bookmarkStart w:id="340" w:name="_Toc10716"/>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、商务部分</w:t>
      </w:r>
      <w:bookmarkEnd w:id="339"/>
      <w:bookmarkEnd w:id="340"/>
    </w:p>
    <w:p w14:paraId="6BF0ED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）商务响应偏离表</w:t>
      </w:r>
    </w:p>
    <w:p w14:paraId="5530DDE3">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商务响应偏离表</w:t>
      </w:r>
    </w:p>
    <w:p w14:paraId="2F1A9082">
      <w:pPr>
        <w:tabs>
          <w:tab w:val="left" w:pos="6300"/>
        </w:tabs>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04DF35DD">
      <w:pPr>
        <w:tabs>
          <w:tab w:val="left" w:pos="6300"/>
        </w:tabs>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947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F19CACF">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vAlign w:val="center"/>
          </w:tcPr>
          <w:p w14:paraId="78E66D53">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采购项目需求</w:t>
            </w:r>
          </w:p>
        </w:tc>
        <w:tc>
          <w:tcPr>
            <w:tcW w:w="2434" w:type="dxa"/>
            <w:vAlign w:val="center"/>
          </w:tcPr>
          <w:p w14:paraId="4C74DE62">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vAlign w:val="center"/>
          </w:tcPr>
          <w:p w14:paraId="56E56D94">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58E2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2D6E469">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43CF9CB9">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097BED3E">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17BA7FD4">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35E8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142537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5E39099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270122D4">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122D07C2">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4A54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354087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423B0FA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6AA715EF">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25B96603">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3A12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B2A6B1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AFE2342">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150E954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456E4883">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0137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A1FFF5">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DEFCCDF">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13B4D8F7">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78B3F1C7">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3B59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4836707">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5972C94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508CC3D8">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5882AE92">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bl>
    <w:p w14:paraId="11A2B88F">
      <w:pPr>
        <w:snapToGrid w:val="0"/>
        <w:spacing w:line="360" w:lineRule="auto"/>
        <w:ind w:firstLine="465"/>
        <w:rPr>
          <w:rFonts w:hint="eastAsia" w:ascii="宋体" w:hAnsi="宋体" w:eastAsia="宋体" w:cs="宋体"/>
          <w:color w:val="auto"/>
          <w:sz w:val="24"/>
          <w:szCs w:val="24"/>
          <w:highlight w:val="none"/>
        </w:rPr>
      </w:pPr>
    </w:p>
    <w:p w14:paraId="46911F9B">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                                 法定代表人或其委托代理人</w:t>
      </w:r>
      <w:r>
        <w:rPr>
          <w:rFonts w:hint="eastAsia" w:ascii="宋体" w:hAnsi="宋体" w:eastAsia="宋体" w:cs="宋体"/>
          <w:color w:val="auto"/>
          <w:sz w:val="24"/>
          <w:szCs w:val="24"/>
          <w:highlight w:val="none"/>
          <w:lang w:eastAsia="zh-CN"/>
        </w:rPr>
        <w:t>：</w:t>
      </w:r>
    </w:p>
    <w:p w14:paraId="5F17624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（签字或盖章）</w:t>
      </w:r>
    </w:p>
    <w:p w14:paraId="31FFCB91">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247E9C96">
      <w:pPr>
        <w:tabs>
          <w:tab w:val="left" w:pos="6300"/>
        </w:tabs>
        <w:snapToGrid w:val="0"/>
        <w:spacing w:line="360" w:lineRule="auto"/>
        <w:ind w:firstLine="6002" w:firstLineChars="25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4D122A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95A191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 项目商务需求”中所列服务要求进行比较和响应；</w:t>
      </w:r>
    </w:p>
    <w:p w14:paraId="205711A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2.该表必须按照采购要求逐条如实填写，根据响应情况在“差异说明”项填写正偏离或负偏离及原因，完全符合的填写“无差异”；</w:t>
      </w:r>
    </w:p>
    <w:p w14:paraId="7E4DE5A7">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3.该表可扩展，并逐页签字或盖章。</w:t>
      </w:r>
    </w:p>
    <w:p w14:paraId="23EBD51D">
      <w:pPr>
        <w:pStyle w:val="77"/>
        <w:spacing w:line="360" w:lineRule="auto"/>
        <w:rPr>
          <w:rFonts w:hint="eastAsia" w:ascii="宋体" w:hAnsi="宋体" w:eastAsia="宋体" w:cs="宋体"/>
          <w:color w:val="auto"/>
          <w:sz w:val="24"/>
          <w:szCs w:val="24"/>
          <w:highlight w:val="none"/>
          <w:lang w:eastAsia="zh-CN"/>
        </w:rPr>
      </w:pPr>
    </w:p>
    <w:p w14:paraId="308C677F">
      <w:pPr>
        <w:pStyle w:val="77"/>
        <w:spacing w:line="360" w:lineRule="auto"/>
        <w:rPr>
          <w:rFonts w:hint="eastAsia" w:ascii="宋体" w:hAnsi="宋体" w:eastAsia="宋体" w:cs="宋体"/>
          <w:color w:val="auto"/>
          <w:sz w:val="24"/>
          <w:szCs w:val="24"/>
          <w:highlight w:val="none"/>
          <w:lang w:eastAsia="zh-CN"/>
        </w:rPr>
      </w:pPr>
    </w:p>
    <w:p w14:paraId="0C3648F4">
      <w:pPr>
        <w:pStyle w:val="77"/>
        <w:spacing w:line="360" w:lineRule="auto"/>
        <w:rPr>
          <w:rFonts w:hint="eastAsia" w:ascii="宋体" w:hAnsi="宋体" w:eastAsia="宋体" w:cs="宋体"/>
          <w:color w:val="auto"/>
          <w:sz w:val="24"/>
          <w:szCs w:val="24"/>
          <w:highlight w:val="none"/>
          <w:lang w:eastAsia="zh-CN"/>
        </w:rPr>
      </w:pPr>
    </w:p>
    <w:p w14:paraId="42D9EFF9">
      <w:pPr>
        <w:pStyle w:val="77"/>
        <w:spacing w:line="360" w:lineRule="auto"/>
        <w:rPr>
          <w:rFonts w:hint="eastAsia" w:ascii="宋体" w:hAnsi="宋体" w:eastAsia="宋体" w:cs="宋体"/>
          <w:color w:val="auto"/>
          <w:sz w:val="24"/>
          <w:szCs w:val="24"/>
          <w:highlight w:val="none"/>
          <w:lang w:eastAsia="zh-CN"/>
        </w:rPr>
      </w:pPr>
    </w:p>
    <w:p w14:paraId="633DB483">
      <w:pPr>
        <w:pStyle w:val="7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（二）人员要求</w:t>
      </w:r>
    </w:p>
    <w:p w14:paraId="17EA0DBA">
      <w:pPr>
        <w:pStyle w:val="77"/>
        <w:spacing w:line="360" w:lineRule="auto"/>
        <w:rPr>
          <w:rFonts w:hint="eastAsia" w:ascii="宋体" w:hAnsi="宋体" w:eastAsia="宋体" w:cs="宋体"/>
          <w:color w:val="auto"/>
          <w:sz w:val="24"/>
          <w:szCs w:val="24"/>
          <w:highlight w:val="none"/>
          <w:lang w:eastAsia="zh-CN"/>
        </w:rPr>
        <w:sectPr>
          <w:pgSz w:w="11906" w:h="16838"/>
          <w:pgMar w:top="1134" w:right="1134" w:bottom="1134" w:left="1134" w:header="851" w:footer="851" w:gutter="0"/>
          <w:pgNumType w:fmt="decimal"/>
          <w:cols w:space="720" w:num="1"/>
          <w:docGrid w:type="lines" w:linePitch="326" w:charSpace="0"/>
        </w:sectPr>
      </w:pPr>
      <w:r>
        <w:rPr>
          <w:rFonts w:hint="eastAsia" w:ascii="宋体" w:hAnsi="宋体" w:eastAsia="宋体" w:cs="宋体"/>
          <w:color w:val="auto"/>
          <w:sz w:val="24"/>
          <w:szCs w:val="24"/>
          <w:highlight w:val="none"/>
          <w:lang w:eastAsia="zh-CN"/>
        </w:rPr>
        <w:t>（供应商根据第三篇项目商务需求中人员要求提供相关资料</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eastAsia="zh-CN"/>
        </w:rPr>
        <w:t>）</w:t>
      </w:r>
    </w:p>
    <w:p w14:paraId="518F8B03">
      <w:pPr>
        <w:pStyle w:val="6"/>
        <w:spacing w:line="360" w:lineRule="auto"/>
        <w:rPr>
          <w:rFonts w:hint="eastAsia" w:ascii="宋体" w:hAnsi="宋体" w:eastAsia="宋体" w:cs="宋体"/>
          <w:color w:val="auto"/>
          <w:sz w:val="24"/>
          <w:szCs w:val="24"/>
          <w:highlight w:val="none"/>
        </w:rPr>
      </w:pPr>
      <w:bookmarkStart w:id="341" w:name="_Toc25419"/>
      <w:bookmarkStart w:id="342" w:name="_Toc18012"/>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、资格条件及其他</w:t>
      </w:r>
      <w:bookmarkEnd w:id="328"/>
      <w:bookmarkEnd w:id="329"/>
      <w:bookmarkEnd w:id="330"/>
      <w:bookmarkEnd w:id="331"/>
      <w:bookmarkEnd w:id="332"/>
      <w:bookmarkEnd w:id="333"/>
      <w:bookmarkEnd w:id="334"/>
      <w:bookmarkEnd w:id="335"/>
      <w:bookmarkEnd w:id="336"/>
      <w:bookmarkEnd w:id="337"/>
      <w:bookmarkEnd w:id="338"/>
      <w:bookmarkEnd w:id="341"/>
      <w:bookmarkEnd w:id="342"/>
    </w:p>
    <w:p w14:paraId="18F7A27B">
      <w:pPr>
        <w:numPr>
          <w:ilvl w:val="0"/>
          <w:numId w:val="0"/>
        </w:numPr>
        <w:spacing w:line="360" w:lineRule="auto"/>
        <w:rPr>
          <w:rFonts w:hint="eastAsia" w:ascii="宋体" w:hAnsi="宋体" w:eastAsia="宋体" w:cs="宋体"/>
          <w:color w:val="auto"/>
          <w:kern w:val="2"/>
          <w:sz w:val="24"/>
          <w:szCs w:val="24"/>
          <w:highlight w:val="none"/>
          <w:lang w:val="en-US" w:eastAsia="zh-CN" w:bidi="ar-SA"/>
        </w:rPr>
        <w:sectPr>
          <w:pgSz w:w="11906" w:h="16838"/>
          <w:pgMar w:top="1134" w:right="1134" w:bottom="1134" w:left="1134" w:header="851" w:footer="851" w:gutter="0"/>
          <w:pgNumType w:fmt="decimal"/>
          <w:cols w:space="720" w:num="1"/>
          <w:docGrid w:type="lines" w:linePitch="326" w:charSpace="0"/>
        </w:sectPr>
      </w:pPr>
      <w:r>
        <w:rPr>
          <w:rFonts w:hint="eastAsia" w:ascii="宋体" w:hAnsi="宋体" w:eastAsia="宋体" w:cs="宋体"/>
          <w:color w:val="auto"/>
          <w:kern w:val="2"/>
          <w:sz w:val="24"/>
          <w:szCs w:val="24"/>
          <w:highlight w:val="none"/>
          <w:lang w:val="en-US" w:eastAsia="zh-CN" w:bidi="ar-SA"/>
        </w:rPr>
        <w:t>（一）供应商法人营业执照（副本）或事业单位法人证书（副本）或个体工商户营业执照或有效的自然人身份证明或社会团体法人登记证书复印件</w:t>
      </w:r>
    </w:p>
    <w:p w14:paraId="0B6EE3FC">
      <w:pPr>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（二）法定代表人身份证明书</w:t>
      </w:r>
    </w:p>
    <w:p w14:paraId="05E0B0D3">
      <w:pPr>
        <w:keepNext/>
        <w:keepLines/>
        <w:widowControl w:val="0"/>
        <w:spacing w:before="260" w:after="260" w:line="360" w:lineRule="auto"/>
        <w:jc w:val="both"/>
        <w:outlineLvl w:val="9"/>
        <w:rPr>
          <w:rFonts w:hint="eastAsia" w:ascii="宋体" w:hAnsi="宋体" w:eastAsia="宋体" w:cs="宋体"/>
          <w:b/>
          <w:color w:val="auto"/>
          <w:kern w:val="2"/>
          <w:sz w:val="24"/>
          <w:szCs w:val="24"/>
          <w:highlight w:val="none"/>
          <w:lang w:val="en-US" w:eastAsia="zh-CN" w:bidi="ar-SA"/>
        </w:rPr>
      </w:pPr>
    </w:p>
    <w:p w14:paraId="6CEB3A2A">
      <w:pPr>
        <w:widowControl w:val="0"/>
        <w:tabs>
          <w:tab w:val="left" w:pos="6300"/>
        </w:tabs>
        <w:snapToGrid w:val="0"/>
        <w:spacing w:line="360" w:lineRule="auto"/>
        <w:ind w:firstLine="480" w:firstLineChars="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法定代表人身份证明书</w:t>
      </w:r>
    </w:p>
    <w:p w14:paraId="0A35BE3D">
      <w:pPr>
        <w:widowControl w:val="0"/>
        <w:tabs>
          <w:tab w:val="left" w:pos="6300"/>
        </w:tabs>
        <w:snapToGrid w:val="0"/>
        <w:spacing w:line="360" w:lineRule="auto"/>
        <w:ind w:firstLine="480" w:firstLineChars="200"/>
        <w:jc w:val="both"/>
        <w:rPr>
          <w:rFonts w:hint="eastAsia" w:ascii="宋体" w:hAnsi="宋体" w:eastAsia="宋体" w:cs="宋体"/>
          <w:color w:val="auto"/>
          <w:sz w:val="24"/>
          <w:szCs w:val="24"/>
          <w:highlight w:val="none"/>
        </w:rPr>
      </w:pPr>
    </w:p>
    <w:p w14:paraId="460950A9">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25DDE95">
      <w:pPr>
        <w:pStyle w:val="377"/>
        <w:spacing w:line="360" w:lineRule="auto"/>
        <w:ind w:firstLine="480"/>
        <w:rPr>
          <w:rFonts w:hint="eastAsia" w:ascii="宋体" w:hAnsi="宋体" w:eastAsia="宋体" w:cs="宋体"/>
          <w:color w:val="auto"/>
          <w:sz w:val="24"/>
          <w:szCs w:val="24"/>
          <w:highlight w:val="none"/>
        </w:rPr>
      </w:pPr>
    </w:p>
    <w:p w14:paraId="1D8BD4F0">
      <w:pPr>
        <w:pStyle w:val="378"/>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rPr>
        <w:t>_________________</w:t>
      </w:r>
      <w:r>
        <w:rPr>
          <w:rFonts w:hint="eastAsia" w:ascii="宋体" w:hAnsi="宋体" w:eastAsia="宋体" w:cs="宋体"/>
          <w:color w:val="auto"/>
          <w:sz w:val="24"/>
          <w:szCs w:val="24"/>
          <w:highlight w:val="none"/>
        </w:rPr>
        <w:t>（采购人名称）：</w:t>
      </w:r>
    </w:p>
    <w:p w14:paraId="4BFE8F06">
      <w:pPr>
        <w:pStyle w:val="377"/>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的法定代表人。</w:t>
      </w:r>
    </w:p>
    <w:p w14:paraId="471EE05B">
      <w:pPr>
        <w:pStyle w:val="377"/>
        <w:spacing w:line="360" w:lineRule="auto"/>
        <w:ind w:firstLine="480"/>
        <w:rPr>
          <w:rFonts w:hint="eastAsia" w:ascii="宋体" w:hAnsi="宋体" w:eastAsia="宋体" w:cs="宋体"/>
          <w:color w:val="auto"/>
          <w:sz w:val="24"/>
          <w:szCs w:val="24"/>
          <w:highlight w:val="none"/>
        </w:rPr>
      </w:pPr>
    </w:p>
    <w:p w14:paraId="1FB51D3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CC0661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17FB78D8">
      <w:pPr>
        <w:spacing w:line="360" w:lineRule="auto"/>
        <w:ind w:firstLine="480"/>
        <w:rPr>
          <w:rFonts w:hint="eastAsia" w:ascii="宋体" w:hAnsi="宋体" w:eastAsia="宋体" w:cs="宋体"/>
          <w:color w:val="auto"/>
          <w:sz w:val="24"/>
          <w:szCs w:val="24"/>
          <w:highlight w:val="none"/>
        </w:rPr>
      </w:pPr>
    </w:p>
    <w:p w14:paraId="2D56C710">
      <w:pPr>
        <w:spacing w:line="360" w:lineRule="auto"/>
        <w:ind w:firstLine="480"/>
        <w:rPr>
          <w:rFonts w:hint="eastAsia" w:ascii="宋体" w:hAnsi="宋体" w:eastAsia="宋体" w:cs="宋体"/>
          <w:color w:val="auto"/>
          <w:sz w:val="24"/>
          <w:szCs w:val="24"/>
          <w:highlight w:val="none"/>
        </w:rPr>
      </w:pPr>
    </w:p>
    <w:p w14:paraId="35E5CCD7">
      <w:pPr>
        <w:pStyle w:val="3"/>
        <w:spacing w:line="360" w:lineRule="auto"/>
        <w:rPr>
          <w:rFonts w:hint="eastAsia" w:ascii="宋体" w:hAnsi="宋体" w:eastAsia="宋体" w:cs="宋体"/>
          <w:color w:val="auto"/>
          <w:sz w:val="24"/>
          <w:szCs w:val="24"/>
          <w:highlight w:val="none"/>
        </w:rPr>
      </w:pPr>
    </w:p>
    <w:p w14:paraId="56C86AA4">
      <w:pPr>
        <w:spacing w:line="360" w:lineRule="auto"/>
        <w:rPr>
          <w:rFonts w:hint="eastAsia" w:ascii="宋体" w:hAnsi="宋体" w:eastAsia="宋体" w:cs="宋体"/>
          <w:color w:val="auto"/>
          <w:sz w:val="24"/>
          <w:szCs w:val="24"/>
          <w:highlight w:val="none"/>
        </w:rPr>
      </w:pPr>
    </w:p>
    <w:p w14:paraId="5552D0D4">
      <w:pPr>
        <w:pStyle w:val="3"/>
        <w:spacing w:line="360" w:lineRule="auto"/>
        <w:rPr>
          <w:rFonts w:hint="eastAsia" w:ascii="宋体" w:hAnsi="宋体" w:eastAsia="宋体" w:cs="宋体"/>
          <w:color w:val="auto"/>
          <w:sz w:val="24"/>
          <w:szCs w:val="24"/>
          <w:highlight w:val="none"/>
        </w:rPr>
      </w:pPr>
    </w:p>
    <w:p w14:paraId="0FA5E2F1">
      <w:pPr>
        <w:spacing w:line="360" w:lineRule="auto"/>
        <w:rPr>
          <w:rFonts w:hint="eastAsia" w:ascii="宋体" w:hAnsi="宋体" w:eastAsia="宋体" w:cs="宋体"/>
          <w:color w:val="auto"/>
          <w:sz w:val="24"/>
          <w:szCs w:val="24"/>
          <w:highlight w:val="none"/>
        </w:rPr>
      </w:pPr>
    </w:p>
    <w:p w14:paraId="2D3591D2">
      <w:pPr>
        <w:pStyle w:val="3"/>
        <w:spacing w:line="360" w:lineRule="auto"/>
        <w:rPr>
          <w:rFonts w:hint="eastAsia" w:ascii="宋体" w:hAnsi="宋体" w:eastAsia="宋体" w:cs="宋体"/>
          <w:color w:val="auto"/>
          <w:sz w:val="24"/>
          <w:szCs w:val="24"/>
          <w:highlight w:val="none"/>
        </w:rPr>
      </w:pPr>
    </w:p>
    <w:p w14:paraId="7B13A4FB">
      <w:pPr>
        <w:spacing w:line="360" w:lineRule="auto"/>
        <w:ind w:firstLine="6000" w:firstLineChars="2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14:paraId="37E2964A">
      <w:pPr>
        <w:spacing w:line="360" w:lineRule="auto"/>
        <w:ind w:firstLine="6000" w:firstLine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2DA1D3A5">
      <w:pPr>
        <w:tabs>
          <w:tab w:val="left" w:pos="6300"/>
        </w:tabs>
        <w:snapToGrid w:val="0"/>
        <w:spacing w:line="360" w:lineRule="auto"/>
        <w:ind w:firstLine="480"/>
        <w:rPr>
          <w:rFonts w:hint="eastAsia" w:ascii="宋体" w:hAnsi="宋体" w:eastAsia="宋体" w:cs="宋体"/>
          <w:color w:val="auto"/>
          <w:sz w:val="24"/>
          <w:szCs w:val="24"/>
          <w:highlight w:val="none"/>
        </w:rPr>
      </w:pPr>
    </w:p>
    <w:p w14:paraId="443E9B09">
      <w:pPr>
        <w:widowControl w:val="0"/>
        <w:spacing w:line="360" w:lineRule="auto"/>
        <w:ind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3F270E4">
      <w:pPr>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（三）法定代表人授权委托书</w:t>
      </w:r>
    </w:p>
    <w:p w14:paraId="7741E7B1">
      <w:pPr>
        <w:widowControl w:val="0"/>
        <w:tabs>
          <w:tab w:val="left" w:pos="6300"/>
        </w:tabs>
        <w:snapToGrid w:val="0"/>
        <w:spacing w:line="360" w:lineRule="auto"/>
        <w:ind w:firstLine="0" w:firstLineChars="0"/>
        <w:jc w:val="center"/>
        <w:rPr>
          <w:rFonts w:hint="eastAsia" w:ascii="宋体" w:hAnsi="宋体" w:eastAsia="宋体" w:cs="宋体"/>
          <w:color w:val="auto"/>
          <w:sz w:val="24"/>
          <w:szCs w:val="24"/>
          <w:highlight w:val="none"/>
        </w:rPr>
      </w:pPr>
    </w:p>
    <w:p w14:paraId="17467862">
      <w:pPr>
        <w:pStyle w:val="7"/>
        <w:tabs>
          <w:tab w:val="left" w:pos="720"/>
        </w:tabs>
        <w:spacing w:before="32" w:after="32" w:line="360" w:lineRule="auto"/>
        <w:ind w:firstLine="52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14:paraId="4853C2DA">
      <w:pPr>
        <w:snapToGrid w:val="0"/>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D1C9C3A">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57DF8156">
      <w:pPr>
        <w:spacing w:line="360" w:lineRule="auto"/>
        <w:ind w:firstLine="480"/>
        <w:rPr>
          <w:rFonts w:hint="eastAsia" w:ascii="宋体" w:hAnsi="宋体" w:eastAsia="宋体" w:cs="宋体"/>
          <w:color w:val="auto"/>
          <w:sz w:val="24"/>
          <w:szCs w:val="24"/>
          <w:highlight w:val="none"/>
        </w:rPr>
      </w:pPr>
    </w:p>
    <w:p w14:paraId="5F2A0DDF">
      <w:pPr>
        <w:pStyle w:val="378"/>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致：_________________（采购人名称）：</w:t>
      </w:r>
    </w:p>
    <w:p w14:paraId="65AF9E4D">
      <w:pPr>
        <w:pStyle w:val="378"/>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（被授权人姓名及身份证代码）电话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代表单位全权办理上述项目的</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、签约等具体工作，并签署全部有关文件、协议及合同</w:t>
      </w:r>
      <w:r>
        <w:rPr>
          <w:rFonts w:hint="eastAsia" w:ascii="宋体" w:hAnsi="宋体" w:eastAsia="宋体" w:cs="宋体"/>
          <w:color w:val="auto"/>
          <w:sz w:val="24"/>
          <w:szCs w:val="24"/>
          <w:highlight w:val="none"/>
          <w:lang w:eastAsia="zh-CN"/>
        </w:rPr>
        <w:t>。</w:t>
      </w:r>
    </w:p>
    <w:p w14:paraId="33DBBF7D">
      <w:pPr>
        <w:pStyle w:val="378"/>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我单位对被授权人的签名负全部责任。</w:t>
      </w:r>
    </w:p>
    <w:p w14:paraId="1B49AE08">
      <w:pPr>
        <w:pStyle w:val="378"/>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在撤销授权的书面通知以前，本授权书一直有效。被授权人在授权书有效期内签署的所有文件不因授权的撤销而失效。</w:t>
      </w:r>
    </w:p>
    <w:p w14:paraId="38642EA1">
      <w:pPr>
        <w:pStyle w:val="378"/>
        <w:spacing w:line="360" w:lineRule="auto"/>
        <w:rPr>
          <w:rFonts w:hint="eastAsia" w:ascii="宋体" w:hAnsi="宋体" w:eastAsia="宋体" w:cs="宋体"/>
          <w:color w:val="auto"/>
          <w:sz w:val="24"/>
          <w:szCs w:val="24"/>
          <w:highlight w:val="none"/>
        </w:rPr>
      </w:pPr>
    </w:p>
    <w:p w14:paraId="1E0F04D8">
      <w:pPr>
        <w:pStyle w:val="37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w:t>
      </w:r>
    </w:p>
    <w:p w14:paraId="30162ECF">
      <w:pPr>
        <w:pStyle w:val="378"/>
        <w:spacing w:line="360" w:lineRule="auto"/>
        <w:ind w:left="480"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（签字或盖章）                                （签字或盖章）</w:t>
      </w:r>
    </w:p>
    <w:p w14:paraId="0415ED7F">
      <w:pPr>
        <w:spacing w:line="360" w:lineRule="auto"/>
        <w:ind w:firstLine="480"/>
        <w:rPr>
          <w:rFonts w:hint="eastAsia" w:ascii="宋体" w:hAnsi="宋体" w:eastAsia="宋体" w:cs="宋体"/>
          <w:color w:val="auto"/>
          <w:sz w:val="24"/>
          <w:szCs w:val="24"/>
          <w:highlight w:val="none"/>
        </w:rPr>
      </w:pPr>
    </w:p>
    <w:p w14:paraId="50AF0BD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w:t>
      </w:r>
    </w:p>
    <w:p w14:paraId="5E84CDB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878A022">
      <w:pPr>
        <w:pStyle w:val="3"/>
        <w:spacing w:line="360" w:lineRule="auto"/>
        <w:rPr>
          <w:rFonts w:hint="eastAsia" w:ascii="宋体" w:hAnsi="宋体" w:eastAsia="宋体" w:cs="宋体"/>
          <w:color w:val="auto"/>
          <w:sz w:val="24"/>
          <w:szCs w:val="24"/>
          <w:highlight w:val="none"/>
        </w:rPr>
      </w:pPr>
    </w:p>
    <w:p w14:paraId="1228E980">
      <w:pPr>
        <w:spacing w:line="360" w:lineRule="auto"/>
        <w:rPr>
          <w:rFonts w:hint="eastAsia" w:ascii="宋体" w:hAnsi="宋体" w:eastAsia="宋体" w:cs="宋体"/>
          <w:color w:val="auto"/>
          <w:sz w:val="24"/>
          <w:szCs w:val="24"/>
          <w:highlight w:val="none"/>
        </w:rPr>
      </w:pPr>
    </w:p>
    <w:p w14:paraId="6FE5C972">
      <w:pPr>
        <w:spacing w:line="360" w:lineRule="auto"/>
        <w:ind w:firstLine="4800" w:firstLineChars="2000"/>
        <w:rPr>
          <w:rFonts w:hint="eastAsia" w:ascii="宋体" w:hAnsi="宋体" w:eastAsia="宋体" w:cs="宋体"/>
          <w:color w:val="auto"/>
          <w:sz w:val="24"/>
          <w:szCs w:val="24"/>
          <w:highlight w:val="none"/>
          <w:lang w:eastAsia="zh-CN"/>
        </w:rPr>
      </w:pPr>
    </w:p>
    <w:p w14:paraId="4F2033E9">
      <w:pPr>
        <w:spacing w:line="360" w:lineRule="auto"/>
        <w:ind w:firstLine="4800" w:firstLineChars="2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14:paraId="10C113A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                                       </w:t>
      </w:r>
    </w:p>
    <w:p w14:paraId="3267EB1D">
      <w:pPr>
        <w:pStyle w:val="6"/>
        <w:spacing w:before="48" w:after="48"/>
        <w:rPr>
          <w:rFonts w:hint="eastAsia" w:ascii="宋体" w:hAnsi="宋体" w:eastAsia="宋体" w:cs="宋体"/>
          <w:color w:val="auto"/>
          <w:sz w:val="24"/>
          <w:szCs w:val="24"/>
          <w:highlight w:val="none"/>
        </w:rPr>
      </w:pPr>
    </w:p>
    <w:p w14:paraId="5140F09A">
      <w:pPr>
        <w:pStyle w:val="6"/>
        <w:spacing w:before="48" w:after="48"/>
        <w:rPr>
          <w:rFonts w:hint="eastAsia" w:ascii="宋体" w:hAnsi="宋体" w:eastAsia="宋体" w:cs="宋体"/>
          <w:color w:val="auto"/>
          <w:sz w:val="24"/>
          <w:szCs w:val="24"/>
          <w:highlight w:val="none"/>
        </w:rPr>
      </w:pPr>
    </w:p>
    <w:p w14:paraId="3F412A2A">
      <w:pPr>
        <w:pStyle w:val="6"/>
        <w:spacing w:before="48" w:after="48"/>
        <w:rPr>
          <w:rFonts w:hint="eastAsia" w:ascii="宋体" w:hAnsi="宋体" w:eastAsia="宋体" w:cs="宋体"/>
          <w:color w:val="auto"/>
          <w:sz w:val="24"/>
          <w:szCs w:val="24"/>
          <w:highlight w:val="none"/>
        </w:rPr>
      </w:pPr>
    </w:p>
    <w:p w14:paraId="13E60C8B">
      <w:pPr>
        <w:rPr>
          <w:rFonts w:hint="eastAsia" w:ascii="宋体" w:hAnsi="宋体" w:eastAsia="宋体" w:cs="宋体"/>
          <w:color w:val="auto"/>
          <w:sz w:val="24"/>
          <w:szCs w:val="24"/>
          <w:highlight w:val="none"/>
        </w:rPr>
      </w:pPr>
    </w:p>
    <w:p w14:paraId="20F94AC6">
      <w:pPr>
        <w:pStyle w:val="2"/>
        <w:rPr>
          <w:rFonts w:hint="eastAsia"/>
          <w:highlight w:val="none"/>
        </w:rPr>
      </w:pPr>
    </w:p>
    <w:p w14:paraId="1849B2BC">
      <w:pPr>
        <w:pStyle w:val="6"/>
        <w:spacing w:before="48" w:after="48"/>
        <w:rPr>
          <w:rFonts w:hint="eastAsia" w:ascii="宋体" w:hAnsi="宋体" w:eastAsia="宋体" w:cs="宋体"/>
          <w:color w:val="auto"/>
          <w:sz w:val="24"/>
          <w:szCs w:val="24"/>
          <w:highlight w:val="none"/>
        </w:rPr>
      </w:pPr>
    </w:p>
    <w:p w14:paraId="004AD99B">
      <w:pPr>
        <w:numPr>
          <w:ilvl w:val="0"/>
          <w:numId w:val="0"/>
        </w:numPr>
        <w:spacing w:line="360" w:lineRule="auto"/>
        <w:rPr>
          <w:rFonts w:hint="eastAsia" w:ascii="宋体" w:hAnsi="宋体" w:eastAsia="宋体" w:cs="宋体"/>
          <w:color w:val="auto"/>
          <w:kern w:val="2"/>
          <w:sz w:val="24"/>
          <w:szCs w:val="24"/>
          <w:highlight w:val="none"/>
          <w:lang w:val="en-US" w:eastAsia="zh-CN" w:bidi="ar-SA"/>
        </w:rPr>
      </w:pPr>
      <w:bookmarkStart w:id="343" w:name="_Toc10403"/>
      <w:bookmarkStart w:id="344" w:name="_Toc26784"/>
      <w:r>
        <w:rPr>
          <w:rFonts w:hint="eastAsia" w:ascii="宋体" w:hAnsi="宋体" w:eastAsia="宋体" w:cs="宋体"/>
          <w:color w:val="auto"/>
          <w:kern w:val="2"/>
          <w:sz w:val="24"/>
          <w:szCs w:val="24"/>
          <w:highlight w:val="none"/>
          <w:lang w:val="en-US" w:eastAsia="zh-CN" w:bidi="ar-SA"/>
        </w:rPr>
        <w:t>（四）</w:t>
      </w:r>
      <w:bookmarkStart w:id="345" w:name="_Toc16943"/>
      <w:r>
        <w:rPr>
          <w:rFonts w:hint="eastAsia" w:ascii="宋体" w:hAnsi="宋体" w:eastAsia="宋体" w:cs="宋体"/>
          <w:color w:val="auto"/>
          <w:kern w:val="2"/>
          <w:sz w:val="24"/>
          <w:szCs w:val="24"/>
          <w:highlight w:val="none"/>
          <w:lang w:val="en-US" w:eastAsia="zh-CN" w:bidi="ar-SA"/>
        </w:rPr>
        <w:t>基本资格条件承诺函</w:t>
      </w:r>
      <w:bookmarkEnd w:id="343"/>
      <w:bookmarkEnd w:id="344"/>
    </w:p>
    <w:p w14:paraId="63CDE6C5">
      <w:pPr>
        <w:spacing w:line="530" w:lineRule="exact"/>
        <w:ind w:firstLine="0" w:firstLineChars="0"/>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基本资格条件承诺函</w:t>
      </w:r>
    </w:p>
    <w:p w14:paraId="6C929729">
      <w:pPr>
        <w:tabs>
          <w:tab w:val="left" w:pos="6300"/>
        </w:tabs>
        <w:snapToGrid w:val="0"/>
        <w:spacing w:line="530" w:lineRule="exact"/>
        <w:ind w:firstLine="480"/>
        <w:rPr>
          <w:rFonts w:hint="eastAsia" w:ascii="宋体" w:hAnsi="宋体" w:eastAsia="宋体" w:cs="宋体"/>
          <w:color w:val="auto"/>
          <w:sz w:val="24"/>
          <w:szCs w:val="24"/>
          <w:highlight w:val="none"/>
        </w:rPr>
      </w:pPr>
    </w:p>
    <w:p w14:paraId="525BFEDB">
      <w:pPr>
        <w:tabs>
          <w:tab w:val="left" w:pos="6300"/>
        </w:tabs>
        <w:snapToGrid w:val="0"/>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名称）：</w:t>
      </w:r>
    </w:p>
    <w:p w14:paraId="6C2B775C">
      <w:pPr>
        <w:tabs>
          <w:tab w:val="left" w:pos="6300"/>
        </w:tabs>
        <w:snapToGrid w:val="0"/>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名称）郑重承诺：</w:t>
      </w:r>
    </w:p>
    <w:p w14:paraId="1B50AE7B">
      <w:pPr>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6B8D0BFB">
      <w:pPr>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网（www.ccgp.gov.cn）“</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严重违法失信行为记录名单”中。</w:t>
      </w:r>
    </w:p>
    <w:p w14:paraId="3DE4E449">
      <w:pPr>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法》规定的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基本资格条件。</w:t>
      </w:r>
    </w:p>
    <w:p w14:paraId="621B1B00">
      <w:pPr>
        <w:tabs>
          <w:tab w:val="left" w:pos="6300"/>
        </w:tabs>
        <w:snapToGrid w:val="0"/>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1C87E48F">
      <w:pPr>
        <w:tabs>
          <w:tab w:val="left" w:pos="6300"/>
        </w:tabs>
        <w:snapToGrid w:val="0"/>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6AF687D5">
      <w:pPr>
        <w:tabs>
          <w:tab w:val="left" w:pos="6300"/>
        </w:tabs>
        <w:snapToGrid w:val="0"/>
        <w:spacing w:line="530" w:lineRule="exact"/>
        <w:ind w:firstLine="480"/>
        <w:rPr>
          <w:rFonts w:hint="eastAsia" w:ascii="宋体" w:hAnsi="宋体" w:eastAsia="宋体" w:cs="宋体"/>
          <w:color w:val="auto"/>
          <w:sz w:val="24"/>
          <w:szCs w:val="24"/>
          <w:highlight w:val="none"/>
        </w:rPr>
      </w:pPr>
    </w:p>
    <w:p w14:paraId="19AB6AF4">
      <w:pPr>
        <w:tabs>
          <w:tab w:val="left" w:pos="6300"/>
        </w:tabs>
        <w:snapToGrid w:val="0"/>
        <w:spacing w:line="530" w:lineRule="exact"/>
        <w:ind w:right="424" w:firstLine="48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14:paraId="7B77426B">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7BED791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542F8AD3">
      <w:pPr>
        <w:pStyle w:val="378"/>
        <w:ind w:left="560" w:leftChars="200" w:firstLine="240" w:firstLineChars="100"/>
        <w:rPr>
          <w:rFonts w:hint="eastAsia" w:ascii="宋体" w:hAnsi="宋体" w:eastAsia="宋体" w:cs="宋体"/>
          <w:color w:val="auto"/>
          <w:sz w:val="24"/>
          <w:szCs w:val="24"/>
          <w:highlight w:val="none"/>
        </w:rPr>
      </w:pPr>
    </w:p>
    <w:p w14:paraId="36A11369">
      <w:pPr>
        <w:pStyle w:val="378"/>
        <w:ind w:left="560" w:leftChars="200" w:firstLine="240" w:firstLineChars="100"/>
        <w:rPr>
          <w:rFonts w:hint="eastAsia" w:ascii="宋体" w:hAnsi="宋体" w:eastAsia="宋体" w:cs="宋体"/>
          <w:color w:val="auto"/>
          <w:sz w:val="24"/>
          <w:szCs w:val="24"/>
          <w:highlight w:val="none"/>
        </w:rPr>
      </w:pPr>
    </w:p>
    <w:p w14:paraId="53DBE2A2">
      <w:pPr>
        <w:pStyle w:val="378"/>
        <w:ind w:left="560" w:leftChars="200" w:firstLine="240" w:firstLineChars="100"/>
        <w:rPr>
          <w:rFonts w:hint="eastAsia" w:ascii="宋体" w:hAnsi="宋体" w:eastAsia="宋体" w:cs="宋体"/>
          <w:color w:val="auto"/>
          <w:sz w:val="24"/>
          <w:szCs w:val="24"/>
          <w:highlight w:val="none"/>
        </w:rPr>
      </w:pPr>
    </w:p>
    <w:p w14:paraId="0B9E7A93">
      <w:pPr>
        <w:pStyle w:val="378"/>
        <w:ind w:left="560" w:leftChars="200" w:firstLine="240" w:firstLineChars="100"/>
        <w:rPr>
          <w:rFonts w:hint="eastAsia" w:ascii="宋体" w:hAnsi="宋体" w:eastAsia="宋体" w:cs="宋体"/>
          <w:color w:val="auto"/>
          <w:sz w:val="24"/>
          <w:szCs w:val="24"/>
          <w:highlight w:val="none"/>
        </w:rPr>
      </w:pPr>
    </w:p>
    <w:bookmarkEnd w:id="345"/>
    <w:p w14:paraId="3C054B31">
      <w:pPr>
        <w:widowControl w:val="0"/>
        <w:numPr>
          <w:ilvl w:val="0"/>
          <w:numId w:val="0"/>
        </w:numPr>
        <w:spacing w:line="360" w:lineRule="auto"/>
        <w:jc w:val="both"/>
        <w:rPr>
          <w:rFonts w:hint="eastAsia" w:ascii="宋体" w:hAnsi="宋体" w:eastAsia="宋体" w:cs="宋体"/>
          <w:color w:val="auto"/>
          <w:sz w:val="24"/>
          <w:szCs w:val="24"/>
          <w:highlight w:val="none"/>
        </w:rPr>
      </w:pPr>
    </w:p>
    <w:p w14:paraId="581B1B2A">
      <w:pPr>
        <w:widowControl w:val="0"/>
        <w:spacing w:line="360" w:lineRule="auto"/>
        <w:ind w:firstLine="0" w:firstLineChars="0"/>
        <w:jc w:val="both"/>
        <w:rPr>
          <w:rFonts w:hint="eastAsia" w:ascii="宋体" w:hAnsi="宋体" w:eastAsia="宋体" w:cs="宋体"/>
          <w:color w:val="auto"/>
          <w:sz w:val="24"/>
          <w:szCs w:val="24"/>
          <w:highlight w:val="none"/>
        </w:rPr>
      </w:pPr>
    </w:p>
    <w:p w14:paraId="09D6A513">
      <w:pPr>
        <w:widowControl w:val="0"/>
        <w:spacing w:line="360" w:lineRule="auto"/>
        <w:ind w:firstLine="0" w:firstLineChars="0"/>
        <w:jc w:val="both"/>
        <w:rPr>
          <w:rFonts w:hint="eastAsia" w:ascii="宋体" w:hAnsi="宋体" w:eastAsia="宋体" w:cs="宋体"/>
          <w:color w:val="auto"/>
          <w:sz w:val="24"/>
          <w:szCs w:val="24"/>
          <w:highlight w:val="none"/>
        </w:rPr>
      </w:pPr>
    </w:p>
    <w:p w14:paraId="3CEEA774">
      <w:pPr>
        <w:widowControl w:val="0"/>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）特定资格条件证书或证明文件</w:t>
      </w:r>
    </w:p>
    <w:p w14:paraId="0D282B70">
      <w:pPr>
        <w:spacing w:line="360" w:lineRule="auto"/>
        <w:rPr>
          <w:rFonts w:hint="eastAsia" w:ascii="宋体" w:hAnsi="宋体" w:eastAsia="宋体" w:cs="宋体"/>
          <w:color w:val="auto"/>
          <w:sz w:val="24"/>
          <w:szCs w:val="24"/>
          <w:highlight w:val="none"/>
        </w:rPr>
      </w:pPr>
    </w:p>
    <w:p w14:paraId="4B848775">
      <w:pPr>
        <w:pStyle w:val="3"/>
        <w:spacing w:line="360" w:lineRule="auto"/>
        <w:rPr>
          <w:rFonts w:hint="eastAsia" w:ascii="宋体" w:hAnsi="宋体" w:eastAsia="宋体" w:cs="宋体"/>
          <w:color w:val="auto"/>
          <w:sz w:val="24"/>
          <w:szCs w:val="24"/>
          <w:highlight w:val="none"/>
        </w:rPr>
      </w:pPr>
    </w:p>
    <w:p w14:paraId="6CF37D1A">
      <w:pPr>
        <w:spacing w:line="360" w:lineRule="auto"/>
        <w:rPr>
          <w:rFonts w:hint="eastAsia" w:ascii="宋体" w:hAnsi="宋体" w:eastAsia="宋体" w:cs="宋体"/>
          <w:color w:val="auto"/>
          <w:sz w:val="24"/>
          <w:szCs w:val="24"/>
          <w:highlight w:val="none"/>
        </w:rPr>
      </w:pPr>
    </w:p>
    <w:p w14:paraId="35F24F1C">
      <w:pPr>
        <w:pStyle w:val="3"/>
        <w:spacing w:line="360" w:lineRule="auto"/>
        <w:rPr>
          <w:rFonts w:hint="eastAsia" w:ascii="宋体" w:hAnsi="宋体" w:eastAsia="宋体" w:cs="宋体"/>
          <w:color w:val="auto"/>
          <w:sz w:val="24"/>
          <w:szCs w:val="24"/>
          <w:highlight w:val="none"/>
        </w:rPr>
      </w:pPr>
    </w:p>
    <w:p w14:paraId="26855988">
      <w:pPr>
        <w:spacing w:line="360" w:lineRule="auto"/>
        <w:rPr>
          <w:rFonts w:hint="eastAsia" w:ascii="宋体" w:hAnsi="宋体" w:eastAsia="宋体" w:cs="宋体"/>
          <w:color w:val="auto"/>
          <w:sz w:val="24"/>
          <w:szCs w:val="24"/>
          <w:highlight w:val="none"/>
        </w:rPr>
      </w:pPr>
    </w:p>
    <w:p w14:paraId="2F6025E7">
      <w:pPr>
        <w:pStyle w:val="3"/>
        <w:spacing w:line="360" w:lineRule="auto"/>
        <w:rPr>
          <w:rFonts w:hint="eastAsia" w:ascii="宋体" w:hAnsi="宋体" w:eastAsia="宋体" w:cs="宋体"/>
          <w:color w:val="auto"/>
          <w:sz w:val="24"/>
          <w:szCs w:val="24"/>
          <w:highlight w:val="none"/>
        </w:rPr>
      </w:pPr>
    </w:p>
    <w:p w14:paraId="78C4AEAE">
      <w:pPr>
        <w:spacing w:line="360" w:lineRule="auto"/>
        <w:rPr>
          <w:rFonts w:hint="eastAsia" w:ascii="宋体" w:hAnsi="宋体" w:eastAsia="宋体" w:cs="宋体"/>
          <w:color w:val="auto"/>
          <w:sz w:val="24"/>
          <w:szCs w:val="24"/>
          <w:highlight w:val="none"/>
        </w:rPr>
      </w:pPr>
    </w:p>
    <w:p w14:paraId="6489FBA3">
      <w:pPr>
        <w:pStyle w:val="3"/>
        <w:spacing w:line="360" w:lineRule="auto"/>
        <w:rPr>
          <w:rFonts w:hint="eastAsia" w:ascii="宋体" w:hAnsi="宋体" w:eastAsia="宋体" w:cs="宋体"/>
          <w:color w:val="auto"/>
          <w:sz w:val="24"/>
          <w:szCs w:val="24"/>
          <w:highlight w:val="none"/>
        </w:rPr>
      </w:pPr>
    </w:p>
    <w:p w14:paraId="5ED90A2E">
      <w:pPr>
        <w:spacing w:line="360" w:lineRule="auto"/>
        <w:rPr>
          <w:rFonts w:hint="eastAsia" w:ascii="宋体" w:hAnsi="宋体" w:eastAsia="宋体" w:cs="宋体"/>
          <w:color w:val="auto"/>
          <w:sz w:val="24"/>
          <w:szCs w:val="24"/>
          <w:highlight w:val="none"/>
        </w:rPr>
      </w:pPr>
    </w:p>
    <w:p w14:paraId="00F50F22">
      <w:pPr>
        <w:pStyle w:val="3"/>
        <w:spacing w:line="360" w:lineRule="auto"/>
        <w:rPr>
          <w:rFonts w:hint="eastAsia" w:ascii="宋体" w:hAnsi="宋体" w:eastAsia="宋体" w:cs="宋体"/>
          <w:color w:val="auto"/>
          <w:sz w:val="24"/>
          <w:szCs w:val="24"/>
          <w:highlight w:val="none"/>
        </w:rPr>
      </w:pPr>
    </w:p>
    <w:p w14:paraId="42ADC45A">
      <w:pPr>
        <w:spacing w:line="360" w:lineRule="auto"/>
        <w:rPr>
          <w:rFonts w:hint="eastAsia" w:ascii="宋体" w:hAnsi="宋体" w:eastAsia="宋体" w:cs="宋体"/>
          <w:color w:val="auto"/>
          <w:sz w:val="24"/>
          <w:szCs w:val="24"/>
          <w:highlight w:val="none"/>
        </w:rPr>
      </w:pPr>
    </w:p>
    <w:p w14:paraId="73E855A4">
      <w:pPr>
        <w:pStyle w:val="3"/>
        <w:spacing w:line="360" w:lineRule="auto"/>
        <w:rPr>
          <w:rFonts w:hint="eastAsia" w:ascii="宋体" w:hAnsi="宋体" w:eastAsia="宋体" w:cs="宋体"/>
          <w:color w:val="auto"/>
          <w:sz w:val="24"/>
          <w:szCs w:val="24"/>
          <w:highlight w:val="none"/>
        </w:rPr>
      </w:pPr>
    </w:p>
    <w:p w14:paraId="2FEC88F1">
      <w:pPr>
        <w:spacing w:line="360" w:lineRule="auto"/>
        <w:rPr>
          <w:rFonts w:hint="eastAsia" w:ascii="宋体" w:hAnsi="宋体" w:eastAsia="宋体" w:cs="宋体"/>
          <w:color w:val="auto"/>
          <w:sz w:val="24"/>
          <w:szCs w:val="24"/>
          <w:highlight w:val="none"/>
        </w:rPr>
      </w:pPr>
    </w:p>
    <w:p w14:paraId="25718784">
      <w:pPr>
        <w:pStyle w:val="3"/>
        <w:spacing w:line="360" w:lineRule="auto"/>
        <w:rPr>
          <w:rFonts w:hint="eastAsia" w:ascii="宋体" w:hAnsi="宋体" w:eastAsia="宋体" w:cs="宋体"/>
          <w:color w:val="auto"/>
          <w:sz w:val="24"/>
          <w:szCs w:val="24"/>
          <w:highlight w:val="none"/>
        </w:rPr>
      </w:pPr>
    </w:p>
    <w:p w14:paraId="726651EE">
      <w:pPr>
        <w:spacing w:line="360" w:lineRule="auto"/>
        <w:rPr>
          <w:rFonts w:hint="eastAsia" w:ascii="宋体" w:hAnsi="宋体" w:eastAsia="宋体" w:cs="宋体"/>
          <w:color w:val="auto"/>
          <w:sz w:val="24"/>
          <w:szCs w:val="24"/>
          <w:highlight w:val="none"/>
        </w:rPr>
      </w:pPr>
    </w:p>
    <w:p w14:paraId="7FE3994B">
      <w:pPr>
        <w:pStyle w:val="3"/>
        <w:spacing w:line="360" w:lineRule="auto"/>
        <w:rPr>
          <w:rFonts w:hint="eastAsia" w:ascii="宋体" w:hAnsi="宋体" w:eastAsia="宋体" w:cs="宋体"/>
          <w:color w:val="auto"/>
          <w:sz w:val="24"/>
          <w:szCs w:val="24"/>
          <w:highlight w:val="none"/>
        </w:rPr>
      </w:pPr>
    </w:p>
    <w:p w14:paraId="1CEE0155">
      <w:pPr>
        <w:spacing w:line="360" w:lineRule="auto"/>
        <w:rPr>
          <w:rFonts w:hint="eastAsia" w:ascii="宋体" w:hAnsi="宋体" w:eastAsia="宋体" w:cs="宋体"/>
          <w:color w:val="auto"/>
          <w:sz w:val="24"/>
          <w:szCs w:val="24"/>
          <w:highlight w:val="none"/>
        </w:rPr>
      </w:pPr>
    </w:p>
    <w:p w14:paraId="1439215D">
      <w:pPr>
        <w:pStyle w:val="3"/>
        <w:spacing w:line="360" w:lineRule="auto"/>
        <w:rPr>
          <w:rFonts w:hint="eastAsia" w:ascii="宋体" w:hAnsi="宋体" w:eastAsia="宋体" w:cs="宋体"/>
          <w:color w:val="auto"/>
          <w:sz w:val="24"/>
          <w:szCs w:val="24"/>
          <w:highlight w:val="none"/>
        </w:rPr>
      </w:pPr>
    </w:p>
    <w:p w14:paraId="30B8E28B">
      <w:pPr>
        <w:spacing w:line="360" w:lineRule="auto"/>
        <w:rPr>
          <w:rFonts w:hint="eastAsia" w:ascii="宋体" w:hAnsi="宋体" w:eastAsia="宋体" w:cs="宋体"/>
          <w:color w:val="auto"/>
          <w:sz w:val="24"/>
          <w:szCs w:val="24"/>
          <w:highlight w:val="none"/>
        </w:rPr>
      </w:pPr>
    </w:p>
    <w:p w14:paraId="0813BAA9">
      <w:pPr>
        <w:pStyle w:val="3"/>
        <w:spacing w:line="360" w:lineRule="auto"/>
        <w:rPr>
          <w:rFonts w:hint="eastAsia" w:ascii="宋体" w:hAnsi="宋体" w:eastAsia="宋体" w:cs="宋体"/>
          <w:color w:val="auto"/>
          <w:sz w:val="24"/>
          <w:szCs w:val="24"/>
          <w:highlight w:val="none"/>
        </w:rPr>
      </w:pPr>
    </w:p>
    <w:p w14:paraId="408B6719">
      <w:pPr>
        <w:spacing w:line="360" w:lineRule="auto"/>
        <w:rPr>
          <w:rFonts w:hint="eastAsia" w:ascii="宋体" w:hAnsi="宋体" w:eastAsia="宋体" w:cs="宋体"/>
          <w:color w:val="auto"/>
          <w:sz w:val="24"/>
          <w:szCs w:val="24"/>
          <w:highlight w:val="none"/>
        </w:rPr>
      </w:pPr>
    </w:p>
    <w:p w14:paraId="0B2592E7">
      <w:pPr>
        <w:pStyle w:val="3"/>
        <w:spacing w:line="360" w:lineRule="auto"/>
        <w:rPr>
          <w:rFonts w:hint="eastAsia" w:ascii="宋体" w:hAnsi="宋体" w:eastAsia="宋体" w:cs="宋体"/>
          <w:color w:val="auto"/>
          <w:sz w:val="24"/>
          <w:szCs w:val="24"/>
          <w:highlight w:val="none"/>
        </w:rPr>
      </w:pPr>
    </w:p>
    <w:p w14:paraId="567876D4">
      <w:pPr>
        <w:spacing w:line="360" w:lineRule="auto"/>
        <w:rPr>
          <w:rFonts w:hint="eastAsia" w:ascii="宋体" w:hAnsi="宋体" w:eastAsia="宋体" w:cs="宋体"/>
          <w:color w:val="auto"/>
          <w:sz w:val="24"/>
          <w:szCs w:val="24"/>
          <w:highlight w:val="none"/>
        </w:rPr>
      </w:pPr>
    </w:p>
    <w:p w14:paraId="1FCE025A">
      <w:pPr>
        <w:pStyle w:val="3"/>
        <w:spacing w:line="360" w:lineRule="auto"/>
        <w:rPr>
          <w:rFonts w:hint="eastAsia" w:ascii="宋体" w:hAnsi="宋体" w:eastAsia="宋体" w:cs="宋体"/>
          <w:color w:val="auto"/>
          <w:sz w:val="24"/>
          <w:szCs w:val="24"/>
          <w:highlight w:val="none"/>
        </w:rPr>
      </w:pPr>
    </w:p>
    <w:p w14:paraId="31F121CB">
      <w:pPr>
        <w:pStyle w:val="3"/>
        <w:spacing w:line="360" w:lineRule="auto"/>
        <w:rPr>
          <w:rFonts w:hint="eastAsia" w:ascii="宋体" w:hAnsi="宋体" w:eastAsia="宋体" w:cs="宋体"/>
          <w:color w:val="auto"/>
          <w:sz w:val="24"/>
          <w:szCs w:val="24"/>
          <w:highlight w:val="none"/>
        </w:rPr>
      </w:pPr>
    </w:p>
    <w:p w14:paraId="20B641E9">
      <w:pPr>
        <w:pStyle w:val="6"/>
        <w:rPr>
          <w:rFonts w:hint="eastAsia" w:ascii="宋体" w:hAnsi="宋体" w:eastAsia="宋体" w:cs="宋体"/>
          <w:color w:val="auto"/>
          <w:sz w:val="24"/>
          <w:szCs w:val="24"/>
          <w:highlight w:val="none"/>
        </w:rPr>
      </w:pPr>
    </w:p>
    <w:p w14:paraId="3E60AF00">
      <w:pPr>
        <w:pStyle w:val="6"/>
        <w:rPr>
          <w:rFonts w:hint="eastAsia" w:ascii="宋体" w:hAnsi="宋体" w:eastAsia="宋体" w:cs="宋体"/>
          <w:color w:val="auto"/>
          <w:sz w:val="24"/>
          <w:szCs w:val="24"/>
          <w:highlight w:val="none"/>
        </w:rPr>
      </w:pPr>
    </w:p>
    <w:p w14:paraId="6EA250C4">
      <w:pPr>
        <w:rPr>
          <w:rFonts w:hint="eastAsia" w:ascii="宋体" w:hAnsi="宋体" w:eastAsia="宋体" w:cs="宋体"/>
          <w:color w:val="auto"/>
          <w:sz w:val="24"/>
          <w:szCs w:val="24"/>
          <w:highlight w:val="none"/>
        </w:rPr>
      </w:pPr>
    </w:p>
    <w:p w14:paraId="12477085">
      <w:pPr>
        <w:pStyle w:val="6"/>
        <w:spacing w:before="0" w:after="0" w:line="360" w:lineRule="auto"/>
        <w:rPr>
          <w:rFonts w:hint="eastAsia" w:ascii="宋体" w:hAnsi="宋体" w:eastAsia="宋体" w:cs="宋体"/>
          <w:color w:val="auto"/>
          <w:sz w:val="24"/>
          <w:szCs w:val="24"/>
          <w:highlight w:val="none"/>
        </w:rPr>
      </w:pPr>
      <w:bookmarkStart w:id="346" w:name="_Toc14422"/>
      <w:bookmarkStart w:id="347" w:name="_Toc4969"/>
      <w:bookmarkStart w:id="348" w:name="_Toc7655"/>
      <w:bookmarkStart w:id="349" w:name="_Toc32571"/>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、其他应提供的资料</w:t>
      </w:r>
      <w:bookmarkEnd w:id="346"/>
      <w:bookmarkEnd w:id="347"/>
      <w:bookmarkEnd w:id="348"/>
      <w:bookmarkEnd w:id="349"/>
    </w:p>
    <w:p w14:paraId="4FDC52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其他与项目有关的资料（自附） </w:t>
      </w:r>
    </w:p>
    <w:p w14:paraId="05B6AA63">
      <w:pPr>
        <w:spacing w:line="360" w:lineRule="auto"/>
        <w:rPr>
          <w:rFonts w:hint="eastAsia" w:ascii="宋体" w:hAnsi="宋体" w:eastAsia="宋体" w:cs="宋体"/>
          <w:color w:val="auto"/>
          <w:sz w:val="24"/>
          <w:szCs w:val="24"/>
          <w:highlight w:val="none"/>
        </w:rPr>
      </w:pPr>
    </w:p>
    <w:p w14:paraId="439923D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4AB7E2E">
      <w:pPr>
        <w:spacing w:line="360" w:lineRule="auto"/>
        <w:rPr>
          <w:rFonts w:hint="eastAsia" w:ascii="宋体" w:hAnsi="宋体" w:eastAsia="宋体" w:cs="宋体"/>
          <w:color w:val="auto"/>
          <w:sz w:val="24"/>
          <w:szCs w:val="24"/>
          <w:highlight w:val="none"/>
        </w:rPr>
      </w:pPr>
    </w:p>
    <w:p w14:paraId="49738F82">
      <w:pPr>
        <w:spacing w:line="360" w:lineRule="auto"/>
        <w:rPr>
          <w:rFonts w:hint="eastAsia" w:ascii="宋体" w:hAnsi="宋体" w:eastAsia="宋体" w:cs="宋体"/>
          <w:color w:val="auto"/>
          <w:sz w:val="24"/>
          <w:szCs w:val="24"/>
          <w:highlight w:val="none"/>
        </w:rPr>
      </w:pPr>
    </w:p>
    <w:p w14:paraId="1E355551">
      <w:pPr>
        <w:spacing w:line="360" w:lineRule="auto"/>
        <w:rPr>
          <w:rFonts w:hint="eastAsia" w:ascii="宋体" w:hAnsi="宋体" w:eastAsia="宋体" w:cs="宋体"/>
          <w:color w:val="auto"/>
          <w:sz w:val="24"/>
          <w:szCs w:val="24"/>
          <w:highlight w:val="none"/>
        </w:rPr>
      </w:pPr>
    </w:p>
    <w:p w14:paraId="04F8189C">
      <w:pPr>
        <w:spacing w:line="360" w:lineRule="auto"/>
        <w:rPr>
          <w:rFonts w:hint="eastAsia" w:ascii="宋体" w:hAnsi="宋体" w:eastAsia="宋体" w:cs="宋体"/>
          <w:color w:val="auto"/>
          <w:sz w:val="24"/>
          <w:szCs w:val="24"/>
          <w:highlight w:val="none"/>
        </w:rPr>
      </w:pPr>
    </w:p>
    <w:p w14:paraId="6CAE470F">
      <w:pPr>
        <w:spacing w:line="360" w:lineRule="auto"/>
        <w:rPr>
          <w:rFonts w:hint="eastAsia" w:ascii="宋体" w:hAnsi="宋体" w:eastAsia="宋体" w:cs="宋体"/>
          <w:color w:val="auto"/>
          <w:sz w:val="24"/>
          <w:szCs w:val="24"/>
          <w:highlight w:val="none"/>
        </w:rPr>
      </w:pPr>
    </w:p>
    <w:p w14:paraId="1D2A5BA8">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bookmarkStart w:id="350" w:name="_Toc1181"/>
    </w:p>
    <w:p w14:paraId="3DA95445">
      <w:pPr>
        <w:spacing w:line="240" w:lineRule="auto"/>
        <w:jc w:val="center"/>
        <w:outlineLvl w:val="0"/>
        <w:rPr>
          <w:rFonts w:hint="eastAsia" w:ascii="宋体" w:hAnsi="宋体" w:eastAsia="宋体" w:cs="宋体"/>
          <w:color w:val="auto"/>
          <w:sz w:val="24"/>
          <w:szCs w:val="24"/>
          <w:highlight w:val="none"/>
        </w:rPr>
      </w:pPr>
    </w:p>
    <w:p w14:paraId="6FB2BC0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9C376D4">
      <w:pPr>
        <w:pStyle w:val="376"/>
        <w:tabs>
          <w:tab w:val="right" w:leader="dot" w:pos="9402"/>
        </w:tabs>
        <w:ind w:firstLine="480"/>
        <w:jc w:val="center"/>
        <w:rPr>
          <w:rFonts w:hint="eastAsia" w:ascii="宋体" w:hAnsi="宋体" w:eastAsia="宋体" w:cs="宋体"/>
          <w:color w:val="auto"/>
          <w:sz w:val="24"/>
          <w:szCs w:val="24"/>
          <w:highlight w:val="none"/>
          <w:lang w:val="en-US" w:eastAsia="zh-CN"/>
        </w:rPr>
      </w:pPr>
    </w:p>
    <w:p w14:paraId="5716270C">
      <w:pPr>
        <w:pStyle w:val="376"/>
        <w:tabs>
          <w:tab w:val="right" w:leader="dot" w:pos="9402"/>
        </w:tabs>
        <w:ind w:firstLine="480"/>
        <w:jc w:val="center"/>
        <w:rPr>
          <w:rFonts w:hint="eastAsia" w:ascii="宋体" w:hAnsi="宋体" w:eastAsia="宋体" w:cs="宋体"/>
          <w:color w:val="auto"/>
          <w:sz w:val="24"/>
          <w:szCs w:val="24"/>
          <w:highlight w:val="none"/>
        </w:rPr>
      </w:pPr>
      <w:bookmarkStart w:id="351" w:name="_Toc21631"/>
      <w:bookmarkStart w:id="352" w:name="_Toc14431"/>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信息卡</w:t>
      </w:r>
      <w:bookmarkEnd w:id="351"/>
    </w:p>
    <w:p w14:paraId="7BD92D22">
      <w:pPr>
        <w:pStyle w:val="384"/>
        <w:spacing w:line="8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21A485BB">
      <w:pPr>
        <w:pStyle w:val="384"/>
        <w:spacing w:line="8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项目号</w:t>
      </w:r>
      <w:r>
        <w:rPr>
          <w:rFonts w:hint="eastAsia" w:ascii="宋体" w:hAnsi="宋体" w:eastAsia="宋体" w:cs="宋体"/>
          <w:color w:val="auto"/>
          <w:sz w:val="24"/>
          <w:szCs w:val="24"/>
          <w:highlight w:val="none"/>
        </w:rPr>
        <w:t>：</w:t>
      </w:r>
    </w:p>
    <w:p w14:paraId="549D9E76">
      <w:pPr>
        <w:spacing w:line="860" w:lineRule="exact"/>
        <w:ind w:right="561"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w:t>
      </w:r>
    </w:p>
    <w:p w14:paraId="479A28A3">
      <w:pPr>
        <w:spacing w:line="860" w:lineRule="exact"/>
        <w:ind w:right="561"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w:t>
      </w:r>
    </w:p>
    <w:p w14:paraId="251CDB79">
      <w:pPr>
        <w:spacing w:line="860" w:lineRule="exact"/>
        <w:ind w:right="561"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520171B4">
      <w:pPr>
        <w:spacing w:line="860" w:lineRule="exact"/>
        <w:ind w:right="561"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授权代表：</w:t>
      </w:r>
    </w:p>
    <w:p w14:paraId="28F4C83A">
      <w:pPr>
        <w:spacing w:line="860" w:lineRule="exact"/>
        <w:ind w:right="561"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0BFE33E9">
      <w:pPr>
        <w:pStyle w:val="378"/>
        <w:ind w:left="480"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6E9DF57">
      <w:pPr>
        <w:pStyle w:val="378"/>
        <w:ind w:left="480" w:hanging="480"/>
        <w:rPr>
          <w:rFonts w:hint="eastAsia" w:ascii="宋体" w:hAnsi="宋体" w:eastAsia="宋体" w:cs="宋体"/>
          <w:color w:val="auto"/>
          <w:sz w:val="24"/>
          <w:szCs w:val="24"/>
          <w:highlight w:val="none"/>
        </w:rPr>
      </w:pPr>
    </w:p>
    <w:p w14:paraId="4D81EEBB">
      <w:pPr>
        <w:pStyle w:val="378"/>
        <w:ind w:left="480" w:hanging="480"/>
        <w:rPr>
          <w:rFonts w:hint="eastAsia" w:ascii="宋体" w:hAnsi="宋体" w:eastAsia="宋体" w:cs="宋体"/>
          <w:color w:val="auto"/>
          <w:sz w:val="24"/>
          <w:szCs w:val="24"/>
          <w:highlight w:val="none"/>
        </w:rPr>
      </w:pPr>
    </w:p>
    <w:p w14:paraId="0E2B8DC8">
      <w:pPr>
        <w:pStyle w:val="378"/>
        <w:ind w:left="480"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w:t>
      </w:r>
    </w:p>
    <w:p w14:paraId="237147DF">
      <w:pPr>
        <w:pStyle w:val="378"/>
        <w:ind w:left="480"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663B8E6C">
      <w:pPr>
        <w:ind w:left="716" w:hanging="716" w:hangingChars="297"/>
        <w:rPr>
          <w:rFonts w:hint="eastAsia" w:ascii="宋体" w:hAnsi="宋体" w:eastAsia="宋体" w:cs="宋体"/>
          <w:b/>
          <w:color w:val="auto"/>
          <w:sz w:val="24"/>
          <w:szCs w:val="24"/>
          <w:highlight w:val="none"/>
        </w:rPr>
      </w:pPr>
    </w:p>
    <w:p w14:paraId="23C1A67E">
      <w:pPr>
        <w:ind w:left="716" w:hanging="716" w:hangingChars="297"/>
        <w:rPr>
          <w:rFonts w:hint="eastAsia" w:ascii="宋体" w:hAnsi="宋体" w:eastAsia="宋体" w:cs="宋体"/>
          <w:b/>
          <w:color w:val="auto"/>
          <w:sz w:val="24"/>
          <w:szCs w:val="24"/>
          <w:highlight w:val="none"/>
        </w:rPr>
      </w:pPr>
    </w:p>
    <w:p w14:paraId="27FA97AE">
      <w:pPr>
        <w:ind w:firstLine="480"/>
        <w:rPr>
          <w:rFonts w:hint="eastAsia" w:ascii="宋体" w:hAnsi="宋体" w:eastAsia="宋体" w:cs="宋体"/>
          <w:color w:val="auto"/>
          <w:sz w:val="24"/>
          <w:szCs w:val="24"/>
          <w:highlight w:val="none"/>
        </w:rPr>
      </w:pPr>
    </w:p>
    <w:p w14:paraId="2B094FA2">
      <w:pPr>
        <w:ind w:firstLine="480"/>
        <w:rPr>
          <w:rFonts w:hint="eastAsia" w:ascii="宋体" w:hAnsi="宋体" w:eastAsia="宋体" w:cs="宋体"/>
          <w:color w:val="auto"/>
          <w:sz w:val="24"/>
          <w:szCs w:val="24"/>
          <w:highlight w:val="none"/>
        </w:rPr>
      </w:pPr>
    </w:p>
    <w:p w14:paraId="2A959A6C">
      <w:pPr>
        <w:ind w:firstLine="480"/>
        <w:rPr>
          <w:rFonts w:hint="eastAsia" w:ascii="宋体" w:hAnsi="宋体" w:eastAsia="宋体" w:cs="宋体"/>
          <w:color w:val="auto"/>
          <w:sz w:val="24"/>
          <w:szCs w:val="24"/>
          <w:highlight w:val="none"/>
        </w:rPr>
      </w:pPr>
    </w:p>
    <w:p w14:paraId="5243A9C0">
      <w:pPr>
        <w:ind w:firstLine="480"/>
        <w:rPr>
          <w:rFonts w:hint="eastAsia" w:ascii="宋体" w:hAnsi="宋体" w:eastAsia="宋体" w:cs="宋体"/>
          <w:color w:val="auto"/>
          <w:sz w:val="24"/>
          <w:szCs w:val="24"/>
          <w:highlight w:val="none"/>
        </w:rPr>
      </w:pPr>
    </w:p>
    <w:p w14:paraId="52AD8FFB">
      <w:pPr>
        <w:ind w:firstLine="480"/>
        <w:rPr>
          <w:rFonts w:hint="eastAsia" w:ascii="宋体" w:hAnsi="宋体" w:eastAsia="宋体" w:cs="宋体"/>
          <w:color w:val="auto"/>
          <w:sz w:val="24"/>
          <w:szCs w:val="24"/>
          <w:highlight w:val="none"/>
        </w:rPr>
      </w:pPr>
    </w:p>
    <w:p w14:paraId="1FB4559B">
      <w:pPr>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注：该“</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信息卡”由</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在投标时现场递交（内容填写完整或打印并加盖公章，不得装入密封投标文件内）。</w:t>
      </w:r>
    </w:p>
    <w:p w14:paraId="70095675">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5C77851A">
      <w:pPr>
        <w:pStyle w:val="376"/>
        <w:tabs>
          <w:tab w:val="right" w:leader="dot" w:pos="9402"/>
        </w:tabs>
        <w:ind w:firstLine="480"/>
        <w:jc w:val="center"/>
        <w:rPr>
          <w:rFonts w:hint="eastAsia" w:ascii="宋体" w:hAnsi="宋体" w:eastAsia="宋体" w:cs="宋体"/>
          <w:color w:val="auto"/>
          <w:sz w:val="24"/>
          <w:szCs w:val="24"/>
          <w:highlight w:val="none"/>
          <w:lang w:val="en-US" w:eastAsia="zh-CN"/>
        </w:rPr>
      </w:pPr>
      <w:bookmarkStart w:id="353" w:name="_Toc10456"/>
      <w:r>
        <w:rPr>
          <w:rFonts w:hint="eastAsia" w:ascii="宋体" w:hAnsi="宋体" w:eastAsia="宋体" w:cs="宋体"/>
          <w:color w:val="auto"/>
          <w:sz w:val="24"/>
          <w:szCs w:val="24"/>
          <w:highlight w:val="none"/>
          <w:lang w:val="en-US" w:eastAsia="zh-CN"/>
        </w:rPr>
        <w:t>附件二：</w:t>
      </w:r>
      <w:bookmarkEnd w:id="350"/>
      <w:r>
        <w:rPr>
          <w:rFonts w:hint="eastAsia" w:ascii="宋体" w:hAnsi="宋体" w:eastAsia="宋体" w:cs="宋体"/>
          <w:color w:val="auto"/>
          <w:sz w:val="24"/>
          <w:szCs w:val="24"/>
          <w:highlight w:val="none"/>
          <w:lang w:val="en-US" w:eastAsia="zh-CN"/>
        </w:rPr>
        <w:t>重庆百业工程咨询有限公司项目报名表</w:t>
      </w:r>
      <w:bookmarkEnd w:id="352"/>
      <w:bookmarkEnd w:id="353"/>
    </w:p>
    <w:p w14:paraId="09071731">
      <w:pPr>
        <w:rPr>
          <w:rFonts w:hint="eastAsia" w:ascii="宋体" w:hAnsi="宋体" w:eastAsia="宋体" w:cs="宋体"/>
          <w:color w:val="auto"/>
          <w:sz w:val="24"/>
          <w:szCs w:val="24"/>
          <w:highlight w:val="none"/>
          <w:lang w:val="en-US" w:eastAsia="zh-CN"/>
        </w:rPr>
      </w:pPr>
    </w:p>
    <w:tbl>
      <w:tblPr>
        <w:tblStyle w:val="6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0521B1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7F457C92">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p>
        </w:tc>
        <w:tc>
          <w:tcPr>
            <w:tcW w:w="7407" w:type="dxa"/>
            <w:gridSpan w:val="3"/>
            <w:noWrap w:val="0"/>
            <w:vAlign w:val="center"/>
          </w:tcPr>
          <w:p w14:paraId="1187CE95">
            <w:pPr>
              <w:ind w:left="0" w:leftChars="0" w:firstLine="0" w:firstLineChars="0"/>
              <w:jc w:val="center"/>
              <w:rPr>
                <w:rFonts w:hint="eastAsia" w:ascii="宋体" w:hAnsi="宋体" w:eastAsia="宋体" w:cs="宋体"/>
                <w:color w:val="auto"/>
                <w:sz w:val="24"/>
                <w:szCs w:val="24"/>
                <w:highlight w:val="none"/>
                <w:lang w:val="en-US" w:eastAsia="zh-CN"/>
              </w:rPr>
            </w:pPr>
          </w:p>
        </w:tc>
      </w:tr>
      <w:tr w14:paraId="169965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05BC9E6E">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07" w:type="dxa"/>
            <w:gridSpan w:val="3"/>
            <w:noWrap w:val="0"/>
            <w:vAlign w:val="center"/>
          </w:tcPr>
          <w:p w14:paraId="176F90EC">
            <w:pPr>
              <w:ind w:left="0" w:leftChars="0" w:firstLine="0" w:firstLineChars="0"/>
              <w:jc w:val="center"/>
              <w:rPr>
                <w:rFonts w:hint="eastAsia" w:ascii="宋体" w:hAnsi="宋体" w:eastAsia="宋体" w:cs="宋体"/>
                <w:color w:val="auto"/>
                <w:sz w:val="24"/>
                <w:szCs w:val="24"/>
                <w:highlight w:val="none"/>
                <w:lang w:val="en-US" w:eastAsia="zh-CN"/>
              </w:rPr>
            </w:pPr>
          </w:p>
        </w:tc>
      </w:tr>
      <w:tr w14:paraId="32BD3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3EDBADAC">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7407" w:type="dxa"/>
            <w:gridSpan w:val="3"/>
            <w:noWrap w:val="0"/>
            <w:vAlign w:val="center"/>
          </w:tcPr>
          <w:p w14:paraId="6F20DB3A">
            <w:pPr>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（供应商公章）</w:t>
            </w:r>
          </w:p>
        </w:tc>
      </w:tr>
      <w:tr w14:paraId="26FE40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2EBF92B0">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91" w:type="dxa"/>
            <w:noWrap w:val="0"/>
            <w:vAlign w:val="center"/>
          </w:tcPr>
          <w:p w14:paraId="16399221">
            <w:pPr>
              <w:ind w:left="0" w:leftChars="0" w:firstLine="0" w:firstLineChars="0"/>
              <w:jc w:val="center"/>
              <w:rPr>
                <w:rFonts w:hint="eastAsia" w:ascii="宋体" w:hAnsi="宋体" w:eastAsia="宋体" w:cs="宋体"/>
                <w:color w:val="auto"/>
                <w:sz w:val="24"/>
                <w:szCs w:val="24"/>
                <w:highlight w:val="none"/>
              </w:rPr>
            </w:pPr>
          </w:p>
        </w:tc>
        <w:tc>
          <w:tcPr>
            <w:tcW w:w="1051" w:type="dxa"/>
            <w:noWrap w:val="0"/>
            <w:vAlign w:val="center"/>
          </w:tcPr>
          <w:p w14:paraId="191479EE">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3965" w:type="dxa"/>
            <w:noWrap w:val="0"/>
            <w:vAlign w:val="center"/>
          </w:tcPr>
          <w:p w14:paraId="4684FAAB">
            <w:pPr>
              <w:ind w:left="0" w:leftChars="0" w:firstLine="0" w:firstLineChars="0"/>
              <w:jc w:val="center"/>
              <w:rPr>
                <w:rFonts w:hint="eastAsia" w:ascii="宋体" w:hAnsi="宋体" w:eastAsia="宋体" w:cs="宋体"/>
                <w:color w:val="auto"/>
                <w:sz w:val="24"/>
                <w:szCs w:val="24"/>
                <w:highlight w:val="none"/>
              </w:rPr>
            </w:pPr>
          </w:p>
        </w:tc>
      </w:tr>
      <w:tr w14:paraId="198BF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209021C6">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391" w:type="dxa"/>
            <w:noWrap w:val="0"/>
            <w:vAlign w:val="center"/>
          </w:tcPr>
          <w:p w14:paraId="7FB1DFE7">
            <w:pPr>
              <w:ind w:left="0" w:leftChars="0" w:firstLine="0" w:firstLineChars="0"/>
              <w:jc w:val="center"/>
              <w:rPr>
                <w:rFonts w:hint="eastAsia" w:ascii="宋体" w:hAnsi="宋体" w:eastAsia="宋体" w:cs="宋体"/>
                <w:color w:val="auto"/>
                <w:sz w:val="24"/>
                <w:szCs w:val="24"/>
                <w:highlight w:val="none"/>
              </w:rPr>
            </w:pPr>
          </w:p>
        </w:tc>
        <w:tc>
          <w:tcPr>
            <w:tcW w:w="1051" w:type="dxa"/>
            <w:noWrap w:val="0"/>
            <w:vAlign w:val="center"/>
          </w:tcPr>
          <w:p w14:paraId="43FD1134">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965" w:type="dxa"/>
            <w:noWrap w:val="0"/>
            <w:vAlign w:val="center"/>
          </w:tcPr>
          <w:p w14:paraId="1C78C3BB">
            <w:pPr>
              <w:ind w:left="0" w:leftChars="0" w:firstLine="0" w:firstLineChars="0"/>
              <w:jc w:val="center"/>
              <w:rPr>
                <w:rFonts w:hint="eastAsia" w:ascii="宋体" w:hAnsi="宋体" w:eastAsia="宋体" w:cs="宋体"/>
                <w:color w:val="auto"/>
                <w:sz w:val="24"/>
                <w:szCs w:val="24"/>
                <w:highlight w:val="none"/>
              </w:rPr>
            </w:pPr>
          </w:p>
        </w:tc>
      </w:tr>
      <w:tr w14:paraId="23C18D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158D0466">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7407" w:type="dxa"/>
            <w:gridSpan w:val="3"/>
            <w:noWrap w:val="0"/>
            <w:vAlign w:val="center"/>
          </w:tcPr>
          <w:p w14:paraId="5A8E5623">
            <w:pPr>
              <w:ind w:left="0" w:leftChars="0" w:firstLine="0" w:firstLineChars="0"/>
              <w:jc w:val="center"/>
              <w:rPr>
                <w:rFonts w:hint="eastAsia" w:ascii="宋体" w:hAnsi="宋体" w:eastAsia="宋体" w:cs="宋体"/>
                <w:color w:val="auto"/>
                <w:sz w:val="24"/>
                <w:szCs w:val="24"/>
                <w:highlight w:val="none"/>
              </w:rPr>
            </w:pPr>
          </w:p>
        </w:tc>
      </w:tr>
      <w:tr w14:paraId="6EC9B5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60B70251">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407" w:type="dxa"/>
            <w:gridSpan w:val="3"/>
            <w:noWrap w:val="0"/>
            <w:vAlign w:val="center"/>
          </w:tcPr>
          <w:p w14:paraId="1C284840">
            <w:pPr>
              <w:ind w:left="0" w:leftChars="0" w:firstLine="0" w:firstLineChars="0"/>
              <w:jc w:val="center"/>
              <w:rPr>
                <w:rFonts w:hint="eastAsia" w:ascii="宋体" w:hAnsi="宋体" w:eastAsia="宋体" w:cs="宋体"/>
                <w:color w:val="auto"/>
                <w:sz w:val="24"/>
                <w:szCs w:val="24"/>
                <w:highlight w:val="none"/>
              </w:rPr>
            </w:pPr>
          </w:p>
        </w:tc>
      </w:tr>
    </w:tbl>
    <w:p w14:paraId="2E89AFB0">
      <w:pPr>
        <w:spacing w:line="360" w:lineRule="auto"/>
        <w:ind w:right="-372" w:rightChars="-133"/>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采购文件售价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元/份</w:t>
      </w:r>
      <w:r>
        <w:rPr>
          <w:rFonts w:hint="eastAsia" w:ascii="宋体" w:hAnsi="宋体" w:eastAsia="宋体" w:cs="宋体"/>
          <w:color w:val="auto"/>
          <w:sz w:val="24"/>
          <w:szCs w:val="24"/>
          <w:highlight w:val="none"/>
          <w:lang w:val="en-US" w:eastAsia="zh-CN"/>
        </w:rPr>
        <w:t xml:space="preserve">             代理机构</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重庆百业工程咨询有限公司</w:t>
      </w:r>
      <w:r>
        <w:rPr>
          <w:rFonts w:hint="eastAsia" w:ascii="宋体" w:hAnsi="宋体" w:eastAsia="宋体" w:cs="宋体"/>
          <w:color w:val="auto"/>
          <w:sz w:val="24"/>
          <w:szCs w:val="24"/>
          <w:highlight w:val="none"/>
          <w:lang w:val="en-US" w:eastAsia="zh-CN"/>
        </w:rPr>
        <w:t xml:space="preserve">    </w:t>
      </w:r>
    </w:p>
    <w:p w14:paraId="7F38312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59264" behindDoc="0" locked="0" layoutInCell="1" allowOverlap="1">
            <wp:simplePos x="0" y="0"/>
            <wp:positionH relativeFrom="column">
              <wp:posOffset>4509135</wp:posOffset>
            </wp:positionH>
            <wp:positionV relativeFrom="paragraph">
              <wp:posOffset>291465</wp:posOffset>
            </wp:positionV>
            <wp:extent cx="1838325" cy="2077720"/>
            <wp:effectExtent l="0" t="0" r="0" b="8255"/>
            <wp:wrapSquare wrapText="bothSides"/>
            <wp:docPr id="1" name="图片 1" descr="bbe1313852fc59111de72cfe768787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e1313852fc59111de72cfe7687876e"/>
                    <pic:cNvPicPr>
                      <a:picLocks noChangeAspect="1"/>
                    </pic:cNvPicPr>
                  </pic:nvPicPr>
                  <pic:blipFill>
                    <a:blip r:embed="rId12"/>
                    <a:stretch>
                      <a:fillRect/>
                    </a:stretch>
                  </pic:blipFill>
                  <pic:spPr>
                    <a:xfrm>
                      <a:off x="0" y="0"/>
                      <a:ext cx="1838325" cy="2077720"/>
                    </a:xfrm>
                    <a:prstGeom prst="rect">
                      <a:avLst/>
                    </a:prstGeom>
                  </pic:spPr>
                </pic:pic>
              </a:graphicData>
            </a:graphic>
          </wp:anchor>
        </w:drawing>
      </w:r>
    </w:p>
    <w:p w14:paraId="59CA223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相关说明：</w:t>
      </w:r>
    </w:p>
    <w:p w14:paraId="35ECF67C">
      <w:pPr>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报名和采购文件发售期内，供应商将文件购买费转入右侧二维码中，转账时需注明“供应商简称—</w:t>
      </w:r>
      <w:r>
        <w:rPr>
          <w:rFonts w:hint="eastAsia" w:ascii="宋体" w:hAnsi="宋体" w:cs="宋体"/>
          <w:color w:val="auto"/>
          <w:sz w:val="24"/>
          <w:szCs w:val="24"/>
          <w:highlight w:val="none"/>
          <w:lang w:val="en-US" w:eastAsia="zh-CN"/>
        </w:rPr>
        <w:t>临时用地复垦</w:t>
      </w:r>
      <w:r>
        <w:rPr>
          <w:rFonts w:hint="eastAsia" w:ascii="宋体" w:hAnsi="宋体" w:eastAsia="宋体" w:cs="宋体"/>
          <w:color w:val="auto"/>
          <w:sz w:val="24"/>
          <w:szCs w:val="24"/>
          <w:highlight w:val="none"/>
          <w:lang w:val="en-US" w:eastAsia="zh-CN"/>
        </w:rPr>
        <w:t>”，并《</w:t>
      </w:r>
      <w:r>
        <w:rPr>
          <w:rFonts w:hint="eastAsia" w:ascii="宋体" w:hAnsi="宋体" w:cs="宋体"/>
          <w:color w:val="auto"/>
          <w:sz w:val="24"/>
          <w:szCs w:val="24"/>
          <w:highlight w:val="none"/>
          <w:lang w:val="en-US" w:eastAsia="zh-CN"/>
        </w:rPr>
        <w:t>重庆百业工程咨询有限公司</w:t>
      </w:r>
      <w:r>
        <w:rPr>
          <w:rFonts w:hint="eastAsia" w:ascii="宋体" w:hAnsi="宋体" w:eastAsia="宋体" w:cs="宋体"/>
          <w:color w:val="auto"/>
          <w:sz w:val="24"/>
          <w:szCs w:val="24"/>
          <w:highlight w:val="none"/>
          <w:lang w:val="en-US" w:eastAsia="zh-CN"/>
        </w:rPr>
        <w:t>项目报名表》（格式详见附件）填写完整加盖供应商公章扫描后同文件购买费转账截图一起发送至指定邮箱</w:t>
      </w:r>
      <w:r>
        <w:rPr>
          <w:rFonts w:hint="eastAsia" w:ascii="宋体" w:hAnsi="宋体" w:cs="宋体"/>
          <w:color w:val="auto"/>
          <w:sz w:val="24"/>
          <w:szCs w:val="24"/>
          <w:highlight w:val="none"/>
          <w:lang w:val="en-US" w:eastAsia="zh-CN"/>
        </w:rPr>
        <w:t>1550994832</w:t>
      </w:r>
      <w:r>
        <w:rPr>
          <w:rFonts w:hint="eastAsia" w:ascii="宋体" w:hAnsi="宋体" w:eastAsia="宋体" w:cs="宋体"/>
          <w:color w:val="auto"/>
          <w:sz w:val="24"/>
          <w:szCs w:val="24"/>
          <w:highlight w:val="none"/>
          <w:lang w:val="en-US" w:eastAsia="zh-CN"/>
        </w:rPr>
        <w:t>@qq.com，按要求发送邮箱后方才报名成功。</w:t>
      </w:r>
    </w:p>
    <w:p w14:paraId="189CDF52">
      <w:pPr>
        <w:spacing w:line="360" w:lineRule="auto"/>
        <w:jc w:val="both"/>
        <w:rPr>
          <w:rFonts w:hint="eastAsia" w:ascii="宋体" w:hAnsi="宋体" w:eastAsia="宋体" w:cs="宋体"/>
          <w:b w:val="0"/>
          <w:smallCaps w:val="0"/>
          <w:color w:val="auto"/>
          <w:kern w:val="2"/>
          <w:sz w:val="24"/>
          <w:szCs w:val="24"/>
          <w:highlight w:val="none"/>
          <w:lang w:val="en-US" w:eastAsia="zh-CN" w:bidi="ar-SA"/>
        </w:rPr>
      </w:pPr>
    </w:p>
    <w:sectPr>
      <w:pgSz w:w="11907" w:h="16840"/>
      <w:pgMar w:top="1418" w:right="1304" w:bottom="902" w:left="1418" w:header="1077" w:footer="794"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284F">
    <w:pPr>
      <w:pStyle w:val="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825B1">
                          <w:pPr>
                            <w:pStyle w:val="39"/>
                            <w:rPr>
                              <w:rStyle w:val="68"/>
                              <w:sz w:val="21"/>
                              <w:szCs w:val="21"/>
                            </w:rPr>
                          </w:pPr>
                          <w:r>
                            <w:rPr>
                              <w:rStyle w:val="68"/>
                              <w:sz w:val="21"/>
                              <w:szCs w:val="21"/>
                            </w:rPr>
                            <w:fldChar w:fldCharType="begin"/>
                          </w:r>
                          <w:r>
                            <w:rPr>
                              <w:rStyle w:val="68"/>
                              <w:sz w:val="21"/>
                              <w:szCs w:val="21"/>
                            </w:rPr>
                            <w:instrText xml:space="preserve"> PAGE  \* MERGEFORMAT </w:instrText>
                          </w:r>
                          <w:r>
                            <w:rPr>
                              <w:rStyle w:val="68"/>
                              <w:sz w:val="21"/>
                              <w:szCs w:val="21"/>
                            </w:rPr>
                            <w:fldChar w:fldCharType="separate"/>
                          </w:r>
                          <w:r>
                            <w:rPr>
                              <w:rStyle w:val="68"/>
                              <w:sz w:val="21"/>
                              <w:szCs w:val="21"/>
                            </w:rPr>
                            <w:t>2</w:t>
                          </w:r>
                          <w:r>
                            <w:rPr>
                              <w:rStyle w:val="68"/>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7825B1">
                    <w:pPr>
                      <w:pStyle w:val="39"/>
                      <w:rPr>
                        <w:rStyle w:val="68"/>
                        <w:sz w:val="21"/>
                        <w:szCs w:val="21"/>
                      </w:rPr>
                    </w:pPr>
                    <w:r>
                      <w:rPr>
                        <w:rStyle w:val="68"/>
                        <w:sz w:val="21"/>
                        <w:szCs w:val="21"/>
                      </w:rPr>
                      <w:fldChar w:fldCharType="begin"/>
                    </w:r>
                    <w:r>
                      <w:rPr>
                        <w:rStyle w:val="68"/>
                        <w:sz w:val="21"/>
                        <w:szCs w:val="21"/>
                      </w:rPr>
                      <w:instrText xml:space="preserve"> PAGE  \* MERGEFORMAT </w:instrText>
                    </w:r>
                    <w:r>
                      <w:rPr>
                        <w:rStyle w:val="68"/>
                        <w:sz w:val="21"/>
                        <w:szCs w:val="21"/>
                      </w:rPr>
                      <w:fldChar w:fldCharType="separate"/>
                    </w:r>
                    <w:r>
                      <w:rPr>
                        <w:rStyle w:val="68"/>
                        <w:sz w:val="21"/>
                        <w:szCs w:val="21"/>
                      </w:rPr>
                      <w:t>2</w:t>
                    </w:r>
                    <w:r>
                      <w:rPr>
                        <w:rStyle w:val="68"/>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9CB9E">
    <w:pPr>
      <w:pStyle w:val="3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07FC1">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F07FC1">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454F">
    <w:pPr>
      <w:pStyle w:val="39"/>
      <w:jc w:val="center"/>
      <w:rPr>
        <w:rFonts w:asciiTheme="minorEastAsia" w:hAnsiTheme="minorEastAsia" w:eastAsiaTheme="minor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B811D">
                          <w:pPr>
                            <w:pStyle w:val="77"/>
                            <w:rPr>
                              <w:sz w:val="13"/>
                              <w:szCs w:val="13"/>
                            </w:rPr>
                          </w:pPr>
                          <w:r>
                            <w:rPr>
                              <w:sz w:val="13"/>
                              <w:szCs w:val="13"/>
                            </w:rPr>
                            <w:fldChar w:fldCharType="begin"/>
                          </w:r>
                          <w:r>
                            <w:rPr>
                              <w:sz w:val="13"/>
                              <w:szCs w:val="13"/>
                            </w:rPr>
                            <w:instrText xml:space="preserve"> PAGE  \* MERGEFORMAT </w:instrText>
                          </w:r>
                          <w:r>
                            <w:rPr>
                              <w:sz w:val="13"/>
                              <w:szCs w:val="13"/>
                            </w:rPr>
                            <w:fldChar w:fldCharType="separate"/>
                          </w:r>
                          <w:r>
                            <w:rPr>
                              <w:sz w:val="13"/>
                              <w:szCs w:val="13"/>
                            </w:rPr>
                            <w:t>3</w:t>
                          </w:r>
                          <w:r>
                            <w:rPr>
                              <w:sz w:val="13"/>
                              <w:szCs w:val="13"/>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BB811D">
                    <w:pPr>
                      <w:pStyle w:val="77"/>
                      <w:rPr>
                        <w:sz w:val="13"/>
                        <w:szCs w:val="13"/>
                      </w:rPr>
                    </w:pPr>
                    <w:r>
                      <w:rPr>
                        <w:sz w:val="13"/>
                        <w:szCs w:val="13"/>
                      </w:rPr>
                      <w:fldChar w:fldCharType="begin"/>
                    </w:r>
                    <w:r>
                      <w:rPr>
                        <w:sz w:val="13"/>
                        <w:szCs w:val="13"/>
                      </w:rPr>
                      <w:instrText xml:space="preserve"> PAGE  \* MERGEFORMAT </w:instrText>
                    </w:r>
                    <w:r>
                      <w:rPr>
                        <w:sz w:val="13"/>
                        <w:szCs w:val="13"/>
                      </w:rPr>
                      <w:fldChar w:fldCharType="separate"/>
                    </w:r>
                    <w:r>
                      <w:rPr>
                        <w:sz w:val="13"/>
                        <w:szCs w:val="13"/>
                      </w:rPr>
                      <w:t>3</w:t>
                    </w:r>
                    <w:r>
                      <w:rPr>
                        <w:sz w:val="13"/>
                        <w:szCs w:val="13"/>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EF92">
    <w:pPr>
      <w:pStyle w:val="3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0500" cy="262890"/>
                      </a:xfrm>
                      <a:prstGeom prst="rect">
                        <a:avLst/>
                      </a:prstGeom>
                      <a:noFill/>
                      <a:ln>
                        <a:noFill/>
                      </a:ln>
                    </wps:spPr>
                    <wps:txbx>
                      <w:txbxContent>
                        <w:p w14:paraId="0A90C462">
                          <w:pPr>
                            <w:pStyle w:val="39"/>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15pt;mso-position-horizontal:center;mso-position-horizontal-relative:margin;mso-wrap-style:none;z-index:251660288;mso-width-relative:page;mso-height-relative:page;" filled="f" stroked="f" coordsize="21600,21600" o:gfxdata="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HF7c0AAAAAMBAAAPAAAAAAAAAAEAIAAAACIAAABkcnMvZG93bnJl&#10;di54bWxQSwECFAAUAAAACACHTuJAJivxH8wBAACXAwAADgAAAAAAAAABACAAAAAfAQAAZHJzL2Uy&#10;b0RvYy54bWxQSwUGAAAAAAYABgBZAQAAXQUAAAAA&#10;">
              <v:fill on="f" focussize="0,0"/>
              <v:stroke on="f"/>
              <v:imagedata o:title=""/>
              <o:lock v:ext="edit" aspectratio="f"/>
              <v:textbox inset="0mm,0mm,0mm,0mm" style="mso-fit-shape-to-text:t;">
                <w:txbxContent>
                  <w:p w14:paraId="0A90C462">
                    <w:pPr>
                      <w:pStyle w:val="39"/>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p w14:paraId="18EA977A">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FE5A">
    <w:pPr>
      <w:pStyle w:val="40"/>
      <w:pBdr>
        <w:bottom w:val="none" w:color="auto" w:sz="0" w:space="1"/>
      </w:pBdr>
      <w:ind w:left="0" w:leftChars="0" w:firstLine="0" w:firstLineChars="0"/>
      <w:jc w:val="both"/>
      <w:rPr>
        <w:rFonts w:hAnsi="Times New Roman" w:cs="Times New Roman"/>
      </w:rPr>
    </w:pPr>
  </w:p>
  <w:p w14:paraId="0DA5BC32">
    <w:pPr>
      <w:pStyle w:val="40"/>
      <w:pBdr>
        <w:bottom w:val="none" w:color="auto" w:sz="0" w:space="1"/>
      </w:pBdr>
      <w:rPr>
        <w:rFonts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C0AB">
    <w:pPr>
      <w:pStyle w:val="40"/>
      <w:jc w:val="both"/>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52D2">
    <w:pPr>
      <w:pStyle w:val="4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190D">
    <w:pPr>
      <w:pStyle w:val="40"/>
      <w:pBdr>
        <w:bottom w:val="single" w:color="auto" w:sz="4" w:space="1"/>
      </w:pBdr>
    </w:pPr>
    <w:r>
      <w:rPr>
        <w:rFonts w:hint="eastAsia" w:ascii="仿宋" w:hAnsi="仿宋" w:eastAsia="仿宋"/>
        <w:sz w:val="21"/>
        <w:szCs w:val="21"/>
        <w:lang w:eastAsia="zh-CN"/>
      </w:rPr>
      <w:t>重庆百业工程咨询有限公司</w:t>
    </w:r>
    <w:r>
      <w:rPr>
        <w:rFonts w:hint="eastAsia" w:ascii="仿宋" w:hAnsi="仿宋" w:eastAsia="仿宋"/>
        <w:sz w:val="21"/>
        <w:szCs w:val="21"/>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仿宋" w:hAnsi="仿宋" w:eastAsia="仿宋"/>
        <w:sz w:val="21"/>
        <w:szCs w:val="21"/>
      </w:rPr>
      <w:t xml:space="preserve">   竞争性比选采购文件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A87D"/>
    <w:multiLevelType w:val="singleLevel"/>
    <w:tmpl w:val="8E88A87D"/>
    <w:lvl w:ilvl="0" w:tentative="0">
      <w:start w:val="1"/>
      <w:numFmt w:val="decimal"/>
      <w:suff w:val="nothing"/>
      <w:lvlText w:val="%1、"/>
      <w:lvlJc w:val="left"/>
    </w:lvl>
  </w:abstractNum>
  <w:abstractNum w:abstractNumId="1">
    <w:nsid w:val="C45A734A"/>
    <w:multiLevelType w:val="singleLevel"/>
    <w:tmpl w:val="C45A734A"/>
    <w:lvl w:ilvl="0" w:tentative="0">
      <w:start w:val="6"/>
      <w:numFmt w:val="chineseCounting"/>
      <w:suff w:val="space"/>
      <w:lvlText w:val="第%1篇"/>
      <w:lvlJc w:val="left"/>
      <w:rPr>
        <w:rFonts w:hint="eastAsia"/>
      </w:rPr>
    </w:lvl>
  </w:abstractNum>
  <w:abstractNum w:abstractNumId="2">
    <w:nsid w:val="00000001"/>
    <w:multiLevelType w:val="multilevel"/>
    <w:tmpl w:val="00000001"/>
    <w:lvl w:ilvl="0" w:tentative="0">
      <w:start w:val="1"/>
      <w:numFmt w:val="bullet"/>
      <w:pStyle w:val="17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198"/>
      <w:lvlText w:val=""/>
      <w:lvlJc w:val="left"/>
      <w:pPr>
        <w:tabs>
          <w:tab w:val="left" w:pos="360"/>
        </w:tabs>
        <w:ind w:left="360" w:hanging="360"/>
      </w:pPr>
      <w:rPr>
        <w:rFonts w:hint="default" w:ascii="Wingdings" w:hAnsi="Wingdings"/>
      </w:rPr>
    </w:lvl>
  </w:abstractNum>
  <w:abstractNum w:abstractNumId="4">
    <w:nsid w:val="00000004"/>
    <w:multiLevelType w:val="singleLevel"/>
    <w:tmpl w:val="00000004"/>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5">
    <w:nsid w:val="00000005"/>
    <w:multiLevelType w:val="multilevel"/>
    <w:tmpl w:val="00000005"/>
    <w:lvl w:ilvl="0" w:tentative="0">
      <w:start w:val="1"/>
      <w:numFmt w:val="bullet"/>
      <w:pStyle w:val="24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6"/>
    <w:multiLevelType w:val="singleLevel"/>
    <w:tmpl w:val="00000006"/>
    <w:lvl w:ilvl="0" w:tentative="0">
      <w:start w:val="1"/>
      <w:numFmt w:val="bullet"/>
      <w:pStyle w:val="360"/>
      <w:lvlText w:val=""/>
      <w:lvlJc w:val="left"/>
      <w:pPr>
        <w:tabs>
          <w:tab w:val="left" w:pos="1620"/>
        </w:tabs>
        <w:ind w:left="1620" w:hanging="360"/>
      </w:pPr>
      <w:rPr>
        <w:rFonts w:hint="default" w:ascii="Wingdings" w:hAnsi="Wingdings"/>
      </w:rPr>
    </w:lvl>
  </w:abstractNum>
  <w:abstractNum w:abstractNumId="7">
    <w:nsid w:val="00000007"/>
    <w:multiLevelType w:val="multilevel"/>
    <w:tmpl w:val="00000007"/>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8"/>
    <w:multiLevelType w:val="multilevel"/>
    <w:tmpl w:val="00000008"/>
    <w:lvl w:ilvl="0" w:tentative="0">
      <w:start w:val="1"/>
      <w:numFmt w:val="bullet"/>
      <w:pStyle w:val="29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9"/>
    <w:multiLevelType w:val="singleLevel"/>
    <w:tmpl w:val="00000009"/>
    <w:lvl w:ilvl="0" w:tentative="0">
      <w:start w:val="1"/>
      <w:numFmt w:val="decimal"/>
      <w:pStyle w:val="15"/>
      <w:lvlText w:val="%1."/>
      <w:lvlJc w:val="left"/>
      <w:pPr>
        <w:tabs>
          <w:tab w:val="left" w:pos="425"/>
        </w:tabs>
        <w:ind w:left="425" w:hanging="425"/>
      </w:pPr>
      <w:rPr>
        <w:rFonts w:hint="default"/>
      </w:rPr>
    </w:lvl>
  </w:abstractNum>
  <w:abstractNum w:abstractNumId="10">
    <w:nsid w:val="0000000A"/>
    <w:multiLevelType w:val="singleLevel"/>
    <w:tmpl w:val="0000000A"/>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1">
    <w:nsid w:val="0000000B"/>
    <w:multiLevelType w:val="singleLevel"/>
    <w:tmpl w:val="0000000B"/>
    <w:lvl w:ilvl="0" w:tentative="0">
      <w:start w:val="1"/>
      <w:numFmt w:val="decimal"/>
      <w:pStyle w:val="332"/>
      <w:lvlText w:val="%1)"/>
      <w:lvlJc w:val="left"/>
      <w:pPr>
        <w:tabs>
          <w:tab w:val="left" w:pos="425"/>
        </w:tabs>
        <w:ind w:left="425" w:hanging="425"/>
      </w:pPr>
      <w:rPr>
        <w:rFonts w:hint="eastAsia"/>
      </w:rPr>
    </w:lvl>
  </w:abstractNum>
  <w:abstractNum w:abstractNumId="12">
    <w:nsid w:val="0000000C"/>
    <w:multiLevelType w:val="multilevel"/>
    <w:tmpl w:val="0000000C"/>
    <w:lvl w:ilvl="0" w:tentative="0">
      <w:start w:val="1"/>
      <w:numFmt w:val="chineseCountingThousand"/>
      <w:pStyle w:val="27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54F865DB"/>
    <w:multiLevelType w:val="multilevel"/>
    <w:tmpl w:val="54F865DB"/>
    <w:lvl w:ilvl="0" w:tentative="0">
      <w:start w:val="1"/>
      <w:numFmt w:val="upperLetter"/>
      <w:pStyle w:val="302"/>
      <w:suff w:val="nothing"/>
      <w:lvlText w:val="附　录　%1"/>
      <w:lvlJc w:val="left"/>
      <w:pPr>
        <w:ind w:left="0" w:firstLine="0"/>
      </w:pPr>
      <w:rPr>
        <w:rFonts w:hint="eastAsia" w:ascii="黑体" w:hAnsi="Times New Roman" w:eastAsia="黑体"/>
        <w:b w:val="0"/>
        <w:i w:val="0"/>
        <w:sz w:val="21"/>
      </w:rPr>
    </w:lvl>
    <w:lvl w:ilvl="1" w:tentative="0">
      <w:start w:val="1"/>
      <w:numFmt w:val="decimal"/>
      <w:pStyle w:val="25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7938C4B3"/>
    <w:multiLevelType w:val="singleLevel"/>
    <w:tmpl w:val="7938C4B3"/>
    <w:lvl w:ilvl="0" w:tentative="0">
      <w:start w:val="9"/>
      <w:numFmt w:val="decimal"/>
      <w:suff w:val="nothing"/>
      <w:lvlText w:val="%1、"/>
      <w:lvlJc w:val="left"/>
    </w:lvl>
  </w:abstractNum>
  <w:num w:numId="1">
    <w:abstractNumId w:val="9"/>
  </w:num>
  <w:num w:numId="2">
    <w:abstractNumId w:val="4"/>
  </w:num>
  <w:num w:numId="3">
    <w:abstractNumId w:val="10"/>
  </w:num>
  <w:num w:numId="4">
    <w:abstractNumId w:val="2"/>
  </w:num>
  <w:num w:numId="5">
    <w:abstractNumId w:val="3"/>
  </w:num>
  <w:num w:numId="6">
    <w:abstractNumId w:val="7"/>
  </w:num>
  <w:num w:numId="7">
    <w:abstractNumId w:val="5"/>
  </w:num>
  <w:num w:numId="8">
    <w:abstractNumId w:val="14"/>
  </w:num>
  <w:num w:numId="9">
    <w:abstractNumId w:val="12"/>
  </w:num>
  <w:num w:numId="10">
    <w:abstractNumId w:val="8"/>
  </w:num>
  <w:num w:numId="11">
    <w:abstractNumId w:val="11"/>
  </w:num>
  <w:num w:numId="12">
    <w:abstractNumId w:val="6"/>
  </w:num>
  <w:num w:numId="13">
    <w:abstractNumId w:val="13"/>
  </w:num>
  <w:num w:numId="14">
    <w:abstractNumId w:val="15"/>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DkxNmU2OTg3NGRiMTk4NDAxZDg5NDc5MTRjNmYifQ=="/>
  </w:docVars>
  <w:rsids>
    <w:rsidRoot w:val="00EE39AB"/>
    <w:rsid w:val="00001A5C"/>
    <w:rsid w:val="00016789"/>
    <w:rsid w:val="00021097"/>
    <w:rsid w:val="0002117A"/>
    <w:rsid w:val="00021376"/>
    <w:rsid w:val="000B0533"/>
    <w:rsid w:val="000D1A37"/>
    <w:rsid w:val="000D35DA"/>
    <w:rsid w:val="000D4234"/>
    <w:rsid w:val="000E1AE2"/>
    <w:rsid w:val="00100DE5"/>
    <w:rsid w:val="001A1D2C"/>
    <w:rsid w:val="001A73E8"/>
    <w:rsid w:val="001C3FA0"/>
    <w:rsid w:val="001E38AE"/>
    <w:rsid w:val="001E4F72"/>
    <w:rsid w:val="00220F89"/>
    <w:rsid w:val="0023346B"/>
    <w:rsid w:val="00237757"/>
    <w:rsid w:val="00260A05"/>
    <w:rsid w:val="00272367"/>
    <w:rsid w:val="0028454A"/>
    <w:rsid w:val="00290503"/>
    <w:rsid w:val="002B3EA7"/>
    <w:rsid w:val="002D4D4A"/>
    <w:rsid w:val="002E0F55"/>
    <w:rsid w:val="002E4450"/>
    <w:rsid w:val="002F4077"/>
    <w:rsid w:val="002F6837"/>
    <w:rsid w:val="00317660"/>
    <w:rsid w:val="00332D22"/>
    <w:rsid w:val="00341E21"/>
    <w:rsid w:val="00345439"/>
    <w:rsid w:val="00351E62"/>
    <w:rsid w:val="00365688"/>
    <w:rsid w:val="00367923"/>
    <w:rsid w:val="003958B8"/>
    <w:rsid w:val="003B09E9"/>
    <w:rsid w:val="003E6FB9"/>
    <w:rsid w:val="003F39E8"/>
    <w:rsid w:val="003F70B7"/>
    <w:rsid w:val="00404E37"/>
    <w:rsid w:val="00424DE7"/>
    <w:rsid w:val="00435477"/>
    <w:rsid w:val="00475A35"/>
    <w:rsid w:val="004D4DC6"/>
    <w:rsid w:val="004E1E77"/>
    <w:rsid w:val="00502E26"/>
    <w:rsid w:val="00520A37"/>
    <w:rsid w:val="00530199"/>
    <w:rsid w:val="005429D6"/>
    <w:rsid w:val="00556CFD"/>
    <w:rsid w:val="00563FE1"/>
    <w:rsid w:val="0056505F"/>
    <w:rsid w:val="00572F39"/>
    <w:rsid w:val="00596E56"/>
    <w:rsid w:val="005B3372"/>
    <w:rsid w:val="005B3E42"/>
    <w:rsid w:val="005C69A9"/>
    <w:rsid w:val="005D488F"/>
    <w:rsid w:val="005F2760"/>
    <w:rsid w:val="005F7820"/>
    <w:rsid w:val="0060488D"/>
    <w:rsid w:val="00612B73"/>
    <w:rsid w:val="006242FF"/>
    <w:rsid w:val="00634D57"/>
    <w:rsid w:val="00642E0B"/>
    <w:rsid w:val="006515E6"/>
    <w:rsid w:val="0065233F"/>
    <w:rsid w:val="00656692"/>
    <w:rsid w:val="0069160B"/>
    <w:rsid w:val="006A6BFA"/>
    <w:rsid w:val="006C1F82"/>
    <w:rsid w:val="006C2038"/>
    <w:rsid w:val="006F24CA"/>
    <w:rsid w:val="00700074"/>
    <w:rsid w:val="007232C2"/>
    <w:rsid w:val="00725EBC"/>
    <w:rsid w:val="007368C7"/>
    <w:rsid w:val="00743FFC"/>
    <w:rsid w:val="00762959"/>
    <w:rsid w:val="00771FD2"/>
    <w:rsid w:val="00785AE3"/>
    <w:rsid w:val="00794DF8"/>
    <w:rsid w:val="007B70CE"/>
    <w:rsid w:val="007F7C05"/>
    <w:rsid w:val="00820881"/>
    <w:rsid w:val="00824069"/>
    <w:rsid w:val="0082440E"/>
    <w:rsid w:val="00825BDF"/>
    <w:rsid w:val="008324C6"/>
    <w:rsid w:val="0084202F"/>
    <w:rsid w:val="00861617"/>
    <w:rsid w:val="00871673"/>
    <w:rsid w:val="008875EF"/>
    <w:rsid w:val="008A4F28"/>
    <w:rsid w:val="008C6761"/>
    <w:rsid w:val="008E104D"/>
    <w:rsid w:val="008F1039"/>
    <w:rsid w:val="009069F3"/>
    <w:rsid w:val="00921F30"/>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6451E"/>
    <w:rsid w:val="00A96FC2"/>
    <w:rsid w:val="00AB3462"/>
    <w:rsid w:val="00AD0D07"/>
    <w:rsid w:val="00B27E42"/>
    <w:rsid w:val="00B318E4"/>
    <w:rsid w:val="00B34550"/>
    <w:rsid w:val="00B53B5E"/>
    <w:rsid w:val="00B70B23"/>
    <w:rsid w:val="00B90154"/>
    <w:rsid w:val="00BB5E15"/>
    <w:rsid w:val="00BE0F17"/>
    <w:rsid w:val="00BE49BE"/>
    <w:rsid w:val="00BF2D45"/>
    <w:rsid w:val="00BF33C0"/>
    <w:rsid w:val="00BF704E"/>
    <w:rsid w:val="00C10A27"/>
    <w:rsid w:val="00C264F3"/>
    <w:rsid w:val="00C31C40"/>
    <w:rsid w:val="00C66BB9"/>
    <w:rsid w:val="00C85F9F"/>
    <w:rsid w:val="00CB3C44"/>
    <w:rsid w:val="00CB7EE0"/>
    <w:rsid w:val="00CD3C6A"/>
    <w:rsid w:val="00CD6898"/>
    <w:rsid w:val="00D142D4"/>
    <w:rsid w:val="00D245EF"/>
    <w:rsid w:val="00D3528B"/>
    <w:rsid w:val="00D563B3"/>
    <w:rsid w:val="00D81573"/>
    <w:rsid w:val="00D819B7"/>
    <w:rsid w:val="00D92153"/>
    <w:rsid w:val="00DA56D5"/>
    <w:rsid w:val="00DE0B8D"/>
    <w:rsid w:val="00E0280B"/>
    <w:rsid w:val="00E3346D"/>
    <w:rsid w:val="00E47A61"/>
    <w:rsid w:val="00E532FF"/>
    <w:rsid w:val="00E725A7"/>
    <w:rsid w:val="00E81CAF"/>
    <w:rsid w:val="00E9358F"/>
    <w:rsid w:val="00EA1D12"/>
    <w:rsid w:val="00EA306B"/>
    <w:rsid w:val="00EE355B"/>
    <w:rsid w:val="00EE39AB"/>
    <w:rsid w:val="00F301EA"/>
    <w:rsid w:val="00F36616"/>
    <w:rsid w:val="00F404D4"/>
    <w:rsid w:val="00F45106"/>
    <w:rsid w:val="00F6637A"/>
    <w:rsid w:val="00F674AB"/>
    <w:rsid w:val="00F8714C"/>
    <w:rsid w:val="00F95481"/>
    <w:rsid w:val="00FB3DBC"/>
    <w:rsid w:val="00FC5F2E"/>
    <w:rsid w:val="011252A5"/>
    <w:rsid w:val="0120510D"/>
    <w:rsid w:val="01323CE1"/>
    <w:rsid w:val="0147153B"/>
    <w:rsid w:val="0147778C"/>
    <w:rsid w:val="015D329E"/>
    <w:rsid w:val="016622FC"/>
    <w:rsid w:val="016C149F"/>
    <w:rsid w:val="016F4DA6"/>
    <w:rsid w:val="017C0E40"/>
    <w:rsid w:val="01897993"/>
    <w:rsid w:val="01914DAD"/>
    <w:rsid w:val="0193166C"/>
    <w:rsid w:val="01A66C10"/>
    <w:rsid w:val="01AD28EF"/>
    <w:rsid w:val="01B14C06"/>
    <w:rsid w:val="01CF7329"/>
    <w:rsid w:val="0255229F"/>
    <w:rsid w:val="0275233D"/>
    <w:rsid w:val="02A426AA"/>
    <w:rsid w:val="02A904A1"/>
    <w:rsid w:val="02AE7397"/>
    <w:rsid w:val="02B349AE"/>
    <w:rsid w:val="02BF6684"/>
    <w:rsid w:val="02CA1EB1"/>
    <w:rsid w:val="02D45AC0"/>
    <w:rsid w:val="02EB3C7C"/>
    <w:rsid w:val="02EE1086"/>
    <w:rsid w:val="02FC758B"/>
    <w:rsid w:val="030527A6"/>
    <w:rsid w:val="03052C5C"/>
    <w:rsid w:val="03123DCA"/>
    <w:rsid w:val="03136C76"/>
    <w:rsid w:val="03164EFB"/>
    <w:rsid w:val="032B082C"/>
    <w:rsid w:val="034B55DC"/>
    <w:rsid w:val="03661A20"/>
    <w:rsid w:val="03804B57"/>
    <w:rsid w:val="03984DFB"/>
    <w:rsid w:val="03A013D6"/>
    <w:rsid w:val="03A16859"/>
    <w:rsid w:val="03AF05A0"/>
    <w:rsid w:val="03C1660E"/>
    <w:rsid w:val="03DE21C1"/>
    <w:rsid w:val="044031CE"/>
    <w:rsid w:val="0446618F"/>
    <w:rsid w:val="04471852"/>
    <w:rsid w:val="04741311"/>
    <w:rsid w:val="04775B53"/>
    <w:rsid w:val="047C6AF9"/>
    <w:rsid w:val="04A42800"/>
    <w:rsid w:val="04B137A1"/>
    <w:rsid w:val="04D05CEB"/>
    <w:rsid w:val="050E530B"/>
    <w:rsid w:val="052F2A11"/>
    <w:rsid w:val="05306B0B"/>
    <w:rsid w:val="05420D44"/>
    <w:rsid w:val="055C132D"/>
    <w:rsid w:val="057B0424"/>
    <w:rsid w:val="057D6F2B"/>
    <w:rsid w:val="05C945A2"/>
    <w:rsid w:val="05D51E87"/>
    <w:rsid w:val="05F25272"/>
    <w:rsid w:val="05F872A7"/>
    <w:rsid w:val="060D1105"/>
    <w:rsid w:val="062005AC"/>
    <w:rsid w:val="066E17CD"/>
    <w:rsid w:val="06831F7D"/>
    <w:rsid w:val="06875525"/>
    <w:rsid w:val="068E19BA"/>
    <w:rsid w:val="069A1BF8"/>
    <w:rsid w:val="069A210C"/>
    <w:rsid w:val="06B449B9"/>
    <w:rsid w:val="06BE20C2"/>
    <w:rsid w:val="06E5236E"/>
    <w:rsid w:val="071445D6"/>
    <w:rsid w:val="07171649"/>
    <w:rsid w:val="07367D1C"/>
    <w:rsid w:val="073C579A"/>
    <w:rsid w:val="07593D76"/>
    <w:rsid w:val="07A34FF1"/>
    <w:rsid w:val="07CD4764"/>
    <w:rsid w:val="07F12200"/>
    <w:rsid w:val="07F17F5D"/>
    <w:rsid w:val="080A4163"/>
    <w:rsid w:val="08341433"/>
    <w:rsid w:val="08600069"/>
    <w:rsid w:val="086E3851"/>
    <w:rsid w:val="08713341"/>
    <w:rsid w:val="08850B9A"/>
    <w:rsid w:val="089352D4"/>
    <w:rsid w:val="08957B56"/>
    <w:rsid w:val="08960800"/>
    <w:rsid w:val="089C2F11"/>
    <w:rsid w:val="08A869F8"/>
    <w:rsid w:val="08A934DA"/>
    <w:rsid w:val="08C416C3"/>
    <w:rsid w:val="08CA4233"/>
    <w:rsid w:val="08CC67C9"/>
    <w:rsid w:val="08CF1E16"/>
    <w:rsid w:val="08D93A2A"/>
    <w:rsid w:val="08F70DBA"/>
    <w:rsid w:val="091066B6"/>
    <w:rsid w:val="09271C52"/>
    <w:rsid w:val="09287EA3"/>
    <w:rsid w:val="09333501"/>
    <w:rsid w:val="09451F87"/>
    <w:rsid w:val="095435C4"/>
    <w:rsid w:val="09677181"/>
    <w:rsid w:val="096C6849"/>
    <w:rsid w:val="097D36AD"/>
    <w:rsid w:val="0983332C"/>
    <w:rsid w:val="09970B85"/>
    <w:rsid w:val="09C90306"/>
    <w:rsid w:val="09EF2623"/>
    <w:rsid w:val="09F61E11"/>
    <w:rsid w:val="0A0869AB"/>
    <w:rsid w:val="0A1026E6"/>
    <w:rsid w:val="0A432ABB"/>
    <w:rsid w:val="0A64181A"/>
    <w:rsid w:val="0A661CB2"/>
    <w:rsid w:val="0A696D2F"/>
    <w:rsid w:val="0A826D85"/>
    <w:rsid w:val="0AB37C41"/>
    <w:rsid w:val="0ABF1974"/>
    <w:rsid w:val="0AC459AA"/>
    <w:rsid w:val="0AC91CF5"/>
    <w:rsid w:val="0AD43799"/>
    <w:rsid w:val="0ADE52FB"/>
    <w:rsid w:val="0B163D2C"/>
    <w:rsid w:val="0B440899"/>
    <w:rsid w:val="0B546D61"/>
    <w:rsid w:val="0B5A4560"/>
    <w:rsid w:val="0B5D0F23"/>
    <w:rsid w:val="0B636D50"/>
    <w:rsid w:val="0B725656"/>
    <w:rsid w:val="0B845139"/>
    <w:rsid w:val="0B863E1B"/>
    <w:rsid w:val="0B8D2240"/>
    <w:rsid w:val="0BB319DF"/>
    <w:rsid w:val="0BCD6AE0"/>
    <w:rsid w:val="0BDB09C6"/>
    <w:rsid w:val="0BE43E2A"/>
    <w:rsid w:val="0BE8618A"/>
    <w:rsid w:val="0BF84FAD"/>
    <w:rsid w:val="0C08040B"/>
    <w:rsid w:val="0C0C0F43"/>
    <w:rsid w:val="0C3A5E22"/>
    <w:rsid w:val="0C41127C"/>
    <w:rsid w:val="0C5953CC"/>
    <w:rsid w:val="0C8344D6"/>
    <w:rsid w:val="0CA628FD"/>
    <w:rsid w:val="0CAA59E7"/>
    <w:rsid w:val="0CAD06C0"/>
    <w:rsid w:val="0CB55E9D"/>
    <w:rsid w:val="0CD56232"/>
    <w:rsid w:val="0CDD71F7"/>
    <w:rsid w:val="0CEC23AD"/>
    <w:rsid w:val="0CF87E14"/>
    <w:rsid w:val="0CF956B3"/>
    <w:rsid w:val="0CFC0E63"/>
    <w:rsid w:val="0D026C5D"/>
    <w:rsid w:val="0D1F511A"/>
    <w:rsid w:val="0D344206"/>
    <w:rsid w:val="0D3D7C96"/>
    <w:rsid w:val="0D4234FE"/>
    <w:rsid w:val="0D5325AB"/>
    <w:rsid w:val="0D9F0822"/>
    <w:rsid w:val="0DAE46EF"/>
    <w:rsid w:val="0DB1662B"/>
    <w:rsid w:val="0DC92BD9"/>
    <w:rsid w:val="0DED6FC6"/>
    <w:rsid w:val="0E3A5F83"/>
    <w:rsid w:val="0E493C18"/>
    <w:rsid w:val="0E4D215A"/>
    <w:rsid w:val="0E590AFF"/>
    <w:rsid w:val="0E8B2881"/>
    <w:rsid w:val="0EC046DA"/>
    <w:rsid w:val="0EC341CA"/>
    <w:rsid w:val="0EC47A9B"/>
    <w:rsid w:val="0ECA4388"/>
    <w:rsid w:val="0EDE591C"/>
    <w:rsid w:val="0EEF1133"/>
    <w:rsid w:val="0F16254C"/>
    <w:rsid w:val="0F2033CB"/>
    <w:rsid w:val="0F5D63CD"/>
    <w:rsid w:val="0F673371"/>
    <w:rsid w:val="0F82150A"/>
    <w:rsid w:val="0F823732"/>
    <w:rsid w:val="0F8B4CE8"/>
    <w:rsid w:val="0F994686"/>
    <w:rsid w:val="0F9D2C6D"/>
    <w:rsid w:val="0FA855DC"/>
    <w:rsid w:val="0FB00BA1"/>
    <w:rsid w:val="0FB12275"/>
    <w:rsid w:val="0FB8461F"/>
    <w:rsid w:val="0FC93BAC"/>
    <w:rsid w:val="0FCE5AA7"/>
    <w:rsid w:val="0FDA06AA"/>
    <w:rsid w:val="0FE71E38"/>
    <w:rsid w:val="0FED59A3"/>
    <w:rsid w:val="0FFD1F8A"/>
    <w:rsid w:val="10260C4A"/>
    <w:rsid w:val="103B6780"/>
    <w:rsid w:val="103C2486"/>
    <w:rsid w:val="106A6870"/>
    <w:rsid w:val="109C2F25"/>
    <w:rsid w:val="10CF32FA"/>
    <w:rsid w:val="10D64E3F"/>
    <w:rsid w:val="10D821AF"/>
    <w:rsid w:val="11195D33"/>
    <w:rsid w:val="11270A41"/>
    <w:rsid w:val="11421D1E"/>
    <w:rsid w:val="114478F3"/>
    <w:rsid w:val="11497791"/>
    <w:rsid w:val="114B275F"/>
    <w:rsid w:val="114C66F9"/>
    <w:rsid w:val="114F61E9"/>
    <w:rsid w:val="115455AE"/>
    <w:rsid w:val="11567578"/>
    <w:rsid w:val="11625F1D"/>
    <w:rsid w:val="116E48C1"/>
    <w:rsid w:val="11A12E9C"/>
    <w:rsid w:val="11B175BA"/>
    <w:rsid w:val="11C35425"/>
    <w:rsid w:val="11CB0ABE"/>
    <w:rsid w:val="11D0732A"/>
    <w:rsid w:val="11DF30C9"/>
    <w:rsid w:val="120D5F1A"/>
    <w:rsid w:val="124318AA"/>
    <w:rsid w:val="12462A13"/>
    <w:rsid w:val="1246451D"/>
    <w:rsid w:val="125A21BA"/>
    <w:rsid w:val="126857B5"/>
    <w:rsid w:val="12707CC2"/>
    <w:rsid w:val="12902616"/>
    <w:rsid w:val="12B502CE"/>
    <w:rsid w:val="12BE4CF0"/>
    <w:rsid w:val="12BE7514"/>
    <w:rsid w:val="12C45546"/>
    <w:rsid w:val="12C50511"/>
    <w:rsid w:val="12CA1FCB"/>
    <w:rsid w:val="12F23667"/>
    <w:rsid w:val="13142914"/>
    <w:rsid w:val="13182D37"/>
    <w:rsid w:val="131A5D86"/>
    <w:rsid w:val="13450785"/>
    <w:rsid w:val="13492C3E"/>
    <w:rsid w:val="13541895"/>
    <w:rsid w:val="136832FB"/>
    <w:rsid w:val="136C13C9"/>
    <w:rsid w:val="137D5290"/>
    <w:rsid w:val="1380268A"/>
    <w:rsid w:val="138A3509"/>
    <w:rsid w:val="139B3968"/>
    <w:rsid w:val="13C54541"/>
    <w:rsid w:val="13D11138"/>
    <w:rsid w:val="1423361E"/>
    <w:rsid w:val="14414227"/>
    <w:rsid w:val="148B71F2"/>
    <w:rsid w:val="14AC506E"/>
    <w:rsid w:val="14B758D9"/>
    <w:rsid w:val="14DC2624"/>
    <w:rsid w:val="14EC556C"/>
    <w:rsid w:val="14ED4C07"/>
    <w:rsid w:val="150A6C50"/>
    <w:rsid w:val="152622CD"/>
    <w:rsid w:val="152B4878"/>
    <w:rsid w:val="156C1313"/>
    <w:rsid w:val="15777BAE"/>
    <w:rsid w:val="159D6AB8"/>
    <w:rsid w:val="15A10682"/>
    <w:rsid w:val="15B17473"/>
    <w:rsid w:val="15BB103C"/>
    <w:rsid w:val="15CC520E"/>
    <w:rsid w:val="15EA028F"/>
    <w:rsid w:val="15EC53BE"/>
    <w:rsid w:val="160010AB"/>
    <w:rsid w:val="16037773"/>
    <w:rsid w:val="161926EB"/>
    <w:rsid w:val="162639BD"/>
    <w:rsid w:val="164D5A97"/>
    <w:rsid w:val="165027E8"/>
    <w:rsid w:val="165B045C"/>
    <w:rsid w:val="16AD13EE"/>
    <w:rsid w:val="16D2243E"/>
    <w:rsid w:val="17553257"/>
    <w:rsid w:val="175F4DEF"/>
    <w:rsid w:val="176D3360"/>
    <w:rsid w:val="1783602D"/>
    <w:rsid w:val="178960E8"/>
    <w:rsid w:val="178E7A6B"/>
    <w:rsid w:val="179130B8"/>
    <w:rsid w:val="17A41BF6"/>
    <w:rsid w:val="17B971EC"/>
    <w:rsid w:val="17BE4FC6"/>
    <w:rsid w:val="17D71D32"/>
    <w:rsid w:val="17EE22B8"/>
    <w:rsid w:val="17F3777E"/>
    <w:rsid w:val="17FA5A9D"/>
    <w:rsid w:val="18056756"/>
    <w:rsid w:val="18265F06"/>
    <w:rsid w:val="184053F5"/>
    <w:rsid w:val="185E4CC5"/>
    <w:rsid w:val="187A0187"/>
    <w:rsid w:val="18AD6299"/>
    <w:rsid w:val="18E51BB8"/>
    <w:rsid w:val="190074CB"/>
    <w:rsid w:val="19043EF9"/>
    <w:rsid w:val="19145D4E"/>
    <w:rsid w:val="191A15F5"/>
    <w:rsid w:val="19474DFF"/>
    <w:rsid w:val="1948712E"/>
    <w:rsid w:val="19490C01"/>
    <w:rsid w:val="1976106E"/>
    <w:rsid w:val="19801636"/>
    <w:rsid w:val="19B54B1C"/>
    <w:rsid w:val="19B81AED"/>
    <w:rsid w:val="19DB6F92"/>
    <w:rsid w:val="19E8093A"/>
    <w:rsid w:val="19F175EA"/>
    <w:rsid w:val="19F24683"/>
    <w:rsid w:val="19F35727"/>
    <w:rsid w:val="1A026D2C"/>
    <w:rsid w:val="1A231FC1"/>
    <w:rsid w:val="1A614337"/>
    <w:rsid w:val="1A686637"/>
    <w:rsid w:val="1A6B4094"/>
    <w:rsid w:val="1A974E89"/>
    <w:rsid w:val="1A9810B8"/>
    <w:rsid w:val="1A9D3CF0"/>
    <w:rsid w:val="1AAB2622"/>
    <w:rsid w:val="1AAB4490"/>
    <w:rsid w:val="1AC437A4"/>
    <w:rsid w:val="1AD559B1"/>
    <w:rsid w:val="1AEA23F8"/>
    <w:rsid w:val="1AF851FC"/>
    <w:rsid w:val="1AFE2976"/>
    <w:rsid w:val="1B017B61"/>
    <w:rsid w:val="1B3C44E1"/>
    <w:rsid w:val="1B3C77DE"/>
    <w:rsid w:val="1B55319F"/>
    <w:rsid w:val="1B806CE9"/>
    <w:rsid w:val="1B83540D"/>
    <w:rsid w:val="1B9A3A81"/>
    <w:rsid w:val="1BA230F4"/>
    <w:rsid w:val="1BAC6712"/>
    <w:rsid w:val="1BBB5839"/>
    <w:rsid w:val="1BBD7954"/>
    <w:rsid w:val="1BBE1FA1"/>
    <w:rsid w:val="1BD143CB"/>
    <w:rsid w:val="1BE90209"/>
    <w:rsid w:val="1BEA58FD"/>
    <w:rsid w:val="1BF04D31"/>
    <w:rsid w:val="1BFC4701"/>
    <w:rsid w:val="1C2D2DA0"/>
    <w:rsid w:val="1C67088B"/>
    <w:rsid w:val="1C766D20"/>
    <w:rsid w:val="1C9606E0"/>
    <w:rsid w:val="1CA83733"/>
    <w:rsid w:val="1CCB785F"/>
    <w:rsid w:val="1CE30315"/>
    <w:rsid w:val="1CEB5018"/>
    <w:rsid w:val="1CF3211F"/>
    <w:rsid w:val="1D195886"/>
    <w:rsid w:val="1D2572EE"/>
    <w:rsid w:val="1D28776C"/>
    <w:rsid w:val="1D2E7027"/>
    <w:rsid w:val="1D4604A0"/>
    <w:rsid w:val="1D4D182F"/>
    <w:rsid w:val="1D69418F"/>
    <w:rsid w:val="1D8E1D40"/>
    <w:rsid w:val="1D9C4564"/>
    <w:rsid w:val="1DA90A2F"/>
    <w:rsid w:val="1DD97567"/>
    <w:rsid w:val="1E116D00"/>
    <w:rsid w:val="1E1B5FBF"/>
    <w:rsid w:val="1E764DB5"/>
    <w:rsid w:val="1E7828DC"/>
    <w:rsid w:val="1E7A4EA8"/>
    <w:rsid w:val="1E84307A"/>
    <w:rsid w:val="1E8705EE"/>
    <w:rsid w:val="1E935967"/>
    <w:rsid w:val="1ECD36FB"/>
    <w:rsid w:val="1ED40414"/>
    <w:rsid w:val="1EE75CB3"/>
    <w:rsid w:val="1F0C74C8"/>
    <w:rsid w:val="1F1A70F4"/>
    <w:rsid w:val="1F2A46BF"/>
    <w:rsid w:val="1F2B4AC3"/>
    <w:rsid w:val="1F4C5B16"/>
    <w:rsid w:val="1F4D3D68"/>
    <w:rsid w:val="1F7A7B58"/>
    <w:rsid w:val="1F996C3D"/>
    <w:rsid w:val="1FA55A2E"/>
    <w:rsid w:val="1FB33A33"/>
    <w:rsid w:val="1FE223E3"/>
    <w:rsid w:val="1FFC5694"/>
    <w:rsid w:val="1FFF695C"/>
    <w:rsid w:val="202B1BD0"/>
    <w:rsid w:val="20397D96"/>
    <w:rsid w:val="20477F87"/>
    <w:rsid w:val="204D1B46"/>
    <w:rsid w:val="20752BA2"/>
    <w:rsid w:val="207E61A3"/>
    <w:rsid w:val="208D41D2"/>
    <w:rsid w:val="209F2433"/>
    <w:rsid w:val="20B6593D"/>
    <w:rsid w:val="20DB35F6"/>
    <w:rsid w:val="20DB4653"/>
    <w:rsid w:val="213F215E"/>
    <w:rsid w:val="213F520D"/>
    <w:rsid w:val="214D3D79"/>
    <w:rsid w:val="216E1D7D"/>
    <w:rsid w:val="216E446A"/>
    <w:rsid w:val="21937A2C"/>
    <w:rsid w:val="21BF051D"/>
    <w:rsid w:val="21C65FE8"/>
    <w:rsid w:val="21EE3AEA"/>
    <w:rsid w:val="2208666C"/>
    <w:rsid w:val="221B014E"/>
    <w:rsid w:val="221B0E79"/>
    <w:rsid w:val="223167BE"/>
    <w:rsid w:val="224270DA"/>
    <w:rsid w:val="2282521A"/>
    <w:rsid w:val="22895006"/>
    <w:rsid w:val="22923AD3"/>
    <w:rsid w:val="22941CAE"/>
    <w:rsid w:val="22B67E76"/>
    <w:rsid w:val="22C45A5A"/>
    <w:rsid w:val="22C5067A"/>
    <w:rsid w:val="23103A2A"/>
    <w:rsid w:val="2341295B"/>
    <w:rsid w:val="23436FC0"/>
    <w:rsid w:val="23466363"/>
    <w:rsid w:val="23514CF6"/>
    <w:rsid w:val="235605DC"/>
    <w:rsid w:val="23720241"/>
    <w:rsid w:val="239E4995"/>
    <w:rsid w:val="23C640E9"/>
    <w:rsid w:val="23DE58D7"/>
    <w:rsid w:val="23F073B8"/>
    <w:rsid w:val="23FD5146"/>
    <w:rsid w:val="24181880"/>
    <w:rsid w:val="24257BFD"/>
    <w:rsid w:val="243F148B"/>
    <w:rsid w:val="24572F93"/>
    <w:rsid w:val="247D028C"/>
    <w:rsid w:val="248A0A3D"/>
    <w:rsid w:val="2492046F"/>
    <w:rsid w:val="24AF4B7D"/>
    <w:rsid w:val="24B2657A"/>
    <w:rsid w:val="24C3625D"/>
    <w:rsid w:val="24D31D0B"/>
    <w:rsid w:val="24DD3C24"/>
    <w:rsid w:val="250273A3"/>
    <w:rsid w:val="25063B0E"/>
    <w:rsid w:val="25274F1B"/>
    <w:rsid w:val="25276704"/>
    <w:rsid w:val="252E2902"/>
    <w:rsid w:val="25435F18"/>
    <w:rsid w:val="2576348C"/>
    <w:rsid w:val="25801278"/>
    <w:rsid w:val="258778A8"/>
    <w:rsid w:val="25A55F80"/>
    <w:rsid w:val="25B3069D"/>
    <w:rsid w:val="25D961D0"/>
    <w:rsid w:val="25F018F1"/>
    <w:rsid w:val="25F24769"/>
    <w:rsid w:val="26217CFD"/>
    <w:rsid w:val="26307DFC"/>
    <w:rsid w:val="26467C7A"/>
    <w:rsid w:val="266521B4"/>
    <w:rsid w:val="26B166FF"/>
    <w:rsid w:val="26CD7528"/>
    <w:rsid w:val="272C6959"/>
    <w:rsid w:val="27363334"/>
    <w:rsid w:val="27475541"/>
    <w:rsid w:val="2754116D"/>
    <w:rsid w:val="27676AF8"/>
    <w:rsid w:val="27735A1F"/>
    <w:rsid w:val="27AC1848"/>
    <w:rsid w:val="27B20A9C"/>
    <w:rsid w:val="27B80866"/>
    <w:rsid w:val="27C36786"/>
    <w:rsid w:val="27C43035"/>
    <w:rsid w:val="27CC0673"/>
    <w:rsid w:val="284C2C15"/>
    <w:rsid w:val="284C4C3E"/>
    <w:rsid w:val="285A2C3A"/>
    <w:rsid w:val="289B0711"/>
    <w:rsid w:val="289C2F2E"/>
    <w:rsid w:val="28A2213D"/>
    <w:rsid w:val="28A45B9D"/>
    <w:rsid w:val="28AF339E"/>
    <w:rsid w:val="28C123B1"/>
    <w:rsid w:val="28C657AC"/>
    <w:rsid w:val="28C72DDD"/>
    <w:rsid w:val="28DE0127"/>
    <w:rsid w:val="28FE70EC"/>
    <w:rsid w:val="2908744F"/>
    <w:rsid w:val="290B39DC"/>
    <w:rsid w:val="291357F1"/>
    <w:rsid w:val="29253660"/>
    <w:rsid w:val="294A2291"/>
    <w:rsid w:val="295470C2"/>
    <w:rsid w:val="295C30F4"/>
    <w:rsid w:val="2967011C"/>
    <w:rsid w:val="2978504E"/>
    <w:rsid w:val="297A7E50"/>
    <w:rsid w:val="29954C89"/>
    <w:rsid w:val="299E4EE5"/>
    <w:rsid w:val="29B24674"/>
    <w:rsid w:val="29C61A3E"/>
    <w:rsid w:val="2A220A40"/>
    <w:rsid w:val="2A445EEB"/>
    <w:rsid w:val="2A5812C3"/>
    <w:rsid w:val="2A585CB7"/>
    <w:rsid w:val="2A915D79"/>
    <w:rsid w:val="2AB718E1"/>
    <w:rsid w:val="2AB845D9"/>
    <w:rsid w:val="2AB9599B"/>
    <w:rsid w:val="2AB962FC"/>
    <w:rsid w:val="2AFC6642"/>
    <w:rsid w:val="2AFE23BA"/>
    <w:rsid w:val="2B4D019C"/>
    <w:rsid w:val="2B7121F4"/>
    <w:rsid w:val="2B9A4002"/>
    <w:rsid w:val="2B9E2D39"/>
    <w:rsid w:val="2BA03472"/>
    <w:rsid w:val="2BAA69F8"/>
    <w:rsid w:val="2BD22280"/>
    <w:rsid w:val="2BDD15B2"/>
    <w:rsid w:val="2C1861F1"/>
    <w:rsid w:val="2C222FE3"/>
    <w:rsid w:val="2C327ED5"/>
    <w:rsid w:val="2C5F5FDF"/>
    <w:rsid w:val="2C6646BB"/>
    <w:rsid w:val="2C7147BB"/>
    <w:rsid w:val="2C766949"/>
    <w:rsid w:val="2CD76BE7"/>
    <w:rsid w:val="2CD8693B"/>
    <w:rsid w:val="2CFA64EC"/>
    <w:rsid w:val="2D0839C4"/>
    <w:rsid w:val="2D095047"/>
    <w:rsid w:val="2D0B5263"/>
    <w:rsid w:val="2D23435A"/>
    <w:rsid w:val="2D261C60"/>
    <w:rsid w:val="2D316684"/>
    <w:rsid w:val="2D354E16"/>
    <w:rsid w:val="2D6B05ED"/>
    <w:rsid w:val="2D737F53"/>
    <w:rsid w:val="2D7C1CBC"/>
    <w:rsid w:val="2D8A374F"/>
    <w:rsid w:val="2DCB1063"/>
    <w:rsid w:val="2DD34DB1"/>
    <w:rsid w:val="2DDA4C9A"/>
    <w:rsid w:val="2DFD3E6B"/>
    <w:rsid w:val="2E1819E5"/>
    <w:rsid w:val="2E187C37"/>
    <w:rsid w:val="2E1F0887"/>
    <w:rsid w:val="2E242797"/>
    <w:rsid w:val="2E3A138A"/>
    <w:rsid w:val="2E5642BC"/>
    <w:rsid w:val="2E9A75B6"/>
    <w:rsid w:val="2EA96AE1"/>
    <w:rsid w:val="2EC622A9"/>
    <w:rsid w:val="2EE542C4"/>
    <w:rsid w:val="2EF67C47"/>
    <w:rsid w:val="2F083152"/>
    <w:rsid w:val="2F0E0EF2"/>
    <w:rsid w:val="2F103898"/>
    <w:rsid w:val="2F1C638E"/>
    <w:rsid w:val="2F1F5442"/>
    <w:rsid w:val="2F4F7689"/>
    <w:rsid w:val="2F7505E9"/>
    <w:rsid w:val="2F807568"/>
    <w:rsid w:val="2F8D701B"/>
    <w:rsid w:val="2FCE4F9E"/>
    <w:rsid w:val="2FF65D56"/>
    <w:rsid w:val="301C78C6"/>
    <w:rsid w:val="3037083C"/>
    <w:rsid w:val="3038011D"/>
    <w:rsid w:val="30495DF7"/>
    <w:rsid w:val="309335A5"/>
    <w:rsid w:val="30A12166"/>
    <w:rsid w:val="30CE0A81"/>
    <w:rsid w:val="30DC319E"/>
    <w:rsid w:val="30EB7F92"/>
    <w:rsid w:val="30EC0F07"/>
    <w:rsid w:val="30F71601"/>
    <w:rsid w:val="30F82B8D"/>
    <w:rsid w:val="30FB754E"/>
    <w:rsid w:val="31540F86"/>
    <w:rsid w:val="316D5680"/>
    <w:rsid w:val="318B62FF"/>
    <w:rsid w:val="319C0B7F"/>
    <w:rsid w:val="31C1669D"/>
    <w:rsid w:val="31D41125"/>
    <w:rsid w:val="31DB5204"/>
    <w:rsid w:val="32095D09"/>
    <w:rsid w:val="321275D6"/>
    <w:rsid w:val="32211576"/>
    <w:rsid w:val="32541BBF"/>
    <w:rsid w:val="3256363B"/>
    <w:rsid w:val="32695F1B"/>
    <w:rsid w:val="327B7B6B"/>
    <w:rsid w:val="32851613"/>
    <w:rsid w:val="328865F4"/>
    <w:rsid w:val="328E07F0"/>
    <w:rsid w:val="32AB107A"/>
    <w:rsid w:val="32AD41D4"/>
    <w:rsid w:val="32D0606E"/>
    <w:rsid w:val="32FE5BCA"/>
    <w:rsid w:val="330811E7"/>
    <w:rsid w:val="331D0913"/>
    <w:rsid w:val="331D35FA"/>
    <w:rsid w:val="33242BDA"/>
    <w:rsid w:val="33356B95"/>
    <w:rsid w:val="33460500"/>
    <w:rsid w:val="336134F5"/>
    <w:rsid w:val="336E1E5D"/>
    <w:rsid w:val="3384518C"/>
    <w:rsid w:val="33890C8F"/>
    <w:rsid w:val="338A4AA9"/>
    <w:rsid w:val="339A66C5"/>
    <w:rsid w:val="33E95D1A"/>
    <w:rsid w:val="33F32DD8"/>
    <w:rsid w:val="33FF71DA"/>
    <w:rsid w:val="34012F1B"/>
    <w:rsid w:val="340B58B2"/>
    <w:rsid w:val="341516C9"/>
    <w:rsid w:val="3430149B"/>
    <w:rsid w:val="34382A36"/>
    <w:rsid w:val="344B78F6"/>
    <w:rsid w:val="34563E00"/>
    <w:rsid w:val="34677222"/>
    <w:rsid w:val="34AD033F"/>
    <w:rsid w:val="350C5BF4"/>
    <w:rsid w:val="350E3B42"/>
    <w:rsid w:val="353C06AF"/>
    <w:rsid w:val="353D3E4A"/>
    <w:rsid w:val="353E0CA5"/>
    <w:rsid w:val="35694E5F"/>
    <w:rsid w:val="3589693D"/>
    <w:rsid w:val="35A90D5E"/>
    <w:rsid w:val="35B068EC"/>
    <w:rsid w:val="35D95EFE"/>
    <w:rsid w:val="35FC0710"/>
    <w:rsid w:val="36103B4B"/>
    <w:rsid w:val="361B0C42"/>
    <w:rsid w:val="366754AB"/>
    <w:rsid w:val="36753BF9"/>
    <w:rsid w:val="36873BAC"/>
    <w:rsid w:val="369B1C26"/>
    <w:rsid w:val="369B739F"/>
    <w:rsid w:val="36B95E63"/>
    <w:rsid w:val="36BD11DA"/>
    <w:rsid w:val="36E0150E"/>
    <w:rsid w:val="37023232"/>
    <w:rsid w:val="37176727"/>
    <w:rsid w:val="37270EEB"/>
    <w:rsid w:val="37296A11"/>
    <w:rsid w:val="372E04CB"/>
    <w:rsid w:val="37404D66"/>
    <w:rsid w:val="374750E9"/>
    <w:rsid w:val="374C137A"/>
    <w:rsid w:val="37976071"/>
    <w:rsid w:val="37A91900"/>
    <w:rsid w:val="37C07B1C"/>
    <w:rsid w:val="37CE1CBB"/>
    <w:rsid w:val="37E312B6"/>
    <w:rsid w:val="37ED5899"/>
    <w:rsid w:val="37FB3D3C"/>
    <w:rsid w:val="382673F4"/>
    <w:rsid w:val="382C6504"/>
    <w:rsid w:val="382E7B37"/>
    <w:rsid w:val="386046B4"/>
    <w:rsid w:val="387C7014"/>
    <w:rsid w:val="38A4483B"/>
    <w:rsid w:val="38A65E3F"/>
    <w:rsid w:val="38E321C8"/>
    <w:rsid w:val="38E7064E"/>
    <w:rsid w:val="38EB631B"/>
    <w:rsid w:val="38F1355F"/>
    <w:rsid w:val="38F372D7"/>
    <w:rsid w:val="38F566EC"/>
    <w:rsid w:val="391E1E7A"/>
    <w:rsid w:val="392A6A70"/>
    <w:rsid w:val="392E6561"/>
    <w:rsid w:val="39355268"/>
    <w:rsid w:val="39365BED"/>
    <w:rsid w:val="395732EF"/>
    <w:rsid w:val="396D2EF0"/>
    <w:rsid w:val="3995038E"/>
    <w:rsid w:val="39A4356C"/>
    <w:rsid w:val="39D55FF8"/>
    <w:rsid w:val="39E649DB"/>
    <w:rsid w:val="3A041A9A"/>
    <w:rsid w:val="3A1714B2"/>
    <w:rsid w:val="3A1944AD"/>
    <w:rsid w:val="3A235B6E"/>
    <w:rsid w:val="3A3A5DC4"/>
    <w:rsid w:val="3A655FB2"/>
    <w:rsid w:val="3A683CF4"/>
    <w:rsid w:val="3A695377"/>
    <w:rsid w:val="3A75715F"/>
    <w:rsid w:val="3A7E0E9C"/>
    <w:rsid w:val="3AA21D55"/>
    <w:rsid w:val="3AA42CDA"/>
    <w:rsid w:val="3AC52EF5"/>
    <w:rsid w:val="3ACC6031"/>
    <w:rsid w:val="3AD76784"/>
    <w:rsid w:val="3ADB6274"/>
    <w:rsid w:val="3AEA6013"/>
    <w:rsid w:val="3AF6663D"/>
    <w:rsid w:val="3B0F5F1E"/>
    <w:rsid w:val="3B253993"/>
    <w:rsid w:val="3B4200A1"/>
    <w:rsid w:val="3B556027"/>
    <w:rsid w:val="3B6547D3"/>
    <w:rsid w:val="3B94712C"/>
    <w:rsid w:val="3BA548F3"/>
    <w:rsid w:val="3BAA2C3A"/>
    <w:rsid w:val="3BBB11DD"/>
    <w:rsid w:val="3BC44F5A"/>
    <w:rsid w:val="3BD4795A"/>
    <w:rsid w:val="3BFA549D"/>
    <w:rsid w:val="3BFB6994"/>
    <w:rsid w:val="3C2854E9"/>
    <w:rsid w:val="3C2D124D"/>
    <w:rsid w:val="3C556055"/>
    <w:rsid w:val="3C886C7E"/>
    <w:rsid w:val="3C89358C"/>
    <w:rsid w:val="3C973023"/>
    <w:rsid w:val="3CA52FDE"/>
    <w:rsid w:val="3CAD324B"/>
    <w:rsid w:val="3CC05722"/>
    <w:rsid w:val="3CC55133"/>
    <w:rsid w:val="3D4D0D5E"/>
    <w:rsid w:val="3D5A3DC8"/>
    <w:rsid w:val="3D786894"/>
    <w:rsid w:val="3D7D263D"/>
    <w:rsid w:val="3D9646D4"/>
    <w:rsid w:val="3DB80AEF"/>
    <w:rsid w:val="3DB9219A"/>
    <w:rsid w:val="3DBD311F"/>
    <w:rsid w:val="3DBE3F84"/>
    <w:rsid w:val="3DE67F9A"/>
    <w:rsid w:val="3DF6046D"/>
    <w:rsid w:val="3E23240C"/>
    <w:rsid w:val="3E582C65"/>
    <w:rsid w:val="3E5E1696"/>
    <w:rsid w:val="3E683F2A"/>
    <w:rsid w:val="3E774506"/>
    <w:rsid w:val="3E904F2C"/>
    <w:rsid w:val="3E911D3D"/>
    <w:rsid w:val="3EB27775"/>
    <w:rsid w:val="3EBC63BD"/>
    <w:rsid w:val="3EC61739"/>
    <w:rsid w:val="3EE719CC"/>
    <w:rsid w:val="3EED6576"/>
    <w:rsid w:val="3EFB14C6"/>
    <w:rsid w:val="3F062386"/>
    <w:rsid w:val="3F0A5895"/>
    <w:rsid w:val="3F1C1719"/>
    <w:rsid w:val="3F1E7077"/>
    <w:rsid w:val="3F253F62"/>
    <w:rsid w:val="3F2C2D48"/>
    <w:rsid w:val="3F2D72BA"/>
    <w:rsid w:val="3F4E170B"/>
    <w:rsid w:val="3F6E3B5B"/>
    <w:rsid w:val="3F89006D"/>
    <w:rsid w:val="3FA66610"/>
    <w:rsid w:val="3FA96941"/>
    <w:rsid w:val="3FC47810"/>
    <w:rsid w:val="3FE1127E"/>
    <w:rsid w:val="3FF14667"/>
    <w:rsid w:val="4009481A"/>
    <w:rsid w:val="401E31BF"/>
    <w:rsid w:val="401F30A7"/>
    <w:rsid w:val="405C1A5F"/>
    <w:rsid w:val="408353E4"/>
    <w:rsid w:val="409672FB"/>
    <w:rsid w:val="409D5D7A"/>
    <w:rsid w:val="40AE762D"/>
    <w:rsid w:val="40C33F68"/>
    <w:rsid w:val="40C90B3F"/>
    <w:rsid w:val="40E90910"/>
    <w:rsid w:val="40EB6FE9"/>
    <w:rsid w:val="41022FFD"/>
    <w:rsid w:val="41067DC3"/>
    <w:rsid w:val="41313477"/>
    <w:rsid w:val="41410DFB"/>
    <w:rsid w:val="414A4DB7"/>
    <w:rsid w:val="41571E7B"/>
    <w:rsid w:val="415B28B8"/>
    <w:rsid w:val="41686762"/>
    <w:rsid w:val="41801923"/>
    <w:rsid w:val="41CB5A31"/>
    <w:rsid w:val="41FD2F74"/>
    <w:rsid w:val="41FF76F5"/>
    <w:rsid w:val="420C64FE"/>
    <w:rsid w:val="421107CE"/>
    <w:rsid w:val="422229DB"/>
    <w:rsid w:val="42415965"/>
    <w:rsid w:val="424B3CDF"/>
    <w:rsid w:val="42703746"/>
    <w:rsid w:val="42734B21"/>
    <w:rsid w:val="42843BD2"/>
    <w:rsid w:val="42997141"/>
    <w:rsid w:val="42B17904"/>
    <w:rsid w:val="42B51AA1"/>
    <w:rsid w:val="42CF2B62"/>
    <w:rsid w:val="42F75C15"/>
    <w:rsid w:val="43052F92"/>
    <w:rsid w:val="43120CA1"/>
    <w:rsid w:val="43505313"/>
    <w:rsid w:val="43790D20"/>
    <w:rsid w:val="43AC15BA"/>
    <w:rsid w:val="43AD2778"/>
    <w:rsid w:val="43B05365"/>
    <w:rsid w:val="43B6787E"/>
    <w:rsid w:val="43C156DA"/>
    <w:rsid w:val="43CF0940"/>
    <w:rsid w:val="43D67F21"/>
    <w:rsid w:val="43E837B0"/>
    <w:rsid w:val="442778D7"/>
    <w:rsid w:val="442F6B74"/>
    <w:rsid w:val="444B56D1"/>
    <w:rsid w:val="444D132B"/>
    <w:rsid w:val="446763F9"/>
    <w:rsid w:val="447B7966"/>
    <w:rsid w:val="44A40D42"/>
    <w:rsid w:val="44AB6CB7"/>
    <w:rsid w:val="44BB52FF"/>
    <w:rsid w:val="44D658C9"/>
    <w:rsid w:val="44D9323B"/>
    <w:rsid w:val="44DF2E05"/>
    <w:rsid w:val="44F67775"/>
    <w:rsid w:val="45036AF3"/>
    <w:rsid w:val="45126D36"/>
    <w:rsid w:val="451F7738"/>
    <w:rsid w:val="45281C10"/>
    <w:rsid w:val="45375E5B"/>
    <w:rsid w:val="45592BB7"/>
    <w:rsid w:val="455B11FA"/>
    <w:rsid w:val="457847A0"/>
    <w:rsid w:val="457F34E4"/>
    <w:rsid w:val="45811A13"/>
    <w:rsid w:val="458D2861"/>
    <w:rsid w:val="45922779"/>
    <w:rsid w:val="45986A36"/>
    <w:rsid w:val="459D4DD2"/>
    <w:rsid w:val="45A353F2"/>
    <w:rsid w:val="45C20653"/>
    <w:rsid w:val="460960BC"/>
    <w:rsid w:val="461940F5"/>
    <w:rsid w:val="46241A0F"/>
    <w:rsid w:val="46303A88"/>
    <w:rsid w:val="464253F9"/>
    <w:rsid w:val="465A1C7B"/>
    <w:rsid w:val="465E6322"/>
    <w:rsid w:val="467B7B0D"/>
    <w:rsid w:val="46BF14ED"/>
    <w:rsid w:val="46C64056"/>
    <w:rsid w:val="46D71FE6"/>
    <w:rsid w:val="46E22739"/>
    <w:rsid w:val="46E6575F"/>
    <w:rsid w:val="46E82445"/>
    <w:rsid w:val="46F74436"/>
    <w:rsid w:val="46FA2F17"/>
    <w:rsid w:val="46FC1253"/>
    <w:rsid w:val="4703102D"/>
    <w:rsid w:val="4723347D"/>
    <w:rsid w:val="472965B9"/>
    <w:rsid w:val="473D47BE"/>
    <w:rsid w:val="47596E9F"/>
    <w:rsid w:val="475B1636"/>
    <w:rsid w:val="475B1642"/>
    <w:rsid w:val="478832E0"/>
    <w:rsid w:val="479F2405"/>
    <w:rsid w:val="47BA5463"/>
    <w:rsid w:val="47D46525"/>
    <w:rsid w:val="48053C7E"/>
    <w:rsid w:val="480F57AF"/>
    <w:rsid w:val="486F19CC"/>
    <w:rsid w:val="48943F06"/>
    <w:rsid w:val="48BB7EDC"/>
    <w:rsid w:val="48BD345D"/>
    <w:rsid w:val="48BE1AC7"/>
    <w:rsid w:val="48C91E02"/>
    <w:rsid w:val="48CA19D1"/>
    <w:rsid w:val="48D16C6E"/>
    <w:rsid w:val="48E629B4"/>
    <w:rsid w:val="48E63F75"/>
    <w:rsid w:val="49331BA1"/>
    <w:rsid w:val="495468E5"/>
    <w:rsid w:val="49671C6F"/>
    <w:rsid w:val="496F0653"/>
    <w:rsid w:val="497A134E"/>
    <w:rsid w:val="49AE7610"/>
    <w:rsid w:val="49C60E16"/>
    <w:rsid w:val="49EE4CC3"/>
    <w:rsid w:val="4A095D85"/>
    <w:rsid w:val="4A227A1C"/>
    <w:rsid w:val="4A3E2B7F"/>
    <w:rsid w:val="4A4C4A99"/>
    <w:rsid w:val="4A58790A"/>
    <w:rsid w:val="4A630FB1"/>
    <w:rsid w:val="4A7519D3"/>
    <w:rsid w:val="4A835FE1"/>
    <w:rsid w:val="4AD7199F"/>
    <w:rsid w:val="4ADE279D"/>
    <w:rsid w:val="4AF76EC2"/>
    <w:rsid w:val="4AFB0936"/>
    <w:rsid w:val="4B014DB7"/>
    <w:rsid w:val="4B040FB2"/>
    <w:rsid w:val="4B06733D"/>
    <w:rsid w:val="4B107F25"/>
    <w:rsid w:val="4B46773A"/>
    <w:rsid w:val="4B517E8D"/>
    <w:rsid w:val="4B756271"/>
    <w:rsid w:val="4B907E78"/>
    <w:rsid w:val="4B9601F2"/>
    <w:rsid w:val="4B9E1324"/>
    <w:rsid w:val="4BA13982"/>
    <w:rsid w:val="4BB06DB8"/>
    <w:rsid w:val="4BBA4483"/>
    <w:rsid w:val="4BCC4733"/>
    <w:rsid w:val="4BD41354"/>
    <w:rsid w:val="4BD42F98"/>
    <w:rsid w:val="4C101AF6"/>
    <w:rsid w:val="4C1F546B"/>
    <w:rsid w:val="4C2F01CE"/>
    <w:rsid w:val="4C32039C"/>
    <w:rsid w:val="4C431ECB"/>
    <w:rsid w:val="4C4C2744"/>
    <w:rsid w:val="4C4E4E5E"/>
    <w:rsid w:val="4C4F6AC2"/>
    <w:rsid w:val="4C673E0C"/>
    <w:rsid w:val="4C924171"/>
    <w:rsid w:val="4C9241D9"/>
    <w:rsid w:val="4C9269AF"/>
    <w:rsid w:val="4CCA5657"/>
    <w:rsid w:val="4CD34FFD"/>
    <w:rsid w:val="4CE076EB"/>
    <w:rsid w:val="4CEE62DB"/>
    <w:rsid w:val="4D0E4287"/>
    <w:rsid w:val="4D30575A"/>
    <w:rsid w:val="4D3B091F"/>
    <w:rsid w:val="4D413338"/>
    <w:rsid w:val="4D675EDB"/>
    <w:rsid w:val="4D897DB2"/>
    <w:rsid w:val="4D8E361A"/>
    <w:rsid w:val="4DA61D05"/>
    <w:rsid w:val="4DA81066"/>
    <w:rsid w:val="4DAD3AA0"/>
    <w:rsid w:val="4DB41D5F"/>
    <w:rsid w:val="4DE4148C"/>
    <w:rsid w:val="4DE568B7"/>
    <w:rsid w:val="4E015B9A"/>
    <w:rsid w:val="4E146D0E"/>
    <w:rsid w:val="4E152BE6"/>
    <w:rsid w:val="4E1C315D"/>
    <w:rsid w:val="4E203E45"/>
    <w:rsid w:val="4E224F4B"/>
    <w:rsid w:val="4E2D4CA9"/>
    <w:rsid w:val="4E424566"/>
    <w:rsid w:val="4E4812DB"/>
    <w:rsid w:val="4E4B5AA0"/>
    <w:rsid w:val="4E5E2FEC"/>
    <w:rsid w:val="4E83512E"/>
    <w:rsid w:val="4EA02D52"/>
    <w:rsid w:val="4EBF6917"/>
    <w:rsid w:val="4EC47B64"/>
    <w:rsid w:val="4EC72940"/>
    <w:rsid w:val="4ECC43FA"/>
    <w:rsid w:val="4EDB0D1F"/>
    <w:rsid w:val="4EDB63EB"/>
    <w:rsid w:val="4EEC23A6"/>
    <w:rsid w:val="4EEF633A"/>
    <w:rsid w:val="4F2A2ECF"/>
    <w:rsid w:val="4F2E29BF"/>
    <w:rsid w:val="4F3B50DC"/>
    <w:rsid w:val="4F4F0A39"/>
    <w:rsid w:val="4F7C5E20"/>
    <w:rsid w:val="4F7D558E"/>
    <w:rsid w:val="4F9273F2"/>
    <w:rsid w:val="4FD712A8"/>
    <w:rsid w:val="502B6EFE"/>
    <w:rsid w:val="50384490"/>
    <w:rsid w:val="50540473"/>
    <w:rsid w:val="505E122B"/>
    <w:rsid w:val="50697210"/>
    <w:rsid w:val="5079410E"/>
    <w:rsid w:val="508C359C"/>
    <w:rsid w:val="509F5F83"/>
    <w:rsid w:val="50F46DCC"/>
    <w:rsid w:val="51183927"/>
    <w:rsid w:val="511B51C5"/>
    <w:rsid w:val="511C2EB9"/>
    <w:rsid w:val="5124051D"/>
    <w:rsid w:val="51254295"/>
    <w:rsid w:val="512F2A1E"/>
    <w:rsid w:val="51391784"/>
    <w:rsid w:val="513D38B6"/>
    <w:rsid w:val="51581F75"/>
    <w:rsid w:val="51612A46"/>
    <w:rsid w:val="51772B2B"/>
    <w:rsid w:val="518965D2"/>
    <w:rsid w:val="51AE18CA"/>
    <w:rsid w:val="51B75E38"/>
    <w:rsid w:val="51BC6678"/>
    <w:rsid w:val="51C5755B"/>
    <w:rsid w:val="51CE781B"/>
    <w:rsid w:val="52612F1E"/>
    <w:rsid w:val="52AB2578"/>
    <w:rsid w:val="52B50785"/>
    <w:rsid w:val="52BB415A"/>
    <w:rsid w:val="52DB3467"/>
    <w:rsid w:val="532D7B72"/>
    <w:rsid w:val="53403699"/>
    <w:rsid w:val="534F0C9B"/>
    <w:rsid w:val="537961D3"/>
    <w:rsid w:val="537E1DC9"/>
    <w:rsid w:val="53BF452D"/>
    <w:rsid w:val="53C90F08"/>
    <w:rsid w:val="53D14261"/>
    <w:rsid w:val="53DC50DF"/>
    <w:rsid w:val="53F3442D"/>
    <w:rsid w:val="54057813"/>
    <w:rsid w:val="540B1A2E"/>
    <w:rsid w:val="5412080D"/>
    <w:rsid w:val="54411362"/>
    <w:rsid w:val="544D6654"/>
    <w:rsid w:val="54547C25"/>
    <w:rsid w:val="545B6505"/>
    <w:rsid w:val="54880DC3"/>
    <w:rsid w:val="54933F1F"/>
    <w:rsid w:val="549A694D"/>
    <w:rsid w:val="54A11EB4"/>
    <w:rsid w:val="54A6447C"/>
    <w:rsid w:val="54AA6F8B"/>
    <w:rsid w:val="54FA3343"/>
    <w:rsid w:val="55104779"/>
    <w:rsid w:val="55145697"/>
    <w:rsid w:val="552503C0"/>
    <w:rsid w:val="552A0593"/>
    <w:rsid w:val="55603898"/>
    <w:rsid w:val="556919D2"/>
    <w:rsid w:val="55786DF3"/>
    <w:rsid w:val="557944D6"/>
    <w:rsid w:val="558F1CDD"/>
    <w:rsid w:val="55A16DE2"/>
    <w:rsid w:val="55A33E57"/>
    <w:rsid w:val="55AC0AE1"/>
    <w:rsid w:val="55C0185C"/>
    <w:rsid w:val="55E76AFC"/>
    <w:rsid w:val="55F5798E"/>
    <w:rsid w:val="561F5757"/>
    <w:rsid w:val="56552EF1"/>
    <w:rsid w:val="56581F0E"/>
    <w:rsid w:val="56743027"/>
    <w:rsid w:val="5681005E"/>
    <w:rsid w:val="569577C7"/>
    <w:rsid w:val="569B45F1"/>
    <w:rsid w:val="56B040AF"/>
    <w:rsid w:val="56B94728"/>
    <w:rsid w:val="56D73988"/>
    <w:rsid w:val="56DF4C61"/>
    <w:rsid w:val="56EC1A44"/>
    <w:rsid w:val="56FB3ACE"/>
    <w:rsid w:val="570B7A8A"/>
    <w:rsid w:val="57141815"/>
    <w:rsid w:val="5714693E"/>
    <w:rsid w:val="571D488D"/>
    <w:rsid w:val="572C4367"/>
    <w:rsid w:val="5737262D"/>
    <w:rsid w:val="57931F59"/>
    <w:rsid w:val="579B705F"/>
    <w:rsid w:val="57A2219C"/>
    <w:rsid w:val="57BF2D4E"/>
    <w:rsid w:val="57C42BD2"/>
    <w:rsid w:val="57CA6292"/>
    <w:rsid w:val="57D46B1C"/>
    <w:rsid w:val="57E83060"/>
    <w:rsid w:val="57EA3B43"/>
    <w:rsid w:val="57FB24AF"/>
    <w:rsid w:val="581A0D29"/>
    <w:rsid w:val="581F5768"/>
    <w:rsid w:val="583E0E16"/>
    <w:rsid w:val="58496ABB"/>
    <w:rsid w:val="58580FB7"/>
    <w:rsid w:val="587530F2"/>
    <w:rsid w:val="587C43CC"/>
    <w:rsid w:val="587D0513"/>
    <w:rsid w:val="588C0756"/>
    <w:rsid w:val="588F375F"/>
    <w:rsid w:val="5898534D"/>
    <w:rsid w:val="58A40196"/>
    <w:rsid w:val="58A957AC"/>
    <w:rsid w:val="58C074B6"/>
    <w:rsid w:val="58DC16DE"/>
    <w:rsid w:val="58EE6FF9"/>
    <w:rsid w:val="5904145C"/>
    <w:rsid w:val="590B5B1F"/>
    <w:rsid w:val="592554A0"/>
    <w:rsid w:val="5931231E"/>
    <w:rsid w:val="59387D46"/>
    <w:rsid w:val="5949081C"/>
    <w:rsid w:val="595D0E79"/>
    <w:rsid w:val="596D0588"/>
    <w:rsid w:val="59771E25"/>
    <w:rsid w:val="598700A8"/>
    <w:rsid w:val="598B321A"/>
    <w:rsid w:val="59B47051"/>
    <w:rsid w:val="59CD5A4A"/>
    <w:rsid w:val="59E720E8"/>
    <w:rsid w:val="59E925D2"/>
    <w:rsid w:val="5A0C7DA1"/>
    <w:rsid w:val="5A162510"/>
    <w:rsid w:val="5A1F7AD4"/>
    <w:rsid w:val="5A4F7C8D"/>
    <w:rsid w:val="5A696FA1"/>
    <w:rsid w:val="5A8C0EE1"/>
    <w:rsid w:val="5ACE769D"/>
    <w:rsid w:val="5B0942E0"/>
    <w:rsid w:val="5B19774E"/>
    <w:rsid w:val="5B3F116D"/>
    <w:rsid w:val="5B527A35"/>
    <w:rsid w:val="5B6B0AF7"/>
    <w:rsid w:val="5B7D784B"/>
    <w:rsid w:val="5B8878FB"/>
    <w:rsid w:val="5BD248F1"/>
    <w:rsid w:val="5BEF34D6"/>
    <w:rsid w:val="5C05719D"/>
    <w:rsid w:val="5C0C50F0"/>
    <w:rsid w:val="5C4A2E02"/>
    <w:rsid w:val="5C530746"/>
    <w:rsid w:val="5C6A7000"/>
    <w:rsid w:val="5C8059A1"/>
    <w:rsid w:val="5C841E70"/>
    <w:rsid w:val="5C9127DF"/>
    <w:rsid w:val="5CD728E8"/>
    <w:rsid w:val="5CE07E1D"/>
    <w:rsid w:val="5CEC1141"/>
    <w:rsid w:val="5D184CAE"/>
    <w:rsid w:val="5D3D17A2"/>
    <w:rsid w:val="5D442AC7"/>
    <w:rsid w:val="5D4A5ACD"/>
    <w:rsid w:val="5D621292"/>
    <w:rsid w:val="5D7B2E17"/>
    <w:rsid w:val="5DA22E1F"/>
    <w:rsid w:val="5DC6517F"/>
    <w:rsid w:val="5DDE5652"/>
    <w:rsid w:val="5DFE3466"/>
    <w:rsid w:val="5E0C65C1"/>
    <w:rsid w:val="5E3E4D98"/>
    <w:rsid w:val="5E431982"/>
    <w:rsid w:val="5E4915C3"/>
    <w:rsid w:val="5E554AE4"/>
    <w:rsid w:val="5E7F1E4C"/>
    <w:rsid w:val="5E84084D"/>
    <w:rsid w:val="5EC95F75"/>
    <w:rsid w:val="5ED44178"/>
    <w:rsid w:val="5F1C5490"/>
    <w:rsid w:val="5F2731DB"/>
    <w:rsid w:val="5F434264"/>
    <w:rsid w:val="5F50072F"/>
    <w:rsid w:val="5F751F44"/>
    <w:rsid w:val="5F9F1AF5"/>
    <w:rsid w:val="5FDE3F8D"/>
    <w:rsid w:val="5FE5531C"/>
    <w:rsid w:val="5FE62E42"/>
    <w:rsid w:val="5FFD535B"/>
    <w:rsid w:val="60026CA8"/>
    <w:rsid w:val="603B7746"/>
    <w:rsid w:val="603D5158"/>
    <w:rsid w:val="6044205E"/>
    <w:rsid w:val="608363D1"/>
    <w:rsid w:val="60876579"/>
    <w:rsid w:val="6090729E"/>
    <w:rsid w:val="60980A56"/>
    <w:rsid w:val="60C60DF5"/>
    <w:rsid w:val="61070F6D"/>
    <w:rsid w:val="611A2DA3"/>
    <w:rsid w:val="612D5A66"/>
    <w:rsid w:val="6131633F"/>
    <w:rsid w:val="6146003C"/>
    <w:rsid w:val="61521DAB"/>
    <w:rsid w:val="6170489A"/>
    <w:rsid w:val="6171504A"/>
    <w:rsid w:val="61811074"/>
    <w:rsid w:val="61860438"/>
    <w:rsid w:val="618D5C6B"/>
    <w:rsid w:val="61962114"/>
    <w:rsid w:val="61AB1046"/>
    <w:rsid w:val="61AE2690"/>
    <w:rsid w:val="61C70B0D"/>
    <w:rsid w:val="61C80A51"/>
    <w:rsid w:val="61CD465C"/>
    <w:rsid w:val="61F335F4"/>
    <w:rsid w:val="61F65E83"/>
    <w:rsid w:val="62131E29"/>
    <w:rsid w:val="622532E5"/>
    <w:rsid w:val="62302A18"/>
    <w:rsid w:val="62436329"/>
    <w:rsid w:val="62464A53"/>
    <w:rsid w:val="62485429"/>
    <w:rsid w:val="627A5057"/>
    <w:rsid w:val="62A212A2"/>
    <w:rsid w:val="62A80882"/>
    <w:rsid w:val="62C95C8A"/>
    <w:rsid w:val="62D022B3"/>
    <w:rsid w:val="62D56107"/>
    <w:rsid w:val="62D60F4C"/>
    <w:rsid w:val="63006119"/>
    <w:rsid w:val="630B3168"/>
    <w:rsid w:val="633D147A"/>
    <w:rsid w:val="634B193A"/>
    <w:rsid w:val="634E7E04"/>
    <w:rsid w:val="635C295A"/>
    <w:rsid w:val="635D3BD6"/>
    <w:rsid w:val="6368271D"/>
    <w:rsid w:val="637013A0"/>
    <w:rsid w:val="637D1D0F"/>
    <w:rsid w:val="63906262"/>
    <w:rsid w:val="63BC6393"/>
    <w:rsid w:val="63BF40D6"/>
    <w:rsid w:val="63CC1F45"/>
    <w:rsid w:val="63F465B9"/>
    <w:rsid w:val="641B0143"/>
    <w:rsid w:val="642A16AE"/>
    <w:rsid w:val="643A0529"/>
    <w:rsid w:val="643B3383"/>
    <w:rsid w:val="643F0D73"/>
    <w:rsid w:val="645E7643"/>
    <w:rsid w:val="648F78A0"/>
    <w:rsid w:val="64910871"/>
    <w:rsid w:val="649965F2"/>
    <w:rsid w:val="64A20939"/>
    <w:rsid w:val="64A30647"/>
    <w:rsid w:val="64B41760"/>
    <w:rsid w:val="64EC4654"/>
    <w:rsid w:val="653A1C66"/>
    <w:rsid w:val="653F727C"/>
    <w:rsid w:val="654C7BEB"/>
    <w:rsid w:val="65607CAE"/>
    <w:rsid w:val="656D0202"/>
    <w:rsid w:val="65716E00"/>
    <w:rsid w:val="658166E9"/>
    <w:rsid w:val="65817895"/>
    <w:rsid w:val="65A842A2"/>
    <w:rsid w:val="65B17A4E"/>
    <w:rsid w:val="65D379C4"/>
    <w:rsid w:val="66306D14"/>
    <w:rsid w:val="664F13E5"/>
    <w:rsid w:val="66507267"/>
    <w:rsid w:val="66612BA8"/>
    <w:rsid w:val="6695111E"/>
    <w:rsid w:val="66BF1B5F"/>
    <w:rsid w:val="66CD08B8"/>
    <w:rsid w:val="67112E9A"/>
    <w:rsid w:val="671464E6"/>
    <w:rsid w:val="67154518"/>
    <w:rsid w:val="674C7A2E"/>
    <w:rsid w:val="6751773B"/>
    <w:rsid w:val="676C679E"/>
    <w:rsid w:val="678F3DBF"/>
    <w:rsid w:val="67957182"/>
    <w:rsid w:val="67CB00B6"/>
    <w:rsid w:val="67D7311C"/>
    <w:rsid w:val="67F31013"/>
    <w:rsid w:val="68097EB5"/>
    <w:rsid w:val="6812125B"/>
    <w:rsid w:val="681F15E7"/>
    <w:rsid w:val="68262975"/>
    <w:rsid w:val="683D381B"/>
    <w:rsid w:val="68425130"/>
    <w:rsid w:val="68464DC5"/>
    <w:rsid w:val="685257B7"/>
    <w:rsid w:val="686A1038"/>
    <w:rsid w:val="686E2A42"/>
    <w:rsid w:val="689C20DC"/>
    <w:rsid w:val="689C3E04"/>
    <w:rsid w:val="689F6BEB"/>
    <w:rsid w:val="68B0298D"/>
    <w:rsid w:val="68BC03CD"/>
    <w:rsid w:val="68CB0FAF"/>
    <w:rsid w:val="68E24AEE"/>
    <w:rsid w:val="691602F4"/>
    <w:rsid w:val="692A062E"/>
    <w:rsid w:val="694A3FCB"/>
    <w:rsid w:val="69707BA9"/>
    <w:rsid w:val="69787200"/>
    <w:rsid w:val="69900F8C"/>
    <w:rsid w:val="69B34AB5"/>
    <w:rsid w:val="69BD1270"/>
    <w:rsid w:val="69DA16C4"/>
    <w:rsid w:val="69DC3A7E"/>
    <w:rsid w:val="69E568B5"/>
    <w:rsid w:val="69E71C90"/>
    <w:rsid w:val="69E80EAC"/>
    <w:rsid w:val="69FC427E"/>
    <w:rsid w:val="6A1B69D6"/>
    <w:rsid w:val="6A62349D"/>
    <w:rsid w:val="6ABC6BD6"/>
    <w:rsid w:val="6AC16985"/>
    <w:rsid w:val="6AC709BE"/>
    <w:rsid w:val="6B077BD1"/>
    <w:rsid w:val="6B1765A5"/>
    <w:rsid w:val="6B177FC7"/>
    <w:rsid w:val="6B19546A"/>
    <w:rsid w:val="6B317667"/>
    <w:rsid w:val="6B613F56"/>
    <w:rsid w:val="6B621F16"/>
    <w:rsid w:val="6B6978AC"/>
    <w:rsid w:val="6BB12556"/>
    <w:rsid w:val="6BB32155"/>
    <w:rsid w:val="6BB77467"/>
    <w:rsid w:val="6BE835A9"/>
    <w:rsid w:val="6BF16DF6"/>
    <w:rsid w:val="6C00528B"/>
    <w:rsid w:val="6C007039"/>
    <w:rsid w:val="6C0407D9"/>
    <w:rsid w:val="6C223454"/>
    <w:rsid w:val="6C2471CC"/>
    <w:rsid w:val="6C54194D"/>
    <w:rsid w:val="6CDB1509"/>
    <w:rsid w:val="6CEC57A5"/>
    <w:rsid w:val="6CFC710B"/>
    <w:rsid w:val="6D003795"/>
    <w:rsid w:val="6D0A63C2"/>
    <w:rsid w:val="6D0D3AC3"/>
    <w:rsid w:val="6D0E2A1B"/>
    <w:rsid w:val="6D527D69"/>
    <w:rsid w:val="6D6526B8"/>
    <w:rsid w:val="6D986FCA"/>
    <w:rsid w:val="6DAD5461"/>
    <w:rsid w:val="6DC5678C"/>
    <w:rsid w:val="6DF901E4"/>
    <w:rsid w:val="6DFF3A4C"/>
    <w:rsid w:val="6E0E3C8F"/>
    <w:rsid w:val="6E1130C8"/>
    <w:rsid w:val="6E1E6CF4"/>
    <w:rsid w:val="6E3909F4"/>
    <w:rsid w:val="6E3E054B"/>
    <w:rsid w:val="6E4753F3"/>
    <w:rsid w:val="6E8403F6"/>
    <w:rsid w:val="6E8C1058"/>
    <w:rsid w:val="6E8C2E06"/>
    <w:rsid w:val="6E95615F"/>
    <w:rsid w:val="6EAD7350"/>
    <w:rsid w:val="6ED00F45"/>
    <w:rsid w:val="6EDF387E"/>
    <w:rsid w:val="6EF26F60"/>
    <w:rsid w:val="6F097400"/>
    <w:rsid w:val="6F250433"/>
    <w:rsid w:val="6F4768AA"/>
    <w:rsid w:val="6F6A770B"/>
    <w:rsid w:val="6F6F723A"/>
    <w:rsid w:val="6F7E35BE"/>
    <w:rsid w:val="6F9208F0"/>
    <w:rsid w:val="6F9D2906"/>
    <w:rsid w:val="6FA046F1"/>
    <w:rsid w:val="6FAF57A8"/>
    <w:rsid w:val="6FBB7D0C"/>
    <w:rsid w:val="6FBE7937"/>
    <w:rsid w:val="6FC50DC7"/>
    <w:rsid w:val="6FF27C19"/>
    <w:rsid w:val="6FFE7B6B"/>
    <w:rsid w:val="700A3F6D"/>
    <w:rsid w:val="70187047"/>
    <w:rsid w:val="70293003"/>
    <w:rsid w:val="706C7393"/>
    <w:rsid w:val="706F7915"/>
    <w:rsid w:val="70A74260"/>
    <w:rsid w:val="70A93AEA"/>
    <w:rsid w:val="70B63C4E"/>
    <w:rsid w:val="70B7060E"/>
    <w:rsid w:val="70BA1EAD"/>
    <w:rsid w:val="70BD199D"/>
    <w:rsid w:val="70C43D1A"/>
    <w:rsid w:val="70CC0E40"/>
    <w:rsid w:val="70EB50D1"/>
    <w:rsid w:val="71061F26"/>
    <w:rsid w:val="710B08D3"/>
    <w:rsid w:val="71287D44"/>
    <w:rsid w:val="71300AFA"/>
    <w:rsid w:val="713F5B42"/>
    <w:rsid w:val="71431EA2"/>
    <w:rsid w:val="714B6FA9"/>
    <w:rsid w:val="716562BC"/>
    <w:rsid w:val="716A5126"/>
    <w:rsid w:val="71866233"/>
    <w:rsid w:val="71881FAB"/>
    <w:rsid w:val="71944BCE"/>
    <w:rsid w:val="71964BB2"/>
    <w:rsid w:val="71A66149"/>
    <w:rsid w:val="71B92164"/>
    <w:rsid w:val="71DC62F5"/>
    <w:rsid w:val="71DF3877"/>
    <w:rsid w:val="71F94C57"/>
    <w:rsid w:val="720D4729"/>
    <w:rsid w:val="72143A86"/>
    <w:rsid w:val="72294E91"/>
    <w:rsid w:val="723F0393"/>
    <w:rsid w:val="7249173A"/>
    <w:rsid w:val="725549C1"/>
    <w:rsid w:val="72563136"/>
    <w:rsid w:val="7257109D"/>
    <w:rsid w:val="726D1462"/>
    <w:rsid w:val="727E762B"/>
    <w:rsid w:val="72A419EB"/>
    <w:rsid w:val="72AF46AD"/>
    <w:rsid w:val="72BE0C98"/>
    <w:rsid w:val="72BF19FC"/>
    <w:rsid w:val="73014E32"/>
    <w:rsid w:val="73660D5D"/>
    <w:rsid w:val="7372081D"/>
    <w:rsid w:val="73877A65"/>
    <w:rsid w:val="73894DC1"/>
    <w:rsid w:val="739D4008"/>
    <w:rsid w:val="73A15439"/>
    <w:rsid w:val="73A429A0"/>
    <w:rsid w:val="73A806E2"/>
    <w:rsid w:val="73C53042"/>
    <w:rsid w:val="73C90867"/>
    <w:rsid w:val="73D22833"/>
    <w:rsid w:val="73E76CA0"/>
    <w:rsid w:val="74341F76"/>
    <w:rsid w:val="744B3D4C"/>
    <w:rsid w:val="746D4A6F"/>
    <w:rsid w:val="74813359"/>
    <w:rsid w:val="74B8390C"/>
    <w:rsid w:val="74BD58E3"/>
    <w:rsid w:val="750202C6"/>
    <w:rsid w:val="7546337F"/>
    <w:rsid w:val="7565081D"/>
    <w:rsid w:val="756B19C7"/>
    <w:rsid w:val="757A60AE"/>
    <w:rsid w:val="75902036"/>
    <w:rsid w:val="75983717"/>
    <w:rsid w:val="75AA0651"/>
    <w:rsid w:val="75AC1FED"/>
    <w:rsid w:val="75C65F01"/>
    <w:rsid w:val="75F41B02"/>
    <w:rsid w:val="760836BA"/>
    <w:rsid w:val="76290390"/>
    <w:rsid w:val="762C7EDF"/>
    <w:rsid w:val="763B661C"/>
    <w:rsid w:val="763F6A80"/>
    <w:rsid w:val="764F3097"/>
    <w:rsid w:val="765B285F"/>
    <w:rsid w:val="76654669"/>
    <w:rsid w:val="76860973"/>
    <w:rsid w:val="76966F18"/>
    <w:rsid w:val="76A01B45"/>
    <w:rsid w:val="76A9033B"/>
    <w:rsid w:val="76BD4232"/>
    <w:rsid w:val="76E41157"/>
    <w:rsid w:val="7718792D"/>
    <w:rsid w:val="77291B3A"/>
    <w:rsid w:val="773301BF"/>
    <w:rsid w:val="774150D6"/>
    <w:rsid w:val="775C4879"/>
    <w:rsid w:val="77757724"/>
    <w:rsid w:val="778F6F79"/>
    <w:rsid w:val="77C17FC5"/>
    <w:rsid w:val="77E250AD"/>
    <w:rsid w:val="77FA34D6"/>
    <w:rsid w:val="78280044"/>
    <w:rsid w:val="782C432F"/>
    <w:rsid w:val="78564BB1"/>
    <w:rsid w:val="7899684C"/>
    <w:rsid w:val="78A75E67"/>
    <w:rsid w:val="78BF024C"/>
    <w:rsid w:val="78CC11E9"/>
    <w:rsid w:val="78D350B2"/>
    <w:rsid w:val="78F93787"/>
    <w:rsid w:val="7931273F"/>
    <w:rsid w:val="7936053E"/>
    <w:rsid w:val="79393B8B"/>
    <w:rsid w:val="79420C91"/>
    <w:rsid w:val="7950681C"/>
    <w:rsid w:val="79BB2FBE"/>
    <w:rsid w:val="79D00993"/>
    <w:rsid w:val="79D0629D"/>
    <w:rsid w:val="79F76A7E"/>
    <w:rsid w:val="7A0E5017"/>
    <w:rsid w:val="7A432F13"/>
    <w:rsid w:val="7A601D17"/>
    <w:rsid w:val="7A8F26F0"/>
    <w:rsid w:val="7ABA37B7"/>
    <w:rsid w:val="7AC3028B"/>
    <w:rsid w:val="7AFB284F"/>
    <w:rsid w:val="7B143699"/>
    <w:rsid w:val="7B230961"/>
    <w:rsid w:val="7B31700F"/>
    <w:rsid w:val="7B350BB3"/>
    <w:rsid w:val="7B424F78"/>
    <w:rsid w:val="7B531289"/>
    <w:rsid w:val="7B767318"/>
    <w:rsid w:val="7B863568"/>
    <w:rsid w:val="7B8707E1"/>
    <w:rsid w:val="7BDD546D"/>
    <w:rsid w:val="7BF4022C"/>
    <w:rsid w:val="7C240B22"/>
    <w:rsid w:val="7C4E5B9F"/>
    <w:rsid w:val="7C5D4D89"/>
    <w:rsid w:val="7C63164A"/>
    <w:rsid w:val="7C8F68E3"/>
    <w:rsid w:val="7C923227"/>
    <w:rsid w:val="7C9D3FBE"/>
    <w:rsid w:val="7CA04DA9"/>
    <w:rsid w:val="7CAF640A"/>
    <w:rsid w:val="7CB776DA"/>
    <w:rsid w:val="7CBB2FAE"/>
    <w:rsid w:val="7CBF1EE2"/>
    <w:rsid w:val="7CD24A22"/>
    <w:rsid w:val="7CD32D5E"/>
    <w:rsid w:val="7CDC31AB"/>
    <w:rsid w:val="7CDC60CE"/>
    <w:rsid w:val="7CDE6741"/>
    <w:rsid w:val="7D0C4147"/>
    <w:rsid w:val="7D21384A"/>
    <w:rsid w:val="7D8724A6"/>
    <w:rsid w:val="7D8A0E59"/>
    <w:rsid w:val="7D8A2C07"/>
    <w:rsid w:val="7DB008BF"/>
    <w:rsid w:val="7DC10D1E"/>
    <w:rsid w:val="7DD00F61"/>
    <w:rsid w:val="7DE652B4"/>
    <w:rsid w:val="7E0D4209"/>
    <w:rsid w:val="7E196BE2"/>
    <w:rsid w:val="7E891110"/>
    <w:rsid w:val="7E90249F"/>
    <w:rsid w:val="7E9B156F"/>
    <w:rsid w:val="7EA62E94"/>
    <w:rsid w:val="7EC02BB2"/>
    <w:rsid w:val="7EC32874"/>
    <w:rsid w:val="7ECD1661"/>
    <w:rsid w:val="7ED30C88"/>
    <w:rsid w:val="7EFE565A"/>
    <w:rsid w:val="7F0D2393"/>
    <w:rsid w:val="7F115983"/>
    <w:rsid w:val="7F2506AA"/>
    <w:rsid w:val="7F2A69C2"/>
    <w:rsid w:val="7F41310A"/>
    <w:rsid w:val="7F473ACE"/>
    <w:rsid w:val="7F5370A1"/>
    <w:rsid w:val="7F623E3B"/>
    <w:rsid w:val="7F6364A4"/>
    <w:rsid w:val="7F6B4E3B"/>
    <w:rsid w:val="7F767DA4"/>
    <w:rsid w:val="7F78637A"/>
    <w:rsid w:val="7F790A0F"/>
    <w:rsid w:val="7F9E0BEB"/>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79"/>
    <w:qFormat/>
    <w:uiPriority w:val="0"/>
    <w:pPr>
      <w:keepNext/>
      <w:snapToGrid w:val="0"/>
      <w:spacing w:line="360" w:lineRule="atLeast"/>
      <w:outlineLvl w:val="0"/>
    </w:pPr>
    <w:rPr>
      <w:rFonts w:ascii="宋体"/>
    </w:rPr>
  </w:style>
  <w:style w:type="paragraph" w:styleId="5">
    <w:name w:val="heading 2"/>
    <w:basedOn w:val="1"/>
    <w:next w:val="1"/>
    <w:link w:val="80"/>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76"/>
    <w:qFormat/>
    <w:uiPriority w:val="0"/>
    <w:pPr>
      <w:keepNext/>
      <w:keepLines/>
      <w:spacing w:before="200" w:after="200"/>
      <w:outlineLvl w:val="2"/>
    </w:pPr>
    <w:rPr>
      <w:rFonts w:ascii="Times New Roman" w:hAnsi="Times New Roman" w:eastAsia="宋体"/>
      <w:b/>
      <w:sz w:val="24"/>
      <w:szCs w:val="24"/>
    </w:rPr>
  </w:style>
  <w:style w:type="paragraph" w:styleId="7">
    <w:name w:val="heading 4"/>
    <w:basedOn w:val="1"/>
    <w:next w:val="1"/>
    <w:link w:val="81"/>
    <w:qFormat/>
    <w:uiPriority w:val="0"/>
    <w:pPr>
      <w:keepNext/>
      <w:keepLines/>
      <w:spacing w:before="280" w:after="290" w:line="372" w:lineRule="auto"/>
      <w:outlineLvl w:val="3"/>
    </w:pPr>
    <w:rPr>
      <w:rFonts w:ascii="Arial" w:hAnsi="Arial" w:eastAsia="黑体"/>
      <w:b/>
    </w:rPr>
  </w:style>
  <w:style w:type="paragraph" w:styleId="8">
    <w:name w:val="heading 5"/>
    <w:basedOn w:val="1"/>
    <w:next w:val="1"/>
    <w:link w:val="82"/>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link w:val="83"/>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link w:val="84"/>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link w:val="85"/>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link w:val="86"/>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197"/>
    <w:qFormat/>
    <w:uiPriority w:val="0"/>
    <w:pPr>
      <w:spacing w:line="360" w:lineRule="auto"/>
      <w:ind w:firstLine="420"/>
    </w:pPr>
    <w:rPr>
      <w:rFonts w:ascii="宋体" w:hAnsi="宋体"/>
      <w:sz w:val="24"/>
    </w:rPr>
  </w:style>
  <w:style w:type="paragraph" w:styleId="3">
    <w:name w:val="Body Text"/>
    <w:basedOn w:val="1"/>
    <w:next w:val="1"/>
    <w:link w:val="128"/>
    <w:qFormat/>
    <w:uiPriority w:val="0"/>
    <w:rPr>
      <w:rFonts w:ascii="仿宋_GB2312" w:hAnsi="Calibri" w:eastAsia="仿宋_GB2312" w:cs="宋体"/>
      <w:sz w:val="32"/>
      <w:szCs w:val="22"/>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39"/>
    <w:pPr>
      <w:ind w:left="2520" w:leftChars="1200"/>
    </w:pPr>
  </w:style>
  <w:style w:type="paragraph" w:styleId="15">
    <w:name w:val="List Number 2"/>
    <w:basedOn w:val="1"/>
    <w:qFormat/>
    <w:uiPriority w:val="0"/>
    <w:pPr>
      <w:numPr>
        <w:ilvl w:val="0"/>
        <w:numId w:val="1"/>
      </w:numPr>
      <w:tabs>
        <w:tab w:val="clear" w:pos="425"/>
      </w:tabs>
      <w:spacing w:line="360" w:lineRule="auto"/>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link w:val="159"/>
    <w:qFormat/>
    <w:uiPriority w:val="0"/>
    <w:pPr>
      <w:adjustRightInd w:val="0"/>
      <w:snapToGrid w:val="0"/>
      <w:spacing w:line="360" w:lineRule="auto"/>
      <w:ind w:firstLine="420"/>
    </w:pPr>
    <w:rPr>
      <w:rFonts w:ascii="Calibri" w:hAnsi="Calibri" w:cs="宋体"/>
      <w:sz w:val="24"/>
      <w:szCs w:val="22"/>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link w:val="89"/>
    <w:qFormat/>
    <w:uiPriority w:val="0"/>
    <w:pPr>
      <w:shd w:val="clear" w:color="auto" w:fill="000080"/>
    </w:pPr>
    <w:rPr>
      <w:rFonts w:ascii="Calibri" w:hAnsi="Calibri" w:cs="宋体"/>
      <w:szCs w:val="22"/>
    </w:r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185"/>
    <w:qFormat/>
    <w:uiPriority w:val="0"/>
    <w:pPr>
      <w:jc w:val="left"/>
    </w:pPr>
  </w:style>
  <w:style w:type="paragraph" w:styleId="22">
    <w:name w:val="Body Text 3"/>
    <w:basedOn w:val="1"/>
    <w:link w:val="92"/>
    <w:qFormat/>
    <w:uiPriority w:val="0"/>
    <w:pPr>
      <w:adjustRightInd w:val="0"/>
      <w:snapToGrid w:val="0"/>
      <w:spacing w:after="120" w:line="360" w:lineRule="auto"/>
    </w:pPr>
    <w:rPr>
      <w:rFonts w:ascii="Calibri" w:hAnsi="Calibri" w:cs="宋体"/>
      <w:sz w:val="16"/>
      <w:szCs w:val="22"/>
    </w:rPr>
  </w:style>
  <w:style w:type="paragraph" w:styleId="23">
    <w:name w:val="List Bullet 3"/>
    <w:basedOn w:val="1"/>
    <w:qFormat/>
    <w:uiPriority w:val="0"/>
    <w:pPr>
      <w:numPr>
        <w:ilvl w:val="0"/>
        <w:numId w:val="2"/>
      </w:numPr>
      <w:adjustRightInd w:val="0"/>
      <w:snapToGrid w:val="0"/>
      <w:spacing w:line="360" w:lineRule="auto"/>
    </w:pPr>
    <w:rPr>
      <w:sz w:val="24"/>
    </w:rPr>
  </w:style>
  <w:style w:type="paragraph" w:styleId="24">
    <w:name w:val="Body Text Indent"/>
    <w:basedOn w:val="1"/>
    <w:link w:val="174"/>
    <w:qFormat/>
    <w:uiPriority w:val="0"/>
    <w:pPr>
      <w:spacing w:after="120"/>
      <w:ind w:left="420" w:leftChars="200"/>
    </w:p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29">
    <w:name w:val="List Bullet 2"/>
    <w:basedOn w:val="1"/>
    <w:qFormat/>
    <w:uiPriority w:val="0"/>
    <w:pPr>
      <w:numPr>
        <w:ilvl w:val="0"/>
        <w:numId w:val="3"/>
      </w:numPr>
      <w:adjustRightInd w:val="0"/>
      <w:snapToGrid w:val="0"/>
      <w:spacing w:line="360" w:lineRule="auto"/>
    </w:pPr>
    <w:rPr>
      <w:sz w:val="24"/>
    </w:rPr>
  </w:style>
  <w:style w:type="paragraph" w:styleId="30">
    <w:name w:val="index 4"/>
    <w:basedOn w:val="1"/>
    <w:next w:val="1"/>
    <w:qFormat/>
    <w:uiPriority w:val="0"/>
    <w:pPr>
      <w:ind w:left="600" w:leftChars="600"/>
    </w:pPr>
    <w:rPr>
      <w:rFonts w:ascii="Calibri" w:hAnsi="Calibri"/>
      <w:sz w:val="21"/>
      <w:szCs w:val="24"/>
    </w:rPr>
  </w:style>
  <w:style w:type="paragraph" w:styleId="31">
    <w:name w:val="toc 5"/>
    <w:basedOn w:val="1"/>
    <w:next w:val="1"/>
    <w:qFormat/>
    <w:uiPriority w:val="39"/>
    <w:pPr>
      <w:ind w:left="1680" w:leftChars="800"/>
    </w:pPr>
  </w:style>
  <w:style w:type="paragraph" w:styleId="32">
    <w:name w:val="toc 3"/>
    <w:basedOn w:val="1"/>
    <w:next w:val="1"/>
    <w:qFormat/>
    <w:uiPriority w:val="39"/>
    <w:pPr>
      <w:ind w:left="840" w:leftChars="400"/>
    </w:pPr>
  </w:style>
  <w:style w:type="paragraph" w:styleId="33">
    <w:name w:val="Plain Text"/>
    <w:basedOn w:val="1"/>
    <w:link w:val="162"/>
    <w:qFormat/>
    <w:uiPriority w:val="0"/>
    <w:rPr>
      <w:rFonts w:ascii="宋体" w:hAnsi="Courier New" w:cs="宋体"/>
      <w:sz w:val="21"/>
      <w:szCs w:val="22"/>
    </w:rPr>
  </w:style>
  <w:style w:type="paragraph" w:styleId="34">
    <w:name w:val="toc 8"/>
    <w:basedOn w:val="1"/>
    <w:next w:val="1"/>
    <w:qFormat/>
    <w:uiPriority w:val="39"/>
    <w:pPr>
      <w:ind w:left="2940" w:leftChars="1400"/>
    </w:pPr>
  </w:style>
  <w:style w:type="paragraph" w:styleId="35">
    <w:name w:val="Date"/>
    <w:basedOn w:val="1"/>
    <w:next w:val="1"/>
    <w:link w:val="113"/>
    <w:qFormat/>
    <w:uiPriority w:val="0"/>
    <w:rPr>
      <w:rFonts w:ascii="Calibri" w:hAnsi="Calibri" w:cs="宋体"/>
      <w:szCs w:val="22"/>
    </w:rPr>
  </w:style>
  <w:style w:type="paragraph" w:styleId="36">
    <w:name w:val="Body Text Indent 2"/>
    <w:basedOn w:val="1"/>
    <w:link w:val="152"/>
    <w:qFormat/>
    <w:uiPriority w:val="0"/>
    <w:pPr>
      <w:snapToGrid w:val="0"/>
      <w:spacing w:line="560" w:lineRule="atLeast"/>
      <w:ind w:firstLine="540"/>
    </w:pPr>
    <w:rPr>
      <w:rFonts w:ascii="Calibri" w:hAnsi="Calibri" w:cs="宋体"/>
      <w:szCs w:val="22"/>
    </w:rPr>
  </w:style>
  <w:style w:type="paragraph" w:styleId="37">
    <w:name w:val="endnote text"/>
    <w:basedOn w:val="1"/>
    <w:link w:val="167"/>
    <w:qFormat/>
    <w:uiPriority w:val="0"/>
    <w:pPr>
      <w:widowControl/>
      <w:snapToGrid w:val="0"/>
      <w:jc w:val="left"/>
    </w:pPr>
    <w:rPr>
      <w:rFonts w:ascii="Arial" w:hAnsi="Arial" w:cs="Arial"/>
      <w:sz w:val="21"/>
      <w:szCs w:val="24"/>
      <w:lang w:eastAsia="en-US"/>
    </w:rPr>
  </w:style>
  <w:style w:type="paragraph" w:styleId="38">
    <w:name w:val="Balloon Text"/>
    <w:basedOn w:val="1"/>
    <w:link w:val="97"/>
    <w:qFormat/>
    <w:uiPriority w:val="0"/>
    <w:rPr>
      <w:rFonts w:ascii="Calibri" w:hAnsi="Calibri" w:cs="宋体"/>
      <w:sz w:val="18"/>
      <w:szCs w:val="22"/>
    </w:rPr>
  </w:style>
  <w:style w:type="paragraph" w:styleId="39">
    <w:name w:val="footer"/>
    <w:basedOn w:val="1"/>
    <w:link w:val="166"/>
    <w:qFormat/>
    <w:uiPriority w:val="99"/>
    <w:pPr>
      <w:tabs>
        <w:tab w:val="center" w:pos="4153"/>
        <w:tab w:val="right" w:pos="8306"/>
      </w:tabs>
      <w:snapToGrid w:val="0"/>
      <w:jc w:val="left"/>
    </w:pPr>
    <w:rPr>
      <w:rFonts w:ascii="Calibri" w:hAnsi="Calibri" w:cs="宋体"/>
      <w:sz w:val="18"/>
      <w:szCs w:val="22"/>
    </w:rPr>
  </w:style>
  <w:style w:type="paragraph" w:styleId="40">
    <w:name w:val="header"/>
    <w:basedOn w:val="1"/>
    <w:link w:val="153"/>
    <w:qFormat/>
    <w:uiPriority w:val="99"/>
    <w:pPr>
      <w:pBdr>
        <w:bottom w:val="single" w:color="auto" w:sz="6" w:space="1"/>
      </w:pBdr>
      <w:tabs>
        <w:tab w:val="center" w:pos="4153"/>
        <w:tab w:val="right" w:pos="8306"/>
      </w:tabs>
      <w:snapToGrid w:val="0"/>
      <w:jc w:val="center"/>
    </w:pPr>
    <w:rPr>
      <w:rFonts w:ascii="Calibri" w:hAnsi="Calibri" w:cs="宋体"/>
      <w:sz w:val="18"/>
      <w:szCs w:val="22"/>
    </w:rPr>
  </w:style>
  <w:style w:type="paragraph" w:styleId="41">
    <w:name w:val="toc 1"/>
    <w:basedOn w:val="1"/>
    <w:next w:val="1"/>
    <w:qFormat/>
    <w:uiPriority w:val="39"/>
    <w:pPr>
      <w:spacing w:line="180" w:lineRule="auto"/>
      <w:jc w:val="center"/>
    </w:pPr>
    <w:rPr>
      <w:sz w:val="30"/>
    </w:rPr>
  </w:style>
  <w:style w:type="paragraph" w:styleId="42">
    <w:name w:val="List Continue 4"/>
    <w:basedOn w:val="1"/>
    <w:qFormat/>
    <w:uiPriority w:val="0"/>
    <w:pPr>
      <w:adjustRightInd w:val="0"/>
      <w:snapToGrid w:val="0"/>
      <w:spacing w:after="120" w:line="360" w:lineRule="auto"/>
      <w:ind w:left="1680" w:leftChars="800"/>
    </w:pPr>
    <w:rPr>
      <w:sz w:val="24"/>
    </w:rPr>
  </w:style>
  <w:style w:type="paragraph" w:styleId="43">
    <w:name w:val="toc 4"/>
    <w:basedOn w:val="1"/>
    <w:next w:val="1"/>
    <w:qFormat/>
    <w:uiPriority w:val="39"/>
    <w:pPr>
      <w:ind w:left="1260" w:leftChars="600"/>
    </w:pPr>
  </w:style>
  <w:style w:type="paragraph" w:styleId="44">
    <w:name w:val="Subtitle"/>
    <w:basedOn w:val="1"/>
    <w:next w:val="1"/>
    <w:link w:val="150"/>
    <w:qFormat/>
    <w:uiPriority w:val="0"/>
    <w:pPr>
      <w:spacing w:before="240" w:after="60" w:line="312" w:lineRule="auto"/>
      <w:jc w:val="center"/>
      <w:outlineLvl w:val="1"/>
    </w:pPr>
    <w:rPr>
      <w:rFonts w:ascii="Cambria" w:hAnsi="Cambria" w:cs="宋体"/>
      <w:b/>
      <w:bCs/>
      <w:kern w:val="28"/>
      <w:sz w:val="32"/>
      <w:szCs w:val="32"/>
    </w:rPr>
  </w:style>
  <w:style w:type="paragraph" w:styleId="45">
    <w:name w:val="List"/>
    <w:basedOn w:val="1"/>
    <w:semiHidden/>
    <w:qFormat/>
    <w:uiPriority w:val="0"/>
    <w:pPr>
      <w:ind w:left="200" w:hanging="200" w:hangingChars="200"/>
    </w:pPr>
  </w:style>
  <w:style w:type="paragraph" w:styleId="46">
    <w:name w:val="footnote text"/>
    <w:basedOn w:val="1"/>
    <w:link w:val="93"/>
    <w:qFormat/>
    <w:uiPriority w:val="0"/>
    <w:pPr>
      <w:spacing w:line="360" w:lineRule="auto"/>
    </w:pPr>
    <w:rPr>
      <w:rFonts w:ascii="Calibri" w:hAnsi="Calibri" w:cs="宋体"/>
      <w:sz w:val="18"/>
      <w:szCs w:val="22"/>
    </w:rPr>
  </w:style>
  <w:style w:type="paragraph" w:styleId="47">
    <w:name w:val="toc 6"/>
    <w:basedOn w:val="1"/>
    <w:next w:val="1"/>
    <w:qFormat/>
    <w:uiPriority w:val="39"/>
    <w:pPr>
      <w:ind w:left="2100" w:leftChars="1000"/>
    </w:pPr>
  </w:style>
  <w:style w:type="paragraph" w:styleId="48">
    <w:name w:val="List 5"/>
    <w:basedOn w:val="1"/>
    <w:qFormat/>
    <w:uiPriority w:val="0"/>
    <w:pPr>
      <w:adjustRightInd w:val="0"/>
      <w:snapToGrid w:val="0"/>
      <w:spacing w:line="360" w:lineRule="auto"/>
      <w:ind w:left="100" w:leftChars="800" w:hanging="200" w:hangingChars="200"/>
    </w:pPr>
    <w:rPr>
      <w:sz w:val="24"/>
    </w:rPr>
  </w:style>
  <w:style w:type="paragraph" w:styleId="49">
    <w:name w:val="Body Text Indent 3"/>
    <w:basedOn w:val="1"/>
    <w:link w:val="130"/>
    <w:qFormat/>
    <w:uiPriority w:val="0"/>
    <w:pPr>
      <w:spacing w:line="360" w:lineRule="auto"/>
      <w:ind w:firstLine="632"/>
    </w:pPr>
    <w:rPr>
      <w:rFonts w:ascii="黑体" w:hAnsi="Calibri" w:eastAsia="黑体" w:cs="宋体"/>
      <w:szCs w:val="22"/>
    </w:rPr>
  </w:style>
  <w:style w:type="paragraph" w:styleId="50">
    <w:name w:val="table of figures"/>
    <w:basedOn w:val="1"/>
    <w:next w:val="1"/>
    <w:qFormat/>
    <w:uiPriority w:val="0"/>
    <w:pPr>
      <w:tabs>
        <w:tab w:val="right" w:leader="dot" w:pos="8640"/>
      </w:tabs>
      <w:spacing w:line="360" w:lineRule="auto"/>
      <w:ind w:left="400" w:hanging="400"/>
    </w:pPr>
    <w:rPr>
      <w:sz w:val="24"/>
    </w:rPr>
  </w:style>
  <w:style w:type="paragraph" w:styleId="51">
    <w:name w:val="toc 2"/>
    <w:basedOn w:val="1"/>
    <w:next w:val="1"/>
    <w:qFormat/>
    <w:uiPriority w:val="39"/>
    <w:pPr>
      <w:ind w:left="420" w:leftChars="200"/>
    </w:pPr>
  </w:style>
  <w:style w:type="paragraph" w:styleId="52">
    <w:name w:val="toc 9"/>
    <w:basedOn w:val="1"/>
    <w:next w:val="1"/>
    <w:qFormat/>
    <w:uiPriority w:val="39"/>
    <w:pPr>
      <w:ind w:left="3360" w:leftChars="1600"/>
    </w:pPr>
  </w:style>
  <w:style w:type="paragraph" w:styleId="53">
    <w:name w:val="Body Text 2"/>
    <w:basedOn w:val="1"/>
    <w:link w:val="182"/>
    <w:qFormat/>
    <w:uiPriority w:val="0"/>
    <w:pPr>
      <w:adjustRightInd w:val="0"/>
      <w:snapToGrid w:val="0"/>
      <w:spacing w:after="120" w:line="480" w:lineRule="auto"/>
    </w:pPr>
    <w:rPr>
      <w:sz w:val="24"/>
    </w:rPr>
  </w:style>
  <w:style w:type="paragraph" w:styleId="54">
    <w:name w:val="List 4"/>
    <w:basedOn w:val="1"/>
    <w:qFormat/>
    <w:uiPriority w:val="0"/>
    <w:pPr>
      <w:adjustRightInd w:val="0"/>
      <w:snapToGrid w:val="0"/>
      <w:spacing w:line="360" w:lineRule="auto"/>
      <w:ind w:left="100" w:leftChars="600" w:hanging="200" w:hangingChars="200"/>
    </w:pPr>
    <w:rPr>
      <w:sz w:val="24"/>
    </w:rPr>
  </w:style>
  <w:style w:type="paragraph" w:styleId="55">
    <w:name w:val="List Continue 2"/>
    <w:basedOn w:val="1"/>
    <w:qFormat/>
    <w:uiPriority w:val="0"/>
    <w:pPr>
      <w:adjustRightInd w:val="0"/>
      <w:snapToGrid w:val="0"/>
      <w:spacing w:after="120" w:line="360" w:lineRule="auto"/>
      <w:ind w:left="840" w:leftChars="400"/>
    </w:pPr>
    <w:rPr>
      <w:sz w:val="24"/>
    </w:rPr>
  </w:style>
  <w:style w:type="paragraph" w:styleId="56">
    <w:name w:val="HTML Preformatted"/>
    <w:basedOn w:val="1"/>
    <w:link w:val="12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List Continue 3"/>
    <w:basedOn w:val="1"/>
    <w:qFormat/>
    <w:uiPriority w:val="0"/>
    <w:pPr>
      <w:adjustRightInd w:val="0"/>
      <w:snapToGrid w:val="0"/>
      <w:spacing w:after="120" w:line="360" w:lineRule="auto"/>
      <w:ind w:left="1260" w:leftChars="600"/>
    </w:pPr>
    <w:rPr>
      <w:sz w:val="24"/>
    </w:rPr>
  </w:style>
  <w:style w:type="paragraph" w:styleId="59">
    <w:name w:val="index 1"/>
    <w:basedOn w:val="1"/>
    <w:next w:val="1"/>
    <w:qFormat/>
    <w:uiPriority w:val="0"/>
    <w:pPr>
      <w:adjustRightInd w:val="0"/>
      <w:spacing w:line="240" w:lineRule="atLeast"/>
      <w:textAlignment w:val="baseline"/>
    </w:pPr>
    <w:rPr>
      <w:rFonts w:ascii="宋体"/>
      <w:kern w:val="0"/>
      <w:sz w:val="21"/>
    </w:rPr>
  </w:style>
  <w:style w:type="paragraph" w:styleId="60">
    <w:name w:val="Title"/>
    <w:basedOn w:val="1"/>
    <w:next w:val="1"/>
    <w:link w:val="127"/>
    <w:qFormat/>
    <w:uiPriority w:val="0"/>
    <w:pPr>
      <w:widowControl/>
      <w:spacing w:after="240" w:line="360" w:lineRule="auto"/>
      <w:jc w:val="center"/>
    </w:pPr>
    <w:rPr>
      <w:rFonts w:ascii="Arial" w:hAnsi="Arial" w:cs="宋体"/>
      <w:b/>
      <w:smallCaps/>
      <w:kern w:val="28"/>
      <w:sz w:val="36"/>
      <w:szCs w:val="22"/>
      <w:lang w:eastAsia="en-US"/>
    </w:rPr>
  </w:style>
  <w:style w:type="paragraph" w:styleId="61">
    <w:name w:val="annotation subject"/>
    <w:basedOn w:val="21"/>
    <w:next w:val="21"/>
    <w:link w:val="138"/>
    <w:qFormat/>
    <w:uiPriority w:val="0"/>
    <w:rPr>
      <w:rFonts w:ascii="Calibri" w:hAnsi="Calibri" w:cs="宋体"/>
      <w:sz w:val="24"/>
      <w:szCs w:val="22"/>
    </w:rPr>
  </w:style>
  <w:style w:type="paragraph" w:styleId="62">
    <w:name w:val="Body Text First Indent 2"/>
    <w:basedOn w:val="24"/>
    <w:link w:val="119"/>
    <w:qFormat/>
    <w:uiPriority w:val="0"/>
    <w:pPr>
      <w:ind w:firstLine="420" w:firstLineChars="200"/>
    </w:pPr>
    <w:rPr>
      <w:rFonts w:ascii="Calibri" w:hAnsi="Calibri" w:cs="宋体"/>
      <w:sz w:val="44"/>
      <w:szCs w:val="22"/>
    </w:rPr>
  </w:style>
  <w:style w:type="table" w:styleId="64">
    <w:name w:val="Table Grid"/>
    <w:basedOn w:val="6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6">
    <w:name w:val="Strong"/>
    <w:qFormat/>
    <w:uiPriority w:val="0"/>
    <w:rPr>
      <w:b/>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FollowedHyperlink"/>
    <w:qFormat/>
    <w:uiPriority w:val="0"/>
    <w:rPr>
      <w:color w:val="800080"/>
      <w:u w:val="single"/>
    </w:rPr>
  </w:style>
  <w:style w:type="character" w:styleId="70">
    <w:name w:val="Emphasis"/>
    <w:qFormat/>
    <w:uiPriority w:val="0"/>
    <w:rPr>
      <w:i/>
    </w:rPr>
  </w:style>
  <w:style w:type="character" w:styleId="71">
    <w:name w:val="Hyperlink"/>
    <w:qFormat/>
    <w:uiPriority w:val="99"/>
    <w:rPr>
      <w:color w:val="0000FF"/>
      <w:u w:val="single"/>
    </w:rPr>
  </w:style>
  <w:style w:type="character" w:styleId="72">
    <w:name w:val="annotation reference"/>
    <w:qFormat/>
    <w:uiPriority w:val="0"/>
    <w:rPr>
      <w:sz w:val="21"/>
      <w:szCs w:val="21"/>
    </w:rPr>
  </w:style>
  <w:style w:type="character" w:styleId="73">
    <w:name w:val="footnote reference"/>
    <w:qFormat/>
    <w:uiPriority w:val="0"/>
    <w:rPr>
      <w:position w:val="6"/>
      <w:sz w:val="14"/>
      <w:vertAlign w:val="superscript"/>
    </w:rPr>
  </w:style>
  <w:style w:type="paragraph" w:customStyle="1" w:styleId="74">
    <w:name w:val="引用1"/>
    <w:basedOn w:val="1"/>
    <w:next w:val="1"/>
    <w:link w:val="103"/>
    <w:qFormat/>
    <w:uiPriority w:val="0"/>
    <w:rPr>
      <w:rFonts w:ascii="Calibri" w:hAnsi="Calibri" w:cs="宋体"/>
      <w:i/>
      <w:iCs/>
      <w:color w:val="000000"/>
      <w:sz w:val="21"/>
      <w:szCs w:val="22"/>
    </w:rPr>
  </w:style>
  <w:style w:type="paragraph" w:customStyle="1" w:styleId="7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6">
    <w:name w:val="标题 3 Char"/>
    <w:basedOn w:val="65"/>
    <w:link w:val="6"/>
    <w:qFormat/>
    <w:uiPriority w:val="0"/>
    <w:rPr>
      <w:rFonts w:ascii="Times New Roman" w:hAnsi="Times New Roman" w:eastAsia="宋体"/>
      <w:b/>
      <w:kern w:val="2"/>
      <w:sz w:val="24"/>
      <w:szCs w:val="24"/>
    </w:rPr>
  </w:style>
  <w:style w:type="paragraph" w:customStyle="1" w:styleId="77">
    <w:name w:val="电建正文"/>
    <w:basedOn w:val="78"/>
    <w:qFormat/>
    <w:uiPriority w:val="0"/>
    <w:pPr>
      <w:tabs>
        <w:tab w:val="left" w:pos="720"/>
      </w:tabs>
      <w:spacing w:line="360" w:lineRule="auto"/>
      <w:ind w:firstLine="200" w:firstLineChars="200"/>
    </w:pPr>
    <w:rPr>
      <w:rFonts w:ascii="Tahoma" w:hAnsi="Tahoma"/>
      <w:sz w:val="24"/>
    </w:rPr>
  </w:style>
  <w:style w:type="paragraph" w:customStyle="1" w:styleId="78">
    <w:name w:val="List First"/>
    <w:basedOn w:val="45"/>
    <w:next w:val="45"/>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79">
    <w:name w:val="标题 1 Char"/>
    <w:basedOn w:val="65"/>
    <w:link w:val="4"/>
    <w:qFormat/>
    <w:uiPriority w:val="0"/>
    <w:rPr>
      <w:rFonts w:ascii="宋体" w:hAnsi="Times New Roman" w:eastAsia="宋体" w:cs="Times New Roman"/>
      <w:sz w:val="28"/>
      <w:szCs w:val="20"/>
    </w:rPr>
  </w:style>
  <w:style w:type="character" w:customStyle="1" w:styleId="80">
    <w:name w:val="标题 2 Char"/>
    <w:basedOn w:val="65"/>
    <w:link w:val="5"/>
    <w:qFormat/>
    <w:uiPriority w:val="0"/>
    <w:rPr>
      <w:rFonts w:ascii="Arial" w:hAnsi="Arial" w:eastAsia="黑体" w:cs="Times New Roman"/>
      <w:b/>
      <w:sz w:val="32"/>
      <w:szCs w:val="20"/>
    </w:rPr>
  </w:style>
  <w:style w:type="character" w:customStyle="1" w:styleId="81">
    <w:name w:val="标题 4 Char"/>
    <w:basedOn w:val="65"/>
    <w:link w:val="7"/>
    <w:qFormat/>
    <w:uiPriority w:val="0"/>
    <w:rPr>
      <w:rFonts w:ascii="Arial" w:hAnsi="Arial" w:eastAsia="黑体" w:cs="Times New Roman"/>
      <w:b/>
      <w:sz w:val="28"/>
      <w:szCs w:val="20"/>
    </w:rPr>
  </w:style>
  <w:style w:type="character" w:customStyle="1" w:styleId="82">
    <w:name w:val="标题 5 Char"/>
    <w:basedOn w:val="65"/>
    <w:link w:val="8"/>
    <w:qFormat/>
    <w:uiPriority w:val="0"/>
    <w:rPr>
      <w:rFonts w:ascii="Times New Roman" w:hAnsi="Times New Roman" w:eastAsia="宋体" w:cs="Times New Roman"/>
      <w:b/>
      <w:sz w:val="28"/>
      <w:szCs w:val="20"/>
    </w:rPr>
  </w:style>
  <w:style w:type="character" w:customStyle="1" w:styleId="83">
    <w:name w:val="标题 6 Char"/>
    <w:basedOn w:val="65"/>
    <w:link w:val="9"/>
    <w:qFormat/>
    <w:uiPriority w:val="0"/>
    <w:rPr>
      <w:rFonts w:ascii="Arial" w:hAnsi="Arial" w:eastAsia="黑体" w:cs="Times New Roman"/>
      <w:b/>
      <w:sz w:val="24"/>
      <w:szCs w:val="20"/>
    </w:rPr>
  </w:style>
  <w:style w:type="character" w:customStyle="1" w:styleId="84">
    <w:name w:val="标题 7 Char"/>
    <w:basedOn w:val="65"/>
    <w:link w:val="10"/>
    <w:qFormat/>
    <w:uiPriority w:val="0"/>
    <w:rPr>
      <w:rFonts w:ascii="Arial" w:hAnsi="Arial" w:eastAsia="黑体" w:cs="Times New Roman"/>
      <w:b/>
      <w:sz w:val="24"/>
      <w:szCs w:val="20"/>
    </w:rPr>
  </w:style>
  <w:style w:type="character" w:customStyle="1" w:styleId="85">
    <w:name w:val="标题 8 Char"/>
    <w:basedOn w:val="65"/>
    <w:link w:val="11"/>
    <w:qFormat/>
    <w:uiPriority w:val="0"/>
    <w:rPr>
      <w:rFonts w:ascii="Arial" w:hAnsi="Arial" w:eastAsia="黑体" w:cs="Times New Roman"/>
      <w:b/>
      <w:sz w:val="24"/>
      <w:szCs w:val="20"/>
    </w:rPr>
  </w:style>
  <w:style w:type="character" w:customStyle="1" w:styleId="86">
    <w:name w:val="标题 9 Char"/>
    <w:basedOn w:val="65"/>
    <w:link w:val="12"/>
    <w:qFormat/>
    <w:uiPriority w:val="0"/>
    <w:rPr>
      <w:rFonts w:ascii="Arial" w:hAnsi="Arial" w:eastAsia="黑体" w:cs="Times New Roman"/>
      <w:b/>
      <w:sz w:val="24"/>
      <w:szCs w:val="20"/>
    </w:rPr>
  </w:style>
  <w:style w:type="character" w:customStyle="1" w:styleId="87">
    <w:name w:val="Table Text Char"/>
    <w:link w:val="88"/>
    <w:qFormat/>
    <w:uiPriority w:val="0"/>
    <w:rPr>
      <w:rFonts w:ascii="Arial" w:hAnsi="Arial"/>
      <w:sz w:val="18"/>
    </w:rPr>
  </w:style>
  <w:style w:type="paragraph" w:customStyle="1" w:styleId="88">
    <w:name w:val="Table Text"/>
    <w:link w:val="87"/>
    <w:qFormat/>
    <w:uiPriority w:val="0"/>
    <w:pPr>
      <w:snapToGrid w:val="0"/>
      <w:spacing w:before="80" w:after="80"/>
    </w:pPr>
    <w:rPr>
      <w:rFonts w:ascii="Arial" w:hAnsi="Arial" w:eastAsia="宋体" w:cs="宋体"/>
      <w:kern w:val="2"/>
      <w:sz w:val="18"/>
      <w:szCs w:val="22"/>
      <w:lang w:val="en-US" w:eastAsia="zh-CN" w:bidi="ar-SA"/>
    </w:rPr>
  </w:style>
  <w:style w:type="character" w:customStyle="1" w:styleId="89">
    <w:name w:val="文档结构图 Char"/>
    <w:link w:val="19"/>
    <w:qFormat/>
    <w:uiPriority w:val="0"/>
    <w:rPr>
      <w:sz w:val="28"/>
      <w:shd w:val="clear" w:color="auto" w:fill="000080"/>
    </w:rPr>
  </w:style>
  <w:style w:type="character" w:customStyle="1" w:styleId="90">
    <w:name w:val="批注文字 Char"/>
    <w:qFormat/>
    <w:uiPriority w:val="0"/>
    <w:rPr>
      <w:sz w:val="24"/>
    </w:rPr>
  </w:style>
  <w:style w:type="character" w:customStyle="1" w:styleId="91">
    <w:name w:val="14t1"/>
    <w:qFormat/>
    <w:uiPriority w:val="0"/>
    <w:rPr>
      <w:rFonts w:hint="eastAsia" w:ascii="宋体" w:hAnsi="宋体" w:eastAsia="宋体"/>
      <w:sz w:val="11"/>
      <w:szCs w:val="11"/>
    </w:rPr>
  </w:style>
  <w:style w:type="character" w:customStyle="1" w:styleId="92">
    <w:name w:val="正文文本 3 Char"/>
    <w:link w:val="22"/>
    <w:qFormat/>
    <w:uiPriority w:val="0"/>
    <w:rPr>
      <w:sz w:val="16"/>
    </w:rPr>
  </w:style>
  <w:style w:type="character" w:customStyle="1" w:styleId="93">
    <w:name w:val="脚注文本 Char"/>
    <w:link w:val="46"/>
    <w:qFormat/>
    <w:uiPriority w:val="0"/>
    <w:rPr>
      <w:sz w:val="18"/>
    </w:rPr>
  </w:style>
  <w:style w:type="character" w:customStyle="1" w:styleId="94">
    <w:name w:val="docpro"/>
    <w:qFormat/>
    <w:uiPriority w:val="0"/>
  </w:style>
  <w:style w:type="character" w:customStyle="1" w:styleId="95">
    <w:name w:val="正文缩进2格 Char"/>
    <w:link w:val="96"/>
    <w:qFormat/>
    <w:uiPriority w:val="99"/>
    <w:rPr>
      <w:rFonts w:ascii="仿宋_GB2312" w:hAnsi="宋体" w:eastAsia="仿宋_GB2312"/>
      <w:sz w:val="28"/>
    </w:rPr>
  </w:style>
  <w:style w:type="paragraph" w:customStyle="1" w:styleId="96">
    <w:name w:val="正文缩进2格"/>
    <w:basedOn w:val="1"/>
    <w:link w:val="95"/>
    <w:qFormat/>
    <w:uiPriority w:val="99"/>
    <w:pPr>
      <w:spacing w:line="600" w:lineRule="exact"/>
      <w:ind w:firstLine="639" w:firstLineChars="206"/>
    </w:pPr>
    <w:rPr>
      <w:rFonts w:ascii="仿宋_GB2312" w:hAnsi="宋体" w:eastAsia="仿宋_GB2312" w:cs="宋体"/>
      <w:szCs w:val="22"/>
    </w:rPr>
  </w:style>
  <w:style w:type="character" w:customStyle="1" w:styleId="97">
    <w:name w:val="批注框文本 Char"/>
    <w:link w:val="38"/>
    <w:qFormat/>
    <w:uiPriority w:val="0"/>
    <w:rPr>
      <w:sz w:val="18"/>
    </w:rPr>
  </w:style>
  <w:style w:type="character" w:customStyle="1" w:styleId="98">
    <w:name w:val="Table Text Char Char Char Char"/>
    <w:link w:val="99"/>
    <w:qFormat/>
    <w:uiPriority w:val="0"/>
    <w:rPr>
      <w:rFonts w:ascii="Arial" w:hAnsi="Arial"/>
      <w:sz w:val="18"/>
    </w:rPr>
  </w:style>
  <w:style w:type="paragraph" w:customStyle="1" w:styleId="99">
    <w:name w:val="Table Text Char Char Char"/>
    <w:link w:val="98"/>
    <w:qFormat/>
    <w:uiPriority w:val="0"/>
    <w:pPr>
      <w:snapToGrid w:val="0"/>
      <w:spacing w:before="80" w:after="80"/>
    </w:pPr>
    <w:rPr>
      <w:rFonts w:ascii="Arial" w:hAnsi="Arial" w:eastAsia="宋体" w:cs="宋体"/>
      <w:kern w:val="2"/>
      <w:sz w:val="18"/>
      <w:szCs w:val="22"/>
      <w:lang w:val="en-US" w:eastAsia="zh-CN" w:bidi="ar-SA"/>
    </w:rPr>
  </w:style>
  <w:style w:type="character" w:customStyle="1" w:styleId="100">
    <w:name w:val="font161"/>
    <w:qFormat/>
    <w:uiPriority w:val="0"/>
    <w:rPr>
      <w:b/>
      <w:bCs/>
      <w:sz w:val="32"/>
      <w:szCs w:val="32"/>
    </w:rPr>
  </w:style>
  <w:style w:type="character" w:customStyle="1" w:styleId="101">
    <w:name w:val="文字 Char"/>
    <w:link w:val="102"/>
    <w:qFormat/>
    <w:uiPriority w:val="0"/>
    <w:rPr>
      <w:rFonts w:ascii="宋体"/>
      <w:sz w:val="28"/>
    </w:rPr>
  </w:style>
  <w:style w:type="paragraph" w:customStyle="1" w:styleId="102">
    <w:name w:val="文字"/>
    <w:basedOn w:val="1"/>
    <w:link w:val="101"/>
    <w:qFormat/>
    <w:uiPriority w:val="0"/>
    <w:pPr>
      <w:tabs>
        <w:tab w:val="left" w:pos="8520"/>
      </w:tabs>
      <w:spacing w:line="312" w:lineRule="auto"/>
      <w:ind w:right="-210" w:firstLine="556"/>
    </w:pPr>
    <w:rPr>
      <w:rFonts w:ascii="宋体" w:hAnsi="Calibri" w:cs="宋体"/>
      <w:szCs w:val="22"/>
    </w:rPr>
  </w:style>
  <w:style w:type="character" w:customStyle="1" w:styleId="103">
    <w:name w:val="引用 Char"/>
    <w:link w:val="74"/>
    <w:qFormat/>
    <w:uiPriority w:val="0"/>
    <w:rPr>
      <w:i/>
      <w:iCs/>
      <w:color w:val="000000"/>
    </w:rPr>
  </w:style>
  <w:style w:type="character" w:customStyle="1" w:styleId="104">
    <w:name w:val="0d1471"/>
    <w:qFormat/>
    <w:uiPriority w:val="0"/>
    <w:rPr>
      <w:color w:val="000000"/>
      <w:sz w:val="11"/>
      <w:szCs w:val="11"/>
      <w:u w:val="none"/>
    </w:rPr>
  </w:style>
  <w:style w:type="character" w:customStyle="1" w:styleId="105">
    <w:name w:val="*正文 Char"/>
    <w:link w:val="106"/>
    <w:qFormat/>
    <w:uiPriority w:val="0"/>
    <w:rPr>
      <w:rFonts w:ascii="仿宋_GB2312" w:eastAsia="仿宋_GB2312"/>
      <w:sz w:val="24"/>
      <w:szCs w:val="28"/>
    </w:rPr>
  </w:style>
  <w:style w:type="paragraph" w:customStyle="1" w:styleId="106">
    <w:name w:val="*正文"/>
    <w:basedOn w:val="1"/>
    <w:link w:val="105"/>
    <w:qFormat/>
    <w:uiPriority w:val="0"/>
    <w:pPr>
      <w:widowControl/>
      <w:ind w:firstLine="200" w:firstLineChars="200"/>
    </w:pPr>
    <w:rPr>
      <w:rFonts w:ascii="仿宋_GB2312" w:hAnsi="Calibri" w:eastAsia="仿宋_GB2312" w:cs="宋体"/>
      <w:sz w:val="24"/>
      <w:szCs w:val="28"/>
    </w:rPr>
  </w:style>
  <w:style w:type="character" w:customStyle="1" w:styleId="107">
    <w:name w:val="intel3"/>
    <w:qFormat/>
    <w:uiPriority w:val="0"/>
  </w:style>
  <w:style w:type="character" w:customStyle="1" w:styleId="108">
    <w:name w:val="Table Text Char1 Char"/>
    <w:qFormat/>
    <w:uiPriority w:val="0"/>
    <w:rPr>
      <w:rFonts w:ascii="Arial" w:hAnsi="Arial"/>
      <w:kern w:val="2"/>
      <w:sz w:val="18"/>
      <w:lang w:val="en-US" w:eastAsia="zh-CN" w:bidi="ar-SA"/>
    </w:rPr>
  </w:style>
  <w:style w:type="character" w:customStyle="1" w:styleId="109">
    <w:name w:val="标题5 Char Char"/>
    <w:link w:val="110"/>
    <w:qFormat/>
    <w:uiPriority w:val="0"/>
    <w:rPr>
      <w:rFonts w:ascii="宋体"/>
    </w:rPr>
  </w:style>
  <w:style w:type="paragraph" w:customStyle="1" w:styleId="110">
    <w:name w:val="标题5"/>
    <w:basedOn w:val="1"/>
    <w:link w:val="109"/>
    <w:qFormat/>
    <w:uiPriority w:val="0"/>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111">
    <w:name w:val="main_tdbg_7601"/>
    <w:qFormat/>
    <w:uiPriority w:val="0"/>
    <w:rPr>
      <w:sz w:val="14"/>
      <w:szCs w:val="14"/>
    </w:rPr>
  </w:style>
  <w:style w:type="character" w:customStyle="1" w:styleId="112">
    <w:name w:val="font1"/>
    <w:qFormat/>
    <w:uiPriority w:val="0"/>
    <w:rPr>
      <w:color w:val="000000"/>
      <w:sz w:val="18"/>
    </w:rPr>
  </w:style>
  <w:style w:type="character" w:customStyle="1" w:styleId="113">
    <w:name w:val="日期 Char"/>
    <w:link w:val="35"/>
    <w:qFormat/>
    <w:uiPriority w:val="0"/>
    <w:rPr>
      <w:sz w:val="28"/>
    </w:rPr>
  </w:style>
  <w:style w:type="character" w:customStyle="1" w:styleId="114">
    <w:name w:val="Char Char6"/>
    <w:qFormat/>
    <w:uiPriority w:val="0"/>
    <w:rPr>
      <w:rFonts w:ascii="仿宋_GB2312" w:eastAsia="仿宋_GB2312"/>
      <w:kern w:val="2"/>
      <w:sz w:val="32"/>
    </w:rPr>
  </w:style>
  <w:style w:type="character" w:customStyle="1" w:styleId="115">
    <w:name w:val="title_emph1"/>
    <w:qFormat/>
    <w:uiPriority w:val="0"/>
    <w:rPr>
      <w:rFonts w:hint="default" w:ascii="Arial" w:hAnsi="Arial"/>
      <w:b/>
      <w:sz w:val="20"/>
    </w:rPr>
  </w:style>
  <w:style w:type="character" w:customStyle="1" w:styleId="116">
    <w:name w:val="未命名11"/>
    <w:qFormat/>
    <w:uiPriority w:val="0"/>
    <w:rPr>
      <w:color w:val="77FFFF"/>
      <w:sz w:val="24"/>
    </w:rPr>
  </w:style>
  <w:style w:type="character" w:customStyle="1" w:styleId="117">
    <w:name w:val="ca-141"/>
    <w:qFormat/>
    <w:uiPriority w:val="0"/>
    <w:rPr>
      <w:rFonts w:hint="eastAsia" w:ascii="仿宋_GB2312" w:eastAsia="仿宋_GB2312"/>
      <w:sz w:val="21"/>
      <w:szCs w:val="21"/>
    </w:rPr>
  </w:style>
  <w:style w:type="character" w:customStyle="1" w:styleId="118">
    <w:name w:val="Table Heading Char Char"/>
    <w:qFormat/>
    <w:uiPriority w:val="0"/>
    <w:rPr>
      <w:rFonts w:ascii="Arial" w:hAnsi="Arial" w:eastAsia="黑体"/>
      <w:kern w:val="2"/>
      <w:sz w:val="18"/>
      <w:lang w:val="en-US" w:eastAsia="zh-CN"/>
    </w:rPr>
  </w:style>
  <w:style w:type="character" w:customStyle="1" w:styleId="119">
    <w:name w:val="正文首行缩进 2 Char"/>
    <w:basedOn w:val="120"/>
    <w:link w:val="62"/>
    <w:qFormat/>
    <w:uiPriority w:val="0"/>
    <w:rPr>
      <w:kern w:val="2"/>
      <w:sz w:val="44"/>
    </w:rPr>
  </w:style>
  <w:style w:type="character" w:customStyle="1" w:styleId="120">
    <w:name w:val="正文文本缩进 Char"/>
    <w:qFormat/>
    <w:uiPriority w:val="0"/>
    <w:rPr>
      <w:kern w:val="2"/>
      <w:sz w:val="44"/>
    </w:rPr>
  </w:style>
  <w:style w:type="character" w:customStyle="1" w:styleId="121">
    <w:name w:val="l1"/>
    <w:qFormat/>
    <w:uiPriority w:val="0"/>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30"/>
    <w:link w:val="122"/>
    <w:qFormat/>
    <w:uiPriority w:val="0"/>
    <w:rPr>
      <w:rFonts w:eastAsia="宋体" w:cs="宋体"/>
      <w:bCs/>
      <w:sz w:val="24"/>
      <w:szCs w:val="32"/>
    </w:rPr>
  </w:style>
  <w:style w:type="character" w:customStyle="1" w:styleId="124">
    <w:name w:val="HTML 预设格式 Char"/>
    <w:link w:val="56"/>
    <w:qFormat/>
    <w:uiPriority w:val="0"/>
    <w:rPr>
      <w:rFonts w:ascii="宋体" w:hAnsi="宋体" w:cs="宋体"/>
      <w:color w:val="000000"/>
      <w:sz w:val="24"/>
      <w:szCs w:val="24"/>
    </w:rPr>
  </w:style>
  <w:style w:type="character" w:customStyle="1" w:styleId="125">
    <w:name w:val="Char Char2"/>
    <w:qFormat/>
    <w:uiPriority w:val="0"/>
    <w:rPr>
      <w:rFonts w:eastAsia="宋体"/>
      <w:kern w:val="2"/>
      <w:sz w:val="18"/>
      <w:lang w:val="en-US" w:eastAsia="zh-CN"/>
    </w:rPr>
  </w:style>
  <w:style w:type="character" w:customStyle="1" w:styleId="126">
    <w:name w:val="ht1"/>
    <w:qFormat/>
    <w:uiPriority w:val="0"/>
    <w:rPr>
      <w:rFonts w:ascii="黑体" w:eastAsia="黑体"/>
      <w:b/>
      <w:bCs/>
    </w:rPr>
  </w:style>
  <w:style w:type="character" w:customStyle="1" w:styleId="127">
    <w:name w:val="标题 Char"/>
    <w:link w:val="60"/>
    <w:qFormat/>
    <w:uiPriority w:val="0"/>
    <w:rPr>
      <w:rFonts w:ascii="Arial" w:hAnsi="Arial"/>
      <w:b/>
      <w:smallCaps/>
      <w:kern w:val="28"/>
      <w:sz w:val="36"/>
      <w:lang w:eastAsia="en-US"/>
    </w:rPr>
  </w:style>
  <w:style w:type="character" w:customStyle="1" w:styleId="128">
    <w:name w:val="正文文本 Char"/>
    <w:link w:val="3"/>
    <w:qFormat/>
    <w:uiPriority w:val="0"/>
    <w:rPr>
      <w:rFonts w:ascii="仿宋_GB2312" w:eastAsia="仿宋_GB2312"/>
      <w:sz w:val="32"/>
    </w:rPr>
  </w:style>
  <w:style w:type="character" w:customStyle="1" w:styleId="129">
    <w:name w:val="Char Char11"/>
    <w:qFormat/>
    <w:uiPriority w:val="0"/>
    <w:rPr>
      <w:rFonts w:ascii="宋体"/>
      <w:kern w:val="2"/>
      <w:sz w:val="28"/>
    </w:rPr>
  </w:style>
  <w:style w:type="character" w:customStyle="1" w:styleId="130">
    <w:name w:val="正文文本缩进 3 Char"/>
    <w:link w:val="49"/>
    <w:qFormat/>
    <w:uiPriority w:val="0"/>
    <w:rPr>
      <w:rFonts w:ascii="黑体" w:eastAsia="黑体"/>
      <w:sz w:val="28"/>
    </w:rPr>
  </w:style>
  <w:style w:type="character" w:customStyle="1" w:styleId="131">
    <w:name w:val="Char Char111"/>
    <w:qFormat/>
    <w:uiPriority w:val="0"/>
    <w:rPr>
      <w:rFonts w:eastAsia="黑体"/>
      <w:kern w:val="2"/>
      <w:sz w:val="44"/>
      <w:szCs w:val="44"/>
      <w:lang w:val="en-US" w:eastAsia="zh-CN" w:bidi="ar-SA"/>
    </w:rPr>
  </w:style>
  <w:style w:type="character" w:customStyle="1" w:styleId="132">
    <w:name w:val="style31"/>
    <w:qFormat/>
    <w:uiPriority w:val="0"/>
    <w:rPr>
      <w:sz w:val="10"/>
      <w:szCs w:val="10"/>
    </w:rPr>
  </w:style>
  <w:style w:type="character" w:customStyle="1" w:styleId="133">
    <w:name w:val="top-det1"/>
    <w:qFormat/>
    <w:uiPriority w:val="0"/>
    <w:rPr>
      <w:b/>
      <w:color w:val="000000"/>
    </w:rPr>
  </w:style>
  <w:style w:type="character" w:customStyle="1" w:styleId="134">
    <w:name w:val="明显引用 Char"/>
    <w:link w:val="135"/>
    <w:qFormat/>
    <w:uiPriority w:val="0"/>
    <w:rPr>
      <w:b/>
      <w:bCs/>
      <w:i/>
      <w:iCs/>
      <w:color w:val="4F81BD"/>
    </w:rPr>
  </w:style>
  <w:style w:type="paragraph" w:customStyle="1" w:styleId="135">
    <w:name w:val="明显引用1"/>
    <w:basedOn w:val="1"/>
    <w:next w:val="1"/>
    <w:link w:val="134"/>
    <w:qFormat/>
    <w:uiPriority w:val="0"/>
    <w:pPr>
      <w:pBdr>
        <w:bottom w:val="single" w:color="4F81BD" w:sz="4" w:space="4"/>
      </w:pBdr>
      <w:spacing w:before="200" w:after="280"/>
      <w:ind w:left="936" w:right="936"/>
    </w:pPr>
    <w:rPr>
      <w:rFonts w:ascii="Calibri" w:hAnsi="Calibri" w:cs="宋体"/>
      <w:b/>
      <w:bCs/>
      <w:i/>
      <w:iCs/>
      <w:color w:val="4F81BD"/>
      <w:sz w:val="21"/>
      <w:szCs w:val="22"/>
    </w:rPr>
  </w:style>
  <w:style w:type="character" w:customStyle="1" w:styleId="136">
    <w:name w:val="normaltext1"/>
    <w:qFormat/>
    <w:uiPriority w:val="0"/>
    <w:rPr>
      <w:rFonts w:hint="default" w:ascii="ˎ̥" w:hAnsi="ˎ̥"/>
      <w:sz w:val="9"/>
      <w:szCs w:val="9"/>
    </w:rPr>
  </w:style>
  <w:style w:type="character" w:customStyle="1" w:styleId="137">
    <w:name w:val="Char Char3"/>
    <w:qFormat/>
    <w:uiPriority w:val="0"/>
    <w:rPr>
      <w:rFonts w:eastAsia="宋体"/>
      <w:kern w:val="2"/>
      <w:sz w:val="18"/>
      <w:lang w:val="en-US" w:eastAsia="zh-CN"/>
    </w:rPr>
  </w:style>
  <w:style w:type="character" w:customStyle="1" w:styleId="138">
    <w:name w:val="批注主题 Char"/>
    <w:basedOn w:val="90"/>
    <w:link w:val="61"/>
    <w:qFormat/>
    <w:uiPriority w:val="0"/>
    <w:rPr>
      <w:sz w:val="24"/>
    </w:rPr>
  </w:style>
  <w:style w:type="character" w:customStyle="1" w:styleId="139">
    <w:name w:val="正文缩进 Char1"/>
    <w:qFormat/>
    <w:uiPriority w:val="99"/>
    <w:rPr>
      <w:rFonts w:ascii="Times New Roman" w:hAnsi="Times New Roman" w:eastAsia="仿宋_GB2312" w:cs="Times New Roman"/>
      <w:sz w:val="24"/>
      <w:szCs w:val="24"/>
    </w:rPr>
  </w:style>
  <w:style w:type="character" w:customStyle="1" w:styleId="140">
    <w:name w:val="HTML 预设格式 Char1"/>
    <w:qFormat/>
    <w:uiPriority w:val="0"/>
    <w:rPr>
      <w:rFonts w:ascii="Courier New" w:hAnsi="Courier New" w:cs="Courier New"/>
      <w:kern w:val="2"/>
    </w:rPr>
  </w:style>
  <w:style w:type="character" w:customStyle="1" w:styleId="141">
    <w:name w:val="Char Char"/>
    <w:qFormat/>
    <w:uiPriority w:val="0"/>
    <w:rPr>
      <w:rFonts w:ascii="宋体" w:hAnsi="宋体" w:eastAsia="宋体"/>
      <w:kern w:val="2"/>
      <w:sz w:val="24"/>
      <w:lang w:val="en-US" w:eastAsia="zh-CN" w:bidi="ar-SA"/>
    </w:rPr>
  </w:style>
  <w:style w:type="character" w:customStyle="1" w:styleId="142">
    <w:name w:val="v151"/>
    <w:qFormat/>
    <w:uiPriority w:val="0"/>
    <w:rPr>
      <w:sz w:val="18"/>
    </w:rPr>
  </w:style>
  <w:style w:type="character" w:customStyle="1" w:styleId="143">
    <w:name w:val="color_red1"/>
    <w:qFormat/>
    <w:uiPriority w:val="0"/>
    <w:rPr>
      <w:color w:val="FA0004"/>
    </w:rPr>
  </w:style>
  <w:style w:type="character" w:customStyle="1" w:styleId="144">
    <w:name w:val="1[858D7CFB-ED40-4347-BF05-701D383B685F]"/>
    <w:link w:val="145"/>
    <w:qFormat/>
    <w:uiPriority w:val="0"/>
    <w:rPr>
      <w:rFonts w:ascii="宋体" w:hAnsi="Courier New"/>
    </w:rPr>
  </w:style>
  <w:style w:type="paragraph" w:customStyle="1" w:styleId="145">
    <w:name w:val="1"/>
    <w:basedOn w:val="1"/>
    <w:next w:val="33"/>
    <w:link w:val="144"/>
    <w:qFormat/>
    <w:uiPriority w:val="0"/>
    <w:rPr>
      <w:rFonts w:ascii="宋体" w:hAnsi="Courier New" w:cs="宋体"/>
      <w:sz w:val="21"/>
      <w:szCs w:val="22"/>
    </w:rPr>
  </w:style>
  <w:style w:type="character" w:customStyle="1" w:styleId="146">
    <w:name w:val="尾注文本 Char1"/>
    <w:qFormat/>
    <w:uiPriority w:val="0"/>
    <w:rPr>
      <w:kern w:val="2"/>
      <w:sz w:val="28"/>
    </w:rPr>
  </w:style>
  <w:style w:type="character" w:customStyle="1" w:styleId="147">
    <w:name w:val="content-white1"/>
    <w:qFormat/>
    <w:uiPriority w:val="0"/>
    <w:rPr>
      <w:color w:val="auto"/>
      <w:sz w:val="18"/>
      <w:u w:val="none"/>
    </w:rPr>
  </w:style>
  <w:style w:type="character" w:customStyle="1" w:styleId="148">
    <w:name w:val="unnamed1"/>
    <w:qFormat/>
    <w:uiPriority w:val="0"/>
  </w:style>
  <w:style w:type="character" w:customStyle="1" w:styleId="149">
    <w:name w:val="批注主题 Char1"/>
    <w:qFormat/>
    <w:uiPriority w:val="0"/>
    <w:rPr>
      <w:rFonts w:eastAsia="宋体"/>
      <w:b/>
      <w:bCs/>
      <w:kern w:val="2"/>
      <w:sz w:val="21"/>
      <w:szCs w:val="24"/>
      <w:lang w:val="en-US" w:eastAsia="zh-CN" w:bidi="ar-SA"/>
    </w:rPr>
  </w:style>
  <w:style w:type="character" w:customStyle="1" w:styleId="150">
    <w:name w:val="副标题 Char"/>
    <w:link w:val="44"/>
    <w:qFormat/>
    <w:uiPriority w:val="0"/>
    <w:rPr>
      <w:rFonts w:ascii="Cambria" w:hAnsi="Cambria"/>
      <w:b/>
      <w:bCs/>
      <w:kern w:val="28"/>
      <w:sz w:val="32"/>
      <w:szCs w:val="32"/>
    </w:rPr>
  </w:style>
  <w:style w:type="character" w:customStyle="1" w:styleId="151">
    <w:name w:val="style161"/>
    <w:qFormat/>
    <w:uiPriority w:val="0"/>
    <w:rPr>
      <w:b/>
      <w:bCs/>
      <w:color w:val="333333"/>
    </w:rPr>
  </w:style>
  <w:style w:type="character" w:customStyle="1" w:styleId="152">
    <w:name w:val="正文文本缩进 2 Char"/>
    <w:link w:val="36"/>
    <w:qFormat/>
    <w:uiPriority w:val="0"/>
    <w:rPr>
      <w:sz w:val="28"/>
    </w:rPr>
  </w:style>
  <w:style w:type="character" w:customStyle="1" w:styleId="153">
    <w:name w:val="页眉 Char"/>
    <w:link w:val="40"/>
    <w:qFormat/>
    <w:uiPriority w:val="99"/>
    <w:rPr>
      <w:sz w:val="18"/>
    </w:rPr>
  </w:style>
  <w:style w:type="character" w:customStyle="1" w:styleId="154">
    <w:name w:val="样式 宋体"/>
    <w:qFormat/>
    <w:uiPriority w:val="0"/>
    <w:rPr>
      <w:rFonts w:ascii="宋体" w:hAnsi="宋体" w:eastAsia="宋体"/>
      <w:sz w:val="28"/>
    </w:rPr>
  </w:style>
  <w:style w:type="character" w:customStyle="1" w:styleId="155">
    <w:name w:val="小 Char"/>
    <w:qFormat/>
    <w:uiPriority w:val="0"/>
    <w:rPr>
      <w:rFonts w:ascii="宋体" w:hAnsi="Courier New" w:eastAsia="宋体"/>
      <w:kern w:val="2"/>
      <w:sz w:val="21"/>
      <w:lang w:val="en-US" w:eastAsia="zh-CN" w:bidi="ar-SA"/>
    </w:rPr>
  </w:style>
  <w:style w:type="character" w:customStyle="1" w:styleId="156">
    <w:name w:val="正文 + 三号 Char"/>
    <w:qFormat/>
    <w:uiPriority w:val="0"/>
    <w:rPr>
      <w:rFonts w:eastAsia="宋体"/>
      <w:kern w:val="2"/>
      <w:sz w:val="21"/>
      <w:lang w:val="en-US" w:eastAsia="zh-CN"/>
    </w:rPr>
  </w:style>
  <w:style w:type="character" w:customStyle="1" w:styleId="157">
    <w:name w:val="H2 Char"/>
    <w:qFormat/>
    <w:uiPriority w:val="0"/>
    <w:rPr>
      <w:rFonts w:ascii="Arial" w:hAnsi="Arial" w:eastAsia="宋体"/>
      <w:kern w:val="2"/>
      <w:sz w:val="28"/>
      <w:lang w:val="en-US" w:eastAsia="zh-CN"/>
    </w:rPr>
  </w:style>
  <w:style w:type="character" w:customStyle="1" w:styleId="158">
    <w:name w:val="副标题 Char1"/>
    <w:qFormat/>
    <w:uiPriority w:val="0"/>
    <w:rPr>
      <w:rFonts w:ascii="Calibri Light" w:hAnsi="Calibri Light" w:cs="Times New Roman"/>
      <w:b/>
      <w:bCs/>
      <w:kern w:val="28"/>
      <w:sz w:val="32"/>
      <w:szCs w:val="32"/>
    </w:rPr>
  </w:style>
  <w:style w:type="character" w:customStyle="1" w:styleId="159">
    <w:name w:val="正文缩进 Char"/>
    <w:link w:val="17"/>
    <w:qFormat/>
    <w:uiPriority w:val="0"/>
    <w:rPr>
      <w:sz w:val="24"/>
    </w:rPr>
  </w:style>
  <w:style w:type="character" w:customStyle="1" w:styleId="160">
    <w:name w:val="crowed11"/>
    <w:qFormat/>
    <w:uiPriority w:val="0"/>
    <w:rPr>
      <w:rFonts w:hint="default"/>
      <w:sz w:val="24"/>
    </w:rPr>
  </w:style>
  <w:style w:type="character" w:customStyle="1" w:styleId="161">
    <w:name w:val="title11"/>
    <w:qFormat/>
    <w:uiPriority w:val="0"/>
    <w:rPr>
      <w:b/>
      <w:bCs/>
      <w:color w:val="FFFFFF"/>
      <w:sz w:val="11"/>
      <w:szCs w:val="11"/>
    </w:rPr>
  </w:style>
  <w:style w:type="character" w:customStyle="1" w:styleId="162">
    <w:name w:val="纯文本 Char"/>
    <w:link w:val="33"/>
    <w:qFormat/>
    <w:uiPriority w:val="99"/>
    <w:rPr>
      <w:rFonts w:ascii="宋体" w:hAnsi="Courier New"/>
    </w:rPr>
  </w:style>
  <w:style w:type="character" w:customStyle="1" w:styleId="163">
    <w:name w:val="ss16"/>
    <w:qFormat/>
    <w:uiPriority w:val="0"/>
    <w:rPr>
      <w:rFonts w:hint="eastAsia" w:ascii="宋体" w:hAnsi="宋体" w:eastAsia="宋体"/>
      <w:color w:val="000000"/>
      <w:sz w:val="9"/>
      <w:szCs w:val="9"/>
    </w:rPr>
  </w:style>
  <w:style w:type="character" w:customStyle="1" w:styleId="164">
    <w:name w:val="Char Char7"/>
    <w:qFormat/>
    <w:uiPriority w:val="0"/>
    <w:rPr>
      <w:rFonts w:ascii="宋体" w:hAnsi="宋体" w:eastAsia="宋体"/>
      <w:kern w:val="2"/>
      <w:sz w:val="28"/>
    </w:rPr>
  </w:style>
  <w:style w:type="character" w:customStyle="1" w:styleId="165">
    <w:name w:val="Char Char5"/>
    <w:qFormat/>
    <w:uiPriority w:val="0"/>
    <w:rPr>
      <w:rFonts w:ascii="Arial" w:hAnsi="Arial" w:eastAsia="宋体"/>
      <w:b/>
      <w:smallCaps/>
      <w:kern w:val="28"/>
      <w:sz w:val="36"/>
      <w:lang w:val="en-US" w:eastAsia="en-US"/>
    </w:rPr>
  </w:style>
  <w:style w:type="character" w:customStyle="1" w:styleId="166">
    <w:name w:val="页脚 Char"/>
    <w:link w:val="39"/>
    <w:qFormat/>
    <w:uiPriority w:val="99"/>
    <w:rPr>
      <w:sz w:val="18"/>
    </w:rPr>
  </w:style>
  <w:style w:type="character" w:customStyle="1" w:styleId="167">
    <w:name w:val="尾注文本 Char"/>
    <w:link w:val="37"/>
    <w:qFormat/>
    <w:uiPriority w:val="0"/>
    <w:rPr>
      <w:rFonts w:ascii="Arial" w:hAnsi="Arial" w:cs="Arial"/>
      <w:szCs w:val="24"/>
      <w:lang w:eastAsia="en-US"/>
    </w:rPr>
  </w:style>
  <w:style w:type="character" w:customStyle="1" w:styleId="168">
    <w:name w:val="style21"/>
    <w:qFormat/>
    <w:uiPriority w:val="0"/>
    <w:rPr>
      <w:b/>
      <w:bCs/>
      <w:sz w:val="28"/>
      <w:szCs w:val="28"/>
    </w:rPr>
  </w:style>
  <w:style w:type="character" w:customStyle="1" w:styleId="169">
    <w:name w:val="标书正文:  0.74 厘米 Char1"/>
    <w:qFormat/>
    <w:uiPriority w:val="0"/>
    <w:rPr>
      <w:rFonts w:eastAsia="宋体"/>
      <w:kern w:val="2"/>
      <w:sz w:val="24"/>
      <w:lang w:val="en-US" w:eastAsia="zh-CN"/>
    </w:rPr>
  </w:style>
  <w:style w:type="character" w:customStyle="1" w:styleId="170">
    <w:name w:val="Char Char4"/>
    <w:qFormat/>
    <w:uiPriority w:val="0"/>
    <w:rPr>
      <w:rFonts w:eastAsia="宋体"/>
      <w:b/>
      <w:kern w:val="2"/>
      <w:sz w:val="21"/>
      <w:lang w:val="en-US" w:eastAsia="zh-CN"/>
    </w:rPr>
  </w:style>
  <w:style w:type="character" w:customStyle="1" w:styleId="171">
    <w:name w:val="style121"/>
    <w:qFormat/>
    <w:uiPriority w:val="0"/>
    <w:rPr>
      <w:rFonts w:hint="eastAsia" w:ascii="宋体" w:hAnsi="宋体" w:eastAsia="宋体"/>
      <w:sz w:val="18"/>
      <w:szCs w:val="18"/>
    </w:rPr>
  </w:style>
  <w:style w:type="character" w:customStyle="1" w:styleId="172">
    <w:name w:val="引用 Char1"/>
    <w:qFormat/>
    <w:uiPriority w:val="99"/>
    <w:rPr>
      <w:i/>
      <w:iCs/>
      <w:color w:val="404040"/>
      <w:kern w:val="2"/>
      <w:sz w:val="28"/>
    </w:rPr>
  </w:style>
  <w:style w:type="character" w:customStyle="1" w:styleId="173">
    <w:name w:val="明显引用 Char1"/>
    <w:qFormat/>
    <w:uiPriority w:val="99"/>
    <w:rPr>
      <w:i/>
      <w:iCs/>
      <w:color w:val="5B9BD5"/>
      <w:kern w:val="2"/>
      <w:sz w:val="28"/>
    </w:rPr>
  </w:style>
  <w:style w:type="character" w:customStyle="1" w:styleId="174">
    <w:name w:val="正文文本缩进 Char1"/>
    <w:basedOn w:val="65"/>
    <w:link w:val="24"/>
    <w:qFormat/>
    <w:uiPriority w:val="99"/>
    <w:rPr>
      <w:rFonts w:ascii="Times New Roman" w:hAnsi="Times New Roman" w:eastAsia="宋体" w:cs="Times New Roman"/>
      <w:sz w:val="28"/>
      <w:szCs w:val="20"/>
    </w:rPr>
  </w:style>
  <w:style w:type="character" w:customStyle="1" w:styleId="175">
    <w:name w:val="正文首行缩进 2 Char1"/>
    <w:basedOn w:val="174"/>
    <w:qFormat/>
    <w:uiPriority w:val="99"/>
    <w:rPr>
      <w:rFonts w:ascii="Times New Roman" w:hAnsi="Times New Roman" w:eastAsia="宋体" w:cs="Times New Roman"/>
      <w:sz w:val="28"/>
      <w:szCs w:val="20"/>
    </w:rPr>
  </w:style>
  <w:style w:type="character" w:customStyle="1" w:styleId="176">
    <w:name w:val="正文文本缩进 3 Char1"/>
    <w:basedOn w:val="65"/>
    <w:qFormat/>
    <w:uiPriority w:val="99"/>
    <w:rPr>
      <w:rFonts w:ascii="Times New Roman" w:hAnsi="Times New Roman" w:eastAsia="宋体" w:cs="Times New Roman"/>
      <w:sz w:val="16"/>
      <w:szCs w:val="16"/>
    </w:rPr>
  </w:style>
  <w:style w:type="character" w:customStyle="1" w:styleId="177">
    <w:name w:val="副标题 Char2"/>
    <w:basedOn w:val="65"/>
    <w:qFormat/>
    <w:uiPriority w:val="11"/>
    <w:rPr>
      <w:rFonts w:ascii="Calibri Light" w:hAnsi="Calibri Light" w:eastAsia="宋体" w:cs="宋体"/>
      <w:b/>
      <w:bCs/>
      <w:kern w:val="28"/>
      <w:sz w:val="32"/>
      <w:szCs w:val="32"/>
    </w:rPr>
  </w:style>
  <w:style w:type="paragraph" w:customStyle="1" w:styleId="17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9">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character" w:customStyle="1" w:styleId="180">
    <w:name w:val="页眉 Char1"/>
    <w:basedOn w:val="65"/>
    <w:qFormat/>
    <w:uiPriority w:val="99"/>
    <w:rPr>
      <w:rFonts w:ascii="Times New Roman" w:hAnsi="Times New Roman" w:eastAsia="宋体" w:cs="Times New Roman"/>
      <w:sz w:val="18"/>
      <w:szCs w:val="18"/>
    </w:rPr>
  </w:style>
  <w:style w:type="character" w:customStyle="1" w:styleId="181">
    <w:name w:val="标题 Char1"/>
    <w:basedOn w:val="65"/>
    <w:qFormat/>
    <w:uiPriority w:val="10"/>
    <w:rPr>
      <w:rFonts w:ascii="Calibri Light" w:hAnsi="Calibri Light" w:eastAsia="宋体" w:cs="宋体"/>
      <w:b/>
      <w:bCs/>
      <w:sz w:val="32"/>
      <w:szCs w:val="32"/>
    </w:rPr>
  </w:style>
  <w:style w:type="character" w:customStyle="1" w:styleId="182">
    <w:name w:val="正文文本 2 Char"/>
    <w:basedOn w:val="65"/>
    <w:link w:val="53"/>
    <w:qFormat/>
    <w:uiPriority w:val="0"/>
    <w:rPr>
      <w:rFonts w:ascii="Times New Roman" w:hAnsi="Times New Roman" w:eastAsia="宋体" w:cs="Times New Roman"/>
      <w:sz w:val="24"/>
      <w:szCs w:val="20"/>
    </w:rPr>
  </w:style>
  <w:style w:type="character" w:customStyle="1" w:styleId="183">
    <w:name w:val="日期 Char1"/>
    <w:basedOn w:val="65"/>
    <w:qFormat/>
    <w:uiPriority w:val="99"/>
    <w:rPr>
      <w:rFonts w:ascii="Times New Roman" w:hAnsi="Times New Roman" w:eastAsia="宋体" w:cs="Times New Roman"/>
      <w:sz w:val="28"/>
      <w:szCs w:val="20"/>
    </w:rPr>
  </w:style>
  <w:style w:type="paragraph" w:customStyle="1" w:styleId="184">
    <w:name w:val="正文字缩2字"/>
    <w:basedOn w:val="1"/>
    <w:qFormat/>
    <w:uiPriority w:val="0"/>
    <w:pPr>
      <w:spacing w:before="60" w:after="60" w:line="360" w:lineRule="auto"/>
      <w:ind w:left="200" w:leftChars="200" w:firstLine="200" w:firstLineChars="200"/>
    </w:pPr>
    <w:rPr>
      <w:sz w:val="24"/>
    </w:rPr>
  </w:style>
  <w:style w:type="character" w:customStyle="1" w:styleId="185">
    <w:name w:val="批注文字 Char1"/>
    <w:basedOn w:val="65"/>
    <w:link w:val="21"/>
    <w:qFormat/>
    <w:uiPriority w:val="99"/>
    <w:rPr>
      <w:rFonts w:ascii="Times New Roman" w:hAnsi="Times New Roman" w:eastAsia="宋体" w:cs="Times New Roman"/>
      <w:sz w:val="28"/>
      <w:szCs w:val="20"/>
    </w:rPr>
  </w:style>
  <w:style w:type="character" w:customStyle="1" w:styleId="186">
    <w:name w:val="批注主题 Char2"/>
    <w:basedOn w:val="185"/>
    <w:qFormat/>
    <w:uiPriority w:val="99"/>
    <w:rPr>
      <w:rFonts w:ascii="Times New Roman" w:hAnsi="Times New Roman" w:eastAsia="宋体" w:cs="Times New Roman"/>
      <w:b/>
      <w:bCs/>
      <w:sz w:val="28"/>
      <w:szCs w:val="20"/>
    </w:rPr>
  </w:style>
  <w:style w:type="character" w:customStyle="1" w:styleId="187">
    <w:name w:val="正文文本 Char1"/>
    <w:basedOn w:val="65"/>
    <w:qFormat/>
    <w:uiPriority w:val="99"/>
    <w:rPr>
      <w:rFonts w:ascii="Times New Roman" w:hAnsi="Times New Roman" w:eastAsia="宋体" w:cs="Times New Roman"/>
      <w:sz w:val="28"/>
      <w:szCs w:val="20"/>
    </w:rPr>
  </w:style>
  <w:style w:type="paragraph" w:customStyle="1" w:styleId="188">
    <w:name w:val="文章正文"/>
    <w:basedOn w:val="1"/>
    <w:qFormat/>
    <w:uiPriority w:val="0"/>
    <w:pPr>
      <w:ind w:firstLine="560" w:firstLineChars="200"/>
    </w:pPr>
    <w:rPr>
      <w:rFonts w:ascii="仿宋_GB2312" w:hAnsi="宋体" w:eastAsia="仿宋_GB2312"/>
      <w:color w:val="000000"/>
    </w:rPr>
  </w:style>
  <w:style w:type="character" w:customStyle="1" w:styleId="189">
    <w:name w:val="正文文本 3 Char1"/>
    <w:basedOn w:val="65"/>
    <w:qFormat/>
    <w:uiPriority w:val="99"/>
    <w:rPr>
      <w:rFonts w:ascii="Times New Roman" w:hAnsi="Times New Roman" w:eastAsia="宋体" w:cs="Times New Roman"/>
      <w:sz w:val="16"/>
      <w:szCs w:val="16"/>
    </w:rPr>
  </w:style>
  <w:style w:type="character" w:customStyle="1" w:styleId="190">
    <w:name w:val="文档结构图 Char1"/>
    <w:basedOn w:val="65"/>
    <w:qFormat/>
    <w:uiPriority w:val="99"/>
    <w:rPr>
      <w:rFonts w:ascii="Microsoft YaHei UI" w:hAnsi="Times New Roman" w:eastAsia="Microsoft YaHei UI" w:cs="Times New Roman"/>
      <w:sz w:val="18"/>
      <w:szCs w:val="18"/>
    </w:rPr>
  </w:style>
  <w:style w:type="paragraph" w:customStyle="1" w:styleId="191">
    <w:name w:val="表头样式"/>
    <w:basedOn w:val="1"/>
    <w:qFormat/>
    <w:uiPriority w:val="0"/>
    <w:pPr>
      <w:autoSpaceDE w:val="0"/>
      <w:autoSpaceDN w:val="0"/>
      <w:adjustRightInd w:val="0"/>
      <w:spacing w:line="360" w:lineRule="auto"/>
      <w:jc w:val="left"/>
    </w:pPr>
    <w:rPr>
      <w:b/>
      <w:kern w:val="0"/>
      <w:sz w:val="21"/>
    </w:rPr>
  </w:style>
  <w:style w:type="character" w:customStyle="1" w:styleId="192">
    <w:name w:val="纯文本 Char1"/>
    <w:basedOn w:val="65"/>
    <w:qFormat/>
    <w:uiPriority w:val="99"/>
    <w:rPr>
      <w:rFonts w:ascii="宋体" w:hAnsi="Courier New" w:eastAsia="宋体" w:cs="Courier New"/>
      <w:szCs w:val="21"/>
    </w:rPr>
  </w:style>
  <w:style w:type="character" w:customStyle="1" w:styleId="193">
    <w:name w:val="批注框文本 Char1"/>
    <w:basedOn w:val="65"/>
    <w:qFormat/>
    <w:uiPriority w:val="99"/>
    <w:rPr>
      <w:rFonts w:ascii="Times New Roman" w:hAnsi="Times New Roman" w:eastAsia="宋体" w:cs="Times New Roman"/>
      <w:sz w:val="18"/>
      <w:szCs w:val="18"/>
    </w:rPr>
  </w:style>
  <w:style w:type="paragraph" w:customStyle="1" w:styleId="194">
    <w:name w:val="WW-表格标题"/>
    <w:basedOn w:val="195"/>
    <w:qFormat/>
    <w:uiPriority w:val="0"/>
  </w:style>
  <w:style w:type="paragraph" w:customStyle="1" w:styleId="195">
    <w:name w:val="WW-表格内容"/>
    <w:basedOn w:val="1"/>
    <w:qFormat/>
    <w:uiPriority w:val="0"/>
    <w:pPr>
      <w:suppressLineNumbers/>
      <w:suppressAutoHyphens/>
    </w:pPr>
    <w:rPr>
      <w:rFonts w:ascii="Calibri" w:hAnsi="Calibri"/>
      <w:sz w:val="21"/>
      <w:szCs w:val="24"/>
    </w:rPr>
  </w:style>
  <w:style w:type="character" w:customStyle="1" w:styleId="196">
    <w:name w:val="正文文本缩进 2 Char1"/>
    <w:basedOn w:val="65"/>
    <w:qFormat/>
    <w:uiPriority w:val="99"/>
    <w:rPr>
      <w:rFonts w:ascii="Times New Roman" w:hAnsi="Times New Roman" w:eastAsia="宋体" w:cs="Times New Roman"/>
      <w:sz w:val="28"/>
      <w:szCs w:val="20"/>
    </w:rPr>
  </w:style>
  <w:style w:type="character" w:customStyle="1" w:styleId="197">
    <w:name w:val="正文首行缩进 Char"/>
    <w:basedOn w:val="187"/>
    <w:link w:val="2"/>
    <w:qFormat/>
    <w:uiPriority w:val="0"/>
    <w:rPr>
      <w:rFonts w:ascii="宋体" w:hAnsi="宋体" w:eastAsia="宋体" w:cs="Times New Roman"/>
      <w:sz w:val="24"/>
      <w:szCs w:val="20"/>
    </w:rPr>
  </w:style>
  <w:style w:type="paragraph" w:customStyle="1" w:styleId="198">
    <w:name w:val="表号"/>
    <w:basedOn w:val="1"/>
    <w:qFormat/>
    <w:uiPriority w:val="0"/>
    <w:pPr>
      <w:numPr>
        <w:ilvl w:val="0"/>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199">
    <w:name w:val="脚注文本 Char1"/>
    <w:basedOn w:val="65"/>
    <w:qFormat/>
    <w:uiPriority w:val="99"/>
    <w:rPr>
      <w:rFonts w:ascii="Times New Roman" w:hAnsi="Times New Roman" w:eastAsia="宋体" w:cs="Times New Roman"/>
      <w:sz w:val="18"/>
      <w:szCs w:val="18"/>
    </w:rPr>
  </w:style>
  <w:style w:type="character" w:customStyle="1" w:styleId="200">
    <w:name w:val="尾注文本 Char2"/>
    <w:basedOn w:val="65"/>
    <w:qFormat/>
    <w:uiPriority w:val="99"/>
    <w:rPr>
      <w:rFonts w:ascii="Times New Roman" w:hAnsi="Times New Roman" w:eastAsia="宋体" w:cs="Times New Roman"/>
      <w:sz w:val="28"/>
      <w:szCs w:val="20"/>
    </w:rPr>
  </w:style>
  <w:style w:type="character" w:customStyle="1" w:styleId="201">
    <w:name w:val="HTML 预设格式 Char2"/>
    <w:basedOn w:val="65"/>
    <w:qFormat/>
    <w:uiPriority w:val="99"/>
    <w:rPr>
      <w:rFonts w:ascii="Courier New" w:hAnsi="Courier New" w:eastAsia="宋体" w:cs="Courier New"/>
      <w:sz w:val="20"/>
      <w:szCs w:val="20"/>
    </w:rPr>
  </w:style>
  <w:style w:type="character" w:customStyle="1" w:styleId="202">
    <w:name w:val="页脚 Char1"/>
    <w:basedOn w:val="65"/>
    <w:qFormat/>
    <w:uiPriority w:val="99"/>
    <w:rPr>
      <w:rFonts w:ascii="Times New Roman" w:hAnsi="Times New Roman" w:eastAsia="宋体" w:cs="Times New Roman"/>
      <w:sz w:val="18"/>
      <w:szCs w:val="18"/>
    </w:rPr>
  </w:style>
  <w:style w:type="paragraph" w:customStyle="1" w:styleId="203">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04">
    <w:name w:val="样式 标题 6第五层条 + 三号 段前: 0.5 行"/>
    <w:basedOn w:val="9"/>
    <w:qFormat/>
    <w:uiPriority w:val="0"/>
    <w:pPr>
      <w:widowControl/>
      <w:adjustRightInd/>
      <w:snapToGrid/>
      <w:spacing w:before="156" w:beforeLines="50"/>
      <w:jc w:val="left"/>
    </w:pPr>
    <w:rPr>
      <w:snapToGrid w:val="0"/>
      <w:kern w:val="24"/>
      <w:sz w:val="28"/>
    </w:rPr>
  </w:style>
  <w:style w:type="paragraph" w:customStyle="1" w:styleId="205">
    <w:name w:val="表格标题"/>
    <w:basedOn w:val="206"/>
    <w:qFormat/>
    <w:uiPriority w:val="0"/>
  </w:style>
  <w:style w:type="paragraph" w:customStyle="1" w:styleId="206">
    <w:name w:val="表格内容"/>
    <w:basedOn w:val="1"/>
    <w:qFormat/>
    <w:uiPriority w:val="0"/>
    <w:pPr>
      <w:suppressLineNumbers/>
      <w:suppressAutoHyphens/>
    </w:pPr>
    <w:rPr>
      <w:rFonts w:ascii="Calibri" w:hAnsi="Calibri"/>
      <w:sz w:val="21"/>
      <w:szCs w:val="24"/>
    </w:rPr>
  </w:style>
  <w:style w:type="paragraph" w:customStyle="1" w:styleId="20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08">
    <w:name w:val="Title - Revision"/>
    <w:basedOn w:val="60"/>
    <w:qFormat/>
    <w:uiPriority w:val="0"/>
    <w:pPr>
      <w:spacing w:before="720"/>
    </w:pPr>
  </w:style>
  <w:style w:type="paragraph" w:customStyle="1" w:styleId="209">
    <w:name w:val="Char Char Char Char Char Char Char Char Char Char Char Char Char Char Char Char"/>
    <w:basedOn w:val="1"/>
    <w:qFormat/>
    <w:uiPriority w:val="0"/>
    <w:pPr>
      <w:tabs>
        <w:tab w:val="left" w:pos="360"/>
      </w:tabs>
    </w:pPr>
    <w:rPr>
      <w:sz w:val="24"/>
    </w:rPr>
  </w:style>
  <w:style w:type="paragraph" w:customStyle="1" w:styleId="21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11">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2">
    <w:name w:val="样式1xz"/>
    <w:basedOn w:val="1"/>
    <w:qFormat/>
    <w:uiPriority w:val="0"/>
    <w:pPr>
      <w:tabs>
        <w:tab w:val="left" w:pos="1050"/>
        <w:tab w:val="right" w:leader="dot" w:pos="8296"/>
      </w:tabs>
    </w:pPr>
    <w:rPr>
      <w:caps/>
      <w:spacing w:val="20"/>
      <w:sz w:val="24"/>
    </w:rPr>
  </w:style>
  <w:style w:type="paragraph" w:customStyle="1" w:styleId="213">
    <w:name w:val="Char Char Char Char Char"/>
    <w:basedOn w:val="1"/>
    <w:qFormat/>
    <w:uiPriority w:val="0"/>
    <w:pPr>
      <w:tabs>
        <w:tab w:val="left" w:pos="425"/>
      </w:tabs>
      <w:ind w:left="1620" w:hanging="360"/>
    </w:pPr>
    <w:rPr>
      <w:rFonts w:ascii="Tahoma" w:hAnsi="Tahoma"/>
      <w:sz w:val="24"/>
    </w:rPr>
  </w:style>
  <w:style w:type="paragraph" w:customStyle="1" w:styleId="21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6">
    <w:name w:val="标准正文"/>
    <w:basedOn w:val="24"/>
    <w:qFormat/>
    <w:uiPriority w:val="0"/>
    <w:pPr>
      <w:spacing w:before="60" w:after="60" w:line="360" w:lineRule="auto"/>
      <w:ind w:left="0" w:leftChars="0" w:firstLine="482"/>
    </w:pPr>
    <w:rPr>
      <w:rFonts w:ascii="Arial" w:hAnsi="Arial"/>
      <w:sz w:val="24"/>
    </w:rPr>
  </w:style>
  <w:style w:type="paragraph" w:customStyle="1" w:styleId="217">
    <w:name w:val="样式 宋体 五号 行距: 单倍行距"/>
    <w:basedOn w:val="1"/>
    <w:qFormat/>
    <w:uiPriority w:val="0"/>
    <w:pPr>
      <w:adjustRightInd w:val="0"/>
      <w:jc w:val="left"/>
    </w:pPr>
    <w:rPr>
      <w:rFonts w:ascii="宋体" w:hAnsi="宋体"/>
      <w:kern w:val="0"/>
      <w:sz w:val="21"/>
    </w:rPr>
  </w:style>
  <w:style w:type="paragraph" w:customStyle="1" w:styleId="218">
    <w:name w:val="Char1 Char Char Char"/>
    <w:basedOn w:val="1"/>
    <w:qFormat/>
    <w:uiPriority w:val="0"/>
    <w:rPr>
      <w:rFonts w:ascii="Tahoma" w:hAnsi="Tahoma"/>
      <w:sz w:val="24"/>
    </w:rPr>
  </w:style>
  <w:style w:type="paragraph" w:customStyle="1" w:styleId="219">
    <w:name w:val="样式 标题 1 + 居中 段前: 6 磅 段后: 6 磅 行距: 1.5 倍行距"/>
    <w:basedOn w:val="4"/>
    <w:qFormat/>
    <w:uiPriority w:val="0"/>
    <w:pPr>
      <w:keepLines/>
      <w:adjustRightInd w:val="0"/>
      <w:spacing w:before="120" w:after="120" w:line="360" w:lineRule="auto"/>
      <w:jc w:val="center"/>
    </w:pPr>
    <w:rPr>
      <w:rFonts w:ascii="Times New Roman"/>
      <w:b/>
      <w:kern w:val="44"/>
      <w:sz w:val="32"/>
    </w:rPr>
  </w:style>
  <w:style w:type="paragraph" w:customStyle="1" w:styleId="220">
    <w:name w:val="段落正文"/>
    <w:basedOn w:val="1"/>
    <w:qFormat/>
    <w:uiPriority w:val="0"/>
    <w:pPr>
      <w:spacing w:before="156" w:beforeLines="50" w:line="360" w:lineRule="auto"/>
      <w:ind w:firstLine="200" w:firstLineChars="200"/>
    </w:pPr>
    <w:rPr>
      <w:spacing w:val="2"/>
      <w:sz w:val="24"/>
    </w:rPr>
  </w:style>
  <w:style w:type="paragraph" w:customStyle="1" w:styleId="221">
    <w:name w:val="Title - Date"/>
    <w:basedOn w:val="60"/>
    <w:next w:val="1"/>
    <w:qFormat/>
    <w:uiPriority w:val="0"/>
    <w:pPr>
      <w:spacing w:before="240" w:after="720"/>
    </w:pPr>
    <w:rPr>
      <w:sz w:val="28"/>
    </w:rPr>
  </w:style>
  <w:style w:type="paragraph" w:customStyle="1" w:styleId="222">
    <w:name w:val="00"/>
    <w:basedOn w:val="1"/>
    <w:qFormat/>
    <w:uiPriority w:val="0"/>
    <w:pPr>
      <w:autoSpaceDE w:val="0"/>
      <w:autoSpaceDN w:val="0"/>
      <w:adjustRightInd w:val="0"/>
      <w:jc w:val="left"/>
    </w:pPr>
    <w:rPr>
      <w:rFonts w:ascii="黑体" w:eastAsia="黑体"/>
      <w:b/>
      <w:kern w:val="0"/>
      <w:sz w:val="20"/>
    </w:rPr>
  </w:style>
  <w:style w:type="paragraph" w:customStyle="1" w:styleId="223">
    <w:name w:val="pa-27"/>
    <w:basedOn w:val="1"/>
    <w:qFormat/>
    <w:uiPriority w:val="0"/>
    <w:pPr>
      <w:widowControl/>
      <w:spacing w:line="360" w:lineRule="atLeast"/>
      <w:ind w:firstLine="420"/>
    </w:pPr>
    <w:rPr>
      <w:rFonts w:ascii="宋体" w:hAnsi="宋体" w:cs="宋体"/>
      <w:kern w:val="0"/>
      <w:sz w:val="24"/>
      <w:szCs w:val="24"/>
    </w:rPr>
  </w:style>
  <w:style w:type="paragraph" w:customStyle="1" w:styleId="224">
    <w:name w:val="正文4"/>
    <w:basedOn w:val="1"/>
    <w:qFormat/>
    <w:uiPriority w:val="0"/>
    <w:pPr>
      <w:tabs>
        <w:tab w:val="left" w:pos="1275"/>
      </w:tabs>
      <w:spacing w:before="60" w:after="60" w:line="360" w:lineRule="auto"/>
      <w:ind w:left="820" w:leftChars="400" w:hanging="705"/>
    </w:pPr>
    <w:rPr>
      <w:sz w:val="24"/>
    </w:rPr>
  </w:style>
  <w:style w:type="paragraph" w:customStyle="1" w:styleId="225">
    <w:name w:val="TOC Heading_628a5cda-1b0f-415f-b4e5-c21c51a3073f"/>
    <w:basedOn w:val="4"/>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26">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2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28">
    <w:name w:val="af"/>
    <w:basedOn w:val="1"/>
    <w:qFormat/>
    <w:uiPriority w:val="0"/>
    <w:pPr>
      <w:widowControl/>
      <w:spacing w:line="300" w:lineRule="atLeast"/>
      <w:jc w:val="left"/>
    </w:pPr>
    <w:rPr>
      <w:rFonts w:ascii="宋体" w:hAnsi="宋体"/>
      <w:kern w:val="0"/>
      <w:sz w:val="18"/>
    </w:rPr>
  </w:style>
  <w:style w:type="paragraph" w:customStyle="1" w:styleId="229">
    <w:name w:val="Table Contents"/>
    <w:basedOn w:val="3"/>
    <w:qFormat/>
    <w:uiPriority w:val="0"/>
    <w:pPr>
      <w:suppressAutoHyphens/>
      <w:jc w:val="left"/>
    </w:pPr>
    <w:rPr>
      <w:rFonts w:ascii="Times New Roman" w:eastAsia="Times New Roman"/>
      <w:kern w:val="0"/>
      <w:sz w:val="24"/>
    </w:rPr>
  </w:style>
  <w:style w:type="paragraph" w:customStyle="1" w:styleId="23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2">
    <w:name w:val="文本框样式1"/>
    <w:basedOn w:val="1"/>
    <w:qFormat/>
    <w:uiPriority w:val="0"/>
    <w:pPr>
      <w:adjustRightInd w:val="0"/>
      <w:snapToGrid w:val="0"/>
      <w:spacing w:before="60" w:line="180" w:lineRule="exact"/>
      <w:jc w:val="center"/>
    </w:pPr>
    <w:rPr>
      <w:sz w:val="21"/>
    </w:rPr>
  </w:style>
  <w:style w:type="paragraph" w:customStyle="1" w:styleId="233">
    <w:name w:val="正文表格"/>
    <w:basedOn w:val="1"/>
    <w:qFormat/>
    <w:uiPriority w:val="0"/>
    <w:pPr>
      <w:adjustRightInd w:val="0"/>
      <w:spacing w:before="40" w:after="40"/>
    </w:pPr>
    <w:rPr>
      <w:sz w:val="24"/>
    </w:rPr>
  </w:style>
  <w:style w:type="paragraph" w:customStyle="1" w:styleId="23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23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6">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237">
    <w:name w:val="样式1"/>
    <w:basedOn w:val="7"/>
    <w:qFormat/>
    <w:uiPriority w:val="0"/>
    <w:pPr>
      <w:tabs>
        <w:tab w:val="left" w:pos="720"/>
      </w:tabs>
      <w:spacing w:before="500" w:after="260" w:line="560" w:lineRule="atLeast"/>
      <w:ind w:left="420" w:hanging="420"/>
    </w:pPr>
  </w:style>
  <w:style w:type="paragraph" w:customStyle="1" w:styleId="238">
    <w:name w:val="Char Char Char Char Char Char Char"/>
    <w:basedOn w:val="19"/>
    <w:qFormat/>
    <w:uiPriority w:val="0"/>
    <w:rPr>
      <w:rFonts w:ascii="宋体" w:hAnsi="Tahoma"/>
    </w:rPr>
  </w:style>
  <w:style w:type="paragraph" w:customStyle="1" w:styleId="239">
    <w:name w:val="样式 正文文本缩进 + 左  0 字符"/>
    <w:basedOn w:val="1"/>
    <w:qFormat/>
    <w:uiPriority w:val="0"/>
    <w:pPr>
      <w:spacing w:line="360" w:lineRule="auto"/>
      <w:ind w:firstLine="250" w:firstLineChars="250"/>
    </w:pPr>
    <w:rPr>
      <w:rFonts w:cs="宋体"/>
      <w:sz w:val="24"/>
    </w:rPr>
  </w:style>
  <w:style w:type="paragraph" w:customStyle="1" w:styleId="240">
    <w:name w:val="首行缩进"/>
    <w:basedOn w:val="1"/>
    <w:qFormat/>
    <w:uiPriority w:val="0"/>
    <w:pPr>
      <w:numPr>
        <w:ilvl w:val="0"/>
        <w:numId w:val="7"/>
      </w:numPr>
      <w:spacing w:line="360" w:lineRule="auto"/>
    </w:pPr>
    <w:rPr>
      <w:rFonts w:eastAsia="仿宋_GB2312"/>
    </w:rPr>
  </w:style>
  <w:style w:type="paragraph" w:customStyle="1" w:styleId="241">
    <w:name w:val="3"/>
    <w:next w:val="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4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3">
    <w:name w:val="可研正文"/>
    <w:basedOn w:val="3"/>
    <w:qFormat/>
    <w:uiPriority w:val="0"/>
    <w:pPr>
      <w:adjustRightInd w:val="0"/>
      <w:snapToGrid w:val="0"/>
      <w:spacing w:line="440" w:lineRule="exact"/>
      <w:ind w:firstLine="567"/>
    </w:pPr>
    <w:rPr>
      <w:sz w:val="28"/>
    </w:rPr>
  </w:style>
  <w:style w:type="paragraph" w:customStyle="1" w:styleId="24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4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6">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7">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4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5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5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52">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3">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254">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255">
    <w:name w:val="Note"/>
    <w:basedOn w:val="1"/>
    <w:qFormat/>
    <w:uiPriority w:val="0"/>
    <w:pPr>
      <w:pBdr>
        <w:top w:val="single" w:color="auto" w:sz="12" w:space="3"/>
        <w:bottom w:val="single" w:color="auto" w:sz="12" w:space="3"/>
      </w:pBdr>
      <w:spacing w:line="360" w:lineRule="auto"/>
    </w:pPr>
    <w:rPr>
      <w:sz w:val="24"/>
    </w:rPr>
  </w:style>
  <w:style w:type="paragraph" w:customStyle="1" w:styleId="256">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5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58">
    <w:name w:val="列出段落1"/>
    <w:basedOn w:val="1"/>
    <w:qFormat/>
    <w:uiPriority w:val="34"/>
    <w:pPr>
      <w:ind w:firstLine="420" w:firstLineChars="200"/>
    </w:pPr>
    <w:rPr>
      <w:rFonts w:ascii="Calibri" w:hAnsi="Calibri"/>
      <w:sz w:val="21"/>
      <w:szCs w:val="24"/>
    </w:rPr>
  </w:style>
  <w:style w:type="paragraph" w:customStyle="1" w:styleId="259">
    <w:name w:val="样式 正文缩进正文（首行缩进两字）表正文正文非缩进特点标题4段1 + 首行缩进:  2 字符"/>
    <w:basedOn w:val="17"/>
    <w:qFormat/>
    <w:uiPriority w:val="0"/>
    <w:pPr>
      <w:ind w:firstLine="480" w:firstLineChars="200"/>
    </w:pPr>
  </w:style>
  <w:style w:type="paragraph" w:customStyle="1" w:styleId="260">
    <w:name w:val="Char Char 字元 字元 字元 Char Char Char Char"/>
    <w:basedOn w:val="1"/>
    <w:qFormat/>
    <w:uiPriority w:val="0"/>
    <w:pPr>
      <w:adjustRightInd w:val="0"/>
      <w:spacing w:line="360" w:lineRule="auto"/>
    </w:pPr>
    <w:rPr>
      <w:kern w:val="0"/>
      <w:sz w:val="24"/>
    </w:rPr>
  </w:style>
  <w:style w:type="paragraph" w:customStyle="1" w:styleId="261">
    <w:name w:val="表格"/>
    <w:basedOn w:val="1"/>
    <w:qFormat/>
    <w:uiPriority w:val="0"/>
    <w:pPr>
      <w:jc w:val="center"/>
      <w:textAlignment w:val="center"/>
    </w:pPr>
    <w:rPr>
      <w:rFonts w:ascii="华文细黑" w:hAnsi="华文细黑"/>
      <w:kern w:val="0"/>
      <w:sz w:val="21"/>
    </w:rPr>
  </w:style>
  <w:style w:type="paragraph" w:customStyle="1" w:styleId="26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6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6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65">
    <w:name w:val="标书正文:  0.74 厘米"/>
    <w:basedOn w:val="1"/>
    <w:qFormat/>
    <w:uiPriority w:val="0"/>
    <w:pPr>
      <w:snapToGrid w:val="0"/>
      <w:spacing w:line="360" w:lineRule="auto"/>
      <w:ind w:firstLine="420"/>
    </w:pPr>
    <w:rPr>
      <w:sz w:val="24"/>
    </w:rPr>
  </w:style>
  <w:style w:type="paragraph" w:customStyle="1" w:styleId="266">
    <w:name w:val="默认段落字体 Para Char Char Char Char Char Char Char"/>
    <w:basedOn w:val="1"/>
    <w:qFormat/>
    <w:uiPriority w:val="0"/>
    <w:rPr>
      <w:rFonts w:ascii="Tahoma" w:hAnsi="Tahoma"/>
      <w:sz w:val="24"/>
    </w:rPr>
  </w:style>
  <w:style w:type="paragraph" w:customStyle="1" w:styleId="267">
    <w:name w:val="Char"/>
    <w:basedOn w:val="1"/>
    <w:qFormat/>
    <w:uiPriority w:val="0"/>
    <w:pPr>
      <w:spacing w:line="240" w:lineRule="atLeast"/>
      <w:ind w:left="420" w:firstLine="420"/>
    </w:pPr>
    <w:rPr>
      <w:kern w:val="0"/>
      <w:sz w:val="21"/>
    </w:rPr>
  </w:style>
  <w:style w:type="paragraph" w:customStyle="1" w:styleId="268">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69">
    <w:name w:val="一级条标题"/>
    <w:basedOn w:val="253"/>
    <w:next w:val="270"/>
    <w:qFormat/>
    <w:uiPriority w:val="0"/>
    <w:pPr>
      <w:numPr>
        <w:ilvl w:val="0"/>
        <w:numId w:val="0"/>
      </w:numPr>
      <w:spacing w:before="0" w:after="0"/>
      <w:ind w:left="525"/>
      <w:outlineLvl w:val="2"/>
    </w:pPr>
    <w:rPr>
      <w:sz w:val="21"/>
    </w:rPr>
  </w:style>
  <w:style w:type="paragraph" w:customStyle="1" w:styleId="27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1">
    <w:name w:val="p15"/>
    <w:basedOn w:val="1"/>
    <w:qFormat/>
    <w:uiPriority w:val="0"/>
    <w:pPr>
      <w:widowControl/>
      <w:spacing w:after="120"/>
    </w:pPr>
    <w:rPr>
      <w:rFonts w:ascii="Calibri" w:hAnsi="Calibri"/>
      <w:kern w:val="0"/>
      <w:sz w:val="21"/>
      <w:szCs w:val="21"/>
    </w:rPr>
  </w:style>
  <w:style w:type="paragraph" w:customStyle="1" w:styleId="272">
    <w:name w:val="表格文本"/>
    <w:qFormat/>
    <w:uiPriority w:val="0"/>
    <w:pPr>
      <w:tabs>
        <w:tab w:val="decimal" w:pos="0"/>
      </w:tabs>
    </w:pPr>
    <w:rPr>
      <w:rFonts w:ascii="Arial" w:hAnsi="Arial" w:eastAsia="宋体" w:cs="Times New Roman"/>
      <w:sz w:val="21"/>
      <w:lang w:val="en-US" w:eastAsia="zh-CN" w:bidi="ar-SA"/>
    </w:rPr>
  </w:style>
  <w:style w:type="paragraph" w:customStyle="1" w:styleId="273">
    <w:name w:val="样式2"/>
    <w:basedOn w:val="7"/>
    <w:qFormat/>
    <w:uiPriority w:val="0"/>
    <w:pPr>
      <w:numPr>
        <w:ilvl w:val="0"/>
        <w:numId w:val="9"/>
      </w:numPr>
      <w:spacing w:before="560" w:line="400" w:lineRule="exact"/>
      <w:jc w:val="center"/>
      <w:outlineLvl w:val="0"/>
    </w:pPr>
    <w:rPr>
      <w:b w:val="0"/>
      <w:sz w:val="44"/>
    </w:rPr>
  </w:style>
  <w:style w:type="paragraph" w:customStyle="1" w:styleId="27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75">
    <w:name w:val="首行缩进 1"/>
    <w:basedOn w:val="1"/>
    <w:qFormat/>
    <w:uiPriority w:val="0"/>
    <w:pPr>
      <w:spacing w:after="120" w:line="360" w:lineRule="auto"/>
      <w:ind w:firstLine="200" w:firstLineChars="200"/>
    </w:pPr>
    <w:rPr>
      <w:sz w:val="24"/>
    </w:rPr>
  </w:style>
  <w:style w:type="paragraph" w:customStyle="1" w:styleId="276">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7">
    <w:name w:val="表头"/>
    <w:basedOn w:val="1"/>
    <w:qFormat/>
    <w:uiPriority w:val="0"/>
    <w:pPr>
      <w:keepNext/>
      <w:autoSpaceDE w:val="0"/>
      <w:autoSpaceDN w:val="0"/>
      <w:adjustRightInd w:val="0"/>
      <w:spacing w:line="200" w:lineRule="atLeast"/>
    </w:pPr>
    <w:rPr>
      <w:rFonts w:ascii="黑体" w:hAnsi="Calibri" w:eastAsia="黑体"/>
      <w:kern w:val="0"/>
      <w:sz w:val="24"/>
      <w:szCs w:val="24"/>
    </w:rPr>
  </w:style>
  <w:style w:type="paragraph" w:customStyle="1" w:styleId="278">
    <w:name w:val="二级列表"/>
    <w:basedOn w:val="220"/>
    <w:next w:val="220"/>
    <w:qFormat/>
    <w:uiPriority w:val="0"/>
    <w:pPr>
      <w:tabs>
        <w:tab w:val="left" w:pos="2120"/>
      </w:tabs>
      <w:ind w:firstLine="0" w:firstLineChars="0"/>
    </w:pPr>
    <w:rPr>
      <w:b/>
    </w:rPr>
  </w:style>
  <w:style w:type="paragraph" w:customStyle="1" w:styleId="27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80">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281">
    <w:name w:val="列表项目"/>
    <w:basedOn w:val="1"/>
    <w:qFormat/>
    <w:uiPriority w:val="0"/>
    <w:pPr>
      <w:tabs>
        <w:tab w:val="left" w:pos="420"/>
      </w:tabs>
      <w:spacing w:line="288" w:lineRule="auto"/>
      <w:ind w:left="840" w:leftChars="200" w:hanging="420" w:hangingChars="200"/>
    </w:pPr>
    <w:rPr>
      <w:sz w:val="21"/>
    </w:rPr>
  </w:style>
  <w:style w:type="paragraph" w:customStyle="1" w:styleId="282">
    <w:name w:val="Char Char14 Char Char"/>
    <w:basedOn w:val="1"/>
    <w:qFormat/>
    <w:uiPriority w:val="0"/>
    <w:rPr>
      <w:sz w:val="21"/>
      <w:szCs w:val="24"/>
    </w:rPr>
  </w:style>
  <w:style w:type="paragraph" w:customStyle="1" w:styleId="283">
    <w:name w:val="bt"/>
    <w:basedOn w:val="1"/>
    <w:next w:val="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8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85">
    <w:name w:val="表头文本"/>
    <w:qFormat/>
    <w:uiPriority w:val="0"/>
    <w:pPr>
      <w:jc w:val="center"/>
    </w:pPr>
    <w:rPr>
      <w:rFonts w:ascii="Arial" w:hAnsi="Arial" w:eastAsia="宋体" w:cs="Times New Roman"/>
      <w:b/>
      <w:sz w:val="21"/>
      <w:lang w:val="en-US" w:eastAsia="zh-CN" w:bidi="ar-SA"/>
    </w:rPr>
  </w:style>
  <w:style w:type="paragraph" w:customStyle="1" w:styleId="286">
    <w:name w:val="Char Char1 Char"/>
    <w:basedOn w:val="1"/>
    <w:qFormat/>
    <w:uiPriority w:val="0"/>
    <w:rPr>
      <w:rFonts w:ascii="Tahoma" w:hAnsi="Tahoma"/>
      <w:sz w:val="24"/>
      <w:szCs w:val="24"/>
    </w:rPr>
  </w:style>
  <w:style w:type="paragraph" w:customStyle="1" w:styleId="28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88">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89">
    <w:name w:val="表文字"/>
    <w:qFormat/>
    <w:uiPriority w:val="0"/>
    <w:rPr>
      <w:rFonts w:ascii="宋体" w:hAnsi="Times New Roman" w:eastAsia="宋体" w:cs="Times New Roman"/>
      <w:kern w:val="2"/>
      <w:lang w:val="en-US" w:eastAsia="zh-CN" w:bidi="ar-SA"/>
    </w:rPr>
  </w:style>
  <w:style w:type="paragraph" w:customStyle="1" w:styleId="29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91">
    <w:name w:val="关键词"/>
    <w:basedOn w:val="1"/>
    <w:next w:val="1"/>
    <w:qFormat/>
    <w:uiPriority w:val="0"/>
    <w:pPr>
      <w:spacing w:line="360" w:lineRule="auto"/>
    </w:pPr>
    <w:rPr>
      <w:rFonts w:eastAsia="黑体"/>
      <w:sz w:val="20"/>
    </w:rPr>
  </w:style>
  <w:style w:type="paragraph" w:customStyle="1" w:styleId="292">
    <w:name w:val="样式 标题 3 + (中文) 黑体 小四 非加粗 段前: 7.8 磅 段后: 0 磅 行距: 固定值 20 磅"/>
    <w:basedOn w:val="6"/>
    <w:next w:val="1"/>
    <w:qFormat/>
    <w:uiPriority w:val="0"/>
    <w:pPr>
      <w:spacing w:before="0" w:after="0" w:line="400" w:lineRule="exact"/>
    </w:pPr>
    <w:rPr>
      <w:rFonts w:ascii="Calibri" w:hAnsi="Calibri" w:eastAsia="黑体" w:cs="宋体"/>
      <w:b w:val="0"/>
    </w:rPr>
  </w:style>
  <w:style w:type="paragraph" w:customStyle="1" w:styleId="293">
    <w:name w:val="列出段落2"/>
    <w:basedOn w:val="1"/>
    <w:qFormat/>
    <w:uiPriority w:val="34"/>
    <w:pPr>
      <w:adjustRightInd w:val="0"/>
      <w:snapToGrid w:val="0"/>
      <w:spacing w:line="360" w:lineRule="auto"/>
      <w:ind w:firstLine="420" w:firstLineChars="200"/>
      <w:jc w:val="left"/>
    </w:pPr>
    <w:rPr>
      <w:rFonts w:ascii="宋体" w:hAnsi="宋体"/>
      <w:sz w:val="24"/>
    </w:rPr>
  </w:style>
  <w:style w:type="paragraph" w:customStyle="1" w:styleId="29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sz w:val="28"/>
    </w:rPr>
  </w:style>
  <w:style w:type="paragraph" w:customStyle="1" w:styleId="295">
    <w:name w:val="1.正文"/>
    <w:basedOn w:val="1"/>
    <w:qFormat/>
    <w:uiPriority w:val="0"/>
    <w:pPr>
      <w:spacing w:line="360" w:lineRule="auto"/>
      <w:ind w:left="540" w:leftChars="225" w:firstLine="540" w:firstLineChars="225"/>
    </w:pPr>
    <w:rPr>
      <w:sz w:val="24"/>
    </w:rPr>
  </w:style>
  <w:style w:type="paragraph" w:customStyle="1" w:styleId="296">
    <w:name w:val="Char1 Char Char Char1"/>
    <w:basedOn w:val="1"/>
    <w:qFormat/>
    <w:uiPriority w:val="0"/>
    <w:rPr>
      <w:rFonts w:ascii="Tahoma" w:hAnsi="Tahoma"/>
      <w:sz w:val="30"/>
    </w:rPr>
  </w:style>
  <w:style w:type="paragraph" w:customStyle="1" w:styleId="29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98">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99">
    <w:name w:val="CSS1级正文 Char"/>
    <w:basedOn w:val="3"/>
    <w:qFormat/>
    <w:uiPriority w:val="0"/>
    <w:pPr>
      <w:adjustRightInd w:val="0"/>
      <w:snapToGrid w:val="0"/>
      <w:spacing w:line="360" w:lineRule="auto"/>
      <w:ind w:firstLine="480"/>
    </w:pPr>
    <w:rPr>
      <w:rFonts w:ascii="Times New Roman" w:eastAsia="宋体"/>
      <w:sz w:val="24"/>
    </w:rPr>
  </w:style>
  <w:style w:type="paragraph" w:customStyle="1" w:styleId="300">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301">
    <w:name w:val="p1"/>
    <w:basedOn w:val="1"/>
    <w:qFormat/>
    <w:uiPriority w:val="0"/>
    <w:pPr>
      <w:widowControl/>
      <w:jc w:val="left"/>
    </w:pPr>
    <w:rPr>
      <w:rFonts w:ascii="仿宋" w:hAnsi="仿宋" w:eastAsia="仿宋"/>
      <w:kern w:val="0"/>
      <w:sz w:val="21"/>
      <w:szCs w:val="21"/>
      <w:lang w:eastAsia="zh-TW"/>
    </w:rPr>
  </w:style>
  <w:style w:type="paragraph" w:customStyle="1" w:styleId="302">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303">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0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0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306">
    <w:name w:val="二级条标题"/>
    <w:basedOn w:val="269"/>
    <w:next w:val="270"/>
    <w:qFormat/>
    <w:uiPriority w:val="0"/>
    <w:pPr>
      <w:ind w:left="840"/>
      <w:outlineLvl w:val="3"/>
    </w:pPr>
  </w:style>
  <w:style w:type="paragraph" w:customStyle="1" w:styleId="30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08">
    <w:name w:val="列出段落21"/>
    <w:basedOn w:val="1"/>
    <w:qFormat/>
    <w:uiPriority w:val="34"/>
    <w:pPr>
      <w:spacing w:line="360" w:lineRule="auto"/>
      <w:ind w:firstLine="420" w:firstLineChars="200"/>
    </w:pPr>
    <w:rPr>
      <w:rFonts w:ascii="Calibri" w:hAnsi="Calibri"/>
      <w:sz w:val="21"/>
      <w:szCs w:val="22"/>
    </w:rPr>
  </w:style>
  <w:style w:type="paragraph" w:customStyle="1" w:styleId="309">
    <w:name w:val="正文（首行不缩进）"/>
    <w:basedOn w:val="1"/>
    <w:qFormat/>
    <w:uiPriority w:val="0"/>
    <w:pPr>
      <w:autoSpaceDE w:val="0"/>
      <w:autoSpaceDN w:val="0"/>
      <w:adjustRightInd w:val="0"/>
      <w:spacing w:line="360" w:lineRule="auto"/>
      <w:jc w:val="left"/>
    </w:pPr>
    <w:rPr>
      <w:kern w:val="0"/>
      <w:sz w:val="21"/>
    </w:rPr>
  </w:style>
  <w:style w:type="paragraph" w:customStyle="1" w:styleId="310">
    <w:name w:val="IN Feature"/>
    <w:next w:val="24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1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12">
    <w:name w:val="附录3"/>
    <w:basedOn w:val="1"/>
    <w:next w:val="1"/>
    <w:qFormat/>
    <w:uiPriority w:val="0"/>
    <w:pPr>
      <w:tabs>
        <w:tab w:val="left" w:pos="851"/>
      </w:tabs>
      <w:ind w:left="425" w:hanging="425"/>
      <w:outlineLvl w:val="2"/>
    </w:pPr>
    <w:rPr>
      <w:rFonts w:eastAsia="黑体"/>
      <w:b/>
      <w:sz w:val="32"/>
    </w:rPr>
  </w:style>
  <w:style w:type="paragraph" w:customStyle="1" w:styleId="313">
    <w:name w:val="Char2 Char Char Char Char Char Char"/>
    <w:basedOn w:val="1"/>
    <w:qFormat/>
    <w:uiPriority w:val="0"/>
    <w:rPr>
      <w:rFonts w:ascii="仿宋_GB2312"/>
      <w:b/>
      <w:sz w:val="30"/>
    </w:rPr>
  </w:style>
  <w:style w:type="character" w:customStyle="1" w:styleId="314">
    <w:name w:val="明显引用 Char2"/>
    <w:basedOn w:val="65"/>
    <w:qFormat/>
    <w:uiPriority w:val="30"/>
    <w:rPr>
      <w:rFonts w:ascii="Times New Roman" w:hAnsi="Times New Roman" w:eastAsia="宋体" w:cs="Times New Roman"/>
      <w:i/>
      <w:iCs/>
      <w:color w:val="5B9BD5"/>
      <w:sz w:val="28"/>
      <w:szCs w:val="20"/>
    </w:rPr>
  </w:style>
  <w:style w:type="paragraph" w:customStyle="1" w:styleId="315">
    <w:name w:val="_"/>
    <w:basedOn w:val="1"/>
    <w:qFormat/>
    <w:uiPriority w:val="0"/>
    <w:pPr>
      <w:adjustRightInd w:val="0"/>
      <w:spacing w:line="360" w:lineRule="auto"/>
      <w:ind w:left="480" w:firstLine="200" w:firstLineChars="200"/>
      <w:textAlignment w:val="baseline"/>
    </w:pPr>
    <w:rPr>
      <w:kern w:val="0"/>
      <w:sz w:val="24"/>
    </w:rPr>
  </w:style>
  <w:style w:type="paragraph" w:customStyle="1" w:styleId="316">
    <w:name w:val="图片文字"/>
    <w:basedOn w:val="1"/>
    <w:qFormat/>
    <w:uiPriority w:val="0"/>
    <w:pPr>
      <w:spacing w:line="240" w:lineRule="atLeast"/>
      <w:jc w:val="center"/>
    </w:pPr>
    <w:rPr>
      <w:sz w:val="21"/>
    </w:rPr>
  </w:style>
  <w:style w:type="paragraph" w:customStyle="1" w:styleId="317">
    <w:name w:val="Char2"/>
    <w:basedOn w:val="1"/>
    <w:qFormat/>
    <w:uiPriority w:val="0"/>
    <w:pPr>
      <w:spacing w:line="240" w:lineRule="atLeast"/>
      <w:ind w:left="420" w:firstLine="420"/>
    </w:pPr>
    <w:rPr>
      <w:kern w:val="0"/>
      <w:sz w:val="21"/>
    </w:rPr>
  </w:style>
  <w:style w:type="paragraph" w:customStyle="1" w:styleId="31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19">
    <w:name w:val="正文文本缩进 21"/>
    <w:basedOn w:val="1"/>
    <w:qFormat/>
    <w:uiPriority w:val="0"/>
    <w:pPr>
      <w:adjustRightInd w:val="0"/>
      <w:spacing w:before="120"/>
      <w:ind w:firstLine="420"/>
      <w:textAlignment w:val="baseline"/>
    </w:pPr>
    <w:rPr>
      <w:sz w:val="24"/>
    </w:rPr>
  </w:style>
  <w:style w:type="paragraph" w:customStyle="1" w:styleId="320">
    <w:name w:val="标题3——2"/>
    <w:basedOn w:val="6"/>
    <w:next w:val="2"/>
    <w:qFormat/>
    <w:uiPriority w:val="0"/>
    <w:pPr>
      <w:tabs>
        <w:tab w:val="left" w:pos="1280"/>
        <w:tab w:val="right" w:leader="dot" w:pos="8777"/>
      </w:tabs>
      <w:spacing w:before="312" w:beforeLines="100" w:after="0"/>
      <w:ind w:left="851" w:hanging="851"/>
      <w:outlineLvl w:val="9"/>
    </w:pPr>
    <w:rPr>
      <w:rFonts w:ascii="黑体" w:hAnsi="宋体" w:eastAsia="黑体"/>
      <w:sz w:val="30"/>
    </w:rPr>
  </w:style>
  <w:style w:type="paragraph" w:customStyle="1" w:styleId="321">
    <w:name w:val="样式 首行缩进:  0.74 厘米"/>
    <w:basedOn w:val="1"/>
    <w:qFormat/>
    <w:uiPriority w:val="0"/>
    <w:pPr>
      <w:spacing w:line="360" w:lineRule="auto"/>
      <w:ind w:firstLine="420"/>
    </w:pPr>
    <w:rPr>
      <w:sz w:val="24"/>
    </w:rPr>
  </w:style>
  <w:style w:type="paragraph" w:customStyle="1" w:styleId="322">
    <w:name w:val="内容标题"/>
    <w:basedOn w:val="19"/>
    <w:qFormat/>
    <w:uiPriority w:val="0"/>
    <w:rPr>
      <w:rFonts w:ascii="Tahoma" w:hAnsi="Tahoma"/>
      <w:sz w:val="24"/>
    </w:rPr>
  </w:style>
  <w:style w:type="paragraph" w:customStyle="1" w:styleId="323">
    <w:name w:val="正文 + 三号"/>
    <w:basedOn w:val="1"/>
    <w:qFormat/>
    <w:uiPriority w:val="0"/>
    <w:rPr>
      <w:sz w:val="21"/>
    </w:rPr>
  </w:style>
  <w:style w:type="paragraph" w:customStyle="1" w:styleId="324">
    <w:name w:val="正文文本 21"/>
    <w:basedOn w:val="1"/>
    <w:qFormat/>
    <w:uiPriority w:val="0"/>
    <w:pPr>
      <w:adjustRightInd w:val="0"/>
      <w:spacing w:before="120" w:line="360" w:lineRule="auto"/>
      <w:ind w:firstLine="480"/>
      <w:textAlignment w:val="baseline"/>
    </w:pPr>
    <w:rPr>
      <w:sz w:val="24"/>
    </w:rPr>
  </w:style>
  <w:style w:type="paragraph" w:customStyle="1" w:styleId="325">
    <w:name w:val="标题无"/>
    <w:basedOn w:val="1"/>
    <w:qFormat/>
    <w:uiPriority w:val="0"/>
    <w:pPr>
      <w:spacing w:line="360" w:lineRule="auto"/>
    </w:pPr>
    <w:rPr>
      <w:sz w:val="24"/>
    </w:rPr>
  </w:style>
  <w:style w:type="paragraph" w:customStyle="1" w:styleId="326">
    <w:name w:val="摘要"/>
    <w:basedOn w:val="1"/>
    <w:next w:val="5"/>
    <w:qFormat/>
    <w:uiPriority w:val="0"/>
    <w:pPr>
      <w:spacing w:line="360" w:lineRule="auto"/>
    </w:pPr>
    <w:rPr>
      <w:rFonts w:eastAsia="黑体"/>
      <w:sz w:val="20"/>
    </w:rPr>
  </w:style>
  <w:style w:type="paragraph" w:customStyle="1" w:styleId="327">
    <w:name w:val="Char1"/>
    <w:basedOn w:val="1"/>
    <w:qFormat/>
    <w:uiPriority w:val="0"/>
    <w:rPr>
      <w:sz w:val="21"/>
    </w:rPr>
  </w:style>
  <w:style w:type="paragraph" w:customStyle="1" w:styleId="32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32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330">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1">
    <w:name w:val="没有缩进（为图形使用）"/>
    <w:basedOn w:val="1"/>
    <w:qFormat/>
    <w:uiPriority w:val="0"/>
    <w:pPr>
      <w:spacing w:before="120" w:after="120" w:line="360" w:lineRule="auto"/>
    </w:pPr>
    <w:rPr>
      <w:sz w:val="24"/>
    </w:rPr>
  </w:style>
  <w:style w:type="paragraph" w:customStyle="1" w:styleId="332">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334">
    <w:name w:val="图例"/>
    <w:basedOn w:val="1"/>
    <w:qFormat/>
    <w:uiPriority w:val="0"/>
    <w:pPr>
      <w:spacing w:before="120" w:after="120" w:line="360" w:lineRule="auto"/>
      <w:jc w:val="center"/>
    </w:pPr>
    <w:rPr>
      <w:rFonts w:eastAsia="仿宋_GB2312"/>
      <w:b/>
      <w:sz w:val="24"/>
    </w:rPr>
  </w:style>
  <w:style w:type="paragraph" w:customStyle="1" w:styleId="33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33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337">
    <w:name w:val="Char Char Char Char Char Char Char1"/>
    <w:basedOn w:val="1"/>
    <w:qFormat/>
    <w:uiPriority w:val="0"/>
    <w:rPr>
      <w:rFonts w:ascii="Tahoma" w:hAnsi="Tahoma"/>
      <w:sz w:val="24"/>
    </w:rPr>
  </w:style>
  <w:style w:type="paragraph" w:customStyle="1" w:styleId="338">
    <w:name w:val="表格内文字"/>
    <w:basedOn w:val="33"/>
    <w:qFormat/>
    <w:uiPriority w:val="0"/>
    <w:pPr>
      <w:adjustRightInd w:val="0"/>
    </w:pPr>
    <w:rPr>
      <w:color w:val="000000"/>
      <w:lang w:val="en-GB"/>
    </w:rPr>
  </w:style>
  <w:style w:type="paragraph" w:customStyle="1" w:styleId="339">
    <w:name w:val="正文1"/>
    <w:basedOn w:val="1"/>
    <w:qFormat/>
    <w:uiPriority w:val="0"/>
    <w:pPr>
      <w:spacing w:line="300" w:lineRule="auto"/>
      <w:ind w:firstLine="200" w:firstLineChars="200"/>
    </w:pPr>
    <w:rPr>
      <w:sz w:val="24"/>
    </w:rPr>
  </w:style>
  <w:style w:type="paragraph" w:customStyle="1" w:styleId="34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41">
    <w:name w:val="默认段落字体 Para Char Char Char Char Char Char Char Char Char1 Char Char Char Char"/>
    <w:basedOn w:val="1"/>
    <w:qFormat/>
    <w:uiPriority w:val="0"/>
    <w:rPr>
      <w:rFonts w:ascii="Tahoma" w:hAnsi="Tahoma"/>
      <w:sz w:val="24"/>
    </w:rPr>
  </w:style>
  <w:style w:type="paragraph" w:customStyle="1" w:styleId="342">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3">
    <w:name w:val="样式 行距: 1.5 倍行距1"/>
    <w:basedOn w:val="1"/>
    <w:qFormat/>
    <w:uiPriority w:val="0"/>
    <w:pPr>
      <w:snapToGrid w:val="0"/>
    </w:pPr>
    <w:rPr>
      <w:sz w:val="21"/>
    </w:rPr>
  </w:style>
  <w:style w:type="paragraph" w:customStyle="1" w:styleId="344">
    <w:name w:val="样式4"/>
    <w:basedOn w:val="7"/>
    <w:qFormat/>
    <w:uiPriority w:val="0"/>
    <w:pPr>
      <w:adjustRightInd w:val="0"/>
      <w:snapToGrid w:val="0"/>
    </w:pPr>
  </w:style>
  <w:style w:type="paragraph" w:customStyle="1" w:styleId="34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346">
    <w:name w:val="缺省文本"/>
    <w:basedOn w:val="1"/>
    <w:qFormat/>
    <w:uiPriority w:val="0"/>
    <w:pPr>
      <w:tabs>
        <w:tab w:val="left" w:pos="1260"/>
      </w:tabs>
      <w:autoSpaceDE w:val="0"/>
      <w:autoSpaceDN w:val="0"/>
      <w:adjustRightInd w:val="0"/>
      <w:spacing w:line="360" w:lineRule="auto"/>
      <w:jc w:val="left"/>
    </w:pPr>
    <w:rPr>
      <w:kern w:val="0"/>
      <w:sz w:val="24"/>
    </w:rPr>
  </w:style>
  <w:style w:type="character" w:customStyle="1" w:styleId="347">
    <w:name w:val="引用 Char2"/>
    <w:basedOn w:val="65"/>
    <w:qFormat/>
    <w:uiPriority w:val="29"/>
    <w:rPr>
      <w:rFonts w:ascii="Times New Roman" w:hAnsi="Times New Roman" w:eastAsia="宋体" w:cs="Times New Roman"/>
      <w:i/>
      <w:iCs/>
      <w:color w:val="3F3F3F"/>
      <w:sz w:val="28"/>
      <w:szCs w:val="20"/>
    </w:rPr>
  </w:style>
  <w:style w:type="paragraph" w:customStyle="1" w:styleId="3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9">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50">
    <w:name w:val="文本1"/>
    <w:basedOn w:val="1"/>
    <w:qFormat/>
    <w:uiPriority w:val="0"/>
    <w:pPr>
      <w:adjustRightInd w:val="0"/>
      <w:spacing w:line="312" w:lineRule="atLeast"/>
      <w:jc w:val="center"/>
      <w:textAlignment w:val="baseline"/>
    </w:pPr>
    <w:rPr>
      <w:kern w:val="0"/>
      <w:sz w:val="18"/>
    </w:rPr>
  </w:style>
  <w:style w:type="paragraph" w:customStyle="1" w:styleId="35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2">
    <w:name w:val="Revision_c3942d1e-39bf-49dd-9576-7632bac9555f"/>
    <w:qFormat/>
    <w:uiPriority w:val="0"/>
    <w:rPr>
      <w:rFonts w:ascii="Times New Roman" w:hAnsi="Times New Roman" w:eastAsia="宋体" w:cs="Times New Roman"/>
      <w:kern w:val="2"/>
      <w:sz w:val="21"/>
      <w:lang w:val="en-US" w:eastAsia="zh-CN" w:bidi="ar-SA"/>
    </w:rPr>
  </w:style>
  <w:style w:type="paragraph" w:customStyle="1" w:styleId="353">
    <w:name w:val="Char Char Char"/>
    <w:basedOn w:val="1"/>
    <w:qFormat/>
    <w:uiPriority w:val="0"/>
    <w:rPr>
      <w:rFonts w:ascii="Tahoma" w:hAnsi="Tahoma"/>
      <w:sz w:val="24"/>
    </w:rPr>
  </w:style>
  <w:style w:type="paragraph" w:customStyle="1" w:styleId="354">
    <w:name w:val="自定样式1"/>
    <w:basedOn w:val="1"/>
    <w:qFormat/>
    <w:uiPriority w:val="0"/>
    <w:pPr>
      <w:suppressAutoHyphens/>
      <w:jc w:val="center"/>
    </w:pPr>
    <w:rPr>
      <w:rFonts w:ascii="宋体" w:hAnsi="宋体"/>
      <w:color w:val="000000"/>
      <w:sz w:val="18"/>
      <w:szCs w:val="24"/>
    </w:rPr>
  </w:style>
  <w:style w:type="paragraph" w:customStyle="1" w:styleId="355">
    <w:name w:val="样式3"/>
    <w:basedOn w:val="4"/>
    <w:next w:val="4"/>
    <w:qFormat/>
    <w:uiPriority w:val="0"/>
    <w:pPr>
      <w:keepLines/>
      <w:adjustRightInd w:val="0"/>
      <w:spacing w:before="340" w:after="330" w:line="576" w:lineRule="auto"/>
    </w:pPr>
    <w:rPr>
      <w:rFonts w:ascii="Times New Roman" w:eastAsia="黑体"/>
      <w:b/>
      <w:kern w:val="44"/>
      <w:sz w:val="44"/>
    </w:rPr>
  </w:style>
  <w:style w:type="paragraph" w:customStyle="1" w:styleId="35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57">
    <w:name w:val="样式 标题 1 + 黑体 三号 非加粗 居中 段前: 6 磅 段后: 6 磅 行距: 固定值 20 磅"/>
    <w:basedOn w:val="4"/>
    <w:qFormat/>
    <w:uiPriority w:val="0"/>
    <w:pPr>
      <w:keepLines/>
      <w:snapToGrid/>
      <w:spacing w:before="120" w:after="120" w:line="400" w:lineRule="exact"/>
      <w:jc w:val="center"/>
    </w:pPr>
    <w:rPr>
      <w:rFonts w:ascii="黑体" w:hAnsi="黑体" w:eastAsia="黑体" w:cs="宋体"/>
      <w:kern w:val="44"/>
      <w:sz w:val="32"/>
    </w:rPr>
  </w:style>
  <w:style w:type="paragraph" w:customStyle="1" w:styleId="358">
    <w:name w:val="简单回函地址"/>
    <w:basedOn w:val="1"/>
    <w:qFormat/>
    <w:uiPriority w:val="0"/>
    <w:pPr>
      <w:adjustRightInd w:val="0"/>
      <w:snapToGrid w:val="0"/>
      <w:spacing w:line="360" w:lineRule="auto"/>
    </w:pPr>
    <w:rPr>
      <w:sz w:val="24"/>
    </w:rPr>
  </w:style>
  <w:style w:type="paragraph" w:customStyle="1" w:styleId="35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60">
    <w:name w:val="Style Heading 3h3Heading 3 - oldLevel 3 HeadH3level_3PIM 3se..."/>
    <w:basedOn w:val="6"/>
    <w:qFormat/>
    <w:uiPriority w:val="0"/>
    <w:pPr>
      <w:numPr>
        <w:ilvl w:val="0"/>
        <w:numId w:val="12"/>
      </w:numPr>
      <w:tabs>
        <w:tab w:val="left" w:pos="709"/>
      </w:tabs>
    </w:pPr>
  </w:style>
  <w:style w:type="paragraph" w:customStyle="1" w:styleId="361">
    <w:name w:val="表格文字"/>
    <w:basedOn w:val="1"/>
    <w:qFormat/>
    <w:uiPriority w:val="0"/>
    <w:pPr>
      <w:adjustRightInd w:val="0"/>
      <w:spacing w:line="420" w:lineRule="atLeast"/>
      <w:jc w:val="left"/>
      <w:textAlignment w:val="baseline"/>
    </w:pPr>
    <w:rPr>
      <w:rFonts w:ascii="Calibri" w:hAnsi="Calibri"/>
      <w:kern w:val="0"/>
      <w:sz w:val="21"/>
    </w:rPr>
  </w:style>
  <w:style w:type="paragraph" w:customStyle="1" w:styleId="362">
    <w:name w:val="编号正文"/>
    <w:basedOn w:val="333"/>
    <w:qFormat/>
    <w:uiPriority w:val="0"/>
    <w:pPr>
      <w:snapToGrid/>
      <w:spacing w:line="360" w:lineRule="auto"/>
      <w:ind w:left="1407" w:hanging="1047"/>
      <w:jc w:val="left"/>
    </w:pPr>
    <w:rPr>
      <w:rFonts w:eastAsia="仿宋_GB2312"/>
    </w:rPr>
  </w:style>
  <w:style w:type="paragraph" w:customStyle="1" w:styleId="363">
    <w:name w:val="标书正文1"/>
    <w:basedOn w:val="1"/>
    <w:qFormat/>
    <w:uiPriority w:val="0"/>
    <w:pPr>
      <w:spacing w:line="520" w:lineRule="exact"/>
      <w:ind w:firstLine="640" w:firstLineChars="200"/>
    </w:pPr>
  </w:style>
  <w:style w:type="paragraph" w:customStyle="1" w:styleId="364">
    <w:name w:val="无间隔1"/>
    <w:qFormat/>
    <w:uiPriority w:val="1"/>
    <w:pPr>
      <w:jc w:val="both"/>
    </w:pPr>
    <w:rPr>
      <w:rFonts w:ascii="Times New Roman" w:hAnsi="Times New Roman" w:eastAsia="Times New Roman" w:cs="Times New Roman"/>
      <w:lang w:val="en-US" w:eastAsia="zh-CN" w:bidi="ar-SA"/>
    </w:rPr>
  </w:style>
  <w:style w:type="paragraph" w:customStyle="1" w:styleId="365">
    <w:name w:val="正文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66">
    <w:name w:val="招标节"/>
    <w:basedOn w:val="1"/>
    <w:next w:val="1"/>
    <w:link w:val="370"/>
    <w:qFormat/>
    <w:uiPriority w:val="0"/>
    <w:pPr>
      <w:spacing w:before="156" w:beforeLines="50" w:after="156" w:afterLines="50"/>
      <w:outlineLvl w:val="1"/>
    </w:pPr>
    <w:rPr>
      <w:rFonts w:ascii="宋体" w:hAnsi="宋体"/>
      <w:b/>
      <w:sz w:val="24"/>
    </w:rPr>
  </w:style>
  <w:style w:type="paragraph" w:styleId="367">
    <w:name w:val="List Paragraph"/>
    <w:basedOn w:val="1"/>
    <w:qFormat/>
    <w:uiPriority w:val="99"/>
    <w:pPr>
      <w:ind w:firstLine="420" w:firstLineChars="200"/>
    </w:pPr>
  </w:style>
  <w:style w:type="character" w:customStyle="1" w:styleId="368">
    <w:name w:val="招标正文 Char"/>
    <w:basedOn w:val="65"/>
    <w:link w:val="369"/>
    <w:qFormat/>
    <w:uiPriority w:val="0"/>
    <w:rPr>
      <w:rFonts w:ascii="宋体" w:hAnsi="宋体"/>
      <w:kern w:val="2"/>
      <w:sz w:val="21"/>
      <w:szCs w:val="21"/>
    </w:rPr>
  </w:style>
  <w:style w:type="paragraph" w:customStyle="1" w:styleId="369">
    <w:name w:val="招标正文"/>
    <w:basedOn w:val="1"/>
    <w:link w:val="368"/>
    <w:qFormat/>
    <w:uiPriority w:val="0"/>
    <w:pPr>
      <w:spacing w:line="300" w:lineRule="auto"/>
      <w:ind w:firstLine="420" w:firstLineChars="200"/>
    </w:pPr>
    <w:rPr>
      <w:rFonts w:ascii="宋体" w:hAnsi="宋体"/>
      <w:sz w:val="21"/>
      <w:szCs w:val="21"/>
    </w:rPr>
  </w:style>
  <w:style w:type="character" w:customStyle="1" w:styleId="370">
    <w:name w:val="招标节 Char"/>
    <w:basedOn w:val="65"/>
    <w:link w:val="366"/>
    <w:qFormat/>
    <w:uiPriority w:val="0"/>
    <w:rPr>
      <w:rFonts w:ascii="宋体" w:hAnsi="宋体"/>
      <w:b/>
      <w:kern w:val="2"/>
      <w:sz w:val="24"/>
    </w:rPr>
  </w:style>
  <w:style w:type="character" w:customStyle="1" w:styleId="371">
    <w:name w:val="小标题 Char"/>
    <w:basedOn w:val="368"/>
    <w:link w:val="372"/>
    <w:qFormat/>
    <w:uiPriority w:val="0"/>
    <w:rPr>
      <w:rFonts w:ascii="宋体" w:hAnsi="宋体"/>
      <w:kern w:val="2"/>
      <w:sz w:val="21"/>
      <w:szCs w:val="21"/>
    </w:rPr>
  </w:style>
  <w:style w:type="paragraph" w:customStyle="1" w:styleId="372">
    <w:name w:val="小标题"/>
    <w:basedOn w:val="369"/>
    <w:next w:val="369"/>
    <w:link w:val="371"/>
    <w:qFormat/>
    <w:uiPriority w:val="0"/>
    <w:pPr>
      <w:outlineLvl w:val="2"/>
    </w:pPr>
  </w:style>
  <w:style w:type="character" w:customStyle="1" w:styleId="373">
    <w:name w:val="招标章 Char"/>
    <w:basedOn w:val="65"/>
    <w:link w:val="374"/>
    <w:qFormat/>
    <w:uiPriority w:val="0"/>
    <w:rPr>
      <w:rFonts w:eastAsia="黑体"/>
      <w:b/>
      <w:kern w:val="2"/>
      <w:sz w:val="32"/>
      <w:szCs w:val="24"/>
    </w:rPr>
  </w:style>
  <w:style w:type="paragraph" w:customStyle="1" w:styleId="374">
    <w:name w:val="招标章"/>
    <w:basedOn w:val="1"/>
    <w:link w:val="373"/>
    <w:qFormat/>
    <w:uiPriority w:val="0"/>
    <w:pPr>
      <w:spacing w:line="360" w:lineRule="auto"/>
      <w:jc w:val="center"/>
      <w:outlineLvl w:val="0"/>
    </w:pPr>
    <w:rPr>
      <w:rFonts w:eastAsia="黑体"/>
      <w:b/>
      <w:sz w:val="32"/>
      <w:szCs w:val="24"/>
    </w:rPr>
  </w:style>
  <w:style w:type="paragraph" w:customStyle="1" w:styleId="375">
    <w:name w:val="标准节"/>
    <w:basedOn w:val="366"/>
    <w:qFormat/>
    <w:uiPriority w:val="0"/>
    <w:pPr>
      <w:jc w:val="center"/>
    </w:pPr>
    <w:rPr>
      <w:rFonts w:ascii="Times New Roman" w:hAnsi="Times New Roman"/>
      <w:sz w:val="30"/>
      <w:szCs w:val="32"/>
    </w:rPr>
  </w:style>
  <w:style w:type="paragraph" w:customStyle="1" w:styleId="376">
    <w:name w:val="附件"/>
    <w:basedOn w:val="366"/>
    <w:next w:val="1"/>
    <w:qFormat/>
    <w:uiPriority w:val="0"/>
    <w:pPr>
      <w:spacing w:before="0" w:beforeLines="0" w:after="0" w:afterLines="0"/>
    </w:pPr>
    <w:rPr>
      <w:rFonts w:ascii="Times New Roman" w:hAnsi="Times New Roman" w:eastAsia="黑体"/>
      <w:szCs w:val="28"/>
    </w:rPr>
  </w:style>
  <w:style w:type="paragraph" w:customStyle="1" w:styleId="377">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78">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79">
    <w:name w:val="16"/>
    <w:qFormat/>
    <w:uiPriority w:val="0"/>
    <w:rPr>
      <w:rFonts w:hint="eastAsia" w:ascii="宋体" w:hAnsi="宋体" w:eastAsia="Times New Roman"/>
      <w:spacing w:val="0"/>
      <w:sz w:val="20"/>
      <w:szCs w:val="20"/>
      <w:shd w:val="clear" w:color="auto" w:fill="FFFFFF"/>
    </w:rPr>
  </w:style>
  <w:style w:type="paragraph" w:customStyle="1" w:styleId="380">
    <w:name w:val="No Spacing"/>
    <w:basedOn w:val="1"/>
    <w:qFormat/>
    <w:uiPriority w:val="1"/>
    <w:pPr>
      <w:spacing w:line="400" w:lineRule="exact"/>
    </w:pPr>
    <w:rPr>
      <w:sz w:val="24"/>
      <w:szCs w:val="20"/>
    </w:rPr>
  </w:style>
  <w:style w:type="character" w:customStyle="1" w:styleId="381">
    <w:name w:val="NormalCharacter"/>
    <w:semiHidden/>
    <w:qFormat/>
    <w:uiPriority w:val="0"/>
  </w:style>
  <w:style w:type="paragraph" w:customStyle="1" w:styleId="382">
    <w:name w:val="标题 5（有编号）（绿盟科技）"/>
    <w:basedOn w:val="1"/>
    <w:next w:val="383"/>
    <w:qFormat/>
    <w:uiPriority w:val="0"/>
    <w:pPr>
      <w:keepNext/>
      <w:keepLines/>
      <w:numPr>
        <w:ilvl w:val="4"/>
        <w:numId w:val="13"/>
      </w:numPr>
      <w:spacing w:before="280" w:after="156" w:line="377" w:lineRule="auto"/>
      <w:jc w:val="left"/>
      <w:outlineLvl w:val="4"/>
    </w:pPr>
    <w:rPr>
      <w:rFonts w:ascii="Arial" w:hAnsi="Arial" w:eastAsia="黑体"/>
      <w:b/>
      <w:kern w:val="0"/>
      <w:szCs w:val="28"/>
    </w:rPr>
  </w:style>
  <w:style w:type="paragraph" w:customStyle="1" w:styleId="38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4">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85">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53</Pages>
  <Words>10809</Words>
  <Characters>11180</Characters>
  <Lines>261</Lines>
  <Paragraphs>73</Paragraphs>
  <TotalTime>25</TotalTime>
  <ScaleCrop>false</ScaleCrop>
  <LinksUpToDate>false</LinksUpToDate>
  <CharactersWithSpaces>11320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2022-03-07T01:34:00Z</dcterms:created>
  <dc:creator>Sky123.Org</dc:creator>
  <cp:lastModifiedBy>小刚</cp:lastModifiedBy>
  <cp:lastPrinted>2025-11-03T02:37:00Z</cp:lastPrinted>
  <dcterms:modified xsi:type="dcterms:W3CDTF">2026-06-15T08:57:08Z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F6E405EC13184FD18C7A16ED7D7D3F6E_13</vt:lpwstr>
  </property>
  <property fmtid="{D5CDD505-2E9C-101B-9397-08002B2CF9AE}" pid="4" name="KSOTemplateDocerSaveRecord">
    <vt:lpwstr>eyJoZGlkIjoiMjMzYThlZDQwOTkwM2Y5ZDI4NWIyMmVkYzE3MjZjMzMiLCJ1c2VySWQiOiI0OTY3NTMwNjQifQ==</vt:lpwstr>
  </property>
</Properties>
</file>