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0C50">
      <w:pPr>
        <w:jc w:val="center"/>
        <w:rPr>
          <w:rFonts w:ascii="方正仿宋_GBK" w:hAnsi="方正仿宋_GBK" w:eastAsia="方正仿宋_GBK" w:cs="方正仿宋_GBK"/>
          <w:b/>
          <w:bCs/>
          <w:color w:val="auto"/>
          <w:sz w:val="144"/>
          <w:szCs w:val="52"/>
          <w:highlight w:val="none"/>
        </w:rPr>
      </w:pPr>
      <w:bookmarkStart w:id="0" w:name="_Toc17591"/>
      <w:bookmarkStart w:id="1" w:name="_Toc19609"/>
      <w:bookmarkStart w:id="2" w:name="_Toc30711"/>
      <w:bookmarkStart w:id="3" w:name="_Toc7408"/>
      <w:bookmarkStart w:id="4" w:name="_Toc16779"/>
      <w:bookmarkStart w:id="5" w:name="_Toc31917"/>
      <w:bookmarkStart w:id="6" w:name="_Toc30988"/>
      <w:bookmarkStart w:id="7" w:name="_Toc31370"/>
      <w:r>
        <w:rPr>
          <w:rFonts w:hint="eastAsia" w:ascii="方正仿宋_GBK" w:hAnsi="方正仿宋_GBK" w:eastAsia="方正仿宋_GBK" w:cs="方正仿宋_GBK"/>
          <w:b/>
          <w:bCs/>
          <w:color w:val="auto"/>
          <w:sz w:val="144"/>
          <w:szCs w:val="52"/>
          <w:highlight w:val="none"/>
        </w:rPr>
        <w:t>国企采购</w:t>
      </w:r>
    </w:p>
    <w:p w14:paraId="2EC79F3F">
      <w:pPr>
        <w:jc w:val="center"/>
        <w:rPr>
          <w:rFonts w:ascii="方正仿宋_GBK" w:hAnsi="方正仿宋_GBK" w:eastAsia="方正仿宋_GBK" w:cs="方正仿宋_GBK"/>
          <w:b/>
          <w:bCs/>
          <w:color w:val="auto"/>
          <w:sz w:val="144"/>
          <w:szCs w:val="52"/>
          <w:highlight w:val="none"/>
        </w:rPr>
      </w:pPr>
      <w:r>
        <w:rPr>
          <w:rFonts w:hint="eastAsia" w:ascii="方正仿宋_GBK" w:hAnsi="方正仿宋_GBK" w:eastAsia="方正仿宋_GBK" w:cs="方正仿宋_GBK"/>
          <w:b/>
          <w:bCs/>
          <w:color w:val="auto"/>
          <w:sz w:val="144"/>
          <w:szCs w:val="52"/>
          <w:highlight w:val="none"/>
        </w:rPr>
        <w:t>竞采文件</w:t>
      </w:r>
    </w:p>
    <w:bookmarkEnd w:id="0"/>
    <w:bookmarkEnd w:id="1"/>
    <w:bookmarkEnd w:id="2"/>
    <w:bookmarkEnd w:id="3"/>
    <w:bookmarkEnd w:id="4"/>
    <w:bookmarkEnd w:id="5"/>
    <w:bookmarkEnd w:id="6"/>
    <w:bookmarkEnd w:id="7"/>
    <w:p w14:paraId="5CF1AAD8">
      <w:pPr>
        <w:rPr>
          <w:rFonts w:ascii="方正仿宋_GBK" w:hAnsi="方正仿宋_GBK" w:eastAsia="方正仿宋_GBK" w:cs="方正仿宋_GBK"/>
          <w:b/>
          <w:bCs/>
          <w:color w:val="auto"/>
          <w:spacing w:val="80"/>
          <w:sz w:val="44"/>
          <w:szCs w:val="44"/>
          <w:highlight w:val="none"/>
        </w:rPr>
      </w:pPr>
    </w:p>
    <w:p w14:paraId="2AE5FFFE">
      <w:pPr>
        <w:pStyle w:val="9"/>
      </w:pPr>
    </w:p>
    <w:p w14:paraId="60333CEB">
      <w:pPr>
        <w:rPr>
          <w:rFonts w:ascii="方正仿宋_GBK" w:hAnsi="方正仿宋_GBK" w:eastAsia="方正仿宋_GBK" w:cs="方正仿宋_GBK"/>
          <w:b/>
          <w:bCs/>
          <w:color w:val="auto"/>
          <w:spacing w:val="80"/>
          <w:sz w:val="44"/>
          <w:szCs w:val="44"/>
          <w:highlight w:val="none"/>
        </w:rPr>
      </w:pPr>
    </w:p>
    <w:p w14:paraId="1F90B64B">
      <w:pPr>
        <w:rPr>
          <w:rFonts w:ascii="方正仿宋_GBK" w:hAnsi="方正仿宋_GBK" w:eastAsia="方正仿宋_GBK" w:cs="方正仿宋_GBK"/>
          <w:b/>
          <w:bCs/>
          <w:color w:val="auto"/>
          <w:spacing w:val="80"/>
          <w:sz w:val="44"/>
          <w:szCs w:val="44"/>
          <w:highlight w:val="none"/>
        </w:rPr>
      </w:pPr>
    </w:p>
    <w:p w14:paraId="6B8F0A90">
      <w:pPr>
        <w:pStyle w:val="9"/>
      </w:pPr>
    </w:p>
    <w:p w14:paraId="12F15B83">
      <w:pPr>
        <w:rPr>
          <w:rFonts w:ascii="方正仿宋_GBK" w:hAnsi="方正仿宋_GBK" w:eastAsia="方正仿宋_GBK" w:cs="方正仿宋_GBK"/>
          <w:b/>
          <w:bCs/>
          <w:color w:val="auto"/>
          <w:spacing w:val="80"/>
          <w:sz w:val="44"/>
          <w:szCs w:val="44"/>
          <w:highlight w:val="none"/>
        </w:rPr>
      </w:pPr>
    </w:p>
    <w:p w14:paraId="543F502B">
      <w:pPr>
        <w:spacing w:line="360" w:lineRule="auto"/>
        <w:ind w:firstLine="960" w:firstLineChars="300"/>
        <w:jc w:val="left"/>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项目编号：</w:t>
      </w:r>
      <w:bookmarkStart w:id="8" w:name="_Hlk111636989"/>
      <w:r>
        <w:rPr>
          <w:rFonts w:hint="eastAsia" w:ascii="方正仿宋_GBK" w:hAnsi="方正仿宋_GBK" w:eastAsia="方正仿宋_GBK" w:cs="方正仿宋_GBK"/>
          <w:color w:val="auto"/>
          <w:sz w:val="32"/>
          <w:szCs w:val="32"/>
          <w:highlight w:val="none"/>
        </w:rPr>
        <w:t>lfjt25C00112</w:t>
      </w:r>
      <w:r>
        <w:rPr>
          <w:rFonts w:hint="eastAsia" w:ascii="方正仿宋_GBK" w:hAnsi="方正仿宋_GBK" w:eastAsia="方正仿宋_GBK" w:cs="方正仿宋_GBK"/>
          <w:color w:val="auto"/>
          <w:sz w:val="32"/>
          <w:szCs w:val="32"/>
          <w:highlight w:val="none"/>
          <w:lang w:val="en-US" w:eastAsia="zh-CN"/>
        </w:rPr>
        <w:t xml:space="preserve"> </w:t>
      </w:r>
    </w:p>
    <w:p w14:paraId="5098D514">
      <w:pPr>
        <w:pStyle w:val="9"/>
        <w:keepNext w:val="0"/>
        <w:keepLines w:val="0"/>
        <w:pageBreakBefore w:val="0"/>
        <w:widowControl w:val="0"/>
        <w:kinsoku/>
        <w:wordWrap/>
        <w:overflowPunct/>
        <w:topLinePunct w:val="0"/>
        <w:autoSpaceDE/>
        <w:autoSpaceDN/>
        <w:bidi w:val="0"/>
        <w:adjustRightInd/>
        <w:snapToGrid/>
        <w:spacing w:line="500" w:lineRule="exact"/>
        <w:ind w:left="2238" w:leftChars="342" w:hanging="1280" w:hangingChars="4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项目名称：数字化项目管理平台采购项目</w:t>
      </w:r>
    </w:p>
    <w:bookmarkEnd w:id="8"/>
    <w:p w14:paraId="29D1C64B">
      <w:pPr>
        <w:spacing w:line="700" w:lineRule="exact"/>
        <w:rPr>
          <w:rFonts w:ascii="方正仿宋_GBK" w:hAnsi="方正仿宋_GBK" w:eastAsia="方正仿宋_GBK" w:cs="方正仿宋_GBK"/>
          <w:color w:val="auto"/>
          <w:sz w:val="36"/>
          <w:szCs w:val="30"/>
          <w:highlight w:val="none"/>
        </w:rPr>
      </w:pPr>
    </w:p>
    <w:p w14:paraId="1F77B797">
      <w:pPr>
        <w:pStyle w:val="9"/>
        <w:rPr>
          <w:rFonts w:ascii="方正仿宋_GBK" w:hAnsi="方正仿宋_GBK" w:eastAsia="方正仿宋_GBK" w:cs="方正仿宋_GBK"/>
          <w:color w:val="auto"/>
          <w:highlight w:val="none"/>
        </w:rPr>
      </w:pPr>
    </w:p>
    <w:p w14:paraId="056304E9">
      <w:pPr>
        <w:rPr>
          <w:color w:val="auto"/>
          <w:highlight w:val="none"/>
        </w:rPr>
      </w:pPr>
    </w:p>
    <w:p w14:paraId="1D9443C8">
      <w:pPr>
        <w:pStyle w:val="9"/>
        <w:rPr>
          <w:rFonts w:ascii="方正仿宋_GBK" w:hAnsi="方正仿宋_GBK" w:eastAsia="方正仿宋_GBK" w:cs="方正仿宋_GBK"/>
          <w:color w:val="auto"/>
          <w:highlight w:val="none"/>
        </w:rPr>
      </w:pPr>
    </w:p>
    <w:p w14:paraId="5B05AA08"/>
    <w:p w14:paraId="49F442B8">
      <w:pPr>
        <w:spacing w:line="700" w:lineRule="exact"/>
        <w:ind w:firstLine="720" w:firstLineChars="200"/>
        <w:jc w:val="left"/>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采</w:t>
      </w:r>
      <w:r>
        <w:rPr>
          <w:rFonts w:hint="eastAsia" w:ascii="方正仿宋_GBK" w:hAnsi="方正仿宋_GBK" w:eastAsia="方正仿宋_GBK" w:cs="方正仿宋_GBK"/>
          <w:color w:val="auto"/>
          <w:sz w:val="36"/>
          <w:szCs w:val="30"/>
          <w:highlight w:val="none"/>
          <w:lang w:val="en-US" w:eastAsia="zh-CN"/>
        </w:rPr>
        <w:t xml:space="preserve">   </w:t>
      </w:r>
      <w:r>
        <w:rPr>
          <w:rFonts w:hint="eastAsia" w:ascii="方正仿宋_GBK" w:hAnsi="方正仿宋_GBK" w:eastAsia="方正仿宋_GBK" w:cs="方正仿宋_GBK"/>
          <w:color w:val="auto"/>
          <w:sz w:val="36"/>
          <w:szCs w:val="30"/>
          <w:highlight w:val="none"/>
        </w:rPr>
        <w:t>购</w:t>
      </w:r>
      <w:r>
        <w:rPr>
          <w:rFonts w:hint="eastAsia" w:ascii="方正仿宋_GBK" w:hAnsi="方正仿宋_GBK" w:eastAsia="方正仿宋_GBK" w:cs="方正仿宋_GBK"/>
          <w:color w:val="auto"/>
          <w:sz w:val="36"/>
          <w:szCs w:val="30"/>
          <w:highlight w:val="none"/>
          <w:lang w:val="en-US" w:eastAsia="zh-CN"/>
        </w:rPr>
        <w:t xml:space="preserve">   </w:t>
      </w:r>
      <w:r>
        <w:rPr>
          <w:rFonts w:hint="eastAsia" w:ascii="方正仿宋_GBK" w:hAnsi="方正仿宋_GBK" w:eastAsia="方正仿宋_GBK" w:cs="方正仿宋_GBK"/>
          <w:color w:val="auto"/>
          <w:sz w:val="36"/>
          <w:szCs w:val="30"/>
          <w:highlight w:val="none"/>
        </w:rPr>
        <w:t>人：重庆绿发基础设施建设有限公司</w:t>
      </w:r>
    </w:p>
    <w:p w14:paraId="7C537392">
      <w:pPr>
        <w:spacing w:line="700" w:lineRule="exact"/>
        <w:ind w:firstLine="720" w:firstLineChars="200"/>
        <w:jc w:val="left"/>
        <w:rPr>
          <w:rFonts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采购代理机构：尚峰建设工程咨询有限公司</w:t>
      </w:r>
    </w:p>
    <w:p w14:paraId="7790ED04">
      <w:pPr>
        <w:rPr>
          <w:color w:val="auto"/>
          <w:highlight w:val="none"/>
        </w:rPr>
      </w:pPr>
    </w:p>
    <w:p w14:paraId="55761DDF">
      <w:pPr>
        <w:pStyle w:val="9"/>
        <w:jc w:val="center"/>
        <w:rPr>
          <w:rFonts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二〇二</w:t>
      </w:r>
      <w:r>
        <w:rPr>
          <w:rFonts w:hint="eastAsia" w:ascii="方正仿宋_GBK" w:hAnsi="方正仿宋_GBK" w:eastAsia="方正仿宋_GBK" w:cs="方正仿宋_GBK"/>
          <w:color w:val="auto"/>
          <w:sz w:val="36"/>
          <w:szCs w:val="30"/>
          <w:highlight w:val="none"/>
          <w:lang w:val="en-US" w:eastAsia="zh-CN"/>
        </w:rPr>
        <w:t>五</w:t>
      </w:r>
      <w:r>
        <w:rPr>
          <w:rFonts w:hint="eastAsia" w:ascii="方正仿宋_GBK" w:hAnsi="方正仿宋_GBK" w:eastAsia="方正仿宋_GBK" w:cs="方正仿宋_GBK"/>
          <w:color w:val="auto"/>
          <w:sz w:val="36"/>
          <w:szCs w:val="30"/>
          <w:highlight w:val="none"/>
        </w:rPr>
        <w:t>年</w:t>
      </w:r>
      <w:r>
        <w:rPr>
          <w:rFonts w:hint="eastAsia" w:ascii="方正仿宋_GBK" w:hAnsi="方正仿宋_GBK" w:eastAsia="方正仿宋_GBK" w:cs="方正仿宋_GBK"/>
          <w:color w:val="auto"/>
          <w:sz w:val="36"/>
          <w:szCs w:val="30"/>
          <w:highlight w:val="none"/>
          <w:lang w:val="en-US" w:eastAsia="zh-CN"/>
        </w:rPr>
        <w:t>五</w:t>
      </w:r>
      <w:r>
        <w:rPr>
          <w:rFonts w:hint="eastAsia" w:ascii="方正仿宋_GBK" w:hAnsi="方正仿宋_GBK" w:eastAsia="方正仿宋_GBK" w:cs="方正仿宋_GBK"/>
          <w:color w:val="auto"/>
          <w:sz w:val="36"/>
          <w:szCs w:val="30"/>
          <w:highlight w:val="none"/>
        </w:rPr>
        <w:t>月</w:t>
      </w:r>
    </w:p>
    <w:sdt>
      <w:sdtPr>
        <w:rPr>
          <w:rFonts w:ascii="宋体" w:hAnsi="宋体"/>
          <w:color w:val="auto"/>
          <w:sz w:val="21"/>
          <w:highlight w:val="none"/>
        </w:rPr>
        <w:id w:val="147465042"/>
        <w15:color w:val="DBDBDB"/>
        <w:docPartObj>
          <w:docPartGallery w:val="Table of Contents"/>
          <w:docPartUnique/>
        </w:docPartObj>
      </w:sdtPr>
      <w:sdtEndPr>
        <w:rPr>
          <w:rFonts w:hint="eastAsia" w:ascii="方正仿宋_GBK" w:hAnsi="方正仿宋_GBK" w:eastAsia="方正仿宋_GBK" w:cs="方正仿宋_GBK"/>
          <w:color w:val="auto"/>
          <w:sz w:val="28"/>
          <w:szCs w:val="28"/>
          <w:highlight w:val="none"/>
        </w:rPr>
      </w:sdtEndPr>
      <w:sdtContent>
        <w:p w14:paraId="45027132">
          <w:pPr>
            <w:jc w:val="center"/>
            <w:rPr>
              <w:rFonts w:ascii="宋体" w:hAnsi="宋体"/>
              <w:color w:val="auto"/>
              <w:sz w:val="21"/>
              <w:highlight w:val="none"/>
            </w:rPr>
          </w:pPr>
        </w:p>
        <w:p w14:paraId="60061D36">
          <w:pPr>
            <w:jc w:val="center"/>
            <w:rPr>
              <w:rFonts w:hint="eastAsia" w:ascii="方正仿宋_GBK" w:hAnsi="方正仿宋_GBK" w:eastAsia="方正仿宋_GBK" w:cs="方正仿宋_GBK"/>
              <w:color w:val="auto"/>
              <w:sz w:val="40"/>
              <w:szCs w:val="40"/>
              <w:highlight w:val="none"/>
            </w:rPr>
          </w:pPr>
        </w:p>
        <w:p w14:paraId="0435AED6">
          <w:pPr>
            <w:jc w:val="center"/>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 w:val="40"/>
              <w:szCs w:val="40"/>
              <w:highlight w:val="none"/>
            </w:rPr>
            <w:t>目录</w:t>
          </w:r>
        </w:p>
        <w:p w14:paraId="736A0DB2">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color w:val="auto"/>
              <w:highlight w:val="none"/>
            </w:rPr>
            <w:fldChar w:fldCharType="begin"/>
          </w:r>
          <w:r>
            <w:rPr>
              <w:color w:val="auto"/>
              <w:highlight w:val="none"/>
            </w:rPr>
            <w:instrText xml:space="preserve"> HYPERLINK \l "_Toc10173"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第一篇  竞采邀请书</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_Toc10173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41F1C64F">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"_Toc10471"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一、竞采项目内容</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_Toc10471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BCB7C86">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"_Toc5225"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二、资金来源</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_Toc5225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210BFE9E">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三、竞采资格条件</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_Toc27988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3E8C9B51">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"_Toc5870"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四、竞采有关说明</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_Toc5870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- 5 -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C961998">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"_Toc10495"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五、联系方式</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_Toc10495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- 5 -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459B3806">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"_Toc601"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六、其它有关规定</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_Toc601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- 6 -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2A30C816">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color w:val="auto"/>
              <w:highlight w:val="none"/>
            </w:rPr>
            <w:fldChar w:fldCharType="begin"/>
          </w:r>
          <w:r>
            <w:rPr>
              <w:color w:val="auto"/>
              <w:highlight w:val="none"/>
            </w:rPr>
            <w:instrText xml:space="preserve"> HYPERLINK \l "_Toc21272"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第二篇  项目服务需求</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_Toc21272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- 7 -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8BAB4D8">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"_Toc26664"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 招标项目一览表</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_Toc26664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- 7 -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243C4AF6">
          <w:pPr>
            <w:pStyle w:val="19"/>
            <w:tabs>
              <w:tab w:val="right" w:leader="dot" w:pos="9412"/>
            </w:tabs>
            <w:ind w:left="0" w:leftChars="0" w:firstLine="280" w:firstLineChars="10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"_Toc31234" </w:instrText>
          </w:r>
          <w:r>
            <w:rPr>
              <w:color w:val="auto"/>
              <w:highlight w:val="none"/>
            </w:rPr>
            <w:fldChar w:fldCharType="separate"/>
          </w:r>
          <w:r>
            <w:rPr>
              <w:rFonts w:hint="eastAsia" w:ascii="方正仿宋_GBK" w:hAnsi="方正仿宋_GBK" w:eastAsia="方正仿宋_GBK" w:cs="方正仿宋_GBK"/>
              <w:color w:val="auto"/>
              <w:szCs w:val="28"/>
              <w:highlight w:val="none"/>
            </w:rPr>
            <w:t>二、招标项目服务需求</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_Toc31234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- 7 -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1124CA8E">
          <w:pPr>
            <w:pStyle w:val="19"/>
            <w:tabs>
              <w:tab w:val="right" w:leader="dot" w:pos="9412"/>
            </w:tabs>
            <w:ind w:left="0" w:leftChars="0" w:firstLine="280" w:firstLineChars="10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"_Toc23689" </w:instrText>
          </w:r>
          <w:r>
            <w:rPr>
              <w:color w:val="auto"/>
              <w:highlight w:val="none"/>
            </w:rPr>
            <w:fldChar w:fldCharType="separate"/>
          </w:r>
          <w:r>
            <w:rPr>
              <w:rFonts w:hint="eastAsia" w:ascii="方正仿宋_GBK" w:hAnsi="方正仿宋_GBK" w:eastAsia="方正仿宋_GBK" w:cs="方正仿宋_GBK"/>
              <w:color w:val="auto"/>
              <w:szCs w:val="28"/>
              <w:highlight w:val="none"/>
            </w:rPr>
            <w:t>三、其他要求</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_Toc23689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- 7 -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2284A7B0">
          <w:pPr>
            <w:pStyle w:val="19"/>
            <w:tabs>
              <w:tab w:val="right" w:leader="dot" w:pos="9412"/>
            </w:tabs>
            <w:ind w:left="0" w:leftChars="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"_Toc2853" </w:instrText>
          </w:r>
          <w:r>
            <w:rPr>
              <w:color w:val="auto"/>
              <w:highlight w:val="none"/>
            </w:rPr>
            <w:fldChar w:fldCharType="separate"/>
          </w:r>
          <w:r>
            <w:rPr>
              <w:rFonts w:hint="eastAsia" w:ascii="方正仿宋_GBK" w:hAnsi="方正仿宋_GBK" w:eastAsia="方正仿宋_GBK" w:cs="方正仿宋_GBK"/>
              <w:color w:val="auto"/>
              <w:szCs w:val="28"/>
              <w:highlight w:val="none"/>
            </w:rPr>
            <w:t>第三篇 项目商务需求</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_Toc2853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- 8 -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2AA31509">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"_Toc24940"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一、服务期、地点及验收方式</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_Toc24940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- 8 -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305D7F5">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"_Toc18994"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二、报价要求</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_Toc18994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- 8 -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A9D5E9D">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"_Toc22331"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三、付款方式</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_Toc22331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- 8 -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6D023406">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"_Toc31619"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四、其他商务要求内容</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_Toc31619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- 8 -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867C51F">
          <w:pPr>
            <w:pStyle w:val="19"/>
            <w:tabs>
              <w:tab w:val="right" w:leader="dot" w:pos="9412"/>
            </w:tabs>
            <w:ind w:left="0" w:leftChars="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"_Toc2099" </w:instrText>
          </w:r>
          <w:r>
            <w:rPr>
              <w:color w:val="auto"/>
              <w:highlight w:val="none"/>
            </w:rPr>
            <w:fldChar w:fldCharType="separate"/>
          </w:r>
          <w:r>
            <w:rPr>
              <w:rFonts w:hint="eastAsia" w:ascii="方正仿宋_GBK" w:hAnsi="方正仿宋_GBK" w:eastAsia="方正仿宋_GBK" w:cs="方正仿宋_GBK"/>
              <w:color w:val="auto"/>
              <w:szCs w:val="28"/>
              <w:highlight w:val="none"/>
            </w:rPr>
            <w:t>第四篇  竞采程序、评标办法、无效响应及采购终止</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_Toc2099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- 9 -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747D7269">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"_Toc8830"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一、网上竞采程序</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_Toc8830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- 10 -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8D3730F">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"_Toc19383"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二、 评审标准</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_Toc19383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- 12 -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03FF34DF">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"_Toc31789"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三、无效响应</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_Toc31789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- 15 -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7A4F76F9">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"_Toc26904"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四、采购终止</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_Toc26904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- 16 -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6C585F5D">
          <w:pPr>
            <w:pStyle w:val="19"/>
            <w:tabs>
              <w:tab w:val="right" w:leader="dot" w:pos="9412"/>
            </w:tabs>
            <w:ind w:left="0" w:leftChars="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"_Toc24417" </w:instrText>
          </w:r>
          <w:r>
            <w:rPr>
              <w:color w:val="auto"/>
              <w:highlight w:val="none"/>
            </w:rPr>
            <w:fldChar w:fldCharType="separate"/>
          </w:r>
          <w:r>
            <w:rPr>
              <w:rFonts w:hint="eastAsia" w:ascii="方正仿宋_GBK" w:hAnsi="方正仿宋_GBK" w:eastAsia="方正仿宋_GBK" w:cs="方正仿宋_GBK"/>
              <w:color w:val="auto"/>
              <w:szCs w:val="28"/>
              <w:highlight w:val="none"/>
            </w:rPr>
            <w:t>第五篇 投标人须知</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_Toc24417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- 17 -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03B1768B">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"_Toc23963"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一、竞采费用</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_Toc23963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- 17 -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C9A971B">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"_Toc14104"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二、竞采文件</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_Toc14104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- 17 -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7E435BD7">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"_Toc2001"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三、竞采要求</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_Toc2001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- 17 -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3135C51">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"_Toc12552"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五、成交通知</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_Toc12552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- 19 -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3A72C294">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"_Toc2675"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六、关于质疑和投诉</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_Toc2675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- 19 -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336F3B40">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"_Toc18802"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七、采购代理服务费</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_Toc18802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- 20 -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04F04467">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"_Toc2915"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八、签订合同</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_Toc2915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- 21 -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2417D4AC">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"_Toc26291"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九、项目验收</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_Toc26291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- 21 -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DF2D235">
          <w:pPr>
            <w:pStyle w:val="19"/>
            <w:tabs>
              <w:tab w:val="right" w:leader="dot" w:pos="9412"/>
            </w:tabs>
            <w:ind w:left="0" w:leftChars="0"/>
            <w:rPr>
              <w:rFonts w:ascii="方正仿宋_GBK" w:hAnsi="方正仿宋_GBK" w:eastAsia="方正仿宋_GBK" w:cs="方正仿宋_GBK"/>
              <w:color w:val="auto"/>
              <w:szCs w:val="28"/>
              <w:highlight w:val="none"/>
            </w:rPr>
          </w:pPr>
          <w:r>
            <w:rPr>
              <w:color w:val="auto"/>
              <w:highlight w:val="none"/>
            </w:rPr>
            <w:fldChar w:fldCharType="begin"/>
          </w:r>
          <w:r>
            <w:rPr>
              <w:color w:val="auto"/>
              <w:highlight w:val="none"/>
            </w:rPr>
            <w:instrText xml:space="preserve"> HYPERLINK \l "_Toc22409" </w:instrText>
          </w:r>
          <w:r>
            <w:rPr>
              <w:color w:val="auto"/>
              <w:highlight w:val="none"/>
            </w:rPr>
            <w:fldChar w:fldCharType="separate"/>
          </w:r>
          <w:r>
            <w:rPr>
              <w:rFonts w:hint="eastAsia" w:ascii="方正仿宋_GBK" w:hAnsi="方正仿宋_GBK" w:eastAsia="方正仿宋_GBK" w:cs="方正仿宋_GBK"/>
              <w:color w:val="auto"/>
              <w:szCs w:val="28"/>
              <w:highlight w:val="none"/>
            </w:rPr>
            <w:t>第六篇  网上竞采合同（格式）</w:t>
          </w:r>
          <w:r>
            <w:rPr>
              <w:rFonts w:hint="eastAsia" w:ascii="方正仿宋_GBK" w:hAnsi="方正仿宋_GBK" w:eastAsia="方正仿宋_GBK" w:cs="方正仿宋_GBK"/>
              <w:color w:val="auto"/>
              <w:szCs w:val="28"/>
              <w:highlight w:val="none"/>
            </w:rPr>
            <w:tab/>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PAGEREF _Toc22409 \h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28"/>
              <w:highlight w:val="none"/>
            </w:rPr>
            <w:t>- 22 -</w: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fldChar w:fldCharType="end"/>
          </w:r>
        </w:p>
        <w:p w14:paraId="0EBB679D">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color w:val="auto"/>
              <w:highlight w:val="none"/>
            </w:rPr>
            <w:fldChar w:fldCharType="begin"/>
          </w:r>
          <w:r>
            <w:rPr>
              <w:color w:val="auto"/>
              <w:highlight w:val="none"/>
            </w:rPr>
            <w:instrText xml:space="preserve"> HYPERLINK \l "_Toc2599"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第七篇  响应文件编制要求</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_Toc2599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D327F00">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"_Toc31382"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一、经济部分</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_Toc31382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5ED48A2A">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"_Toc2397"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二、服务部分</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_Toc2397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31E6B2E1">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"_Toc4607"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三、商务文件</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_Toc4607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183DA2E7">
          <w:pPr>
            <w:pStyle w:val="17"/>
            <w:tabs>
              <w:tab w:val="right" w:leader="dot" w:pos="9412"/>
            </w:tabs>
            <w:spacing w:line="24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color w:val="auto"/>
              <w:highlight w:val="none"/>
            </w:rPr>
            <w:fldChar w:fldCharType="begin"/>
          </w:r>
          <w:r>
            <w:rPr>
              <w:color w:val="auto"/>
              <w:highlight w:val="none"/>
            </w:rPr>
            <w:instrText xml:space="preserve"> HYPERLINK \l "_Toc6570" </w:instrText>
          </w:r>
          <w:r>
            <w:rPr>
              <w:color w:val="auto"/>
              <w:highlight w:val="none"/>
            </w:rPr>
            <w:fldChar w:fldCharType="separate"/>
          </w:r>
          <w:r>
            <w:rPr>
              <w:rFonts w:hint="eastAsia" w:ascii="方正仿宋_GBK" w:hAnsi="方正仿宋_GBK" w:eastAsia="方正仿宋_GBK" w:cs="方正仿宋_GBK"/>
              <w:color w:val="auto"/>
              <w:sz w:val="28"/>
              <w:szCs w:val="28"/>
              <w:highlight w:val="none"/>
            </w:rPr>
            <w:t>四、资格条件及其他</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PAGEREF _Toc6570 \h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t>- 24 -</w:t>
          </w:r>
          <w:r>
            <w:rPr>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fldChar w:fldCharType="end"/>
          </w:r>
        </w:p>
        <w:p w14:paraId="62E791E5">
          <w:pPr>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end"/>
          </w:r>
        </w:p>
      </w:sdtContent>
    </w:sdt>
    <w:p w14:paraId="7780D2A5">
      <w:pPr>
        <w:pStyle w:val="9"/>
        <w:jc w:val="center"/>
        <w:rPr>
          <w:rFonts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44"/>
          <w:szCs w:val="28"/>
          <w:highlight w:val="none"/>
        </w:rPr>
        <w:t xml:space="preserve">   </w:t>
      </w:r>
      <w:r>
        <w:rPr>
          <w:rFonts w:hint="eastAsia" w:ascii="方正仿宋_GBK" w:hAnsi="方正仿宋_GBK" w:eastAsia="方正仿宋_GBK" w:cs="方正仿宋_GBK"/>
          <w:color w:val="auto"/>
          <w:sz w:val="44"/>
          <w:szCs w:val="28"/>
          <w:highlight w:val="none"/>
        </w:rPr>
        <w:br w:type="page"/>
      </w:r>
    </w:p>
    <w:p w14:paraId="14D03E5F">
      <w:pPr>
        <w:pStyle w:val="2"/>
        <w:jc w:val="center"/>
        <w:rPr>
          <w:color w:val="auto"/>
          <w:highlight w:val="none"/>
        </w:rPr>
      </w:pPr>
      <w:bookmarkStart w:id="9" w:name="_Toc10173"/>
      <w:bookmarkStart w:id="10" w:name="_Toc12789052"/>
      <w:bookmarkStart w:id="11" w:name="_Toc76462316"/>
      <w:bookmarkStart w:id="12" w:name="_Toc106030870"/>
      <w:bookmarkStart w:id="13" w:name="_Toc11641050"/>
      <w:r>
        <w:rPr>
          <w:rFonts w:hint="eastAsia"/>
          <w:color w:val="auto"/>
          <w:highlight w:val="none"/>
        </w:rPr>
        <w:t>第一篇  竞采邀请书</w:t>
      </w:r>
      <w:bookmarkEnd w:id="9"/>
      <w:bookmarkEnd w:id="10"/>
      <w:bookmarkEnd w:id="11"/>
      <w:bookmarkEnd w:id="12"/>
      <w:bookmarkEnd w:id="13"/>
    </w:p>
    <w:p w14:paraId="2599F1E2">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24"/>
          <w:szCs w:val="24"/>
          <w:highlight w:val="none"/>
          <w:u w:val="single"/>
        </w:rPr>
        <w:t>尚峰建设工程咨询有限公司</w:t>
      </w:r>
      <w:r>
        <w:rPr>
          <w:rFonts w:hint="eastAsia" w:ascii="方正仿宋_GBK" w:hAnsi="方正仿宋_GBK" w:eastAsia="方正仿宋_GBK" w:cs="方正仿宋_GBK"/>
          <w:color w:val="auto"/>
          <w:sz w:val="24"/>
          <w:szCs w:val="24"/>
          <w:highlight w:val="none"/>
        </w:rPr>
        <w:t>（以下简称：采购代理机构）受</w:t>
      </w:r>
      <w:r>
        <w:rPr>
          <w:rFonts w:hint="eastAsia" w:ascii="方正仿宋_GBK" w:hAnsi="方正仿宋_GBK" w:eastAsia="方正仿宋_GBK" w:cs="方正仿宋_GBK"/>
          <w:color w:val="auto"/>
          <w:sz w:val="24"/>
          <w:szCs w:val="24"/>
          <w:highlight w:val="none"/>
          <w:u w:val="single"/>
        </w:rPr>
        <w:t>重庆绿发基础设施建设有限公司</w:t>
      </w:r>
      <w:r>
        <w:rPr>
          <w:rFonts w:hint="eastAsia" w:ascii="方正仿宋_GBK" w:hAnsi="方正仿宋_GBK" w:eastAsia="方正仿宋_GBK" w:cs="方正仿宋_GBK"/>
          <w:color w:val="auto"/>
          <w:sz w:val="24"/>
          <w:szCs w:val="24"/>
          <w:highlight w:val="none"/>
        </w:rPr>
        <w:t>（以下简称：采购人）的委托，对</w:t>
      </w:r>
      <w:r>
        <w:rPr>
          <w:rFonts w:hint="eastAsia" w:ascii="方正仿宋_GBK" w:hAnsi="方正仿宋_GBK" w:eastAsia="方正仿宋_GBK" w:cs="方正仿宋_GBK"/>
          <w:color w:val="auto"/>
          <w:sz w:val="24"/>
          <w:szCs w:val="24"/>
          <w:highlight w:val="none"/>
          <w:u w:val="single"/>
        </w:rPr>
        <w:t>数字化项目管理平台采购项目</w:t>
      </w:r>
      <w:r>
        <w:rPr>
          <w:rFonts w:hint="eastAsia" w:ascii="方正仿宋_GBK" w:hAnsi="方正仿宋_GBK" w:eastAsia="方正仿宋_GBK" w:cs="方正仿宋_GBK"/>
          <w:color w:val="auto"/>
          <w:sz w:val="24"/>
          <w:szCs w:val="24"/>
          <w:highlight w:val="none"/>
        </w:rPr>
        <w:t>进行网上竞采采购。欢迎有资格的供应商前来参与网上竞采。</w:t>
      </w:r>
    </w:p>
    <w:p w14:paraId="00376561">
      <w:pPr>
        <w:pStyle w:val="3"/>
        <w:rPr>
          <w:color w:val="auto"/>
          <w:highlight w:val="none"/>
        </w:rPr>
      </w:pPr>
      <w:bookmarkStart w:id="14" w:name="_Toc313893526"/>
      <w:bookmarkStart w:id="15" w:name="_Toc26820"/>
      <w:bookmarkStart w:id="16" w:name="_Toc18159"/>
      <w:bookmarkStart w:id="17" w:name="_Toc18881"/>
      <w:bookmarkStart w:id="18" w:name="_Toc12808"/>
      <w:bookmarkStart w:id="19" w:name="_Toc7625"/>
      <w:bookmarkStart w:id="20" w:name="_Toc10471"/>
      <w:bookmarkStart w:id="21" w:name="_Toc25458"/>
      <w:bookmarkStart w:id="22" w:name="_Toc3463"/>
      <w:bookmarkStart w:id="23" w:name="_Toc317775175"/>
      <w:r>
        <w:rPr>
          <w:rFonts w:hint="eastAsia"/>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850"/>
        <w:gridCol w:w="1300"/>
        <w:gridCol w:w="2930"/>
      </w:tblGrid>
      <w:tr w14:paraId="09A7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0" w:type="dxa"/>
            <w:tcBorders>
              <w:top w:val="single" w:color="auto" w:sz="4" w:space="0"/>
              <w:left w:val="single" w:color="auto" w:sz="4" w:space="0"/>
              <w:right w:val="single" w:color="auto" w:sz="4" w:space="0"/>
            </w:tcBorders>
            <w:vAlign w:val="center"/>
          </w:tcPr>
          <w:p w14:paraId="00F27F54">
            <w:pPr>
              <w:widowControl/>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850" w:type="dxa"/>
            <w:tcBorders>
              <w:top w:val="single" w:color="auto" w:sz="4" w:space="0"/>
              <w:left w:val="single" w:color="auto" w:sz="4" w:space="0"/>
              <w:right w:val="single" w:color="auto" w:sz="4" w:space="0"/>
            </w:tcBorders>
            <w:vAlign w:val="center"/>
          </w:tcPr>
          <w:p w14:paraId="16CBFF2D">
            <w:pPr>
              <w:widowControl/>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最高限价</w:t>
            </w:r>
          </w:p>
          <w:p w14:paraId="51AAD4ED">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（万元）</w:t>
            </w:r>
          </w:p>
        </w:tc>
        <w:tc>
          <w:tcPr>
            <w:tcW w:w="1300" w:type="dxa"/>
            <w:tcBorders>
              <w:top w:val="single" w:color="auto" w:sz="4" w:space="0"/>
              <w:left w:val="single" w:color="auto" w:sz="4" w:space="0"/>
              <w:right w:val="single" w:color="auto" w:sz="4" w:space="0"/>
            </w:tcBorders>
            <w:vAlign w:val="center"/>
          </w:tcPr>
          <w:p w14:paraId="50275663">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c>
          <w:tcPr>
            <w:tcW w:w="2930" w:type="dxa"/>
            <w:tcBorders>
              <w:top w:val="single" w:color="auto" w:sz="4" w:space="0"/>
              <w:left w:val="single" w:color="auto" w:sz="4" w:space="0"/>
              <w:right w:val="single" w:color="auto" w:sz="4" w:space="0"/>
            </w:tcBorders>
            <w:vAlign w:val="center"/>
          </w:tcPr>
          <w:p w14:paraId="2E4ABE8F">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备注</w:t>
            </w:r>
          </w:p>
        </w:tc>
      </w:tr>
      <w:tr w14:paraId="0704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730" w:type="dxa"/>
            <w:tcBorders>
              <w:top w:val="single" w:color="auto" w:sz="4" w:space="0"/>
              <w:left w:val="single" w:color="auto" w:sz="4" w:space="0"/>
              <w:right w:val="single" w:color="auto" w:sz="4" w:space="0"/>
            </w:tcBorders>
            <w:vAlign w:val="center"/>
          </w:tcPr>
          <w:p w14:paraId="3A43FEAE">
            <w:pPr>
              <w:widowControl/>
              <w:jc w:val="both"/>
              <w:rPr>
                <w:rFonts w:ascii="方正仿宋_GBK" w:hAnsi="方正仿宋_GBK" w:eastAsia="方正仿宋_GBK" w:cs="方正仿宋_GBK"/>
                <w:color w:val="auto"/>
                <w:kern w:val="0"/>
                <w:sz w:val="24"/>
                <w:szCs w:val="24"/>
                <w:highlight w:val="none"/>
              </w:rPr>
            </w:pPr>
            <w:bookmarkStart w:id="24" w:name="_Hlk344477914"/>
            <w:r>
              <w:rPr>
                <w:rFonts w:hint="eastAsia" w:ascii="方正仿宋_GBK" w:hAnsi="方正仿宋_GBK" w:eastAsia="方正仿宋_GBK" w:cs="方正仿宋_GBK"/>
                <w:color w:val="auto"/>
                <w:kern w:val="0"/>
                <w:sz w:val="24"/>
                <w:szCs w:val="24"/>
                <w:highlight w:val="none"/>
              </w:rPr>
              <w:t>数字化项目管理平台采购项目</w:t>
            </w:r>
          </w:p>
        </w:tc>
        <w:tc>
          <w:tcPr>
            <w:tcW w:w="1850" w:type="dxa"/>
            <w:tcBorders>
              <w:top w:val="single" w:color="auto" w:sz="4" w:space="0"/>
              <w:left w:val="single" w:color="auto" w:sz="4" w:space="0"/>
              <w:right w:val="single" w:color="auto" w:sz="4" w:space="0"/>
            </w:tcBorders>
            <w:vAlign w:val="center"/>
          </w:tcPr>
          <w:p w14:paraId="2BB0A72E">
            <w:pPr>
              <w:widowControl/>
              <w:jc w:val="center"/>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53.62</w:t>
            </w:r>
            <w:r>
              <w:rPr>
                <w:rFonts w:hint="eastAsia" w:ascii="方正仿宋_GBK" w:hAnsi="方正仿宋_GBK" w:eastAsia="方正仿宋_GBK" w:cs="方正仿宋_GBK"/>
                <w:color w:val="auto"/>
                <w:kern w:val="0"/>
                <w:sz w:val="24"/>
                <w:szCs w:val="24"/>
                <w:highlight w:val="none"/>
              </w:rPr>
              <w:t xml:space="preserve">  </w:t>
            </w:r>
          </w:p>
        </w:tc>
        <w:tc>
          <w:tcPr>
            <w:tcW w:w="1300" w:type="dxa"/>
            <w:tcBorders>
              <w:top w:val="single" w:color="auto" w:sz="4" w:space="0"/>
              <w:left w:val="single" w:color="auto" w:sz="4" w:space="0"/>
              <w:right w:val="single" w:color="auto" w:sz="4" w:space="0"/>
            </w:tcBorders>
            <w:vAlign w:val="center"/>
          </w:tcPr>
          <w:p w14:paraId="13B231F8">
            <w:pPr>
              <w:widowControl/>
              <w:jc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w:t>
            </w:r>
          </w:p>
        </w:tc>
        <w:tc>
          <w:tcPr>
            <w:tcW w:w="2930" w:type="dxa"/>
            <w:tcBorders>
              <w:top w:val="single" w:color="auto" w:sz="4" w:space="0"/>
              <w:left w:val="single" w:color="auto" w:sz="4" w:space="0"/>
              <w:right w:val="single" w:color="auto" w:sz="4" w:space="0"/>
            </w:tcBorders>
            <w:vAlign w:val="center"/>
          </w:tcPr>
          <w:p w14:paraId="4964695E">
            <w:pPr>
              <w:rPr>
                <w:rFonts w:hint="eastAsia" w:ascii="方正仿宋_GBK" w:hAnsi="方正仿宋_GBK" w:eastAsia="方正仿宋_GBK" w:cs="方正仿宋_GBK"/>
                <w:b/>
                <w:color w:val="auto"/>
                <w:sz w:val="24"/>
                <w:szCs w:val="24"/>
                <w:highlight w:val="none"/>
                <w:lang w:eastAsia="zh-CN"/>
              </w:rPr>
            </w:pPr>
          </w:p>
        </w:tc>
      </w:tr>
      <w:bookmarkEnd w:id="24"/>
    </w:tbl>
    <w:p w14:paraId="5E3C8237">
      <w:pPr>
        <w:pStyle w:val="3"/>
        <w:rPr>
          <w:color w:val="auto"/>
          <w:highlight w:val="none"/>
        </w:rPr>
      </w:pPr>
      <w:bookmarkStart w:id="25" w:name="_Toc5225"/>
      <w:bookmarkStart w:id="26" w:name="_Toc22399"/>
      <w:bookmarkStart w:id="27" w:name="_Toc1790"/>
      <w:bookmarkStart w:id="28" w:name="_Toc25190"/>
      <w:bookmarkStart w:id="29" w:name="_Toc15727"/>
      <w:bookmarkStart w:id="30" w:name="_Toc15576"/>
      <w:bookmarkStart w:id="31" w:name="_Toc19437"/>
      <w:bookmarkStart w:id="32" w:name="_Toc6462"/>
      <w:bookmarkStart w:id="33" w:name="_Toc317775178"/>
      <w:bookmarkStart w:id="34" w:name="_Toc373860293"/>
      <w:r>
        <w:rPr>
          <w:rFonts w:hint="eastAsia"/>
          <w:color w:val="auto"/>
          <w:highlight w:val="none"/>
        </w:rPr>
        <w:t>二、资金来源</w:t>
      </w:r>
      <w:bookmarkEnd w:id="25"/>
    </w:p>
    <w:p w14:paraId="14995629">
      <w:pPr>
        <w:ind w:firstLine="480" w:firstLineChars="200"/>
        <w:rPr>
          <w:color w:val="auto"/>
          <w:highlight w:val="none"/>
        </w:rPr>
      </w:pPr>
      <w:r>
        <w:rPr>
          <w:rFonts w:hint="eastAsia" w:ascii="方正仿宋_GBK" w:hAnsi="方正仿宋_GBK" w:eastAsia="方正仿宋_GBK" w:cs="方正仿宋_GBK"/>
          <w:color w:val="auto"/>
          <w:sz w:val="24"/>
          <w:szCs w:val="24"/>
          <w:highlight w:val="none"/>
        </w:rPr>
        <w:t>单位自筹资金，预算金额为</w:t>
      </w:r>
      <w:r>
        <w:rPr>
          <w:rFonts w:hint="eastAsia" w:ascii="方正仿宋_GBK" w:hAnsi="方正仿宋_GBK" w:eastAsia="方正仿宋_GBK" w:cs="方正仿宋_GBK"/>
          <w:color w:val="auto"/>
          <w:kern w:val="0"/>
          <w:sz w:val="24"/>
          <w:szCs w:val="24"/>
          <w:highlight w:val="none"/>
          <w:lang w:val="en-US" w:eastAsia="zh-CN"/>
        </w:rPr>
        <w:t>53.62</w:t>
      </w:r>
      <w:r>
        <w:rPr>
          <w:rFonts w:hint="eastAsia" w:ascii="方正仿宋_GBK" w:hAnsi="方正仿宋_GBK" w:eastAsia="方正仿宋_GBK" w:cs="方正仿宋_GBK"/>
          <w:color w:val="auto"/>
          <w:sz w:val="24"/>
          <w:szCs w:val="24"/>
          <w:highlight w:val="none"/>
        </w:rPr>
        <w:t>万元。</w:t>
      </w:r>
    </w:p>
    <w:p w14:paraId="723B44FF">
      <w:pPr>
        <w:pStyle w:val="3"/>
        <w:rPr>
          <w:color w:val="auto"/>
          <w:highlight w:val="none"/>
        </w:rPr>
      </w:pPr>
      <w:bookmarkStart w:id="35" w:name="_Toc27988"/>
      <w:r>
        <w:rPr>
          <w:rFonts w:hint="eastAsia"/>
          <w:color w:val="auto"/>
          <w:highlight w:val="none"/>
        </w:rPr>
        <w:t>三、</w:t>
      </w:r>
      <w:bookmarkEnd w:id="26"/>
      <w:bookmarkEnd w:id="27"/>
      <w:bookmarkEnd w:id="28"/>
      <w:bookmarkEnd w:id="29"/>
      <w:bookmarkEnd w:id="30"/>
      <w:bookmarkEnd w:id="31"/>
      <w:bookmarkEnd w:id="32"/>
      <w:r>
        <w:rPr>
          <w:rFonts w:hint="eastAsia"/>
          <w:color w:val="auto"/>
          <w:highlight w:val="none"/>
        </w:rPr>
        <w:t>竞采资格条件</w:t>
      </w:r>
      <w:bookmarkEnd w:id="35"/>
    </w:p>
    <w:p w14:paraId="215EF379">
      <w:pPr>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（一）基本条件</w:t>
      </w:r>
    </w:p>
    <w:p w14:paraId="3DF6978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1.具有独立承担民事责任的能力；</w:t>
      </w:r>
    </w:p>
    <w:p w14:paraId="36F9065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2.具有良好的商业信誉和健全的财务会计制度；</w:t>
      </w:r>
    </w:p>
    <w:p w14:paraId="34D05E8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3.具有履行合同所必需的设备和专业技术能力；</w:t>
      </w:r>
    </w:p>
    <w:p w14:paraId="664FCE4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4.有依法缴纳税收和社会保障资金的良好记录；</w:t>
      </w:r>
    </w:p>
    <w:p w14:paraId="35C3A9C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5.参加本项目采购活动前三年内，在经营活动中没有重大违法记录；</w:t>
      </w:r>
    </w:p>
    <w:p w14:paraId="70C58610">
      <w:pPr>
        <w:spacing w:line="360" w:lineRule="auto"/>
        <w:ind w:firstLine="480" w:firstLineChars="200"/>
        <w:rPr>
          <w:rFonts w:hint="eastAsia"/>
        </w:rPr>
      </w:pPr>
      <w:r>
        <w:rPr>
          <w:rFonts w:hint="default" w:ascii="Times New Roman" w:hAnsi="Times New Roman" w:eastAsia="方正仿宋_GBK" w:cs="Times New Roman"/>
          <w:color w:val="auto"/>
          <w:sz w:val="24"/>
          <w:szCs w:val="24"/>
          <w:highlight w:val="none"/>
        </w:rPr>
        <w:t>6.法律、行政法规规定的其他条件。</w:t>
      </w:r>
    </w:p>
    <w:p w14:paraId="131F6D1F">
      <w:pPr>
        <w:numPr>
          <w:ilvl w:val="0"/>
          <w:numId w:val="1"/>
        </w:num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p w14:paraId="6CE8CD93">
      <w:pPr>
        <w:numPr>
          <w:ilvl w:val="0"/>
          <w:numId w:val="0"/>
        </w:num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无</w:t>
      </w:r>
    </w:p>
    <w:bookmarkEnd w:id="33"/>
    <w:bookmarkEnd w:id="34"/>
    <w:p w14:paraId="39137B22">
      <w:pPr>
        <w:pStyle w:val="3"/>
        <w:rPr>
          <w:color w:val="auto"/>
          <w:highlight w:val="none"/>
        </w:rPr>
      </w:pPr>
      <w:bookmarkStart w:id="36" w:name="_Toc5870"/>
      <w:r>
        <w:rPr>
          <w:rFonts w:hint="eastAsia"/>
          <w:color w:val="auto"/>
          <w:highlight w:val="none"/>
        </w:rPr>
        <w:t>四、竞采有关说明</w:t>
      </w:r>
      <w:bookmarkEnd w:id="36"/>
    </w:p>
    <w:p w14:paraId="67935D55">
      <w:pPr>
        <w:numPr>
          <w:ilvl w:val="0"/>
          <w:numId w:val="0"/>
        </w:numPr>
        <w:spacing w:line="360" w:lineRule="auto"/>
        <w:ind w:firstLine="480" w:firstLineChars="200"/>
        <w:rPr>
          <w:rFonts w:hint="default" w:ascii="Times New Roman" w:hAnsi="Times New Roman" w:eastAsia="方正仿宋_GBK" w:cs="Times New Roman"/>
          <w:color w:val="auto"/>
          <w:sz w:val="24"/>
          <w:szCs w:val="24"/>
          <w:highlight w:val="none"/>
          <w:lang w:eastAsia="zh-CN"/>
        </w:rPr>
      </w:pPr>
      <w:bookmarkStart w:id="37" w:name="_Toc10495"/>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一）供应商应通过行采家(https://www.gec123.com/)进行注册，登记加入“行采家供应商库”</w:t>
      </w:r>
      <w:r>
        <w:rPr>
          <w:rFonts w:hint="default" w:ascii="Times New Roman" w:hAnsi="Times New Roman" w:eastAsia="方正仿宋_GBK" w:cs="Times New Roman"/>
          <w:color w:val="auto"/>
          <w:sz w:val="24"/>
          <w:szCs w:val="24"/>
          <w:highlight w:val="none"/>
          <w:lang w:eastAsia="zh-CN"/>
        </w:rPr>
        <w:t>。</w:t>
      </w:r>
    </w:p>
    <w:p w14:paraId="765AB8E4">
      <w:pPr>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（二）凡有意参加采购的供应商，请</w:t>
      </w:r>
      <w:r>
        <w:rPr>
          <w:rFonts w:hint="default" w:ascii="Times New Roman" w:hAnsi="Times New Roman" w:eastAsia="方正仿宋_GBK" w:cs="Times New Roman"/>
          <w:color w:val="auto"/>
          <w:sz w:val="24"/>
          <w:szCs w:val="24"/>
          <w:highlight w:val="none"/>
          <w:lang w:eastAsia="zh-CN"/>
        </w:rPr>
        <w:t>自行在</w:t>
      </w:r>
      <w:r>
        <w:rPr>
          <w:rFonts w:hint="default" w:ascii="Times New Roman" w:hAnsi="Times New Roman" w:eastAsia="方正仿宋_GBK" w:cs="Times New Roman"/>
          <w:color w:val="auto"/>
          <w:sz w:val="24"/>
          <w:szCs w:val="24"/>
          <w:highlight w:val="none"/>
        </w:rPr>
        <w:t>行采家(https://www.gec123.com/</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下载本项目竞采文件以及</w:t>
      </w:r>
      <w:r>
        <w:rPr>
          <w:rFonts w:hint="default" w:ascii="Times New Roman" w:hAnsi="Times New Roman" w:eastAsia="方正仿宋_GBK" w:cs="Times New Roman"/>
          <w:color w:val="auto"/>
          <w:sz w:val="24"/>
          <w:szCs w:val="24"/>
          <w:highlight w:val="none"/>
          <w:lang w:val="en-US" w:eastAsia="zh-CN"/>
        </w:rPr>
        <w:t>变更</w:t>
      </w:r>
      <w:r>
        <w:rPr>
          <w:rFonts w:hint="default" w:ascii="Times New Roman" w:hAnsi="Times New Roman" w:eastAsia="方正仿宋_GBK" w:cs="Times New Roman"/>
          <w:color w:val="auto"/>
          <w:sz w:val="24"/>
          <w:szCs w:val="24"/>
          <w:highlight w:val="none"/>
        </w:rPr>
        <w:t>等采购前公布的所有项目资料，无论供应商下载与否，均视为已知晓所有采购实质性要求内容</w:t>
      </w:r>
      <w:r>
        <w:rPr>
          <w:rFonts w:hint="default" w:ascii="Times New Roman" w:hAnsi="Times New Roman" w:eastAsia="方正仿宋_GBK" w:cs="Times New Roman"/>
          <w:color w:val="auto"/>
          <w:sz w:val="24"/>
          <w:szCs w:val="24"/>
          <w:highlight w:val="none"/>
          <w:lang w:eastAsia="zh-CN"/>
        </w:rPr>
        <w:t>。</w:t>
      </w:r>
    </w:p>
    <w:p w14:paraId="7683965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（三）线上报价</w:t>
      </w:r>
    </w:p>
    <w:p w14:paraId="07ACB2A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1.线上报价时间：按本项目网上公告规定的报价截止时间为准。</w:t>
      </w:r>
    </w:p>
    <w:p w14:paraId="22AAC2E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2.线上报价要求：按本项目规定的时间在行采家(https://www.gec123.com/)进行网上报价。</w:t>
      </w:r>
    </w:p>
    <w:p w14:paraId="7283BC0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w:t>
      </w:r>
      <w:r>
        <w:rPr>
          <w:rFonts w:hint="default" w:ascii="Times New Roman" w:hAnsi="Times New Roman" w:eastAsia="方正仿宋_GBK" w:cs="Times New Roman"/>
          <w:bCs/>
          <w:color w:val="auto"/>
          <w:sz w:val="24"/>
          <w:szCs w:val="24"/>
          <w:highlight w:val="none"/>
        </w:rPr>
        <w:t>供应商须在平台上报价并按要求上传响应文件，未按要求提供的为无效供应商。</w:t>
      </w:r>
    </w:p>
    <w:p w14:paraId="244A03D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备注：</w:t>
      </w:r>
    </w:p>
    <w:p w14:paraId="72B9819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1.供应商线上报价时须上传响应文件一份。</w:t>
      </w:r>
    </w:p>
    <w:p w14:paraId="64BBFA7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2.采购人将以平台的线上资料作为评判依据。</w:t>
      </w:r>
    </w:p>
    <w:p w14:paraId="2141C2D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3.供应商上传的响应文件应按照响应文件编制要求制作，规定签字、盖章的地方必须按规定签字、盖章，未按要求制作响应文件的作无效标处理。</w:t>
      </w:r>
    </w:p>
    <w:p w14:paraId="756259C4">
      <w:pPr>
        <w:pStyle w:val="3"/>
        <w:rPr>
          <w:color w:val="auto"/>
          <w:highlight w:val="none"/>
        </w:rPr>
      </w:pPr>
      <w:r>
        <w:rPr>
          <w:rFonts w:hint="eastAsia"/>
          <w:color w:val="auto"/>
          <w:highlight w:val="none"/>
        </w:rPr>
        <w:t>五、</w:t>
      </w:r>
      <w:bookmarkStart w:id="38" w:name="_Toc3475"/>
      <w:bookmarkStart w:id="39" w:name="_Toc11828"/>
      <w:bookmarkStart w:id="40" w:name="_Toc5085"/>
      <w:bookmarkStart w:id="41" w:name="_Toc20778"/>
      <w:bookmarkStart w:id="42" w:name="_Toc25886"/>
      <w:bookmarkStart w:id="43" w:name="_Toc9654"/>
      <w:bookmarkStart w:id="44" w:name="_Toc27955"/>
      <w:bookmarkStart w:id="45" w:name="_Toc19730"/>
      <w:bookmarkStart w:id="46" w:name="_Toc31315"/>
      <w:bookmarkStart w:id="47" w:name="_Toc13969"/>
      <w:bookmarkStart w:id="48" w:name="_Toc25516"/>
      <w:bookmarkStart w:id="49" w:name="_Toc14778"/>
      <w:bookmarkStart w:id="50" w:name="_Toc15478"/>
      <w:bookmarkStart w:id="51" w:name="_Toc9027"/>
      <w:r>
        <w:rPr>
          <w:rFonts w:hint="eastAsia"/>
          <w:color w:val="auto"/>
          <w:highlight w:val="none"/>
        </w:rPr>
        <w:t>联系方式</w:t>
      </w:r>
      <w:bookmarkEnd w:id="37"/>
      <w:bookmarkEnd w:id="38"/>
      <w:bookmarkEnd w:id="39"/>
      <w:bookmarkEnd w:id="40"/>
      <w:bookmarkEnd w:id="41"/>
      <w:bookmarkEnd w:id="42"/>
      <w:bookmarkEnd w:id="43"/>
      <w:bookmarkEnd w:id="44"/>
    </w:p>
    <w:p w14:paraId="4411EBCA">
      <w:pPr>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（一）采购人：重庆绿发基础设施建设有限公司</w:t>
      </w:r>
    </w:p>
    <w:p w14:paraId="65BCAF89">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 xml:space="preserve">徐老师 </w:t>
      </w:r>
    </w:p>
    <w:p w14:paraId="14277F51">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lang w:val="en-US" w:eastAsia="zh-CN"/>
        </w:rPr>
        <w:t>15803606011</w:t>
      </w:r>
    </w:p>
    <w:p w14:paraId="3E5DB91B">
      <w:pPr>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址：重庆市璧山区双星大道50号1栋</w:t>
      </w:r>
    </w:p>
    <w:p w14:paraId="7CF071D4">
      <w:pPr>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（二）采购代理机构：尚峰建设工程咨询有限公司</w:t>
      </w:r>
    </w:p>
    <w:p w14:paraId="78072BD5">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曾老师</w:t>
      </w:r>
    </w:p>
    <w:p w14:paraId="65E62821">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lang w:val="en-US" w:eastAsia="zh-CN"/>
        </w:rPr>
        <w:t>13637839100</w:t>
      </w:r>
    </w:p>
    <w:p w14:paraId="5C249275">
      <w:pPr>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址：重庆市高新区含谷镇高龙大道（延长段）377号7栋1层1-3号</w:t>
      </w:r>
    </w:p>
    <w:p w14:paraId="6BB09AFA">
      <w:pPr>
        <w:snapToGrid w:val="0"/>
        <w:ind w:firstLine="480" w:firstLineChars="200"/>
        <w:rPr>
          <w:rFonts w:ascii="方正仿宋_GBK" w:hAnsi="方正仿宋_GBK" w:eastAsia="方正仿宋_GBK" w:cs="方正仿宋_GBK"/>
          <w:color w:val="auto"/>
          <w:sz w:val="24"/>
          <w:szCs w:val="24"/>
          <w:highlight w:val="none"/>
        </w:rPr>
      </w:pPr>
    </w:p>
    <w:p w14:paraId="61504935">
      <w:pPr>
        <w:pStyle w:val="3"/>
        <w:rPr>
          <w:color w:val="auto"/>
          <w:highlight w:val="none"/>
        </w:rPr>
      </w:pPr>
      <w:bookmarkStart w:id="52" w:name="_Toc601"/>
      <w:r>
        <w:rPr>
          <w:rFonts w:hint="eastAsia"/>
          <w:color w:val="auto"/>
          <w:highlight w:val="none"/>
        </w:rPr>
        <w:t>六、</w:t>
      </w:r>
      <w:bookmarkEnd w:id="45"/>
      <w:bookmarkEnd w:id="46"/>
      <w:bookmarkEnd w:id="47"/>
      <w:bookmarkEnd w:id="48"/>
      <w:bookmarkEnd w:id="49"/>
      <w:bookmarkEnd w:id="50"/>
      <w:bookmarkEnd w:id="51"/>
      <w:r>
        <w:rPr>
          <w:rFonts w:hint="eastAsia"/>
          <w:color w:val="auto"/>
          <w:highlight w:val="none"/>
        </w:rPr>
        <w:t>其它有关规定</w:t>
      </w:r>
      <w:bookmarkEnd w:id="52"/>
    </w:p>
    <w:p w14:paraId="7B424AB9">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（一）单位负责人为同一人或者存在直接控股、管理关系的不同供应商，不得参加同一合同项（分包）下的竞采活动，否则均为无效响应。</w:t>
      </w:r>
    </w:p>
    <w:p w14:paraId="78F5F8CF">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65A4C93C">
      <w:pPr>
        <w:snapToGrid w:val="0"/>
        <w:spacing w:line="4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6D742AB3">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14:paraId="7533F6AA">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（五）竞采费用：无论竞采结果如何，供应商参与本项目竞采的所有成本费用均应由供应商自行承担。</w:t>
      </w:r>
    </w:p>
    <w:p w14:paraId="0857B939">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（六）本项目不接受联合体参与竞采。</w:t>
      </w:r>
    </w:p>
    <w:p w14:paraId="281FDE01">
      <w:pPr>
        <w:snapToGrid w:val="0"/>
        <w:spacing w:line="400" w:lineRule="exact"/>
        <w:ind w:firstLine="360" w:firstLineChars="15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419064DC">
      <w:pPr>
        <w:pStyle w:val="9"/>
        <w:rPr>
          <w:rFonts w:ascii="方正仿宋_GBK" w:hAnsi="方正仿宋_GBK" w:eastAsia="方正仿宋_GBK" w:cs="方正仿宋_GBK"/>
          <w:color w:val="auto"/>
          <w:sz w:val="24"/>
          <w:szCs w:val="24"/>
          <w:highlight w:val="none"/>
        </w:rPr>
      </w:pPr>
    </w:p>
    <w:p w14:paraId="53CFD84E">
      <w:pPr>
        <w:pStyle w:val="2"/>
        <w:jc w:val="center"/>
        <w:rPr>
          <w:color w:val="auto"/>
          <w:highlight w:val="none"/>
        </w:rPr>
      </w:pPr>
      <w:bookmarkStart w:id="53" w:name="_Toc106030878"/>
      <w:bookmarkStart w:id="54" w:name="_Toc76462324"/>
      <w:bookmarkStart w:id="55" w:name="_Toc21272"/>
      <w:r>
        <w:rPr>
          <w:color w:val="auto"/>
          <w:highlight w:val="none"/>
        </w:rPr>
        <w:br w:type="page"/>
      </w:r>
    </w:p>
    <w:p w14:paraId="4B2983AB">
      <w:pPr>
        <w:pStyle w:val="2"/>
        <w:jc w:val="center"/>
        <w:rPr>
          <w:color w:val="auto"/>
          <w:highlight w:val="none"/>
        </w:rPr>
      </w:pPr>
      <w:r>
        <w:rPr>
          <w:rFonts w:hint="eastAsia"/>
          <w:color w:val="auto"/>
          <w:highlight w:val="none"/>
        </w:rPr>
        <w:t>第二篇  项目</w:t>
      </w:r>
      <w:bookmarkEnd w:id="53"/>
      <w:bookmarkEnd w:id="54"/>
      <w:r>
        <w:rPr>
          <w:rFonts w:hint="eastAsia"/>
          <w:color w:val="auto"/>
          <w:highlight w:val="none"/>
        </w:rPr>
        <w:t>服务需求</w:t>
      </w:r>
      <w:bookmarkEnd w:id="55"/>
    </w:p>
    <w:p w14:paraId="7AEFB9CA">
      <w:pPr>
        <w:jc w:val="left"/>
        <w:rPr>
          <w:rFonts w:ascii="方正仿宋_GBK" w:hAnsi="方正仿宋_GBK" w:eastAsia="方正仿宋_GBK" w:cs="方正仿宋_GBK"/>
          <w:b/>
          <w:bCs/>
          <w:color w:val="auto"/>
          <w:sz w:val="24"/>
          <w:szCs w:val="24"/>
          <w:highlight w:val="none"/>
          <w:u w:val="single"/>
        </w:rPr>
      </w:pPr>
      <w:bookmarkStart w:id="56" w:name="_Toc76462325"/>
      <w:bookmarkStart w:id="57" w:name="_Toc12789058"/>
    </w:p>
    <w:p w14:paraId="6E2401D4">
      <w:pPr>
        <w:jc w:val="left"/>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本篇服务需求为符合性审查中的实质性要求，响应文件若不满足按无效处理。</w:t>
      </w:r>
    </w:p>
    <w:bookmarkEnd w:id="56"/>
    <w:p w14:paraId="5858C7AE">
      <w:pPr>
        <w:pStyle w:val="3"/>
        <w:numPr>
          <w:ilvl w:val="0"/>
          <w:numId w:val="2"/>
        </w:numPr>
        <w:rPr>
          <w:color w:val="auto"/>
          <w:highlight w:val="none"/>
        </w:rPr>
      </w:pPr>
      <w:bookmarkStart w:id="58" w:name="_Toc26664"/>
      <w:r>
        <w:rPr>
          <w:rFonts w:hint="eastAsia"/>
          <w:color w:val="auto"/>
          <w:highlight w:val="none"/>
        </w:rPr>
        <w:t>招标项目</w:t>
      </w:r>
      <w:bookmarkEnd w:id="58"/>
      <w:r>
        <w:rPr>
          <w:rFonts w:hint="eastAsia"/>
          <w:color w:val="auto"/>
          <w:highlight w:val="none"/>
        </w:rPr>
        <w:t>内容</w:t>
      </w:r>
    </w:p>
    <w:tbl>
      <w:tblPr>
        <w:tblStyle w:val="2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850"/>
        <w:gridCol w:w="1300"/>
        <w:gridCol w:w="2930"/>
      </w:tblGrid>
      <w:tr w14:paraId="3148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0" w:type="dxa"/>
            <w:tcBorders>
              <w:top w:val="single" w:color="auto" w:sz="4" w:space="0"/>
              <w:left w:val="single" w:color="auto" w:sz="4" w:space="0"/>
              <w:right w:val="single" w:color="auto" w:sz="4" w:space="0"/>
            </w:tcBorders>
            <w:vAlign w:val="center"/>
          </w:tcPr>
          <w:p w14:paraId="745CCA72">
            <w:pPr>
              <w:widowControl/>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850" w:type="dxa"/>
            <w:tcBorders>
              <w:top w:val="single" w:color="auto" w:sz="4" w:space="0"/>
              <w:left w:val="single" w:color="auto" w:sz="4" w:space="0"/>
              <w:right w:val="single" w:color="auto" w:sz="4" w:space="0"/>
            </w:tcBorders>
            <w:vAlign w:val="center"/>
          </w:tcPr>
          <w:p w14:paraId="5ED6644C">
            <w:pPr>
              <w:widowControl/>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最高限价</w:t>
            </w:r>
          </w:p>
          <w:p w14:paraId="7792BD83">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（万元）</w:t>
            </w:r>
          </w:p>
        </w:tc>
        <w:tc>
          <w:tcPr>
            <w:tcW w:w="1300" w:type="dxa"/>
            <w:tcBorders>
              <w:top w:val="single" w:color="auto" w:sz="4" w:space="0"/>
              <w:left w:val="single" w:color="auto" w:sz="4" w:space="0"/>
              <w:right w:val="single" w:color="auto" w:sz="4" w:space="0"/>
            </w:tcBorders>
            <w:vAlign w:val="center"/>
          </w:tcPr>
          <w:p w14:paraId="4A90D785">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c>
          <w:tcPr>
            <w:tcW w:w="2930" w:type="dxa"/>
            <w:tcBorders>
              <w:top w:val="single" w:color="auto" w:sz="4" w:space="0"/>
              <w:left w:val="single" w:color="auto" w:sz="4" w:space="0"/>
              <w:right w:val="single" w:color="auto" w:sz="4" w:space="0"/>
            </w:tcBorders>
            <w:vAlign w:val="center"/>
          </w:tcPr>
          <w:p w14:paraId="37A9D0EE">
            <w:pPr>
              <w:jc w:val="center"/>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备注</w:t>
            </w:r>
          </w:p>
        </w:tc>
      </w:tr>
      <w:tr w14:paraId="2EBC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730" w:type="dxa"/>
            <w:tcBorders>
              <w:top w:val="single" w:color="auto" w:sz="4" w:space="0"/>
              <w:left w:val="single" w:color="auto" w:sz="4" w:space="0"/>
              <w:right w:val="single" w:color="auto" w:sz="4" w:space="0"/>
            </w:tcBorders>
            <w:vAlign w:val="center"/>
          </w:tcPr>
          <w:p w14:paraId="6073839B">
            <w:pPr>
              <w:widowControl/>
              <w:jc w:val="both"/>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数字化项目管理平台采购项目</w:t>
            </w:r>
          </w:p>
        </w:tc>
        <w:tc>
          <w:tcPr>
            <w:tcW w:w="1850" w:type="dxa"/>
            <w:tcBorders>
              <w:top w:val="single" w:color="auto" w:sz="4" w:space="0"/>
              <w:left w:val="single" w:color="auto" w:sz="4" w:space="0"/>
              <w:right w:val="single" w:color="auto" w:sz="4" w:space="0"/>
            </w:tcBorders>
            <w:vAlign w:val="center"/>
          </w:tcPr>
          <w:p w14:paraId="43BA888D">
            <w:pPr>
              <w:widowControl/>
              <w:jc w:val="center"/>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53.62</w:t>
            </w:r>
            <w:r>
              <w:rPr>
                <w:rFonts w:hint="eastAsia" w:ascii="方正仿宋_GBK" w:hAnsi="方正仿宋_GBK" w:eastAsia="方正仿宋_GBK" w:cs="方正仿宋_GBK"/>
                <w:color w:val="auto"/>
                <w:kern w:val="0"/>
                <w:sz w:val="24"/>
                <w:szCs w:val="24"/>
                <w:highlight w:val="none"/>
              </w:rPr>
              <w:t xml:space="preserve"> </w:t>
            </w:r>
          </w:p>
        </w:tc>
        <w:tc>
          <w:tcPr>
            <w:tcW w:w="1300" w:type="dxa"/>
            <w:tcBorders>
              <w:top w:val="single" w:color="auto" w:sz="4" w:space="0"/>
              <w:left w:val="single" w:color="auto" w:sz="4" w:space="0"/>
              <w:right w:val="single" w:color="auto" w:sz="4" w:space="0"/>
            </w:tcBorders>
            <w:vAlign w:val="center"/>
          </w:tcPr>
          <w:p w14:paraId="22FB47D7">
            <w:pPr>
              <w:widowControl/>
              <w:jc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w:t>
            </w:r>
          </w:p>
        </w:tc>
        <w:tc>
          <w:tcPr>
            <w:tcW w:w="2930" w:type="dxa"/>
            <w:tcBorders>
              <w:top w:val="single" w:color="auto" w:sz="4" w:space="0"/>
              <w:left w:val="single" w:color="auto" w:sz="4" w:space="0"/>
              <w:right w:val="single" w:color="auto" w:sz="4" w:space="0"/>
            </w:tcBorders>
            <w:vAlign w:val="center"/>
          </w:tcPr>
          <w:p w14:paraId="3C7FE1E4">
            <w:pPr>
              <w:rPr>
                <w:rFonts w:hint="eastAsia" w:ascii="方正仿宋_GBK" w:hAnsi="方正仿宋_GBK" w:eastAsia="方正仿宋_GBK" w:cs="方正仿宋_GBK"/>
                <w:b/>
                <w:color w:val="auto"/>
                <w:sz w:val="24"/>
                <w:szCs w:val="24"/>
                <w:highlight w:val="none"/>
                <w:lang w:eastAsia="zh-CN"/>
              </w:rPr>
            </w:pPr>
          </w:p>
        </w:tc>
      </w:tr>
    </w:tbl>
    <w:p w14:paraId="7BDEC96A">
      <w:pPr>
        <w:pStyle w:val="3"/>
        <w:numPr>
          <w:ilvl w:val="0"/>
          <w:numId w:val="2"/>
        </w:numPr>
        <w:ind w:left="0" w:leftChars="0" w:firstLine="0" w:firstLineChars="0"/>
        <w:rPr>
          <w:rFonts w:hint="eastAsia"/>
          <w:color w:val="auto"/>
          <w:highlight w:val="none"/>
        </w:rPr>
      </w:pPr>
      <w:bookmarkStart w:id="59" w:name="_Toc31234"/>
      <w:r>
        <w:rPr>
          <w:rFonts w:hint="eastAsia"/>
          <w:color w:val="auto"/>
          <w:highlight w:val="none"/>
        </w:rPr>
        <w:t>招标项目服务需求</w:t>
      </w:r>
      <w:bookmarkEnd w:id="59"/>
    </w:p>
    <w:p w14:paraId="3326239A">
      <w:pPr>
        <w:snapToGrid w:val="0"/>
        <w:spacing w:line="400" w:lineRule="exact"/>
        <w:ind w:firstLine="360" w:firstLineChars="150"/>
        <w:rPr>
          <w:rFonts w:hint="eastAsia"/>
        </w:rPr>
      </w:pPr>
      <w:r>
        <w:rPr>
          <w:rFonts w:hint="eastAsia" w:ascii="方正仿宋_GBK" w:hAnsi="方正仿宋_GBK" w:eastAsia="方正仿宋_GBK" w:cs="方正仿宋_GBK"/>
          <w:color w:val="auto"/>
          <w:sz w:val="24"/>
          <w:szCs w:val="24"/>
          <w:highlight w:val="none"/>
          <w:lang w:val="en-US" w:eastAsia="zh-CN"/>
        </w:rPr>
        <w:t>数字化项目管理平台是对项目实施的总体把控，强化过程管理，整合项目前期和施工过程中的数据，形成多方协同共享，实现可视化的项目集成协同管理。主要内容包含：项目一体化架构基础、低代码无代码技术能力、项目一体化建设、一张图决策、项目管理、项目立项、合同管理、投资管理、工程造价、设计管理、项目过程管理、移动端、系统对接等（详见附件）。</w:t>
      </w:r>
    </w:p>
    <w:p w14:paraId="0679D6ED">
      <w:pPr>
        <w:pStyle w:val="3"/>
        <w:rPr>
          <w:color w:val="auto"/>
          <w:highlight w:val="none"/>
        </w:rPr>
      </w:pPr>
      <w:bookmarkStart w:id="60" w:name="_Toc344475116"/>
      <w:bookmarkStart w:id="61" w:name="_Toc106030881"/>
      <w:bookmarkStart w:id="62" w:name="_Toc313536013"/>
      <w:bookmarkStart w:id="63" w:name="_Toc76462326"/>
      <w:bookmarkStart w:id="64" w:name="_Toc23689"/>
      <w:r>
        <w:rPr>
          <w:rFonts w:hint="eastAsia"/>
          <w:color w:val="auto"/>
          <w:highlight w:val="none"/>
        </w:rPr>
        <w:t>三、</w:t>
      </w:r>
      <w:bookmarkEnd w:id="60"/>
      <w:bookmarkEnd w:id="61"/>
      <w:bookmarkEnd w:id="62"/>
      <w:bookmarkEnd w:id="63"/>
      <w:r>
        <w:rPr>
          <w:rFonts w:hint="eastAsia"/>
          <w:color w:val="auto"/>
          <w:highlight w:val="none"/>
        </w:rPr>
        <w:t>其他要求</w:t>
      </w:r>
      <w:bookmarkEnd w:id="64"/>
    </w:p>
    <w:p w14:paraId="31C4C33B">
      <w:pPr>
        <w:ind w:firstLine="482" w:firstLineChars="200"/>
        <w:jc w:val="lef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（一）</w:t>
      </w:r>
      <w:r>
        <w:rPr>
          <w:rFonts w:hint="eastAsia" w:ascii="方正仿宋_GBK" w:hAnsi="方正仿宋_GBK" w:eastAsia="方正仿宋_GBK" w:cs="方正仿宋_GBK"/>
          <w:b/>
          <w:bCs/>
          <w:color w:val="auto"/>
          <w:kern w:val="0"/>
          <w:sz w:val="24"/>
          <w:szCs w:val="24"/>
          <w:highlight w:val="none"/>
        </w:rPr>
        <w:t>数字化项目管理平台</w:t>
      </w:r>
      <w:r>
        <w:rPr>
          <w:rFonts w:hint="eastAsia" w:ascii="方正仿宋_GBK" w:hAnsi="方正仿宋_GBK" w:eastAsia="方正仿宋_GBK" w:cs="方正仿宋_GBK"/>
          <w:b/>
          <w:bCs/>
          <w:color w:val="auto"/>
          <w:kern w:val="0"/>
          <w:sz w:val="24"/>
          <w:szCs w:val="24"/>
          <w:highlight w:val="none"/>
          <w:lang w:val="en-US" w:eastAsia="zh-CN"/>
        </w:rPr>
        <w:t>功能清单</w:t>
      </w:r>
    </w:p>
    <w:p w14:paraId="0746583A">
      <w:pPr>
        <w:jc w:val="left"/>
        <w:rPr>
          <w:rFonts w:ascii="方正仿宋_GBK" w:hAnsi="方正仿宋_GBK" w:eastAsia="方正仿宋_GBK" w:cs="方正仿宋_GBK"/>
          <w:color w:val="auto"/>
          <w:sz w:val="24"/>
          <w:szCs w:val="24"/>
          <w:highlight w:val="none"/>
        </w:rPr>
      </w:pPr>
    </w:p>
    <w:tbl>
      <w:tblPr>
        <w:tblStyle w:val="21"/>
        <w:tblW w:w="9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165"/>
        <w:gridCol w:w="1563"/>
        <w:gridCol w:w="1675"/>
        <w:gridCol w:w="4437"/>
      </w:tblGrid>
      <w:tr w14:paraId="4FE7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48E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EE6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模块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FAC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子模块</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639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所属层级</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3A1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功能描述</w:t>
            </w:r>
          </w:p>
        </w:tc>
      </w:tr>
      <w:tr w14:paraId="7844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87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1165" w:type="dxa"/>
            <w:vMerge w:val="restart"/>
            <w:tcBorders>
              <w:top w:val="single" w:color="000000" w:sz="4" w:space="0"/>
              <w:left w:val="single" w:color="000000" w:sz="4" w:space="0"/>
              <w:bottom w:val="single" w:color="000000" w:sz="4" w:space="0"/>
              <w:right w:val="nil"/>
            </w:tcBorders>
            <w:shd w:val="clear" w:color="auto" w:fill="auto"/>
            <w:noWrap/>
            <w:vAlign w:val="center"/>
          </w:tcPr>
          <w:p w14:paraId="2248A9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平台基础架构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EA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项企一体化架构</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AA6D">
            <w:pPr>
              <w:jc w:val="center"/>
              <w:rPr>
                <w:rFonts w:hint="eastAsia" w:ascii="方正仿宋_GB2312" w:hAnsi="方正仿宋_GB2312" w:eastAsia="方正仿宋_GB2312" w:cs="方正仿宋_GB2312"/>
                <w:i w:val="0"/>
                <w:iCs w:val="0"/>
                <w:color w:val="000000"/>
                <w:sz w:val="21"/>
                <w:szCs w:val="21"/>
                <w:u w:val="none"/>
              </w:rPr>
            </w:pP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5599">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1.包含公司级、项目级、标段级三级平台架构。由公司进行统一管理，包含创建项目、标段、管理和审核用户等；</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2.公司进行管理项目、标段及各参与方的组织架构，包含部门、岗位的创建和管理；</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3.公司可以贯穿管理、查询分部组织架构等。</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4.公司端管理整体公司的标准数据，如审批流程标准、工作任务流标准、表单样板标准等；</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5.公司可以发起对项目标段的资料归集等工作。</w:t>
            </w:r>
          </w:p>
        </w:tc>
      </w:tr>
      <w:tr w14:paraId="5A32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D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p>
        </w:tc>
        <w:tc>
          <w:tcPr>
            <w:tcW w:w="1165"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FAFB785">
            <w:pPr>
              <w:jc w:val="left"/>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9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低代码/无代码技术架构</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1DF">
            <w:pPr>
              <w:jc w:val="center"/>
              <w:rPr>
                <w:rFonts w:hint="eastAsia" w:ascii="方正仿宋_GB2312" w:hAnsi="方正仿宋_GB2312" w:eastAsia="方正仿宋_GB2312" w:cs="方正仿宋_GB2312"/>
                <w:i w:val="0"/>
                <w:iCs w:val="0"/>
                <w:color w:val="000000"/>
                <w:sz w:val="21"/>
                <w:szCs w:val="21"/>
                <w:u w:val="none"/>
              </w:rPr>
            </w:pP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F121">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基于建设项目过程调整频繁、研发响应时效要求高等特点，平台基础能力需要采用低代码/无代码技术架构，包含但不限于以下内容：表单引擎、流程引擎、EXCLE表格引擎、可视化拓扑图、应用体系、物联网中台能力、数字资料、PC菜单/UI界面配置、移动端菜单配置、BIMGIS引擎配置等能力。</w:t>
            </w:r>
          </w:p>
        </w:tc>
      </w:tr>
      <w:tr w14:paraId="49B1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97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56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项企一体化建设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5C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定制化登录页</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7AD6">
            <w:pPr>
              <w:jc w:val="center"/>
              <w:rPr>
                <w:rFonts w:hint="eastAsia" w:ascii="方正仿宋_GB2312" w:hAnsi="方正仿宋_GB2312" w:eastAsia="方正仿宋_GB2312" w:cs="方正仿宋_GB2312"/>
                <w:i w:val="0"/>
                <w:iCs w:val="0"/>
                <w:color w:val="000000"/>
                <w:sz w:val="21"/>
                <w:szCs w:val="21"/>
                <w:u w:val="none"/>
              </w:rPr>
            </w:pP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595C">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1.系统可根据项目特色设计和快速定制登录界面，提升用户体验和品牌形象。</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2.登录页支持多种登录方式，包括账户密码登录和手机号验证码登录。通过登录界面的定制，项目团队可以添加项目Logo、背景图片、颜色主题等元素，使登录界面更加符合项目风格和企业文化。</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3.登录页设计完成确认后，支持登录界面快速定制确保系统的快速上线和使用。</w:t>
            </w:r>
          </w:p>
        </w:tc>
      </w:tr>
      <w:tr w14:paraId="599B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66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B97B">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87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工作台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198B">
            <w:pPr>
              <w:jc w:val="center"/>
              <w:rPr>
                <w:rFonts w:hint="eastAsia" w:ascii="方正仿宋_GB2312" w:hAnsi="方正仿宋_GB2312" w:eastAsia="方正仿宋_GB2312" w:cs="方正仿宋_GB2312"/>
                <w:i w:val="0"/>
                <w:iCs w:val="0"/>
                <w:color w:val="000000"/>
                <w:sz w:val="21"/>
                <w:szCs w:val="21"/>
                <w:u w:val="none"/>
              </w:rPr>
            </w:pP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A788">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1.第二屏支持根据需求进行可视化配置，例如展示新闻动态、通知公告信息、待办事项、应用快速入口、重要统计数据分析等内容。</w:t>
            </w:r>
          </w:p>
        </w:tc>
      </w:tr>
      <w:tr w14:paraId="1A26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AA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59C7">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5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组织架构</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6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460">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1.支持企业级的组织架构的创建（至少包含公司级、项目级、标段级）；</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2.支持项目创建五方参与单位（包含建设方、勘察方、设计方、监理方、施工方）；</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3.支持对参与单位的部门、岗位等进行赋予，支持权限等的配置。</w:t>
            </w:r>
          </w:p>
        </w:tc>
      </w:tr>
      <w:tr w14:paraId="3D9E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C7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B91D">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62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用户管理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B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B09F">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1.支持对平台用户进行管理，包含用户的账户、密码等的修改编辑。</w:t>
            </w:r>
          </w:p>
        </w:tc>
      </w:tr>
      <w:tr w14:paraId="29A3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0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F7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一张图决策</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2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企业级看板</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50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E08C">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对于企业层级多项目管理，可汇总平台全部项目应用数据，包含项目类型、项目重要程度、采购情况、投资情况、建设状态、生产进度情况等，实现对公司下所有项目的全方位实时动态管理、风险管控、数据留痕和智慧决策。保障数据真实、及时、全面，挖掘数据价值赋能经营决策。</w:t>
            </w:r>
          </w:p>
        </w:tc>
      </w:tr>
      <w:tr w14:paraId="13CD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A1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268B">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F1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项目级看板</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A1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DD03">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对于单项目管理，可通过项目级一张图集中汇总显示项目上的管控数据，包含实景进度、产值数据、付款进度、验收情况等，核心经营指标全面在线，实现项目过程数据的一体化、可视化应用，为项目快速决策提供数据支撑。</w:t>
            </w:r>
          </w:p>
        </w:tc>
      </w:tr>
      <w:tr w14:paraId="26C3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73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A6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2C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项目总览/项目地图</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D3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80D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在项目总览中可对关键信息进行数据统计分析，包含项目总数、项目状态分析、项目等级占比、行业类型分析、预警信息、总投资情况、项目类型等，为领导层提供直观、准确的项目总览看板。同时，可通过按钮切换至项目地图模式，快速查看所有项目分布位置以及项目建设状态，并且支持按关键信息分类查询项目，帮助管理人员更方便快捷地管理项目。</w:t>
            </w:r>
          </w:p>
        </w:tc>
      </w:tr>
      <w:tr w14:paraId="2ED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E4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2C4F">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D5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公司信息</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1C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EC1">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支持将公司基础信息录入平台，包含企业名称、简称、企业性质、企业编码、人员规模、参保人数、企业概述、企业文化、经营范围等内容，便于用户快速查询和使用。</w:t>
            </w:r>
          </w:p>
        </w:tc>
      </w:tr>
      <w:tr w14:paraId="1DBB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9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11</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E2A5">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1F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项目台账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DD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FC13">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台账支持台账列表和画廊两种视图展示，可将每个项目的基础信息进行展示和编辑，包含项目名称、行业类型、项目阶段、重要程度、项目等级、激活状态等。支持为每个项目分配阶段标签，如：前期、施工、完成、结算等。依托平台的EXCEL表格引擎，可实现项目台账的批量导入和导出功能，为用户带来业务实际操作的便利。</w:t>
            </w:r>
          </w:p>
        </w:tc>
      </w:tr>
      <w:tr w14:paraId="1325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58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12</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2D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06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项目信息</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3C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8D16">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将项目基础信息录入平台，包含项目名称、项目概况、项目类型、项目等级、重要程度、项目阶段、行业类型、管理员、项目图片、建设地址等。并且可关联采购管理相关数据，集中呈现合同号、合同金额、总投资金额、累计投资金额、结算金额、实际开工、实际完工日期等关键数据，并将项目相关协同单位信息一同登记录入。结合项目实际情况，平台还支持在项目下新增子项目，便于管理人员对公司所属项目进行全面、细致的管理。</w:t>
            </w:r>
          </w:p>
        </w:tc>
      </w:tr>
      <w:tr w14:paraId="461F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DF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13</w:t>
            </w:r>
          </w:p>
        </w:tc>
        <w:tc>
          <w:tcPr>
            <w:tcW w:w="1165" w:type="dxa"/>
            <w:vMerge w:val="restart"/>
            <w:tcBorders>
              <w:top w:val="single" w:color="000000" w:sz="4" w:space="0"/>
              <w:left w:val="single" w:color="000000" w:sz="4" w:space="0"/>
              <w:bottom w:val="nil"/>
              <w:right w:val="single" w:color="000000" w:sz="4" w:space="0"/>
            </w:tcBorders>
            <w:shd w:val="clear" w:color="auto" w:fill="auto"/>
            <w:noWrap/>
            <w:vAlign w:val="center"/>
          </w:tcPr>
          <w:p w14:paraId="7ADD13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项目立项</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F1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立项管理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79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E9A1">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由相关人员在平台发起项目立项，记录项目立项过程中的重要决策和信息，包含项目名称、项目类型、建设单位、项目业主、总投资金额、立项资料等。提供文件上传入口，可将立项资料以附件的方式传入平台，并且在立项台账中查看资料上传状态和数量。项目基本信息可自动同步到其他各模块，作为基础数据使用。</w:t>
            </w:r>
          </w:p>
        </w:tc>
      </w:tr>
      <w:tr w14:paraId="53EC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C3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14</w:t>
            </w:r>
          </w:p>
        </w:tc>
        <w:tc>
          <w:tcPr>
            <w:tcW w:w="11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083F9F">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01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项目组成员</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01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A30">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立项后，可在平台进行项目组成员组建，关联选择立项的项目，同时记录项目组名称、设计负责人、造价负责人、手续负责人、结算负责人等，作为后续相关业务审批的基础。可将任命文件以附件的方式上传平台，支持文件在线预览，并且在项目组台账中查看资料上传状态和数量。</w:t>
            </w:r>
          </w:p>
        </w:tc>
      </w:tr>
      <w:tr w14:paraId="4D29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11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15</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CE0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合同管理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7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采购招标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C5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09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快捷跳转至已有招采系统的采购招标相关功能，以适配原有系统的业务要求。并且根据公司需求，将工程项目有关的采购招标数据以台账等形式进行数据汇总，并关联到对应项目上。采购意向、采购计划、招标文件、电子竞采、采购公告、采购结果、结果公告等资料，可在台账中直观查看，便于管理人员快速检查资料的完整性。当所有资料完整归档后，可将采购招标状态设定为已完成，有效地管理采购招标过程中的各类资料，确保采购招标活动的顺利进行。</w:t>
            </w:r>
          </w:p>
        </w:tc>
      </w:tr>
      <w:tr w14:paraId="5DC4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20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16</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9238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87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合同台账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A3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CDB">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1"/>
                <w:szCs w:val="21"/>
                <w:u w:val="none"/>
              </w:rPr>
            </w:pPr>
            <w:r>
              <w:rPr>
                <w:rStyle w:val="35"/>
                <w:rFonts w:hint="eastAsia" w:ascii="方正仿宋_GB2312" w:hAnsi="方正仿宋_GB2312" w:eastAsia="方正仿宋_GB2312" w:cs="方正仿宋_GB2312"/>
                <w:sz w:val="21"/>
                <w:szCs w:val="21"/>
                <w:lang w:val="en-US" w:eastAsia="zh-CN" w:bidi="ar"/>
              </w:rPr>
              <w:t>合同跟踪</w:t>
            </w:r>
            <w:r>
              <w:rPr>
                <w:rStyle w:val="36"/>
                <w:rFonts w:hint="eastAsia" w:ascii="方正仿宋_GB2312" w:hAnsi="方正仿宋_GB2312" w:eastAsia="方正仿宋_GB2312" w:cs="方正仿宋_GB2312"/>
                <w:sz w:val="21"/>
                <w:szCs w:val="21"/>
                <w:lang w:val="en-US" w:eastAsia="zh-CN" w:bidi="ar"/>
              </w:rPr>
              <w:t>：支持对接集团OA系统中的合同数据，对合同的执行状态进行跟踪和管理。管理人员能够对合同实施进度进行填报并以进度条形式展示。并且关联支付台账数据，依据支付状况进行数据统计分析，包含总合同金额、累计支付金额、当期支付金额、剩余应支付金额等。</w:t>
            </w:r>
            <w:r>
              <w:rPr>
                <w:rStyle w:val="36"/>
                <w:rFonts w:hint="eastAsia" w:ascii="方正仿宋_GB2312" w:hAnsi="方正仿宋_GB2312" w:eastAsia="方正仿宋_GB2312" w:cs="方正仿宋_GB2312"/>
                <w:sz w:val="21"/>
                <w:szCs w:val="21"/>
                <w:lang w:val="en-US" w:eastAsia="zh-CN" w:bidi="ar"/>
              </w:rPr>
              <w:br w:type="textWrapping"/>
            </w:r>
            <w:r>
              <w:rPr>
                <w:rStyle w:val="35"/>
                <w:rFonts w:hint="eastAsia" w:ascii="方正仿宋_GB2312" w:hAnsi="方正仿宋_GB2312" w:eastAsia="方正仿宋_GB2312" w:cs="方正仿宋_GB2312"/>
                <w:sz w:val="21"/>
                <w:szCs w:val="21"/>
                <w:lang w:val="en-US" w:eastAsia="zh-CN" w:bidi="ar"/>
              </w:rPr>
              <w:t>合同台账</w:t>
            </w:r>
            <w:r>
              <w:rPr>
                <w:rStyle w:val="36"/>
                <w:rFonts w:hint="eastAsia" w:ascii="方正仿宋_GB2312" w:hAnsi="方正仿宋_GB2312" w:eastAsia="方正仿宋_GB2312" w:cs="方正仿宋_GB2312"/>
                <w:sz w:val="21"/>
                <w:szCs w:val="21"/>
                <w:lang w:val="en-US" w:eastAsia="zh-CN" w:bidi="ar"/>
              </w:rPr>
              <w:t>：针对不同类型的合同实施全方位管理，并记录合同的内容（产品或服务）、金额、数量等关键信息。使得用户可以整体掌握项目合同的完成情况，形成详尽的合同台账，便于公司进行后续的经营数据分析。</w:t>
            </w:r>
          </w:p>
        </w:tc>
      </w:tr>
      <w:tr w14:paraId="679B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99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4863">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18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支付申请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97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0253">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Style w:val="37"/>
                <w:rFonts w:hint="eastAsia" w:ascii="方正仿宋_GB2312" w:hAnsi="方正仿宋_GB2312" w:eastAsia="方正仿宋_GB2312" w:cs="方正仿宋_GB2312"/>
                <w:sz w:val="21"/>
                <w:szCs w:val="21"/>
                <w:lang w:val="en-US" w:eastAsia="zh-CN" w:bidi="ar"/>
              </w:rPr>
              <w:t>支持快捷跳转或无感审批的方式：</w:t>
            </w:r>
            <w:r>
              <w:rPr>
                <w:rStyle w:val="38"/>
                <w:rFonts w:hint="eastAsia" w:ascii="方正仿宋_GB2312" w:hAnsi="方正仿宋_GB2312" w:eastAsia="方正仿宋_GB2312" w:cs="方正仿宋_GB2312"/>
                <w:sz w:val="21"/>
                <w:szCs w:val="21"/>
                <w:lang w:val="en-US" w:eastAsia="zh-CN" w:bidi="ar"/>
              </w:rPr>
              <w:br w:type="textWrapping"/>
            </w:r>
            <w:r>
              <w:rPr>
                <w:rStyle w:val="38"/>
                <w:rFonts w:hint="eastAsia" w:ascii="方正仿宋_GB2312" w:hAnsi="方正仿宋_GB2312" w:eastAsia="方正仿宋_GB2312" w:cs="方正仿宋_GB2312"/>
                <w:sz w:val="21"/>
                <w:szCs w:val="21"/>
                <w:lang w:val="en-US" w:eastAsia="zh-CN" w:bidi="ar"/>
              </w:rPr>
              <w:t>快捷跳转</w:t>
            </w:r>
            <w:r>
              <w:rPr>
                <w:rStyle w:val="37"/>
                <w:rFonts w:hint="eastAsia" w:ascii="方正仿宋_GB2312" w:hAnsi="方正仿宋_GB2312" w:eastAsia="方正仿宋_GB2312" w:cs="方正仿宋_GB2312"/>
                <w:sz w:val="21"/>
                <w:szCs w:val="21"/>
                <w:lang w:val="en-US" w:eastAsia="zh-CN" w:bidi="ar"/>
              </w:rPr>
              <w:t>：在财务系统支持对接的情况下，可支持快捷跳转至已有财务系统的付款审批功能，以适配原有系统的业务要求。</w:t>
            </w:r>
            <w:r>
              <w:rPr>
                <w:rStyle w:val="38"/>
                <w:rFonts w:hint="eastAsia" w:ascii="方正仿宋_GB2312" w:hAnsi="方正仿宋_GB2312" w:eastAsia="方正仿宋_GB2312" w:cs="方正仿宋_GB2312"/>
                <w:sz w:val="21"/>
                <w:szCs w:val="21"/>
                <w:lang w:val="en-US" w:eastAsia="zh-CN" w:bidi="ar"/>
              </w:rPr>
              <w:br w:type="textWrapping"/>
            </w:r>
            <w:r>
              <w:rPr>
                <w:rStyle w:val="38"/>
                <w:rFonts w:hint="eastAsia" w:ascii="方正仿宋_GB2312" w:hAnsi="方正仿宋_GB2312" w:eastAsia="方正仿宋_GB2312" w:cs="方正仿宋_GB2312"/>
                <w:sz w:val="21"/>
                <w:szCs w:val="21"/>
                <w:lang w:val="en-US" w:eastAsia="zh-CN" w:bidi="ar"/>
              </w:rPr>
              <w:t>无感审批：</w:t>
            </w:r>
            <w:r>
              <w:rPr>
                <w:rStyle w:val="37"/>
                <w:rFonts w:hint="eastAsia" w:ascii="方正仿宋_GB2312" w:hAnsi="方正仿宋_GB2312" w:eastAsia="方正仿宋_GB2312" w:cs="方正仿宋_GB2312"/>
                <w:sz w:val="21"/>
                <w:szCs w:val="21"/>
                <w:lang w:val="en-US" w:eastAsia="zh-CN" w:bidi="ar"/>
              </w:rPr>
              <w:t>在条件允许的情况下，可将工程款申请的审批结果数据反写回财务系统，同时挂接资料发起付款申请，以实现流程的连贯性，避免二次操作。便于审批人员及时查看，高效、快捷、合规地进行支付审批。</w:t>
            </w:r>
            <w:r>
              <w:rPr>
                <w:rStyle w:val="37"/>
                <w:rFonts w:hint="eastAsia" w:ascii="方正仿宋_GB2312" w:hAnsi="方正仿宋_GB2312" w:eastAsia="方正仿宋_GB2312" w:cs="方正仿宋_GB2312"/>
                <w:sz w:val="21"/>
                <w:szCs w:val="21"/>
                <w:lang w:val="en-US" w:eastAsia="zh-CN" w:bidi="ar"/>
              </w:rPr>
              <w:br w:type="textWrapping"/>
            </w:r>
            <w:r>
              <w:rPr>
                <w:rStyle w:val="38"/>
                <w:rFonts w:hint="eastAsia" w:ascii="方正仿宋_GB2312" w:hAnsi="方正仿宋_GB2312" w:eastAsia="方正仿宋_GB2312" w:cs="方正仿宋_GB2312"/>
                <w:sz w:val="21"/>
                <w:szCs w:val="21"/>
                <w:lang w:val="en-US" w:eastAsia="zh-CN" w:bidi="ar"/>
              </w:rPr>
              <w:t>支付预警</w:t>
            </w:r>
            <w:r>
              <w:rPr>
                <w:rStyle w:val="37"/>
                <w:rFonts w:hint="eastAsia" w:ascii="方正仿宋_GB2312" w:hAnsi="方正仿宋_GB2312" w:eastAsia="方正仿宋_GB2312" w:cs="方正仿宋_GB2312"/>
                <w:sz w:val="21"/>
                <w:szCs w:val="21"/>
                <w:lang w:val="en-US" w:eastAsia="zh-CN" w:bidi="ar"/>
              </w:rPr>
              <w:t>：提供风险规则自定义功能，管理人员可设置支付进度提醒，例如施工过程中付款金额已经达到合同金额的80%，平台可提供实时预警与提醒，便于管理人员判断是否继续支付，对合同付款进度实时监控，避免发生超付的情况。</w:t>
            </w:r>
          </w:p>
        </w:tc>
      </w:tr>
      <w:tr w14:paraId="09F3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DD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4A7A">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34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支付台账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55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4BF5">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1"/>
                <w:szCs w:val="21"/>
                <w:u w:val="none"/>
              </w:rPr>
            </w:pPr>
            <w:r>
              <w:rPr>
                <w:rStyle w:val="38"/>
                <w:rFonts w:hint="eastAsia" w:ascii="方正仿宋_GB2312" w:hAnsi="方正仿宋_GB2312" w:eastAsia="方正仿宋_GB2312" w:cs="方正仿宋_GB2312"/>
                <w:sz w:val="21"/>
                <w:szCs w:val="21"/>
                <w:lang w:val="en-US" w:eastAsia="zh-CN" w:bidi="ar"/>
              </w:rPr>
              <w:t>支付台账</w:t>
            </w:r>
            <w:r>
              <w:rPr>
                <w:rStyle w:val="37"/>
                <w:rFonts w:hint="eastAsia" w:ascii="方正仿宋_GB2312" w:hAnsi="方正仿宋_GB2312" w:eastAsia="方正仿宋_GB2312" w:cs="方正仿宋_GB2312"/>
                <w:sz w:val="21"/>
                <w:szCs w:val="21"/>
                <w:lang w:val="en-US" w:eastAsia="zh-CN" w:bidi="ar"/>
              </w:rPr>
              <w:t>：在财务系统支持对接的情况下，支持按公司需求进行财务数据对接，根据支付款项自动汇总出支付台帐，及时获取支付数据，可自动计算申请比例、累计申请金额、剩余应付金额等数据。并记录拨付款项的人员、时间等信息，提供各类查询及汇总报表功能。</w:t>
            </w:r>
          </w:p>
        </w:tc>
      </w:tr>
      <w:tr w14:paraId="2477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25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3F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投资管理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2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投资计划</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EE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AA9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在平台中建立投资计划，支持按照项目、计划年度查看其年度计划投资额。支持根据项目和计划年月编辑制定投资计划，投资计划作为费用管控的基础数据，可为后续每月、每季度的投资管控作数据支撑。同时可将公司的总投资金额、本年度计划投资总额、截止本年度计划投资累计额等投资数据统计分析，为领导层提供投资管理的全局视角，进而从宏观的角度进行投资决策。</w:t>
            </w:r>
          </w:p>
        </w:tc>
      </w:tr>
      <w:tr w14:paraId="18BB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DC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20</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8C40">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3B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投资报表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2D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0FC4">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支持在系统查询项目总投资额、计划投资额、实际已投资额、投资偏差和投资完成率。</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项目的实际投资可根据投资计划月份周期统计展示本期计划投资、本期合同支付合计、本期其他投资、本期实际已投资、投资偏差、投资完成率信息；并且可根据投资计划月份记录当期额外的其他投资费用。</w:t>
            </w:r>
          </w:p>
        </w:tc>
      </w:tr>
      <w:tr w14:paraId="1F79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C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21</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929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D8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投资分析</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35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6D42">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平台支持多维度统计分析功能，包含项目计划投资情况、实际投资情况、投资累计等。可支持按累计、年度等时间维度，对实际投资金额与计划投资金额进行对比分析，直观显示对应的投资偏差。</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通过时间轴动态展示各时间段的计划投资金额。帮助项目管理者全面了解投资情况，及时发现和解决投资偏差问题，优化资源配置，确保项目顺利推进。</w:t>
            </w:r>
          </w:p>
        </w:tc>
      </w:tr>
      <w:tr w14:paraId="05BE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BF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22</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27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工程造价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7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设计概算</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38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3381">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支持管理人员将设计概算相关数据录入平台，包含概算金额、概算资料附件等，并关联对应项目。支持文件在线预览，并查看资料上传状态和数量。</w:t>
            </w:r>
          </w:p>
        </w:tc>
      </w:tr>
      <w:tr w14:paraId="76D6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48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23</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7FB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28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施工图预算及审批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AD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636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支持管理人员将施工图预算相关数据录入平台，包含预算金额、预算机构、预算书、审定金额、审定通知、审定预算文件等，并关联对应项目。支持文件在线预览，并查看资料上传状态和数量。</w:t>
            </w:r>
          </w:p>
        </w:tc>
      </w:tr>
      <w:tr w14:paraId="5D9B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8E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24</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590">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F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竣工结算</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25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C31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支持管理人员将竣工结算相关数据录入平台，包含送审金额、结算金额、审减率、审核报告等并关联对应项目。支持文件在线预览，并查看资料上传状态和数量。</w:t>
            </w:r>
          </w:p>
        </w:tc>
      </w:tr>
      <w:tr w14:paraId="45C8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7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25</w:t>
            </w:r>
          </w:p>
        </w:tc>
        <w:tc>
          <w:tcPr>
            <w:tcW w:w="1165" w:type="dxa"/>
            <w:vMerge w:val="restart"/>
            <w:tcBorders>
              <w:top w:val="single" w:color="000000" w:sz="4" w:space="0"/>
              <w:left w:val="single" w:color="000000" w:sz="4" w:space="0"/>
              <w:bottom w:val="nil"/>
              <w:right w:val="single" w:color="000000" w:sz="4" w:space="0"/>
            </w:tcBorders>
            <w:shd w:val="clear" w:color="auto" w:fill="auto"/>
            <w:noWrap/>
            <w:vAlign w:val="center"/>
          </w:tcPr>
          <w:p w14:paraId="2C280F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设计管理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AD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报规报建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D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954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管理人员以拓扑任务图的方式进行报规报建过程的管理，实时更新报规报建状态。将项目报规报建相关阶段节点的关键资料进行上传和归档，便于管理和查找。以图块拖拉拽形式展示项目报规报建进度，实时反馈报规报建实际状况。并支持任务状态统计分析和已完成和未完成内容，便于管理人员清晰了解项目报规报建完成进度。</w:t>
            </w:r>
          </w:p>
        </w:tc>
      </w:tr>
      <w:tr w14:paraId="3823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DEFA">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26</w:t>
            </w:r>
          </w:p>
        </w:tc>
        <w:tc>
          <w:tcPr>
            <w:tcW w:w="11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9D033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E9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地质勘察</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6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A8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管理人员以拓扑任务图的方式进行地质勘察过程的管理，实时更新地质勘察状态。将项目地质勘察相关阶段节点的关键资料进行上传和归档，便于管理和查找。以图块拖拉拽形式展示项目地质勘察进度，实时反馈地质勘察实际状况。并支持任务状态统计分析和已完成和未完成内容，便于管理人员清晰了解项目地质勘察完成进度。</w:t>
            </w:r>
          </w:p>
        </w:tc>
      </w:tr>
      <w:tr w14:paraId="130C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57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w:t>
            </w:r>
          </w:p>
        </w:tc>
        <w:tc>
          <w:tcPr>
            <w:tcW w:w="11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ACC9FB">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6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设计过程</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8D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88E">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可根据设计阶段：概念方案设计、方案设计、初步设计、专项设计、施工图设计、施工图审查、设计交底等阶段自定义不同的设计类别，根据项目实际设计情况上传不同的阶段和类别的设计内容，支持对涉及过程内容的审批；以及施工图设计的版本管理；</w:t>
            </w:r>
          </w:p>
        </w:tc>
      </w:tr>
      <w:tr w14:paraId="2833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DF5E">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28</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60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变更管理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A6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变更申请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09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63B4">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针对项目的设计变更、施工方案等变更的管理，可通过平台发起审批流程，登记变更等级、变更金额、工程量、累计变更及与与施工合同金额对比比例等信息。发起后可由公司专业技术人员对变更进行技术可行性、安全性、合规性审查审批；</w:t>
            </w:r>
          </w:p>
        </w:tc>
      </w:tr>
      <w:tr w14:paraId="3A0A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376">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29</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7382">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80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变更台账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06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D1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可根据项目查询所有项目变更数据，并对变更相关资料进行上传归档，并统计展示所有项目或单项目变更的金额；</w:t>
            </w:r>
          </w:p>
        </w:tc>
      </w:tr>
      <w:tr w14:paraId="3286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C0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30</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3F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项目过程管理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87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施工许可证</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9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AED0">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支持将项目施工许可证进行上传和归档，便于项目人员管理和查找。上传状态和数量可在台账中直观查看。当资料完整上传后，可将状态设定为已完成，为后续工作的资料查找使用提供便利。</w:t>
            </w:r>
          </w:p>
        </w:tc>
      </w:tr>
      <w:tr w14:paraId="5F92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A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31</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B7C0">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3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交底管理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DF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43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通过二维码展示交底内容，施工人员只需扫码即可查看详细的交底资料（包括线下交底），确保信息的及时性和准确性。项目在完成交底后，可以上传技术交底资料，包括现场交底图片等，确保所有交底记录有据可查。此外，项目在进行交底时需要关联相应的方案，并支持统计已进行交底的方案数量，帮助管理者全面了解交底进展情况。</w:t>
            </w:r>
          </w:p>
        </w:tc>
      </w:tr>
      <w:tr w14:paraId="74A8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E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32</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10C">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F8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施工方案与施组设计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7D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039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台支持施工总体方案、施组设计、单位工程方案、分项工程方案、分部工程方案和单元工程方案的上传和归档，形成施工方案台账。每项方案的上传状态和数量可在台账中直观查看，便于管理人员快速检查资料的完整性。点击可查看方案附件、评审照片等 ，为后续工作的资料查找使用提供便利。</w:t>
            </w:r>
          </w:p>
        </w:tc>
      </w:tr>
      <w:tr w14:paraId="76F2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C6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33</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36D2">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6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施工过程资料</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C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103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可将平台中施工过程资料全部进行电子归档，支持组卷的项目资料进行整体打包，满足项目资料归档要求。由施工单位上传施工过程资料，支持将勘察设计、监理等主体单位纳入组织架构，并进行相关业务资料上传，系统可设置权限隔离，使各单位只能浏览自行上传的资料。每项资料的上传状态和数量可在台账中直观查看，便于管理人员快速检查资料的完整性。点击可查看资料详情、附件等 ，为后续工作的资料查找使用提供便利。</w:t>
            </w:r>
          </w:p>
        </w:tc>
      </w:tr>
      <w:tr w14:paraId="1497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01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ED35">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5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进度周报</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A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606">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项目根据现场施工情况发起进度周报的报审，内容包括本周的实际完成情况，这些数据将作为实际产值完成的依据。项目需要在周报中详细反馈工程量清单的完成情况，确保信息的准确性和完整性。平台会自动进行周报数据的归档，确保所有报告有据可查。</w:t>
            </w:r>
          </w:p>
        </w:tc>
      </w:tr>
      <w:tr w14:paraId="145F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36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35</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7289">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A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实景进度管理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4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FB68">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项目对现场进行全景影像数据的采集，并将采集到的数据上传至平台，进行现场实际进度完成情况的汇总。用户可以通过平台查看各项目的全景影像，了解实际施工进展。此外，实景进度功能支持全景影像的对比应用，用户可以选择同一工点在不同时间段的完成情况进行查看，并支持视点的联动展示，即在不同时间段的影像之间进行平滑切换和对比，帮助管理者直观地发现进度变化和存在的问题。</w:t>
            </w:r>
          </w:p>
        </w:tc>
      </w:tr>
      <w:tr w14:paraId="7D51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4738">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36</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59D">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10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关键进度节点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5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007">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满足针对项目施工进度制定关键节点里程碑，实现计划时间和实际完成时间的登记，通过系统查询关键节点的进度状态和情况</w:t>
            </w:r>
          </w:p>
        </w:tc>
      </w:tr>
      <w:tr w14:paraId="3AD8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52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26A0">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6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督查督办</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0E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E1CB">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Style w:val="39"/>
                <w:rFonts w:hint="eastAsia" w:ascii="方正仿宋_GB2312" w:hAnsi="方正仿宋_GB2312" w:eastAsia="方正仿宋_GB2312" w:cs="方正仿宋_GB2312"/>
                <w:sz w:val="21"/>
                <w:szCs w:val="21"/>
                <w:lang w:val="en-US" w:eastAsia="zh-CN" w:bidi="ar"/>
              </w:rPr>
              <w:t>集团层级督查公司各项目进度、投资、生产、安全等内容</w:t>
            </w:r>
            <w:r>
              <w:rPr>
                <w:rStyle w:val="40"/>
                <w:rFonts w:hint="eastAsia" w:ascii="方正仿宋_GB2312" w:hAnsi="方正仿宋_GB2312" w:eastAsia="方正仿宋_GB2312" w:cs="方正仿宋_GB2312"/>
                <w:sz w:val="21"/>
                <w:szCs w:val="21"/>
                <w:lang w:val="en-US" w:eastAsia="zh-CN" w:bidi="ar"/>
              </w:rPr>
              <w:t>。</w:t>
            </w:r>
          </w:p>
        </w:tc>
      </w:tr>
      <w:tr w14:paraId="55C0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9B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38</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67E7">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D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安全巡检</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58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4F4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日常巡检：施工现场未出现相关安全问题，可用PC端或手机端记录巡检工作和现场的安全情况，形成日常巡检记录。</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隐患排查：施工现场出现安全隐患、安全风险等影响安全文明施工情况，相关责任人员未在周边。可使用PC端或手机端将问题记录，下发给相关责任人员进行整改；</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当施工现场出现影响安全文明施工的情况相关责任人员在旁边时，可当面要求整改并将该过程用手机端进行记录；</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施工现场出现安全隐患、安全风险等影响安全文明施工情况，相关责任人员未在周边。可使用PC端或手机端将问题记录，下发给相关责任人员进行整改；</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当施工现场出现影响安全文明施工的情况相关责任人员在旁边时，可当面要求整改并将该过程用手机端进行记录；</w:t>
            </w:r>
          </w:p>
        </w:tc>
      </w:tr>
      <w:tr w14:paraId="63FC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B2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39</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CC29">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ED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工程计量</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AD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120F">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1"/>
                <w:szCs w:val="21"/>
                <w:u w:val="none"/>
              </w:rPr>
            </w:pPr>
            <w:r>
              <w:rPr>
                <w:rStyle w:val="41"/>
                <w:rFonts w:hint="eastAsia" w:ascii="方正仿宋_GB2312" w:hAnsi="方正仿宋_GB2312" w:eastAsia="方正仿宋_GB2312" w:cs="方正仿宋_GB2312"/>
                <w:sz w:val="21"/>
                <w:szCs w:val="21"/>
                <w:lang w:val="en-US" w:eastAsia="zh-CN" w:bidi="ar"/>
              </w:rPr>
              <w:t>计量申请</w:t>
            </w:r>
            <w:r>
              <w:rPr>
                <w:rStyle w:val="39"/>
                <w:rFonts w:hint="eastAsia" w:ascii="方正仿宋_GB2312" w:hAnsi="方正仿宋_GB2312" w:eastAsia="方正仿宋_GB2312" w:cs="方正仿宋_GB2312"/>
                <w:sz w:val="21"/>
                <w:szCs w:val="21"/>
                <w:lang w:val="en-US" w:eastAsia="zh-CN" w:bidi="ar"/>
              </w:rPr>
              <w:t>：支持项目管理人员发起计量申请，录入已完成工程量，并且支持计量数据与合同</w:t>
            </w:r>
            <w:r>
              <w:rPr>
                <w:rStyle w:val="40"/>
                <w:rFonts w:hint="eastAsia" w:ascii="方正仿宋_GB2312" w:hAnsi="方正仿宋_GB2312" w:eastAsia="方正仿宋_GB2312" w:cs="方正仿宋_GB2312"/>
                <w:sz w:val="21"/>
                <w:szCs w:val="21"/>
                <w:lang w:val="en-US" w:eastAsia="zh-CN" w:bidi="ar"/>
              </w:rPr>
              <w:t>工程量</w:t>
            </w:r>
            <w:r>
              <w:rPr>
                <w:rStyle w:val="39"/>
                <w:rFonts w:hint="eastAsia" w:ascii="方正仿宋_GB2312" w:hAnsi="方正仿宋_GB2312" w:eastAsia="方正仿宋_GB2312" w:cs="方正仿宋_GB2312"/>
                <w:sz w:val="21"/>
                <w:szCs w:val="21"/>
                <w:lang w:val="en-US" w:eastAsia="zh-CN" w:bidi="ar"/>
              </w:rPr>
              <w:t>清单</w:t>
            </w:r>
            <w:r>
              <w:rPr>
                <w:rStyle w:val="40"/>
                <w:rFonts w:hint="eastAsia" w:ascii="方正仿宋_GB2312" w:hAnsi="方正仿宋_GB2312" w:eastAsia="方正仿宋_GB2312" w:cs="方正仿宋_GB2312"/>
                <w:sz w:val="21"/>
                <w:szCs w:val="21"/>
                <w:lang w:val="en-US" w:eastAsia="zh-CN" w:bidi="ar"/>
              </w:rPr>
              <w:t>挂接</w:t>
            </w:r>
            <w:r>
              <w:rPr>
                <w:rStyle w:val="39"/>
                <w:rFonts w:hint="eastAsia" w:ascii="方正仿宋_GB2312" w:hAnsi="方正仿宋_GB2312" w:eastAsia="方正仿宋_GB2312" w:cs="方正仿宋_GB2312"/>
                <w:sz w:val="21"/>
                <w:szCs w:val="21"/>
                <w:lang w:val="en-US" w:eastAsia="zh-CN" w:bidi="ar"/>
              </w:rPr>
              <w:t>，查看合同量与实际完工工程量的对比，对项目进度进行统计分析。</w:t>
            </w:r>
            <w:r>
              <w:rPr>
                <w:rStyle w:val="39"/>
                <w:rFonts w:hint="eastAsia" w:ascii="方正仿宋_GB2312" w:hAnsi="方正仿宋_GB2312" w:eastAsia="方正仿宋_GB2312" w:cs="方正仿宋_GB2312"/>
                <w:sz w:val="21"/>
                <w:szCs w:val="21"/>
                <w:lang w:val="en-US" w:eastAsia="zh-CN" w:bidi="ar"/>
              </w:rPr>
              <w:br w:type="textWrapping"/>
            </w:r>
            <w:r>
              <w:rPr>
                <w:rStyle w:val="41"/>
                <w:rFonts w:hint="eastAsia" w:ascii="方正仿宋_GB2312" w:hAnsi="方正仿宋_GB2312" w:eastAsia="方正仿宋_GB2312" w:cs="方正仿宋_GB2312"/>
                <w:sz w:val="21"/>
                <w:szCs w:val="21"/>
                <w:lang w:val="en-US" w:eastAsia="zh-CN" w:bidi="ar"/>
              </w:rPr>
              <w:t>计量审核</w:t>
            </w:r>
            <w:r>
              <w:rPr>
                <w:rStyle w:val="39"/>
                <w:rFonts w:hint="eastAsia" w:ascii="方正仿宋_GB2312" w:hAnsi="方正仿宋_GB2312" w:eastAsia="方正仿宋_GB2312" w:cs="方正仿宋_GB2312"/>
                <w:sz w:val="21"/>
                <w:szCs w:val="21"/>
                <w:lang w:val="en-US" w:eastAsia="zh-CN" w:bidi="ar"/>
              </w:rPr>
              <w:t>：支持对已完成工程量的在线审核，平台可提供计量申请单等标准报审表格，将业务数据直接转化为电子资料。</w:t>
            </w:r>
          </w:p>
        </w:tc>
      </w:tr>
      <w:tr w14:paraId="740B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2B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40</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72F1">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A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工程款申请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83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D00">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1"/>
                <w:szCs w:val="21"/>
                <w:u w:val="none"/>
              </w:rPr>
            </w:pPr>
            <w:r>
              <w:rPr>
                <w:rStyle w:val="35"/>
                <w:rFonts w:hint="eastAsia" w:ascii="方正仿宋_GB2312" w:hAnsi="方正仿宋_GB2312" w:eastAsia="方正仿宋_GB2312" w:cs="方正仿宋_GB2312"/>
                <w:sz w:val="21"/>
                <w:szCs w:val="21"/>
                <w:lang w:val="en-US" w:eastAsia="zh-CN" w:bidi="ar"/>
              </w:rPr>
              <w:t>工程款申请</w:t>
            </w:r>
            <w:r>
              <w:rPr>
                <w:rStyle w:val="36"/>
                <w:rFonts w:hint="eastAsia" w:ascii="方正仿宋_GB2312" w:hAnsi="方正仿宋_GB2312" w:eastAsia="方正仿宋_GB2312" w:cs="方正仿宋_GB2312"/>
                <w:sz w:val="21"/>
                <w:szCs w:val="21"/>
                <w:lang w:val="en-US" w:eastAsia="zh-CN" w:bidi="ar"/>
              </w:rPr>
              <w:t>：支持在线发起工程款申请，可关联合同台账、工程计量等业务功能，直接引用项目名称、合同金额、实际完成工程量等数据。由管理人员填写当期申请的工程款金额（可分解为进度款、二类费用等费用类别），可自动计算申请比例、累计申请金额、剩余应付金额等数据。</w:t>
            </w:r>
            <w:r>
              <w:rPr>
                <w:rStyle w:val="36"/>
                <w:rFonts w:hint="eastAsia" w:ascii="方正仿宋_GB2312" w:hAnsi="方正仿宋_GB2312" w:eastAsia="方正仿宋_GB2312" w:cs="方正仿宋_GB2312"/>
                <w:sz w:val="21"/>
                <w:szCs w:val="21"/>
                <w:lang w:val="en-US" w:eastAsia="zh-CN" w:bidi="ar"/>
              </w:rPr>
              <w:br w:type="textWrapping"/>
            </w:r>
            <w:r>
              <w:rPr>
                <w:rStyle w:val="35"/>
                <w:rFonts w:hint="eastAsia" w:ascii="方正仿宋_GB2312" w:hAnsi="方正仿宋_GB2312" w:eastAsia="方正仿宋_GB2312" w:cs="方正仿宋_GB2312"/>
                <w:sz w:val="21"/>
                <w:szCs w:val="21"/>
                <w:lang w:val="en-US" w:eastAsia="zh-CN" w:bidi="ar"/>
              </w:rPr>
              <w:t>工程款审批</w:t>
            </w:r>
            <w:r>
              <w:rPr>
                <w:rStyle w:val="36"/>
                <w:rFonts w:hint="eastAsia" w:ascii="方正仿宋_GB2312" w:hAnsi="方正仿宋_GB2312" w:eastAsia="方正仿宋_GB2312" w:cs="方正仿宋_GB2312"/>
                <w:sz w:val="21"/>
                <w:szCs w:val="21"/>
                <w:lang w:val="en-US" w:eastAsia="zh-CN" w:bidi="ar"/>
              </w:rPr>
              <w:t>：审批流程可自定义。依托平台的EXCEL表格引擎，以及内置的表格模板，可自动生成和下载采购工程款申请书，便于审批人员及时查看，高效、快捷、合规地进行工程款审批。</w:t>
            </w:r>
          </w:p>
        </w:tc>
      </w:tr>
      <w:tr w14:paraId="7469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A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41</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12A0">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6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保证金申请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A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7C9">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在线发起项目保证金申请，将履约保证金、低价风险保证金、履约保函金额、保函到期时间等基础信息录入平台，并关联对应项目合同。平台可根据已发起的保证金申请自动计算累计申请比例，并根据登记的到期时间提醒管理人员进行支付。可将相关凭证以附件的方式上传平台，支持文件在线预览，并查看资料上传状态和数量。管理人员可根据保证金的支付情况，将保证金状态设定为已完成，确保保证金的退还过程透明、公正，接受内部和外部的监督。</w:t>
            </w:r>
          </w:p>
        </w:tc>
      </w:tr>
      <w:tr w14:paraId="2261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C1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D1A7">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74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违约金申请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2E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C9E">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针对施工项目未能履行合同义务的情况，支持管理人员在线对项目发起违约金申请，包含违约内容、违约时间、违约金额、违约金支付时间等。可关联项目合同，将违约金额从合同金额中扣减，同时设置业务权限，对于未支付违约金的项目，无法提交工程款申请，增加违约成本，促进施工单位认真履行合同义务。可将相关凭证以附件的方式上传平台，支持文件在线预览，并查看资料上传状态和数量。管理人员可根据违约金的收取情况，将违约金状态设定为已完成，确保违约金的收取过程透明、公正，接受内部和外部的监督。</w:t>
            </w:r>
          </w:p>
        </w:tc>
      </w:tr>
      <w:tr w14:paraId="2C62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93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43</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373">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4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农民工工资管理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77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1DE0">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为确保农民工工资按时足额发放，维护农民工的合法权益，避免因工资拖欠引发的一系列问题，项目管理人员可通过该功能有效地管理和控制农民工工资。</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实名制考勤：项目部每天记录农民工的出勤情况，包括出勤天数和加班时间。系统可根据考勤记录和工资发放记录做对比分析，避免发生考勤合格的农民工没有工资发放记录的情况。</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建立工资专户：项目将建立的农民工工资专户信息录入平台，包含账号、开户行、专户余额等。</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工资发放记录：工资通过银行转账方式发放，每次发放后，管理人员将发放时间、应发金额、实发金额、应发人数、实发人数、累计欠付金额、工资附件、银行支付凭证等信息录入对应工资专户，并生成工资台账，记录每个农民工的工资发放情况，支持查询和导出。</w:t>
            </w:r>
          </w:p>
        </w:tc>
      </w:tr>
      <w:tr w14:paraId="7682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08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44</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81B9">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FB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工程验收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4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598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台支持首件验收、分部分项验收、检验批验收、隐蔽工程验收、竣工验收资料和记录的上传与归档，包含验收时间、验收地点、验收部位、验收内容等，形成工程验收台账。每条验收记录的状态可在台账中直观查看，点击可查看验收资料附件、验收照片等 ，实现项目现场工程验收的信息化存档。</w:t>
            </w:r>
          </w:p>
        </w:tc>
      </w:tr>
      <w:tr w14:paraId="2402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B9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45</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0267">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F3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二级费用统计分类</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22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526">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费率库，其他功能调用。</w:t>
            </w:r>
          </w:p>
        </w:tc>
      </w:tr>
      <w:tr w14:paraId="1471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75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7B24">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A5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涉法涉诉</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DA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8AD">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满足在平台上对法律诉讼内容进行登记，能在系统登记更新和查看当前诉讼内容状态和情况。</w:t>
            </w:r>
          </w:p>
        </w:tc>
      </w:tr>
      <w:tr w14:paraId="7777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5B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47</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728E">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3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鱼骨图</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9B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F3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支持在系统根据项目制定及更新关键计划节点，能通过鱼骨图可视化方式进行展示。</w:t>
            </w:r>
          </w:p>
        </w:tc>
      </w:tr>
      <w:tr w14:paraId="0744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F9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6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移动端</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D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1B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64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按照“业务移动化、移动集中化”的原则，在Web端的基础上，搭建统一移动平台，所有可移动端办理的业务全部集成到一个平台，满足业务移动办理需求。根据组织架构体系中不用的用户角色，提供对应的移动办公权限和工具模块，便于业务的查询、处置、推送、审核等，打破时间和空间局限性。形成企业项目管理业务的多端管理模式，多端业务协同，多端数据统一，满足公司管理人员在不同场景下对项目管理平台的应用需求。</w:t>
            </w:r>
          </w:p>
        </w:tc>
      </w:tr>
      <w:tr w14:paraId="5E1A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91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49</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DAD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系统对接</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0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4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128">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支持与集团数字绿发系统、集团OA系统的对接，实现单点登录，确保只需进行一次登录即可使用平台，进行人员、组织、项目等主数据对接，以实现更广泛的数据共享和应用。平台可根据公司需求对接财务数据，将合同、支付数据等数据对接到项目管理平台，确保数据的准确性。平台可在条件允许的情况下，将流程结果数据反写回财务系统，以实现流程的连贯性，避免二次操作。汇聚多方数据资源，为项目管理提供全面、实时的信息支持以及数据统计分析，提升决策效率和管理水平。</w:t>
            </w:r>
          </w:p>
        </w:tc>
      </w:tr>
      <w:tr w14:paraId="7EF3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5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9FA1">
            <w:pPr>
              <w:jc w:val="center"/>
              <w:rPr>
                <w:rFonts w:hint="eastAsia" w:ascii="方正仿宋_GB2312" w:hAnsi="方正仿宋_GB2312" w:eastAsia="方正仿宋_GB2312" w:cs="方正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F3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BC1A">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与金蝶云星瀚对接，实现支付申请跳转及数据部分集成。</w:t>
            </w:r>
          </w:p>
        </w:tc>
      </w:tr>
      <w:tr w14:paraId="5719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B4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5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平台实施服务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32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E6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公司、项目</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871">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1.辅助项目进行建项目信息、GIS信息、组织架构、人员信息创建及权限配置、工区划分、分部分项、部位划分等基础数据建立；</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2.提供数据标准，包含模型数据标准和其它文档数据标准；提供平台管控管理办法；</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3.在平台运行期间，提供本功能开发内容的线上支持和技术升级维护工作；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4.在平台正式上线运营期间，安排2人远程对平台的运行进行持续性跟踪维护，同时协助现场管理方协调平台的使用事宜；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5.培训服务：提供5次线下培训服务。</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6.实施服务支持1年。</w:t>
            </w:r>
          </w:p>
        </w:tc>
      </w:tr>
      <w:tr w14:paraId="4059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23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1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部署方式</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E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A9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公司</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280">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系统私有化部署。</w:t>
            </w:r>
          </w:p>
        </w:tc>
      </w:tr>
    </w:tbl>
    <w:p w14:paraId="28B8C9C5">
      <w:pPr>
        <w:ind w:firstLine="482" w:firstLineChars="200"/>
        <w:jc w:val="left"/>
        <w:rPr>
          <w:rFonts w:hint="default" w:ascii="方正仿宋_GBK" w:hAnsi="方正仿宋_GBK" w:eastAsia="方正仿宋_GBK" w:cs="方正仿宋_GBK"/>
          <w:b/>
          <w:bCs/>
          <w:color w:val="auto"/>
          <w:sz w:val="24"/>
          <w:szCs w:val="24"/>
          <w:highlight w:val="none"/>
          <w:lang w:val="en-US" w:eastAsia="zh-CN"/>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b/>
          <w:bCs/>
          <w:color w:val="auto"/>
          <w:sz w:val="24"/>
          <w:szCs w:val="24"/>
          <w:highlight w:val="none"/>
          <w:lang w:val="en-US" w:eastAsia="zh-CN"/>
        </w:rPr>
        <w:t>注：根据采购方的实际需求，数字化项目管理平台功能不限于竞采文件所列范围，采购人有权在不调整合同价款的前提下，要求成交供应商增加必要的特定功能或服务内容，供应商应予以配合实施。新增功能需以满足项目实际需要为前提，且不得实质性改变原合同约定的核心服务范围及技术要求。</w:t>
      </w:r>
    </w:p>
    <w:bookmarkEnd w:id="57"/>
    <w:p w14:paraId="1AA7D362">
      <w:pPr>
        <w:pStyle w:val="2"/>
        <w:numPr>
          <w:ilvl w:val="0"/>
          <w:numId w:val="3"/>
        </w:numPr>
        <w:jc w:val="center"/>
        <w:rPr>
          <w:color w:val="auto"/>
          <w:highlight w:val="none"/>
        </w:rPr>
      </w:pPr>
      <w:bookmarkStart w:id="65" w:name="_Toc2853"/>
      <w:bookmarkStart w:id="66" w:name="_Toc106030882"/>
      <w:bookmarkStart w:id="67" w:name="_Toc76462327"/>
      <w:r>
        <w:rPr>
          <w:rFonts w:hint="eastAsia"/>
          <w:color w:val="auto"/>
          <w:highlight w:val="none"/>
        </w:rPr>
        <w:t>项目商务需求</w:t>
      </w:r>
      <w:bookmarkEnd w:id="65"/>
      <w:bookmarkEnd w:id="66"/>
      <w:bookmarkEnd w:id="67"/>
    </w:p>
    <w:p w14:paraId="45FD30F6">
      <w:pPr>
        <w:rPr>
          <w:rFonts w:ascii="方正仿宋_GBK" w:hAnsi="方正仿宋_GBK" w:eastAsia="方正仿宋_GBK" w:cs="方正仿宋_GBK"/>
          <w:b/>
          <w:bCs/>
          <w:color w:val="auto"/>
          <w:sz w:val="24"/>
          <w:szCs w:val="24"/>
          <w:highlight w:val="none"/>
          <w:u w:val="single"/>
        </w:rPr>
      </w:pPr>
    </w:p>
    <w:p w14:paraId="3A070092">
      <w:pPr>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本篇商务需求为符合性审查中的实质性要求，响应文件若不满足按无效处理。</w:t>
      </w:r>
    </w:p>
    <w:p w14:paraId="67F739C0">
      <w:pPr>
        <w:pStyle w:val="3"/>
        <w:rPr>
          <w:color w:val="auto"/>
          <w:highlight w:val="none"/>
        </w:rPr>
      </w:pPr>
      <w:bookmarkStart w:id="68" w:name="_Toc344475120"/>
      <w:bookmarkStart w:id="69" w:name="_Toc24940"/>
      <w:bookmarkStart w:id="70" w:name="_Toc76462328"/>
      <w:bookmarkStart w:id="71" w:name="_Toc106030883"/>
      <w:r>
        <w:rPr>
          <w:rFonts w:hint="eastAsia"/>
          <w:color w:val="auto"/>
          <w:highlight w:val="none"/>
        </w:rPr>
        <w:t>一、服务期、地点及验收方式</w:t>
      </w:r>
      <w:bookmarkEnd w:id="68"/>
      <w:bookmarkEnd w:id="69"/>
      <w:bookmarkEnd w:id="70"/>
      <w:bookmarkEnd w:id="71"/>
    </w:p>
    <w:p w14:paraId="7FBDFE01">
      <w:pPr>
        <w:spacing w:line="360" w:lineRule="auto"/>
        <w:ind w:firstLine="480" w:firstLineChars="200"/>
        <w:rPr>
          <w:rFonts w:hint="eastAsia" w:ascii="方正仿宋_GBK" w:hAnsi="方正仿宋_GBK" w:eastAsia="方正仿宋_GBK" w:cs="方正仿宋_GBK"/>
          <w:color w:val="auto"/>
          <w:sz w:val="24"/>
          <w:szCs w:val="18"/>
          <w:highlight w:val="none"/>
          <w:lang w:eastAsia="zh-CN"/>
        </w:rPr>
      </w:pPr>
      <w:bookmarkStart w:id="72" w:name="_Toc344475121"/>
      <w:bookmarkStart w:id="73" w:name="_Toc76462329"/>
      <w:bookmarkStart w:id="74" w:name="_Toc106030884"/>
      <w:r>
        <w:rPr>
          <w:rFonts w:hint="eastAsia" w:ascii="方正仿宋_GBK" w:hAnsi="方正仿宋_GBK" w:eastAsia="方正仿宋_GBK" w:cs="方正仿宋_GBK"/>
          <w:color w:val="auto"/>
          <w:sz w:val="24"/>
          <w:szCs w:val="18"/>
          <w:highlight w:val="none"/>
        </w:rPr>
        <w:t>（一）服务期：合同签订之日起至数字化项目管理平台正式上线经采购人验收合格并运行12个月止</w:t>
      </w:r>
      <w:r>
        <w:rPr>
          <w:rFonts w:hint="eastAsia" w:ascii="方正仿宋_GBK" w:hAnsi="方正仿宋_GBK" w:eastAsia="方正仿宋_GBK" w:cs="方正仿宋_GBK"/>
          <w:color w:val="auto"/>
          <w:sz w:val="24"/>
          <w:szCs w:val="18"/>
          <w:highlight w:val="none"/>
          <w:lang w:eastAsia="zh-CN"/>
        </w:rPr>
        <w:t>。</w:t>
      </w:r>
    </w:p>
    <w:p w14:paraId="60C87FA1">
      <w:pPr>
        <w:spacing w:line="360" w:lineRule="auto"/>
        <w:ind w:firstLine="480" w:firstLineChars="200"/>
        <w:rPr>
          <w:rFonts w:hint="default"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rPr>
        <w:t>（二）服务地点：</w:t>
      </w:r>
      <w:r>
        <w:rPr>
          <w:rFonts w:hint="eastAsia" w:ascii="方正仿宋_GBK" w:hAnsi="方正仿宋_GBK" w:eastAsia="方正仿宋_GBK" w:cs="方正仿宋_GBK"/>
          <w:color w:val="auto"/>
          <w:sz w:val="24"/>
          <w:szCs w:val="18"/>
          <w:highlight w:val="none"/>
          <w:lang w:val="en-US" w:eastAsia="zh-CN"/>
        </w:rPr>
        <w:t>采购人指定地点</w:t>
      </w:r>
    </w:p>
    <w:p w14:paraId="0173916F">
      <w:pPr>
        <w:spacing w:line="360" w:lineRule="auto"/>
        <w:ind w:firstLine="480" w:firstLineChars="200"/>
        <w:rPr>
          <w:rFonts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（三）验收方式：由采购人组织对项目成果进行验收。</w:t>
      </w:r>
      <w:r>
        <w:rPr>
          <w:rFonts w:ascii="方正仿宋_GBK" w:hAnsi="方正仿宋_GBK" w:eastAsia="方正仿宋_GBK" w:cs="方正仿宋_GBK"/>
          <w:color w:val="auto"/>
          <w:sz w:val="24"/>
          <w:szCs w:val="18"/>
          <w:highlight w:val="none"/>
        </w:rPr>
        <w:t xml:space="preserve"> </w:t>
      </w:r>
    </w:p>
    <w:p w14:paraId="3589B884">
      <w:pPr>
        <w:pStyle w:val="3"/>
        <w:rPr>
          <w:rFonts w:hint="eastAsia"/>
          <w:color w:val="auto"/>
          <w:highlight w:val="none"/>
          <w:lang w:val="en-US" w:eastAsia="zh-CN"/>
        </w:rPr>
      </w:pPr>
      <w:r>
        <w:rPr>
          <w:rFonts w:hint="eastAsia"/>
          <w:color w:val="auto"/>
          <w:highlight w:val="none"/>
          <w:lang w:val="en-US" w:eastAsia="zh-CN"/>
        </w:rPr>
        <w:t>二、质量保证及售后服务</w:t>
      </w:r>
    </w:p>
    <w:p w14:paraId="246BD2AE">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 xml:space="preserve">（一）成交供应商所供产品名称、规格、数量、技术要求与采购文件要求相符。 </w:t>
      </w:r>
    </w:p>
    <w:p w14:paraId="187DF373">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（二）自验收之日起，产品质量保证期1年。</w:t>
      </w:r>
    </w:p>
    <w:p w14:paraId="09BD9E0E">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（三）售后服务</w:t>
      </w:r>
    </w:p>
    <w:p w14:paraId="1F4C5431">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（1）电话咨询：成交供应商应当为采购人提供技术援助电话，解答采购人在使用中遇到的问题，及时为采购人提出解决问题的建议。</w:t>
      </w:r>
    </w:p>
    <w:p w14:paraId="0293113F">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（2）现场响应：在质保期内，采购人遇到使用及技术问题，电话咨询不能解决的，成交供应商应在2小时内到达现场（远郊区24小时内到达现场）进行处理，确保产品正常工作。</w:t>
      </w:r>
    </w:p>
    <w:p w14:paraId="104FAB09">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（3）技术升级：在质保期内，如果成交供应商的产品技术升级，供应商应及时通知采购人，如采购人有相应需求，成交供应商应对采购人购买的产品进行免费升级服务。</w:t>
      </w:r>
    </w:p>
    <w:p w14:paraId="6D0EE7FA">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（4）巡检与培训服务：在质保期内，成交供应商应向采购人提供定期进行系统巡检服务，收集系统运行与操作使用需求并进行整改；并免费提供操作培训。</w:t>
      </w:r>
      <w:bookmarkStart w:id="75" w:name="_Toc18994"/>
    </w:p>
    <w:p w14:paraId="29338ADF">
      <w:pPr>
        <w:pStyle w:val="3"/>
        <w:rPr>
          <w:rFonts w:hint="eastAsia"/>
          <w:color w:val="auto"/>
          <w:highlight w:val="none"/>
          <w:lang w:val="en-US" w:eastAsia="zh-CN"/>
        </w:rPr>
      </w:pPr>
      <w:r>
        <w:rPr>
          <w:rFonts w:hint="eastAsia"/>
          <w:color w:val="auto"/>
          <w:highlight w:val="none"/>
          <w:lang w:val="en-US" w:eastAsia="zh-CN"/>
        </w:rPr>
        <w:t>三、</w:t>
      </w:r>
      <w:bookmarkEnd w:id="72"/>
      <w:r>
        <w:rPr>
          <w:rFonts w:hint="eastAsia"/>
          <w:color w:val="auto"/>
          <w:highlight w:val="none"/>
          <w:lang w:val="en-US" w:eastAsia="zh-CN"/>
        </w:rPr>
        <w:t>报价要求</w:t>
      </w:r>
      <w:bookmarkEnd w:id="73"/>
      <w:bookmarkEnd w:id="74"/>
      <w:bookmarkEnd w:id="75"/>
    </w:p>
    <w:p w14:paraId="67F32F54">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bookmarkStart w:id="76" w:name="_Toc22331"/>
      <w:r>
        <w:rPr>
          <w:rFonts w:hint="eastAsia" w:ascii="方正仿宋_GBK" w:hAnsi="方正仿宋_GBK" w:eastAsia="方正仿宋_GBK" w:cs="方正仿宋_GBK"/>
          <w:color w:val="auto"/>
          <w:sz w:val="24"/>
          <w:szCs w:val="18"/>
          <w:highlight w:val="none"/>
          <w:lang w:val="en-US" w:eastAsia="zh-CN"/>
        </w:rPr>
        <w:t>1.本项目最高限价53.62万元，供应商的总报价不得超过最高限价，否则作无效响应处理。</w:t>
      </w:r>
    </w:p>
    <w:p w14:paraId="556D401A">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2.供应商按照总价包干的方式报价，报价为人民币报价，包括完成本项目所需的服务费、差旅费、人工费、检测费、培训费、保险费，各种应纳的税费、平台正式上线后1年运营维护费、采购代理服务费等一切费用。因成交供应商自身原因造成漏报、少报皆由其自行承担责任，采购人不再补偿。</w:t>
      </w:r>
    </w:p>
    <w:p w14:paraId="23D1A361">
      <w:pPr>
        <w:spacing w:line="360" w:lineRule="auto"/>
        <w:ind w:firstLine="480" w:firstLineChars="200"/>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lang w:val="en-US" w:eastAsia="zh-CN"/>
        </w:rPr>
        <w:t>3.</w:t>
      </w:r>
      <w:r>
        <w:rPr>
          <w:rFonts w:hint="eastAsia" w:ascii="方正仿宋_GBK" w:hAnsi="方正仿宋_GBK" w:eastAsia="方正仿宋_GBK" w:cs="方正仿宋_GBK"/>
          <w:color w:val="auto"/>
          <w:sz w:val="24"/>
          <w:szCs w:val="18"/>
          <w:highlight w:val="none"/>
        </w:rPr>
        <w:t>供应商的网上报价必须和响应文件中投标函的报价一致，否则作无效响应处理。</w:t>
      </w:r>
    </w:p>
    <w:p w14:paraId="7E482FC6">
      <w:pPr>
        <w:pStyle w:val="3"/>
        <w:rPr>
          <w:color w:val="auto"/>
          <w:highlight w:val="none"/>
        </w:rPr>
      </w:pPr>
      <w:r>
        <w:rPr>
          <w:rFonts w:hint="eastAsia"/>
          <w:color w:val="auto"/>
          <w:highlight w:val="none"/>
          <w:lang w:val="en-US" w:eastAsia="zh-CN"/>
        </w:rPr>
        <w:t>四</w:t>
      </w:r>
      <w:r>
        <w:rPr>
          <w:rFonts w:hint="eastAsia"/>
          <w:color w:val="auto"/>
          <w:highlight w:val="none"/>
        </w:rPr>
        <w:t>、付款方式</w:t>
      </w:r>
      <w:bookmarkEnd w:id="76"/>
    </w:p>
    <w:p w14:paraId="18D27AAF">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bookmarkStart w:id="77" w:name="_Toc14923"/>
      <w:bookmarkStart w:id="78" w:name="_Toc1138"/>
      <w:bookmarkStart w:id="79" w:name="_Toc13936"/>
      <w:bookmarkStart w:id="80" w:name="_Toc28513"/>
      <w:bookmarkStart w:id="81" w:name="_Toc4353"/>
      <w:bookmarkStart w:id="82" w:name="_Toc30515"/>
      <w:bookmarkStart w:id="83" w:name="_Toc32308"/>
      <w:bookmarkStart w:id="84" w:name="_Toc6099"/>
      <w:bookmarkStart w:id="85" w:name="_Toc27175"/>
      <w:bookmarkStart w:id="86" w:name="_Toc529"/>
      <w:bookmarkStart w:id="87" w:name="_Toc17569"/>
      <w:bookmarkStart w:id="88" w:name="_Toc31619"/>
      <w:bookmarkStart w:id="89" w:name="_Toc10406"/>
      <w:bookmarkStart w:id="90" w:name="_Toc6385"/>
      <w:bookmarkStart w:id="91" w:name="_Toc75793516"/>
      <w:bookmarkStart w:id="92" w:name="_Toc106030392"/>
      <w:bookmarkStart w:id="93" w:name="_Toc23858"/>
      <w:r>
        <w:rPr>
          <w:rFonts w:hint="eastAsia" w:ascii="方正仿宋_GBK" w:hAnsi="方正仿宋_GBK" w:eastAsia="方正仿宋_GBK" w:cs="方正仿宋_GBK"/>
          <w:color w:val="auto"/>
          <w:sz w:val="24"/>
          <w:szCs w:val="18"/>
          <w:highlight w:val="none"/>
          <w:lang w:val="en-US" w:eastAsia="zh-CN"/>
        </w:rPr>
        <w:t>1、完成全部开发内容并经采购人验收确认后，支付合同金额的40%，平台上线试运行6个月后，支付至合同金额的80%；正式上线并运行12个月后，支付至合同金额的100%。</w:t>
      </w:r>
    </w:p>
    <w:p w14:paraId="4FFAE816">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2、支付方式：银行转账。</w:t>
      </w:r>
    </w:p>
    <w:p w14:paraId="4DF1C859">
      <w:pPr>
        <w:spacing w:line="360" w:lineRule="auto"/>
        <w:ind w:firstLine="480" w:firstLineChars="200"/>
        <w:rPr>
          <w:rFonts w:hint="eastAsia" w:ascii="方正仿宋_GBK" w:hAnsi="方正仿宋_GBK" w:eastAsia="方正仿宋_GBK" w:cs="方正仿宋_GBK"/>
          <w:color w:val="auto"/>
          <w:sz w:val="24"/>
          <w:szCs w:val="18"/>
          <w:highlight w:val="none"/>
          <w:lang w:val="en-US" w:eastAsia="zh-CN"/>
        </w:rPr>
      </w:pPr>
      <w:r>
        <w:rPr>
          <w:rFonts w:hint="eastAsia" w:ascii="方正仿宋_GBK" w:hAnsi="方正仿宋_GBK" w:eastAsia="方正仿宋_GBK" w:cs="方正仿宋_GBK"/>
          <w:color w:val="auto"/>
          <w:sz w:val="24"/>
          <w:szCs w:val="18"/>
          <w:highlight w:val="none"/>
          <w:lang w:val="en-US" w:eastAsia="zh-CN"/>
        </w:rPr>
        <w:t>3、成交供应商应在采购人支付服务费用前提交符合采购人要求的等额有效增值税专用发票，否则采购人有权拒绝付款。</w:t>
      </w:r>
    </w:p>
    <w:p w14:paraId="197708E1">
      <w:pPr>
        <w:pStyle w:val="3"/>
        <w:numPr>
          <w:ilvl w:val="0"/>
          <w:numId w:val="0"/>
        </w:numPr>
        <w:ind w:leftChars="0"/>
        <w:rPr>
          <w:rFonts w:hint="eastAsia"/>
          <w:color w:val="auto"/>
          <w:highlight w:val="none"/>
        </w:rPr>
      </w:pPr>
      <w:r>
        <w:rPr>
          <w:rFonts w:hint="eastAsia"/>
          <w:color w:val="auto"/>
          <w:highlight w:val="none"/>
          <w:lang w:val="en-US" w:eastAsia="zh-CN"/>
        </w:rPr>
        <w:t>五、</w:t>
      </w:r>
      <w:r>
        <w:rPr>
          <w:rFonts w:hint="eastAsia"/>
          <w:color w:val="auto"/>
          <w:highlight w:val="none"/>
        </w:rPr>
        <w:t>其他商务要求内容</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17AB14F">
      <w:pPr>
        <w:numPr>
          <w:ilvl w:val="0"/>
          <w:numId w:val="0"/>
        </w:numPr>
        <w:spacing w:line="360" w:lineRule="auto"/>
        <w:ind w:left="0" w:leftChars="0" w:firstLine="482" w:firstLineChars="200"/>
        <w:jc w:val="left"/>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（一）</w:t>
      </w:r>
      <w:r>
        <w:rPr>
          <w:rFonts w:hint="eastAsia" w:ascii="方正仿宋_GBK" w:hAnsi="方正仿宋_GBK" w:eastAsia="方正仿宋_GBK" w:cs="方正仿宋_GBK"/>
          <w:b/>
          <w:bCs/>
          <w:color w:val="auto"/>
          <w:sz w:val="24"/>
          <w:szCs w:val="24"/>
          <w:highlight w:val="none"/>
          <w:lang w:val="en-US" w:eastAsia="zh-CN"/>
        </w:rPr>
        <w:t>履约保证金</w:t>
      </w:r>
    </w:p>
    <w:p w14:paraId="693F8366">
      <w:pPr>
        <w:numPr>
          <w:ilvl w:val="0"/>
          <w:numId w:val="0"/>
        </w:numPr>
        <w:spacing w:line="360" w:lineRule="auto"/>
        <w:ind w:left="0" w:leftChars="0"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成交供应商应自成交通知书发出之日起10日内并在合同签订之前，按合同金额的10%向采购人缴纳履约保证金</w:t>
      </w:r>
      <w:r>
        <w:rPr>
          <w:rFonts w:hint="eastAsia" w:ascii="方正仿宋_GBK" w:hAnsi="方正仿宋_GBK" w:eastAsia="方正仿宋_GBK" w:cs="方正仿宋_GBK"/>
          <w:color w:val="auto"/>
          <w:sz w:val="24"/>
          <w:szCs w:val="24"/>
          <w:highlight w:val="none"/>
        </w:rPr>
        <w:t>（以转账、支票、汇票、本票或者银行出具的保函等形式提交），不按约定缴纳履约保证金的，视为放弃中标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待服务期完后30个工作日内退还，履约保证金不计利息</w:t>
      </w:r>
      <w:r>
        <w:rPr>
          <w:rFonts w:hint="eastAsia" w:ascii="方正仿宋_GBK" w:hAnsi="方正仿宋_GBK" w:eastAsia="方正仿宋_GBK" w:cs="方正仿宋_GBK"/>
          <w:color w:val="auto"/>
          <w:sz w:val="24"/>
          <w:szCs w:val="24"/>
          <w:highlight w:val="none"/>
        </w:rPr>
        <w:t>。</w:t>
      </w:r>
    </w:p>
    <w:p w14:paraId="1C4CF093">
      <w:pPr>
        <w:numPr>
          <w:ilvl w:val="0"/>
          <w:numId w:val="0"/>
        </w:numPr>
        <w:spacing w:line="360" w:lineRule="auto"/>
        <w:ind w:leftChars="200"/>
        <w:jc w:val="left"/>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rPr>
        <w:t>注:采用保函形式的，保函必须为不可撤销且见索即付</w:t>
      </w:r>
      <w:r>
        <w:rPr>
          <w:rFonts w:hint="eastAsia" w:ascii="宋体" w:hAnsi="宋体" w:eastAsia="宋体" w:cs="宋体"/>
          <w:color w:val="auto"/>
          <w:sz w:val="24"/>
          <w:szCs w:val="24"/>
          <w:highlight w:val="none"/>
        </w:rPr>
        <w:t>。</w:t>
      </w:r>
    </w:p>
    <w:p w14:paraId="639A9EFC">
      <w:pPr>
        <w:snapToGrid w:val="0"/>
        <w:spacing w:line="360" w:lineRule="auto"/>
        <w:ind w:firstLine="482" w:firstLineChars="200"/>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lang w:val="en-US" w:eastAsia="zh-CN"/>
        </w:rPr>
        <w:t>（二）结算原则</w:t>
      </w:r>
    </w:p>
    <w:p w14:paraId="4EDF3670">
      <w:pPr>
        <w:spacing w:line="360" w:lineRule="auto"/>
        <w:ind w:firstLine="480" w:firstLineChars="200"/>
        <w:rPr>
          <w:rFonts w:hint="eastAsia"/>
          <w:highlight w:val="none"/>
        </w:rPr>
      </w:pPr>
      <w:bookmarkStart w:id="94" w:name="_Toc109836389"/>
      <w:bookmarkStart w:id="95" w:name="_Toc2099"/>
      <w:r>
        <w:rPr>
          <w:rFonts w:hint="eastAsia" w:ascii="方正仿宋_GBK" w:hAnsi="方正仿宋_GBK" w:eastAsia="方正仿宋_GBK" w:cs="方正仿宋_GBK"/>
          <w:color w:val="auto"/>
          <w:sz w:val="24"/>
          <w:szCs w:val="18"/>
          <w:highlight w:val="none"/>
          <w:lang w:val="en-US" w:eastAsia="zh-CN"/>
        </w:rPr>
        <w:t>本项目最高限价53.62万元，结算价为供应商中标价包干。</w:t>
      </w:r>
    </w:p>
    <w:p w14:paraId="0DEFA79C">
      <w:pPr>
        <w:pStyle w:val="2"/>
        <w:spacing w:line="360" w:lineRule="auto"/>
        <w:jc w:val="center"/>
        <w:rPr>
          <w:rFonts w:ascii="方正仿宋_GBK" w:hAnsi="方正仿宋_GBK" w:eastAsia="方正仿宋_GBK" w:cs="方正仿宋_GBK"/>
          <w:color w:val="auto"/>
          <w:sz w:val="24"/>
          <w:szCs w:val="24"/>
          <w:highlight w:val="none"/>
        </w:rPr>
      </w:pPr>
      <w:r>
        <w:rPr>
          <w:rFonts w:hint="eastAsia"/>
          <w:color w:val="auto"/>
          <w:sz w:val="40"/>
          <w:szCs w:val="18"/>
          <w:highlight w:val="none"/>
        </w:rPr>
        <w:t>第四篇  竞采程序、评标办法</w:t>
      </w:r>
      <w:bookmarkEnd w:id="94"/>
      <w:r>
        <w:rPr>
          <w:rFonts w:hint="eastAsia"/>
          <w:color w:val="auto"/>
          <w:sz w:val="40"/>
          <w:szCs w:val="18"/>
          <w:highlight w:val="none"/>
        </w:rPr>
        <w:t>、无效响应及采购终止</w:t>
      </w:r>
      <w:bookmarkEnd w:id="95"/>
    </w:p>
    <w:p w14:paraId="5E75E790">
      <w:pPr>
        <w:pStyle w:val="3"/>
        <w:rPr>
          <w:color w:val="auto"/>
          <w:highlight w:val="none"/>
        </w:rPr>
      </w:pPr>
      <w:bookmarkStart w:id="96" w:name="_Toc10124"/>
      <w:bookmarkStart w:id="97" w:name="_Toc8830"/>
      <w:r>
        <w:rPr>
          <w:rFonts w:hint="eastAsia"/>
          <w:color w:val="auto"/>
          <w:highlight w:val="none"/>
        </w:rPr>
        <w:t>一、</w:t>
      </w:r>
      <w:bookmarkEnd w:id="96"/>
      <w:bookmarkStart w:id="98" w:name="_Toc75793518"/>
      <w:r>
        <w:rPr>
          <w:rFonts w:hint="eastAsia"/>
          <w:color w:val="auto"/>
          <w:highlight w:val="none"/>
        </w:rPr>
        <w:t>网上竞采程序</w:t>
      </w:r>
      <w:bookmarkEnd w:id="97"/>
      <w:bookmarkEnd w:id="98"/>
    </w:p>
    <w:p w14:paraId="2B6517ED">
      <w:pPr>
        <w:ind w:firstLine="480" w:firstLineChars="20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0E6EF3CD">
      <w:pPr>
        <w:ind w:firstLine="482" w:firstLineChars="20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1.资格性检查。</w:t>
      </w:r>
      <w:r>
        <w:rPr>
          <w:rFonts w:hint="eastAsia" w:ascii="方正仿宋_GBK" w:hAnsi="方正仿宋_GBK" w:eastAsia="方正仿宋_GBK" w:cs="方正仿宋_GBK"/>
          <w:color w:val="auto"/>
          <w:sz w:val="24"/>
          <w:szCs w:val="24"/>
          <w:highlight w:val="none"/>
        </w:rPr>
        <w:t>依据法律法规和采购文件的规定，对响应文件中的资格证明等进行审查，以确定供应商是否具备资格。资格性检查资料表如下：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F20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5AF0CAB">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685" w:type="dxa"/>
            <w:gridSpan w:val="2"/>
            <w:vAlign w:val="center"/>
          </w:tcPr>
          <w:p w14:paraId="7F981014">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5155" w:type="dxa"/>
            <w:vAlign w:val="center"/>
          </w:tcPr>
          <w:p w14:paraId="7FE8BABB">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68F5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0009F18">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709" w:type="dxa"/>
            <w:vMerge w:val="restart"/>
            <w:vAlign w:val="center"/>
          </w:tcPr>
          <w:p w14:paraId="2FB37FF6">
            <w:pPr>
              <w:jc w:val="left"/>
              <w:rPr>
                <w:rFonts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sz w:val="24"/>
                <w:szCs w:val="24"/>
                <w:highlight w:val="none"/>
                <w:lang w:val="zh-CN"/>
              </w:rPr>
              <w:t>应符合的基本资格条件</w:t>
            </w:r>
          </w:p>
        </w:tc>
        <w:tc>
          <w:tcPr>
            <w:tcW w:w="2976" w:type="dxa"/>
            <w:vAlign w:val="center"/>
          </w:tcPr>
          <w:p w14:paraId="3FFE73B2">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5155" w:type="dxa"/>
            <w:vAlign w:val="center"/>
          </w:tcPr>
          <w:p w14:paraId="04E4DE7F">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供应商法人营业执照（副本）或事业单位法人证书（副本）； 供应商法定代表人身份证明和法定代表人授权代表委托书。</w:t>
            </w:r>
          </w:p>
        </w:tc>
      </w:tr>
      <w:tr w14:paraId="3B88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6B77DF3">
            <w:pPr>
              <w:jc w:val="left"/>
              <w:rPr>
                <w:rFonts w:ascii="方正仿宋_GBK" w:hAnsi="方正仿宋_GBK" w:eastAsia="方正仿宋_GBK" w:cs="方正仿宋_GBK"/>
                <w:color w:val="auto"/>
                <w:sz w:val="24"/>
                <w:szCs w:val="24"/>
                <w:highlight w:val="none"/>
              </w:rPr>
            </w:pPr>
          </w:p>
        </w:tc>
        <w:tc>
          <w:tcPr>
            <w:tcW w:w="709" w:type="dxa"/>
            <w:vMerge w:val="continue"/>
            <w:vAlign w:val="center"/>
          </w:tcPr>
          <w:p w14:paraId="04DDD00A">
            <w:pPr>
              <w:jc w:val="left"/>
              <w:rPr>
                <w:rFonts w:ascii="方正仿宋_GBK" w:hAnsi="方正仿宋_GBK" w:eastAsia="方正仿宋_GBK" w:cs="方正仿宋_GBK"/>
                <w:color w:val="auto"/>
                <w:sz w:val="24"/>
                <w:szCs w:val="24"/>
                <w:highlight w:val="none"/>
                <w:lang w:val="zh-CN"/>
              </w:rPr>
            </w:pPr>
          </w:p>
        </w:tc>
        <w:tc>
          <w:tcPr>
            <w:tcW w:w="2976" w:type="dxa"/>
            <w:vAlign w:val="center"/>
          </w:tcPr>
          <w:p w14:paraId="5698353A">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5155" w:type="dxa"/>
            <w:vMerge w:val="restart"/>
            <w:vAlign w:val="center"/>
          </w:tcPr>
          <w:p w14:paraId="45690AF6">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供应商提供承诺函（见格式文件）</w:t>
            </w:r>
          </w:p>
        </w:tc>
      </w:tr>
      <w:tr w14:paraId="0F4A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BE9EE77">
            <w:pPr>
              <w:jc w:val="left"/>
              <w:rPr>
                <w:rFonts w:ascii="方正仿宋_GBK" w:hAnsi="方正仿宋_GBK" w:eastAsia="方正仿宋_GBK" w:cs="方正仿宋_GBK"/>
                <w:color w:val="auto"/>
                <w:sz w:val="24"/>
                <w:szCs w:val="24"/>
                <w:highlight w:val="none"/>
              </w:rPr>
            </w:pPr>
          </w:p>
        </w:tc>
        <w:tc>
          <w:tcPr>
            <w:tcW w:w="709" w:type="dxa"/>
            <w:vMerge w:val="continue"/>
            <w:vAlign w:val="center"/>
          </w:tcPr>
          <w:p w14:paraId="5E42ACA6">
            <w:pPr>
              <w:jc w:val="left"/>
              <w:rPr>
                <w:rFonts w:ascii="方正仿宋_GBK" w:hAnsi="方正仿宋_GBK" w:eastAsia="方正仿宋_GBK" w:cs="方正仿宋_GBK"/>
                <w:color w:val="auto"/>
                <w:sz w:val="24"/>
                <w:szCs w:val="24"/>
                <w:highlight w:val="none"/>
                <w:lang w:val="zh-CN"/>
              </w:rPr>
            </w:pPr>
          </w:p>
        </w:tc>
        <w:tc>
          <w:tcPr>
            <w:tcW w:w="2976" w:type="dxa"/>
            <w:vAlign w:val="center"/>
          </w:tcPr>
          <w:p w14:paraId="6ED82A3F">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5155" w:type="dxa"/>
            <w:vMerge w:val="continue"/>
            <w:vAlign w:val="center"/>
          </w:tcPr>
          <w:p w14:paraId="53084B9E">
            <w:pPr>
              <w:jc w:val="left"/>
              <w:rPr>
                <w:rFonts w:ascii="方正仿宋_GBK" w:hAnsi="方正仿宋_GBK" w:eastAsia="方正仿宋_GBK" w:cs="方正仿宋_GBK"/>
                <w:color w:val="auto"/>
                <w:sz w:val="24"/>
                <w:szCs w:val="24"/>
                <w:highlight w:val="none"/>
              </w:rPr>
            </w:pPr>
          </w:p>
        </w:tc>
      </w:tr>
      <w:tr w14:paraId="6284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3EFA35CE">
            <w:pPr>
              <w:jc w:val="left"/>
              <w:rPr>
                <w:rFonts w:ascii="方正仿宋_GBK" w:hAnsi="方正仿宋_GBK" w:eastAsia="方正仿宋_GBK" w:cs="方正仿宋_GBK"/>
                <w:color w:val="auto"/>
                <w:sz w:val="24"/>
                <w:szCs w:val="24"/>
                <w:highlight w:val="none"/>
              </w:rPr>
            </w:pPr>
          </w:p>
        </w:tc>
        <w:tc>
          <w:tcPr>
            <w:tcW w:w="709" w:type="dxa"/>
            <w:vMerge w:val="continue"/>
            <w:vAlign w:val="center"/>
          </w:tcPr>
          <w:p w14:paraId="53128446">
            <w:pPr>
              <w:jc w:val="left"/>
              <w:rPr>
                <w:rFonts w:ascii="方正仿宋_GBK" w:hAnsi="方正仿宋_GBK" w:eastAsia="方正仿宋_GBK" w:cs="方正仿宋_GBK"/>
                <w:color w:val="auto"/>
                <w:sz w:val="24"/>
                <w:szCs w:val="24"/>
                <w:highlight w:val="none"/>
                <w:lang w:val="zh-CN"/>
              </w:rPr>
            </w:pPr>
          </w:p>
        </w:tc>
        <w:tc>
          <w:tcPr>
            <w:tcW w:w="2976" w:type="dxa"/>
            <w:vAlign w:val="center"/>
          </w:tcPr>
          <w:p w14:paraId="43FCF456">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5155" w:type="dxa"/>
            <w:vMerge w:val="continue"/>
            <w:vAlign w:val="center"/>
          </w:tcPr>
          <w:p w14:paraId="279BFABF">
            <w:pPr>
              <w:jc w:val="left"/>
              <w:rPr>
                <w:rFonts w:ascii="方正仿宋_GBK" w:hAnsi="方正仿宋_GBK" w:eastAsia="方正仿宋_GBK" w:cs="方正仿宋_GBK"/>
                <w:color w:val="auto"/>
                <w:sz w:val="24"/>
                <w:szCs w:val="24"/>
                <w:highlight w:val="none"/>
              </w:rPr>
            </w:pPr>
          </w:p>
        </w:tc>
      </w:tr>
      <w:tr w14:paraId="118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96A2B55">
            <w:pPr>
              <w:jc w:val="left"/>
              <w:rPr>
                <w:rFonts w:ascii="方正仿宋_GBK" w:hAnsi="方正仿宋_GBK" w:eastAsia="方正仿宋_GBK" w:cs="方正仿宋_GBK"/>
                <w:color w:val="auto"/>
                <w:sz w:val="24"/>
                <w:szCs w:val="24"/>
                <w:highlight w:val="none"/>
              </w:rPr>
            </w:pPr>
          </w:p>
        </w:tc>
        <w:tc>
          <w:tcPr>
            <w:tcW w:w="709" w:type="dxa"/>
            <w:vMerge w:val="continue"/>
            <w:vAlign w:val="center"/>
          </w:tcPr>
          <w:p w14:paraId="6899CF16">
            <w:pPr>
              <w:jc w:val="left"/>
              <w:rPr>
                <w:rFonts w:ascii="方正仿宋_GBK" w:hAnsi="方正仿宋_GBK" w:eastAsia="方正仿宋_GBK" w:cs="方正仿宋_GBK"/>
                <w:color w:val="auto"/>
                <w:sz w:val="24"/>
                <w:szCs w:val="24"/>
                <w:highlight w:val="none"/>
                <w:lang w:val="zh-CN"/>
              </w:rPr>
            </w:pPr>
          </w:p>
        </w:tc>
        <w:tc>
          <w:tcPr>
            <w:tcW w:w="2976" w:type="dxa"/>
            <w:vAlign w:val="center"/>
          </w:tcPr>
          <w:p w14:paraId="6EA15EEE">
            <w:pPr>
              <w:jc w:val="left"/>
              <w:rPr>
                <w:rFonts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5155" w:type="dxa"/>
            <w:vAlign w:val="center"/>
          </w:tcPr>
          <w:p w14:paraId="7003CDB9">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537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4BA826D">
            <w:pPr>
              <w:jc w:val="left"/>
              <w:rPr>
                <w:rFonts w:ascii="方正仿宋_GBK" w:hAnsi="方正仿宋_GBK" w:eastAsia="方正仿宋_GBK" w:cs="方正仿宋_GBK"/>
                <w:color w:val="auto"/>
                <w:sz w:val="24"/>
                <w:szCs w:val="24"/>
                <w:highlight w:val="none"/>
              </w:rPr>
            </w:pPr>
          </w:p>
        </w:tc>
        <w:tc>
          <w:tcPr>
            <w:tcW w:w="709" w:type="dxa"/>
            <w:vMerge w:val="continue"/>
            <w:vAlign w:val="center"/>
          </w:tcPr>
          <w:p w14:paraId="299A1B52">
            <w:pPr>
              <w:jc w:val="left"/>
              <w:rPr>
                <w:rFonts w:ascii="方正仿宋_GBK" w:hAnsi="方正仿宋_GBK" w:eastAsia="方正仿宋_GBK" w:cs="方正仿宋_GBK"/>
                <w:color w:val="auto"/>
                <w:sz w:val="24"/>
                <w:szCs w:val="24"/>
                <w:highlight w:val="none"/>
                <w:lang w:val="zh-CN"/>
              </w:rPr>
            </w:pPr>
          </w:p>
        </w:tc>
        <w:tc>
          <w:tcPr>
            <w:tcW w:w="2976" w:type="dxa"/>
            <w:vAlign w:val="center"/>
          </w:tcPr>
          <w:p w14:paraId="41FCC51A">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5155" w:type="dxa"/>
            <w:vAlign w:val="center"/>
          </w:tcPr>
          <w:p w14:paraId="2BCF17B3">
            <w:pPr>
              <w:jc w:val="left"/>
              <w:rPr>
                <w:rFonts w:ascii="方正仿宋_GBK" w:hAnsi="方正仿宋_GBK" w:eastAsia="方正仿宋_GBK" w:cs="方正仿宋_GBK"/>
                <w:color w:val="auto"/>
                <w:sz w:val="24"/>
                <w:szCs w:val="24"/>
                <w:highlight w:val="none"/>
              </w:rPr>
            </w:pPr>
          </w:p>
        </w:tc>
      </w:tr>
      <w:tr w14:paraId="7011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1408066C">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685" w:type="dxa"/>
            <w:gridSpan w:val="2"/>
            <w:vAlign w:val="center"/>
          </w:tcPr>
          <w:p w14:paraId="7E5294F1">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tc>
        <w:tc>
          <w:tcPr>
            <w:tcW w:w="5155" w:type="dxa"/>
            <w:vAlign w:val="center"/>
          </w:tcPr>
          <w:p w14:paraId="7A3D79B8">
            <w:pPr>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按第一篇“三、供应商资格条件（二）本项目的特定资格要求”的要求提交</w:t>
            </w:r>
          </w:p>
        </w:tc>
      </w:tr>
    </w:tbl>
    <w:p w14:paraId="7AAF063C">
      <w:pPr>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1F3538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2.符合性检查。</w:t>
      </w:r>
      <w:r>
        <w:rPr>
          <w:rFonts w:hint="eastAsia" w:ascii="方正仿宋_GBK" w:hAnsi="方正仿宋_GBK" w:eastAsia="方正仿宋_GBK"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76C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10670FFF">
            <w:pPr>
              <w:spacing w:line="240" w:lineRule="exact"/>
              <w:jc w:val="center"/>
              <w:rPr>
                <w:rFonts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384" w:type="dxa"/>
            <w:gridSpan w:val="2"/>
            <w:vAlign w:val="center"/>
          </w:tcPr>
          <w:p w14:paraId="76D905C7">
            <w:pPr>
              <w:spacing w:line="240" w:lineRule="exact"/>
              <w:jc w:val="center"/>
              <w:rPr>
                <w:rFonts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409" w:type="dxa"/>
            <w:vAlign w:val="center"/>
          </w:tcPr>
          <w:p w14:paraId="3217792A">
            <w:pPr>
              <w:spacing w:line="240" w:lineRule="exact"/>
              <w:jc w:val="center"/>
              <w:rPr>
                <w:rFonts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5E82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4E2A35D">
            <w:pPr>
              <w:spacing w:line="240" w:lineRule="exact"/>
              <w:jc w:val="center"/>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00" w:type="dxa"/>
            <w:vMerge w:val="restart"/>
            <w:vAlign w:val="center"/>
          </w:tcPr>
          <w:p w14:paraId="05DD0CBC">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1884" w:type="dxa"/>
            <w:vAlign w:val="center"/>
          </w:tcPr>
          <w:p w14:paraId="5723E646">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409" w:type="dxa"/>
            <w:vAlign w:val="center"/>
          </w:tcPr>
          <w:p w14:paraId="35916266">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highlight w:val="none"/>
              </w:rPr>
              <w:t>网上电子文档及响应文件</w:t>
            </w:r>
            <w:r>
              <w:rPr>
                <w:rFonts w:hint="eastAsia" w:ascii="方正仿宋_GBK" w:hAnsi="方正仿宋_GBK" w:eastAsia="方正仿宋_GBK" w:cs="方正仿宋_GBK"/>
                <w:color w:val="auto"/>
                <w:sz w:val="24"/>
                <w:szCs w:val="24"/>
                <w:highlight w:val="none"/>
              </w:rPr>
              <w:t>上法定代表人或其授权代表人的签字齐全。</w:t>
            </w:r>
          </w:p>
        </w:tc>
      </w:tr>
      <w:tr w14:paraId="7FE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0BA0F2C8">
            <w:pPr>
              <w:spacing w:line="240" w:lineRule="exact"/>
              <w:jc w:val="center"/>
              <w:rPr>
                <w:rFonts w:ascii="方正仿宋_GBK" w:hAnsi="方正仿宋_GBK" w:eastAsia="方正仿宋_GBK" w:cs="方正仿宋_GBK"/>
                <w:color w:val="auto"/>
                <w:kern w:val="0"/>
                <w:sz w:val="24"/>
                <w:szCs w:val="24"/>
                <w:highlight w:val="none"/>
              </w:rPr>
            </w:pPr>
          </w:p>
        </w:tc>
        <w:tc>
          <w:tcPr>
            <w:tcW w:w="1500" w:type="dxa"/>
            <w:vMerge w:val="continue"/>
            <w:vAlign w:val="center"/>
          </w:tcPr>
          <w:p w14:paraId="71F9E333">
            <w:pPr>
              <w:spacing w:line="240" w:lineRule="exact"/>
              <w:rPr>
                <w:rFonts w:ascii="方正仿宋_GBK" w:hAnsi="方正仿宋_GBK" w:eastAsia="方正仿宋_GBK" w:cs="方正仿宋_GBK"/>
                <w:color w:val="auto"/>
                <w:kern w:val="0"/>
                <w:sz w:val="24"/>
                <w:szCs w:val="24"/>
                <w:highlight w:val="none"/>
              </w:rPr>
            </w:pPr>
          </w:p>
        </w:tc>
        <w:tc>
          <w:tcPr>
            <w:tcW w:w="1884" w:type="dxa"/>
            <w:vAlign w:val="center"/>
          </w:tcPr>
          <w:p w14:paraId="4B5BC93D">
            <w:pPr>
              <w:spacing w:line="2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409" w:type="dxa"/>
            <w:vAlign w:val="center"/>
          </w:tcPr>
          <w:p w14:paraId="6D92889D">
            <w:pPr>
              <w:spacing w:line="2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法定代表人身份证明及授权委托书有效，符合网上竞采文件规定的格式，签字或盖章齐全。</w:t>
            </w:r>
          </w:p>
        </w:tc>
      </w:tr>
      <w:tr w14:paraId="0F60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ACAB28">
            <w:pPr>
              <w:spacing w:line="240" w:lineRule="exact"/>
              <w:jc w:val="center"/>
              <w:rPr>
                <w:rFonts w:ascii="方正仿宋_GBK" w:hAnsi="方正仿宋_GBK" w:eastAsia="方正仿宋_GBK" w:cs="方正仿宋_GBK"/>
                <w:color w:val="auto"/>
                <w:kern w:val="0"/>
                <w:sz w:val="24"/>
                <w:szCs w:val="24"/>
                <w:highlight w:val="none"/>
              </w:rPr>
            </w:pPr>
          </w:p>
        </w:tc>
        <w:tc>
          <w:tcPr>
            <w:tcW w:w="1500" w:type="dxa"/>
            <w:vMerge w:val="continue"/>
            <w:vAlign w:val="center"/>
          </w:tcPr>
          <w:p w14:paraId="6631545C">
            <w:pPr>
              <w:spacing w:line="240" w:lineRule="exact"/>
              <w:rPr>
                <w:rFonts w:ascii="方正仿宋_GBK" w:hAnsi="方正仿宋_GBK" w:eastAsia="方正仿宋_GBK" w:cs="方正仿宋_GBK"/>
                <w:color w:val="auto"/>
                <w:kern w:val="0"/>
                <w:sz w:val="24"/>
                <w:szCs w:val="24"/>
                <w:highlight w:val="none"/>
              </w:rPr>
            </w:pPr>
          </w:p>
        </w:tc>
        <w:tc>
          <w:tcPr>
            <w:tcW w:w="1884" w:type="dxa"/>
            <w:vAlign w:val="center"/>
          </w:tcPr>
          <w:p w14:paraId="26CD65D7">
            <w:pPr>
              <w:spacing w:line="240" w:lineRule="exact"/>
              <w:rPr>
                <w:rFonts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409" w:type="dxa"/>
            <w:vAlign w:val="center"/>
          </w:tcPr>
          <w:p w14:paraId="15D946F9">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每个分包只能有一个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455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5E4F9B5A">
            <w:pPr>
              <w:spacing w:line="240" w:lineRule="exact"/>
              <w:jc w:val="center"/>
              <w:rPr>
                <w:rFonts w:ascii="方正仿宋_GBK" w:hAnsi="方正仿宋_GBK" w:eastAsia="方正仿宋_GBK" w:cs="方正仿宋_GBK"/>
                <w:color w:val="auto"/>
                <w:kern w:val="0"/>
                <w:sz w:val="24"/>
                <w:szCs w:val="24"/>
                <w:highlight w:val="none"/>
              </w:rPr>
            </w:pPr>
          </w:p>
        </w:tc>
        <w:tc>
          <w:tcPr>
            <w:tcW w:w="1500" w:type="dxa"/>
            <w:vMerge w:val="continue"/>
            <w:vAlign w:val="center"/>
          </w:tcPr>
          <w:p w14:paraId="5604D3B4">
            <w:pPr>
              <w:spacing w:line="240" w:lineRule="exact"/>
              <w:rPr>
                <w:rFonts w:ascii="方正仿宋_GBK" w:hAnsi="方正仿宋_GBK" w:eastAsia="方正仿宋_GBK" w:cs="方正仿宋_GBK"/>
                <w:color w:val="auto"/>
                <w:kern w:val="0"/>
                <w:sz w:val="24"/>
                <w:szCs w:val="24"/>
                <w:highlight w:val="none"/>
              </w:rPr>
            </w:pPr>
          </w:p>
        </w:tc>
        <w:tc>
          <w:tcPr>
            <w:tcW w:w="1884" w:type="dxa"/>
            <w:vAlign w:val="center"/>
          </w:tcPr>
          <w:p w14:paraId="04636E3A">
            <w:pPr>
              <w:spacing w:line="240" w:lineRule="exact"/>
              <w:rPr>
                <w:rFonts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409" w:type="dxa"/>
            <w:vAlign w:val="center"/>
          </w:tcPr>
          <w:p w14:paraId="529CE660">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只能在采购预算范围内报价，</w:t>
            </w:r>
            <w:r>
              <w:rPr>
                <w:rFonts w:hint="eastAsia" w:ascii="方正仿宋_GBK" w:hAnsi="方正仿宋_GBK" w:eastAsia="方正仿宋_GBK" w:cs="方正仿宋_GBK"/>
                <w:color w:val="auto"/>
                <w:sz w:val="24"/>
                <w:szCs w:val="24"/>
                <w:highlight w:val="none"/>
              </w:rPr>
              <w:t>只能有一个有效报价，不得提交选择性报价。</w:t>
            </w:r>
          </w:p>
        </w:tc>
      </w:tr>
      <w:tr w14:paraId="7832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F8F5BE1">
            <w:pPr>
              <w:spacing w:line="240" w:lineRule="exact"/>
              <w:jc w:val="center"/>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500" w:type="dxa"/>
            <w:vAlign w:val="center"/>
          </w:tcPr>
          <w:p w14:paraId="13F48D85">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完整性审查</w:t>
            </w:r>
          </w:p>
        </w:tc>
        <w:tc>
          <w:tcPr>
            <w:tcW w:w="1884" w:type="dxa"/>
            <w:vAlign w:val="center"/>
          </w:tcPr>
          <w:p w14:paraId="3DE63217">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文件份数</w:t>
            </w:r>
          </w:p>
        </w:tc>
        <w:tc>
          <w:tcPr>
            <w:tcW w:w="5409" w:type="dxa"/>
            <w:vAlign w:val="center"/>
          </w:tcPr>
          <w:p w14:paraId="644626C5">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文件数量（</w:t>
            </w:r>
            <w:r>
              <w:rPr>
                <w:rFonts w:hint="eastAsia" w:ascii="方正仿宋_GBK" w:hAnsi="方正仿宋_GBK" w:eastAsia="方正仿宋_GBK" w:cs="方正仿宋_GBK"/>
                <w:color w:val="auto"/>
                <w:sz w:val="24"/>
                <w:szCs w:val="24"/>
                <w:highlight w:val="none"/>
              </w:rPr>
              <w:t>含电子文档</w:t>
            </w:r>
            <w:r>
              <w:rPr>
                <w:rFonts w:hint="eastAsia" w:ascii="方正仿宋_GBK" w:hAnsi="方正仿宋_GBK" w:eastAsia="方正仿宋_GBK" w:cs="方正仿宋_GBK"/>
                <w:color w:val="auto"/>
                <w:sz w:val="24"/>
                <w:szCs w:val="24"/>
                <w:highlight w:val="none"/>
                <w:lang w:val="zh-CN"/>
              </w:rPr>
              <w:t>）符合</w:t>
            </w:r>
            <w:r>
              <w:rPr>
                <w:rFonts w:hint="eastAsia" w:ascii="方正仿宋_GBK" w:hAnsi="方正仿宋_GBK" w:eastAsia="方正仿宋_GBK" w:cs="方正仿宋_GBK"/>
                <w:color w:val="auto"/>
                <w:sz w:val="24"/>
                <w:szCs w:val="24"/>
                <w:highlight w:val="none"/>
              </w:rPr>
              <w:t>网上竞采</w:t>
            </w:r>
            <w:r>
              <w:rPr>
                <w:rFonts w:hint="eastAsia" w:ascii="方正仿宋_GBK" w:hAnsi="方正仿宋_GBK" w:eastAsia="方正仿宋_GBK" w:cs="方正仿宋_GBK"/>
                <w:color w:val="auto"/>
                <w:sz w:val="24"/>
                <w:szCs w:val="24"/>
                <w:highlight w:val="none"/>
                <w:lang w:val="zh-CN"/>
              </w:rPr>
              <w:t>文件要求。</w:t>
            </w:r>
          </w:p>
        </w:tc>
      </w:tr>
      <w:tr w14:paraId="2BFC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158AB526">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1500" w:type="dxa"/>
            <w:vAlign w:val="center"/>
          </w:tcPr>
          <w:p w14:paraId="7DE0BE78">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响应程度审查</w:t>
            </w:r>
          </w:p>
        </w:tc>
        <w:tc>
          <w:tcPr>
            <w:tcW w:w="1884" w:type="dxa"/>
            <w:vAlign w:val="center"/>
          </w:tcPr>
          <w:p w14:paraId="1D8560E8">
            <w:pPr>
              <w:spacing w:line="240" w:lineRule="exact"/>
              <w:rPr>
                <w:rFonts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409" w:type="dxa"/>
            <w:vAlign w:val="center"/>
          </w:tcPr>
          <w:p w14:paraId="629DF25C">
            <w:pPr>
              <w:spacing w:line="240" w:lineRule="exact"/>
              <w:rPr>
                <w:rFonts w:ascii="方正仿宋_GBK" w:hAnsi="方正仿宋_GBK" w:eastAsia="方正仿宋_GBK" w:cs="方正仿宋_GBK"/>
                <w:color w:val="auto"/>
                <w:kern w:val="0"/>
                <w:sz w:val="24"/>
                <w:szCs w:val="24"/>
                <w:highlight w:val="none"/>
              </w:rPr>
            </w:pPr>
            <w:r>
              <w:rPr>
                <w:rFonts w:hint="eastAsia" w:ascii="仿宋" w:hAnsi="仿宋" w:eastAsia="仿宋" w:cs="宋体"/>
                <w:color w:val="auto"/>
                <w:kern w:val="0"/>
                <w:sz w:val="24"/>
                <w:szCs w:val="24"/>
                <w:highlight w:val="none"/>
              </w:rPr>
              <w:t>对网上竞采文件第二篇、第三篇规定的网上竞采内容作出响应。</w:t>
            </w:r>
          </w:p>
        </w:tc>
      </w:tr>
    </w:tbl>
    <w:p w14:paraId="078C9F05">
      <w:pPr>
        <w:snapToGrid w:val="0"/>
        <w:spacing w:line="360" w:lineRule="auto"/>
        <w:ind w:firstLine="482" w:firstLineChars="200"/>
        <w:rPr>
          <w:rFonts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3.评选方法：综合评分法。</w:t>
      </w:r>
    </w:p>
    <w:p w14:paraId="727D3366">
      <w:pPr>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投标人为本包（项目）中标候选人，排名第一的为第一中标候选人。得分相同的，按投标报价由低到高顺序排列。得分且投标报价相同的并列。</w:t>
      </w:r>
    </w:p>
    <w:p w14:paraId="4D73F31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A6D412">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C4092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（四）在网上竞采过程中网上竞采的任何一方不得向他人透露与网上竞采有关的服务资料、价格或其他信息。</w:t>
      </w:r>
    </w:p>
    <w:p w14:paraId="424E7A68">
      <w:pPr>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（五）供应商在网上竞采时作出的所有书面承诺须由法定代表人或其授权代表签字。</w:t>
      </w:r>
    </w:p>
    <w:p w14:paraId="39EB21B7">
      <w:pPr>
        <w:pStyle w:val="3"/>
        <w:numPr>
          <w:ilvl w:val="0"/>
          <w:numId w:val="4"/>
        </w:numPr>
        <w:spacing w:line="360" w:lineRule="auto"/>
        <w:rPr>
          <w:color w:val="auto"/>
          <w:highlight w:val="none"/>
        </w:rPr>
      </w:pPr>
      <w:bookmarkStart w:id="99" w:name="_Toc19383"/>
      <w:r>
        <w:rPr>
          <w:rFonts w:hint="eastAsia"/>
          <w:color w:val="auto"/>
          <w:highlight w:val="none"/>
        </w:rPr>
        <w:t>评审标准</w:t>
      </w:r>
      <w:bookmarkEnd w:id="99"/>
    </w:p>
    <w:p w14:paraId="64066005">
      <w:pPr>
        <w:pStyle w:val="9"/>
        <w:spacing w:line="360" w:lineRule="auto"/>
        <w:rPr>
          <w:color w:val="auto"/>
          <w:highlight w:val="none"/>
        </w:rPr>
      </w:pPr>
      <w:r>
        <w:rPr>
          <w:rFonts w:hint="eastAsia"/>
          <w:color w:val="auto"/>
          <w:highlight w:val="none"/>
        </w:rPr>
        <w:t>（一）评审因素</w:t>
      </w:r>
    </w:p>
    <w:tbl>
      <w:tblPr>
        <w:tblStyle w:val="21"/>
        <w:tblW w:w="9001"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82"/>
        <w:gridCol w:w="750"/>
        <w:gridCol w:w="1262"/>
        <w:gridCol w:w="3869"/>
        <w:gridCol w:w="12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序号</w:t>
            </w:r>
          </w:p>
        </w:tc>
        <w:tc>
          <w:tcPr>
            <w:tcW w:w="1282" w:type="dxa"/>
            <w:vAlign w:val="center"/>
          </w:tcPr>
          <w:p w14:paraId="2336B8A2">
            <w:pPr>
              <w:ind w:firstLine="28"/>
              <w:jc w:val="center"/>
              <w:rPr>
                <w:rFonts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评分因素</w:t>
            </w:r>
          </w:p>
          <w:p w14:paraId="3F3C0DF4">
            <w:pPr>
              <w:ind w:firstLine="28"/>
              <w:jc w:val="center"/>
              <w:rPr>
                <w:rFonts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及权重</w:t>
            </w:r>
          </w:p>
        </w:tc>
        <w:tc>
          <w:tcPr>
            <w:tcW w:w="750" w:type="dxa"/>
            <w:vAlign w:val="center"/>
          </w:tcPr>
          <w:p w14:paraId="7D098D39">
            <w:pPr>
              <w:ind w:firstLine="28"/>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分值</w:t>
            </w:r>
          </w:p>
        </w:tc>
        <w:tc>
          <w:tcPr>
            <w:tcW w:w="5131" w:type="dxa"/>
            <w:gridSpan w:val="2"/>
            <w:vAlign w:val="center"/>
          </w:tcPr>
          <w:p w14:paraId="59D91F15">
            <w:pPr>
              <w:ind w:firstLine="28"/>
              <w:jc w:val="center"/>
              <w:rPr>
                <w:rFonts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评分标准</w:t>
            </w:r>
          </w:p>
        </w:tc>
        <w:tc>
          <w:tcPr>
            <w:tcW w:w="1275" w:type="dxa"/>
            <w:vAlign w:val="center"/>
          </w:tcPr>
          <w:p w14:paraId="7C908700">
            <w:pPr>
              <w:pStyle w:val="27"/>
              <w:spacing w:before="0" w:after="0" w:line="24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282" w:type="dxa"/>
            <w:vAlign w:val="center"/>
          </w:tcPr>
          <w:p w14:paraId="1F8827D6">
            <w:pPr>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竞采报价</w:t>
            </w:r>
          </w:p>
          <w:p w14:paraId="6CD254B6">
            <w:pPr>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w:t>
            </w:r>
          </w:p>
        </w:tc>
        <w:tc>
          <w:tcPr>
            <w:tcW w:w="750" w:type="dxa"/>
            <w:vAlign w:val="center"/>
          </w:tcPr>
          <w:p w14:paraId="420D613E">
            <w:pPr>
              <w:ind w:firstLine="240" w:firstLineChars="100"/>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20</w:t>
            </w:r>
            <w:r>
              <w:rPr>
                <w:rFonts w:hint="eastAsia" w:ascii="方正仿宋_GBK" w:hAnsi="方正仿宋_GBK" w:eastAsia="方正仿宋_GBK" w:cs="方正仿宋_GBK"/>
                <w:sz w:val="24"/>
                <w:szCs w:val="24"/>
                <w:highlight w:val="none"/>
              </w:rPr>
              <w:t>分</w:t>
            </w:r>
          </w:p>
        </w:tc>
        <w:tc>
          <w:tcPr>
            <w:tcW w:w="5131" w:type="dxa"/>
            <w:gridSpan w:val="2"/>
            <w:vAlign w:val="center"/>
          </w:tcPr>
          <w:p w14:paraId="49CBBAA1">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有效的投标总报价中的最低价为评标基准价，其价格分为满分。其他供应商的价格分统一按照下列公式计算：</w:t>
            </w:r>
          </w:p>
          <w:p w14:paraId="6B24EBD2">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投标总报价得分＝（评标基准价/投标总报价）×价格权重×100。</w:t>
            </w:r>
          </w:p>
        </w:tc>
        <w:tc>
          <w:tcPr>
            <w:tcW w:w="1275" w:type="dxa"/>
            <w:vAlign w:val="center"/>
          </w:tcPr>
          <w:p w14:paraId="76BE2889">
            <w:pPr>
              <w:ind w:left="-38"/>
              <w:rPr>
                <w:rFonts w:ascii="方正仿宋_GBK" w:hAnsi="方正仿宋_GBK" w:eastAsia="方正仿宋_GBK" w:cs="方正仿宋_GBK"/>
                <w:sz w:val="24"/>
                <w:szCs w:val="24"/>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563" w:type="dxa"/>
            <w:vMerge w:val="restart"/>
            <w:vAlign w:val="center"/>
          </w:tcPr>
          <w:p w14:paraId="729D4F9F">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282" w:type="dxa"/>
            <w:vMerge w:val="restart"/>
            <w:vAlign w:val="center"/>
          </w:tcPr>
          <w:p w14:paraId="50066B01">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技术</w:t>
            </w:r>
            <w:r>
              <w:rPr>
                <w:rFonts w:hint="eastAsia" w:ascii="方正仿宋_GBK" w:hAnsi="方正仿宋_GBK" w:eastAsia="方正仿宋_GBK" w:cs="方正仿宋_GBK"/>
                <w:sz w:val="24"/>
                <w:szCs w:val="24"/>
                <w:highlight w:val="none"/>
              </w:rPr>
              <w:t>部分</w:t>
            </w:r>
          </w:p>
          <w:p w14:paraId="12068065">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60</w:t>
            </w:r>
            <w:r>
              <w:rPr>
                <w:rFonts w:hint="eastAsia" w:ascii="方正仿宋_GBK" w:hAnsi="方正仿宋_GBK" w:eastAsia="方正仿宋_GBK" w:cs="方正仿宋_GBK"/>
                <w:sz w:val="24"/>
                <w:szCs w:val="24"/>
                <w:highlight w:val="none"/>
              </w:rPr>
              <w:t>%）</w:t>
            </w:r>
          </w:p>
        </w:tc>
        <w:tc>
          <w:tcPr>
            <w:tcW w:w="750" w:type="dxa"/>
            <w:vMerge w:val="restart"/>
            <w:vAlign w:val="center"/>
          </w:tcPr>
          <w:p w14:paraId="2CF90938">
            <w:pPr>
              <w:ind w:firstLine="28"/>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60分</w:t>
            </w:r>
          </w:p>
        </w:tc>
        <w:tc>
          <w:tcPr>
            <w:tcW w:w="1262" w:type="dxa"/>
            <w:vAlign w:val="center"/>
          </w:tcPr>
          <w:p w14:paraId="688D073B">
            <w:pPr>
              <w:ind w:firstLine="28"/>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整体方案及服务</w:t>
            </w:r>
          </w:p>
          <w:p w14:paraId="7723FE5D">
            <w:pPr>
              <w:ind w:firstLine="28"/>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（20分）</w:t>
            </w:r>
          </w:p>
        </w:tc>
        <w:tc>
          <w:tcPr>
            <w:tcW w:w="3869" w:type="dxa"/>
            <w:vAlign w:val="center"/>
          </w:tcPr>
          <w:p w14:paraId="553809B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项目管理技术成熟，服务方案完全符合项目需求，针对性强的得</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分；</w:t>
            </w:r>
          </w:p>
          <w:p w14:paraId="5D4843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项目管理技术实用，方案基本符合项目需求，针对性较强的得</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p>
          <w:p w14:paraId="225DFF6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项目管理技术可行，方案针对性一般的得</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分；</w:t>
            </w:r>
          </w:p>
          <w:p w14:paraId="484F78F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不满足招标文件要求或不提供此项内容的得0分。</w:t>
            </w:r>
          </w:p>
        </w:tc>
        <w:tc>
          <w:tcPr>
            <w:tcW w:w="1275" w:type="dxa"/>
            <w:vMerge w:val="restart"/>
            <w:vAlign w:val="center"/>
          </w:tcPr>
          <w:p w14:paraId="016CEC29">
            <w:pP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根据</w:t>
            </w:r>
            <w:r>
              <w:rPr>
                <w:rFonts w:hint="eastAsia" w:ascii="方正仿宋_GBK" w:hAnsi="方正仿宋_GBK" w:eastAsia="方正仿宋_GBK" w:cs="方正仿宋_GBK"/>
                <w:sz w:val="24"/>
                <w:szCs w:val="24"/>
                <w:highlight w:val="none"/>
                <w:lang w:val="en-US" w:eastAsia="zh-CN"/>
              </w:rPr>
              <w:t>供应商</w:t>
            </w:r>
            <w:r>
              <w:rPr>
                <w:rFonts w:hint="eastAsia" w:ascii="方正仿宋_GBK" w:hAnsi="方正仿宋_GBK" w:eastAsia="方正仿宋_GBK" w:cs="方正仿宋_GBK"/>
                <w:sz w:val="24"/>
                <w:szCs w:val="24"/>
                <w:highlight w:val="none"/>
              </w:rPr>
              <w:t>提供的</w:t>
            </w:r>
            <w:r>
              <w:rPr>
                <w:rFonts w:hint="eastAsia" w:ascii="方正仿宋_GBK" w:hAnsi="方正仿宋_GBK" w:eastAsia="方正仿宋_GBK" w:cs="方正仿宋_GBK"/>
                <w:sz w:val="24"/>
                <w:szCs w:val="24"/>
                <w:highlight w:val="none"/>
                <w:lang w:val="en-US" w:eastAsia="zh-CN"/>
              </w:rPr>
              <w:t>技术</w:t>
            </w:r>
            <w:r>
              <w:rPr>
                <w:rFonts w:hint="eastAsia" w:ascii="方正仿宋_GBK" w:hAnsi="方正仿宋_GBK" w:eastAsia="方正仿宋_GBK" w:cs="方正仿宋_GBK"/>
                <w:sz w:val="24"/>
                <w:szCs w:val="24"/>
                <w:highlight w:val="none"/>
              </w:rPr>
              <w:t>方案进行综合评审。</w:t>
            </w:r>
          </w:p>
        </w:tc>
      </w:tr>
      <w:tr w14:paraId="2A2C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563" w:type="dxa"/>
            <w:vMerge w:val="continue"/>
            <w:vAlign w:val="center"/>
          </w:tcPr>
          <w:p w14:paraId="394052B8">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6233D1C7">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409D5F72">
            <w:pPr>
              <w:ind w:firstLine="28"/>
              <w:jc w:val="center"/>
              <w:rPr>
                <w:rFonts w:hint="default" w:ascii="方正仿宋_GBK" w:hAnsi="方正仿宋_GBK" w:eastAsia="方正仿宋_GBK" w:cs="方正仿宋_GBK"/>
                <w:sz w:val="24"/>
                <w:szCs w:val="24"/>
                <w:highlight w:val="none"/>
                <w:lang w:val="en-US" w:eastAsia="zh-CN"/>
              </w:rPr>
            </w:pPr>
          </w:p>
        </w:tc>
        <w:tc>
          <w:tcPr>
            <w:tcW w:w="1262" w:type="dxa"/>
            <w:vMerge w:val="restart"/>
            <w:vAlign w:val="center"/>
          </w:tcPr>
          <w:p w14:paraId="0E0C2EBC">
            <w:pPr>
              <w:ind w:firstLine="28"/>
              <w:jc w:val="center"/>
              <w:rPr>
                <w:rFonts w:hint="default" w:ascii="方正仿宋_GBK" w:hAnsi="方正仿宋_GBK" w:eastAsia="方正仿宋_GBK" w:cs="方正仿宋_GBK"/>
                <w:sz w:val="24"/>
                <w:szCs w:val="24"/>
                <w:highlight w:val="none"/>
                <w:lang w:val="en-US" w:eastAsia="zh-CN"/>
              </w:rPr>
            </w:pPr>
            <w:r>
              <w:rPr>
                <w:rFonts w:hint="default" w:ascii="方正仿宋_GBK" w:hAnsi="方正仿宋_GBK" w:eastAsia="方正仿宋_GBK" w:cs="方正仿宋_GBK"/>
                <w:sz w:val="24"/>
                <w:szCs w:val="24"/>
                <w:highlight w:val="none"/>
                <w:lang w:val="en-US" w:eastAsia="zh-CN"/>
              </w:rPr>
              <w:t>平台基础架构能力</w:t>
            </w:r>
            <w:r>
              <w:rPr>
                <w:rFonts w:hint="eastAsia" w:ascii="方正仿宋_GBK" w:hAnsi="方正仿宋_GBK" w:eastAsia="方正仿宋_GBK" w:cs="方正仿宋_GBK"/>
                <w:sz w:val="24"/>
                <w:szCs w:val="24"/>
                <w:highlight w:val="none"/>
                <w:lang w:val="en-US" w:eastAsia="zh-CN"/>
              </w:rPr>
              <w:t>（20分）</w:t>
            </w:r>
          </w:p>
        </w:tc>
        <w:tc>
          <w:tcPr>
            <w:tcW w:w="3869" w:type="dxa"/>
            <w:shd w:val="clear" w:color="auto" w:fill="auto"/>
            <w:vAlign w:val="top"/>
          </w:tcPr>
          <w:p w14:paraId="6BF1A3A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平台架构与自定义功能（</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p>
          <w:p w14:paraId="4C57ED6A">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支持项目端、公司端多级权限管理，且数据分级展示</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需提供功能界面截图及操作说明</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，得</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分；</w:t>
            </w:r>
          </w:p>
          <w:p w14:paraId="7FE6A6F9">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支持工程类别、单位工程、分部分项工程的自定义划分</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需提供后台配置界面截图及操作说明</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，得</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分；</w:t>
            </w:r>
          </w:p>
          <w:p w14:paraId="08CDF405">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注：需在</w:t>
            </w:r>
            <w:r>
              <w:rPr>
                <w:rFonts w:hint="eastAsia" w:ascii="方正仿宋_GBK" w:hAnsi="方正仿宋_GBK" w:eastAsia="方正仿宋_GBK" w:cs="方正仿宋_GBK"/>
                <w:sz w:val="24"/>
                <w:szCs w:val="24"/>
                <w:highlight w:val="none"/>
                <w:lang w:val="en-US" w:eastAsia="zh-CN"/>
              </w:rPr>
              <w:t>响应</w:t>
            </w:r>
            <w:r>
              <w:rPr>
                <w:rFonts w:hint="eastAsia" w:ascii="方正仿宋_GBK" w:hAnsi="方正仿宋_GBK" w:eastAsia="方正仿宋_GBK" w:cs="方正仿宋_GBK"/>
                <w:sz w:val="24"/>
                <w:szCs w:val="24"/>
                <w:highlight w:val="none"/>
              </w:rPr>
              <w:t>文件中提供相关证明材料，否则对应项不得分。</w:t>
            </w:r>
          </w:p>
        </w:tc>
        <w:tc>
          <w:tcPr>
            <w:tcW w:w="1275" w:type="dxa"/>
            <w:vMerge w:val="continue"/>
            <w:vAlign w:val="center"/>
          </w:tcPr>
          <w:p w14:paraId="44F8999F">
            <w:pPr>
              <w:rPr>
                <w:rFonts w:hint="eastAsia" w:ascii="方正仿宋_GBK" w:hAnsi="方正仿宋_GBK" w:eastAsia="方正仿宋_GBK" w:cs="方正仿宋_GBK"/>
                <w:sz w:val="24"/>
                <w:szCs w:val="24"/>
                <w:highlight w:val="none"/>
                <w:lang w:val="en-US" w:eastAsia="zh-CN"/>
              </w:rPr>
            </w:pPr>
          </w:p>
        </w:tc>
      </w:tr>
      <w:tr w14:paraId="22F9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563" w:type="dxa"/>
            <w:vMerge w:val="continue"/>
            <w:vAlign w:val="center"/>
          </w:tcPr>
          <w:p w14:paraId="3D40C2B5">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4D777BFA">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2C045CD6">
            <w:pPr>
              <w:ind w:firstLine="28"/>
              <w:jc w:val="center"/>
              <w:rPr>
                <w:rFonts w:hint="default" w:ascii="方正仿宋_GBK" w:hAnsi="方正仿宋_GBK" w:eastAsia="方正仿宋_GBK" w:cs="方正仿宋_GBK"/>
                <w:sz w:val="24"/>
                <w:szCs w:val="24"/>
                <w:highlight w:val="none"/>
                <w:lang w:val="en-US" w:eastAsia="zh-CN"/>
              </w:rPr>
            </w:pPr>
          </w:p>
        </w:tc>
        <w:tc>
          <w:tcPr>
            <w:tcW w:w="1262" w:type="dxa"/>
            <w:vMerge w:val="continue"/>
            <w:vAlign w:val="center"/>
          </w:tcPr>
          <w:p w14:paraId="302F9EC8">
            <w:pPr>
              <w:ind w:firstLine="28"/>
              <w:jc w:val="center"/>
              <w:rPr>
                <w:rFonts w:hint="default" w:ascii="方正仿宋_GBK" w:hAnsi="方正仿宋_GBK" w:eastAsia="方正仿宋_GBK" w:cs="方正仿宋_GBK"/>
                <w:sz w:val="24"/>
                <w:szCs w:val="24"/>
                <w:highlight w:val="none"/>
                <w:lang w:val="en-US" w:eastAsia="zh-CN"/>
              </w:rPr>
            </w:pPr>
          </w:p>
        </w:tc>
        <w:tc>
          <w:tcPr>
            <w:tcW w:w="3869" w:type="dxa"/>
            <w:shd w:val="clear" w:color="auto" w:fill="auto"/>
            <w:vAlign w:val="top"/>
          </w:tcPr>
          <w:p w14:paraId="3213FC1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多终端支持能力（</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p>
          <w:p w14:paraId="20346EF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平台采用B/S架构，支持主流浏览器访问（需提供兼容性测试报告），得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025140B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提供移动APP端（需提供应用商店上架证明或安装包），得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4FDB616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提供</w:t>
            </w:r>
            <w:r>
              <w:rPr>
                <w:rFonts w:hint="eastAsia" w:ascii="方正仿宋_GBK" w:hAnsi="方正仿宋_GBK" w:eastAsia="方正仿宋_GBK" w:cs="方正仿宋_GBK"/>
                <w:sz w:val="24"/>
                <w:szCs w:val="24"/>
                <w:highlight w:val="none"/>
                <w:lang w:val="en-US" w:eastAsia="zh-CN"/>
              </w:rPr>
              <w:t>企业</w:t>
            </w:r>
            <w:r>
              <w:rPr>
                <w:rFonts w:hint="eastAsia" w:ascii="方正仿宋_GBK" w:hAnsi="方正仿宋_GBK" w:eastAsia="方正仿宋_GBK" w:cs="方正仿宋_GBK"/>
                <w:sz w:val="24"/>
                <w:szCs w:val="24"/>
                <w:highlight w:val="none"/>
              </w:rPr>
              <w:t>微信</w:t>
            </w:r>
            <w:r>
              <w:rPr>
                <w:rFonts w:hint="eastAsia" w:ascii="方正仿宋_GBK" w:hAnsi="方正仿宋_GBK" w:eastAsia="方正仿宋_GBK" w:cs="方正仿宋_GBK"/>
                <w:sz w:val="24"/>
                <w:szCs w:val="24"/>
                <w:highlight w:val="none"/>
                <w:lang w:val="en-US" w:eastAsia="zh-CN"/>
              </w:rPr>
              <w:t>应用</w:t>
            </w:r>
            <w:r>
              <w:rPr>
                <w:rFonts w:hint="eastAsia" w:ascii="方正仿宋_GBK" w:hAnsi="方正仿宋_GBK" w:eastAsia="方正仿宋_GBK" w:cs="方正仿宋_GBK"/>
                <w:sz w:val="24"/>
                <w:szCs w:val="24"/>
                <w:highlight w:val="none"/>
              </w:rPr>
              <w:t>/微信公众号端（需提供二维码及功能界面截图），得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54FEC54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提供大屏端数据可视化功能（需提供系统功能截图</w:t>
            </w:r>
            <w:r>
              <w:rPr>
                <w:rFonts w:hint="eastAsia" w:ascii="方正仿宋_GBK" w:hAnsi="方正仿宋_GBK" w:eastAsia="方正仿宋_GBK" w:cs="方正仿宋_GBK"/>
                <w:sz w:val="24"/>
                <w:szCs w:val="24"/>
                <w:highlight w:val="none"/>
                <w:lang w:val="en-US" w:eastAsia="zh-CN"/>
              </w:rPr>
              <w:t>及</w:t>
            </w:r>
            <w:r>
              <w:rPr>
                <w:rFonts w:hint="eastAsia" w:ascii="方正仿宋_GBK" w:hAnsi="方正仿宋_GBK" w:eastAsia="方正仿宋_GBK" w:cs="方正仿宋_GBK"/>
                <w:sz w:val="24"/>
                <w:szCs w:val="24"/>
                <w:highlight w:val="none"/>
              </w:rPr>
              <w:t>书面说明），得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5A3CAC49">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多端数据实时同步（需提供技术方案说明），得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3B50DD9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注：所有功能需在投标文件中提供证明材料，否则对应项不得分。</w:t>
            </w:r>
          </w:p>
        </w:tc>
        <w:tc>
          <w:tcPr>
            <w:tcW w:w="1275" w:type="dxa"/>
            <w:vMerge w:val="continue"/>
            <w:vAlign w:val="center"/>
          </w:tcPr>
          <w:p w14:paraId="6787CD88">
            <w:pPr>
              <w:rPr>
                <w:rFonts w:hint="eastAsia" w:ascii="方正仿宋_GBK" w:hAnsi="方正仿宋_GBK" w:eastAsia="方正仿宋_GBK" w:cs="方正仿宋_GBK"/>
                <w:sz w:val="24"/>
                <w:szCs w:val="24"/>
                <w:highlight w:val="none"/>
                <w:lang w:val="en-US" w:eastAsia="zh-CN"/>
              </w:rPr>
            </w:pPr>
          </w:p>
        </w:tc>
      </w:tr>
      <w:tr w14:paraId="7F5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563" w:type="dxa"/>
            <w:vMerge w:val="continue"/>
            <w:vAlign w:val="center"/>
          </w:tcPr>
          <w:p w14:paraId="3CCA0A0B">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1F953E6B">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2C7463A7">
            <w:pPr>
              <w:ind w:firstLine="28"/>
              <w:jc w:val="center"/>
              <w:rPr>
                <w:rFonts w:hint="default" w:ascii="方正仿宋_GBK" w:hAnsi="方正仿宋_GBK" w:eastAsia="方正仿宋_GBK" w:cs="方正仿宋_GBK"/>
                <w:sz w:val="24"/>
                <w:szCs w:val="24"/>
                <w:highlight w:val="none"/>
                <w:lang w:val="en-US" w:eastAsia="zh-CN"/>
              </w:rPr>
            </w:pPr>
          </w:p>
        </w:tc>
        <w:tc>
          <w:tcPr>
            <w:tcW w:w="1262" w:type="dxa"/>
            <w:vAlign w:val="center"/>
          </w:tcPr>
          <w:p w14:paraId="34283A42">
            <w:pPr>
              <w:ind w:firstLine="28"/>
              <w:jc w:val="center"/>
              <w:rPr>
                <w:rFonts w:hint="default" w:ascii="方正仿宋_GBK" w:hAnsi="方正仿宋_GBK" w:eastAsia="方正仿宋_GBK" w:cs="方正仿宋_GBK"/>
                <w:sz w:val="24"/>
                <w:szCs w:val="24"/>
                <w:highlight w:val="none"/>
                <w:lang w:val="en-US" w:eastAsia="zh-CN"/>
              </w:rPr>
            </w:pPr>
            <w:r>
              <w:rPr>
                <w:rFonts w:hint="default" w:ascii="方正仿宋_GBK" w:hAnsi="方正仿宋_GBK" w:eastAsia="方正仿宋_GBK" w:cs="方正仿宋_GBK"/>
                <w:sz w:val="24"/>
                <w:szCs w:val="24"/>
                <w:highlight w:val="none"/>
                <w:lang w:val="en-US" w:eastAsia="zh-CN"/>
              </w:rPr>
              <w:t>低代码能力</w:t>
            </w:r>
            <w:r>
              <w:rPr>
                <w:rFonts w:hint="eastAsia" w:ascii="方正仿宋_GBK" w:hAnsi="方正仿宋_GBK" w:eastAsia="方正仿宋_GBK" w:cs="方正仿宋_GBK"/>
                <w:sz w:val="24"/>
                <w:szCs w:val="24"/>
                <w:highlight w:val="none"/>
                <w:lang w:val="en-US" w:eastAsia="zh-CN"/>
              </w:rPr>
              <w:t>（10分）</w:t>
            </w:r>
          </w:p>
        </w:tc>
        <w:tc>
          <w:tcPr>
            <w:tcW w:w="3869" w:type="dxa"/>
            <w:shd w:val="clear" w:color="auto" w:fill="auto"/>
            <w:vAlign w:val="top"/>
          </w:tcPr>
          <w:p w14:paraId="5BE1D76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default" w:ascii="方正仿宋_GBK" w:hAnsi="方正仿宋_GBK" w:eastAsia="方正仿宋_GBK" w:cs="方正仿宋_GBK"/>
                <w:sz w:val="24"/>
                <w:szCs w:val="24"/>
                <w:highlight w:val="none"/>
                <w:lang w:val="en-US" w:eastAsia="zh-CN"/>
              </w:rPr>
              <w:t>基于本项目工期紧、研发响应时效要求高等特点，平台基础能力需要采用低代码/无代码技术架构</w:t>
            </w:r>
            <w:r>
              <w:rPr>
                <w:rFonts w:hint="eastAsia" w:ascii="方正仿宋_GBK" w:hAnsi="方正仿宋_GBK" w:eastAsia="方正仿宋_GBK" w:cs="方正仿宋_GBK"/>
                <w:sz w:val="24"/>
                <w:szCs w:val="24"/>
                <w:highlight w:val="none"/>
                <w:lang w:val="en-US" w:eastAsia="zh-CN"/>
              </w:rPr>
              <w:t>，</w:t>
            </w:r>
            <w:r>
              <w:rPr>
                <w:rFonts w:hint="default" w:ascii="方正仿宋_GBK" w:hAnsi="方正仿宋_GBK" w:eastAsia="方正仿宋_GBK" w:cs="方正仿宋_GBK"/>
                <w:sz w:val="24"/>
                <w:szCs w:val="24"/>
                <w:highlight w:val="none"/>
                <w:lang w:val="en-US" w:eastAsia="zh-CN"/>
              </w:rPr>
              <w:t>需满足以下技术能力，每满足一项得</w:t>
            </w:r>
            <w:r>
              <w:rPr>
                <w:rFonts w:hint="eastAsia" w:ascii="方正仿宋_GBK" w:hAnsi="方正仿宋_GBK" w:eastAsia="方正仿宋_GBK" w:cs="方正仿宋_GBK"/>
                <w:sz w:val="24"/>
                <w:szCs w:val="24"/>
                <w:highlight w:val="none"/>
                <w:lang w:val="en-US" w:eastAsia="zh-CN"/>
              </w:rPr>
              <w:t>2</w:t>
            </w:r>
            <w:r>
              <w:rPr>
                <w:rFonts w:hint="default" w:ascii="方正仿宋_GBK" w:hAnsi="方正仿宋_GBK" w:eastAsia="方正仿宋_GBK" w:cs="方正仿宋_GBK"/>
                <w:sz w:val="24"/>
                <w:szCs w:val="24"/>
                <w:highlight w:val="none"/>
                <w:lang w:val="en-US" w:eastAsia="zh-CN"/>
              </w:rPr>
              <w:t>分，最高</w:t>
            </w:r>
            <w:r>
              <w:rPr>
                <w:rFonts w:hint="eastAsia" w:ascii="方正仿宋_GBK" w:hAnsi="方正仿宋_GBK" w:eastAsia="方正仿宋_GBK" w:cs="方正仿宋_GBK"/>
                <w:sz w:val="24"/>
                <w:szCs w:val="24"/>
                <w:highlight w:val="none"/>
                <w:lang w:val="en-US" w:eastAsia="zh-CN"/>
              </w:rPr>
              <w:t>10</w:t>
            </w:r>
            <w:r>
              <w:rPr>
                <w:rFonts w:hint="default" w:ascii="方正仿宋_GBK" w:hAnsi="方正仿宋_GBK" w:eastAsia="方正仿宋_GBK" w:cs="方正仿宋_GBK"/>
                <w:sz w:val="24"/>
                <w:szCs w:val="24"/>
                <w:highlight w:val="none"/>
                <w:lang w:val="en-US" w:eastAsia="zh-CN"/>
              </w:rPr>
              <w:t>分：</w:t>
            </w:r>
          </w:p>
          <w:p w14:paraId="1D29610F">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r>
              <w:rPr>
                <w:rFonts w:hint="default" w:ascii="方正仿宋_GBK" w:hAnsi="方正仿宋_GBK" w:eastAsia="方正仿宋_GBK" w:cs="方正仿宋_GBK"/>
                <w:sz w:val="24"/>
                <w:szCs w:val="24"/>
                <w:highlight w:val="none"/>
                <w:lang w:val="en-US" w:eastAsia="zh-CN"/>
              </w:rPr>
              <w:t>流程引擎：支持可视化流程编排，且与表单引擎联动（需提交流程图设计界面截图）；</w:t>
            </w:r>
          </w:p>
          <w:p w14:paraId="2DA00F2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r>
              <w:rPr>
                <w:rFonts w:hint="default" w:ascii="方正仿宋_GBK" w:hAnsi="方正仿宋_GBK" w:eastAsia="方正仿宋_GBK" w:cs="方正仿宋_GBK"/>
                <w:sz w:val="24"/>
                <w:szCs w:val="24"/>
                <w:highlight w:val="none"/>
                <w:lang w:val="en-US" w:eastAsia="zh-CN"/>
              </w:rPr>
              <w:t>表格引擎：支持动态数据绑定与复杂表格配置（需提交数据表格配置示例）；</w:t>
            </w:r>
          </w:p>
          <w:p w14:paraId="4D377A01">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r>
              <w:rPr>
                <w:rFonts w:hint="default" w:ascii="方正仿宋_GBK" w:hAnsi="方正仿宋_GBK" w:eastAsia="方正仿宋_GBK" w:cs="方正仿宋_GBK"/>
                <w:sz w:val="24"/>
                <w:szCs w:val="24"/>
                <w:highlight w:val="none"/>
                <w:lang w:val="en-US" w:eastAsia="zh-CN"/>
              </w:rPr>
              <w:t>可视化拓扑图：支持节点拖拽与自动布局（需提交拓扑图生成操作</w:t>
            </w:r>
            <w:r>
              <w:rPr>
                <w:rFonts w:hint="eastAsia" w:ascii="方正仿宋_GBK" w:hAnsi="方正仿宋_GBK" w:eastAsia="方正仿宋_GBK" w:cs="方正仿宋_GBK"/>
                <w:sz w:val="24"/>
                <w:szCs w:val="24"/>
                <w:highlight w:val="none"/>
                <w:lang w:val="en-US" w:eastAsia="zh-CN"/>
              </w:rPr>
              <w:t>说明</w:t>
            </w:r>
            <w:r>
              <w:rPr>
                <w:rFonts w:hint="default" w:ascii="方正仿宋_GBK" w:hAnsi="方正仿宋_GBK" w:eastAsia="方正仿宋_GBK" w:cs="方正仿宋_GBK"/>
                <w:sz w:val="24"/>
                <w:szCs w:val="24"/>
                <w:highlight w:val="none"/>
                <w:lang w:val="en-US" w:eastAsia="zh-CN"/>
              </w:rPr>
              <w:t>）；</w:t>
            </w:r>
          </w:p>
          <w:p w14:paraId="6CDE0146">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w:t>
            </w:r>
            <w:r>
              <w:rPr>
                <w:rFonts w:hint="default" w:ascii="方正仿宋_GBK" w:hAnsi="方正仿宋_GBK" w:eastAsia="方正仿宋_GBK" w:cs="方正仿宋_GBK"/>
                <w:sz w:val="24"/>
                <w:szCs w:val="24"/>
                <w:highlight w:val="none"/>
                <w:lang w:val="en-US" w:eastAsia="zh-CN"/>
              </w:rPr>
              <w:t>BIM/GIS引擎集成：支持BIM模型或GIS地图嵌入（需提交模型加载示例截图）；</w:t>
            </w:r>
          </w:p>
          <w:p w14:paraId="464246F6">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r>
              <w:rPr>
                <w:rFonts w:hint="default" w:ascii="方正仿宋_GBK" w:hAnsi="方正仿宋_GBK" w:eastAsia="方正仿宋_GBK" w:cs="方正仿宋_GBK"/>
                <w:sz w:val="24"/>
                <w:szCs w:val="24"/>
                <w:highlight w:val="none"/>
                <w:lang w:val="en-US" w:eastAsia="zh-CN"/>
              </w:rPr>
              <w:t>应用体系：提供至少5个预置行业应用模板（如工程管理、OA等，需提交模板清单）；</w:t>
            </w:r>
          </w:p>
          <w:p w14:paraId="660180C8">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注：所有功能需在响应文件中提供证明材料，否则对应项不得分；</w:t>
            </w:r>
          </w:p>
          <w:p w14:paraId="00C79A96">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其他未列明但功能等效的技术方案，经评标委员会认定后可酌情给分。</w:t>
            </w:r>
          </w:p>
        </w:tc>
        <w:tc>
          <w:tcPr>
            <w:tcW w:w="1275" w:type="dxa"/>
            <w:vMerge w:val="continue"/>
            <w:vAlign w:val="center"/>
          </w:tcPr>
          <w:p w14:paraId="5AB401E3">
            <w:pPr>
              <w:rPr>
                <w:rFonts w:hint="eastAsia" w:ascii="方正仿宋_GBK" w:hAnsi="方正仿宋_GBK" w:eastAsia="方正仿宋_GBK" w:cs="方正仿宋_GBK"/>
                <w:sz w:val="24"/>
                <w:szCs w:val="24"/>
                <w:highlight w:val="none"/>
                <w:lang w:val="en-US" w:eastAsia="zh-CN"/>
              </w:rPr>
            </w:pPr>
          </w:p>
        </w:tc>
      </w:tr>
      <w:tr w14:paraId="1AA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63" w:type="dxa"/>
            <w:vMerge w:val="continue"/>
            <w:vAlign w:val="center"/>
          </w:tcPr>
          <w:p w14:paraId="2FF7BDB1">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41E161D9">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66864EA9">
            <w:pPr>
              <w:ind w:firstLine="28"/>
              <w:jc w:val="center"/>
              <w:rPr>
                <w:rFonts w:hint="default" w:ascii="方正仿宋_GBK" w:hAnsi="方正仿宋_GBK" w:eastAsia="方正仿宋_GBK" w:cs="方正仿宋_GBK"/>
                <w:sz w:val="24"/>
                <w:szCs w:val="24"/>
                <w:highlight w:val="none"/>
                <w:lang w:val="en-US" w:eastAsia="zh-CN"/>
              </w:rPr>
            </w:pPr>
          </w:p>
        </w:tc>
        <w:tc>
          <w:tcPr>
            <w:tcW w:w="1262" w:type="dxa"/>
            <w:vAlign w:val="center"/>
          </w:tcPr>
          <w:p w14:paraId="1211B790">
            <w:pPr>
              <w:ind w:firstLine="28"/>
              <w:jc w:val="center"/>
              <w:rPr>
                <w:rFonts w:hint="default" w:ascii="方正仿宋_GBK" w:hAnsi="方正仿宋_GBK" w:eastAsia="方正仿宋_GBK" w:cs="方正仿宋_GBK"/>
                <w:sz w:val="24"/>
                <w:szCs w:val="24"/>
                <w:highlight w:val="none"/>
                <w:lang w:val="en-US" w:eastAsia="zh-CN"/>
              </w:rPr>
            </w:pPr>
            <w:r>
              <w:rPr>
                <w:rFonts w:hint="default" w:ascii="方正仿宋_GBK" w:hAnsi="方正仿宋_GBK" w:eastAsia="方正仿宋_GBK" w:cs="方正仿宋_GBK"/>
                <w:sz w:val="24"/>
                <w:szCs w:val="24"/>
                <w:highlight w:val="none"/>
                <w:lang w:val="en-US" w:eastAsia="zh-CN"/>
              </w:rPr>
              <w:t>质量及进度保障措施</w:t>
            </w:r>
            <w:r>
              <w:rPr>
                <w:rFonts w:hint="eastAsia" w:ascii="方正仿宋_GBK" w:hAnsi="方正仿宋_GBK" w:eastAsia="方正仿宋_GBK" w:cs="方正仿宋_GBK"/>
                <w:sz w:val="24"/>
                <w:szCs w:val="24"/>
                <w:highlight w:val="none"/>
                <w:lang w:val="en-US" w:eastAsia="zh-CN"/>
              </w:rPr>
              <w:t>（10分）</w:t>
            </w:r>
          </w:p>
        </w:tc>
        <w:tc>
          <w:tcPr>
            <w:tcW w:w="3869" w:type="dxa"/>
            <w:shd w:val="clear" w:color="auto" w:fill="auto"/>
            <w:vAlign w:val="top"/>
          </w:tcPr>
          <w:p w14:paraId="0708C8A2">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1、服务质量承诺满足竞采文件要求，承诺详细，较好，保证措施完善、可行，有具体的违约处罚承诺得10分；</w:t>
            </w:r>
          </w:p>
          <w:p w14:paraId="032A80F9">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2、服务质量承诺满足竞采文件要求，但较一般，保证措施基本完善、基本可行，有违约处罚承诺得5分；</w:t>
            </w:r>
          </w:p>
          <w:p w14:paraId="02711586">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3、服务质量承诺满足竞采文件要求，但较差，保证措施不完善的得1分。</w:t>
            </w:r>
          </w:p>
        </w:tc>
        <w:tc>
          <w:tcPr>
            <w:tcW w:w="1275" w:type="dxa"/>
            <w:vMerge w:val="continue"/>
            <w:vAlign w:val="center"/>
          </w:tcPr>
          <w:p w14:paraId="21CECBCC">
            <w:pPr>
              <w:rPr>
                <w:rFonts w:hint="eastAsia" w:ascii="方正仿宋_GBK" w:hAnsi="方正仿宋_GBK" w:eastAsia="方正仿宋_GBK" w:cs="方正仿宋_GBK"/>
                <w:sz w:val="24"/>
                <w:szCs w:val="24"/>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restart"/>
            <w:vAlign w:val="center"/>
          </w:tcPr>
          <w:p w14:paraId="5BCC081C">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282" w:type="dxa"/>
            <w:vMerge w:val="restart"/>
            <w:vAlign w:val="center"/>
          </w:tcPr>
          <w:p w14:paraId="5344743C">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商务部分</w:t>
            </w:r>
          </w:p>
          <w:p w14:paraId="460101E8">
            <w:pPr>
              <w:ind w:firstLine="28"/>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w:t>
            </w:r>
          </w:p>
        </w:tc>
        <w:tc>
          <w:tcPr>
            <w:tcW w:w="750" w:type="dxa"/>
            <w:vMerge w:val="restart"/>
            <w:vAlign w:val="center"/>
          </w:tcPr>
          <w:p w14:paraId="35C57DEE">
            <w:pPr>
              <w:jc w:val="left"/>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20分</w:t>
            </w:r>
          </w:p>
        </w:tc>
        <w:tc>
          <w:tcPr>
            <w:tcW w:w="1262" w:type="dxa"/>
            <w:vMerge w:val="restart"/>
            <w:vAlign w:val="center"/>
          </w:tcPr>
          <w:p w14:paraId="00DBE1AD">
            <w:pPr>
              <w:jc w:val="left"/>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企业实力（10分）</w:t>
            </w:r>
          </w:p>
        </w:tc>
        <w:tc>
          <w:tcPr>
            <w:tcW w:w="3869" w:type="dxa"/>
            <w:vAlign w:val="center"/>
          </w:tcPr>
          <w:p w14:paraId="24D835BE">
            <w:pPr>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供应商提供</w:t>
            </w:r>
            <w:r>
              <w:rPr>
                <w:rFonts w:hint="eastAsia" w:ascii="方正仿宋_GBK" w:hAnsi="方正仿宋_GBK" w:eastAsia="方正仿宋_GBK" w:cs="方正仿宋_GBK"/>
                <w:sz w:val="24"/>
                <w:szCs w:val="24"/>
                <w:highlight w:val="none"/>
              </w:rPr>
              <w:t>有效期内的质量管理体系认证证书、职业健康安全管理体系认证证书、环境管理体系认证证书、信息安全管理体系认证证书，CMMI认证3级及以上证书，每提供一项证书得</w:t>
            </w:r>
            <w:r>
              <w:rPr>
                <w:rFonts w:hint="eastAsia" w:ascii="方正仿宋_GBK" w:hAnsi="方正仿宋_GBK" w:eastAsia="方正仿宋_GBK" w:cs="方正仿宋_GBK"/>
                <w:sz w:val="24"/>
                <w:szCs w:val="24"/>
                <w:highlight w:val="none"/>
                <w:lang w:val="en-US" w:eastAsia="zh-CN"/>
              </w:rPr>
              <w:t>0.4</w:t>
            </w:r>
            <w:r>
              <w:rPr>
                <w:rFonts w:hint="eastAsia" w:ascii="方正仿宋_GBK" w:hAnsi="方正仿宋_GBK" w:eastAsia="方正仿宋_GBK" w:cs="方正仿宋_GBK"/>
                <w:sz w:val="24"/>
                <w:szCs w:val="24"/>
                <w:highlight w:val="none"/>
              </w:rPr>
              <w:t>分，此项最多得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szCs w:val="24"/>
                <w:highlight w:val="none"/>
                <w:lang w:eastAsia="zh-CN"/>
              </w:rPr>
              <w:t>。</w:t>
            </w:r>
          </w:p>
          <w:p w14:paraId="676975D1">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提供证书复印件加盖供应商公章。</w:t>
            </w:r>
          </w:p>
        </w:tc>
        <w:tc>
          <w:tcPr>
            <w:tcW w:w="1275" w:type="dxa"/>
            <w:vAlign w:val="center"/>
          </w:tcPr>
          <w:p w14:paraId="449A211F">
            <w:pPr>
              <w:ind w:left="-38"/>
              <w:rPr>
                <w:rFonts w:hint="default" w:ascii="方正仿宋_GBK" w:hAnsi="方正仿宋_GBK" w:eastAsia="方正仿宋_GBK" w:cs="方正仿宋_GBK"/>
                <w:sz w:val="24"/>
                <w:szCs w:val="24"/>
                <w:highlight w:val="green"/>
                <w:lang w:val="en-US" w:eastAsia="zh-CN"/>
              </w:rPr>
            </w:pPr>
          </w:p>
        </w:tc>
      </w:tr>
      <w:tr w14:paraId="07C9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continue"/>
            <w:vAlign w:val="center"/>
          </w:tcPr>
          <w:p w14:paraId="2CC22A8C">
            <w:pPr>
              <w:ind w:firstLine="28"/>
              <w:jc w:val="center"/>
              <w:rPr>
                <w:rFonts w:hint="eastAsia" w:ascii="方正仿宋_GBK" w:hAnsi="方正仿宋_GBK" w:eastAsia="方正仿宋_GBK" w:cs="方正仿宋_GBK"/>
                <w:sz w:val="24"/>
                <w:szCs w:val="24"/>
                <w:highlight w:val="none"/>
              </w:rPr>
            </w:pPr>
            <w:bookmarkStart w:id="100" w:name="_Toc31789"/>
            <w:bookmarkStart w:id="101" w:name="_Toc106030892"/>
            <w:bookmarkStart w:id="102" w:name="_Toc76462337"/>
            <w:bookmarkStart w:id="103" w:name="_Toc102227313"/>
          </w:p>
        </w:tc>
        <w:tc>
          <w:tcPr>
            <w:tcW w:w="1282" w:type="dxa"/>
            <w:vMerge w:val="continue"/>
            <w:vAlign w:val="center"/>
          </w:tcPr>
          <w:p w14:paraId="40631C98">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298CFBCD">
            <w:pPr>
              <w:jc w:val="left"/>
              <w:rPr>
                <w:rFonts w:hint="eastAsia" w:ascii="方正仿宋_GBK" w:hAnsi="方正仿宋_GBK" w:eastAsia="方正仿宋_GBK" w:cs="方正仿宋_GBK"/>
                <w:sz w:val="24"/>
                <w:szCs w:val="24"/>
                <w:highlight w:val="none"/>
                <w:lang w:val="en-US" w:eastAsia="zh-CN"/>
              </w:rPr>
            </w:pPr>
          </w:p>
        </w:tc>
        <w:tc>
          <w:tcPr>
            <w:tcW w:w="1262" w:type="dxa"/>
            <w:vMerge w:val="continue"/>
            <w:vAlign w:val="center"/>
          </w:tcPr>
          <w:p w14:paraId="07F139AE">
            <w:pPr>
              <w:jc w:val="left"/>
              <w:rPr>
                <w:rFonts w:hint="eastAsia" w:ascii="方正仿宋_GBK" w:hAnsi="方正仿宋_GBK" w:eastAsia="方正仿宋_GBK" w:cs="方正仿宋_GBK"/>
                <w:sz w:val="24"/>
                <w:szCs w:val="24"/>
                <w:highlight w:val="none"/>
                <w:lang w:val="en-US" w:eastAsia="zh-CN"/>
              </w:rPr>
            </w:pPr>
          </w:p>
        </w:tc>
        <w:tc>
          <w:tcPr>
            <w:tcW w:w="3869" w:type="dxa"/>
            <w:vAlign w:val="top"/>
          </w:tcPr>
          <w:p w14:paraId="017321B2">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供应商属于高新技术企业，且具有电子与智能化工程专业承包二级及以上资质，满足条件得2分。</w:t>
            </w:r>
          </w:p>
          <w:p w14:paraId="7D9F8F59">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提供有效高新技术企业证书和资质证书复印件加盖供应商公章。</w:t>
            </w:r>
          </w:p>
        </w:tc>
        <w:tc>
          <w:tcPr>
            <w:tcW w:w="1275" w:type="dxa"/>
            <w:vAlign w:val="center"/>
          </w:tcPr>
          <w:p w14:paraId="5E6BADA2">
            <w:pPr>
              <w:keepNext w:val="0"/>
              <w:keepLines w:val="0"/>
              <w:pageBreakBefore w:val="0"/>
              <w:widowControl w:val="0"/>
              <w:kinsoku/>
              <w:wordWrap/>
              <w:overflowPunct/>
              <w:topLinePunct w:val="0"/>
              <w:autoSpaceDE/>
              <w:autoSpaceDN/>
              <w:bidi w:val="0"/>
              <w:adjustRightInd/>
              <w:snapToGrid/>
              <w:spacing w:line="300" w:lineRule="exact"/>
              <w:ind w:left="-40"/>
              <w:textAlignment w:val="auto"/>
              <w:rPr>
                <w:rFonts w:hint="default" w:ascii="方正仿宋_GBK" w:hAnsi="方正仿宋_GBK" w:eastAsia="方正仿宋_GBK" w:cs="方正仿宋_GBK"/>
                <w:sz w:val="24"/>
                <w:szCs w:val="24"/>
                <w:highlight w:val="green"/>
                <w:lang w:val="en-US" w:eastAsia="zh-CN"/>
              </w:rPr>
            </w:pPr>
          </w:p>
        </w:tc>
      </w:tr>
      <w:tr w14:paraId="746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continue"/>
            <w:vAlign w:val="center"/>
          </w:tcPr>
          <w:p w14:paraId="35D7F17B">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725EBBE5">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5AAF63C6">
            <w:pPr>
              <w:jc w:val="left"/>
              <w:rPr>
                <w:rFonts w:hint="eastAsia" w:ascii="方正仿宋_GBK" w:hAnsi="方正仿宋_GBK" w:eastAsia="方正仿宋_GBK" w:cs="方正仿宋_GBK"/>
                <w:sz w:val="24"/>
                <w:szCs w:val="24"/>
                <w:highlight w:val="none"/>
                <w:lang w:val="en-US" w:eastAsia="zh-CN"/>
              </w:rPr>
            </w:pPr>
          </w:p>
        </w:tc>
        <w:tc>
          <w:tcPr>
            <w:tcW w:w="1262" w:type="dxa"/>
            <w:vMerge w:val="continue"/>
            <w:vAlign w:val="center"/>
          </w:tcPr>
          <w:p w14:paraId="03B738F5">
            <w:pPr>
              <w:jc w:val="left"/>
              <w:rPr>
                <w:rFonts w:hint="eastAsia" w:ascii="方正仿宋_GBK" w:hAnsi="方正仿宋_GBK" w:eastAsia="方正仿宋_GBK" w:cs="方正仿宋_GBK"/>
                <w:sz w:val="24"/>
                <w:szCs w:val="24"/>
                <w:highlight w:val="none"/>
                <w:lang w:val="en-US" w:eastAsia="zh-CN"/>
              </w:rPr>
            </w:pPr>
          </w:p>
        </w:tc>
        <w:tc>
          <w:tcPr>
            <w:tcW w:w="3869" w:type="dxa"/>
            <w:vAlign w:val="top"/>
          </w:tcPr>
          <w:p w14:paraId="456C7388">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具有完全自主知识产权，供应商提供不少于5项类似产品软件著作权，至少包含项目管理平台、BIMGIS图形平台、零代码开发平台、工程数字资料档案、智慧建管相关核心产品软件著作权资料，满足条件得3分。</w:t>
            </w:r>
          </w:p>
          <w:p w14:paraId="6C633ACD">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提供软件著作权证书复印件加盖供应商公章。</w:t>
            </w:r>
          </w:p>
        </w:tc>
        <w:tc>
          <w:tcPr>
            <w:tcW w:w="1275" w:type="dxa"/>
            <w:vAlign w:val="center"/>
          </w:tcPr>
          <w:p w14:paraId="5336E2CE">
            <w:pPr>
              <w:keepNext w:val="0"/>
              <w:keepLines w:val="0"/>
              <w:pageBreakBefore w:val="0"/>
              <w:widowControl w:val="0"/>
              <w:kinsoku/>
              <w:wordWrap/>
              <w:overflowPunct/>
              <w:topLinePunct w:val="0"/>
              <w:autoSpaceDE/>
              <w:autoSpaceDN/>
              <w:bidi w:val="0"/>
              <w:adjustRightInd/>
              <w:snapToGrid/>
              <w:spacing w:line="300" w:lineRule="exact"/>
              <w:ind w:left="-40"/>
              <w:textAlignment w:val="auto"/>
              <w:rPr>
                <w:rFonts w:hint="default" w:ascii="方正仿宋_GBK" w:hAnsi="方正仿宋_GBK" w:eastAsia="方正仿宋_GBK" w:cs="方正仿宋_GBK"/>
                <w:sz w:val="24"/>
                <w:szCs w:val="24"/>
                <w:highlight w:val="green"/>
                <w:lang w:val="en-US" w:eastAsia="zh-CN"/>
              </w:rPr>
            </w:pPr>
          </w:p>
        </w:tc>
      </w:tr>
      <w:tr w14:paraId="13AE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continue"/>
            <w:vAlign w:val="center"/>
          </w:tcPr>
          <w:p w14:paraId="716F870C">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19684464">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138FEC09">
            <w:pPr>
              <w:jc w:val="left"/>
              <w:rPr>
                <w:rFonts w:hint="eastAsia" w:ascii="方正仿宋_GBK" w:hAnsi="方正仿宋_GBK" w:eastAsia="方正仿宋_GBK" w:cs="方正仿宋_GBK"/>
                <w:sz w:val="24"/>
                <w:szCs w:val="24"/>
                <w:highlight w:val="none"/>
                <w:lang w:val="en-US" w:eastAsia="zh-CN"/>
              </w:rPr>
            </w:pPr>
          </w:p>
        </w:tc>
        <w:tc>
          <w:tcPr>
            <w:tcW w:w="1262" w:type="dxa"/>
            <w:vMerge w:val="continue"/>
            <w:vAlign w:val="center"/>
          </w:tcPr>
          <w:p w14:paraId="7893B10B">
            <w:pPr>
              <w:jc w:val="left"/>
              <w:rPr>
                <w:rFonts w:hint="eastAsia" w:ascii="方正仿宋_GBK" w:hAnsi="方正仿宋_GBK" w:eastAsia="方正仿宋_GBK" w:cs="方正仿宋_GBK"/>
                <w:sz w:val="24"/>
                <w:szCs w:val="24"/>
                <w:highlight w:val="none"/>
                <w:lang w:val="en-US" w:eastAsia="zh-CN"/>
              </w:rPr>
            </w:pPr>
          </w:p>
        </w:tc>
        <w:tc>
          <w:tcPr>
            <w:tcW w:w="3869" w:type="dxa"/>
            <w:vAlign w:val="top"/>
          </w:tcPr>
          <w:p w14:paraId="7940ECCE">
            <w:pPr>
              <w:ind w:firstLine="480" w:firstLineChars="200"/>
              <w:jc w:val="both"/>
              <w:rPr>
                <w:rFonts w:hint="eastAsia" w:ascii="方正仿宋_GBK" w:hAnsi="方正仿宋_GBK" w:eastAsia="方正仿宋_GBK" w:cs="方正仿宋_GBK"/>
                <w:sz w:val="24"/>
                <w:szCs w:val="24"/>
                <w:highlight w:val="yellow"/>
                <w:lang w:val="en-US" w:eastAsia="zh-CN"/>
              </w:rPr>
            </w:pPr>
            <w:r>
              <w:rPr>
                <w:rFonts w:hint="eastAsia" w:ascii="方正仿宋_GBK" w:hAnsi="方正仿宋_GBK" w:eastAsia="方正仿宋_GBK" w:cs="方正仿宋_GBK"/>
                <w:sz w:val="24"/>
                <w:szCs w:val="24"/>
                <w:highlight w:val="yellow"/>
                <w:lang w:val="en-US" w:eastAsia="zh-CN"/>
              </w:rPr>
              <w:t>供应商承诺在12个月运维期满后，若采购人选择续签运维合同，每年运维费用（含人工、耗材、管理等全部成本）不超过原合同金额的10%（承诺书</w:t>
            </w:r>
            <w:bookmarkStart w:id="211" w:name="_GoBack"/>
            <w:bookmarkEnd w:id="211"/>
            <w:r>
              <w:rPr>
                <w:rFonts w:hint="eastAsia" w:ascii="方正仿宋_GBK" w:hAnsi="方正仿宋_GBK" w:eastAsia="方正仿宋_GBK" w:cs="方正仿宋_GBK"/>
                <w:sz w:val="24"/>
                <w:szCs w:val="24"/>
                <w:highlight w:val="yellow"/>
                <w:lang w:val="en-US" w:eastAsia="zh-CN"/>
              </w:rPr>
              <w:t>格式自拟），提供承诺书的得3分。</w:t>
            </w:r>
          </w:p>
          <w:p w14:paraId="3B5C35A0">
            <w:pPr>
              <w:ind w:firstLine="480" w:firstLineChars="200"/>
              <w:jc w:val="both"/>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yellow"/>
                <w:lang w:val="en-US" w:eastAsia="zh-CN"/>
              </w:rPr>
              <w:t>注：“原合同金额”指本次竞采的成交金额。</w:t>
            </w:r>
          </w:p>
        </w:tc>
        <w:tc>
          <w:tcPr>
            <w:tcW w:w="1275" w:type="dxa"/>
            <w:vAlign w:val="center"/>
          </w:tcPr>
          <w:p w14:paraId="761E31D4">
            <w:pPr>
              <w:keepNext w:val="0"/>
              <w:keepLines w:val="0"/>
              <w:pageBreakBefore w:val="0"/>
              <w:widowControl w:val="0"/>
              <w:kinsoku/>
              <w:wordWrap/>
              <w:overflowPunct/>
              <w:topLinePunct w:val="0"/>
              <w:autoSpaceDE/>
              <w:autoSpaceDN/>
              <w:bidi w:val="0"/>
              <w:adjustRightInd/>
              <w:snapToGrid/>
              <w:spacing w:line="300" w:lineRule="exact"/>
              <w:ind w:left="-40"/>
              <w:textAlignment w:val="auto"/>
              <w:rPr>
                <w:rFonts w:hint="default" w:ascii="方正仿宋_GBK" w:hAnsi="方正仿宋_GBK" w:eastAsia="方正仿宋_GBK" w:cs="方正仿宋_GBK"/>
                <w:sz w:val="24"/>
                <w:szCs w:val="24"/>
                <w:highlight w:val="green"/>
                <w:lang w:val="en-US" w:eastAsia="zh-CN"/>
              </w:rPr>
            </w:pPr>
          </w:p>
        </w:tc>
      </w:tr>
      <w:tr w14:paraId="150D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continue"/>
            <w:vAlign w:val="center"/>
          </w:tcPr>
          <w:p w14:paraId="055428A4">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52CCDEAF">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73FE54AF">
            <w:pPr>
              <w:jc w:val="left"/>
              <w:rPr>
                <w:rFonts w:hint="eastAsia" w:ascii="方正仿宋_GBK" w:hAnsi="方正仿宋_GBK" w:eastAsia="方正仿宋_GBK" w:cs="方正仿宋_GBK"/>
                <w:sz w:val="24"/>
                <w:szCs w:val="24"/>
                <w:highlight w:val="none"/>
                <w:lang w:val="en-US" w:eastAsia="zh-CN"/>
              </w:rPr>
            </w:pPr>
          </w:p>
        </w:tc>
        <w:tc>
          <w:tcPr>
            <w:tcW w:w="1262" w:type="dxa"/>
            <w:vAlign w:val="center"/>
          </w:tcPr>
          <w:p w14:paraId="6D902000">
            <w:pPr>
              <w:ind w:firstLine="28" w:firstLineChars="0"/>
              <w:jc w:val="center"/>
              <w:rPr>
                <w:rFonts w:hint="eastAsia" w:ascii="方正仿宋_GBK" w:hAnsi="方正仿宋_GBK" w:eastAsia="方正仿宋_GBK" w:cs="方正仿宋_GBK"/>
                <w:sz w:val="24"/>
                <w:szCs w:val="24"/>
                <w:highlight w:val="none"/>
                <w:lang w:val="en-US" w:eastAsia="zh-CN"/>
              </w:rPr>
            </w:pPr>
            <w:r>
              <w:rPr>
                <w:rFonts w:hint="default" w:ascii="方正仿宋_GBK" w:hAnsi="方正仿宋_GBK" w:eastAsia="方正仿宋_GBK" w:cs="方正仿宋_GBK"/>
                <w:sz w:val="24"/>
                <w:szCs w:val="24"/>
                <w:highlight w:val="none"/>
                <w:lang w:val="en-US" w:eastAsia="zh-CN"/>
              </w:rPr>
              <w:t>服务团队</w:t>
            </w:r>
            <w:r>
              <w:rPr>
                <w:rFonts w:hint="eastAsia" w:ascii="方正仿宋_GBK" w:hAnsi="方正仿宋_GBK" w:eastAsia="方正仿宋_GBK" w:cs="方正仿宋_GBK"/>
                <w:sz w:val="24"/>
                <w:szCs w:val="24"/>
                <w:highlight w:val="none"/>
                <w:lang w:val="en-US" w:eastAsia="zh-CN"/>
              </w:rPr>
              <w:t>（5分）</w:t>
            </w:r>
          </w:p>
        </w:tc>
        <w:tc>
          <w:tcPr>
            <w:tcW w:w="3869" w:type="dxa"/>
            <w:vAlign w:val="center"/>
          </w:tcPr>
          <w:p w14:paraId="3D4700DF">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1.项目负责人具有IT类高级职称（系统架构设计师专业），满足条件得</w:t>
            </w: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分；</w:t>
            </w:r>
          </w:p>
          <w:p w14:paraId="207B2CFA">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2.拟派项目研发团队不少于5人，均为IT类相关专业（毕业专业或职称专业），且研发负责人具有IT类高级职称，满足条件得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49DF43CF">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3.拟派项目实施团队不少于4人， IT类相关专业（毕业专业或职称专业），满足条件得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p>
          <w:p w14:paraId="3B98A5AA">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w:t>
            </w:r>
          </w:p>
          <w:p w14:paraId="6837D7E7">
            <w:pPr>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1.上述人员需提供</w:t>
            </w:r>
            <w:r>
              <w:rPr>
                <w:rFonts w:hint="eastAsia" w:ascii="方正仿宋_GBK" w:hAnsi="方正仿宋_GBK" w:eastAsia="方正仿宋_GBK" w:cs="方正仿宋_GBK"/>
                <w:sz w:val="24"/>
                <w:szCs w:val="24"/>
                <w:highlight w:val="none"/>
                <w:lang w:val="en-US" w:eastAsia="zh-CN"/>
              </w:rPr>
              <w:t>报价截止时间前6个月内任意一个月</w:t>
            </w:r>
            <w:r>
              <w:rPr>
                <w:rFonts w:hint="eastAsia" w:ascii="方正仿宋_GBK" w:hAnsi="方正仿宋_GBK" w:eastAsia="方正仿宋_GBK" w:cs="方正仿宋_GBK"/>
                <w:sz w:val="24"/>
                <w:szCs w:val="24"/>
                <w:highlight w:val="none"/>
              </w:rPr>
              <w:t>社保材料</w:t>
            </w:r>
            <w:r>
              <w:rPr>
                <w:rFonts w:hint="eastAsia" w:ascii="方正仿宋_GBK" w:hAnsi="方正仿宋_GBK" w:eastAsia="方正仿宋_GBK" w:cs="方正仿宋_GBK"/>
                <w:sz w:val="24"/>
                <w:szCs w:val="24"/>
                <w:highlight w:val="none"/>
                <w:lang w:val="en-US" w:eastAsia="zh-CN"/>
              </w:rPr>
              <w:t>及对应相关证明材料</w:t>
            </w:r>
            <w:r>
              <w:rPr>
                <w:rFonts w:hint="eastAsia" w:ascii="方正仿宋_GBK" w:hAnsi="方正仿宋_GBK" w:eastAsia="方正仿宋_GBK" w:cs="方正仿宋_GBK"/>
                <w:sz w:val="24"/>
                <w:szCs w:val="24"/>
                <w:highlight w:val="none"/>
              </w:rPr>
              <w:t>。</w:t>
            </w:r>
          </w:p>
          <w:p w14:paraId="0456ADA9">
            <w:pPr>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2.IT类相关专业主要指：计算机科学与技术、软件工程、网络工程、计算机网络技术、嵌入式技术、信息工程、电子信息工程、电子信息科学与技术、物联网工程；IT职称证书颁发单位为中华人民共和国人力资源和社会保障部和中华人民共和国工业和信息化部；IT类高级职称包含：信息系统项目管理师、系统分析师、系统架构设计师、网络规划设计师、系统规划与管理师</w:t>
            </w:r>
            <w:r>
              <w:rPr>
                <w:rFonts w:hint="eastAsia" w:ascii="方正仿宋_GBK" w:hAnsi="方正仿宋_GBK" w:eastAsia="方正仿宋_GBK" w:cs="方正仿宋_GBK"/>
                <w:sz w:val="24"/>
                <w:szCs w:val="24"/>
                <w:highlight w:val="none"/>
                <w:lang w:eastAsia="zh-CN"/>
              </w:rPr>
              <w:t>。</w:t>
            </w:r>
          </w:p>
        </w:tc>
        <w:tc>
          <w:tcPr>
            <w:tcW w:w="1275" w:type="dxa"/>
            <w:vAlign w:val="center"/>
          </w:tcPr>
          <w:p w14:paraId="0B1CCD36">
            <w:pPr>
              <w:keepNext w:val="0"/>
              <w:keepLines w:val="0"/>
              <w:pageBreakBefore w:val="0"/>
              <w:widowControl w:val="0"/>
              <w:kinsoku/>
              <w:wordWrap/>
              <w:overflowPunct/>
              <w:topLinePunct w:val="0"/>
              <w:autoSpaceDE/>
              <w:autoSpaceDN/>
              <w:bidi w:val="0"/>
              <w:adjustRightInd/>
              <w:snapToGrid/>
              <w:spacing w:line="300" w:lineRule="exact"/>
              <w:ind w:left="-40"/>
              <w:textAlignment w:val="auto"/>
              <w:rPr>
                <w:rFonts w:hint="eastAsia" w:ascii="方正仿宋_GBK" w:hAnsi="方正仿宋_GBK" w:eastAsia="方正仿宋_GBK" w:cs="方正仿宋_GBK"/>
                <w:sz w:val="24"/>
                <w:szCs w:val="24"/>
                <w:highlight w:val="green"/>
                <w:lang w:val="en-US" w:eastAsia="zh-CN"/>
              </w:rPr>
            </w:pPr>
          </w:p>
        </w:tc>
      </w:tr>
      <w:tr w14:paraId="36D3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63" w:type="dxa"/>
            <w:vMerge w:val="continue"/>
            <w:vAlign w:val="center"/>
          </w:tcPr>
          <w:p w14:paraId="1B6BE485">
            <w:pPr>
              <w:ind w:firstLine="28"/>
              <w:jc w:val="center"/>
              <w:rPr>
                <w:rFonts w:hint="eastAsia" w:ascii="方正仿宋_GBK" w:hAnsi="方正仿宋_GBK" w:eastAsia="方正仿宋_GBK" w:cs="方正仿宋_GBK"/>
                <w:sz w:val="24"/>
                <w:szCs w:val="24"/>
                <w:highlight w:val="none"/>
              </w:rPr>
            </w:pPr>
          </w:p>
        </w:tc>
        <w:tc>
          <w:tcPr>
            <w:tcW w:w="1282" w:type="dxa"/>
            <w:vMerge w:val="continue"/>
            <w:vAlign w:val="center"/>
          </w:tcPr>
          <w:p w14:paraId="04FAA782">
            <w:pPr>
              <w:ind w:firstLine="28"/>
              <w:jc w:val="center"/>
              <w:rPr>
                <w:rFonts w:hint="eastAsia" w:ascii="方正仿宋_GBK" w:hAnsi="方正仿宋_GBK" w:eastAsia="方正仿宋_GBK" w:cs="方正仿宋_GBK"/>
                <w:sz w:val="24"/>
                <w:szCs w:val="24"/>
                <w:highlight w:val="none"/>
              </w:rPr>
            </w:pPr>
          </w:p>
        </w:tc>
        <w:tc>
          <w:tcPr>
            <w:tcW w:w="750" w:type="dxa"/>
            <w:vMerge w:val="continue"/>
            <w:vAlign w:val="center"/>
          </w:tcPr>
          <w:p w14:paraId="3F430FD2">
            <w:pPr>
              <w:jc w:val="left"/>
              <w:rPr>
                <w:rFonts w:hint="eastAsia" w:ascii="方正仿宋_GBK" w:hAnsi="方正仿宋_GBK" w:eastAsia="方正仿宋_GBK" w:cs="方正仿宋_GBK"/>
                <w:sz w:val="24"/>
                <w:szCs w:val="24"/>
                <w:highlight w:val="none"/>
                <w:lang w:val="en-US" w:eastAsia="zh-CN"/>
              </w:rPr>
            </w:pPr>
          </w:p>
        </w:tc>
        <w:tc>
          <w:tcPr>
            <w:tcW w:w="1262" w:type="dxa"/>
            <w:vAlign w:val="center"/>
          </w:tcPr>
          <w:p w14:paraId="2246119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类似项目业绩</w:t>
            </w:r>
          </w:p>
          <w:p w14:paraId="263EA62A">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（5分）</w:t>
            </w:r>
          </w:p>
        </w:tc>
        <w:tc>
          <w:tcPr>
            <w:tcW w:w="3869" w:type="dxa"/>
            <w:vAlign w:val="top"/>
          </w:tcPr>
          <w:p w14:paraId="1745490F">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供应商自2021年1月1日至今（以合同签订时间为准），每提供一项企业级项目管理相关平台业绩得1分，本项最多得5分。</w:t>
            </w:r>
          </w:p>
          <w:p w14:paraId="6D920087">
            <w:p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w:t>
            </w:r>
          </w:p>
          <w:p w14:paraId="5A20554B">
            <w:pPr>
              <w:numPr>
                <w:ilvl w:val="0"/>
                <w:numId w:val="5"/>
              </w:numPr>
              <w:ind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企业级平台应用范围需明确为企业级范围。</w:t>
            </w:r>
          </w:p>
          <w:p w14:paraId="5B88B559">
            <w:pPr>
              <w:numPr>
                <w:ilvl w:val="0"/>
                <w:numId w:val="5"/>
              </w:numPr>
              <w:ind w:left="0" w:leftChars="0"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业绩证明需要提供合同扫描件，同时至少提供一张该业绩对应开具的发票扫描件（甲乙方一致、发票日期应在合同履行期内、发票品目为技术服务或对应软件产品）。</w:t>
            </w:r>
          </w:p>
          <w:p w14:paraId="6DB90D59">
            <w:pPr>
              <w:numPr>
                <w:ilvl w:val="0"/>
                <w:numId w:val="5"/>
              </w:numPr>
              <w:ind w:left="0" w:leftChars="0" w:firstLine="480" w:firstLineChars="20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同个项目的升级/扩容合同不重复计分。</w:t>
            </w:r>
          </w:p>
        </w:tc>
        <w:tc>
          <w:tcPr>
            <w:tcW w:w="1275" w:type="dxa"/>
            <w:vAlign w:val="center"/>
          </w:tcPr>
          <w:p w14:paraId="6633E087">
            <w:pPr>
              <w:keepNext w:val="0"/>
              <w:keepLines w:val="0"/>
              <w:pageBreakBefore w:val="0"/>
              <w:widowControl w:val="0"/>
              <w:kinsoku/>
              <w:wordWrap/>
              <w:overflowPunct/>
              <w:topLinePunct w:val="0"/>
              <w:autoSpaceDE/>
              <w:autoSpaceDN/>
              <w:bidi w:val="0"/>
              <w:adjustRightInd/>
              <w:snapToGrid/>
              <w:spacing w:line="300" w:lineRule="exact"/>
              <w:ind w:left="-40"/>
              <w:textAlignment w:val="auto"/>
              <w:rPr>
                <w:rFonts w:hint="eastAsia" w:ascii="方正仿宋_GBK" w:hAnsi="方正仿宋_GBK" w:eastAsia="方正仿宋_GBK" w:cs="方正仿宋_GBK"/>
                <w:sz w:val="24"/>
                <w:szCs w:val="24"/>
                <w:highlight w:val="green"/>
                <w:lang w:val="en-US" w:eastAsia="zh-CN"/>
              </w:rPr>
            </w:pPr>
          </w:p>
        </w:tc>
      </w:tr>
    </w:tbl>
    <w:p w14:paraId="2667391B">
      <w:pPr>
        <w:pStyle w:val="3"/>
        <w:rPr>
          <w:color w:val="auto"/>
          <w:highlight w:val="none"/>
        </w:rPr>
      </w:pPr>
      <w:r>
        <w:rPr>
          <w:rFonts w:hint="eastAsia"/>
          <w:color w:val="auto"/>
          <w:highlight w:val="none"/>
          <w:lang w:val="en-US" w:eastAsia="zh-CN"/>
        </w:rPr>
        <w:t>二、</w:t>
      </w:r>
      <w:r>
        <w:rPr>
          <w:rFonts w:hint="eastAsia"/>
          <w:color w:val="auto"/>
          <w:highlight w:val="none"/>
        </w:rPr>
        <w:t>无效响应</w:t>
      </w:r>
      <w:bookmarkEnd w:id="100"/>
    </w:p>
    <w:p w14:paraId="03F12569">
      <w:pPr>
        <w:snapToGrid w:val="0"/>
        <w:spacing w:line="400" w:lineRule="exact"/>
        <w:ind w:firstLine="240" w:firstLineChars="1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供应商发生以下条款情况之一者，视为无效报价：</w:t>
      </w:r>
    </w:p>
    <w:p w14:paraId="4F92157D">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（一）供应商不符合规定的资格条件的；</w:t>
      </w:r>
    </w:p>
    <w:p w14:paraId="7831A0DF">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（二）供应商未通过实质性响应审查的；</w:t>
      </w:r>
    </w:p>
    <w:p w14:paraId="48AEB9FE">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（三）供应商所提交的响应文件未按“第七篇响应文件格式要求”要求签署或盖章的；</w:t>
      </w:r>
    </w:p>
    <w:p w14:paraId="38EBCB7B">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（四）供应商的报价超过采购预算或最高限价的；</w:t>
      </w:r>
    </w:p>
    <w:p w14:paraId="442FC016">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（五）单位负责人为同一人或者存在直接控股、管理关系的不同供应商，参加同一合同项（包）报价的；</w:t>
      </w:r>
    </w:p>
    <w:p w14:paraId="2C2673BD">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（六）为采购项目提供整体设计、规范编制或者项目管理、监理、检测等服务的供应商再参加该采购项目的其他采购活动的；</w:t>
      </w:r>
    </w:p>
    <w:p w14:paraId="47923050">
      <w:pPr>
        <w:pStyle w:val="14"/>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（七）法律、法规和竞采邀请书规定的其他无效情形。</w:t>
      </w:r>
    </w:p>
    <w:p w14:paraId="246B0376">
      <w:pPr>
        <w:pStyle w:val="3"/>
        <w:rPr>
          <w:color w:val="auto"/>
          <w:highlight w:val="none"/>
        </w:rPr>
      </w:pPr>
      <w:bookmarkStart w:id="104" w:name="_Toc106030398"/>
      <w:bookmarkStart w:id="105" w:name="_Toc30605"/>
      <w:bookmarkStart w:id="106" w:name="_Toc6719"/>
      <w:bookmarkStart w:id="107" w:name="_Toc25960"/>
      <w:bookmarkStart w:id="108" w:name="_Toc75793522"/>
      <w:bookmarkStart w:id="109" w:name="_Toc27133"/>
      <w:bookmarkStart w:id="110" w:name="_Toc23533"/>
      <w:bookmarkStart w:id="111" w:name="_Toc11293"/>
      <w:bookmarkStart w:id="112" w:name="_Toc7802"/>
      <w:bookmarkStart w:id="113" w:name="_Toc14355"/>
      <w:bookmarkStart w:id="114" w:name="_Toc4422"/>
      <w:bookmarkStart w:id="115" w:name="_Toc25549"/>
      <w:bookmarkStart w:id="116" w:name="_Toc6956"/>
      <w:bookmarkStart w:id="117" w:name="_Toc21946"/>
      <w:bookmarkStart w:id="118" w:name="_Toc6204"/>
      <w:bookmarkStart w:id="119" w:name="_Toc20005"/>
      <w:bookmarkStart w:id="120" w:name="_Toc26904"/>
      <w:r>
        <w:rPr>
          <w:rFonts w:hint="eastAsia"/>
          <w:color w:val="auto"/>
          <w:highlight w:val="none"/>
          <w:lang w:val="en-US" w:eastAsia="zh-CN"/>
        </w:rPr>
        <w:t>三</w:t>
      </w:r>
      <w:r>
        <w:rPr>
          <w:rFonts w:hint="eastAsia"/>
          <w:color w:val="auto"/>
          <w:highlight w:val="none"/>
        </w:rPr>
        <w: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color w:val="auto"/>
          <w:highlight w:val="none"/>
        </w:rPr>
        <w:t>采购终止</w:t>
      </w:r>
      <w:bookmarkEnd w:id="120"/>
    </w:p>
    <w:p w14:paraId="77123A6C">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出现下列情形之一的，采购人或者采购代理机构应当终止采购活动，发布项目终止公告并说明原因，重新开展采购活动：</w:t>
      </w:r>
    </w:p>
    <w:p w14:paraId="76C0D5BF">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（一）因情况变化，不再符合规定的采购方式适用情形的；</w:t>
      </w:r>
    </w:p>
    <w:p w14:paraId="767B5EB3">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7C98D93F">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（三）在采购过程中符合竞采要求的供应商不足</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家的。</w:t>
      </w:r>
    </w:p>
    <w:p w14:paraId="78A5D391">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（四）项目出现其他实质性影响，可能导致项目无法正常开展的情形。</w:t>
      </w:r>
    </w:p>
    <w:p w14:paraId="3C4F454D">
      <w:pPr>
        <w:pStyle w:val="2"/>
        <w:jc w:val="center"/>
        <w:rPr>
          <w:color w:val="auto"/>
          <w:highlight w:val="none"/>
        </w:rPr>
      </w:pPr>
      <w:bookmarkStart w:id="121" w:name="_Toc24417"/>
      <w:r>
        <w:rPr>
          <w:color w:val="auto"/>
          <w:highlight w:val="none"/>
        </w:rPr>
        <w:br w:type="page"/>
      </w:r>
    </w:p>
    <w:p w14:paraId="05AB12FA">
      <w:pPr>
        <w:pStyle w:val="2"/>
        <w:jc w:val="center"/>
        <w:rPr>
          <w:color w:val="auto"/>
          <w:highlight w:val="none"/>
        </w:rPr>
      </w:pPr>
      <w:r>
        <w:rPr>
          <w:rFonts w:hint="eastAsia"/>
          <w:color w:val="auto"/>
          <w:highlight w:val="none"/>
        </w:rPr>
        <w:t xml:space="preserve">第五篇 </w:t>
      </w:r>
      <w:r>
        <w:rPr>
          <w:rFonts w:hint="eastAsia"/>
          <w:color w:val="auto"/>
          <w:highlight w:val="none"/>
          <w:lang w:val="en-US" w:eastAsia="zh-CN"/>
        </w:rPr>
        <w:t>供应商</w:t>
      </w:r>
      <w:r>
        <w:rPr>
          <w:rFonts w:hint="eastAsia"/>
          <w:color w:val="auto"/>
          <w:highlight w:val="none"/>
        </w:rPr>
        <w:t>须知</w:t>
      </w:r>
      <w:bookmarkEnd w:id="101"/>
      <w:bookmarkEnd w:id="102"/>
      <w:bookmarkEnd w:id="103"/>
      <w:bookmarkEnd w:id="121"/>
    </w:p>
    <w:p w14:paraId="31A7A7BB">
      <w:pPr>
        <w:pStyle w:val="3"/>
        <w:rPr>
          <w:color w:val="auto"/>
          <w:highlight w:val="none"/>
        </w:rPr>
      </w:pPr>
      <w:bookmarkStart w:id="122" w:name="_Toc342913389"/>
      <w:bookmarkStart w:id="123" w:name="_Toc23963"/>
      <w:bookmarkStart w:id="124" w:name="_Toc106030893"/>
      <w:bookmarkStart w:id="125" w:name="_Toc76462338"/>
      <w:r>
        <w:rPr>
          <w:rFonts w:hint="eastAsia"/>
          <w:color w:val="auto"/>
          <w:highlight w:val="none"/>
        </w:rPr>
        <w:t>一、竞采费用</w:t>
      </w:r>
      <w:bookmarkEnd w:id="122"/>
      <w:bookmarkEnd w:id="123"/>
      <w:bookmarkEnd w:id="124"/>
      <w:bookmarkEnd w:id="125"/>
    </w:p>
    <w:p w14:paraId="7E650816">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2B1F23A4">
      <w:pPr>
        <w:pStyle w:val="3"/>
        <w:rPr>
          <w:color w:val="auto"/>
          <w:highlight w:val="none"/>
        </w:rPr>
      </w:pPr>
      <w:bookmarkStart w:id="126" w:name="_Toc14104"/>
      <w:bookmarkStart w:id="127" w:name="_Toc106030894"/>
      <w:bookmarkStart w:id="128" w:name="_Toc342913391"/>
      <w:bookmarkStart w:id="129" w:name="_Toc76462339"/>
      <w:r>
        <w:rPr>
          <w:rFonts w:hint="eastAsia"/>
          <w:color w:val="auto"/>
          <w:highlight w:val="none"/>
        </w:rPr>
        <w:t>二、竞采文件</w:t>
      </w:r>
      <w:bookmarkEnd w:id="126"/>
      <w:bookmarkEnd w:id="127"/>
      <w:bookmarkEnd w:id="128"/>
      <w:bookmarkEnd w:id="129"/>
    </w:p>
    <w:p w14:paraId="1182C54E">
      <w:pPr>
        <w:pStyle w:val="28"/>
        <w:ind w:firstLine="480"/>
        <w:rPr>
          <w:rFonts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b/>
          <w:bCs/>
          <w:color w:val="auto"/>
          <w:szCs w:val="28"/>
          <w:highlight w:val="none"/>
        </w:rPr>
        <w:t>竞采文件由采购邀请书、项目服务需求、项目商务需求</w:t>
      </w:r>
      <w:r>
        <w:rPr>
          <w:rFonts w:hint="eastAsia" w:ascii="方正仿宋_GBK" w:hAnsi="方正仿宋_GBK" w:eastAsia="方正仿宋_GBK" w:cs="方正仿宋_GBK"/>
          <w:b/>
          <w:bCs/>
          <w:color w:val="auto"/>
          <w:szCs w:val="28"/>
          <w:highlight w:val="none"/>
          <w:lang w:eastAsia="zh-CN"/>
        </w:rPr>
        <w:t>、</w:t>
      </w:r>
      <w:r>
        <w:rPr>
          <w:rFonts w:hint="eastAsia" w:ascii="方正仿宋_GBK" w:hAnsi="方正仿宋_GBK" w:eastAsia="方正仿宋_GBK" w:cs="方正仿宋_GBK"/>
          <w:b/>
          <w:bCs/>
          <w:color w:val="auto"/>
          <w:szCs w:val="28"/>
          <w:highlight w:val="none"/>
        </w:rPr>
        <w:t>供应商须知、竞采程序及评审标准、采购合同、响应文件编制要求七部分组成。</w:t>
      </w:r>
    </w:p>
    <w:p w14:paraId="47951D9E">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（二）采购人（或采购代理机构）所作的一切有效的书面通知、修改及补充，都是竞采文件不可分割的部分。</w:t>
      </w:r>
    </w:p>
    <w:p w14:paraId="6F5E007E">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（三）竞采文件的解释</w:t>
      </w:r>
    </w:p>
    <w:p w14:paraId="044FB270">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0" w:name="_Toc318159349"/>
      <w:bookmarkStart w:id="131" w:name="_Toc318159160"/>
      <w:bookmarkStart w:id="132" w:name="_Toc318166429"/>
      <w:bookmarkStart w:id="133" w:name="_Toc318159780"/>
    </w:p>
    <w:p w14:paraId="2A4D317C">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（四）评审的依据为竞采文件和响应文件（含有效的书面承诺）。评审小组判断响应文件对竞采文件的响应，仅基于响应文件本身而不靠外部证据。</w:t>
      </w:r>
    </w:p>
    <w:bookmarkEnd w:id="130"/>
    <w:bookmarkEnd w:id="131"/>
    <w:bookmarkEnd w:id="132"/>
    <w:bookmarkEnd w:id="133"/>
    <w:p w14:paraId="1F93EAB8">
      <w:pPr>
        <w:pStyle w:val="3"/>
        <w:rPr>
          <w:color w:val="auto"/>
          <w:highlight w:val="none"/>
        </w:rPr>
      </w:pPr>
      <w:bookmarkStart w:id="134" w:name="_Toc102227318"/>
      <w:bookmarkStart w:id="135" w:name="_Toc106030895"/>
      <w:bookmarkStart w:id="136" w:name="_Toc2001"/>
      <w:bookmarkStart w:id="137" w:name="_Toc342913392"/>
      <w:bookmarkStart w:id="138" w:name="_Toc179714297"/>
      <w:bookmarkStart w:id="139" w:name="_Toc76462340"/>
      <w:r>
        <w:rPr>
          <w:rFonts w:hint="eastAsia"/>
          <w:color w:val="auto"/>
          <w:highlight w:val="none"/>
        </w:rPr>
        <w:t>三、竞采要求</w:t>
      </w:r>
      <w:bookmarkEnd w:id="134"/>
      <w:bookmarkEnd w:id="135"/>
      <w:bookmarkEnd w:id="136"/>
      <w:bookmarkEnd w:id="137"/>
      <w:bookmarkEnd w:id="138"/>
      <w:bookmarkEnd w:id="139"/>
    </w:p>
    <w:p w14:paraId="06E51DE0">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（一）响应文件</w:t>
      </w:r>
    </w:p>
    <w:p w14:paraId="4301E83D">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1.供应商应当按照竞采文件的要求编制响应文件，并对竞采文件提出的要求和条件作出实质性响应。</w:t>
      </w:r>
    </w:p>
    <w:p w14:paraId="7E40F5DB">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2.响应文件组成</w:t>
      </w:r>
    </w:p>
    <w:p w14:paraId="6A12E407">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CAF293">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（二）竞采有效期：响应文件及有关承诺文件有效期为提交响应文件截止时间起90天。</w:t>
      </w:r>
    </w:p>
    <w:p w14:paraId="750F42BB">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（三）修正错误</w:t>
      </w:r>
    </w:p>
    <w:p w14:paraId="7E0AF478">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color w:val="auto"/>
          <w:szCs w:val="28"/>
          <w:highlight w:val="none"/>
          <w:u w:val="single"/>
        </w:rPr>
        <w:t>大写金额修正为准</w:t>
      </w:r>
      <w:r>
        <w:rPr>
          <w:rFonts w:hint="eastAsia" w:ascii="方正仿宋_GBK" w:hAnsi="方正仿宋_GBK" w:eastAsia="方正仿宋_GBK" w:cs="方正仿宋_GBK"/>
          <w:color w:val="auto"/>
          <w:szCs w:val="28"/>
          <w:highlight w:val="none"/>
        </w:rPr>
        <w:t>。</w:t>
      </w:r>
    </w:p>
    <w:p w14:paraId="5CA46B35">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86F7FC4">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（四）提交响应文件的份数和签署</w:t>
      </w:r>
    </w:p>
    <w:p w14:paraId="12B8334B">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1.响应文件电子文档一份。</w:t>
      </w:r>
    </w:p>
    <w:p w14:paraId="3334964A">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2.响应文件按竞采文件“第七篇响应文件编制要求”要求签署或盖章。</w:t>
      </w:r>
    </w:p>
    <w:p w14:paraId="0F228FBC">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（五）响应文件的递交</w:t>
      </w:r>
    </w:p>
    <w:p w14:paraId="07D19886">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响应文件的电子文档应在有效报名时间段内，通过竞采系统在线提交。</w:t>
      </w:r>
    </w:p>
    <w:p w14:paraId="55D2D96E">
      <w:pPr>
        <w:pStyle w:val="3"/>
        <w:rPr>
          <w:color w:val="auto"/>
          <w:highlight w:val="none"/>
        </w:rPr>
      </w:pPr>
      <w:bookmarkStart w:id="140" w:name="_Toc76462341"/>
      <w:bookmarkStart w:id="141" w:name="_Toc106030896"/>
      <w:r>
        <w:rPr>
          <w:rFonts w:hint="eastAsia"/>
          <w:color w:val="auto"/>
          <w:highlight w:val="none"/>
        </w:rPr>
        <w:t>四、成交供应商的确认和变更</w:t>
      </w:r>
      <w:bookmarkEnd w:id="140"/>
      <w:bookmarkEnd w:id="141"/>
    </w:p>
    <w:p w14:paraId="1BF544F7">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（一）成交供应商的确认</w:t>
      </w:r>
    </w:p>
    <w:p w14:paraId="28D710DA">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采购人应当在5个工作日内，从评审报告提出的成交候选供应商中，按照排序由高到低的原则确定成交供应商，也可以授权竞采小组直接确定成交供应商。</w:t>
      </w:r>
    </w:p>
    <w:p w14:paraId="3436DAF8">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（二）成交供应商的变更</w:t>
      </w:r>
    </w:p>
    <w:p w14:paraId="353052EC">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成交供应商拒绝与采购人签订合同的，采购人可以按照评标报告推荐的成交候选供应商顺序，确定排名下一位的候选人为成交供应商，也可以重新开展竞采活动。</w:t>
      </w:r>
    </w:p>
    <w:p w14:paraId="6F53589C">
      <w:pPr>
        <w:pStyle w:val="3"/>
        <w:rPr>
          <w:color w:val="auto"/>
          <w:highlight w:val="none"/>
        </w:rPr>
      </w:pPr>
      <w:bookmarkStart w:id="142" w:name="_Toc342913395"/>
      <w:bookmarkStart w:id="143" w:name="_Toc76462342"/>
      <w:bookmarkStart w:id="144" w:name="_Toc102227321"/>
      <w:bookmarkStart w:id="145" w:name="_Toc12552"/>
      <w:bookmarkStart w:id="146" w:name="_Toc106030897"/>
      <w:r>
        <w:rPr>
          <w:rFonts w:hint="eastAsia"/>
          <w:color w:val="auto"/>
          <w:highlight w:val="none"/>
        </w:rPr>
        <w:t>五、成交通知</w:t>
      </w:r>
      <w:bookmarkEnd w:id="142"/>
      <w:bookmarkEnd w:id="143"/>
      <w:bookmarkEnd w:id="144"/>
      <w:bookmarkEnd w:id="145"/>
      <w:bookmarkEnd w:id="146"/>
    </w:p>
    <w:p w14:paraId="70A8A929">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（一）成交供应商确定后，采购人/代理机构将在行采家上发布成交结果公告。</w:t>
      </w:r>
    </w:p>
    <w:p w14:paraId="326311D3">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（二）结果公告发出同时，采购人/代理机构将以书面形式发出《成交通知书》。《成交通知书》一经发出即发生法律效力。</w:t>
      </w:r>
    </w:p>
    <w:p w14:paraId="6231ECF4">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（三）《成交通知书》作为签订合同的依据。</w:t>
      </w:r>
    </w:p>
    <w:p w14:paraId="26ED91F2">
      <w:pPr>
        <w:pStyle w:val="3"/>
        <w:rPr>
          <w:color w:val="auto"/>
          <w:highlight w:val="none"/>
        </w:rPr>
      </w:pPr>
      <w:bookmarkStart w:id="147" w:name="_Toc106030898"/>
      <w:bookmarkStart w:id="148" w:name="_Toc2675"/>
      <w:bookmarkStart w:id="149" w:name="_Toc76462343"/>
      <w:r>
        <w:rPr>
          <w:rFonts w:hint="eastAsia"/>
          <w:color w:val="auto"/>
          <w:highlight w:val="none"/>
        </w:rPr>
        <w:t>六、关于质疑和投诉</w:t>
      </w:r>
      <w:bookmarkEnd w:id="147"/>
      <w:bookmarkEnd w:id="148"/>
      <w:bookmarkEnd w:id="149"/>
    </w:p>
    <w:p w14:paraId="588A4E57">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（一）质疑</w:t>
      </w:r>
    </w:p>
    <w:p w14:paraId="3DEC818E">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供应商认为采购文件、采购过程和成交结果使自己的权益收到伤害的，可向采购人或采购代理机构以书面形式提出质疑。</w:t>
      </w:r>
    </w:p>
    <w:p w14:paraId="6BB9D17F">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0394FC8E">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2335986F">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461A9ACF">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1.2供应商提出质疑应当提交质疑函和必要的证明材料，质疑函应当包括下列内容：</w:t>
      </w:r>
    </w:p>
    <w:p w14:paraId="17295ACF">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1.2.1供应商的名称、地址、联系人及联系电话；</w:t>
      </w:r>
    </w:p>
    <w:p w14:paraId="761CA0D6">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1.2.2质疑项目的名称、采购编号；</w:t>
      </w:r>
    </w:p>
    <w:p w14:paraId="188E6400">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1.2.3具体、明确的质疑事项和与质疑事项相关的请求；</w:t>
      </w:r>
    </w:p>
    <w:p w14:paraId="3506CD44">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1.2.4事实依据；</w:t>
      </w:r>
    </w:p>
    <w:p w14:paraId="78995491">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1.2.5必要的法律依据；</w:t>
      </w:r>
    </w:p>
    <w:p w14:paraId="7E84FD4C">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1.2.6提出质疑的日期；</w:t>
      </w:r>
    </w:p>
    <w:p w14:paraId="431B0965">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1.2.7营业执照（或事业单位法人证书，或个体工商户营业执照或有效的自然人身份证明）复印件；</w:t>
      </w:r>
    </w:p>
    <w:p w14:paraId="1B620D5C">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1.2.8法定代表人授权委托书原件、法定代表人身份证复印件和其授权代表的身份证复印件（供应商为自然人的提供自然人身份证复印件）；</w:t>
      </w:r>
    </w:p>
    <w:p w14:paraId="2CBFE1AF">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1.3供应商为自然人的，质疑函应当由本人签字；供应商为法人或者其他组织的，质疑函应当由法定代表人、主要负责人，或者其授权代表签字或者盖章，并加盖公章。</w:t>
      </w:r>
    </w:p>
    <w:p w14:paraId="20C65495">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47EA5DB5">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采购人、采购代理机构应当在收到供应商的书面质疑后2个工作日内作出答复，并以书面形式通知质疑供应商和其他有关供应商。</w:t>
      </w:r>
    </w:p>
    <w:p w14:paraId="27D7F583">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3.其他</w:t>
      </w:r>
    </w:p>
    <w:p w14:paraId="030DDD9B">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（如有）</w:t>
      </w:r>
    </w:p>
    <w:p w14:paraId="34BBA60E">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20B667F6">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1.供应商对采购人、采购代理机构的答复不满意，或者采购人、采购代理机构未在规定时间内作出答复的，可以在答复期满后2个工作日内向璧山国资中心提起投诉。</w:t>
      </w:r>
    </w:p>
    <w:p w14:paraId="67A24544">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799D2D22">
      <w:pPr>
        <w:pStyle w:val="3"/>
        <w:rPr>
          <w:color w:val="auto"/>
          <w:highlight w:val="none"/>
        </w:rPr>
      </w:pPr>
      <w:bookmarkStart w:id="150" w:name="_Toc76462344"/>
      <w:bookmarkStart w:id="151" w:name="_Toc106030899"/>
      <w:bookmarkStart w:id="152" w:name="_Toc18802"/>
      <w:r>
        <w:rPr>
          <w:rFonts w:hint="eastAsia"/>
          <w:color w:val="auto"/>
          <w:highlight w:val="none"/>
        </w:rPr>
        <w:t>七、采购代理服务费</w:t>
      </w:r>
      <w:bookmarkEnd w:id="150"/>
      <w:bookmarkEnd w:id="151"/>
      <w:bookmarkEnd w:id="152"/>
    </w:p>
    <w:p w14:paraId="3299B45A">
      <w:pPr>
        <w:pStyle w:val="28"/>
        <w:spacing w:line="360" w:lineRule="auto"/>
        <w:ind w:firstLine="480"/>
        <w:rPr>
          <w:rFonts w:hint="eastAsia" w:ascii="方正仿宋_GBK" w:hAnsi="方正仿宋_GBK" w:eastAsia="方正仿宋_GBK" w:cs="方正仿宋_GBK"/>
          <w:color w:val="auto"/>
          <w:szCs w:val="28"/>
          <w:highlight w:val="none"/>
        </w:rPr>
      </w:pPr>
      <w:bookmarkStart w:id="153" w:name="OLE_LINK7"/>
      <w:bookmarkStart w:id="154" w:name="OLE_LINK8"/>
      <w:r>
        <w:rPr>
          <w:rFonts w:hint="eastAsia" w:ascii="方正仿宋_GBK" w:hAnsi="方正仿宋_GBK" w:eastAsia="方正仿宋_GBK" w:cs="方正仿宋_GBK"/>
          <w:color w:val="auto"/>
          <w:szCs w:val="28"/>
          <w:highlight w:val="none"/>
        </w:rPr>
        <w:t>（一）供应商成交后向采购代理机构缴纳采购代理服务费，采购代理服务费</w:t>
      </w:r>
      <w:bookmarkEnd w:id="153"/>
      <w:bookmarkEnd w:id="154"/>
      <w:r>
        <w:rPr>
          <w:rFonts w:hint="eastAsia" w:ascii="方正仿宋_GBK" w:hAnsi="方正仿宋_GBK" w:eastAsia="方正仿宋_GBK" w:cs="方正仿宋_GBK"/>
          <w:color w:val="auto"/>
          <w:szCs w:val="28"/>
          <w:highlight w:val="none"/>
        </w:rPr>
        <w:t>为</w:t>
      </w:r>
      <w:r>
        <w:rPr>
          <w:rFonts w:hint="eastAsia" w:ascii="方正仿宋_GBK" w:hAnsi="方正仿宋_GBK" w:eastAsia="方正仿宋_GBK" w:cs="方正仿宋_GBK"/>
          <w:color w:val="auto"/>
          <w:szCs w:val="28"/>
          <w:highlight w:val="none"/>
          <w:lang w:val="en-US" w:eastAsia="zh-CN"/>
        </w:rPr>
        <w:t>9000</w:t>
      </w:r>
      <w:r>
        <w:rPr>
          <w:rFonts w:hint="eastAsia" w:ascii="方正仿宋_GBK" w:hAnsi="方正仿宋_GBK" w:eastAsia="方正仿宋_GBK" w:cs="方正仿宋_GBK"/>
          <w:color w:val="auto"/>
          <w:szCs w:val="28"/>
          <w:highlight w:val="none"/>
        </w:rPr>
        <w:t>元</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由成交供应商在领取成交通知书时向采购代理机构支付</w:t>
      </w:r>
      <w:r>
        <w:rPr>
          <w:rFonts w:hint="eastAsia" w:ascii="方正仿宋_GBK" w:hAnsi="方正仿宋_GBK" w:eastAsia="方正仿宋_GBK" w:cs="方正仿宋_GBK"/>
          <w:color w:val="auto"/>
          <w:szCs w:val="28"/>
          <w:highlight w:val="none"/>
        </w:rPr>
        <w:t>。</w:t>
      </w:r>
    </w:p>
    <w:p w14:paraId="3123E655">
      <w:pPr>
        <w:pStyle w:val="28"/>
        <w:spacing w:line="360" w:lineRule="auto"/>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代理费缴费账户信息如下：</w:t>
      </w:r>
    </w:p>
    <w:p w14:paraId="6AD8BDE8">
      <w:pPr>
        <w:pStyle w:val="28"/>
        <w:spacing w:line="360" w:lineRule="auto"/>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单位名称：尚峰建设工程咨询有限公司  </w:t>
      </w:r>
    </w:p>
    <w:p w14:paraId="2B73D9DF">
      <w:pPr>
        <w:pStyle w:val="28"/>
        <w:spacing w:line="360" w:lineRule="auto"/>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账号：802319010122804253</w:t>
      </w:r>
    </w:p>
    <w:p w14:paraId="12FA646B">
      <w:pPr>
        <w:pStyle w:val="28"/>
        <w:spacing w:line="360" w:lineRule="auto"/>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开户行：恒丰银行股份有限公司重庆两江支行</w:t>
      </w:r>
    </w:p>
    <w:p w14:paraId="2C5AB990">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p>
    <w:p w14:paraId="0B1A2BDD">
      <w:pPr>
        <w:pStyle w:val="3"/>
        <w:rPr>
          <w:color w:val="auto"/>
          <w:highlight w:val="none"/>
        </w:rPr>
      </w:pPr>
      <w:bookmarkStart w:id="155" w:name="_Toc102227322"/>
      <w:bookmarkStart w:id="156" w:name="_Toc342913396"/>
      <w:bookmarkStart w:id="157" w:name="_Toc2915"/>
      <w:bookmarkStart w:id="158" w:name="_Toc76462346"/>
      <w:bookmarkStart w:id="159" w:name="_Toc106030901"/>
      <w:r>
        <w:rPr>
          <w:rFonts w:hint="eastAsia"/>
          <w:color w:val="auto"/>
          <w:highlight w:val="none"/>
        </w:rPr>
        <w:t>八、签订</w:t>
      </w:r>
      <w:bookmarkEnd w:id="155"/>
      <w:r>
        <w:rPr>
          <w:rFonts w:hint="eastAsia"/>
          <w:color w:val="auto"/>
          <w:highlight w:val="none"/>
        </w:rPr>
        <w:t>合同</w:t>
      </w:r>
      <w:bookmarkEnd w:id="156"/>
      <w:bookmarkEnd w:id="157"/>
      <w:bookmarkEnd w:id="158"/>
      <w:bookmarkEnd w:id="159"/>
    </w:p>
    <w:p w14:paraId="640BBDB5">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（一）采购人原则上应在结果公告发出之日起</w:t>
      </w:r>
      <w:r>
        <w:rPr>
          <w:rFonts w:hint="eastAsia" w:ascii="方正仿宋_GBK" w:hAnsi="方正仿宋_GBK" w:eastAsia="方正仿宋_GBK" w:cs="方正仿宋_GBK"/>
          <w:color w:val="auto"/>
          <w:szCs w:val="28"/>
          <w:highlight w:val="none"/>
          <w:lang w:val="en-US" w:eastAsia="zh-CN"/>
        </w:rPr>
        <w:t>3</w:t>
      </w:r>
      <w:r>
        <w:rPr>
          <w:rFonts w:hint="eastAsia" w:ascii="方正仿宋_GBK" w:hAnsi="方正仿宋_GBK" w:eastAsia="方正仿宋_GBK" w:cs="方正仿宋_GBK"/>
          <w:color w:val="auto"/>
          <w:szCs w:val="28"/>
          <w:highlight w:val="none"/>
        </w:rPr>
        <w:t>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7152B398">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（二）竞采文件、供应商的响应文件及澄清文件等，均为签订采购合同的依据。</w:t>
      </w:r>
    </w:p>
    <w:p w14:paraId="4BFDB548">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（三）合同生效条款由供需双方约定，法律、行政法规规定应当办理批准、登记等手续后生效的合同，依照其规定。</w:t>
      </w:r>
    </w:p>
    <w:p w14:paraId="50030666">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（四）合同原则上应按照《璧山区国企采购合同》签订，相关单位要求适用合同通用格式版本的，应按其要求另行签订其他合同。</w:t>
      </w:r>
    </w:p>
    <w:p w14:paraId="6B3015B1">
      <w:pPr>
        <w:pStyle w:val="3"/>
        <w:rPr>
          <w:color w:val="auto"/>
          <w:highlight w:val="none"/>
        </w:rPr>
      </w:pPr>
      <w:bookmarkStart w:id="160" w:name="_Toc26291"/>
      <w:bookmarkStart w:id="161" w:name="_Toc106030902"/>
      <w:r>
        <w:rPr>
          <w:rFonts w:hint="eastAsia"/>
          <w:color w:val="auto"/>
          <w:highlight w:val="none"/>
        </w:rPr>
        <w:t>九、项目验收</w:t>
      </w:r>
      <w:bookmarkEnd w:id="160"/>
      <w:bookmarkEnd w:id="161"/>
    </w:p>
    <w:p w14:paraId="33EDE0F7">
      <w:pPr>
        <w:pStyle w:val="2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合同执行完毕，采购人或采购代理机构原则上应在5个工作日内组织履约情况验收，不得无故拖延或附加额外条件。</w:t>
      </w:r>
    </w:p>
    <w:p w14:paraId="6BCCD923">
      <w:pPr>
        <w:pStyle w:val="28"/>
        <w:ind w:firstLine="480"/>
        <w:rPr>
          <w:rFonts w:ascii="方正仿宋_GBK" w:hAnsi="方正仿宋_GBK" w:eastAsia="方正仿宋_GBK" w:cs="方正仿宋_GBK"/>
          <w:color w:val="auto"/>
          <w:szCs w:val="28"/>
          <w:highlight w:val="none"/>
        </w:rPr>
      </w:pPr>
    </w:p>
    <w:p w14:paraId="62FA1AC8">
      <w:pPr>
        <w:pStyle w:val="2"/>
        <w:jc w:val="center"/>
        <w:rPr>
          <w:color w:val="auto"/>
          <w:highlight w:val="none"/>
        </w:rPr>
      </w:pPr>
      <w:bookmarkStart w:id="162" w:name="_Toc109836391"/>
      <w:bookmarkStart w:id="163" w:name="_Toc22409"/>
      <w:r>
        <w:rPr>
          <w:color w:val="auto"/>
          <w:highlight w:val="none"/>
        </w:rPr>
        <w:br w:type="page"/>
      </w:r>
    </w:p>
    <w:p w14:paraId="25ACE6A5">
      <w:pPr>
        <w:pStyle w:val="2"/>
        <w:jc w:val="center"/>
        <w:rPr>
          <w:color w:val="auto"/>
          <w:highlight w:val="none"/>
        </w:rPr>
      </w:pPr>
      <w:r>
        <w:rPr>
          <w:rFonts w:hint="eastAsia"/>
          <w:color w:val="auto"/>
          <w:highlight w:val="none"/>
        </w:rPr>
        <w:t>第六篇  网上竞采合同</w:t>
      </w:r>
      <w:bookmarkEnd w:id="162"/>
      <w:r>
        <w:rPr>
          <w:rFonts w:hint="eastAsia"/>
          <w:color w:val="auto"/>
          <w:highlight w:val="none"/>
        </w:rPr>
        <w:t>（格式）</w:t>
      </w:r>
      <w:bookmarkEnd w:id="163"/>
    </w:p>
    <w:p w14:paraId="10E2ED81">
      <w:pPr>
        <w:widowControl/>
        <w:kinsoku w:val="0"/>
        <w:autoSpaceDE w:val="0"/>
        <w:autoSpaceDN w:val="0"/>
        <w:adjustRightInd w:val="0"/>
        <w:snapToGrid w:val="0"/>
        <w:spacing w:before="205" w:line="202" w:lineRule="auto"/>
        <w:jc w:val="center"/>
        <w:textAlignment w:val="baseline"/>
        <w:rPr>
          <w:rFonts w:hint="eastAsia" w:ascii="方正仿宋_GB2312" w:hAnsi="方正仿宋_GB2312" w:eastAsia="方正仿宋_GB2312" w:cs="方正仿宋_GB2312"/>
          <w:snapToGrid w:val="0"/>
          <w:spacing w:val="-8"/>
          <w:kern w:val="0"/>
          <w:sz w:val="24"/>
        </w:rPr>
      </w:pPr>
      <w:r>
        <w:rPr>
          <w:rFonts w:hint="eastAsia" w:ascii="方正仿宋_GB2312" w:hAnsi="方正仿宋_GB2312" w:eastAsia="方正仿宋_GB2312" w:cs="方正仿宋_GB2312"/>
          <w:b/>
          <w:bCs/>
          <w:snapToGrid w:val="0"/>
          <w:spacing w:val="-6"/>
          <w:kern w:val="0"/>
          <w:sz w:val="44"/>
          <w:szCs w:val="44"/>
        </w:rPr>
        <w:t>数字化项目管理平台采购项目合同</w:t>
      </w:r>
    </w:p>
    <w:p w14:paraId="7F8DFC8D">
      <w:pPr>
        <w:widowControl/>
        <w:kinsoku w:val="0"/>
        <w:autoSpaceDE w:val="0"/>
        <w:autoSpaceDN w:val="0"/>
        <w:adjustRightInd w:val="0"/>
        <w:snapToGrid w:val="0"/>
        <w:spacing w:before="78" w:line="360" w:lineRule="auto"/>
        <w:ind w:left="30"/>
        <w:jc w:val="left"/>
        <w:textAlignment w:val="baseline"/>
        <w:rPr>
          <w:rFonts w:hint="eastAsia" w:ascii="方正仿宋_GB2312" w:hAnsi="方正仿宋_GB2312" w:eastAsia="方正仿宋_GB2312" w:cs="方正仿宋_GB2312"/>
          <w:b/>
          <w:bCs/>
          <w:snapToGrid w:val="0"/>
          <w:kern w:val="0"/>
          <w:sz w:val="24"/>
        </w:rPr>
      </w:pPr>
      <w:r>
        <w:rPr>
          <w:rFonts w:hint="eastAsia" w:ascii="方正仿宋_GB2312" w:hAnsi="方正仿宋_GB2312" w:eastAsia="方正仿宋_GB2312" w:cs="方正仿宋_GB2312"/>
          <w:b/>
          <w:bCs/>
          <w:snapToGrid w:val="0"/>
          <w:kern w:val="0"/>
          <w:sz w:val="24"/>
        </w:rPr>
        <w:t>甲方（需方）：</w:t>
      </w:r>
    </w:p>
    <w:p w14:paraId="0C0800F1">
      <w:pPr>
        <w:widowControl/>
        <w:kinsoku w:val="0"/>
        <w:autoSpaceDE w:val="0"/>
        <w:autoSpaceDN w:val="0"/>
        <w:adjustRightInd w:val="0"/>
        <w:snapToGrid w:val="0"/>
        <w:spacing w:before="100" w:line="360" w:lineRule="auto"/>
        <w:ind w:left="22"/>
        <w:jc w:val="left"/>
        <w:textAlignment w:val="baseline"/>
        <w:rPr>
          <w:rFonts w:hint="eastAsia" w:ascii="方正仿宋_GB2312" w:hAnsi="方正仿宋_GB2312" w:eastAsia="方正仿宋_GB2312" w:cs="方正仿宋_GB2312"/>
          <w:b/>
          <w:bCs/>
          <w:snapToGrid w:val="0"/>
          <w:kern w:val="0"/>
          <w:sz w:val="24"/>
        </w:rPr>
      </w:pPr>
      <w:r>
        <w:rPr>
          <w:rFonts w:hint="eastAsia" w:ascii="方正仿宋_GB2312" w:hAnsi="方正仿宋_GB2312" w:eastAsia="方正仿宋_GB2312" w:cs="方正仿宋_GB2312"/>
          <w:b/>
          <w:bCs/>
          <w:snapToGrid w:val="0"/>
          <w:kern w:val="0"/>
          <w:sz w:val="24"/>
        </w:rPr>
        <w:t xml:space="preserve">乙方（供方）： </w:t>
      </w:r>
    </w:p>
    <w:p w14:paraId="0AED10B9">
      <w:pPr>
        <w:widowControl/>
        <w:kinsoku w:val="0"/>
        <w:autoSpaceDE w:val="0"/>
        <w:autoSpaceDN w:val="0"/>
        <w:adjustRightInd w:val="0"/>
        <w:snapToGrid w:val="0"/>
        <w:spacing w:before="102" w:line="360" w:lineRule="auto"/>
        <w:jc w:val="left"/>
        <w:textAlignment w:val="baseline"/>
        <w:rPr>
          <w:rFonts w:hint="eastAsia" w:ascii="方正仿宋_GB2312" w:hAnsi="方正仿宋_GB2312" w:eastAsia="方正仿宋_GB2312" w:cs="方正仿宋_GB2312"/>
          <w:snapToGrid w:val="0"/>
          <w:kern w:val="0"/>
          <w:sz w:val="24"/>
        </w:rPr>
      </w:pPr>
      <w:r>
        <w:rPr>
          <w:rFonts w:hint="eastAsia" w:ascii="方正仿宋_GB2312" w:hAnsi="方正仿宋_GB2312" w:eastAsia="方正仿宋_GB2312" w:cs="方正仿宋_GB2312"/>
          <w:snapToGrid w:val="0"/>
          <w:kern w:val="0"/>
          <w:sz w:val="24"/>
        </w:rPr>
        <w:t>经双方协商一致，达成以下服务合同：</w:t>
      </w:r>
    </w:p>
    <w:tbl>
      <w:tblPr>
        <w:tblStyle w:val="42"/>
        <w:tblW w:w="106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3141"/>
        <w:gridCol w:w="734"/>
        <w:gridCol w:w="1132"/>
        <w:gridCol w:w="1149"/>
        <w:gridCol w:w="1598"/>
        <w:gridCol w:w="1745"/>
      </w:tblGrid>
      <w:tr w14:paraId="0B83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130" w:type="dxa"/>
            <w:vAlign w:val="center"/>
          </w:tcPr>
          <w:p w14:paraId="1D1E9447">
            <w:pPr>
              <w:kinsoku w:val="0"/>
              <w:autoSpaceDE w:val="0"/>
              <w:autoSpaceDN w:val="0"/>
              <w:adjustRightInd w:val="0"/>
              <w:snapToGrid w:val="0"/>
              <w:spacing w:before="62" w:line="360" w:lineRule="auto"/>
              <w:jc w:val="center"/>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kern w:val="0"/>
                <w:sz w:val="22"/>
                <w:szCs w:val="22"/>
              </w:rPr>
              <w:t>服务</w:t>
            </w:r>
            <w:r>
              <w:rPr>
                <w:rFonts w:hint="eastAsia" w:ascii="方正仿宋_GB2312" w:hAnsi="方正仿宋_GB2312" w:eastAsia="方正仿宋_GB2312" w:cs="方正仿宋_GB2312"/>
                <w:b/>
                <w:bCs/>
                <w:snapToGrid w:val="0"/>
                <w:kern w:val="0"/>
                <w:sz w:val="22"/>
                <w:szCs w:val="22"/>
                <w:lang w:eastAsia="en-US"/>
              </w:rPr>
              <w:t>名称</w:t>
            </w:r>
          </w:p>
        </w:tc>
        <w:tc>
          <w:tcPr>
            <w:tcW w:w="3141" w:type="dxa"/>
            <w:vAlign w:val="center"/>
          </w:tcPr>
          <w:p w14:paraId="338F226C">
            <w:pPr>
              <w:kinsoku w:val="0"/>
              <w:autoSpaceDE w:val="0"/>
              <w:autoSpaceDN w:val="0"/>
              <w:adjustRightInd w:val="0"/>
              <w:snapToGrid w:val="0"/>
              <w:spacing w:before="62" w:line="360" w:lineRule="auto"/>
              <w:ind w:left="175"/>
              <w:jc w:val="center"/>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服务内容及要求</w:t>
            </w:r>
          </w:p>
        </w:tc>
        <w:tc>
          <w:tcPr>
            <w:tcW w:w="734" w:type="dxa"/>
            <w:vAlign w:val="center"/>
          </w:tcPr>
          <w:p w14:paraId="52F91D47">
            <w:pPr>
              <w:kinsoku w:val="0"/>
              <w:autoSpaceDE w:val="0"/>
              <w:autoSpaceDN w:val="0"/>
              <w:adjustRightInd w:val="0"/>
              <w:snapToGrid w:val="0"/>
              <w:spacing w:before="62" w:line="360" w:lineRule="auto"/>
              <w:ind w:left="168"/>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kern w:val="0"/>
                <w:sz w:val="22"/>
                <w:szCs w:val="22"/>
                <w:lang w:eastAsia="en-US"/>
              </w:rPr>
              <w:t>数量</w:t>
            </w:r>
          </w:p>
        </w:tc>
        <w:tc>
          <w:tcPr>
            <w:tcW w:w="1132" w:type="dxa"/>
            <w:vAlign w:val="center"/>
          </w:tcPr>
          <w:p w14:paraId="59241EDF">
            <w:pPr>
              <w:kinsoku w:val="0"/>
              <w:autoSpaceDE w:val="0"/>
              <w:autoSpaceDN w:val="0"/>
              <w:adjustRightInd w:val="0"/>
              <w:snapToGrid w:val="0"/>
              <w:spacing w:before="62" w:line="360" w:lineRule="auto"/>
              <w:ind w:left="368"/>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kern w:val="0"/>
                <w:sz w:val="22"/>
                <w:szCs w:val="22"/>
                <w:lang w:eastAsia="en-US"/>
              </w:rPr>
              <w:t>单价</w:t>
            </w:r>
          </w:p>
        </w:tc>
        <w:tc>
          <w:tcPr>
            <w:tcW w:w="1149" w:type="dxa"/>
            <w:vAlign w:val="center"/>
          </w:tcPr>
          <w:p w14:paraId="07D4002C">
            <w:pPr>
              <w:kinsoku w:val="0"/>
              <w:autoSpaceDE w:val="0"/>
              <w:autoSpaceDN w:val="0"/>
              <w:adjustRightInd w:val="0"/>
              <w:snapToGrid w:val="0"/>
              <w:spacing w:before="62" w:line="360" w:lineRule="auto"/>
              <w:ind w:left="391"/>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w w:val="98"/>
                <w:kern w:val="0"/>
                <w:sz w:val="22"/>
                <w:szCs w:val="22"/>
                <w:lang w:eastAsia="en-US"/>
              </w:rPr>
              <w:t>总价</w:t>
            </w:r>
          </w:p>
        </w:tc>
        <w:tc>
          <w:tcPr>
            <w:tcW w:w="1598" w:type="dxa"/>
            <w:vAlign w:val="center"/>
          </w:tcPr>
          <w:p w14:paraId="11AE9219">
            <w:pPr>
              <w:kinsoku w:val="0"/>
              <w:autoSpaceDE w:val="0"/>
              <w:autoSpaceDN w:val="0"/>
              <w:adjustRightInd w:val="0"/>
              <w:snapToGrid w:val="0"/>
              <w:spacing w:before="62" w:line="360" w:lineRule="auto"/>
              <w:jc w:val="center"/>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kern w:val="0"/>
                <w:sz w:val="22"/>
                <w:szCs w:val="22"/>
              </w:rPr>
              <w:t>服务期</w:t>
            </w:r>
          </w:p>
        </w:tc>
        <w:tc>
          <w:tcPr>
            <w:tcW w:w="1745" w:type="dxa"/>
            <w:vAlign w:val="center"/>
          </w:tcPr>
          <w:p w14:paraId="596CBCA9">
            <w:pPr>
              <w:kinsoku w:val="0"/>
              <w:autoSpaceDE w:val="0"/>
              <w:autoSpaceDN w:val="0"/>
              <w:adjustRightInd w:val="0"/>
              <w:snapToGrid w:val="0"/>
              <w:spacing w:before="62" w:line="360" w:lineRule="auto"/>
              <w:jc w:val="center"/>
              <w:textAlignment w:val="baseline"/>
              <w:rPr>
                <w:rFonts w:hint="eastAsia" w:ascii="方正仿宋_GB2312" w:hAnsi="方正仿宋_GB2312" w:eastAsia="方正仿宋_GB2312" w:cs="方正仿宋_GB2312"/>
                <w:b/>
                <w:bCs/>
                <w:snapToGrid w:val="0"/>
                <w:kern w:val="0"/>
                <w:sz w:val="22"/>
                <w:szCs w:val="22"/>
                <w:lang w:eastAsia="en-US"/>
              </w:rPr>
            </w:pPr>
            <w:r>
              <w:rPr>
                <w:rFonts w:hint="eastAsia" w:ascii="方正仿宋_GB2312" w:hAnsi="方正仿宋_GB2312" w:eastAsia="方正仿宋_GB2312" w:cs="方正仿宋_GB2312"/>
                <w:b/>
                <w:bCs/>
                <w:snapToGrid w:val="0"/>
                <w:kern w:val="0"/>
                <w:sz w:val="22"/>
                <w:szCs w:val="22"/>
              </w:rPr>
              <w:t>服务商</w:t>
            </w:r>
          </w:p>
        </w:tc>
      </w:tr>
      <w:tr w14:paraId="5F29E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30" w:type="dxa"/>
            <w:vAlign w:val="center"/>
          </w:tcPr>
          <w:p w14:paraId="38B398AE">
            <w:pPr>
              <w:widowControl/>
              <w:kinsoku w:val="0"/>
              <w:autoSpaceDE w:val="0"/>
              <w:autoSpaceDN w:val="0"/>
              <w:adjustRightInd w:val="0"/>
              <w:snapToGrid w:val="0"/>
              <w:spacing w:line="360" w:lineRule="auto"/>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数字化项目管理平台采购项目</w:t>
            </w:r>
          </w:p>
        </w:tc>
        <w:tc>
          <w:tcPr>
            <w:tcW w:w="3141" w:type="dxa"/>
            <w:vAlign w:val="center"/>
          </w:tcPr>
          <w:p w14:paraId="46162F21">
            <w:pPr>
              <w:widowControl/>
              <w:kinsoku w:val="0"/>
              <w:autoSpaceDE w:val="0"/>
              <w:autoSpaceDN w:val="0"/>
              <w:adjustRightInd w:val="0"/>
              <w:snapToGrid w:val="0"/>
              <w:spacing w:line="360" w:lineRule="auto"/>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napToGrid w:val="0"/>
                <w:kern w:val="0"/>
                <w:sz w:val="22"/>
                <w:szCs w:val="22"/>
              </w:rPr>
              <w:t>数字化项目管理平台是对项目实施的总体把控，强化过程管理，整合项目前期和施工过程中的数据，形成多方协同共享，实现可视化的项目集成协同管理。主要内容包含：项目一体化架构基础、低代码无代码技术能力、项目一体化建设、一张图决策、项目管理、项目立项、合同管理、投资管理、工程造价、设计管理、项目过程管理、移动端、系统对接等（详见附件）。</w:t>
            </w:r>
          </w:p>
        </w:tc>
        <w:tc>
          <w:tcPr>
            <w:tcW w:w="734" w:type="dxa"/>
            <w:vAlign w:val="center"/>
          </w:tcPr>
          <w:p w14:paraId="79DEE4D6">
            <w:pPr>
              <w:widowControl/>
              <w:kinsoku w:val="0"/>
              <w:autoSpaceDE w:val="0"/>
              <w:autoSpaceDN w:val="0"/>
              <w:adjustRightInd w:val="0"/>
              <w:snapToGrid w:val="0"/>
              <w:spacing w:line="360" w:lineRule="auto"/>
              <w:jc w:val="center"/>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1套</w:t>
            </w:r>
          </w:p>
        </w:tc>
        <w:tc>
          <w:tcPr>
            <w:tcW w:w="1132" w:type="dxa"/>
            <w:vAlign w:val="center"/>
          </w:tcPr>
          <w:p w14:paraId="65F6E6AF">
            <w:pPr>
              <w:widowControl/>
              <w:kinsoku w:val="0"/>
              <w:autoSpaceDE w:val="0"/>
              <w:autoSpaceDN w:val="0"/>
              <w:adjustRightInd w:val="0"/>
              <w:snapToGrid w:val="0"/>
              <w:spacing w:line="360" w:lineRule="auto"/>
              <w:jc w:val="center"/>
              <w:textAlignment w:val="baseline"/>
              <w:rPr>
                <w:rFonts w:hint="eastAsia" w:ascii="方正仿宋_GB2312" w:hAnsi="方正仿宋_GB2312" w:eastAsia="方正仿宋_GB2312" w:cs="方正仿宋_GB2312"/>
                <w:snapToGrid w:val="0"/>
                <w:kern w:val="0"/>
                <w:sz w:val="22"/>
                <w:szCs w:val="22"/>
              </w:rPr>
            </w:pPr>
          </w:p>
        </w:tc>
        <w:tc>
          <w:tcPr>
            <w:tcW w:w="1149" w:type="dxa"/>
            <w:vAlign w:val="center"/>
          </w:tcPr>
          <w:p w14:paraId="66204B48">
            <w:pPr>
              <w:widowControl/>
              <w:kinsoku w:val="0"/>
              <w:autoSpaceDE w:val="0"/>
              <w:autoSpaceDN w:val="0"/>
              <w:adjustRightInd w:val="0"/>
              <w:snapToGrid w:val="0"/>
              <w:spacing w:line="360" w:lineRule="auto"/>
              <w:jc w:val="center"/>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 </w:t>
            </w:r>
          </w:p>
        </w:tc>
        <w:tc>
          <w:tcPr>
            <w:tcW w:w="1598" w:type="dxa"/>
            <w:vAlign w:val="center"/>
          </w:tcPr>
          <w:p w14:paraId="3032A8ED">
            <w:pPr>
              <w:widowControl/>
              <w:kinsoku w:val="0"/>
              <w:autoSpaceDE w:val="0"/>
              <w:autoSpaceDN w:val="0"/>
              <w:adjustRightInd w:val="0"/>
              <w:snapToGrid w:val="0"/>
              <w:spacing w:line="360" w:lineRule="auto"/>
              <w:jc w:val="center"/>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合同签订之日起至数字化项目管理平台正式上线经</w:t>
            </w:r>
            <w:r>
              <w:rPr>
                <w:rFonts w:hint="eastAsia" w:ascii="方正仿宋_GB2312" w:hAnsi="方正仿宋_GB2312" w:eastAsia="方正仿宋_GB2312" w:cs="方正仿宋_GB2312"/>
                <w:snapToGrid w:val="0"/>
                <w:kern w:val="0"/>
                <w:sz w:val="22"/>
                <w:szCs w:val="22"/>
                <w:lang w:val="en-US" w:eastAsia="zh-CN"/>
              </w:rPr>
              <w:t>甲方</w:t>
            </w:r>
            <w:r>
              <w:rPr>
                <w:rFonts w:hint="eastAsia" w:ascii="方正仿宋_GB2312" w:hAnsi="方正仿宋_GB2312" w:eastAsia="方正仿宋_GB2312" w:cs="方正仿宋_GB2312"/>
                <w:snapToGrid w:val="0"/>
                <w:kern w:val="0"/>
                <w:sz w:val="22"/>
                <w:szCs w:val="22"/>
              </w:rPr>
              <w:t>验收合格并运行12个月止</w:t>
            </w:r>
          </w:p>
        </w:tc>
        <w:tc>
          <w:tcPr>
            <w:tcW w:w="1745" w:type="dxa"/>
            <w:vAlign w:val="center"/>
          </w:tcPr>
          <w:p w14:paraId="616074A9">
            <w:pPr>
              <w:widowControl/>
              <w:kinsoku w:val="0"/>
              <w:autoSpaceDE w:val="0"/>
              <w:autoSpaceDN w:val="0"/>
              <w:adjustRightInd w:val="0"/>
              <w:snapToGrid w:val="0"/>
              <w:spacing w:line="360" w:lineRule="auto"/>
              <w:jc w:val="center"/>
              <w:textAlignment w:val="baseline"/>
              <w:rPr>
                <w:rFonts w:hint="eastAsia" w:ascii="方正仿宋_GB2312" w:hAnsi="方正仿宋_GB2312" w:eastAsia="方正仿宋_GB2312" w:cs="方正仿宋_GB2312"/>
                <w:snapToGrid w:val="0"/>
                <w:kern w:val="0"/>
                <w:sz w:val="22"/>
                <w:szCs w:val="22"/>
              </w:rPr>
            </w:pPr>
          </w:p>
        </w:tc>
      </w:tr>
      <w:tr w14:paraId="54B6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0629" w:type="dxa"/>
            <w:gridSpan w:val="7"/>
            <w:vAlign w:val="center"/>
          </w:tcPr>
          <w:p w14:paraId="1B03581F">
            <w:pPr>
              <w:kinsoku w:val="0"/>
              <w:autoSpaceDE w:val="0"/>
              <w:autoSpaceDN w:val="0"/>
              <w:adjustRightInd w:val="0"/>
              <w:snapToGrid w:val="0"/>
              <w:spacing w:before="59" w:line="360" w:lineRule="auto"/>
              <w:ind w:left="120"/>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 xml:space="preserve">合计人民币（小写）： </w:t>
            </w:r>
          </w:p>
        </w:tc>
      </w:tr>
      <w:tr w14:paraId="1F32A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0629" w:type="dxa"/>
            <w:gridSpan w:val="7"/>
            <w:vAlign w:val="center"/>
          </w:tcPr>
          <w:p w14:paraId="2D688AE0">
            <w:pPr>
              <w:kinsoku w:val="0"/>
              <w:autoSpaceDE w:val="0"/>
              <w:autoSpaceDN w:val="0"/>
              <w:adjustRightInd w:val="0"/>
              <w:snapToGrid w:val="0"/>
              <w:spacing w:before="59" w:line="360" w:lineRule="auto"/>
              <w:ind w:left="120"/>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合计人民币（大写）：</w:t>
            </w:r>
          </w:p>
          <w:p w14:paraId="2FA8973D">
            <w:pPr>
              <w:kinsoku w:val="0"/>
              <w:autoSpaceDE w:val="0"/>
              <w:autoSpaceDN w:val="0"/>
              <w:adjustRightInd w:val="0"/>
              <w:snapToGrid w:val="0"/>
              <w:spacing w:before="59" w:line="360" w:lineRule="auto"/>
              <w:ind w:left="120"/>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双方确认，本条上表约定的合计金额为含税固定包干总价，已经包含乙方履行本协议约定工作所需的全部费用、成本、税金和合理利润，除前述费用总额外，甲方无需向乙方另行支付任何其他费用。</w:t>
            </w:r>
          </w:p>
        </w:tc>
      </w:tr>
      <w:tr w14:paraId="4A09B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10629" w:type="dxa"/>
            <w:gridSpan w:val="7"/>
            <w:vAlign w:val="center"/>
          </w:tcPr>
          <w:p w14:paraId="1B7790A1">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一、服务要求和标准：</w:t>
            </w:r>
          </w:p>
          <w:p w14:paraId="05465DE0">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（一）服务期：合同签订之日起至数字化项目管理平台正式上线经采购人验收合格并运行12个月止。</w:t>
            </w:r>
          </w:p>
          <w:p w14:paraId="295355D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（二）服务地点：采购人指定地点。</w:t>
            </w:r>
          </w:p>
          <w:p w14:paraId="5084506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（三）质量保证：乙方所供产品名称、规格、数量、技术要求、生产企业与采购文件要求相符。</w:t>
            </w:r>
          </w:p>
          <w:p w14:paraId="217C8B0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（四）自验收合格之日起，产品质量保证期 1 年。</w:t>
            </w:r>
          </w:p>
          <w:p w14:paraId="0D90182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（五）售后服务</w:t>
            </w:r>
          </w:p>
          <w:p w14:paraId="0E258DBB">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（1）电话咨询：乙方应当为甲方提供技术援助电话，解答甲方在使用中遇到的问题，及时为甲方提出解决问题的建议。</w:t>
            </w:r>
          </w:p>
          <w:p w14:paraId="5027FF11">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napToGrid w:val="0"/>
                <w:kern w:val="0"/>
                <w:sz w:val="22"/>
                <w:szCs w:val="22"/>
              </w:rPr>
              <w:t>（2）现场响应：甲方遇到使用及技术问题，电话咨询不能解决的，乙方应在2小时内到达现场（远郊区 24 小时内到达现场）进行处理，确保产品正常工作。</w:t>
            </w:r>
          </w:p>
          <w:p w14:paraId="6F6E567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3）技术升级：在服务及质保期内，如果乙方的产品技术升级（包括但不限于本合同约定产品进行任何修正、优化或升级），乙方应及时通知甲方，如甲方有相应需求，乙方应对甲方购买的产品进行免费升级服务。</w:t>
            </w:r>
          </w:p>
          <w:p w14:paraId="0D6E5D3B">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4）巡检与培训服务：在服务及质保期内，乙方应向甲方按照每月【1】次提供定期进行系统巡检服务，收集系统运行与操作使用需求并进行整改；并根据产品开通使用的进度结合甲方实际需求免费提供操作培训，培训次数：不少于【5】次，每次不少于【2】小时；培训时间：以甲方确认时间为准；乙方人员提供培训而产生的一切费用由乙方自行负责。</w:t>
            </w:r>
          </w:p>
        </w:tc>
      </w:tr>
      <w:tr w14:paraId="3BDB3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6" w:hRule="atLeast"/>
          <w:jc w:val="center"/>
        </w:trPr>
        <w:tc>
          <w:tcPr>
            <w:tcW w:w="10629" w:type="dxa"/>
            <w:gridSpan w:val="7"/>
            <w:vAlign w:val="center"/>
          </w:tcPr>
          <w:p w14:paraId="34351041">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二、甲方的权利与义务：</w:t>
            </w:r>
          </w:p>
          <w:p w14:paraId="49E60DD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1、甲方有权使用本合同约定的服务，并可对乙方提供的功能与服务提出改进意见和建议。</w:t>
            </w:r>
          </w:p>
          <w:p w14:paraId="22F4368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2、甲方应按照本合同的约定及时向乙方支付相应服务费用。</w:t>
            </w:r>
          </w:p>
          <w:p w14:paraId="679E8A7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3、甲方应保证其在乙方系统所发布信息的合法性、真实性、有效性，乙方不具有核实责任，且甲方保证不为他人发布信息提供任何便利，否则由此造成的全部结果及责任由甲方自行承担。</w:t>
            </w:r>
          </w:p>
          <w:p w14:paraId="164A30D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4、甲方不得进行任何改变或试图改变乙方提供的系统配置或破坏系统安全的行为。</w:t>
            </w:r>
          </w:p>
          <w:p w14:paraId="0801B825">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5、甲方应对本系统登录的口令、密码的完整性和保密性负责。因甲方维护不当或保密不当致使上述数据、口令、密码等丢失或泄漏所引起的一切损失和后果均由甲方自行承担。</w:t>
            </w:r>
          </w:p>
          <w:p w14:paraId="3062998D">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6、为履行本协议所产生的所有作品及素材的著作权属归甲方所有，乙方未经甲方书面许可不得在本合同目的之外使用或许可他人使用。</w:t>
            </w:r>
          </w:p>
        </w:tc>
      </w:tr>
      <w:tr w14:paraId="7D9A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0629" w:type="dxa"/>
            <w:gridSpan w:val="7"/>
            <w:vAlign w:val="center"/>
          </w:tcPr>
          <w:p w14:paraId="33D34A89">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三、乙方的权利与义务：</w:t>
            </w:r>
          </w:p>
          <w:p w14:paraId="6A160219">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1、乙方应按招标文件和投标文件要求的标准向甲方提供服务。</w:t>
            </w:r>
          </w:p>
          <w:p w14:paraId="353A1962">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2、乙方为甲方提供每天9小时（9：00-18：00）客户服务，以保障系统的正常使用以及其它服务的及时获取。</w:t>
            </w:r>
          </w:p>
          <w:p w14:paraId="6E842237">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3、乙方应负责提供的本系统底层部分的运营维护，确保业务系统的稳定性、安全性和可用性。</w:t>
            </w:r>
          </w:p>
          <w:p w14:paraId="4DE5300B">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4、乙方负责解决甲方非人为操作所出现的故障；对因甲方原因引起的故障，乙方将积极协助甲方解决，以避免损失进一步扩大。</w:t>
            </w:r>
          </w:p>
          <w:p w14:paraId="0D3D9F9B">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5、乙方应严格遵守合同约定的保密义务。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上述保密义务，在本合同终止或解除之后仍需履行。</w:t>
            </w:r>
          </w:p>
          <w:p w14:paraId="3BF5B10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6、乙方应遵守政府信息系统安全管理政策和标准，为甲方提供安全、可靠的服务。</w:t>
            </w:r>
          </w:p>
          <w:p w14:paraId="646308E7">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7、乙方承诺向甲方提供的产品不侵犯第三方知识产权及其他合法权益。否则应由乙方负责与第三方交涉并承担由此引起的一切法律上和经济上的责任。</w:t>
            </w:r>
          </w:p>
        </w:tc>
      </w:tr>
      <w:tr w14:paraId="4D825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10629" w:type="dxa"/>
            <w:gridSpan w:val="7"/>
            <w:vAlign w:val="center"/>
          </w:tcPr>
          <w:p w14:paraId="565F1B25">
            <w:pPr>
              <w:kinsoku w:val="0"/>
              <w:autoSpaceDE w:val="0"/>
              <w:autoSpaceDN w:val="0"/>
              <w:adjustRightInd w:val="0"/>
              <w:snapToGrid w:val="0"/>
              <w:spacing w:before="120" w:beforeLines="50" w:line="360" w:lineRule="auto"/>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四、数据安全：</w:t>
            </w:r>
          </w:p>
          <w:p w14:paraId="228E287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1、身份验证和访问控制：乙方有义务提供严格的身份验证和访问控制机制，确保只有经过授权的用户才能访问和处理数据。</w:t>
            </w:r>
          </w:p>
          <w:p w14:paraId="6750E61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2、数据存储与传输安全：乙方有义务提供安全可靠的数据存储方案，确保数据在存储过程中不被篡改、损坏或泄露。</w:t>
            </w:r>
          </w:p>
          <w:p w14:paraId="50C00A7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snapToGrid w:val="0"/>
                <w:kern w:val="0"/>
                <w:sz w:val="22"/>
                <w:szCs w:val="22"/>
              </w:rPr>
              <w:t>3、数据安全应急响应：乙方有义务提供完善的数据安全应急响应机制，能够在发生数据安全事件时及时采取措施进行处置。</w:t>
            </w:r>
          </w:p>
        </w:tc>
      </w:tr>
      <w:tr w14:paraId="313F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10629" w:type="dxa"/>
            <w:gridSpan w:val="7"/>
            <w:vAlign w:val="center"/>
          </w:tcPr>
          <w:p w14:paraId="3A758651">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五、安装、交付与验收标准、方法：</w:t>
            </w:r>
          </w:p>
          <w:p w14:paraId="36C7F697">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1、安装期限：乙方应按照本合同约定期限内完成产品安装；</w:t>
            </w:r>
          </w:p>
          <w:p w14:paraId="7AA6F22D">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2、乙方应在安装期限内向甲方交付如下资料：/；</w:t>
            </w:r>
          </w:p>
          <w:p w14:paraId="4CC5FBCF">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3、乙方应确保交付给甲方的产品能够正常使用，并达到本合同约定和甲方要求的功能与状态；</w:t>
            </w:r>
          </w:p>
          <w:p w14:paraId="19B407EC">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4、项目实施完成且试运行15个日历日后， 由甲方在7个工作日内组织验收。按照采购文件的要求，乙方需要配合甲方进行系统的整体验收，完成本项目的验收和交付，但该检验验收的通过不代表甲方同意减轻或免除乙方对其所供货物应当承担的质量担保责任和后续质保义务。</w:t>
            </w:r>
          </w:p>
        </w:tc>
      </w:tr>
      <w:tr w14:paraId="6D796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10629" w:type="dxa"/>
            <w:gridSpan w:val="7"/>
            <w:vAlign w:val="center"/>
          </w:tcPr>
          <w:p w14:paraId="2FD3CB3D">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六、付款方式：</w:t>
            </w:r>
          </w:p>
          <w:p w14:paraId="30EDA490">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（一）完成全部开发内容并经甲方验收确认后，支付合同金额的40%，平台上线试运行6个月后，支付至合同金额的80%；正式上线并运行12个月后，支付至合同金额的100%。</w:t>
            </w:r>
          </w:p>
          <w:p w14:paraId="79BE746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（二）甲方向乙方支付款项前，乙方均应先向甲方开具符合甲方财务管理要求的合法、有效等额的增值税专用发票，否则甲方有权不予支付任何款项、顺延付款期限，且不承担任何违约责任。</w:t>
            </w:r>
          </w:p>
          <w:p w14:paraId="4D16DA3C">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三）乙方承诺将本合同签署页载明的银行账户作为其在本合同项下的指定收款账户，且承诺前述指定收款账户信息真实准确、合法有效。如乙方指定账户信息有所变更或错漏的，乙方应当在甲方付款前至少提前三个工作日书面告知甲方，否则甲方按照乙方指定账户付款即为完成付款义务，因此造成的损失、费用或责任，均由乙方自行承担。</w:t>
            </w:r>
          </w:p>
        </w:tc>
      </w:tr>
      <w:tr w14:paraId="6D67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0629" w:type="dxa"/>
            <w:gridSpan w:val="7"/>
            <w:vAlign w:val="center"/>
          </w:tcPr>
          <w:p w14:paraId="6C90113F">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七、违约责任：</w:t>
            </w:r>
          </w:p>
          <w:p w14:paraId="75FD427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（一）合同变更</w:t>
            </w:r>
          </w:p>
          <w:p w14:paraId="10DB8921">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本合同的变更必须由双方协商一致，并以书面形式确定。但有下列情形之一的，一方可以向另一方提出变更、解除合同权利与义务的书面请求，另一方应当在收到书面请求之日起五个工作日内予以答复；逾期未予答复的，视为同意。</w:t>
            </w:r>
          </w:p>
          <w:p w14:paraId="65745671">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1、乙方提供的本合同项目未达到技术目标的要求。  </w:t>
            </w:r>
          </w:p>
          <w:p w14:paraId="17C53A6C">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2、甲方未能按合同规定及时支付本合同费用。  </w:t>
            </w:r>
          </w:p>
          <w:p w14:paraId="2C75385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（二）合同违约</w:t>
            </w:r>
          </w:p>
          <w:p w14:paraId="20252222">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1、本合同中赋予甲、乙双方各自的责任，其中任何一方若未履行其相应的责任的任何一条，均视为违约；甲、乙双方中的任一方，如果单方面终止合同视为违约，但发生不可抗力情形除外(包括政策变化)。</w:t>
            </w:r>
          </w:p>
          <w:p w14:paraId="51564826">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2、除本合同另有明确约定的外，甲、乙双方中的任何一方违约造成本合同无法实施，违约方应向对方赔偿违约金，违约金金额为本合同总价款的10%，并终止合同的执行，违约金</w:t>
            </w:r>
            <w:r>
              <w:rPr>
                <w:rFonts w:hint="eastAsia" w:ascii="方正仿宋_GB2312" w:hAnsi="方正仿宋_GB2312" w:eastAsia="方正仿宋_GB2312" w:cs="方正仿宋_GB2312"/>
              </w:rPr>
              <w:t>不足以弥补损失的，守约方有权继续向违约方进行追索</w:t>
            </w:r>
            <w:r>
              <w:rPr>
                <w:rFonts w:hint="eastAsia" w:ascii="方正仿宋_GB2312" w:hAnsi="方正仿宋_GB2312" w:eastAsia="方正仿宋_GB2312" w:cs="方正仿宋_GB2312"/>
                <w:snapToGrid w:val="0"/>
                <w:kern w:val="0"/>
                <w:sz w:val="22"/>
                <w:szCs w:val="22"/>
              </w:rPr>
              <w:t>。</w:t>
            </w:r>
          </w:p>
          <w:p w14:paraId="505D0053">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3、乙方未按照约定完成产品交付的，每逾期一天，应当按照合同总金额的万分之五向甲方支付违约金，甲方有权从应付款中予以直接扣除。逾期达【30】天的，视为乙方不能交付，甲方有权解除本合同，并要求乙方支付合同总金额【30】%的违约金，因此造成的一切损失由乙方承担。</w:t>
            </w:r>
          </w:p>
          <w:p w14:paraId="075A0FFF">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4、乙方履约不符合约定或甲方要求的，甲方有权要求乙方整改，所产生的费用由乙方承担，且不免除乙方逾期履约的违约责任。乙方拒绝整改的，甲方有权单方解除合同并要求乙方赔偿损失。</w:t>
            </w:r>
          </w:p>
          <w:p w14:paraId="594E3EF8">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5、违约方应承担因违约行为造成的一切经济损失和守约方因追究违约责任而产生的一切合理费用包括但不限于律师费、差旅费、鉴定费、担保费、公证费等费用。</w:t>
            </w:r>
          </w:p>
          <w:p w14:paraId="34002F2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（三）合同解除</w:t>
            </w:r>
          </w:p>
          <w:p w14:paraId="2F3750B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甲方未能按合同规定及时支付本合同费用，经乙方催告后仍未支付，自付款期限届满后已逾期超过15日的，乙方有权单方面解除合同。</w:t>
            </w:r>
          </w:p>
          <w:p w14:paraId="6C88BAB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（四）合同纠纷</w:t>
            </w:r>
          </w:p>
          <w:p w14:paraId="0FCF9127">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1、在本合同执行过程中所发生的争议，双方应尽量通过友好协商的方式解决。</w:t>
            </w:r>
          </w:p>
          <w:p w14:paraId="6B02EF3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2、当双方协商不能达成一致时，可向甲方所在地有管辖权的法院起诉。</w:t>
            </w:r>
          </w:p>
        </w:tc>
      </w:tr>
      <w:tr w14:paraId="2FC7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0629" w:type="dxa"/>
            <w:gridSpan w:val="7"/>
            <w:vAlign w:val="center"/>
          </w:tcPr>
          <w:p w14:paraId="243CBC7A">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八、不可抗力：</w:t>
            </w:r>
          </w:p>
          <w:p w14:paraId="13C41678">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由于地震、火灾、洪水、战争、动乱等不能预见并且对其发生和后果不能避免、不能克服的不可抗力事件，致使直接影响合同的履行或不能按约定的条件履行合同的，受不可抗力影响的当事方应立即通知对方，并在不可抗力事件发生之日起十五日内向对方提供有关不可抗力事件的报告并说明其影响程度。双方将根据不可抗力对履行合同影响的程度，协商决定是否解除合同、免除或部分免除履行合同的责任、或延期履行合同。</w:t>
            </w:r>
          </w:p>
          <w:p w14:paraId="4351644F">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（二）如双方协商不一致的，任何一方有权在不可抗力事件发生【 90 】日届满后仍无法恢复合同履行时，解除本合同。</w:t>
            </w:r>
          </w:p>
        </w:tc>
      </w:tr>
      <w:tr w14:paraId="1E77C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0629" w:type="dxa"/>
            <w:gridSpan w:val="7"/>
            <w:vAlign w:val="center"/>
          </w:tcPr>
          <w:p w14:paraId="458C3C51">
            <w:pPr>
              <w:kinsoku w:val="0"/>
              <w:autoSpaceDE w:val="0"/>
              <w:autoSpaceDN w:val="0"/>
              <w:adjustRightInd w:val="0"/>
              <w:snapToGrid w:val="0"/>
              <w:spacing w:before="120" w:beforeLines="50" w:line="360" w:lineRule="auto"/>
              <w:ind w:firstLine="11"/>
              <w:jc w:val="left"/>
              <w:textAlignment w:val="baseline"/>
              <w:rPr>
                <w:rFonts w:hint="eastAsia" w:ascii="方正仿宋_GB2312" w:hAnsi="方正仿宋_GB2312" w:eastAsia="方正仿宋_GB2312" w:cs="方正仿宋_GB2312"/>
                <w:b/>
                <w:bCs/>
                <w:snapToGrid w:val="0"/>
                <w:kern w:val="0"/>
                <w:sz w:val="22"/>
                <w:szCs w:val="22"/>
              </w:rPr>
            </w:pPr>
            <w:r>
              <w:rPr>
                <w:rFonts w:hint="eastAsia" w:ascii="方正仿宋_GB2312" w:hAnsi="方正仿宋_GB2312" w:eastAsia="方正仿宋_GB2312" w:cs="方正仿宋_GB2312"/>
                <w:b/>
                <w:bCs/>
                <w:snapToGrid w:val="0"/>
                <w:kern w:val="0"/>
                <w:sz w:val="22"/>
                <w:szCs w:val="22"/>
              </w:rPr>
              <w:t>九、其他约定事项：</w:t>
            </w:r>
          </w:p>
          <w:p w14:paraId="42C32C2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（一）合同执行联系人</w:t>
            </w:r>
          </w:p>
          <w:p w14:paraId="7EA8F15C">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在本合同有效期内，甲方指定</w:t>
            </w:r>
            <w:r>
              <w:rPr>
                <w:rFonts w:hint="eastAsia" w:ascii="方正仿宋_GB2312" w:hAnsi="方正仿宋_GB2312" w:eastAsia="方正仿宋_GB2312" w:cs="方正仿宋_GB2312"/>
                <w:snapToGrid w:val="0"/>
                <w:kern w:val="0"/>
                <w:sz w:val="22"/>
                <w:szCs w:val="22"/>
                <w:u w:val="single"/>
              </w:rPr>
              <w:t xml:space="preserve">      </w:t>
            </w:r>
            <w:r>
              <w:rPr>
                <w:rFonts w:hint="eastAsia" w:ascii="方正仿宋_GB2312" w:hAnsi="方正仿宋_GB2312" w:eastAsia="方正仿宋_GB2312" w:cs="方正仿宋_GB2312"/>
                <w:snapToGrid w:val="0"/>
                <w:kern w:val="0"/>
                <w:sz w:val="22"/>
                <w:szCs w:val="22"/>
              </w:rPr>
              <w:t>（人员姓名、电话、邮箱）为甲方项目联系人，乙方指定</w:t>
            </w:r>
            <w:r>
              <w:rPr>
                <w:rFonts w:hint="eastAsia" w:ascii="方正仿宋_GB2312" w:hAnsi="方正仿宋_GB2312" w:eastAsia="方正仿宋_GB2312" w:cs="方正仿宋_GB2312"/>
                <w:snapToGrid w:val="0"/>
                <w:kern w:val="0"/>
                <w:sz w:val="22"/>
                <w:szCs w:val="22"/>
                <w:u w:val="single"/>
              </w:rPr>
              <w:t xml:space="preserve">     </w:t>
            </w:r>
            <w:r>
              <w:rPr>
                <w:rFonts w:hint="eastAsia" w:ascii="方正仿宋_GB2312" w:hAnsi="方正仿宋_GB2312" w:eastAsia="方正仿宋_GB2312" w:cs="方正仿宋_GB2312"/>
                <w:snapToGrid w:val="0"/>
                <w:kern w:val="0"/>
                <w:sz w:val="22"/>
                <w:szCs w:val="22"/>
              </w:rPr>
              <w:t>（人员姓名、电话、邮箱）为乙方项目联系人。项目联系人承担以下责任：</w:t>
            </w:r>
          </w:p>
          <w:p w14:paraId="1BB619D4">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1、随时通报合同履行过程中出现的相关问题；                                                                </w:t>
            </w:r>
          </w:p>
          <w:p w14:paraId="1C37F8F0">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2、协调双方项目参与人员的配合工作。                                                                   </w:t>
            </w:r>
          </w:p>
          <w:p w14:paraId="05F687FA">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一方变更项目联系人的，应当在5日内以书面形式通知其它方。未及时通知并影响本合同履行或造成损失的，应自行承担相应的责任。</w:t>
            </w:r>
          </w:p>
          <w:p w14:paraId="21334749">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（二）通知送达方式</w:t>
            </w:r>
          </w:p>
          <w:p w14:paraId="4898011D">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与本合同有关的由本合同双方当事人发出的任何文件、通知及其他通讯往来，须采取书面形式通过本合同已载明的联系方式及地址或双方书面通知的其他联系方式及地址进行送达。甲、乙任何一方需变更合同中所列联系地址及方式的，应在变更前5日内书面通知对方。如因前述通信地址不准确或无法有效送达，或者一方联系方式发生变更未按前述约定通知对方的，由此而引发全部责任和损失均由责任方自行全部承担，且对方的所有通知均视为已合法送达。</w:t>
            </w:r>
          </w:p>
          <w:p w14:paraId="2840E15E">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本合同所记载的通讯地址、联系人及联系方式同时也为各方争议解决时人民法院或仲裁机构的诉讼（仲裁）法律文书，包括但不限于应诉通知书、传票、开庭通知书、判决书、裁决书、调解书、裁定书等的送达地址。一方向相对方或人民法院、仲裁机构向合同任一方的上述地址及联系方式发送的相关文件均视为有效送达。</w:t>
            </w:r>
          </w:p>
          <w:p w14:paraId="6973E46C">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（三）本合同一式 </w:t>
            </w:r>
            <w:r>
              <w:rPr>
                <w:rFonts w:hint="eastAsia" w:ascii="方正仿宋_GB2312" w:hAnsi="方正仿宋_GB2312" w:eastAsia="方正仿宋_GB2312" w:cs="方正仿宋_GB2312"/>
                <w:b/>
                <w:bCs/>
                <w:snapToGrid w:val="0"/>
                <w:kern w:val="0"/>
                <w:sz w:val="22"/>
                <w:szCs w:val="22"/>
                <w:u w:val="single"/>
              </w:rPr>
              <w:t xml:space="preserve">肆 </w:t>
            </w:r>
            <w:r>
              <w:rPr>
                <w:rFonts w:hint="eastAsia" w:ascii="方正仿宋_GB2312" w:hAnsi="方正仿宋_GB2312" w:eastAsia="方正仿宋_GB2312" w:cs="方正仿宋_GB2312"/>
                <w:snapToGrid w:val="0"/>
                <w:kern w:val="0"/>
                <w:sz w:val="22"/>
                <w:szCs w:val="22"/>
              </w:rPr>
              <w:t xml:space="preserve">份，甲乙双方各持 </w:t>
            </w:r>
            <w:r>
              <w:rPr>
                <w:rFonts w:hint="eastAsia" w:ascii="方正仿宋_GB2312" w:hAnsi="方正仿宋_GB2312" w:eastAsia="方正仿宋_GB2312" w:cs="方正仿宋_GB2312"/>
                <w:b/>
                <w:bCs/>
                <w:snapToGrid w:val="0"/>
                <w:kern w:val="0"/>
                <w:sz w:val="22"/>
                <w:szCs w:val="22"/>
                <w:u w:val="single"/>
              </w:rPr>
              <w:t xml:space="preserve">贰 </w:t>
            </w:r>
            <w:r>
              <w:rPr>
                <w:rFonts w:hint="eastAsia" w:ascii="方正仿宋_GB2312" w:hAnsi="方正仿宋_GB2312" w:eastAsia="方正仿宋_GB2312" w:cs="方正仿宋_GB2312"/>
                <w:snapToGrid w:val="0"/>
                <w:kern w:val="0"/>
                <w:sz w:val="22"/>
                <w:szCs w:val="22"/>
              </w:rPr>
              <w:t>份，具有同等法律效力。</w:t>
            </w:r>
          </w:p>
          <w:p w14:paraId="7EDDB208">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（四）本合同以双方法定代表人/授权代表签字，双方单位盖章后生效。本合同未尽事宜，双方可另签补充协议，补充协议与本合同具有同等法律效力。</w:t>
            </w:r>
          </w:p>
          <w:p w14:paraId="4A9ADEE9">
            <w:pPr>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（以下无正文、为双方签署页）</w:t>
            </w:r>
          </w:p>
        </w:tc>
      </w:tr>
      <w:tr w14:paraId="2DE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jc w:val="center"/>
        </w:trPr>
        <w:tc>
          <w:tcPr>
            <w:tcW w:w="6137" w:type="dxa"/>
            <w:gridSpan w:val="4"/>
          </w:tcPr>
          <w:p w14:paraId="143CA5C9">
            <w:pPr>
              <w:kinsoku w:val="0"/>
              <w:autoSpaceDE w:val="0"/>
              <w:autoSpaceDN w:val="0"/>
              <w:adjustRightInd w:val="0"/>
              <w:snapToGrid w:val="0"/>
              <w:spacing w:before="35" w:line="360" w:lineRule="auto"/>
              <w:ind w:left="131"/>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甲方： </w:t>
            </w:r>
          </w:p>
          <w:p w14:paraId="4DD7137A">
            <w:pPr>
              <w:kinsoku w:val="0"/>
              <w:autoSpaceDE w:val="0"/>
              <w:autoSpaceDN w:val="0"/>
              <w:adjustRightInd w:val="0"/>
              <w:snapToGrid w:val="0"/>
              <w:spacing w:before="13" w:line="360" w:lineRule="auto"/>
              <w:ind w:left="116"/>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地址： </w:t>
            </w:r>
          </w:p>
          <w:p w14:paraId="216451F6">
            <w:pPr>
              <w:kinsoku w:val="0"/>
              <w:autoSpaceDE w:val="0"/>
              <w:autoSpaceDN w:val="0"/>
              <w:adjustRightInd w:val="0"/>
              <w:snapToGrid w:val="0"/>
              <w:spacing w:before="25" w:line="360" w:lineRule="auto"/>
              <w:ind w:left="116" w:right="3929" w:firstLine="1"/>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联系人：</w:t>
            </w:r>
          </w:p>
          <w:p w14:paraId="77A57BC7">
            <w:pPr>
              <w:kinsoku w:val="0"/>
              <w:autoSpaceDE w:val="0"/>
              <w:autoSpaceDN w:val="0"/>
              <w:adjustRightInd w:val="0"/>
              <w:snapToGrid w:val="0"/>
              <w:spacing w:before="25" w:line="360" w:lineRule="auto"/>
              <w:ind w:left="116" w:right="3929" w:firstLine="1"/>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联系电话：</w:t>
            </w:r>
          </w:p>
          <w:p w14:paraId="4DFA14FC">
            <w:pPr>
              <w:tabs>
                <w:tab w:val="left" w:pos="2310"/>
              </w:tabs>
              <w:kinsoku w:val="0"/>
              <w:autoSpaceDE w:val="0"/>
              <w:autoSpaceDN w:val="0"/>
              <w:adjustRightInd w:val="0"/>
              <w:snapToGrid w:val="0"/>
              <w:spacing w:before="25" w:line="360" w:lineRule="auto"/>
              <w:ind w:left="116" w:right="673" w:firstLine="1"/>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甲方授权代表（签字）：</w:t>
            </w:r>
          </w:p>
        </w:tc>
        <w:tc>
          <w:tcPr>
            <w:tcW w:w="4492" w:type="dxa"/>
            <w:gridSpan w:val="3"/>
            <w:vAlign w:val="center"/>
          </w:tcPr>
          <w:p w14:paraId="1B77B68F">
            <w:pPr>
              <w:kinsoku w:val="0"/>
              <w:autoSpaceDE w:val="0"/>
              <w:autoSpaceDN w:val="0"/>
              <w:adjustRightInd w:val="0"/>
              <w:snapToGrid w:val="0"/>
              <w:spacing w:before="35" w:line="360" w:lineRule="auto"/>
              <w:ind w:left="116"/>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乙方： </w:t>
            </w:r>
          </w:p>
          <w:p w14:paraId="1D523600">
            <w:pPr>
              <w:kinsoku w:val="0"/>
              <w:autoSpaceDE w:val="0"/>
              <w:autoSpaceDN w:val="0"/>
              <w:adjustRightInd w:val="0"/>
              <w:snapToGrid w:val="0"/>
              <w:spacing w:before="13" w:line="360" w:lineRule="auto"/>
              <w:ind w:left="115"/>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地址： </w:t>
            </w:r>
          </w:p>
          <w:p w14:paraId="69168400">
            <w:pPr>
              <w:kinsoku w:val="0"/>
              <w:autoSpaceDE w:val="0"/>
              <w:autoSpaceDN w:val="0"/>
              <w:adjustRightInd w:val="0"/>
              <w:snapToGrid w:val="0"/>
              <w:spacing w:before="25" w:line="360" w:lineRule="auto"/>
              <w:ind w:left="142"/>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法定代表人： </w:t>
            </w:r>
          </w:p>
          <w:p w14:paraId="05FC68C2">
            <w:pPr>
              <w:kinsoku w:val="0"/>
              <w:autoSpaceDE w:val="0"/>
              <w:autoSpaceDN w:val="0"/>
              <w:adjustRightInd w:val="0"/>
              <w:snapToGrid w:val="0"/>
              <w:spacing w:before="25" w:line="360" w:lineRule="auto"/>
              <w:ind w:left="142"/>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项目负责人： </w:t>
            </w:r>
          </w:p>
          <w:p w14:paraId="196FDC84">
            <w:pPr>
              <w:kinsoku w:val="0"/>
              <w:autoSpaceDE w:val="0"/>
              <w:autoSpaceDN w:val="0"/>
              <w:adjustRightInd w:val="0"/>
              <w:snapToGrid w:val="0"/>
              <w:spacing w:before="25" w:line="360" w:lineRule="auto"/>
              <w:ind w:left="142"/>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项目联系人： </w:t>
            </w:r>
          </w:p>
          <w:p w14:paraId="61033069">
            <w:pPr>
              <w:kinsoku w:val="0"/>
              <w:autoSpaceDE w:val="0"/>
              <w:autoSpaceDN w:val="0"/>
              <w:adjustRightInd w:val="0"/>
              <w:snapToGrid w:val="0"/>
              <w:spacing w:before="25" w:line="360" w:lineRule="auto"/>
              <w:ind w:left="142"/>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联系电话：</w:t>
            </w:r>
          </w:p>
          <w:p w14:paraId="1E0920E0">
            <w:pPr>
              <w:kinsoku w:val="0"/>
              <w:autoSpaceDE w:val="0"/>
              <w:autoSpaceDN w:val="0"/>
              <w:adjustRightInd w:val="0"/>
              <w:snapToGrid w:val="0"/>
              <w:spacing w:before="3" w:line="360" w:lineRule="auto"/>
              <w:ind w:left="116" w:right="154" w:firstLine="4"/>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 xml:space="preserve">开户银行： </w:t>
            </w:r>
          </w:p>
          <w:p w14:paraId="7ED2C44D">
            <w:pPr>
              <w:kinsoku w:val="0"/>
              <w:autoSpaceDE w:val="0"/>
              <w:autoSpaceDN w:val="0"/>
              <w:adjustRightInd w:val="0"/>
              <w:snapToGrid w:val="0"/>
              <w:spacing w:before="3" w:line="360" w:lineRule="auto"/>
              <w:ind w:left="116" w:right="154" w:firstLine="4"/>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账号：</w:t>
            </w:r>
          </w:p>
          <w:p w14:paraId="1F0C4ACD">
            <w:pPr>
              <w:kinsoku w:val="0"/>
              <w:autoSpaceDE w:val="0"/>
              <w:autoSpaceDN w:val="0"/>
              <w:adjustRightInd w:val="0"/>
              <w:snapToGrid w:val="0"/>
              <w:spacing w:before="3" w:line="360" w:lineRule="auto"/>
              <w:ind w:left="114"/>
              <w:jc w:val="left"/>
              <w:textAlignment w:val="baseline"/>
              <w:rPr>
                <w:rFonts w:hint="eastAsia" w:ascii="方正仿宋_GB2312" w:hAnsi="方正仿宋_GB2312" w:eastAsia="方正仿宋_GB2312" w:cs="方正仿宋_GB2312"/>
                <w:snapToGrid w:val="0"/>
                <w:kern w:val="0"/>
                <w:sz w:val="22"/>
                <w:szCs w:val="22"/>
              </w:rPr>
            </w:pPr>
            <w:r>
              <w:rPr>
                <w:rFonts w:hint="eastAsia" w:ascii="方正仿宋_GB2312" w:hAnsi="方正仿宋_GB2312" w:eastAsia="方正仿宋_GB2312" w:cs="方正仿宋_GB2312"/>
                <w:snapToGrid w:val="0"/>
                <w:kern w:val="0"/>
                <w:sz w:val="22"/>
                <w:szCs w:val="22"/>
              </w:rPr>
              <w:t>乙方授权代表（签字）：</w:t>
            </w:r>
          </w:p>
          <w:p w14:paraId="7D9BCA83">
            <w:pPr>
              <w:kinsoku w:val="0"/>
              <w:autoSpaceDE w:val="0"/>
              <w:autoSpaceDN w:val="0"/>
              <w:adjustRightInd w:val="0"/>
              <w:snapToGrid w:val="0"/>
              <w:spacing w:before="1" w:line="360" w:lineRule="auto"/>
              <w:ind w:left="97"/>
              <w:jc w:val="left"/>
              <w:textAlignment w:val="baseline"/>
              <w:rPr>
                <w:rFonts w:hint="eastAsia" w:ascii="方正仿宋_GB2312" w:hAnsi="方正仿宋_GB2312" w:eastAsia="方正仿宋_GB2312" w:cs="方正仿宋_GB2312"/>
                <w:snapToGrid w:val="0"/>
                <w:kern w:val="0"/>
                <w:sz w:val="22"/>
                <w:szCs w:val="22"/>
              </w:rPr>
            </w:pPr>
          </w:p>
        </w:tc>
      </w:tr>
    </w:tbl>
    <w:p w14:paraId="2914FCF3">
      <w:pPr>
        <w:pStyle w:val="28"/>
        <w:ind w:firstLine="480"/>
        <w:rPr>
          <w:rFonts w:hint="eastAsia" w:ascii="方正仿宋_GB2312" w:hAnsi="方正仿宋_GB2312" w:eastAsia="方正仿宋_GB2312" w:cs="方正仿宋_GB2312"/>
          <w:color w:val="auto"/>
          <w:highlight w:val="none"/>
        </w:rPr>
      </w:pPr>
      <w:bookmarkStart w:id="164" w:name="bookmark54"/>
      <w:bookmarkEnd w:id="164"/>
      <w:r>
        <w:rPr>
          <w:rFonts w:hint="eastAsia" w:ascii="方正仿宋_GB2312" w:hAnsi="方正仿宋_GB2312" w:eastAsia="方正仿宋_GB2312" w:cs="方正仿宋_GB2312"/>
          <w:snapToGrid w:val="0"/>
          <w:kern w:val="0"/>
          <w:sz w:val="24"/>
        </w:rPr>
        <w:t>签约时间：     年   月    日             签约地点：</w:t>
      </w:r>
    </w:p>
    <w:p w14:paraId="4356653E">
      <w:pPr>
        <w:pStyle w:val="28"/>
        <w:ind w:firstLine="480"/>
        <w:rPr>
          <w:rFonts w:hint="eastAsia" w:ascii="方正仿宋_GB2312" w:hAnsi="方正仿宋_GB2312" w:eastAsia="方正仿宋_GB2312" w:cs="方正仿宋_GB2312"/>
          <w:color w:val="auto"/>
          <w:highlight w:val="none"/>
        </w:rPr>
      </w:pPr>
    </w:p>
    <w:p w14:paraId="3AADB2B3">
      <w:pPr>
        <w:pStyle w:val="28"/>
        <w:ind w:firstLine="480"/>
        <w:rPr>
          <w:rFonts w:hint="eastAsia" w:ascii="方正仿宋_GB2312" w:hAnsi="方正仿宋_GB2312" w:eastAsia="方正仿宋_GB2312" w:cs="方正仿宋_GB2312"/>
          <w:color w:val="auto"/>
          <w:highlight w:val="none"/>
        </w:rPr>
      </w:pPr>
    </w:p>
    <w:p w14:paraId="5A5C4263">
      <w:pPr>
        <w:pStyle w:val="28"/>
        <w:ind w:firstLine="480"/>
        <w:rPr>
          <w:rFonts w:hint="eastAsia" w:ascii="方正仿宋_GB2312" w:hAnsi="方正仿宋_GB2312" w:eastAsia="方正仿宋_GB2312" w:cs="方正仿宋_GB2312"/>
          <w:color w:val="auto"/>
          <w:highlight w:val="none"/>
        </w:rPr>
      </w:pPr>
    </w:p>
    <w:p w14:paraId="6C1CD80A">
      <w:pPr>
        <w:pStyle w:val="28"/>
        <w:ind w:firstLine="480"/>
        <w:rPr>
          <w:rFonts w:hint="eastAsia" w:ascii="方正仿宋_GB2312" w:hAnsi="方正仿宋_GB2312" w:eastAsia="方正仿宋_GB2312" w:cs="方正仿宋_GB2312"/>
          <w:color w:val="auto"/>
          <w:highlight w:val="none"/>
        </w:rPr>
      </w:pPr>
    </w:p>
    <w:p w14:paraId="1694EDBF">
      <w:pPr>
        <w:pStyle w:val="28"/>
        <w:ind w:firstLine="480"/>
        <w:rPr>
          <w:rFonts w:hint="eastAsia" w:ascii="方正仿宋_GB2312" w:hAnsi="方正仿宋_GB2312" w:eastAsia="方正仿宋_GB2312" w:cs="方正仿宋_GB2312"/>
          <w:color w:val="auto"/>
          <w:highlight w:val="none"/>
        </w:rPr>
      </w:pPr>
    </w:p>
    <w:p w14:paraId="13558EB0">
      <w:pPr>
        <w:pStyle w:val="28"/>
        <w:ind w:firstLine="480"/>
        <w:rPr>
          <w:rFonts w:hint="eastAsia" w:ascii="方正仿宋_GB2312" w:hAnsi="方正仿宋_GB2312" w:eastAsia="方正仿宋_GB2312" w:cs="方正仿宋_GB2312"/>
          <w:color w:val="auto"/>
          <w:highlight w:val="none"/>
        </w:rPr>
      </w:pPr>
    </w:p>
    <w:p w14:paraId="63785250">
      <w:pPr>
        <w:pStyle w:val="28"/>
        <w:ind w:firstLine="480"/>
        <w:rPr>
          <w:rFonts w:hint="eastAsia" w:ascii="方正仿宋_GB2312" w:hAnsi="方正仿宋_GB2312" w:eastAsia="方正仿宋_GB2312" w:cs="方正仿宋_GB2312"/>
          <w:color w:val="auto"/>
          <w:highlight w:val="none"/>
        </w:rPr>
      </w:pPr>
    </w:p>
    <w:p w14:paraId="2C025DB6">
      <w:pPr>
        <w:pStyle w:val="28"/>
        <w:ind w:firstLine="480"/>
        <w:rPr>
          <w:rFonts w:hint="eastAsia" w:ascii="方正仿宋_GB2312" w:hAnsi="方正仿宋_GB2312" w:eastAsia="方正仿宋_GB2312" w:cs="方正仿宋_GB2312"/>
          <w:color w:val="auto"/>
          <w:highlight w:val="none"/>
        </w:rPr>
      </w:pPr>
    </w:p>
    <w:p w14:paraId="1A7BB8C4">
      <w:pPr>
        <w:pStyle w:val="28"/>
        <w:ind w:firstLine="480"/>
        <w:rPr>
          <w:rFonts w:hint="eastAsia" w:ascii="方正仿宋_GB2312" w:hAnsi="方正仿宋_GB2312" w:eastAsia="方正仿宋_GB2312" w:cs="方正仿宋_GB2312"/>
          <w:color w:val="auto"/>
          <w:highlight w:val="none"/>
        </w:rPr>
      </w:pPr>
    </w:p>
    <w:p w14:paraId="6969E037">
      <w:pPr>
        <w:pStyle w:val="28"/>
        <w:ind w:firstLine="480"/>
        <w:rPr>
          <w:rFonts w:hint="eastAsia" w:ascii="方正仿宋_GB2312" w:hAnsi="方正仿宋_GB2312" w:eastAsia="方正仿宋_GB2312" w:cs="方正仿宋_GB2312"/>
          <w:color w:val="auto"/>
          <w:highlight w:val="none"/>
        </w:rPr>
      </w:pPr>
    </w:p>
    <w:p w14:paraId="38448841">
      <w:pPr>
        <w:pStyle w:val="28"/>
        <w:ind w:firstLine="480"/>
        <w:rPr>
          <w:rFonts w:hint="eastAsia" w:ascii="方正仿宋_GB2312" w:hAnsi="方正仿宋_GB2312" w:eastAsia="方正仿宋_GB2312" w:cs="方正仿宋_GB2312"/>
          <w:color w:val="auto"/>
          <w:highlight w:val="none"/>
        </w:rPr>
      </w:pPr>
    </w:p>
    <w:p w14:paraId="70834537">
      <w:pPr>
        <w:pStyle w:val="28"/>
        <w:ind w:firstLine="480"/>
        <w:rPr>
          <w:rFonts w:hint="eastAsia" w:ascii="方正仿宋_GB2312" w:hAnsi="方正仿宋_GB2312" w:eastAsia="方正仿宋_GB2312" w:cs="方正仿宋_GB2312"/>
          <w:color w:val="auto"/>
          <w:highlight w:val="none"/>
        </w:rPr>
      </w:pPr>
    </w:p>
    <w:p w14:paraId="69D694F1">
      <w:pPr>
        <w:pStyle w:val="28"/>
        <w:ind w:firstLine="480"/>
        <w:rPr>
          <w:rFonts w:hint="eastAsia" w:ascii="方正仿宋_GB2312" w:hAnsi="方正仿宋_GB2312" w:eastAsia="方正仿宋_GB2312" w:cs="方正仿宋_GB2312"/>
          <w:color w:val="auto"/>
          <w:highlight w:val="none"/>
        </w:rPr>
      </w:pPr>
    </w:p>
    <w:p w14:paraId="2A347E29">
      <w:pPr>
        <w:pStyle w:val="28"/>
        <w:ind w:firstLine="480"/>
        <w:rPr>
          <w:rFonts w:hint="eastAsia" w:ascii="方正仿宋_GB2312" w:hAnsi="方正仿宋_GB2312" w:eastAsia="方正仿宋_GB2312" w:cs="方正仿宋_GB2312"/>
          <w:color w:val="auto"/>
          <w:highlight w:val="none"/>
        </w:rPr>
      </w:pPr>
    </w:p>
    <w:p w14:paraId="464D105F">
      <w:pPr>
        <w:rPr>
          <w:rFonts w:hint="eastAsia" w:ascii="方正仿宋_GB2312" w:hAnsi="方正仿宋_GB2312" w:eastAsia="方正仿宋_GB2312" w:cs="方正仿宋_GB2312"/>
          <w:b/>
          <w:bCs/>
          <w:sz w:val="36"/>
          <w:szCs w:val="44"/>
        </w:rPr>
      </w:pPr>
      <w:r>
        <w:rPr>
          <w:rFonts w:hint="eastAsia" w:ascii="方正仿宋_GB2312" w:hAnsi="方正仿宋_GB2312" w:eastAsia="方正仿宋_GB2312" w:cs="方正仿宋_GB2312"/>
          <w:b/>
          <w:bCs/>
          <w:sz w:val="36"/>
          <w:szCs w:val="44"/>
        </w:rPr>
        <w:t>附件：</w:t>
      </w:r>
    </w:p>
    <w:p w14:paraId="01CBA5F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字化项目管理平台是对项目实施的总体把控，强化过程管理，整合项目前期和施工过程中的数据，形成多方协同共享，实现可视化的项目集成协同管理。主要内容包含：项目一体化架构基础、低代码无代码技术能力、项目一体化建设、一张图决策、项目管理、项目立项、合同管理、投资管理、工程造价、设计管理、项目过程管理、移动端、系统对接等。</w:t>
      </w:r>
    </w:p>
    <w:tbl>
      <w:tblPr>
        <w:tblStyle w:val="21"/>
        <w:tblW w:w="10338" w:type="dxa"/>
        <w:tblInd w:w="-424" w:type="dxa"/>
        <w:tblLayout w:type="fixed"/>
        <w:tblCellMar>
          <w:top w:w="0" w:type="dxa"/>
          <w:left w:w="108" w:type="dxa"/>
          <w:bottom w:w="0" w:type="dxa"/>
          <w:right w:w="108" w:type="dxa"/>
        </w:tblCellMar>
      </w:tblPr>
      <w:tblGrid>
        <w:gridCol w:w="620"/>
        <w:gridCol w:w="1530"/>
        <w:gridCol w:w="2200"/>
        <w:gridCol w:w="1525"/>
        <w:gridCol w:w="4463"/>
      </w:tblGrid>
      <w:tr w14:paraId="77D1C582">
        <w:tblPrEx>
          <w:tblCellMar>
            <w:top w:w="0" w:type="dxa"/>
            <w:left w:w="108" w:type="dxa"/>
            <w:bottom w:w="0" w:type="dxa"/>
            <w:right w:w="108" w:type="dxa"/>
          </w:tblCellMar>
        </w:tblPrEx>
        <w:trPr>
          <w:trHeight w:val="270"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BADD9">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序号</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17993A99">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模块</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6C69AE1C">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子模块</w:t>
            </w:r>
          </w:p>
        </w:tc>
        <w:tc>
          <w:tcPr>
            <w:tcW w:w="1525" w:type="dxa"/>
            <w:tcBorders>
              <w:top w:val="single" w:color="auto" w:sz="4" w:space="0"/>
              <w:left w:val="nil"/>
              <w:bottom w:val="single" w:color="auto" w:sz="4" w:space="0"/>
              <w:right w:val="single" w:color="auto" w:sz="4" w:space="0"/>
            </w:tcBorders>
            <w:shd w:val="clear" w:color="auto" w:fill="auto"/>
            <w:noWrap/>
            <w:vAlign w:val="center"/>
          </w:tcPr>
          <w:p w14:paraId="2D4960A8">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所属层级</w:t>
            </w:r>
          </w:p>
        </w:tc>
        <w:tc>
          <w:tcPr>
            <w:tcW w:w="4463" w:type="dxa"/>
            <w:tcBorders>
              <w:top w:val="single" w:color="auto" w:sz="4" w:space="0"/>
              <w:left w:val="nil"/>
              <w:bottom w:val="single" w:color="auto" w:sz="4" w:space="0"/>
              <w:right w:val="single" w:color="auto" w:sz="4" w:space="0"/>
            </w:tcBorders>
            <w:shd w:val="clear" w:color="auto" w:fill="auto"/>
            <w:vAlign w:val="center"/>
          </w:tcPr>
          <w:p w14:paraId="730DE9DD">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功能描述</w:t>
            </w:r>
          </w:p>
        </w:tc>
      </w:tr>
      <w:tr w14:paraId="0CB350CF">
        <w:tblPrEx>
          <w:tblCellMar>
            <w:top w:w="0" w:type="dxa"/>
            <w:left w:w="108" w:type="dxa"/>
            <w:bottom w:w="0" w:type="dxa"/>
            <w:right w:w="108" w:type="dxa"/>
          </w:tblCellMar>
        </w:tblPrEx>
        <w:trPr>
          <w:trHeight w:val="222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59300B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530" w:type="dxa"/>
            <w:vMerge w:val="restart"/>
            <w:tcBorders>
              <w:top w:val="nil"/>
              <w:left w:val="single" w:color="auto" w:sz="4" w:space="0"/>
              <w:bottom w:val="single" w:color="000000" w:sz="4" w:space="0"/>
              <w:right w:val="nil"/>
            </w:tcBorders>
            <w:shd w:val="clear" w:color="auto" w:fill="auto"/>
            <w:noWrap/>
            <w:vAlign w:val="center"/>
          </w:tcPr>
          <w:p w14:paraId="33903DE2">
            <w:pPr>
              <w:widowControl/>
              <w:jc w:val="left"/>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平台基础架构</w:t>
            </w:r>
          </w:p>
        </w:tc>
        <w:tc>
          <w:tcPr>
            <w:tcW w:w="2200" w:type="dxa"/>
            <w:tcBorders>
              <w:top w:val="nil"/>
              <w:left w:val="single" w:color="auto" w:sz="4" w:space="0"/>
              <w:bottom w:val="single" w:color="auto" w:sz="4" w:space="0"/>
              <w:right w:val="single" w:color="auto" w:sz="4" w:space="0"/>
            </w:tcBorders>
            <w:shd w:val="clear" w:color="auto" w:fill="auto"/>
            <w:noWrap/>
            <w:vAlign w:val="center"/>
          </w:tcPr>
          <w:p w14:paraId="3FA2DE2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项企一体化架构</w:t>
            </w:r>
          </w:p>
        </w:tc>
        <w:tc>
          <w:tcPr>
            <w:tcW w:w="1525" w:type="dxa"/>
            <w:tcBorders>
              <w:top w:val="nil"/>
              <w:left w:val="nil"/>
              <w:bottom w:val="single" w:color="auto" w:sz="4" w:space="0"/>
              <w:right w:val="single" w:color="auto" w:sz="4" w:space="0"/>
            </w:tcBorders>
            <w:shd w:val="clear" w:color="auto" w:fill="auto"/>
            <w:noWrap/>
            <w:vAlign w:val="center"/>
          </w:tcPr>
          <w:p w14:paraId="6631F40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463" w:type="dxa"/>
            <w:tcBorders>
              <w:top w:val="nil"/>
              <w:left w:val="nil"/>
              <w:bottom w:val="single" w:color="auto" w:sz="4" w:space="0"/>
              <w:right w:val="single" w:color="auto" w:sz="4" w:space="0"/>
            </w:tcBorders>
            <w:shd w:val="clear" w:color="auto" w:fill="auto"/>
            <w:vAlign w:val="center"/>
          </w:tcPr>
          <w:p w14:paraId="256AC925">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1.包含公司级、项目级、标段级三级平台架构。由公司进行统一管理，包含创建项目、标段、管理和审核用户等；</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2.公司进行管理项目、标段及各参与方的组织架构，包含部门、岗位的创建和管理；</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3.公司可以贯穿管理、查询分部组织架构等。</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4.公司端管理整体公司的标准数据，如审批流程标准、工作任务流标准、表单样板标准等；</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5.公司可以发起对项目标段的资料归集等工作。</w:t>
            </w:r>
          </w:p>
        </w:tc>
      </w:tr>
      <w:tr w14:paraId="52FE2D0F">
        <w:tblPrEx>
          <w:tblCellMar>
            <w:top w:w="0" w:type="dxa"/>
            <w:left w:w="108" w:type="dxa"/>
            <w:bottom w:w="0" w:type="dxa"/>
            <w:right w:w="108" w:type="dxa"/>
          </w:tblCellMar>
        </w:tblPrEx>
        <w:trPr>
          <w:trHeight w:val="140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62FC9C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530" w:type="dxa"/>
            <w:vMerge w:val="continue"/>
            <w:tcBorders>
              <w:top w:val="nil"/>
              <w:left w:val="single" w:color="auto" w:sz="4" w:space="0"/>
              <w:bottom w:val="single" w:color="000000" w:sz="4" w:space="0"/>
              <w:right w:val="nil"/>
            </w:tcBorders>
            <w:vAlign w:val="center"/>
          </w:tcPr>
          <w:p w14:paraId="025D8495">
            <w:pPr>
              <w:widowControl/>
              <w:jc w:val="left"/>
              <w:rPr>
                <w:rFonts w:hint="eastAsia" w:ascii="方正仿宋_GB2312" w:hAnsi="方正仿宋_GB2312" w:eastAsia="方正仿宋_GB2312" w:cs="方正仿宋_GB2312"/>
                <w:kern w:val="0"/>
                <w:sz w:val="20"/>
                <w:szCs w:val="20"/>
              </w:rPr>
            </w:pPr>
          </w:p>
        </w:tc>
        <w:tc>
          <w:tcPr>
            <w:tcW w:w="2200" w:type="dxa"/>
            <w:tcBorders>
              <w:top w:val="nil"/>
              <w:left w:val="single" w:color="auto" w:sz="4" w:space="0"/>
              <w:bottom w:val="single" w:color="auto" w:sz="4" w:space="0"/>
              <w:right w:val="single" w:color="auto" w:sz="4" w:space="0"/>
            </w:tcBorders>
            <w:shd w:val="clear" w:color="auto" w:fill="auto"/>
            <w:vAlign w:val="center"/>
          </w:tcPr>
          <w:p w14:paraId="58B40A1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低代码/无代码技术架构</w:t>
            </w:r>
          </w:p>
        </w:tc>
        <w:tc>
          <w:tcPr>
            <w:tcW w:w="1525" w:type="dxa"/>
            <w:tcBorders>
              <w:top w:val="nil"/>
              <w:left w:val="nil"/>
              <w:bottom w:val="single" w:color="auto" w:sz="4" w:space="0"/>
              <w:right w:val="single" w:color="auto" w:sz="4" w:space="0"/>
            </w:tcBorders>
            <w:shd w:val="clear" w:color="auto" w:fill="auto"/>
            <w:noWrap/>
            <w:vAlign w:val="center"/>
          </w:tcPr>
          <w:p w14:paraId="0DF3020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463" w:type="dxa"/>
            <w:tcBorders>
              <w:top w:val="nil"/>
              <w:left w:val="nil"/>
              <w:bottom w:val="single" w:color="auto" w:sz="4" w:space="0"/>
              <w:right w:val="single" w:color="auto" w:sz="4" w:space="0"/>
            </w:tcBorders>
            <w:shd w:val="clear" w:color="auto" w:fill="auto"/>
            <w:vAlign w:val="center"/>
          </w:tcPr>
          <w:p w14:paraId="3EA17479">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基于建设项目过程调整频繁、研发响应时效要求高等特点，平台基础能力需要采用低代码/无代码技术架构，包含但不限于以下内容：表单引擎、流程引擎、EXCLE表格引擎、可视化拓扑图、应用体系、物联网中台能力、数字资料、PC菜单/UI界面配置、移动端菜单配置、BIMGIS引擎配置等能力。</w:t>
            </w:r>
          </w:p>
        </w:tc>
      </w:tr>
      <w:tr w14:paraId="75675EE9">
        <w:tblPrEx>
          <w:tblCellMar>
            <w:top w:w="0" w:type="dxa"/>
            <w:left w:w="108" w:type="dxa"/>
            <w:bottom w:w="0" w:type="dxa"/>
            <w:right w:w="108" w:type="dxa"/>
          </w:tblCellMar>
        </w:tblPrEx>
        <w:trPr>
          <w:trHeight w:val="179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C136FE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tcPr>
          <w:p w14:paraId="10B856B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项企一体化建设</w:t>
            </w:r>
          </w:p>
        </w:tc>
        <w:tc>
          <w:tcPr>
            <w:tcW w:w="2200" w:type="dxa"/>
            <w:tcBorders>
              <w:top w:val="nil"/>
              <w:left w:val="nil"/>
              <w:bottom w:val="single" w:color="auto" w:sz="4" w:space="0"/>
              <w:right w:val="single" w:color="auto" w:sz="4" w:space="0"/>
            </w:tcBorders>
            <w:shd w:val="clear" w:color="auto" w:fill="auto"/>
            <w:noWrap/>
            <w:vAlign w:val="center"/>
          </w:tcPr>
          <w:p w14:paraId="0AE2AEA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定制化登录页</w:t>
            </w:r>
          </w:p>
        </w:tc>
        <w:tc>
          <w:tcPr>
            <w:tcW w:w="1525" w:type="dxa"/>
            <w:tcBorders>
              <w:top w:val="nil"/>
              <w:left w:val="nil"/>
              <w:bottom w:val="single" w:color="auto" w:sz="4" w:space="0"/>
              <w:right w:val="single" w:color="auto" w:sz="4" w:space="0"/>
            </w:tcBorders>
            <w:shd w:val="clear" w:color="auto" w:fill="auto"/>
            <w:noWrap/>
            <w:vAlign w:val="center"/>
          </w:tcPr>
          <w:p w14:paraId="3552004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463" w:type="dxa"/>
            <w:tcBorders>
              <w:top w:val="nil"/>
              <w:left w:val="nil"/>
              <w:bottom w:val="single" w:color="auto" w:sz="4" w:space="0"/>
              <w:right w:val="single" w:color="auto" w:sz="4" w:space="0"/>
            </w:tcBorders>
            <w:shd w:val="clear" w:color="auto" w:fill="auto"/>
            <w:vAlign w:val="center"/>
          </w:tcPr>
          <w:p w14:paraId="25E24B16">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1.系统可根据项目特色设计和快速定制登录界面，提升用户体验和品牌形象。</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2.登录页支持多种登录方式，包括账户密码登录和手机号验证码登录。通过登录界面的定制，项目团队可以添加项目Logo、背景图片、颜色主题等元素，使登录界面更加符合项目风格和企业文化。</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3.登录页设计完成确认后，支持登录界面快速定制确保系统的快速上线和使用。</w:t>
            </w:r>
          </w:p>
        </w:tc>
      </w:tr>
      <w:tr w14:paraId="4EBE5C29">
        <w:tblPrEx>
          <w:tblCellMar>
            <w:top w:w="0" w:type="dxa"/>
            <w:left w:w="108" w:type="dxa"/>
            <w:bottom w:w="0" w:type="dxa"/>
            <w:right w:w="108" w:type="dxa"/>
          </w:tblCellMar>
        </w:tblPrEx>
        <w:trPr>
          <w:trHeight w:val="80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9B0FB4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530" w:type="dxa"/>
            <w:vMerge w:val="continue"/>
            <w:tcBorders>
              <w:top w:val="nil"/>
              <w:left w:val="single" w:color="auto" w:sz="4" w:space="0"/>
              <w:bottom w:val="single" w:color="auto" w:sz="4" w:space="0"/>
              <w:right w:val="single" w:color="auto" w:sz="4" w:space="0"/>
            </w:tcBorders>
            <w:vAlign w:val="center"/>
          </w:tcPr>
          <w:p w14:paraId="35A44BD3">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7AFDBB9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工作台</w:t>
            </w:r>
          </w:p>
        </w:tc>
        <w:tc>
          <w:tcPr>
            <w:tcW w:w="1525" w:type="dxa"/>
            <w:tcBorders>
              <w:top w:val="nil"/>
              <w:left w:val="nil"/>
              <w:bottom w:val="single" w:color="auto" w:sz="4" w:space="0"/>
              <w:right w:val="single" w:color="auto" w:sz="4" w:space="0"/>
            </w:tcBorders>
            <w:shd w:val="clear" w:color="auto" w:fill="auto"/>
            <w:noWrap/>
            <w:vAlign w:val="center"/>
          </w:tcPr>
          <w:p w14:paraId="7313475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463" w:type="dxa"/>
            <w:tcBorders>
              <w:top w:val="nil"/>
              <w:left w:val="nil"/>
              <w:bottom w:val="single" w:color="auto" w:sz="4" w:space="0"/>
              <w:right w:val="single" w:color="auto" w:sz="4" w:space="0"/>
            </w:tcBorders>
            <w:shd w:val="clear" w:color="auto" w:fill="auto"/>
            <w:vAlign w:val="center"/>
          </w:tcPr>
          <w:p w14:paraId="45A464DD">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1.第二屏支持根据需求进行可视化配置，例如展示新闻动态、通知公告信息、待办事项、应用快速入口、重要统计数据分析等内容；</w:t>
            </w:r>
          </w:p>
        </w:tc>
      </w:tr>
      <w:tr w14:paraId="6D8768A0">
        <w:tblPrEx>
          <w:tblCellMar>
            <w:top w:w="0" w:type="dxa"/>
            <w:left w:w="108" w:type="dxa"/>
            <w:bottom w:w="0" w:type="dxa"/>
            <w:right w:w="108" w:type="dxa"/>
          </w:tblCellMar>
        </w:tblPrEx>
        <w:trPr>
          <w:trHeight w:val="13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7E25D9E">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530" w:type="dxa"/>
            <w:vMerge w:val="continue"/>
            <w:tcBorders>
              <w:top w:val="nil"/>
              <w:left w:val="single" w:color="auto" w:sz="4" w:space="0"/>
              <w:bottom w:val="single" w:color="auto" w:sz="4" w:space="0"/>
              <w:right w:val="single" w:color="auto" w:sz="4" w:space="0"/>
            </w:tcBorders>
            <w:vAlign w:val="center"/>
          </w:tcPr>
          <w:p w14:paraId="422E769A">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0B88C3B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组织架构</w:t>
            </w:r>
          </w:p>
        </w:tc>
        <w:tc>
          <w:tcPr>
            <w:tcW w:w="1525" w:type="dxa"/>
            <w:tcBorders>
              <w:top w:val="nil"/>
              <w:left w:val="nil"/>
              <w:bottom w:val="single" w:color="auto" w:sz="4" w:space="0"/>
              <w:right w:val="single" w:color="auto" w:sz="4" w:space="0"/>
            </w:tcBorders>
            <w:shd w:val="clear" w:color="auto" w:fill="auto"/>
            <w:noWrap/>
            <w:vAlign w:val="center"/>
          </w:tcPr>
          <w:p w14:paraId="18C83DA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54F2467F">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1.支持企业级的组织架构的创建（至少包含公司级、项目级、标段级）；</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2.支持项目创建五方参与单位（包含建设方、勘察方、设计方、监理方、施工方）；</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3.支持对参与单位的部门、岗位等进行赋予，支持权限等的配置；</w:t>
            </w:r>
          </w:p>
        </w:tc>
      </w:tr>
      <w:tr w14:paraId="4D384E3C">
        <w:tblPrEx>
          <w:tblCellMar>
            <w:top w:w="0" w:type="dxa"/>
            <w:left w:w="108" w:type="dxa"/>
            <w:bottom w:w="0" w:type="dxa"/>
            <w:right w:w="108" w:type="dxa"/>
          </w:tblCellMar>
        </w:tblPrEx>
        <w:trPr>
          <w:trHeight w:val="66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EC5B0F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530" w:type="dxa"/>
            <w:vMerge w:val="continue"/>
            <w:tcBorders>
              <w:top w:val="nil"/>
              <w:left w:val="single" w:color="auto" w:sz="4" w:space="0"/>
              <w:bottom w:val="single" w:color="auto" w:sz="4" w:space="0"/>
              <w:right w:val="single" w:color="auto" w:sz="4" w:space="0"/>
            </w:tcBorders>
            <w:vAlign w:val="center"/>
          </w:tcPr>
          <w:p w14:paraId="01220045">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10710E2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用户管理</w:t>
            </w:r>
          </w:p>
        </w:tc>
        <w:tc>
          <w:tcPr>
            <w:tcW w:w="1525" w:type="dxa"/>
            <w:tcBorders>
              <w:top w:val="nil"/>
              <w:left w:val="nil"/>
              <w:bottom w:val="single" w:color="auto" w:sz="4" w:space="0"/>
              <w:right w:val="single" w:color="auto" w:sz="4" w:space="0"/>
            </w:tcBorders>
            <w:shd w:val="clear" w:color="auto" w:fill="auto"/>
            <w:noWrap/>
            <w:vAlign w:val="center"/>
          </w:tcPr>
          <w:p w14:paraId="5C3841F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75475943">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1.支持对平台用户进行管理，包含用户的账户、密码等的修改编辑；</w:t>
            </w:r>
          </w:p>
        </w:tc>
      </w:tr>
      <w:tr w14:paraId="5B72E924">
        <w:tblPrEx>
          <w:tblCellMar>
            <w:top w:w="0" w:type="dxa"/>
            <w:left w:w="108" w:type="dxa"/>
            <w:bottom w:w="0" w:type="dxa"/>
            <w:right w:w="108" w:type="dxa"/>
          </w:tblCellMar>
        </w:tblPrEx>
        <w:trPr>
          <w:trHeight w:val="140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41E270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tcPr>
          <w:p w14:paraId="13CCA34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一张图决策</w:t>
            </w:r>
          </w:p>
        </w:tc>
        <w:tc>
          <w:tcPr>
            <w:tcW w:w="2200" w:type="dxa"/>
            <w:tcBorders>
              <w:top w:val="nil"/>
              <w:left w:val="nil"/>
              <w:bottom w:val="single" w:color="auto" w:sz="4" w:space="0"/>
              <w:right w:val="single" w:color="auto" w:sz="4" w:space="0"/>
            </w:tcBorders>
            <w:shd w:val="clear" w:color="auto" w:fill="auto"/>
            <w:noWrap/>
            <w:vAlign w:val="center"/>
          </w:tcPr>
          <w:p w14:paraId="2CA0527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企业级看板</w:t>
            </w:r>
          </w:p>
        </w:tc>
        <w:tc>
          <w:tcPr>
            <w:tcW w:w="1525" w:type="dxa"/>
            <w:tcBorders>
              <w:top w:val="nil"/>
              <w:left w:val="nil"/>
              <w:bottom w:val="single" w:color="auto" w:sz="4" w:space="0"/>
              <w:right w:val="single" w:color="auto" w:sz="4" w:space="0"/>
            </w:tcBorders>
            <w:shd w:val="clear" w:color="auto" w:fill="auto"/>
            <w:noWrap/>
            <w:vAlign w:val="center"/>
          </w:tcPr>
          <w:p w14:paraId="1D88E5F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7EA1D4D">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于企业层级多项目管理，可汇总平台全部项目应用数据，包含项目类型、项目重要程度、采购情况、投资情况、建设状态、生产进度情况等，实现对公司下所有项目的全方位实时动态管理、风险管控、数据留痕和智慧决策。保障数据真实、及时、全面，挖掘数据价值赋能经营决策。</w:t>
            </w:r>
          </w:p>
        </w:tc>
      </w:tr>
      <w:tr w14:paraId="338C60FE">
        <w:tblPrEx>
          <w:tblCellMar>
            <w:top w:w="0" w:type="dxa"/>
            <w:left w:w="108" w:type="dxa"/>
            <w:bottom w:w="0" w:type="dxa"/>
            <w:right w:w="108" w:type="dxa"/>
          </w:tblCellMar>
        </w:tblPrEx>
        <w:trPr>
          <w:trHeight w:val="116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266DF9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530" w:type="dxa"/>
            <w:vMerge w:val="continue"/>
            <w:tcBorders>
              <w:top w:val="nil"/>
              <w:left w:val="single" w:color="auto" w:sz="4" w:space="0"/>
              <w:bottom w:val="single" w:color="auto" w:sz="4" w:space="0"/>
              <w:right w:val="single" w:color="auto" w:sz="4" w:space="0"/>
            </w:tcBorders>
            <w:vAlign w:val="center"/>
          </w:tcPr>
          <w:p w14:paraId="1F9BC78C">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364301B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项目级看板</w:t>
            </w:r>
          </w:p>
        </w:tc>
        <w:tc>
          <w:tcPr>
            <w:tcW w:w="1525" w:type="dxa"/>
            <w:tcBorders>
              <w:top w:val="nil"/>
              <w:left w:val="nil"/>
              <w:bottom w:val="single" w:color="auto" w:sz="4" w:space="0"/>
              <w:right w:val="single" w:color="auto" w:sz="4" w:space="0"/>
            </w:tcBorders>
            <w:shd w:val="clear" w:color="auto" w:fill="auto"/>
            <w:noWrap/>
            <w:vAlign w:val="center"/>
          </w:tcPr>
          <w:p w14:paraId="43A61B6E">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w:t>
            </w:r>
          </w:p>
        </w:tc>
        <w:tc>
          <w:tcPr>
            <w:tcW w:w="4463" w:type="dxa"/>
            <w:tcBorders>
              <w:top w:val="nil"/>
              <w:left w:val="nil"/>
              <w:bottom w:val="single" w:color="auto" w:sz="4" w:space="0"/>
              <w:right w:val="single" w:color="auto" w:sz="4" w:space="0"/>
            </w:tcBorders>
            <w:shd w:val="clear" w:color="auto" w:fill="auto"/>
            <w:vAlign w:val="center"/>
          </w:tcPr>
          <w:p w14:paraId="56772327">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于单项目管理，可通过项目级一张图集中汇总显示项目上的管控数据，包含实景进度、产值数据、付款进度、验收情况等，核心经营指标全面在线，实现项目过程数据的一体化、可视化应用，为项目快速决策提供数据支撑。</w:t>
            </w:r>
          </w:p>
        </w:tc>
      </w:tr>
      <w:tr w14:paraId="7E3898E9">
        <w:tblPrEx>
          <w:tblCellMar>
            <w:top w:w="0" w:type="dxa"/>
            <w:left w:w="108" w:type="dxa"/>
            <w:bottom w:w="0" w:type="dxa"/>
            <w:right w:w="108" w:type="dxa"/>
          </w:tblCellMar>
        </w:tblPrEx>
        <w:trPr>
          <w:trHeight w:val="108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B71B13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tcPr>
          <w:p w14:paraId="43A9372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项目管理</w:t>
            </w:r>
          </w:p>
        </w:tc>
        <w:tc>
          <w:tcPr>
            <w:tcW w:w="2200" w:type="dxa"/>
            <w:tcBorders>
              <w:top w:val="nil"/>
              <w:left w:val="nil"/>
              <w:bottom w:val="single" w:color="auto" w:sz="4" w:space="0"/>
              <w:right w:val="single" w:color="auto" w:sz="4" w:space="0"/>
            </w:tcBorders>
            <w:shd w:val="clear" w:color="auto" w:fill="auto"/>
            <w:noWrap/>
            <w:vAlign w:val="center"/>
          </w:tcPr>
          <w:p w14:paraId="4DB552F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项目总览/项目地图</w:t>
            </w:r>
          </w:p>
        </w:tc>
        <w:tc>
          <w:tcPr>
            <w:tcW w:w="1525" w:type="dxa"/>
            <w:tcBorders>
              <w:top w:val="nil"/>
              <w:left w:val="nil"/>
              <w:bottom w:val="single" w:color="auto" w:sz="4" w:space="0"/>
              <w:right w:val="single" w:color="auto" w:sz="4" w:space="0"/>
            </w:tcBorders>
            <w:shd w:val="clear" w:color="auto" w:fill="auto"/>
            <w:noWrap/>
            <w:vAlign w:val="center"/>
          </w:tcPr>
          <w:p w14:paraId="403BD2D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5214ACDE">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在项目总览中可对关键信息进行数据统计分析，包含项目总数、项目状态分析、项目等级占比、行业类型分析、预警信息、总投资情况、项目类型等，为领导层提供直观、准确的项目总览看板。同时，可通过按钮切换至项目地图模式，快速查看所有项目分布位置以及项目建设状态，并且支持按关键信息分类查询项目，帮助管理人员更方便快捷地管理项目。</w:t>
            </w:r>
          </w:p>
        </w:tc>
      </w:tr>
      <w:tr w14:paraId="49C0A273">
        <w:tblPrEx>
          <w:tblCellMar>
            <w:top w:w="0" w:type="dxa"/>
            <w:left w:w="108" w:type="dxa"/>
            <w:bottom w:w="0" w:type="dxa"/>
            <w:right w:w="108" w:type="dxa"/>
          </w:tblCellMar>
        </w:tblPrEx>
        <w:trPr>
          <w:trHeight w:val="108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C4F21C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530" w:type="dxa"/>
            <w:vMerge w:val="continue"/>
            <w:tcBorders>
              <w:top w:val="nil"/>
              <w:left w:val="single" w:color="auto" w:sz="4" w:space="0"/>
              <w:bottom w:val="single" w:color="auto" w:sz="4" w:space="0"/>
              <w:right w:val="single" w:color="auto" w:sz="4" w:space="0"/>
            </w:tcBorders>
            <w:vAlign w:val="center"/>
          </w:tcPr>
          <w:p w14:paraId="62D07263">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71C133A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公司信息</w:t>
            </w:r>
          </w:p>
        </w:tc>
        <w:tc>
          <w:tcPr>
            <w:tcW w:w="1525" w:type="dxa"/>
            <w:tcBorders>
              <w:top w:val="nil"/>
              <w:left w:val="nil"/>
              <w:bottom w:val="single" w:color="auto" w:sz="4" w:space="0"/>
              <w:right w:val="single" w:color="auto" w:sz="4" w:space="0"/>
            </w:tcBorders>
            <w:shd w:val="clear" w:color="auto" w:fill="auto"/>
            <w:noWrap/>
            <w:vAlign w:val="center"/>
          </w:tcPr>
          <w:p w14:paraId="1BE778E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1A1599F9">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支持将公司基础信息录入平台，包含企业名称、简称、企业性质、企业编码、人员规模、参保人数、企业概述、企业文化、经营范围等内容，便于用户快速查询和使用。</w:t>
            </w:r>
          </w:p>
        </w:tc>
      </w:tr>
      <w:tr w14:paraId="535A7B33">
        <w:tblPrEx>
          <w:tblCellMar>
            <w:top w:w="0" w:type="dxa"/>
            <w:left w:w="108" w:type="dxa"/>
            <w:bottom w:w="0" w:type="dxa"/>
            <w:right w:w="108" w:type="dxa"/>
          </w:tblCellMar>
        </w:tblPrEx>
        <w:trPr>
          <w:trHeight w:val="135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E24EA1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530" w:type="dxa"/>
            <w:vMerge w:val="continue"/>
            <w:tcBorders>
              <w:top w:val="nil"/>
              <w:left w:val="single" w:color="auto" w:sz="4" w:space="0"/>
              <w:bottom w:val="single" w:color="auto" w:sz="4" w:space="0"/>
              <w:right w:val="single" w:color="auto" w:sz="4" w:space="0"/>
            </w:tcBorders>
            <w:vAlign w:val="center"/>
          </w:tcPr>
          <w:p w14:paraId="69349BA3">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2243BA0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项目台账</w:t>
            </w:r>
          </w:p>
        </w:tc>
        <w:tc>
          <w:tcPr>
            <w:tcW w:w="1525" w:type="dxa"/>
            <w:tcBorders>
              <w:top w:val="nil"/>
              <w:left w:val="nil"/>
              <w:bottom w:val="single" w:color="auto" w:sz="4" w:space="0"/>
              <w:right w:val="single" w:color="auto" w:sz="4" w:space="0"/>
            </w:tcBorders>
            <w:shd w:val="clear" w:color="auto" w:fill="auto"/>
            <w:noWrap/>
            <w:vAlign w:val="center"/>
          </w:tcPr>
          <w:p w14:paraId="1B442AA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1263F63">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台账支持台账列表和画廊两种视图展示，可将每个项目的基础信息进行展示和编辑，包含项目名称、行业类型、项目阶段、重要程度、项目等级、激活状态等。支持为每个项目分配阶段标签，如：前期、施工、完成、结算等。依托平台的EXCEL表格引擎，可实现项目台账的批量导入和导出功能，为用户带来业务实际操作的便利。</w:t>
            </w:r>
          </w:p>
        </w:tc>
      </w:tr>
      <w:tr w14:paraId="61704DB5">
        <w:tblPrEx>
          <w:tblCellMar>
            <w:top w:w="0" w:type="dxa"/>
            <w:left w:w="108" w:type="dxa"/>
            <w:bottom w:w="0" w:type="dxa"/>
            <w:right w:w="108" w:type="dxa"/>
          </w:tblCellMar>
        </w:tblPrEx>
        <w:trPr>
          <w:trHeight w:val="174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135433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530" w:type="dxa"/>
            <w:vMerge w:val="continue"/>
            <w:tcBorders>
              <w:top w:val="nil"/>
              <w:left w:val="single" w:color="auto" w:sz="4" w:space="0"/>
              <w:bottom w:val="single" w:color="auto" w:sz="4" w:space="0"/>
              <w:right w:val="single" w:color="auto" w:sz="4" w:space="0"/>
            </w:tcBorders>
            <w:vAlign w:val="center"/>
          </w:tcPr>
          <w:p w14:paraId="03619B1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528659C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项目信息</w:t>
            </w:r>
          </w:p>
        </w:tc>
        <w:tc>
          <w:tcPr>
            <w:tcW w:w="1525" w:type="dxa"/>
            <w:tcBorders>
              <w:top w:val="nil"/>
              <w:left w:val="nil"/>
              <w:bottom w:val="single" w:color="auto" w:sz="4" w:space="0"/>
              <w:right w:val="single" w:color="auto" w:sz="4" w:space="0"/>
            </w:tcBorders>
            <w:shd w:val="clear" w:color="auto" w:fill="auto"/>
            <w:noWrap/>
            <w:vAlign w:val="center"/>
          </w:tcPr>
          <w:p w14:paraId="072E09A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w:t>
            </w:r>
          </w:p>
        </w:tc>
        <w:tc>
          <w:tcPr>
            <w:tcW w:w="4463" w:type="dxa"/>
            <w:tcBorders>
              <w:top w:val="nil"/>
              <w:left w:val="nil"/>
              <w:bottom w:val="single" w:color="auto" w:sz="4" w:space="0"/>
              <w:right w:val="single" w:color="auto" w:sz="4" w:space="0"/>
            </w:tcBorders>
            <w:shd w:val="clear" w:color="auto" w:fill="auto"/>
            <w:vAlign w:val="center"/>
          </w:tcPr>
          <w:p w14:paraId="0C34D231">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将项目基础信息录入平台，包含项目名称、项目概况、项目类型、项目等级、重要程度、项目阶段、行业类型、管理员、项目图片、建设地址等。并且可关联采购管理相关数据，集中呈现合同号、合同金额、总投资金额、累计投资金额、结算金额、实际开工、实际完工日期等关键数据，并将项目相关协同单位信息一同登记录入。结合项目实际情况，平台还支持在项目下新增子项目，便于管理人员对公司所属项目进行全面、细致的管理。</w:t>
            </w:r>
          </w:p>
        </w:tc>
      </w:tr>
      <w:tr w14:paraId="47C83C94">
        <w:tblPrEx>
          <w:tblCellMar>
            <w:top w:w="0" w:type="dxa"/>
            <w:left w:w="108" w:type="dxa"/>
            <w:bottom w:w="0" w:type="dxa"/>
            <w:right w:w="108" w:type="dxa"/>
          </w:tblCellMar>
        </w:tblPrEx>
        <w:trPr>
          <w:trHeight w:val="143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C62038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530" w:type="dxa"/>
            <w:vMerge w:val="restart"/>
            <w:tcBorders>
              <w:top w:val="nil"/>
              <w:left w:val="single" w:color="auto" w:sz="4" w:space="0"/>
              <w:bottom w:val="nil"/>
              <w:right w:val="single" w:color="auto" w:sz="4" w:space="0"/>
            </w:tcBorders>
            <w:shd w:val="clear" w:color="auto" w:fill="auto"/>
            <w:noWrap/>
            <w:vAlign w:val="center"/>
          </w:tcPr>
          <w:p w14:paraId="472E25A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项目立项</w:t>
            </w:r>
          </w:p>
        </w:tc>
        <w:tc>
          <w:tcPr>
            <w:tcW w:w="2200" w:type="dxa"/>
            <w:tcBorders>
              <w:top w:val="nil"/>
              <w:left w:val="nil"/>
              <w:bottom w:val="single" w:color="auto" w:sz="4" w:space="0"/>
              <w:right w:val="single" w:color="auto" w:sz="4" w:space="0"/>
            </w:tcBorders>
            <w:shd w:val="clear" w:color="auto" w:fill="auto"/>
            <w:noWrap/>
            <w:vAlign w:val="center"/>
          </w:tcPr>
          <w:p w14:paraId="5067B98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立项管理</w:t>
            </w:r>
          </w:p>
        </w:tc>
        <w:tc>
          <w:tcPr>
            <w:tcW w:w="1525" w:type="dxa"/>
            <w:tcBorders>
              <w:top w:val="nil"/>
              <w:left w:val="nil"/>
              <w:bottom w:val="single" w:color="auto" w:sz="4" w:space="0"/>
              <w:right w:val="single" w:color="auto" w:sz="4" w:space="0"/>
            </w:tcBorders>
            <w:shd w:val="clear" w:color="auto" w:fill="auto"/>
            <w:noWrap/>
            <w:vAlign w:val="center"/>
          </w:tcPr>
          <w:p w14:paraId="3644866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7DE4A62E">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由相关人员在平台发起项目立项，记录项目立项过程中的重要决策和信息，包含项目名称、项目类型、建设单位、项目业主、总投资金额、立项资料等。提供文件上传入口，可将立项资料以附件的方式传入平台，并且在立项台账中查看资料上传状态和数量。项目基本信息可自动同步到其他各模块，作为基础数据使用。</w:t>
            </w:r>
          </w:p>
        </w:tc>
      </w:tr>
      <w:tr w14:paraId="48C4F506">
        <w:tblPrEx>
          <w:tblCellMar>
            <w:top w:w="0" w:type="dxa"/>
            <w:left w:w="108" w:type="dxa"/>
            <w:bottom w:w="0" w:type="dxa"/>
            <w:right w:w="108" w:type="dxa"/>
          </w:tblCellMar>
        </w:tblPrEx>
        <w:trPr>
          <w:trHeight w:val="8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7C8DBF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530" w:type="dxa"/>
            <w:vMerge w:val="continue"/>
            <w:tcBorders>
              <w:top w:val="nil"/>
              <w:left w:val="single" w:color="auto" w:sz="4" w:space="0"/>
              <w:bottom w:val="nil"/>
              <w:right w:val="single" w:color="auto" w:sz="4" w:space="0"/>
            </w:tcBorders>
            <w:vAlign w:val="center"/>
          </w:tcPr>
          <w:p w14:paraId="1FACA48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3D2F745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项目组成员</w:t>
            </w:r>
          </w:p>
        </w:tc>
        <w:tc>
          <w:tcPr>
            <w:tcW w:w="1525" w:type="dxa"/>
            <w:tcBorders>
              <w:top w:val="nil"/>
              <w:left w:val="nil"/>
              <w:bottom w:val="single" w:color="auto" w:sz="4" w:space="0"/>
              <w:right w:val="single" w:color="auto" w:sz="4" w:space="0"/>
            </w:tcBorders>
            <w:shd w:val="clear" w:color="auto" w:fill="auto"/>
            <w:noWrap/>
            <w:vAlign w:val="center"/>
          </w:tcPr>
          <w:p w14:paraId="608E8C5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57AAA691">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立项后，可在平台进行项目组成员组建，关联选择立项的项目，同时记录项目组名称、设计负责人、造价负责人、手续负责人、结算负责人等，作为后续相关业务审批的基础。可将任命文件以附件的方式上传平台，支持文件在线预览，并且在项目组台账中查看资料上传状态和数量。</w:t>
            </w:r>
          </w:p>
        </w:tc>
      </w:tr>
      <w:tr w14:paraId="5EB1CD49">
        <w:tblPrEx>
          <w:tblCellMar>
            <w:top w:w="0" w:type="dxa"/>
            <w:left w:w="108" w:type="dxa"/>
            <w:bottom w:w="0" w:type="dxa"/>
            <w:right w:w="108" w:type="dxa"/>
          </w:tblCellMar>
        </w:tblPrEx>
        <w:trPr>
          <w:trHeight w:val="135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6F8B3AE">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12058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合同管理</w:t>
            </w:r>
          </w:p>
        </w:tc>
        <w:tc>
          <w:tcPr>
            <w:tcW w:w="2200" w:type="dxa"/>
            <w:tcBorders>
              <w:top w:val="nil"/>
              <w:left w:val="nil"/>
              <w:bottom w:val="single" w:color="auto" w:sz="4" w:space="0"/>
              <w:right w:val="single" w:color="auto" w:sz="4" w:space="0"/>
            </w:tcBorders>
            <w:shd w:val="clear" w:color="auto" w:fill="auto"/>
            <w:vAlign w:val="center"/>
          </w:tcPr>
          <w:p w14:paraId="246A2A4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采购招标</w:t>
            </w:r>
          </w:p>
        </w:tc>
        <w:tc>
          <w:tcPr>
            <w:tcW w:w="1525" w:type="dxa"/>
            <w:tcBorders>
              <w:top w:val="nil"/>
              <w:left w:val="nil"/>
              <w:bottom w:val="single" w:color="auto" w:sz="4" w:space="0"/>
              <w:right w:val="single" w:color="auto" w:sz="4" w:space="0"/>
            </w:tcBorders>
            <w:shd w:val="clear" w:color="auto" w:fill="auto"/>
            <w:noWrap/>
            <w:vAlign w:val="center"/>
          </w:tcPr>
          <w:p w14:paraId="17E4249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65D271A">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快捷跳转至已有招采系统的采购招标相关功能，以适配原有系统的业务要求。并且根据公司需求，将工程项目有关的采购招标数据以台账等形式进行数据汇总，并关联到对应项目上。采购意向、采购计划、招标文件、电子竞采、采购公告、采购结果、结果公告等资料，可在台账中直观查看，便于管理人员快速检查资料的完整性。当所有资料完整归档后，可将采购招标状态设定为已完成，有效地管理采购招标过程中的各类资料，确保采购招标活动的顺利进行。</w:t>
            </w:r>
          </w:p>
        </w:tc>
      </w:tr>
      <w:tr w14:paraId="4D1CBD99">
        <w:tblPrEx>
          <w:tblCellMar>
            <w:top w:w="0" w:type="dxa"/>
            <w:left w:w="108" w:type="dxa"/>
            <w:bottom w:w="0" w:type="dxa"/>
            <w:right w:w="108" w:type="dxa"/>
          </w:tblCellMar>
        </w:tblPrEx>
        <w:trPr>
          <w:trHeight w:val="162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61D563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0E825182">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87D988E">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合同台账</w:t>
            </w:r>
          </w:p>
        </w:tc>
        <w:tc>
          <w:tcPr>
            <w:tcW w:w="1525" w:type="dxa"/>
            <w:tcBorders>
              <w:top w:val="nil"/>
              <w:left w:val="nil"/>
              <w:bottom w:val="single" w:color="auto" w:sz="4" w:space="0"/>
              <w:right w:val="single" w:color="auto" w:sz="4" w:space="0"/>
            </w:tcBorders>
            <w:shd w:val="clear" w:color="auto" w:fill="auto"/>
            <w:noWrap/>
            <w:vAlign w:val="center"/>
          </w:tcPr>
          <w:p w14:paraId="45525F7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042651CC">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合同跟踪</w:t>
            </w:r>
            <w:r>
              <w:rPr>
                <w:rFonts w:hint="eastAsia" w:ascii="方正仿宋_GB2312" w:hAnsi="方正仿宋_GB2312" w:eastAsia="方正仿宋_GB2312" w:cs="方正仿宋_GB2312"/>
                <w:kern w:val="0"/>
                <w:sz w:val="22"/>
                <w:szCs w:val="22"/>
              </w:rPr>
              <w:t>：支持对接集团OA系统中的合同数据，对合同的执行状态进行跟踪和管理。管理人员能够对合同实施进度进行填报并以进度条形式展示。并且关联支付台账数据，依据支付状况进行数据统计分析，包含总合同金额、累计支付金额、当期支付金额、剩余应支付金额等。</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b/>
                <w:bCs/>
                <w:kern w:val="0"/>
                <w:sz w:val="22"/>
                <w:szCs w:val="22"/>
              </w:rPr>
              <w:t>合同台账</w:t>
            </w:r>
            <w:r>
              <w:rPr>
                <w:rFonts w:hint="eastAsia" w:ascii="方正仿宋_GB2312" w:hAnsi="方正仿宋_GB2312" w:eastAsia="方正仿宋_GB2312" w:cs="方正仿宋_GB2312"/>
                <w:kern w:val="0"/>
                <w:sz w:val="22"/>
                <w:szCs w:val="22"/>
              </w:rPr>
              <w:t>：针对不同类型的合同实施全方位管理，并记录合同的内容（产品或服务）、金额、数量等关键信息。使得用户可以整体掌握项目合同的完成情况，形成详尽的合同台账，便于公司进行后续的经营数据分析。</w:t>
            </w:r>
          </w:p>
        </w:tc>
      </w:tr>
      <w:tr w14:paraId="0192AF9A">
        <w:tblPrEx>
          <w:tblCellMar>
            <w:top w:w="0" w:type="dxa"/>
            <w:left w:w="108" w:type="dxa"/>
            <w:bottom w:w="0" w:type="dxa"/>
            <w:right w:w="108" w:type="dxa"/>
          </w:tblCellMar>
        </w:tblPrEx>
        <w:trPr>
          <w:trHeight w:val="243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2A2832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0F8E5094">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61B5F65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支付申请</w:t>
            </w:r>
          </w:p>
        </w:tc>
        <w:tc>
          <w:tcPr>
            <w:tcW w:w="1525" w:type="dxa"/>
            <w:tcBorders>
              <w:top w:val="nil"/>
              <w:left w:val="nil"/>
              <w:bottom w:val="single" w:color="auto" w:sz="4" w:space="0"/>
              <w:right w:val="single" w:color="auto" w:sz="4" w:space="0"/>
            </w:tcBorders>
            <w:shd w:val="clear" w:color="auto" w:fill="auto"/>
            <w:noWrap/>
            <w:vAlign w:val="center"/>
          </w:tcPr>
          <w:p w14:paraId="1CB8206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5EBFDD1E">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支持快捷跳转或无感审批的方式：</w:t>
            </w:r>
            <w:r>
              <w:rPr>
                <w:rFonts w:hint="eastAsia" w:ascii="方正仿宋_GB2312" w:hAnsi="方正仿宋_GB2312" w:eastAsia="方正仿宋_GB2312" w:cs="方正仿宋_GB2312"/>
                <w:b/>
                <w:bCs/>
                <w:kern w:val="0"/>
                <w:sz w:val="22"/>
                <w:szCs w:val="22"/>
              </w:rPr>
              <w:br w:type="textWrapping"/>
            </w:r>
            <w:r>
              <w:rPr>
                <w:rFonts w:hint="eastAsia" w:ascii="方正仿宋_GB2312" w:hAnsi="方正仿宋_GB2312" w:eastAsia="方正仿宋_GB2312" w:cs="方正仿宋_GB2312"/>
                <w:b/>
                <w:bCs/>
                <w:kern w:val="0"/>
                <w:sz w:val="22"/>
                <w:szCs w:val="22"/>
              </w:rPr>
              <w:t>快捷跳转</w:t>
            </w:r>
            <w:r>
              <w:rPr>
                <w:rFonts w:hint="eastAsia" w:ascii="方正仿宋_GB2312" w:hAnsi="方正仿宋_GB2312" w:eastAsia="方正仿宋_GB2312" w:cs="方正仿宋_GB2312"/>
                <w:kern w:val="0"/>
                <w:sz w:val="22"/>
                <w:szCs w:val="22"/>
              </w:rPr>
              <w:t>：在财务系统支持对接的情况下，可支持快捷跳转至已有财务系统的付款审批功能，以适配原有系统的业务要求。</w:t>
            </w:r>
            <w:r>
              <w:rPr>
                <w:rFonts w:hint="eastAsia" w:ascii="方正仿宋_GB2312" w:hAnsi="方正仿宋_GB2312" w:eastAsia="方正仿宋_GB2312" w:cs="方正仿宋_GB2312"/>
                <w:b/>
                <w:bCs/>
                <w:kern w:val="0"/>
                <w:sz w:val="22"/>
                <w:szCs w:val="22"/>
              </w:rPr>
              <w:br w:type="textWrapping"/>
            </w:r>
            <w:r>
              <w:rPr>
                <w:rFonts w:hint="eastAsia" w:ascii="方正仿宋_GB2312" w:hAnsi="方正仿宋_GB2312" w:eastAsia="方正仿宋_GB2312" w:cs="方正仿宋_GB2312"/>
                <w:b/>
                <w:bCs/>
                <w:kern w:val="0"/>
                <w:sz w:val="22"/>
                <w:szCs w:val="22"/>
              </w:rPr>
              <w:t>无感审批：</w:t>
            </w:r>
            <w:r>
              <w:rPr>
                <w:rFonts w:hint="eastAsia" w:ascii="方正仿宋_GB2312" w:hAnsi="方正仿宋_GB2312" w:eastAsia="方正仿宋_GB2312" w:cs="方正仿宋_GB2312"/>
                <w:kern w:val="0"/>
                <w:sz w:val="22"/>
                <w:szCs w:val="22"/>
              </w:rPr>
              <w:t>在条件允许的情况下，可将工程款申请的审批结果数据反写回财务系统，同时挂接资料发起付款申请，以实现流程的连贯性，避免二次操作。便于审批人员及时查看，高效、快捷、合规地进行支付审批。</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b/>
                <w:bCs/>
                <w:kern w:val="0"/>
                <w:sz w:val="22"/>
                <w:szCs w:val="22"/>
              </w:rPr>
              <w:t>支付预警</w:t>
            </w:r>
            <w:r>
              <w:rPr>
                <w:rFonts w:hint="eastAsia" w:ascii="方正仿宋_GB2312" w:hAnsi="方正仿宋_GB2312" w:eastAsia="方正仿宋_GB2312" w:cs="方正仿宋_GB2312"/>
                <w:kern w:val="0"/>
                <w:sz w:val="22"/>
                <w:szCs w:val="22"/>
              </w:rPr>
              <w:t>：提供风险规则自定义功能，管理人员可设置支付进度提醒，例如施工过程中付款金额已经达到合同金额的80%，平台可提供实时预警与提醒，便于管理人员判断是否继续支付，对合同付款进度实时监控，避免发生超付的情况。</w:t>
            </w:r>
          </w:p>
        </w:tc>
      </w:tr>
      <w:tr w14:paraId="07AC3F40">
        <w:tblPrEx>
          <w:tblCellMar>
            <w:top w:w="0" w:type="dxa"/>
            <w:left w:w="108" w:type="dxa"/>
            <w:bottom w:w="0" w:type="dxa"/>
            <w:right w:w="108" w:type="dxa"/>
          </w:tblCellMar>
        </w:tblPrEx>
        <w:trPr>
          <w:trHeight w:val="122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367696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18</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143990A">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79530D5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支付台账</w:t>
            </w:r>
          </w:p>
        </w:tc>
        <w:tc>
          <w:tcPr>
            <w:tcW w:w="1525" w:type="dxa"/>
            <w:tcBorders>
              <w:top w:val="nil"/>
              <w:left w:val="nil"/>
              <w:bottom w:val="single" w:color="auto" w:sz="4" w:space="0"/>
              <w:right w:val="single" w:color="auto" w:sz="4" w:space="0"/>
            </w:tcBorders>
            <w:shd w:val="clear" w:color="auto" w:fill="auto"/>
            <w:noWrap/>
            <w:vAlign w:val="center"/>
          </w:tcPr>
          <w:p w14:paraId="0233B45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149A89FC">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支付台账</w:t>
            </w:r>
            <w:r>
              <w:rPr>
                <w:rFonts w:hint="eastAsia" w:ascii="方正仿宋_GB2312" w:hAnsi="方正仿宋_GB2312" w:eastAsia="方正仿宋_GB2312" w:cs="方正仿宋_GB2312"/>
                <w:kern w:val="0"/>
                <w:sz w:val="22"/>
                <w:szCs w:val="22"/>
              </w:rPr>
              <w:t>：在财务系统支持对接的情况下，支持按公司需求进行财务数据对接，根据支付款项自动汇总出支付台帐，及时获取支付数据，可自动计算申请比例、累计申请金额、剩余应付金额等数据。并记录拨付款项的人员、时间等信息，提供各类查询及汇总报表功能。</w:t>
            </w:r>
          </w:p>
        </w:tc>
      </w:tr>
      <w:tr w14:paraId="443901D8">
        <w:tblPrEx>
          <w:tblCellMar>
            <w:top w:w="0" w:type="dxa"/>
            <w:left w:w="108" w:type="dxa"/>
            <w:bottom w:w="0" w:type="dxa"/>
            <w:right w:w="108" w:type="dxa"/>
          </w:tblCellMar>
        </w:tblPrEx>
        <w:trPr>
          <w:trHeight w:val="161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603354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19</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tcPr>
          <w:p w14:paraId="74205D2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投资管理</w:t>
            </w:r>
          </w:p>
        </w:tc>
        <w:tc>
          <w:tcPr>
            <w:tcW w:w="2200" w:type="dxa"/>
            <w:tcBorders>
              <w:top w:val="nil"/>
              <w:left w:val="nil"/>
              <w:bottom w:val="single" w:color="auto" w:sz="4" w:space="0"/>
              <w:right w:val="single" w:color="auto" w:sz="4" w:space="0"/>
            </w:tcBorders>
            <w:shd w:val="clear" w:color="auto" w:fill="auto"/>
            <w:noWrap/>
            <w:vAlign w:val="center"/>
          </w:tcPr>
          <w:p w14:paraId="18A38CF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投资计划</w:t>
            </w:r>
          </w:p>
        </w:tc>
        <w:tc>
          <w:tcPr>
            <w:tcW w:w="1525" w:type="dxa"/>
            <w:tcBorders>
              <w:top w:val="nil"/>
              <w:left w:val="nil"/>
              <w:bottom w:val="single" w:color="auto" w:sz="4" w:space="0"/>
              <w:right w:val="single" w:color="auto" w:sz="4" w:space="0"/>
            </w:tcBorders>
            <w:shd w:val="clear" w:color="auto" w:fill="auto"/>
            <w:noWrap/>
            <w:vAlign w:val="center"/>
          </w:tcPr>
          <w:p w14:paraId="5562F4A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5050BB94">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在平台中建立投资计划，支持按照项目、计划年度查看其年度计划投资额。支持根据项目和计划年月编辑制定投资计划，投资计划作为费用管控的基础数据，可为后续每月、每季度的投资管控作数据支撑。同时可将公司的总投资金额、本年度计划投资总额、截止本年度计划投资累计额等投资数据统计分析，为领导层提供投资管理的全局视角，进而从宏观的角度进行投资决策。</w:t>
            </w:r>
          </w:p>
        </w:tc>
      </w:tr>
      <w:tr w14:paraId="5E70A48D">
        <w:tblPrEx>
          <w:tblCellMar>
            <w:top w:w="0" w:type="dxa"/>
            <w:left w:w="108" w:type="dxa"/>
            <w:bottom w:w="0" w:type="dxa"/>
            <w:right w:w="108" w:type="dxa"/>
          </w:tblCellMar>
        </w:tblPrEx>
        <w:trPr>
          <w:trHeight w:val="108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A08969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w:t>
            </w:r>
          </w:p>
        </w:tc>
        <w:tc>
          <w:tcPr>
            <w:tcW w:w="1530" w:type="dxa"/>
            <w:vMerge w:val="continue"/>
            <w:tcBorders>
              <w:top w:val="nil"/>
              <w:left w:val="single" w:color="auto" w:sz="4" w:space="0"/>
              <w:bottom w:val="single" w:color="auto" w:sz="4" w:space="0"/>
              <w:right w:val="single" w:color="auto" w:sz="4" w:space="0"/>
            </w:tcBorders>
            <w:vAlign w:val="center"/>
          </w:tcPr>
          <w:p w14:paraId="1685A72D">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206B230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投资报表</w:t>
            </w:r>
          </w:p>
        </w:tc>
        <w:tc>
          <w:tcPr>
            <w:tcW w:w="1525" w:type="dxa"/>
            <w:tcBorders>
              <w:top w:val="nil"/>
              <w:left w:val="nil"/>
              <w:bottom w:val="single" w:color="auto" w:sz="4" w:space="0"/>
              <w:right w:val="single" w:color="auto" w:sz="4" w:space="0"/>
            </w:tcBorders>
            <w:shd w:val="clear" w:color="auto" w:fill="auto"/>
            <w:noWrap/>
            <w:vAlign w:val="center"/>
          </w:tcPr>
          <w:p w14:paraId="492C319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3F774A7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支持在系统查询项目总投资额、计划投资额、实际已投资额、投资偏差和投资完成率。</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项目的实际投资可根据投资计划月份周期统计展示本期计划投资、本期合同支付合计、本期其他投资、本期实际已投资、投资偏差、投资完成率信息；并且可根据投资计划月份记录当期额外的其他投资费用；</w:t>
            </w:r>
          </w:p>
        </w:tc>
      </w:tr>
      <w:tr w14:paraId="121CFB2A">
        <w:tblPrEx>
          <w:tblCellMar>
            <w:top w:w="0" w:type="dxa"/>
            <w:left w:w="108" w:type="dxa"/>
            <w:bottom w:w="0" w:type="dxa"/>
            <w:right w:w="108" w:type="dxa"/>
          </w:tblCellMar>
        </w:tblPrEx>
        <w:trPr>
          <w:trHeight w:val="108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2658F9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w:t>
            </w:r>
          </w:p>
        </w:tc>
        <w:tc>
          <w:tcPr>
            <w:tcW w:w="1530" w:type="dxa"/>
            <w:vMerge w:val="continue"/>
            <w:tcBorders>
              <w:top w:val="nil"/>
              <w:left w:val="single" w:color="auto" w:sz="4" w:space="0"/>
              <w:bottom w:val="single" w:color="auto" w:sz="4" w:space="0"/>
              <w:right w:val="single" w:color="auto" w:sz="4" w:space="0"/>
            </w:tcBorders>
            <w:vAlign w:val="center"/>
          </w:tcPr>
          <w:p w14:paraId="2D424995">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630D95A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投资分析</w:t>
            </w:r>
          </w:p>
        </w:tc>
        <w:tc>
          <w:tcPr>
            <w:tcW w:w="1525" w:type="dxa"/>
            <w:tcBorders>
              <w:top w:val="nil"/>
              <w:left w:val="nil"/>
              <w:bottom w:val="single" w:color="auto" w:sz="4" w:space="0"/>
              <w:right w:val="single" w:color="auto" w:sz="4" w:space="0"/>
            </w:tcBorders>
            <w:shd w:val="clear" w:color="auto" w:fill="auto"/>
            <w:noWrap/>
            <w:vAlign w:val="center"/>
          </w:tcPr>
          <w:p w14:paraId="1B33B85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A336E5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平台支持多维度统计分析功能，包含项目计划投资情况、实际投资情况、投资累计等。可支持按累计、年度等时间维度，对实际投资金额与计划投资金额进行对比分析，直观显示对应的投资偏差。</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通过时间轴动态展示各时间段的计划投资金额。帮助项目管理者全面了解投资情况，及时发现和解决投资偏差问题，优化资源配置，确保项目顺利推进。</w:t>
            </w:r>
          </w:p>
        </w:tc>
      </w:tr>
      <w:tr w14:paraId="0F50FA17">
        <w:tblPrEx>
          <w:tblCellMar>
            <w:top w:w="0" w:type="dxa"/>
            <w:left w:w="108" w:type="dxa"/>
            <w:bottom w:w="0" w:type="dxa"/>
            <w:right w:w="108" w:type="dxa"/>
          </w:tblCellMar>
        </w:tblPrEx>
        <w:trPr>
          <w:trHeight w:val="125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CDC41E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tcPr>
          <w:p w14:paraId="28D8942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工程造价</w:t>
            </w:r>
          </w:p>
        </w:tc>
        <w:tc>
          <w:tcPr>
            <w:tcW w:w="2200" w:type="dxa"/>
            <w:tcBorders>
              <w:top w:val="nil"/>
              <w:left w:val="nil"/>
              <w:bottom w:val="single" w:color="auto" w:sz="4" w:space="0"/>
              <w:right w:val="single" w:color="auto" w:sz="4" w:space="0"/>
            </w:tcBorders>
            <w:shd w:val="clear" w:color="auto" w:fill="auto"/>
            <w:vAlign w:val="center"/>
          </w:tcPr>
          <w:p w14:paraId="17B9862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设计概算</w:t>
            </w:r>
          </w:p>
        </w:tc>
        <w:tc>
          <w:tcPr>
            <w:tcW w:w="1525" w:type="dxa"/>
            <w:tcBorders>
              <w:top w:val="nil"/>
              <w:left w:val="nil"/>
              <w:bottom w:val="single" w:color="auto" w:sz="4" w:space="0"/>
              <w:right w:val="single" w:color="auto" w:sz="4" w:space="0"/>
            </w:tcBorders>
            <w:shd w:val="clear" w:color="auto" w:fill="auto"/>
            <w:noWrap/>
            <w:vAlign w:val="center"/>
          </w:tcPr>
          <w:p w14:paraId="435C26B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41450155">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支持管理人员将设计概算相关数据录入平台，包含概算金额、概算资料附件等，并关联对应项目。支持文件在线预览，并查看资料上传状态和数量。</w:t>
            </w:r>
          </w:p>
        </w:tc>
      </w:tr>
      <w:tr w14:paraId="0D3C226C">
        <w:tblPrEx>
          <w:tblCellMar>
            <w:top w:w="0" w:type="dxa"/>
            <w:left w:w="108" w:type="dxa"/>
            <w:bottom w:w="0" w:type="dxa"/>
            <w:right w:w="108" w:type="dxa"/>
          </w:tblCellMar>
        </w:tblPrEx>
        <w:trPr>
          <w:trHeight w:val="54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097008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23</w:t>
            </w:r>
          </w:p>
        </w:tc>
        <w:tc>
          <w:tcPr>
            <w:tcW w:w="1530" w:type="dxa"/>
            <w:vMerge w:val="continue"/>
            <w:tcBorders>
              <w:top w:val="nil"/>
              <w:left w:val="single" w:color="auto" w:sz="4" w:space="0"/>
              <w:bottom w:val="single" w:color="auto" w:sz="4" w:space="0"/>
              <w:right w:val="single" w:color="auto" w:sz="4" w:space="0"/>
            </w:tcBorders>
            <w:vAlign w:val="center"/>
          </w:tcPr>
          <w:p w14:paraId="2BFBE90D">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7A285F6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施工图预算及审批</w:t>
            </w:r>
          </w:p>
        </w:tc>
        <w:tc>
          <w:tcPr>
            <w:tcW w:w="1525" w:type="dxa"/>
            <w:tcBorders>
              <w:top w:val="nil"/>
              <w:left w:val="nil"/>
              <w:bottom w:val="single" w:color="auto" w:sz="4" w:space="0"/>
              <w:right w:val="single" w:color="auto" w:sz="4" w:space="0"/>
            </w:tcBorders>
            <w:shd w:val="clear" w:color="auto" w:fill="auto"/>
            <w:noWrap/>
            <w:vAlign w:val="center"/>
          </w:tcPr>
          <w:p w14:paraId="79E1D24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674CED65">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支持管理人员将施工图预算相关数据录入平台，包含预算金额、预算机构、预算书、审定金额、审定通知、审定预算文件等，并关联对应项目。支持文件在线预览，并查看资料上传状态和数量。</w:t>
            </w:r>
          </w:p>
        </w:tc>
      </w:tr>
      <w:tr w14:paraId="09C8BD19">
        <w:tblPrEx>
          <w:tblCellMar>
            <w:top w:w="0" w:type="dxa"/>
            <w:left w:w="108" w:type="dxa"/>
            <w:bottom w:w="0" w:type="dxa"/>
            <w:right w:w="108" w:type="dxa"/>
          </w:tblCellMar>
        </w:tblPrEx>
        <w:trPr>
          <w:trHeight w:val="138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7013DD5">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2</w:t>
            </w:r>
            <w:r>
              <w:rPr>
                <w:rFonts w:hint="eastAsia" w:ascii="方正仿宋_GB2312" w:hAnsi="方正仿宋_GB2312" w:eastAsia="方正仿宋_GB2312" w:cs="方正仿宋_GB2312"/>
                <w:kern w:val="0"/>
                <w:sz w:val="22"/>
                <w:szCs w:val="22"/>
                <w:lang w:val="en-US" w:eastAsia="zh-CN"/>
              </w:rPr>
              <w:t>4</w:t>
            </w:r>
          </w:p>
        </w:tc>
        <w:tc>
          <w:tcPr>
            <w:tcW w:w="1530" w:type="dxa"/>
            <w:vMerge w:val="continue"/>
            <w:tcBorders>
              <w:top w:val="nil"/>
              <w:left w:val="single" w:color="auto" w:sz="4" w:space="0"/>
              <w:bottom w:val="single" w:color="auto" w:sz="4" w:space="0"/>
              <w:right w:val="single" w:color="auto" w:sz="4" w:space="0"/>
            </w:tcBorders>
            <w:vAlign w:val="center"/>
          </w:tcPr>
          <w:p w14:paraId="65AE01D9">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5F89CA2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竣工结算</w:t>
            </w:r>
          </w:p>
        </w:tc>
        <w:tc>
          <w:tcPr>
            <w:tcW w:w="1525" w:type="dxa"/>
            <w:tcBorders>
              <w:top w:val="nil"/>
              <w:left w:val="nil"/>
              <w:bottom w:val="single" w:color="auto" w:sz="4" w:space="0"/>
              <w:right w:val="single" w:color="auto" w:sz="4" w:space="0"/>
            </w:tcBorders>
            <w:shd w:val="clear" w:color="auto" w:fill="auto"/>
            <w:noWrap/>
            <w:vAlign w:val="center"/>
          </w:tcPr>
          <w:p w14:paraId="441C4E3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0CF0B7D2">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支持管理人员将竣工结算相关数据录入平台，包含送审金额、结算金额、审减率、审核报告等并关联对应项目。支持文件在线预览，并查看资料上传状态和数量。</w:t>
            </w:r>
          </w:p>
        </w:tc>
      </w:tr>
      <w:tr w14:paraId="45328F9E">
        <w:tblPrEx>
          <w:tblCellMar>
            <w:top w:w="0" w:type="dxa"/>
            <w:left w:w="108" w:type="dxa"/>
            <w:bottom w:w="0" w:type="dxa"/>
            <w:right w:w="108" w:type="dxa"/>
          </w:tblCellMar>
        </w:tblPrEx>
        <w:trPr>
          <w:trHeight w:val="177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50B1855">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2</w:t>
            </w:r>
            <w:r>
              <w:rPr>
                <w:rFonts w:hint="eastAsia" w:ascii="方正仿宋_GB2312" w:hAnsi="方正仿宋_GB2312" w:eastAsia="方正仿宋_GB2312" w:cs="方正仿宋_GB2312"/>
                <w:kern w:val="0"/>
                <w:sz w:val="22"/>
                <w:szCs w:val="22"/>
                <w:lang w:val="en-US" w:eastAsia="zh-CN"/>
              </w:rPr>
              <w:t>5</w:t>
            </w:r>
          </w:p>
        </w:tc>
        <w:tc>
          <w:tcPr>
            <w:tcW w:w="1530" w:type="dxa"/>
            <w:vMerge w:val="restart"/>
            <w:tcBorders>
              <w:top w:val="nil"/>
              <w:left w:val="single" w:color="auto" w:sz="4" w:space="0"/>
              <w:bottom w:val="nil"/>
              <w:right w:val="single" w:color="auto" w:sz="4" w:space="0"/>
            </w:tcBorders>
            <w:shd w:val="clear" w:color="auto" w:fill="auto"/>
            <w:noWrap/>
            <w:vAlign w:val="center"/>
          </w:tcPr>
          <w:p w14:paraId="45B1742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设计管理</w:t>
            </w:r>
          </w:p>
        </w:tc>
        <w:tc>
          <w:tcPr>
            <w:tcW w:w="2200" w:type="dxa"/>
            <w:tcBorders>
              <w:top w:val="nil"/>
              <w:left w:val="nil"/>
              <w:bottom w:val="single" w:color="auto" w:sz="4" w:space="0"/>
              <w:right w:val="single" w:color="auto" w:sz="4" w:space="0"/>
            </w:tcBorders>
            <w:shd w:val="clear" w:color="auto" w:fill="auto"/>
            <w:noWrap/>
            <w:vAlign w:val="center"/>
          </w:tcPr>
          <w:p w14:paraId="43C2F9E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报规报建</w:t>
            </w:r>
          </w:p>
        </w:tc>
        <w:tc>
          <w:tcPr>
            <w:tcW w:w="1525" w:type="dxa"/>
            <w:tcBorders>
              <w:top w:val="nil"/>
              <w:left w:val="nil"/>
              <w:bottom w:val="single" w:color="auto" w:sz="4" w:space="0"/>
              <w:right w:val="single" w:color="auto" w:sz="4" w:space="0"/>
            </w:tcBorders>
            <w:shd w:val="clear" w:color="auto" w:fill="auto"/>
            <w:noWrap/>
            <w:vAlign w:val="center"/>
          </w:tcPr>
          <w:p w14:paraId="29FAE48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191E947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管理人员以拓扑任务图的方式进行报规报建过程的管理，实时更新报规报建状态。将项目报规报建相关阶段节点的关键资料进行上传和归档，便于管理和查找。以图块拖拉拽形式展示项目报规报建进度，实时反馈报规报建实际状况。并支持任务状态统计分析和已完成和未完成内容，便于管理人员清晰了解项目报规报建完成进度。</w:t>
            </w:r>
          </w:p>
        </w:tc>
      </w:tr>
      <w:tr w14:paraId="397ADFDA">
        <w:tblPrEx>
          <w:tblCellMar>
            <w:top w:w="0" w:type="dxa"/>
            <w:left w:w="108" w:type="dxa"/>
            <w:bottom w:w="0" w:type="dxa"/>
            <w:right w:w="108" w:type="dxa"/>
          </w:tblCellMar>
        </w:tblPrEx>
        <w:trPr>
          <w:trHeight w:val="177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FBC79F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26</w:t>
            </w:r>
            <w:r>
              <w:rPr>
                <w:rFonts w:hint="eastAsia" w:ascii="方正仿宋_GB2312" w:hAnsi="方正仿宋_GB2312" w:eastAsia="方正仿宋_GB2312" w:cs="方正仿宋_GB2312"/>
                <w:kern w:val="0"/>
                <w:sz w:val="22"/>
                <w:szCs w:val="22"/>
              </w:rPr>
              <w:t>　</w:t>
            </w:r>
          </w:p>
        </w:tc>
        <w:tc>
          <w:tcPr>
            <w:tcW w:w="1530" w:type="dxa"/>
            <w:vMerge w:val="continue"/>
            <w:tcBorders>
              <w:top w:val="nil"/>
              <w:left w:val="single" w:color="auto" w:sz="4" w:space="0"/>
              <w:bottom w:val="nil"/>
              <w:right w:val="single" w:color="auto" w:sz="4" w:space="0"/>
            </w:tcBorders>
            <w:vAlign w:val="center"/>
          </w:tcPr>
          <w:p w14:paraId="3C9EC85A">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noWrap/>
            <w:vAlign w:val="center"/>
          </w:tcPr>
          <w:p w14:paraId="3278E83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地质勘察</w:t>
            </w:r>
          </w:p>
        </w:tc>
        <w:tc>
          <w:tcPr>
            <w:tcW w:w="1525" w:type="dxa"/>
            <w:tcBorders>
              <w:top w:val="nil"/>
              <w:left w:val="nil"/>
              <w:bottom w:val="single" w:color="auto" w:sz="4" w:space="0"/>
              <w:right w:val="single" w:color="auto" w:sz="4" w:space="0"/>
            </w:tcBorders>
            <w:shd w:val="clear" w:color="auto" w:fill="auto"/>
            <w:noWrap/>
            <w:vAlign w:val="center"/>
          </w:tcPr>
          <w:p w14:paraId="637105F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01FF4807">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管理人员以拓扑任务图的方式进行地质勘察过程的管理，实时更新地质勘察状态。将项目地质勘察相关阶段节点的关键资料进行上传和归档，便于管理和查找。以图块拖拉拽形式展示项目地质勘察进度，实时反馈地质勘察实际状况。并支持任务状态统计分析和已完成和未完成内容，便于管理人员清晰了解项目地质勘察完成进度。</w:t>
            </w:r>
          </w:p>
        </w:tc>
      </w:tr>
      <w:tr w14:paraId="138A09F7">
        <w:tblPrEx>
          <w:tblCellMar>
            <w:top w:w="0" w:type="dxa"/>
            <w:left w:w="108" w:type="dxa"/>
            <w:bottom w:w="0" w:type="dxa"/>
            <w:right w:w="108" w:type="dxa"/>
          </w:tblCellMar>
        </w:tblPrEx>
        <w:trPr>
          <w:trHeight w:val="134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9EA879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27</w:t>
            </w:r>
          </w:p>
        </w:tc>
        <w:tc>
          <w:tcPr>
            <w:tcW w:w="1530" w:type="dxa"/>
            <w:vMerge w:val="continue"/>
            <w:tcBorders>
              <w:top w:val="nil"/>
              <w:left w:val="single" w:color="auto" w:sz="4" w:space="0"/>
              <w:bottom w:val="nil"/>
              <w:right w:val="single" w:color="auto" w:sz="4" w:space="0"/>
            </w:tcBorders>
            <w:vAlign w:val="center"/>
          </w:tcPr>
          <w:p w14:paraId="75606AB8">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0EEAFDE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设计过程</w:t>
            </w:r>
          </w:p>
        </w:tc>
        <w:tc>
          <w:tcPr>
            <w:tcW w:w="1525" w:type="dxa"/>
            <w:tcBorders>
              <w:top w:val="nil"/>
              <w:left w:val="nil"/>
              <w:bottom w:val="single" w:color="auto" w:sz="4" w:space="0"/>
              <w:right w:val="single" w:color="auto" w:sz="4" w:space="0"/>
            </w:tcBorders>
            <w:shd w:val="clear" w:color="auto" w:fill="auto"/>
            <w:noWrap/>
            <w:vAlign w:val="center"/>
          </w:tcPr>
          <w:p w14:paraId="681B072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6FEDDED2">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可根据设计阶段：概念方案设计、方案设计、初步设计、专项设计、施工图设计、施工图审查、设计交底等阶段自定义不同的设计类别，根据项目实际设计情况上传不同的阶段和类别的设计内容，支持对涉及过程内容的审批；以及施工图设计的版本管理；</w:t>
            </w:r>
          </w:p>
        </w:tc>
      </w:tr>
      <w:tr w14:paraId="18BCFB37">
        <w:tblPrEx>
          <w:tblCellMar>
            <w:top w:w="0" w:type="dxa"/>
            <w:left w:w="108" w:type="dxa"/>
            <w:bottom w:w="0" w:type="dxa"/>
            <w:right w:w="108" w:type="dxa"/>
          </w:tblCellMar>
        </w:tblPrEx>
        <w:trPr>
          <w:trHeight w:val="112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1ACFCF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w:t>
            </w:r>
            <w:r>
              <w:rPr>
                <w:rFonts w:hint="eastAsia" w:ascii="方正仿宋_GB2312" w:hAnsi="方正仿宋_GB2312" w:eastAsia="方正仿宋_GB2312" w:cs="方正仿宋_GB2312"/>
                <w:kern w:val="0"/>
                <w:sz w:val="22"/>
                <w:szCs w:val="22"/>
              </w:rPr>
              <w:t>　</w:t>
            </w:r>
          </w:p>
        </w:tc>
        <w:tc>
          <w:tcPr>
            <w:tcW w:w="15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710DA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变更管理</w:t>
            </w:r>
          </w:p>
        </w:tc>
        <w:tc>
          <w:tcPr>
            <w:tcW w:w="2200" w:type="dxa"/>
            <w:tcBorders>
              <w:top w:val="nil"/>
              <w:left w:val="nil"/>
              <w:bottom w:val="single" w:color="auto" w:sz="4" w:space="0"/>
              <w:right w:val="single" w:color="auto" w:sz="4" w:space="0"/>
            </w:tcBorders>
            <w:shd w:val="clear" w:color="auto" w:fill="auto"/>
            <w:vAlign w:val="center"/>
          </w:tcPr>
          <w:p w14:paraId="1024D66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变更申请</w:t>
            </w:r>
          </w:p>
        </w:tc>
        <w:tc>
          <w:tcPr>
            <w:tcW w:w="1525" w:type="dxa"/>
            <w:tcBorders>
              <w:top w:val="nil"/>
              <w:left w:val="nil"/>
              <w:bottom w:val="single" w:color="auto" w:sz="4" w:space="0"/>
              <w:right w:val="single" w:color="auto" w:sz="4" w:space="0"/>
            </w:tcBorders>
            <w:shd w:val="clear" w:color="auto" w:fill="auto"/>
            <w:noWrap/>
            <w:vAlign w:val="center"/>
          </w:tcPr>
          <w:p w14:paraId="7041B2A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36FF2A9">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针对项目的设计变更、施工方案等变更的管理，可通过平台发起审批流程，登记变更等级、变更金额、工程量、累计变更及与与施工合同金额对比比例等信息。发起后可由公司专业技术人员对变更进行技术可行性、安全性、合规性审查审批；</w:t>
            </w:r>
          </w:p>
        </w:tc>
      </w:tr>
      <w:tr w14:paraId="4B065356">
        <w:tblPrEx>
          <w:tblCellMar>
            <w:top w:w="0" w:type="dxa"/>
            <w:left w:w="108" w:type="dxa"/>
            <w:bottom w:w="0" w:type="dxa"/>
            <w:right w:w="108" w:type="dxa"/>
          </w:tblCellMar>
        </w:tblPrEx>
        <w:trPr>
          <w:trHeight w:val="112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4FE1AD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29</w:t>
            </w:r>
            <w:r>
              <w:rPr>
                <w:rFonts w:hint="eastAsia" w:ascii="方正仿宋_GB2312" w:hAnsi="方正仿宋_GB2312" w:eastAsia="方正仿宋_GB2312" w:cs="方正仿宋_GB2312"/>
                <w:kern w:val="0"/>
                <w:sz w:val="22"/>
                <w:szCs w:val="22"/>
              </w:rPr>
              <w:t>　</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35863E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0FC63F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变更台账</w:t>
            </w:r>
          </w:p>
        </w:tc>
        <w:tc>
          <w:tcPr>
            <w:tcW w:w="1525" w:type="dxa"/>
            <w:tcBorders>
              <w:top w:val="nil"/>
              <w:left w:val="nil"/>
              <w:bottom w:val="single" w:color="auto" w:sz="4" w:space="0"/>
              <w:right w:val="single" w:color="auto" w:sz="4" w:space="0"/>
            </w:tcBorders>
            <w:shd w:val="clear" w:color="auto" w:fill="auto"/>
            <w:noWrap/>
            <w:vAlign w:val="center"/>
          </w:tcPr>
          <w:p w14:paraId="5D92C6A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62DCC88A">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可根据项目查询所有项目变更数据，并对变更相关资料进行上传归档，并统计展示所有项目或单项目变更的金额；</w:t>
            </w:r>
          </w:p>
        </w:tc>
      </w:tr>
      <w:tr w14:paraId="4D0A3056">
        <w:tblPrEx>
          <w:tblCellMar>
            <w:top w:w="0" w:type="dxa"/>
            <w:left w:w="108" w:type="dxa"/>
            <w:bottom w:w="0" w:type="dxa"/>
            <w:right w:w="108" w:type="dxa"/>
          </w:tblCellMar>
        </w:tblPrEx>
        <w:trPr>
          <w:trHeight w:val="112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CB7F816">
            <w:pPr>
              <w:widowControl/>
              <w:jc w:val="center"/>
              <w:rPr>
                <w:rFonts w:hint="default"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30</w:t>
            </w:r>
          </w:p>
        </w:tc>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14:paraId="48B548C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项目过程管理</w:t>
            </w:r>
          </w:p>
        </w:tc>
        <w:tc>
          <w:tcPr>
            <w:tcW w:w="2200" w:type="dxa"/>
            <w:tcBorders>
              <w:top w:val="nil"/>
              <w:left w:val="nil"/>
              <w:bottom w:val="single" w:color="auto" w:sz="4" w:space="0"/>
              <w:right w:val="single" w:color="auto" w:sz="4" w:space="0"/>
            </w:tcBorders>
            <w:shd w:val="clear" w:color="auto" w:fill="auto"/>
            <w:vAlign w:val="center"/>
          </w:tcPr>
          <w:p w14:paraId="6DB5932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施工许可证</w:t>
            </w:r>
          </w:p>
        </w:tc>
        <w:tc>
          <w:tcPr>
            <w:tcW w:w="1525" w:type="dxa"/>
            <w:tcBorders>
              <w:top w:val="nil"/>
              <w:left w:val="nil"/>
              <w:bottom w:val="single" w:color="auto" w:sz="4" w:space="0"/>
              <w:right w:val="single" w:color="auto" w:sz="4" w:space="0"/>
            </w:tcBorders>
            <w:shd w:val="clear" w:color="auto" w:fill="auto"/>
            <w:noWrap/>
            <w:vAlign w:val="center"/>
          </w:tcPr>
          <w:p w14:paraId="69DBBE2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2E1A9671">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支持将项目施工许可证进行上传和归档，便于项目人员管理和查找。上传状态和数量可在台账中直观查看。当资料完整上传后，可将状态设定为已完成，为后续工作的资料查找使用提供便利。</w:t>
            </w:r>
          </w:p>
        </w:tc>
      </w:tr>
      <w:tr w14:paraId="587B4605">
        <w:tblPrEx>
          <w:tblCellMar>
            <w:top w:w="0" w:type="dxa"/>
            <w:left w:w="108" w:type="dxa"/>
            <w:bottom w:w="0" w:type="dxa"/>
            <w:right w:w="108" w:type="dxa"/>
          </w:tblCellMar>
        </w:tblPrEx>
        <w:trPr>
          <w:trHeight w:val="140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AED316E">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3</w:t>
            </w:r>
            <w:r>
              <w:rPr>
                <w:rFonts w:hint="eastAsia" w:ascii="方正仿宋_GB2312" w:hAnsi="方正仿宋_GB2312" w:eastAsia="方正仿宋_GB2312" w:cs="方正仿宋_GB2312"/>
                <w:kern w:val="0"/>
                <w:sz w:val="22"/>
                <w:szCs w:val="22"/>
                <w:lang w:val="en-US" w:eastAsia="zh-CN"/>
              </w:rPr>
              <w:t>1</w:t>
            </w:r>
          </w:p>
        </w:tc>
        <w:tc>
          <w:tcPr>
            <w:tcW w:w="1530" w:type="dxa"/>
            <w:vMerge w:val="continue"/>
            <w:tcBorders>
              <w:top w:val="nil"/>
              <w:left w:val="single" w:color="auto" w:sz="4" w:space="0"/>
              <w:bottom w:val="single" w:color="000000" w:sz="4" w:space="0"/>
              <w:right w:val="single" w:color="auto" w:sz="4" w:space="0"/>
            </w:tcBorders>
            <w:vAlign w:val="center"/>
          </w:tcPr>
          <w:p w14:paraId="188E08CD">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1BF4710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交底管理</w:t>
            </w:r>
          </w:p>
        </w:tc>
        <w:tc>
          <w:tcPr>
            <w:tcW w:w="1525" w:type="dxa"/>
            <w:tcBorders>
              <w:top w:val="nil"/>
              <w:left w:val="nil"/>
              <w:bottom w:val="single" w:color="auto" w:sz="4" w:space="0"/>
              <w:right w:val="single" w:color="auto" w:sz="4" w:space="0"/>
            </w:tcBorders>
            <w:shd w:val="clear" w:color="auto" w:fill="auto"/>
            <w:noWrap/>
            <w:vAlign w:val="center"/>
          </w:tcPr>
          <w:p w14:paraId="0BA0B0C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2EAA5B3F">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通过二维码展示交底内容，施工人员只需扫码即可查看详细的交底资料（包括线下交底），确保信息的及时性和准确性。项目在完成交底后，可以上传技术交底资料，包括现场交底图片等，确保所有交底记录有据可查。此外，项目在进行交底时需要关联相应的方案，并支持统计已进行交底的方案数量，帮助管理者全面了解交底进展情况。</w:t>
            </w:r>
          </w:p>
        </w:tc>
      </w:tr>
      <w:tr w14:paraId="6C1682C9">
        <w:tblPrEx>
          <w:tblCellMar>
            <w:top w:w="0" w:type="dxa"/>
            <w:left w:w="108" w:type="dxa"/>
            <w:bottom w:w="0" w:type="dxa"/>
            <w:right w:w="108" w:type="dxa"/>
          </w:tblCellMar>
        </w:tblPrEx>
        <w:trPr>
          <w:trHeight w:val="125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C3A0842">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3</w:t>
            </w:r>
            <w:r>
              <w:rPr>
                <w:rFonts w:hint="eastAsia" w:ascii="方正仿宋_GB2312" w:hAnsi="方正仿宋_GB2312" w:eastAsia="方正仿宋_GB2312" w:cs="方正仿宋_GB2312"/>
                <w:kern w:val="0"/>
                <w:sz w:val="22"/>
                <w:szCs w:val="22"/>
                <w:lang w:val="en-US" w:eastAsia="zh-CN"/>
              </w:rPr>
              <w:t>2</w:t>
            </w:r>
          </w:p>
        </w:tc>
        <w:tc>
          <w:tcPr>
            <w:tcW w:w="1530" w:type="dxa"/>
            <w:vMerge w:val="continue"/>
            <w:tcBorders>
              <w:top w:val="nil"/>
              <w:left w:val="single" w:color="auto" w:sz="4" w:space="0"/>
              <w:bottom w:val="single" w:color="000000" w:sz="4" w:space="0"/>
              <w:right w:val="single" w:color="auto" w:sz="4" w:space="0"/>
            </w:tcBorders>
            <w:vAlign w:val="center"/>
          </w:tcPr>
          <w:p w14:paraId="295B88AC">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796E6E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施工方案与施组设计</w:t>
            </w:r>
          </w:p>
        </w:tc>
        <w:tc>
          <w:tcPr>
            <w:tcW w:w="1525" w:type="dxa"/>
            <w:tcBorders>
              <w:top w:val="nil"/>
              <w:left w:val="nil"/>
              <w:bottom w:val="single" w:color="auto" w:sz="4" w:space="0"/>
              <w:right w:val="single" w:color="auto" w:sz="4" w:space="0"/>
            </w:tcBorders>
            <w:shd w:val="clear" w:color="auto" w:fill="auto"/>
            <w:noWrap/>
            <w:vAlign w:val="center"/>
          </w:tcPr>
          <w:p w14:paraId="3325238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32CFE1CF">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平台支持施工总体方案、施组设计、单位工程方案、分项工程方案、分部工程方案和单元工程方案的上传和归档，形成施工方案台账。每项方案的上传状态和数量可在台账中直观查看，便于管理人员快速检查资料的完整性。点击可查看方案附件、评审照片等 ，为后续工作的资料查找使用提供便利。</w:t>
            </w:r>
          </w:p>
        </w:tc>
      </w:tr>
      <w:tr w14:paraId="2252488B">
        <w:tblPrEx>
          <w:tblCellMar>
            <w:top w:w="0" w:type="dxa"/>
            <w:left w:w="108" w:type="dxa"/>
            <w:bottom w:w="0" w:type="dxa"/>
            <w:right w:w="108" w:type="dxa"/>
          </w:tblCellMar>
        </w:tblPrEx>
        <w:trPr>
          <w:trHeight w:val="162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6A448E3">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3</w:t>
            </w:r>
            <w:r>
              <w:rPr>
                <w:rFonts w:hint="eastAsia" w:ascii="方正仿宋_GB2312" w:hAnsi="方正仿宋_GB2312" w:eastAsia="方正仿宋_GB2312" w:cs="方正仿宋_GB2312"/>
                <w:kern w:val="0"/>
                <w:sz w:val="22"/>
                <w:szCs w:val="22"/>
                <w:lang w:val="en-US" w:eastAsia="zh-CN"/>
              </w:rPr>
              <w:t>3</w:t>
            </w:r>
          </w:p>
        </w:tc>
        <w:tc>
          <w:tcPr>
            <w:tcW w:w="1530" w:type="dxa"/>
            <w:vMerge w:val="continue"/>
            <w:tcBorders>
              <w:top w:val="nil"/>
              <w:left w:val="single" w:color="auto" w:sz="4" w:space="0"/>
              <w:bottom w:val="single" w:color="000000" w:sz="4" w:space="0"/>
              <w:right w:val="single" w:color="auto" w:sz="4" w:space="0"/>
            </w:tcBorders>
            <w:vAlign w:val="center"/>
          </w:tcPr>
          <w:p w14:paraId="578D0DA5">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5951635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施工过程资料</w:t>
            </w:r>
          </w:p>
        </w:tc>
        <w:tc>
          <w:tcPr>
            <w:tcW w:w="1525" w:type="dxa"/>
            <w:tcBorders>
              <w:top w:val="nil"/>
              <w:left w:val="nil"/>
              <w:bottom w:val="single" w:color="auto" w:sz="4" w:space="0"/>
              <w:right w:val="single" w:color="auto" w:sz="4" w:space="0"/>
            </w:tcBorders>
            <w:shd w:val="clear" w:color="auto" w:fill="auto"/>
            <w:noWrap/>
            <w:vAlign w:val="center"/>
          </w:tcPr>
          <w:p w14:paraId="225C9F6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565BFEFE">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可将平台中施工过程资料全部进行电子归档，支持组卷的项目资料进行整体打包，满足项目资料归档要求。由施工单位上传施工过程资料，支持将勘察设计、监理等主体单位纳入组织架构，并进行相关业务资料上传，系统可设置权限隔离，使各单位只能浏览自行上传的资料。每项资料的上传状态和数量可在台账中直观查看，便于管理人员快速检查资料的完整性。点击可查看资料详情、附件等 ，为后续工作的资料查找使用提供便利。</w:t>
            </w:r>
          </w:p>
        </w:tc>
      </w:tr>
      <w:tr w14:paraId="2471DD61">
        <w:tblPrEx>
          <w:tblCellMar>
            <w:top w:w="0" w:type="dxa"/>
            <w:left w:w="108" w:type="dxa"/>
            <w:bottom w:w="0" w:type="dxa"/>
            <w:right w:w="108" w:type="dxa"/>
          </w:tblCellMar>
        </w:tblPrEx>
        <w:trPr>
          <w:trHeight w:val="108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9B5B00C">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3</w:t>
            </w:r>
            <w:r>
              <w:rPr>
                <w:rFonts w:hint="eastAsia" w:ascii="方正仿宋_GB2312" w:hAnsi="方正仿宋_GB2312" w:eastAsia="方正仿宋_GB2312" w:cs="方正仿宋_GB2312"/>
                <w:kern w:val="0"/>
                <w:sz w:val="22"/>
                <w:szCs w:val="22"/>
                <w:lang w:val="en-US" w:eastAsia="zh-CN"/>
              </w:rPr>
              <w:t>4</w:t>
            </w:r>
          </w:p>
        </w:tc>
        <w:tc>
          <w:tcPr>
            <w:tcW w:w="1530" w:type="dxa"/>
            <w:vMerge w:val="continue"/>
            <w:tcBorders>
              <w:top w:val="nil"/>
              <w:left w:val="single" w:color="auto" w:sz="4" w:space="0"/>
              <w:bottom w:val="single" w:color="000000" w:sz="4" w:space="0"/>
              <w:right w:val="single" w:color="auto" w:sz="4" w:space="0"/>
            </w:tcBorders>
            <w:vAlign w:val="center"/>
          </w:tcPr>
          <w:p w14:paraId="5A2F950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6E73F64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进度周报</w:t>
            </w:r>
          </w:p>
        </w:tc>
        <w:tc>
          <w:tcPr>
            <w:tcW w:w="1525" w:type="dxa"/>
            <w:tcBorders>
              <w:top w:val="nil"/>
              <w:left w:val="nil"/>
              <w:bottom w:val="single" w:color="auto" w:sz="4" w:space="0"/>
              <w:right w:val="single" w:color="auto" w:sz="4" w:space="0"/>
            </w:tcBorders>
            <w:shd w:val="clear" w:color="auto" w:fill="auto"/>
            <w:noWrap/>
            <w:vAlign w:val="center"/>
          </w:tcPr>
          <w:p w14:paraId="71BB83A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41B6FF6D">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项目根据现场施工情况发起进度周报的报审，内容包括本周的实际完成情况，这些数据将作为实际产值完成的依据。项目需要在周报中详细反馈工程量清单的完成情况，确保信息的准确性和完整性。平台会自动进行周报数据的归档，确保所有报告有据可查。</w:t>
            </w:r>
          </w:p>
        </w:tc>
      </w:tr>
      <w:tr w14:paraId="7BF12BBB">
        <w:tblPrEx>
          <w:tblCellMar>
            <w:top w:w="0" w:type="dxa"/>
            <w:left w:w="108" w:type="dxa"/>
            <w:bottom w:w="0" w:type="dxa"/>
            <w:right w:w="108" w:type="dxa"/>
          </w:tblCellMar>
        </w:tblPrEx>
        <w:trPr>
          <w:trHeight w:val="165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F46917A">
            <w:pPr>
              <w:widowControl/>
              <w:jc w:val="center"/>
              <w:rPr>
                <w:rFonts w:hint="eastAsia" w:ascii="方正仿宋_GB2312" w:hAnsi="方正仿宋_GB2312" w:eastAsia="方正仿宋_GB2312" w:cs="方正仿宋_GB2312"/>
                <w:kern w:val="0"/>
                <w:sz w:val="22"/>
                <w:szCs w:val="22"/>
                <w:lang w:eastAsia="zh-CN"/>
              </w:rPr>
            </w:pPr>
            <w:r>
              <w:rPr>
                <w:rFonts w:hint="eastAsia" w:ascii="方正仿宋_GB2312" w:hAnsi="方正仿宋_GB2312" w:eastAsia="方正仿宋_GB2312" w:cs="方正仿宋_GB2312"/>
                <w:kern w:val="0"/>
                <w:sz w:val="22"/>
                <w:szCs w:val="22"/>
              </w:rPr>
              <w:t>3</w:t>
            </w:r>
            <w:r>
              <w:rPr>
                <w:rFonts w:hint="eastAsia" w:ascii="方正仿宋_GB2312" w:hAnsi="方正仿宋_GB2312" w:eastAsia="方正仿宋_GB2312" w:cs="方正仿宋_GB2312"/>
                <w:kern w:val="0"/>
                <w:sz w:val="22"/>
                <w:szCs w:val="22"/>
                <w:lang w:val="en-US" w:eastAsia="zh-CN"/>
              </w:rPr>
              <w:t>5</w:t>
            </w:r>
          </w:p>
        </w:tc>
        <w:tc>
          <w:tcPr>
            <w:tcW w:w="1530" w:type="dxa"/>
            <w:vMerge w:val="continue"/>
            <w:tcBorders>
              <w:top w:val="nil"/>
              <w:left w:val="single" w:color="auto" w:sz="4" w:space="0"/>
              <w:bottom w:val="single" w:color="000000" w:sz="4" w:space="0"/>
              <w:right w:val="single" w:color="auto" w:sz="4" w:space="0"/>
            </w:tcBorders>
            <w:vAlign w:val="center"/>
          </w:tcPr>
          <w:p w14:paraId="1147DADA">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0CA3956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实景进度管理</w:t>
            </w:r>
          </w:p>
        </w:tc>
        <w:tc>
          <w:tcPr>
            <w:tcW w:w="1525" w:type="dxa"/>
            <w:tcBorders>
              <w:top w:val="nil"/>
              <w:left w:val="nil"/>
              <w:bottom w:val="single" w:color="auto" w:sz="4" w:space="0"/>
              <w:right w:val="single" w:color="auto" w:sz="4" w:space="0"/>
            </w:tcBorders>
            <w:shd w:val="clear" w:color="auto" w:fill="auto"/>
            <w:noWrap/>
            <w:vAlign w:val="center"/>
          </w:tcPr>
          <w:p w14:paraId="7AA7000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73B82F0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项目对现场进行全景影像数据的采集，并将采集到的数据上传至平台，进行现场实际进度完成情况的汇总。用户可以通过平台查看各项目的全景影像，了解实际施工进展。此外，实景进度功能支持全景影像的对比应用，用户可以选择同一工点在不同时间段的完成情况进行查看，并支持视点的联动展示，即在不同时间段的影像之间进行平滑切换和对比，帮助管理者直观地发现进度变化和存在的问题。</w:t>
            </w:r>
          </w:p>
        </w:tc>
      </w:tr>
      <w:tr w14:paraId="2368A14E">
        <w:tblPrEx>
          <w:tblCellMar>
            <w:top w:w="0" w:type="dxa"/>
            <w:left w:w="108" w:type="dxa"/>
            <w:bottom w:w="0" w:type="dxa"/>
            <w:right w:w="108" w:type="dxa"/>
          </w:tblCellMar>
        </w:tblPrEx>
        <w:trPr>
          <w:trHeight w:val="54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E279F7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36</w:t>
            </w:r>
            <w:r>
              <w:rPr>
                <w:rFonts w:hint="eastAsia" w:ascii="方正仿宋_GB2312" w:hAnsi="方正仿宋_GB2312" w:eastAsia="方正仿宋_GB2312" w:cs="方正仿宋_GB2312"/>
                <w:kern w:val="0"/>
                <w:sz w:val="22"/>
                <w:szCs w:val="22"/>
              </w:rPr>
              <w:t>　</w:t>
            </w:r>
          </w:p>
        </w:tc>
        <w:tc>
          <w:tcPr>
            <w:tcW w:w="1530" w:type="dxa"/>
            <w:vMerge w:val="continue"/>
            <w:tcBorders>
              <w:top w:val="nil"/>
              <w:left w:val="single" w:color="auto" w:sz="4" w:space="0"/>
              <w:bottom w:val="single" w:color="000000" w:sz="4" w:space="0"/>
              <w:right w:val="single" w:color="auto" w:sz="4" w:space="0"/>
            </w:tcBorders>
            <w:vAlign w:val="center"/>
          </w:tcPr>
          <w:p w14:paraId="011C8B4B">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F187C9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关键进度节点</w:t>
            </w:r>
          </w:p>
        </w:tc>
        <w:tc>
          <w:tcPr>
            <w:tcW w:w="1525" w:type="dxa"/>
            <w:tcBorders>
              <w:top w:val="nil"/>
              <w:left w:val="nil"/>
              <w:bottom w:val="single" w:color="auto" w:sz="4" w:space="0"/>
              <w:right w:val="single" w:color="auto" w:sz="4" w:space="0"/>
            </w:tcBorders>
            <w:shd w:val="clear" w:color="auto" w:fill="auto"/>
            <w:noWrap/>
            <w:vAlign w:val="center"/>
          </w:tcPr>
          <w:p w14:paraId="297147A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79D60AC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满足针对项目施工进度制定关键节点里程碑，实现计划时间和实际完成时间的登记，通过系统查询关键节点的进度状态和情况</w:t>
            </w:r>
          </w:p>
        </w:tc>
      </w:tr>
      <w:tr w14:paraId="4723D3CD">
        <w:tblPrEx>
          <w:tblCellMar>
            <w:top w:w="0" w:type="dxa"/>
            <w:left w:w="108" w:type="dxa"/>
            <w:bottom w:w="0" w:type="dxa"/>
            <w:right w:w="108" w:type="dxa"/>
          </w:tblCellMar>
        </w:tblPrEx>
        <w:trPr>
          <w:trHeight w:val="60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000F08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37</w:t>
            </w:r>
          </w:p>
        </w:tc>
        <w:tc>
          <w:tcPr>
            <w:tcW w:w="1530" w:type="dxa"/>
            <w:vMerge w:val="continue"/>
            <w:tcBorders>
              <w:top w:val="nil"/>
              <w:left w:val="single" w:color="auto" w:sz="4" w:space="0"/>
              <w:bottom w:val="single" w:color="000000" w:sz="4" w:space="0"/>
              <w:right w:val="single" w:color="auto" w:sz="4" w:space="0"/>
            </w:tcBorders>
            <w:vAlign w:val="center"/>
          </w:tcPr>
          <w:p w14:paraId="3F190214">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D717D3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督查督办</w:t>
            </w:r>
          </w:p>
        </w:tc>
        <w:tc>
          <w:tcPr>
            <w:tcW w:w="1525" w:type="dxa"/>
            <w:tcBorders>
              <w:top w:val="nil"/>
              <w:left w:val="nil"/>
              <w:bottom w:val="single" w:color="auto" w:sz="4" w:space="0"/>
              <w:right w:val="single" w:color="auto" w:sz="4" w:space="0"/>
            </w:tcBorders>
            <w:shd w:val="clear" w:color="auto" w:fill="auto"/>
            <w:noWrap/>
            <w:vAlign w:val="center"/>
          </w:tcPr>
          <w:p w14:paraId="45DDF80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6F811C33">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集团层级督查公司各项目进度、投资、生产、安全等内容。</w:t>
            </w:r>
          </w:p>
        </w:tc>
      </w:tr>
      <w:tr w14:paraId="636420D7">
        <w:tblPrEx>
          <w:tblCellMar>
            <w:top w:w="0" w:type="dxa"/>
            <w:left w:w="108" w:type="dxa"/>
            <w:bottom w:w="0" w:type="dxa"/>
            <w:right w:w="108" w:type="dxa"/>
          </w:tblCellMar>
        </w:tblPrEx>
        <w:trPr>
          <w:trHeight w:val="270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481424E">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38</w:t>
            </w:r>
          </w:p>
        </w:tc>
        <w:tc>
          <w:tcPr>
            <w:tcW w:w="1530" w:type="dxa"/>
            <w:vMerge w:val="continue"/>
            <w:tcBorders>
              <w:top w:val="nil"/>
              <w:left w:val="single" w:color="auto" w:sz="4" w:space="0"/>
              <w:bottom w:val="single" w:color="000000" w:sz="4" w:space="0"/>
              <w:right w:val="single" w:color="auto" w:sz="4" w:space="0"/>
            </w:tcBorders>
            <w:vAlign w:val="center"/>
          </w:tcPr>
          <w:p w14:paraId="2DD97437">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0A4C3F9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安全巡检</w:t>
            </w:r>
          </w:p>
        </w:tc>
        <w:tc>
          <w:tcPr>
            <w:tcW w:w="1525" w:type="dxa"/>
            <w:tcBorders>
              <w:top w:val="nil"/>
              <w:left w:val="nil"/>
              <w:bottom w:val="single" w:color="auto" w:sz="4" w:space="0"/>
              <w:right w:val="single" w:color="auto" w:sz="4" w:space="0"/>
            </w:tcBorders>
            <w:shd w:val="clear" w:color="auto" w:fill="auto"/>
            <w:noWrap/>
            <w:vAlign w:val="center"/>
          </w:tcPr>
          <w:p w14:paraId="2A2F727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79483D49">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日常巡检：施工现场未出现相关安全问题，可用PC端或手机端记录巡检工作和现场的安全情况，形成日常巡检记录。</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隐患排查：施工现场出现安全隐患、安全风险等影响安全文明施工情况，相关责任人员未在周边。可使用PC端或手机端将问题记录，下发给相关责任人员进行整改；</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当施工现场出现影响安全文明施工的情况相关责任人员在旁边时，可当面要求整改并将该过程用手机端进行记录；</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施工现场出现安全隐患、安全风险等影响安全文明施工情况，相关责任人员未在周边。可使用PC端或手机端将问题记录，下发给相关责任人员进行整改；</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当施工现场出现影响安全文明施工的情况相关责任人员在旁边时，可当面要求整改并将该过程用手机端进行记录；</w:t>
            </w:r>
          </w:p>
        </w:tc>
      </w:tr>
      <w:tr w14:paraId="3DD75BF5">
        <w:tblPrEx>
          <w:tblCellMar>
            <w:top w:w="0" w:type="dxa"/>
            <w:left w:w="108" w:type="dxa"/>
            <w:bottom w:w="0" w:type="dxa"/>
            <w:right w:w="108" w:type="dxa"/>
          </w:tblCellMar>
        </w:tblPrEx>
        <w:trPr>
          <w:trHeight w:val="144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34CB3B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39</w:t>
            </w:r>
          </w:p>
        </w:tc>
        <w:tc>
          <w:tcPr>
            <w:tcW w:w="1530" w:type="dxa"/>
            <w:vMerge w:val="continue"/>
            <w:tcBorders>
              <w:top w:val="nil"/>
              <w:left w:val="single" w:color="auto" w:sz="4" w:space="0"/>
              <w:bottom w:val="single" w:color="000000" w:sz="4" w:space="0"/>
              <w:right w:val="single" w:color="auto" w:sz="4" w:space="0"/>
            </w:tcBorders>
            <w:vAlign w:val="center"/>
          </w:tcPr>
          <w:p w14:paraId="00985F7C">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7093DB4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工程计量</w:t>
            </w:r>
          </w:p>
        </w:tc>
        <w:tc>
          <w:tcPr>
            <w:tcW w:w="1525" w:type="dxa"/>
            <w:tcBorders>
              <w:top w:val="nil"/>
              <w:left w:val="nil"/>
              <w:bottom w:val="single" w:color="auto" w:sz="4" w:space="0"/>
              <w:right w:val="single" w:color="auto" w:sz="4" w:space="0"/>
            </w:tcBorders>
            <w:shd w:val="clear" w:color="auto" w:fill="auto"/>
            <w:noWrap/>
            <w:vAlign w:val="center"/>
          </w:tcPr>
          <w:p w14:paraId="734F4A3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43DE2FAA">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计量申请</w:t>
            </w:r>
            <w:r>
              <w:rPr>
                <w:rFonts w:hint="eastAsia" w:ascii="方正仿宋_GB2312" w:hAnsi="方正仿宋_GB2312" w:eastAsia="方正仿宋_GB2312" w:cs="方正仿宋_GB2312"/>
                <w:kern w:val="0"/>
                <w:sz w:val="22"/>
                <w:szCs w:val="22"/>
              </w:rPr>
              <w:t>：支持项目管理人员发起计量申请，录入已完成工程量，并且支持计量数据与合同工程量清单挂接，查看合同量与实际完工工程量的对比，对项目进度进行统计分析。</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b/>
                <w:bCs/>
                <w:kern w:val="0"/>
                <w:sz w:val="22"/>
                <w:szCs w:val="22"/>
              </w:rPr>
              <w:t>计量审核</w:t>
            </w:r>
            <w:r>
              <w:rPr>
                <w:rFonts w:hint="eastAsia" w:ascii="方正仿宋_GB2312" w:hAnsi="方正仿宋_GB2312" w:eastAsia="方正仿宋_GB2312" w:cs="方正仿宋_GB2312"/>
                <w:kern w:val="0"/>
                <w:sz w:val="22"/>
                <w:szCs w:val="22"/>
              </w:rPr>
              <w:t>：支持对已完成工程量的在线审核，平台可提供计量申请单等标准报审表格，将业务数据直接转化为电子资料。</w:t>
            </w:r>
          </w:p>
        </w:tc>
      </w:tr>
      <w:tr w14:paraId="2D32C741">
        <w:tblPrEx>
          <w:tblCellMar>
            <w:top w:w="0" w:type="dxa"/>
            <w:left w:w="108" w:type="dxa"/>
            <w:bottom w:w="0" w:type="dxa"/>
            <w:right w:w="108" w:type="dxa"/>
          </w:tblCellMar>
        </w:tblPrEx>
        <w:trPr>
          <w:trHeight w:val="135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9EF9F9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40</w:t>
            </w:r>
          </w:p>
        </w:tc>
        <w:tc>
          <w:tcPr>
            <w:tcW w:w="1530" w:type="dxa"/>
            <w:vMerge w:val="continue"/>
            <w:tcBorders>
              <w:top w:val="nil"/>
              <w:left w:val="single" w:color="auto" w:sz="4" w:space="0"/>
              <w:bottom w:val="single" w:color="000000" w:sz="4" w:space="0"/>
              <w:right w:val="single" w:color="auto" w:sz="4" w:space="0"/>
            </w:tcBorders>
            <w:vAlign w:val="center"/>
          </w:tcPr>
          <w:p w14:paraId="48CB5387">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3B5047C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工程款申请</w:t>
            </w:r>
          </w:p>
        </w:tc>
        <w:tc>
          <w:tcPr>
            <w:tcW w:w="1525" w:type="dxa"/>
            <w:tcBorders>
              <w:top w:val="nil"/>
              <w:left w:val="nil"/>
              <w:bottom w:val="single" w:color="auto" w:sz="4" w:space="0"/>
              <w:right w:val="single" w:color="auto" w:sz="4" w:space="0"/>
            </w:tcBorders>
            <w:shd w:val="clear" w:color="auto" w:fill="auto"/>
            <w:noWrap/>
            <w:vAlign w:val="center"/>
          </w:tcPr>
          <w:p w14:paraId="11DF2A3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39632FEF">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工程款申请</w:t>
            </w:r>
            <w:r>
              <w:rPr>
                <w:rFonts w:hint="eastAsia" w:ascii="方正仿宋_GB2312" w:hAnsi="方正仿宋_GB2312" w:eastAsia="方正仿宋_GB2312" w:cs="方正仿宋_GB2312"/>
                <w:kern w:val="0"/>
                <w:sz w:val="22"/>
                <w:szCs w:val="22"/>
              </w:rPr>
              <w:t>：支持在线发起工程款申请，可关联合同台账、工程计量等业务功能，直接引用项目名称、合同金额、实际完成工程量等数据。由管理人员填写当期申请的工程款金额（可分解为进度款、二类费用等费用类别），可自动计算申请比例、累计申请金额、剩余应付金额等数据。</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b/>
                <w:bCs/>
                <w:kern w:val="0"/>
                <w:sz w:val="22"/>
                <w:szCs w:val="22"/>
              </w:rPr>
              <w:t>工程款审批</w:t>
            </w:r>
            <w:r>
              <w:rPr>
                <w:rFonts w:hint="eastAsia" w:ascii="方正仿宋_GB2312" w:hAnsi="方正仿宋_GB2312" w:eastAsia="方正仿宋_GB2312" w:cs="方正仿宋_GB2312"/>
                <w:kern w:val="0"/>
                <w:sz w:val="22"/>
                <w:szCs w:val="22"/>
              </w:rPr>
              <w:t>：审批流程可自定义。依托平台的EXCEL表格引擎，以及内置的表格模板，可自动生成和下载采购工程款申请书，便于审批人员及时查看，高效、快捷、合规地进行工程款审批。</w:t>
            </w:r>
          </w:p>
        </w:tc>
      </w:tr>
      <w:tr w14:paraId="5B93C19E">
        <w:tblPrEx>
          <w:tblCellMar>
            <w:top w:w="0" w:type="dxa"/>
            <w:left w:w="108" w:type="dxa"/>
            <w:bottom w:w="0" w:type="dxa"/>
            <w:right w:w="108" w:type="dxa"/>
          </w:tblCellMar>
        </w:tblPrEx>
        <w:trPr>
          <w:trHeight w:val="135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012E3E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41</w:t>
            </w:r>
          </w:p>
        </w:tc>
        <w:tc>
          <w:tcPr>
            <w:tcW w:w="1530" w:type="dxa"/>
            <w:vMerge w:val="continue"/>
            <w:tcBorders>
              <w:top w:val="nil"/>
              <w:left w:val="single" w:color="auto" w:sz="4" w:space="0"/>
              <w:bottom w:val="single" w:color="000000" w:sz="4" w:space="0"/>
              <w:right w:val="single" w:color="auto" w:sz="4" w:space="0"/>
            </w:tcBorders>
            <w:vAlign w:val="center"/>
          </w:tcPr>
          <w:p w14:paraId="3FBCEB5B">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4D9DD9E0">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保证金申请</w:t>
            </w:r>
          </w:p>
        </w:tc>
        <w:tc>
          <w:tcPr>
            <w:tcW w:w="1525" w:type="dxa"/>
            <w:tcBorders>
              <w:top w:val="nil"/>
              <w:left w:val="nil"/>
              <w:bottom w:val="single" w:color="auto" w:sz="4" w:space="0"/>
              <w:right w:val="single" w:color="auto" w:sz="4" w:space="0"/>
            </w:tcBorders>
            <w:shd w:val="clear" w:color="auto" w:fill="auto"/>
            <w:noWrap/>
            <w:vAlign w:val="center"/>
          </w:tcPr>
          <w:p w14:paraId="3BBC3BB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3F4BD76A">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在线发起项目保证金申请，将履约保证金、低价风险保证金、履约保函金额、保函到期时间等基础信息录入平台，并关联对应项目合同。平台可根据已发起的保证金申请自动计算累计申请比例，并根据登记的到期时间提醒管理人员进行支付。可将相关凭证以附件的方式上传平台，支持文件在线预览，并查看资料上传状态和数量。管理人员可根据保证金的支付情况，将保证金状态设定为已完成，确保保证金的退还过程透明、公正，接受内部和外部的监督。</w:t>
            </w:r>
          </w:p>
        </w:tc>
      </w:tr>
      <w:tr w14:paraId="1BF6B326">
        <w:tblPrEx>
          <w:tblCellMar>
            <w:top w:w="0" w:type="dxa"/>
            <w:left w:w="108" w:type="dxa"/>
            <w:bottom w:w="0" w:type="dxa"/>
            <w:right w:w="108" w:type="dxa"/>
          </w:tblCellMar>
        </w:tblPrEx>
        <w:trPr>
          <w:trHeight w:val="1939"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E77A88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42</w:t>
            </w:r>
          </w:p>
        </w:tc>
        <w:tc>
          <w:tcPr>
            <w:tcW w:w="1530" w:type="dxa"/>
            <w:vMerge w:val="continue"/>
            <w:tcBorders>
              <w:top w:val="nil"/>
              <w:left w:val="single" w:color="auto" w:sz="4" w:space="0"/>
              <w:bottom w:val="single" w:color="000000" w:sz="4" w:space="0"/>
              <w:right w:val="single" w:color="auto" w:sz="4" w:space="0"/>
            </w:tcBorders>
            <w:vAlign w:val="center"/>
          </w:tcPr>
          <w:p w14:paraId="5F886275">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0E361D8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违约金申请</w:t>
            </w:r>
          </w:p>
        </w:tc>
        <w:tc>
          <w:tcPr>
            <w:tcW w:w="1525" w:type="dxa"/>
            <w:tcBorders>
              <w:top w:val="nil"/>
              <w:left w:val="nil"/>
              <w:bottom w:val="single" w:color="auto" w:sz="4" w:space="0"/>
              <w:right w:val="single" w:color="auto" w:sz="4" w:space="0"/>
            </w:tcBorders>
            <w:shd w:val="clear" w:color="auto" w:fill="auto"/>
            <w:noWrap/>
            <w:vAlign w:val="center"/>
          </w:tcPr>
          <w:p w14:paraId="4D17F45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2B05E388">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针对施工项目未能履行合同义务的情况，支持管理人员在线对项目发起违约金申请，包含违约内容、违约时间、违约金额、违约金支付时间等。可关联项目合同，将违约金额从合同金额中扣减，同时设置业务权限，对于未支付违约金的项目，无法提交工程款申请，增加违约成本，促进施工单位认真履行合同义务。可将相关凭证以附件的方式上传平台，支持文件在线预览，并查看资料上传状态和数量。管理人员可根据违约金的收取情况，将违约金状态设定为已完成，确保违约金的收取过程透明、公正，接受内部和外部的监督。</w:t>
            </w:r>
          </w:p>
        </w:tc>
      </w:tr>
      <w:tr w14:paraId="6B71A240">
        <w:tblPrEx>
          <w:tblCellMar>
            <w:top w:w="0" w:type="dxa"/>
            <w:left w:w="108" w:type="dxa"/>
            <w:bottom w:w="0" w:type="dxa"/>
            <w:right w:w="108" w:type="dxa"/>
          </w:tblCellMar>
        </w:tblPrEx>
        <w:trPr>
          <w:trHeight w:val="216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2436B0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43</w:t>
            </w:r>
          </w:p>
        </w:tc>
        <w:tc>
          <w:tcPr>
            <w:tcW w:w="1530" w:type="dxa"/>
            <w:vMerge w:val="continue"/>
            <w:tcBorders>
              <w:top w:val="nil"/>
              <w:left w:val="single" w:color="auto" w:sz="4" w:space="0"/>
              <w:bottom w:val="single" w:color="000000" w:sz="4" w:space="0"/>
              <w:right w:val="single" w:color="auto" w:sz="4" w:space="0"/>
            </w:tcBorders>
            <w:vAlign w:val="center"/>
          </w:tcPr>
          <w:p w14:paraId="4F6CFA07">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22C0B14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农民工工资管理</w:t>
            </w:r>
          </w:p>
        </w:tc>
        <w:tc>
          <w:tcPr>
            <w:tcW w:w="1525" w:type="dxa"/>
            <w:tcBorders>
              <w:top w:val="nil"/>
              <w:left w:val="nil"/>
              <w:bottom w:val="single" w:color="auto" w:sz="4" w:space="0"/>
              <w:right w:val="single" w:color="auto" w:sz="4" w:space="0"/>
            </w:tcBorders>
            <w:shd w:val="clear" w:color="auto" w:fill="auto"/>
            <w:noWrap/>
            <w:vAlign w:val="center"/>
          </w:tcPr>
          <w:p w14:paraId="555D458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76426034">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为确保农民工工资按时足额发放，维护农民工的合法权益，避免因工资拖欠引发的一系列问题，项目管理人员可通过该功能有效地管理和控制农民工工资。</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实名制考勤：项目部每天记录农民工的出勤情况，包括出勤天数和加班时间。系统可根据考勤记录和工资发放记录做对比分析，避免发生考勤合格的农民工没有工资发放记录的情况。</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建立工资专户：项目将建立的农民工工资专户信息录入平台，包含账号、开户行、专户余额等。</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工资发放记录：工资通过银行转账方式发放，每次发放后，管理人员将发放时间、应发金额、实发金额、应发人数、实发人数、累计欠付金额、工资附件、银行支付凭证等信息录入对应工资专户，并生成工资台账，记录每个农民工的工资发放情况，支持查询和导出。</w:t>
            </w:r>
          </w:p>
        </w:tc>
      </w:tr>
      <w:tr w14:paraId="03F40EEA">
        <w:tblPrEx>
          <w:tblCellMar>
            <w:top w:w="0" w:type="dxa"/>
            <w:left w:w="108" w:type="dxa"/>
            <w:bottom w:w="0" w:type="dxa"/>
            <w:right w:w="108" w:type="dxa"/>
          </w:tblCellMar>
        </w:tblPrEx>
        <w:trPr>
          <w:trHeight w:val="126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16A58B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44</w:t>
            </w:r>
          </w:p>
        </w:tc>
        <w:tc>
          <w:tcPr>
            <w:tcW w:w="1530" w:type="dxa"/>
            <w:vMerge w:val="continue"/>
            <w:tcBorders>
              <w:top w:val="nil"/>
              <w:left w:val="single" w:color="auto" w:sz="4" w:space="0"/>
              <w:bottom w:val="single" w:color="000000" w:sz="4" w:space="0"/>
              <w:right w:val="single" w:color="auto" w:sz="4" w:space="0"/>
            </w:tcBorders>
            <w:vAlign w:val="center"/>
          </w:tcPr>
          <w:p w14:paraId="67DAAB9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4AF4A4E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工程验收</w:t>
            </w:r>
          </w:p>
        </w:tc>
        <w:tc>
          <w:tcPr>
            <w:tcW w:w="1525" w:type="dxa"/>
            <w:tcBorders>
              <w:top w:val="nil"/>
              <w:left w:val="nil"/>
              <w:bottom w:val="single" w:color="auto" w:sz="4" w:space="0"/>
              <w:right w:val="single" w:color="auto" w:sz="4" w:space="0"/>
            </w:tcBorders>
            <w:shd w:val="clear" w:color="auto" w:fill="auto"/>
            <w:noWrap/>
            <w:vAlign w:val="center"/>
          </w:tcPr>
          <w:p w14:paraId="2667254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5E0F170C">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平台支持首件验收、分部分项验收、检验批验收、隐蔽工程验收、竣工验收资料和记录的上传与归档，包含验收时间、验收地点、验收部位、验收内容等，形成工程验收台账。每条验收记录的状态可在台账中直观查看，点击可查看验收资料附件、验收照片等 ，实现项目现场工程验收的信息化存档。</w:t>
            </w:r>
          </w:p>
        </w:tc>
      </w:tr>
      <w:tr w14:paraId="0EF4F27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4ECDB8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45</w:t>
            </w:r>
          </w:p>
        </w:tc>
        <w:tc>
          <w:tcPr>
            <w:tcW w:w="1530" w:type="dxa"/>
            <w:vMerge w:val="continue"/>
            <w:tcBorders>
              <w:top w:val="nil"/>
              <w:left w:val="single" w:color="auto" w:sz="4" w:space="0"/>
              <w:bottom w:val="single" w:color="000000" w:sz="4" w:space="0"/>
              <w:right w:val="single" w:color="auto" w:sz="4" w:space="0"/>
            </w:tcBorders>
            <w:vAlign w:val="center"/>
          </w:tcPr>
          <w:p w14:paraId="4DAED6E8">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47776EB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二级费用统计分类</w:t>
            </w:r>
          </w:p>
        </w:tc>
        <w:tc>
          <w:tcPr>
            <w:tcW w:w="1525" w:type="dxa"/>
            <w:tcBorders>
              <w:top w:val="nil"/>
              <w:left w:val="nil"/>
              <w:bottom w:val="single" w:color="auto" w:sz="4" w:space="0"/>
              <w:right w:val="single" w:color="auto" w:sz="4" w:space="0"/>
            </w:tcBorders>
            <w:shd w:val="clear" w:color="auto" w:fill="auto"/>
            <w:noWrap/>
            <w:vAlign w:val="center"/>
          </w:tcPr>
          <w:p w14:paraId="4BDEC2DC">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3BE65919">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费率库，其他功能调用</w:t>
            </w:r>
          </w:p>
        </w:tc>
      </w:tr>
      <w:tr w14:paraId="229BCDB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607A08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46</w:t>
            </w:r>
          </w:p>
        </w:tc>
        <w:tc>
          <w:tcPr>
            <w:tcW w:w="1530" w:type="dxa"/>
            <w:vMerge w:val="continue"/>
            <w:tcBorders>
              <w:top w:val="nil"/>
              <w:left w:val="single" w:color="auto" w:sz="4" w:space="0"/>
              <w:bottom w:val="single" w:color="000000" w:sz="4" w:space="0"/>
              <w:right w:val="single" w:color="auto" w:sz="4" w:space="0"/>
            </w:tcBorders>
            <w:vAlign w:val="center"/>
          </w:tcPr>
          <w:p w14:paraId="4DA5D280">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6D895D9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涉法涉诉</w:t>
            </w:r>
          </w:p>
        </w:tc>
        <w:tc>
          <w:tcPr>
            <w:tcW w:w="1525" w:type="dxa"/>
            <w:tcBorders>
              <w:top w:val="nil"/>
              <w:left w:val="nil"/>
              <w:bottom w:val="single" w:color="auto" w:sz="4" w:space="0"/>
              <w:right w:val="single" w:color="auto" w:sz="4" w:space="0"/>
            </w:tcBorders>
            <w:shd w:val="clear" w:color="auto" w:fill="auto"/>
            <w:noWrap/>
            <w:vAlign w:val="center"/>
          </w:tcPr>
          <w:p w14:paraId="49D7D1E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779B79C7">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满足在平台上对法律诉讼内容进行登记，能在系统登记更新和查看当前诉讼内容状态和情况。</w:t>
            </w:r>
          </w:p>
        </w:tc>
      </w:tr>
      <w:tr w14:paraId="70A2864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E2FBA3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47</w:t>
            </w:r>
          </w:p>
        </w:tc>
        <w:tc>
          <w:tcPr>
            <w:tcW w:w="1530" w:type="dxa"/>
            <w:vMerge w:val="continue"/>
            <w:tcBorders>
              <w:top w:val="nil"/>
              <w:left w:val="single" w:color="auto" w:sz="4" w:space="0"/>
              <w:bottom w:val="single" w:color="000000" w:sz="4" w:space="0"/>
              <w:right w:val="single" w:color="auto" w:sz="4" w:space="0"/>
            </w:tcBorders>
            <w:vAlign w:val="center"/>
          </w:tcPr>
          <w:p w14:paraId="18080742">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070B2DB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鱼骨图</w:t>
            </w:r>
          </w:p>
        </w:tc>
        <w:tc>
          <w:tcPr>
            <w:tcW w:w="1525" w:type="dxa"/>
            <w:tcBorders>
              <w:top w:val="nil"/>
              <w:left w:val="nil"/>
              <w:bottom w:val="single" w:color="auto" w:sz="4" w:space="0"/>
              <w:right w:val="single" w:color="auto" w:sz="4" w:space="0"/>
            </w:tcBorders>
            <w:shd w:val="clear" w:color="auto" w:fill="auto"/>
            <w:noWrap/>
            <w:vAlign w:val="center"/>
          </w:tcPr>
          <w:p w14:paraId="52E4BA6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2BD0498E">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支持在系统根据项目制定及更新关键计划节点，能通过鱼骨图可视化方式进行展示；</w:t>
            </w:r>
          </w:p>
        </w:tc>
      </w:tr>
      <w:tr w14:paraId="6A69ADFF">
        <w:tblPrEx>
          <w:tblCellMar>
            <w:top w:w="0" w:type="dxa"/>
            <w:left w:w="108" w:type="dxa"/>
            <w:bottom w:w="0" w:type="dxa"/>
            <w:right w:w="108" w:type="dxa"/>
          </w:tblCellMar>
        </w:tblPrEx>
        <w:trPr>
          <w:trHeight w:val="1639"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6064CC1">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48</w:t>
            </w:r>
          </w:p>
        </w:tc>
        <w:tc>
          <w:tcPr>
            <w:tcW w:w="1530" w:type="dxa"/>
            <w:tcBorders>
              <w:top w:val="nil"/>
              <w:left w:val="nil"/>
              <w:bottom w:val="single" w:color="auto" w:sz="4" w:space="0"/>
              <w:right w:val="single" w:color="auto" w:sz="4" w:space="0"/>
            </w:tcBorders>
            <w:shd w:val="clear" w:color="auto" w:fill="auto"/>
            <w:vAlign w:val="center"/>
          </w:tcPr>
          <w:p w14:paraId="5ABB3E6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移动端</w:t>
            </w:r>
          </w:p>
        </w:tc>
        <w:tc>
          <w:tcPr>
            <w:tcW w:w="2200" w:type="dxa"/>
            <w:tcBorders>
              <w:top w:val="nil"/>
              <w:left w:val="nil"/>
              <w:bottom w:val="single" w:color="auto" w:sz="4" w:space="0"/>
              <w:right w:val="single" w:color="auto" w:sz="4" w:space="0"/>
            </w:tcBorders>
            <w:shd w:val="clear" w:color="auto" w:fill="auto"/>
            <w:vAlign w:val="center"/>
          </w:tcPr>
          <w:p w14:paraId="5C571C9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w:t>
            </w:r>
          </w:p>
        </w:tc>
        <w:tc>
          <w:tcPr>
            <w:tcW w:w="1525" w:type="dxa"/>
            <w:tcBorders>
              <w:top w:val="nil"/>
              <w:left w:val="nil"/>
              <w:bottom w:val="single" w:color="auto" w:sz="4" w:space="0"/>
              <w:right w:val="single" w:color="auto" w:sz="4" w:space="0"/>
            </w:tcBorders>
            <w:shd w:val="clear" w:color="auto" w:fill="auto"/>
            <w:noWrap/>
            <w:vAlign w:val="center"/>
          </w:tcPr>
          <w:p w14:paraId="14F18948">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112C4542">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按照“业务移动化、移动集中化”的原则，在Web端的基础上，搭建统一移动平台，所有可移动端办理的业务全部集成到一个平台，满足业务移动办理需求。根据组织架构体系中不用的用户角色，提供对应的移动办公权限和工具模块，便于业务的查询、处置、推送、审核等，打破时间和空间局限性。形成企业项目管理业务的多端管理模式，多端业务协同，多端数据统一，满足公司管理人员在不同场景下对项目管理平台的应用需求。</w:t>
            </w:r>
          </w:p>
        </w:tc>
      </w:tr>
      <w:tr w14:paraId="74929734">
        <w:tblPrEx>
          <w:tblCellMar>
            <w:top w:w="0" w:type="dxa"/>
            <w:left w:w="108" w:type="dxa"/>
            <w:bottom w:w="0" w:type="dxa"/>
            <w:right w:w="108" w:type="dxa"/>
          </w:tblCellMar>
        </w:tblPrEx>
        <w:trPr>
          <w:trHeight w:val="135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344F23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49</w:t>
            </w:r>
          </w:p>
        </w:tc>
        <w:tc>
          <w:tcPr>
            <w:tcW w:w="1530" w:type="dxa"/>
            <w:vMerge w:val="restart"/>
            <w:tcBorders>
              <w:top w:val="nil"/>
              <w:left w:val="single" w:color="auto" w:sz="4" w:space="0"/>
              <w:bottom w:val="single" w:color="000000" w:sz="4" w:space="0"/>
              <w:right w:val="single" w:color="auto" w:sz="4" w:space="0"/>
            </w:tcBorders>
            <w:shd w:val="clear" w:color="auto" w:fill="auto"/>
            <w:vAlign w:val="center"/>
          </w:tcPr>
          <w:p w14:paraId="370E0FDD">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系统对接</w:t>
            </w:r>
          </w:p>
        </w:tc>
        <w:tc>
          <w:tcPr>
            <w:tcW w:w="2200" w:type="dxa"/>
            <w:tcBorders>
              <w:top w:val="nil"/>
              <w:left w:val="nil"/>
              <w:bottom w:val="single" w:color="auto" w:sz="4" w:space="0"/>
              <w:right w:val="single" w:color="auto" w:sz="4" w:space="0"/>
            </w:tcBorders>
            <w:shd w:val="clear" w:color="auto" w:fill="auto"/>
            <w:vAlign w:val="center"/>
          </w:tcPr>
          <w:p w14:paraId="318354F2">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w:t>
            </w:r>
          </w:p>
        </w:tc>
        <w:tc>
          <w:tcPr>
            <w:tcW w:w="1525" w:type="dxa"/>
            <w:tcBorders>
              <w:top w:val="nil"/>
              <w:left w:val="nil"/>
              <w:bottom w:val="single" w:color="auto" w:sz="4" w:space="0"/>
              <w:right w:val="single" w:color="auto" w:sz="4" w:space="0"/>
            </w:tcBorders>
            <w:shd w:val="clear" w:color="auto" w:fill="auto"/>
            <w:vAlign w:val="center"/>
          </w:tcPr>
          <w:p w14:paraId="165EA29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478FD95D">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支持与集团数字绿发系统、集团OA系统的对接，实现单点登录，确保只需进行一次登录即可使用平台，进行人员、组织、项目等主数据对接，以实现更广泛的数据共享和应用。平台可根据公司需求对接财务数据，将合同、支付数据等数据对接到项目管理平台，确保数据的准确性。平台可在条件允许的情况下，将流程结果数据反写回财务系统，以实现流程的连贯性，避免二次操作。汇聚多方数据资源，为项目管理提供全面、实时的信息支持以及数据统计分析，提升决策效率和管理水平。</w:t>
            </w:r>
          </w:p>
        </w:tc>
      </w:tr>
      <w:tr w14:paraId="624DE1BA">
        <w:tblPrEx>
          <w:tblCellMar>
            <w:top w:w="0" w:type="dxa"/>
            <w:left w:w="108" w:type="dxa"/>
            <w:bottom w:w="0" w:type="dxa"/>
            <w:right w:w="108" w:type="dxa"/>
          </w:tblCellMar>
        </w:tblPrEx>
        <w:trPr>
          <w:trHeight w:val="507"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6BF9E9A">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50</w:t>
            </w:r>
          </w:p>
        </w:tc>
        <w:tc>
          <w:tcPr>
            <w:tcW w:w="1530" w:type="dxa"/>
            <w:vMerge w:val="continue"/>
            <w:tcBorders>
              <w:top w:val="nil"/>
              <w:left w:val="single" w:color="auto" w:sz="4" w:space="0"/>
              <w:bottom w:val="single" w:color="000000" w:sz="4" w:space="0"/>
              <w:right w:val="single" w:color="auto" w:sz="4" w:space="0"/>
            </w:tcBorders>
            <w:vAlign w:val="center"/>
          </w:tcPr>
          <w:p w14:paraId="70344565">
            <w:pPr>
              <w:widowControl/>
              <w:jc w:val="left"/>
              <w:rPr>
                <w:rFonts w:hint="eastAsia" w:ascii="方正仿宋_GB2312" w:hAnsi="方正仿宋_GB2312" w:eastAsia="方正仿宋_GB2312" w:cs="方正仿宋_GB2312"/>
                <w:kern w:val="0"/>
                <w:sz w:val="22"/>
                <w:szCs w:val="22"/>
              </w:rPr>
            </w:pPr>
          </w:p>
        </w:tc>
        <w:tc>
          <w:tcPr>
            <w:tcW w:w="2200" w:type="dxa"/>
            <w:tcBorders>
              <w:top w:val="nil"/>
              <w:left w:val="nil"/>
              <w:bottom w:val="single" w:color="auto" w:sz="4" w:space="0"/>
              <w:right w:val="single" w:color="auto" w:sz="4" w:space="0"/>
            </w:tcBorders>
            <w:shd w:val="clear" w:color="auto" w:fill="auto"/>
            <w:vAlign w:val="center"/>
          </w:tcPr>
          <w:p w14:paraId="2057308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w:t>
            </w:r>
          </w:p>
        </w:tc>
        <w:tc>
          <w:tcPr>
            <w:tcW w:w="1525" w:type="dxa"/>
            <w:tcBorders>
              <w:top w:val="nil"/>
              <w:left w:val="nil"/>
              <w:bottom w:val="single" w:color="auto" w:sz="4" w:space="0"/>
              <w:right w:val="single" w:color="auto" w:sz="4" w:space="0"/>
            </w:tcBorders>
            <w:shd w:val="clear" w:color="auto" w:fill="auto"/>
            <w:vAlign w:val="center"/>
          </w:tcPr>
          <w:p w14:paraId="4BED4FD5">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6A1C7F55">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与金蝶云星瀚对接，实现支付申请跳转及数据部分集成。</w:t>
            </w:r>
          </w:p>
        </w:tc>
      </w:tr>
      <w:tr w14:paraId="46307DB2">
        <w:tblPrEx>
          <w:tblCellMar>
            <w:top w:w="0" w:type="dxa"/>
            <w:left w:w="108" w:type="dxa"/>
            <w:bottom w:w="0" w:type="dxa"/>
            <w:right w:w="108" w:type="dxa"/>
          </w:tblCellMar>
        </w:tblPrEx>
        <w:trPr>
          <w:trHeight w:val="2479"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0D99474">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51</w:t>
            </w:r>
          </w:p>
        </w:tc>
        <w:tc>
          <w:tcPr>
            <w:tcW w:w="1530" w:type="dxa"/>
            <w:tcBorders>
              <w:top w:val="nil"/>
              <w:left w:val="nil"/>
              <w:bottom w:val="single" w:color="auto" w:sz="4" w:space="0"/>
              <w:right w:val="single" w:color="auto" w:sz="4" w:space="0"/>
            </w:tcBorders>
            <w:shd w:val="clear" w:color="auto" w:fill="auto"/>
            <w:vAlign w:val="center"/>
          </w:tcPr>
          <w:p w14:paraId="162117F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平台实施服务</w:t>
            </w:r>
          </w:p>
        </w:tc>
        <w:tc>
          <w:tcPr>
            <w:tcW w:w="2200" w:type="dxa"/>
            <w:tcBorders>
              <w:top w:val="nil"/>
              <w:left w:val="nil"/>
              <w:bottom w:val="single" w:color="auto" w:sz="4" w:space="0"/>
              <w:right w:val="single" w:color="auto" w:sz="4" w:space="0"/>
            </w:tcBorders>
            <w:shd w:val="clear" w:color="auto" w:fill="auto"/>
            <w:vAlign w:val="center"/>
          </w:tcPr>
          <w:p w14:paraId="0EA0E879">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w:t>
            </w:r>
          </w:p>
        </w:tc>
        <w:tc>
          <w:tcPr>
            <w:tcW w:w="1525" w:type="dxa"/>
            <w:tcBorders>
              <w:top w:val="nil"/>
              <w:left w:val="nil"/>
              <w:bottom w:val="single" w:color="auto" w:sz="4" w:space="0"/>
              <w:right w:val="single" w:color="auto" w:sz="4" w:space="0"/>
            </w:tcBorders>
            <w:shd w:val="clear" w:color="auto" w:fill="auto"/>
            <w:noWrap/>
            <w:vAlign w:val="center"/>
          </w:tcPr>
          <w:p w14:paraId="4E0334F6">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公司、项目</w:t>
            </w:r>
          </w:p>
        </w:tc>
        <w:tc>
          <w:tcPr>
            <w:tcW w:w="4463" w:type="dxa"/>
            <w:tcBorders>
              <w:top w:val="nil"/>
              <w:left w:val="nil"/>
              <w:bottom w:val="single" w:color="auto" w:sz="4" w:space="0"/>
              <w:right w:val="single" w:color="auto" w:sz="4" w:space="0"/>
            </w:tcBorders>
            <w:shd w:val="clear" w:color="auto" w:fill="auto"/>
            <w:vAlign w:val="center"/>
          </w:tcPr>
          <w:p w14:paraId="6C139463">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1.辅助项目进行建项目信息、GIS信息、组织架构、人员信息创建及权限配置、工区划分、分部分项、部位划分等基础数据建立；</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2.提供数据标准，包含模型数据标准和其它文档数据标准；提供平台管控管理办法；</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3.在平台运行期间，提供本功能开发内容的线上支持和技术升级维护工作；</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4.在平台正式上线运营期间，安排2人远程对平台的运行进行持续性跟踪维护，同时协助现场管理方协调平台的使用事宜；</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5.培训服务：提供5次线下培训服务。</w:t>
            </w:r>
            <w:r>
              <w:rPr>
                <w:rFonts w:hint="eastAsia" w:ascii="方正仿宋_GB2312" w:hAnsi="方正仿宋_GB2312" w:eastAsia="方正仿宋_GB2312" w:cs="方正仿宋_GB2312"/>
                <w:kern w:val="0"/>
                <w:sz w:val="22"/>
                <w:szCs w:val="22"/>
              </w:rPr>
              <w:br w:type="textWrapping"/>
            </w:r>
            <w:r>
              <w:rPr>
                <w:rFonts w:hint="eastAsia" w:ascii="方正仿宋_GB2312" w:hAnsi="方正仿宋_GB2312" w:eastAsia="方正仿宋_GB2312" w:cs="方正仿宋_GB2312"/>
                <w:kern w:val="0"/>
                <w:sz w:val="22"/>
                <w:szCs w:val="22"/>
              </w:rPr>
              <w:t>6.实施服务支持1年。</w:t>
            </w:r>
          </w:p>
        </w:tc>
      </w:tr>
      <w:tr w14:paraId="77ECF5D3">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D52E683">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52</w:t>
            </w:r>
          </w:p>
        </w:tc>
        <w:tc>
          <w:tcPr>
            <w:tcW w:w="1530" w:type="dxa"/>
            <w:tcBorders>
              <w:top w:val="nil"/>
              <w:left w:val="nil"/>
              <w:bottom w:val="single" w:color="auto" w:sz="4" w:space="0"/>
              <w:right w:val="single" w:color="auto" w:sz="4" w:space="0"/>
            </w:tcBorders>
            <w:shd w:val="clear" w:color="auto" w:fill="auto"/>
            <w:vAlign w:val="center"/>
          </w:tcPr>
          <w:p w14:paraId="0062090F">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部署方式</w:t>
            </w:r>
          </w:p>
        </w:tc>
        <w:tc>
          <w:tcPr>
            <w:tcW w:w="2200" w:type="dxa"/>
            <w:tcBorders>
              <w:top w:val="nil"/>
              <w:left w:val="nil"/>
              <w:bottom w:val="single" w:color="auto" w:sz="4" w:space="0"/>
              <w:right w:val="single" w:color="auto" w:sz="4" w:space="0"/>
            </w:tcBorders>
            <w:shd w:val="clear" w:color="auto" w:fill="auto"/>
            <w:vAlign w:val="center"/>
          </w:tcPr>
          <w:p w14:paraId="4C023347">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w:t>
            </w:r>
          </w:p>
        </w:tc>
        <w:tc>
          <w:tcPr>
            <w:tcW w:w="1525" w:type="dxa"/>
            <w:tcBorders>
              <w:top w:val="nil"/>
              <w:left w:val="nil"/>
              <w:bottom w:val="single" w:color="auto" w:sz="4" w:space="0"/>
              <w:right w:val="single" w:color="auto" w:sz="4" w:space="0"/>
            </w:tcBorders>
            <w:shd w:val="clear" w:color="auto" w:fill="auto"/>
            <w:noWrap/>
            <w:vAlign w:val="center"/>
          </w:tcPr>
          <w:p w14:paraId="0B7618CB">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公司</w:t>
            </w:r>
          </w:p>
        </w:tc>
        <w:tc>
          <w:tcPr>
            <w:tcW w:w="4463" w:type="dxa"/>
            <w:tcBorders>
              <w:top w:val="nil"/>
              <w:left w:val="nil"/>
              <w:bottom w:val="single" w:color="auto" w:sz="4" w:space="0"/>
              <w:right w:val="single" w:color="auto" w:sz="4" w:space="0"/>
            </w:tcBorders>
            <w:shd w:val="clear" w:color="auto" w:fill="auto"/>
            <w:vAlign w:val="center"/>
          </w:tcPr>
          <w:p w14:paraId="4CA1D81F">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系统私有化部署。</w:t>
            </w:r>
          </w:p>
        </w:tc>
      </w:tr>
    </w:tbl>
    <w:p w14:paraId="5C158B5E"/>
    <w:p w14:paraId="7D1CA7BB">
      <w:pPr>
        <w:pStyle w:val="28"/>
        <w:rPr>
          <w:rFonts w:ascii="方正仿宋_GBK" w:hAnsi="方正仿宋_GBK" w:eastAsia="方正仿宋_GBK" w:cs="方正仿宋_GBK"/>
          <w:color w:val="auto"/>
          <w:highlight w:val="none"/>
        </w:rPr>
      </w:pPr>
    </w:p>
    <w:p w14:paraId="358D5F82">
      <w:pPr>
        <w:pStyle w:val="28"/>
        <w:ind w:firstLine="480"/>
        <w:rPr>
          <w:rFonts w:ascii="方正仿宋_GBK" w:hAnsi="方正仿宋_GBK" w:eastAsia="方正仿宋_GBK" w:cs="方正仿宋_GBK"/>
          <w:color w:val="auto"/>
          <w:highlight w:val="none"/>
        </w:rPr>
      </w:pPr>
    </w:p>
    <w:p w14:paraId="1387AB09">
      <w:pPr>
        <w:pStyle w:val="28"/>
        <w:ind w:firstLine="480"/>
        <w:rPr>
          <w:rFonts w:ascii="方正仿宋_GBK" w:hAnsi="方正仿宋_GBK" w:eastAsia="方正仿宋_GBK" w:cs="方正仿宋_GBK"/>
          <w:color w:val="auto"/>
          <w:highlight w:val="none"/>
        </w:rPr>
      </w:pPr>
    </w:p>
    <w:p w14:paraId="39773795">
      <w:pPr>
        <w:pStyle w:val="28"/>
        <w:ind w:firstLine="480"/>
        <w:rPr>
          <w:rFonts w:ascii="方正仿宋_GBK" w:hAnsi="方正仿宋_GBK" w:eastAsia="方正仿宋_GBK" w:cs="方正仿宋_GBK"/>
          <w:color w:val="auto"/>
          <w:highlight w:val="none"/>
        </w:rPr>
      </w:pPr>
    </w:p>
    <w:p w14:paraId="1DFC79BC">
      <w:pPr>
        <w:pStyle w:val="2"/>
        <w:jc w:val="center"/>
        <w:rPr>
          <w:color w:val="auto"/>
          <w:highlight w:val="none"/>
        </w:rPr>
      </w:pPr>
      <w:bookmarkStart w:id="165" w:name="_Toc2599"/>
      <w:bookmarkStart w:id="166" w:name="_Toc10837"/>
      <w:r>
        <w:rPr>
          <w:color w:val="auto"/>
          <w:highlight w:val="none"/>
        </w:rPr>
        <w:br w:type="page"/>
      </w:r>
    </w:p>
    <w:p w14:paraId="2AE93E09">
      <w:pPr>
        <w:pStyle w:val="2"/>
        <w:jc w:val="center"/>
        <w:rPr>
          <w:color w:val="auto"/>
          <w:highlight w:val="none"/>
        </w:rPr>
      </w:pPr>
      <w:r>
        <w:rPr>
          <w:rFonts w:hint="eastAsia"/>
          <w:color w:val="auto"/>
          <w:highlight w:val="none"/>
        </w:rPr>
        <w:t>第七篇  响应文件编制要求</w:t>
      </w:r>
      <w:bookmarkEnd w:id="165"/>
      <w:bookmarkEnd w:id="166"/>
    </w:p>
    <w:p w14:paraId="1BDA48BD">
      <w:pPr>
        <w:pStyle w:val="3"/>
        <w:rPr>
          <w:color w:val="auto"/>
          <w:highlight w:val="none"/>
        </w:rPr>
      </w:pPr>
      <w:bookmarkStart w:id="167" w:name="_Toc31382"/>
      <w:r>
        <w:rPr>
          <w:rFonts w:hint="eastAsia"/>
          <w:color w:val="auto"/>
          <w:highlight w:val="none"/>
        </w:rPr>
        <w:t>一、经济部分</w:t>
      </w:r>
      <w:bookmarkEnd w:id="167"/>
    </w:p>
    <w:p w14:paraId="62DCCC41">
      <w:pPr>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（一）报价函</w:t>
      </w:r>
    </w:p>
    <w:p w14:paraId="40F0531C">
      <w:pPr>
        <w:pStyle w:val="3"/>
        <w:rPr>
          <w:color w:val="auto"/>
          <w:highlight w:val="none"/>
        </w:rPr>
      </w:pPr>
      <w:bookmarkStart w:id="168" w:name="_Toc2397"/>
      <w:r>
        <w:rPr>
          <w:rFonts w:hint="eastAsia"/>
          <w:color w:val="auto"/>
          <w:highlight w:val="none"/>
        </w:rPr>
        <w:t>二、服务部分</w:t>
      </w:r>
      <w:bookmarkEnd w:id="168"/>
    </w:p>
    <w:p w14:paraId="662BAA12">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8"/>
          <w:highlight w:val="none"/>
        </w:rPr>
        <w:t>服务要求应答</w:t>
      </w:r>
    </w:p>
    <w:p w14:paraId="47D6B255">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8"/>
          <w:highlight w:val="none"/>
        </w:rPr>
        <w:t>服务响应偏离表</w:t>
      </w:r>
    </w:p>
    <w:p w14:paraId="2454716A">
      <w:pPr>
        <w:pStyle w:val="3"/>
        <w:rPr>
          <w:color w:val="auto"/>
          <w:highlight w:val="none"/>
        </w:rPr>
      </w:pPr>
      <w:bookmarkStart w:id="169" w:name="_Toc4607"/>
      <w:r>
        <w:rPr>
          <w:rFonts w:hint="eastAsia"/>
          <w:color w:val="auto"/>
          <w:highlight w:val="none"/>
        </w:rPr>
        <w:t>三、商务文件</w:t>
      </w:r>
      <w:bookmarkEnd w:id="169"/>
    </w:p>
    <w:p w14:paraId="4A73E69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14:paraId="2A4EEBD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（二）其它优惠承诺</w:t>
      </w:r>
    </w:p>
    <w:p w14:paraId="34CE40F3">
      <w:pPr>
        <w:pStyle w:val="3"/>
        <w:rPr>
          <w:color w:val="auto"/>
          <w:highlight w:val="none"/>
        </w:rPr>
      </w:pPr>
      <w:bookmarkStart w:id="170" w:name="_Toc6570"/>
      <w:r>
        <w:rPr>
          <w:rFonts w:hint="eastAsia"/>
          <w:color w:val="auto"/>
          <w:highlight w:val="none"/>
        </w:rPr>
        <w:t>四、资格条件及其他</w:t>
      </w:r>
      <w:bookmarkEnd w:id="170"/>
    </w:p>
    <w:p w14:paraId="4C935A7D">
      <w:pPr>
        <w:snapToGrid w:val="0"/>
        <w:spacing w:line="400" w:lineRule="exact"/>
        <w:ind w:left="476" w:leftChars="1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4A2388A2">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3CF27B9D">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099000FF">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6ECE89E1">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（五）特定资格条件证书或证明文件</w:t>
      </w:r>
    </w:p>
    <w:p w14:paraId="366DD63A">
      <w:pPr>
        <w:spacing w:line="360" w:lineRule="auto"/>
        <w:ind w:firstLine="480" w:firstLineChars="200"/>
        <w:rPr>
          <w:rFonts w:ascii="方正仿宋_GBK" w:hAnsi="方正仿宋_GBK" w:eastAsia="方正仿宋_GBK" w:cs="方正仿宋_GBK"/>
          <w:color w:val="auto"/>
          <w:sz w:val="24"/>
          <w:szCs w:val="24"/>
          <w:highlight w:val="none"/>
          <w:bdr w:val="single" w:color="auto" w:sz="4" w:space="0"/>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111CB151">
      <w:pPr>
        <w:pStyle w:val="9"/>
        <w:rPr>
          <w:rFonts w:ascii="方正仿宋_GBK" w:hAnsi="方正仿宋_GBK" w:eastAsia="方正仿宋_GBK" w:cs="方正仿宋_GBK"/>
          <w:color w:val="auto"/>
          <w:szCs w:val="28"/>
          <w:highlight w:val="none"/>
        </w:rPr>
      </w:pPr>
    </w:p>
    <w:p w14:paraId="3A7F158A">
      <w:pPr>
        <w:spacing w:line="312" w:lineRule="auto"/>
        <w:jc w:val="center"/>
        <w:rPr>
          <w:rFonts w:ascii="方正仿宋_GBK" w:hAnsi="方正仿宋_GBK" w:eastAsia="方正仿宋_GBK" w:cs="方正仿宋_GBK"/>
          <w:b/>
          <w:color w:val="auto"/>
          <w:sz w:val="24"/>
          <w:szCs w:val="24"/>
          <w:highlight w:val="none"/>
        </w:rPr>
      </w:pPr>
    </w:p>
    <w:p w14:paraId="0B2F82DC">
      <w:pPr>
        <w:numPr>
          <w:ilvl w:val="0"/>
          <w:numId w:val="6"/>
        </w:numPr>
        <w:rPr>
          <w:color w:val="auto"/>
          <w:highlight w:val="none"/>
        </w:rPr>
      </w:pPr>
      <w:r>
        <w:rPr>
          <w:rFonts w:hint="eastAsia"/>
          <w:color w:val="auto"/>
          <w:highlight w:val="none"/>
        </w:rPr>
        <w:t>经济部分</w:t>
      </w:r>
    </w:p>
    <w:p w14:paraId="6E022CB6">
      <w:pPr>
        <w:rPr>
          <w:rFonts w:ascii="方正仿宋_GBK" w:hAnsi="方正仿宋_GBK" w:eastAsia="方正仿宋_GBK" w:cs="方正仿宋_GBK"/>
          <w:bCs/>
          <w:color w:val="auto"/>
          <w:szCs w:val="24"/>
          <w:highlight w:val="none"/>
        </w:rPr>
      </w:pPr>
      <w:r>
        <w:rPr>
          <w:rFonts w:hint="eastAsia"/>
          <w:color w:val="auto"/>
          <w:sz w:val="24"/>
          <w:szCs w:val="18"/>
          <w:highlight w:val="none"/>
        </w:rPr>
        <w:t>（一）报价函</w:t>
      </w:r>
    </w:p>
    <w:p w14:paraId="4D4F20EB">
      <w:pPr>
        <w:tabs>
          <w:tab w:val="left" w:pos="6300"/>
        </w:tabs>
        <w:snapToGrid w:val="0"/>
        <w:spacing w:line="360" w:lineRule="auto"/>
        <w:ind w:left="14" w:leftChars="5" w:firstLine="611" w:firstLineChars="191"/>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报价函</w:t>
      </w:r>
    </w:p>
    <w:p w14:paraId="6555F747">
      <w:pPr>
        <w:tabs>
          <w:tab w:val="left" w:pos="6300"/>
        </w:tabs>
        <w:snapToGrid w:val="0"/>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（代理机构名称）</w:t>
      </w:r>
      <w:r>
        <w:rPr>
          <w:rFonts w:hint="eastAsia" w:ascii="方正仿宋_GBK" w:hAnsi="方正仿宋_GBK" w:eastAsia="方正仿宋_GBK" w:cs="方正仿宋_GBK"/>
          <w:color w:val="auto"/>
          <w:sz w:val="24"/>
          <w:szCs w:val="24"/>
          <w:highlight w:val="none"/>
        </w:rPr>
        <w:t>：</w:t>
      </w:r>
    </w:p>
    <w:p w14:paraId="65123839">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我方收到____________________________（项目名称）的竞采采购文件，经详细研究，决定参加该项目的竞采。</w:t>
      </w:r>
    </w:p>
    <w:p w14:paraId="049D33A2">
      <w:pPr>
        <w:tabs>
          <w:tab w:val="left" w:pos="6300"/>
        </w:tabs>
        <w:snapToGrid w:val="0"/>
        <w:spacing w:line="360" w:lineRule="auto"/>
        <w:ind w:left="14" w:leftChars="5" w:firstLine="458" w:firstLineChars="191"/>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1、愿意按照竞采采购文件中的一切要求，提供本项目的技术服务，</w:t>
      </w:r>
      <w:r>
        <w:rPr>
          <w:rFonts w:hint="eastAsia" w:ascii="方正仿宋_GBK" w:hAnsi="方正仿宋_GBK" w:eastAsia="方正仿宋_GBK" w:cs="方正仿宋_GBK"/>
          <w:sz w:val="24"/>
          <w:szCs w:val="24"/>
        </w:rPr>
        <w:t>报价为人民币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AAF17F8">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2、我方现提交的响应文件为：响应文件电子文档壹份。</w:t>
      </w:r>
    </w:p>
    <w:p w14:paraId="33CD87F1">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3、我方承诺：本次竞采的有效期为90天。</w:t>
      </w:r>
    </w:p>
    <w:p w14:paraId="1FCDBB5A">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4、我方完全理解和接受贵方竞采采购文件的一切规定和要求及评审办法。</w:t>
      </w:r>
    </w:p>
    <w:p w14:paraId="62B89942">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default" w:ascii="Times New Roman" w:hAnsi="Times New Roman" w:eastAsia="方正仿宋_GBK" w:cs="Times New Roman"/>
          <w:i w:val="0"/>
          <w:iCs w:val="0"/>
          <w:color w:val="auto"/>
          <w:sz w:val="24"/>
          <w:szCs w:val="24"/>
          <w:highlight w:val="none"/>
        </w:rPr>
        <w:t>在整个</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采购过程中，我方若有违规行为，接受按照</w:t>
      </w:r>
      <w:r>
        <w:rPr>
          <w:rFonts w:hint="default" w:ascii="Times New Roman" w:hAnsi="Times New Roman" w:eastAsia="方正仿宋_GBK" w:cs="Times New Roman"/>
          <w:color w:val="auto"/>
          <w:sz w:val="24"/>
          <w:szCs w:val="24"/>
          <w:highlight w:val="none"/>
        </w:rPr>
        <w:t>《中华人民共和国政府采购法》</w:t>
      </w:r>
      <w:r>
        <w:rPr>
          <w:rFonts w:hint="default" w:ascii="Times New Roman" w:hAnsi="Times New Roman" w:eastAsia="方正仿宋_GBK" w:cs="Times New Roman"/>
          <w:i w:val="0"/>
          <w:iCs w:val="0"/>
          <w:color w:val="auto"/>
          <w:sz w:val="24"/>
          <w:szCs w:val="24"/>
          <w:highlight w:val="none"/>
        </w:rPr>
        <w:t>规定给予惩罚。</w:t>
      </w:r>
    </w:p>
    <w:p w14:paraId="13401EBD">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6、我方若中选，将按照竞采结果签订合同，并且严格履行合同义务。本承诺函将成为合同不可分割的一部分，与合同具有同等的法律效力。</w:t>
      </w:r>
    </w:p>
    <w:p w14:paraId="2FB24E97">
      <w:pPr>
        <w:tabs>
          <w:tab w:val="left" w:pos="6300"/>
        </w:tabs>
        <w:snapToGrid w:val="0"/>
        <w:spacing w:line="360" w:lineRule="auto"/>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7、我方理解，最低报价不是成交的唯一条件。</w:t>
      </w:r>
    </w:p>
    <w:p w14:paraId="682FDCC3">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0A6D16F9">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47880BDE">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57A61AC6">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0D549194">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供应商名称（公章）：</w:t>
      </w:r>
    </w:p>
    <w:p w14:paraId="670345DB">
      <w:pPr>
        <w:snapToGrid w:val="0"/>
        <w:spacing w:line="360" w:lineRule="auto"/>
        <w:ind w:firstLine="480" w:firstLineChars="200"/>
        <w:rPr>
          <w:rFonts w:ascii="方正仿宋_GBK" w:hAnsi="方正仿宋_GBK" w:eastAsia="方正仿宋_GBK" w:cs="方正仿宋_GBK"/>
          <w:color w:val="auto"/>
          <w:sz w:val="24"/>
          <w:szCs w:val="24"/>
          <w:highlight w:val="none"/>
        </w:rPr>
        <w:sectPr>
          <w:footerReference r:id="rId7"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highlight w:val="none"/>
        </w:rPr>
        <w:t xml:space="preserve">                                                  年   月   日</w:t>
      </w:r>
    </w:p>
    <w:p w14:paraId="7F3396D7">
      <w:pPr>
        <w:spacing w:line="312" w:lineRule="auto"/>
        <w:rPr>
          <w:rFonts w:ascii="方正仿宋_GBK" w:hAnsi="方正仿宋_GBK" w:eastAsia="方正仿宋_GBK" w:cs="方正仿宋_GBK"/>
          <w:b/>
          <w:color w:val="auto"/>
          <w:sz w:val="24"/>
          <w:szCs w:val="24"/>
          <w:highlight w:val="none"/>
        </w:rPr>
      </w:pPr>
    </w:p>
    <w:p w14:paraId="1263D0A8">
      <w:pPr>
        <w:spacing w:line="312" w:lineRule="auto"/>
        <w:rPr>
          <w:rFonts w:ascii="方正仿宋_GBK" w:hAnsi="方正仿宋_GBK" w:eastAsia="方正仿宋_GBK" w:cs="方正仿宋_GBK"/>
          <w:b/>
          <w:color w:val="auto"/>
          <w:sz w:val="24"/>
          <w:szCs w:val="24"/>
          <w:highlight w:val="none"/>
        </w:rPr>
      </w:pPr>
    </w:p>
    <w:p w14:paraId="59256728">
      <w:pPr>
        <w:spacing w:line="312" w:lineRule="auto"/>
        <w:rPr>
          <w:rFonts w:ascii="方正仿宋_GBK" w:hAnsi="方正仿宋_GBK" w:eastAsia="方正仿宋_GBK" w:cs="方正仿宋_GBK"/>
          <w:b/>
          <w:color w:val="auto"/>
          <w:sz w:val="24"/>
          <w:szCs w:val="24"/>
          <w:highlight w:val="none"/>
        </w:rPr>
      </w:pPr>
    </w:p>
    <w:p w14:paraId="126E907E">
      <w:pPr>
        <w:spacing w:line="312" w:lineRule="auto"/>
        <w:ind w:firstLine="480" w:firstLineChars="200"/>
        <w:rPr>
          <w:rFonts w:ascii="方正仿宋_GBK" w:hAnsi="方正仿宋_GBK" w:eastAsia="方正仿宋_GBK" w:cs="方正仿宋_GBK"/>
          <w:color w:val="auto"/>
          <w:sz w:val="24"/>
          <w:szCs w:val="24"/>
          <w:highlight w:val="none"/>
        </w:rPr>
      </w:pPr>
    </w:p>
    <w:p w14:paraId="471FAF13">
      <w:pPr>
        <w:spacing w:line="312" w:lineRule="auto"/>
        <w:ind w:firstLine="480" w:firstLineChars="200"/>
        <w:rPr>
          <w:rFonts w:ascii="方正仿宋_GBK" w:hAnsi="方正仿宋_GBK" w:eastAsia="方正仿宋_GBK" w:cs="方正仿宋_GBK"/>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DA73841">
      <w:pPr>
        <w:numPr>
          <w:ilvl w:val="0"/>
          <w:numId w:val="6"/>
        </w:numPr>
        <w:snapToGrid w:val="0"/>
        <w:spacing w:line="400" w:lineRule="exact"/>
        <w:rPr>
          <w:rFonts w:ascii="方正仿宋_GBK" w:hAnsi="方正仿宋_GBK" w:eastAsia="方正仿宋_GBK" w:cs="方正仿宋_GBK"/>
          <w:color w:val="auto"/>
          <w:highlight w:val="none"/>
        </w:rPr>
      </w:pPr>
      <w:bookmarkStart w:id="171" w:name="_Toc9090"/>
      <w:bookmarkStart w:id="172" w:name="_Toc486608278"/>
      <w:bookmarkStart w:id="173" w:name="_Toc486585241"/>
      <w:bookmarkStart w:id="174" w:name="_Toc3192"/>
      <w:bookmarkStart w:id="175" w:name="_Toc487204798"/>
      <w:r>
        <w:rPr>
          <w:rFonts w:hint="eastAsia" w:ascii="方正仿宋_GBK" w:hAnsi="方正仿宋_GBK" w:eastAsia="方正仿宋_GBK" w:cs="方正仿宋_GBK"/>
          <w:color w:val="auto"/>
          <w:highlight w:val="none"/>
        </w:rPr>
        <w:t>服务部分</w:t>
      </w:r>
      <w:bookmarkEnd w:id="171"/>
      <w:bookmarkEnd w:id="172"/>
      <w:bookmarkEnd w:id="173"/>
      <w:bookmarkEnd w:id="174"/>
      <w:bookmarkEnd w:id="175"/>
    </w:p>
    <w:p w14:paraId="49ACE5A4">
      <w:pPr>
        <w:snapToGrid w:val="0"/>
        <w:spacing w:line="400" w:lineRule="exact"/>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（一）服务方案</w:t>
      </w:r>
    </w:p>
    <w:p w14:paraId="1BE78B9D">
      <w:pPr>
        <w:rPr>
          <w:rFonts w:ascii="方正仿宋_GBK" w:hAnsi="方正仿宋_GBK" w:eastAsia="方正仿宋_GBK" w:cs="方正仿宋_GBK"/>
          <w:color w:val="auto"/>
          <w:szCs w:val="24"/>
          <w:highlight w:val="none"/>
        </w:rPr>
      </w:pPr>
    </w:p>
    <w:p w14:paraId="41AE297B">
      <w:pPr>
        <w:rPr>
          <w:rFonts w:ascii="方正仿宋_GBK" w:hAnsi="方正仿宋_GBK" w:eastAsia="方正仿宋_GBK" w:cs="方正仿宋_GBK"/>
          <w:color w:val="auto"/>
          <w:sz w:val="24"/>
          <w:szCs w:val="18"/>
          <w:highlight w:val="none"/>
        </w:rPr>
      </w:pPr>
      <w:r>
        <w:rPr>
          <w:rFonts w:ascii="方正仿宋_GBK" w:hAnsi="方正仿宋_GBK" w:eastAsia="方正仿宋_GBK" w:cs="方正仿宋_GBK"/>
          <w:color w:val="auto"/>
          <w:sz w:val="24"/>
          <w:szCs w:val="18"/>
          <w:highlight w:val="none"/>
        </w:rPr>
        <w:br w:type="page"/>
      </w:r>
    </w:p>
    <w:p w14:paraId="788A03D2">
      <w:pPr>
        <w:rPr>
          <w:rFonts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（二）服务条款差异表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DF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DF99EFD">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1"/>
                <w:szCs w:val="21"/>
                <w:highlight w:val="none"/>
              </w:rPr>
              <w:t>序号</w:t>
            </w:r>
          </w:p>
        </w:tc>
        <w:tc>
          <w:tcPr>
            <w:tcW w:w="1542" w:type="pct"/>
            <w:vAlign w:val="center"/>
          </w:tcPr>
          <w:p w14:paraId="77462071">
            <w:pPr>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1600" w:type="pct"/>
            <w:vAlign w:val="center"/>
          </w:tcPr>
          <w:p w14:paraId="63989C91">
            <w:pPr>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9" w:type="pct"/>
            <w:vAlign w:val="center"/>
          </w:tcPr>
          <w:p w14:paraId="24E9AA32">
            <w:pPr>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744D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9C26C7">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148E8DAD">
            <w:pPr>
              <w:jc w:val="center"/>
              <w:rPr>
                <w:rFonts w:ascii="方正仿宋_GBK" w:hAnsi="方正仿宋_GBK" w:eastAsia="方正仿宋_GBK" w:cs="方正仿宋_GBK"/>
                <w:color w:val="auto"/>
                <w:sz w:val="21"/>
                <w:szCs w:val="21"/>
                <w:highlight w:val="none"/>
              </w:rPr>
            </w:pPr>
          </w:p>
        </w:tc>
        <w:tc>
          <w:tcPr>
            <w:tcW w:w="1600" w:type="pct"/>
            <w:vAlign w:val="center"/>
          </w:tcPr>
          <w:p w14:paraId="0B7EA68E">
            <w:pPr>
              <w:jc w:val="center"/>
              <w:rPr>
                <w:rFonts w:ascii="方正仿宋_GBK" w:hAnsi="方正仿宋_GBK" w:eastAsia="方正仿宋_GBK" w:cs="方正仿宋_GBK"/>
                <w:color w:val="auto"/>
                <w:sz w:val="21"/>
                <w:szCs w:val="21"/>
                <w:highlight w:val="none"/>
              </w:rPr>
            </w:pPr>
          </w:p>
        </w:tc>
        <w:tc>
          <w:tcPr>
            <w:tcW w:w="1199" w:type="pct"/>
            <w:vAlign w:val="center"/>
          </w:tcPr>
          <w:p w14:paraId="37DC497F">
            <w:pPr>
              <w:jc w:val="center"/>
              <w:rPr>
                <w:rFonts w:ascii="方正仿宋_GBK" w:hAnsi="方正仿宋_GBK" w:eastAsia="方正仿宋_GBK" w:cs="方正仿宋_GBK"/>
                <w:color w:val="auto"/>
                <w:sz w:val="21"/>
                <w:szCs w:val="21"/>
                <w:highlight w:val="none"/>
              </w:rPr>
            </w:pPr>
          </w:p>
        </w:tc>
      </w:tr>
      <w:tr w14:paraId="6D56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A2E8CD">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59DC3633">
            <w:pPr>
              <w:jc w:val="center"/>
              <w:rPr>
                <w:rFonts w:ascii="方正仿宋_GBK" w:hAnsi="方正仿宋_GBK" w:eastAsia="方正仿宋_GBK" w:cs="方正仿宋_GBK"/>
                <w:color w:val="auto"/>
                <w:sz w:val="21"/>
                <w:szCs w:val="21"/>
                <w:highlight w:val="none"/>
              </w:rPr>
            </w:pPr>
          </w:p>
        </w:tc>
        <w:tc>
          <w:tcPr>
            <w:tcW w:w="1600" w:type="pct"/>
            <w:vAlign w:val="center"/>
          </w:tcPr>
          <w:p w14:paraId="38FD73E1">
            <w:pPr>
              <w:jc w:val="center"/>
              <w:rPr>
                <w:rFonts w:ascii="方正仿宋_GBK" w:hAnsi="方正仿宋_GBK" w:eastAsia="方正仿宋_GBK" w:cs="方正仿宋_GBK"/>
                <w:color w:val="auto"/>
                <w:sz w:val="21"/>
                <w:szCs w:val="21"/>
                <w:highlight w:val="none"/>
              </w:rPr>
            </w:pPr>
          </w:p>
        </w:tc>
        <w:tc>
          <w:tcPr>
            <w:tcW w:w="1199" w:type="pct"/>
            <w:vAlign w:val="center"/>
          </w:tcPr>
          <w:p w14:paraId="0CF22FEE">
            <w:pPr>
              <w:jc w:val="center"/>
              <w:rPr>
                <w:rFonts w:ascii="方正仿宋_GBK" w:hAnsi="方正仿宋_GBK" w:eastAsia="方正仿宋_GBK" w:cs="方正仿宋_GBK"/>
                <w:color w:val="auto"/>
                <w:sz w:val="21"/>
                <w:szCs w:val="21"/>
                <w:highlight w:val="none"/>
              </w:rPr>
            </w:pPr>
          </w:p>
        </w:tc>
      </w:tr>
      <w:tr w14:paraId="0D75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7DAA23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08655311">
            <w:pPr>
              <w:jc w:val="center"/>
              <w:rPr>
                <w:rFonts w:ascii="方正仿宋_GBK" w:hAnsi="方正仿宋_GBK" w:eastAsia="方正仿宋_GBK" w:cs="方正仿宋_GBK"/>
                <w:color w:val="auto"/>
                <w:sz w:val="21"/>
                <w:szCs w:val="21"/>
                <w:highlight w:val="none"/>
              </w:rPr>
            </w:pPr>
          </w:p>
        </w:tc>
        <w:tc>
          <w:tcPr>
            <w:tcW w:w="1600" w:type="pct"/>
            <w:vAlign w:val="center"/>
          </w:tcPr>
          <w:p w14:paraId="154B257D">
            <w:pPr>
              <w:jc w:val="center"/>
              <w:rPr>
                <w:rFonts w:ascii="方正仿宋_GBK" w:hAnsi="方正仿宋_GBK" w:eastAsia="方正仿宋_GBK" w:cs="方正仿宋_GBK"/>
                <w:color w:val="auto"/>
                <w:sz w:val="21"/>
                <w:szCs w:val="21"/>
                <w:highlight w:val="none"/>
              </w:rPr>
            </w:pPr>
          </w:p>
        </w:tc>
        <w:tc>
          <w:tcPr>
            <w:tcW w:w="1199" w:type="pct"/>
            <w:vAlign w:val="center"/>
          </w:tcPr>
          <w:p w14:paraId="4896E19C">
            <w:pPr>
              <w:jc w:val="center"/>
              <w:rPr>
                <w:rFonts w:ascii="方正仿宋_GBK" w:hAnsi="方正仿宋_GBK" w:eastAsia="方正仿宋_GBK" w:cs="方正仿宋_GBK"/>
                <w:color w:val="auto"/>
                <w:sz w:val="21"/>
                <w:szCs w:val="21"/>
                <w:highlight w:val="none"/>
              </w:rPr>
            </w:pPr>
          </w:p>
        </w:tc>
      </w:tr>
      <w:tr w14:paraId="42BD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DB69A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370B2B1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11737AC7">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5B9766FD">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15DE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4C393C4">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3687A29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0D37E52C">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4FD6E0B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202A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9D62C8">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776FE2A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9A42FD6">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74FFB30F">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2947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A5AC40">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240AAB2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A1D3BE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288CF644">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153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24192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3FDFB147">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0BE1570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5874599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2DFD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576F0C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7B65DB85">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64BEC54">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221D5D9C">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3090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65F55B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2" w:type="pct"/>
            <w:vAlign w:val="center"/>
          </w:tcPr>
          <w:p w14:paraId="56F5CF50">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0506B9EC">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9" w:type="pct"/>
            <w:vAlign w:val="center"/>
          </w:tcPr>
          <w:p w14:paraId="6ED003C7">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bl>
    <w:p w14:paraId="57BAF844">
      <w:pPr>
        <w:spacing w:line="500" w:lineRule="exact"/>
        <w:ind w:firstLine="600" w:firstLineChars="25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投标人：                      法定代表人（或法定代表人授权代表）或自然人：</w:t>
      </w:r>
    </w:p>
    <w:p w14:paraId="6916F8AC">
      <w:pPr>
        <w:spacing w:line="500" w:lineRule="exact"/>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7DA2274B">
      <w:pPr>
        <w:spacing w:line="500" w:lineRule="exact"/>
        <w:ind w:firstLine="720" w:firstLineChars="3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（投标人公章）                               （签署或盖章）</w:t>
      </w:r>
    </w:p>
    <w:p w14:paraId="46773356">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0E13D442">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6A11FF6A">
      <w:pPr>
        <w:tabs>
          <w:tab w:val="left" w:pos="6300"/>
        </w:tabs>
        <w:snapToGrid w:val="0"/>
        <w:spacing w:line="500" w:lineRule="exact"/>
        <w:ind w:firstLine="5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项目服务需求”中所列条款进行比较和响应；</w:t>
      </w:r>
    </w:p>
    <w:p w14:paraId="081E09B5">
      <w:pPr>
        <w:tabs>
          <w:tab w:val="left" w:pos="6300"/>
        </w:tabs>
        <w:snapToGrid w:val="0"/>
        <w:spacing w:line="500" w:lineRule="exact"/>
        <w:ind w:firstLine="5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7D2EB7EE">
      <w:pPr>
        <w:tabs>
          <w:tab w:val="left" w:pos="6300"/>
        </w:tabs>
        <w:snapToGrid w:val="0"/>
        <w:spacing w:line="500" w:lineRule="exact"/>
        <w:ind w:firstLine="5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3.可附相关技术（质量）支撑材料。（格式自定）</w:t>
      </w:r>
    </w:p>
    <w:p w14:paraId="77A1CDAE">
      <w:pPr>
        <w:snapToGrid w:val="0"/>
        <w:spacing w:line="400" w:lineRule="exact"/>
        <w:ind w:firstLine="560" w:firstLineChars="2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4"/>
          <w:highlight w:val="none"/>
        </w:rPr>
        <w:br w:type="page"/>
      </w:r>
    </w:p>
    <w:p w14:paraId="132BC727">
      <w:pPr>
        <w:numPr>
          <w:ilvl w:val="0"/>
          <w:numId w:val="6"/>
        </w:numPr>
        <w:spacing w:line="360" w:lineRule="auto"/>
        <w:rPr>
          <w:rFonts w:ascii="方正仿宋_GBK" w:hAnsi="方正仿宋_GBK" w:eastAsia="方正仿宋_GBK" w:cs="方正仿宋_GBK"/>
          <w:color w:val="auto"/>
          <w:highlight w:val="none"/>
        </w:rPr>
      </w:pPr>
      <w:bookmarkStart w:id="176" w:name="_Toc8958"/>
      <w:bookmarkStart w:id="177" w:name="_Toc23523"/>
      <w:bookmarkStart w:id="178" w:name="_Toc22113"/>
      <w:bookmarkStart w:id="179" w:name="_Toc28242"/>
      <w:bookmarkStart w:id="180" w:name="_Toc492721039"/>
      <w:bookmarkStart w:id="181" w:name="_Toc6786"/>
      <w:bookmarkStart w:id="182" w:name="_Toc17290"/>
      <w:bookmarkStart w:id="183" w:name="_Toc32670"/>
      <w:bookmarkStart w:id="184" w:name="_Toc493178791"/>
      <w:bookmarkStart w:id="185" w:name="_Toc4362"/>
      <w:bookmarkStart w:id="186" w:name="_Toc5573"/>
      <w:bookmarkStart w:id="187" w:name="_Toc106030419"/>
      <w:bookmarkStart w:id="188" w:name="_Toc14954"/>
      <w:bookmarkStart w:id="189" w:name="_Toc26494"/>
      <w:bookmarkStart w:id="190" w:name="_Toc10372"/>
      <w:bookmarkStart w:id="191" w:name="_Toc7069"/>
      <w:bookmarkStart w:id="192" w:name="_Toc75793542"/>
      <w:bookmarkStart w:id="193" w:name="_Toc30496"/>
      <w:r>
        <w:rPr>
          <w:rFonts w:hint="eastAsia" w:ascii="方正仿宋_GBK" w:hAnsi="方正仿宋_GBK" w:eastAsia="方正仿宋_GBK" w:cs="方正仿宋_GBK"/>
          <w:color w:val="auto"/>
          <w:highlight w:val="none"/>
        </w:rPr>
        <w:t>商务文件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DFBF0D0">
      <w:pPr>
        <w:rPr>
          <w:rFonts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（一）商务条款偏离表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1635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7F2CDF45">
            <w:pPr>
              <w:rPr>
                <w:rFonts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序号</w:t>
            </w:r>
          </w:p>
        </w:tc>
        <w:tc>
          <w:tcPr>
            <w:tcW w:w="1541" w:type="pct"/>
            <w:vAlign w:val="center"/>
          </w:tcPr>
          <w:p w14:paraId="101AAFE2">
            <w:pPr>
              <w:rPr>
                <w:rFonts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招标商务要求</w:t>
            </w:r>
          </w:p>
        </w:tc>
        <w:tc>
          <w:tcPr>
            <w:tcW w:w="1600" w:type="pct"/>
            <w:vAlign w:val="center"/>
          </w:tcPr>
          <w:p w14:paraId="042A3353">
            <w:pPr>
              <w:rPr>
                <w:rFonts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投标商务应答</w:t>
            </w:r>
          </w:p>
        </w:tc>
        <w:tc>
          <w:tcPr>
            <w:tcW w:w="1198" w:type="pct"/>
            <w:vAlign w:val="center"/>
          </w:tcPr>
          <w:p w14:paraId="77BCE238">
            <w:pPr>
              <w:rPr>
                <w:rFonts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差异说明</w:t>
            </w:r>
          </w:p>
        </w:tc>
      </w:tr>
      <w:tr w14:paraId="2629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202DE89">
            <w:pPr>
              <w:rPr>
                <w:rFonts w:ascii="方正仿宋_GBK" w:hAnsi="方正仿宋_GBK" w:eastAsia="方正仿宋_GBK" w:cs="方正仿宋_GBK"/>
                <w:color w:val="auto"/>
                <w:sz w:val="22"/>
                <w:szCs w:val="16"/>
                <w:highlight w:val="none"/>
              </w:rPr>
            </w:pPr>
          </w:p>
        </w:tc>
        <w:tc>
          <w:tcPr>
            <w:tcW w:w="1541" w:type="pct"/>
            <w:vAlign w:val="center"/>
          </w:tcPr>
          <w:p w14:paraId="64DECAC9">
            <w:pPr>
              <w:rPr>
                <w:rFonts w:ascii="方正仿宋_GBK" w:hAnsi="方正仿宋_GBK" w:eastAsia="方正仿宋_GBK" w:cs="方正仿宋_GBK"/>
                <w:color w:val="auto"/>
                <w:sz w:val="22"/>
                <w:szCs w:val="16"/>
                <w:highlight w:val="none"/>
              </w:rPr>
            </w:pPr>
          </w:p>
        </w:tc>
        <w:tc>
          <w:tcPr>
            <w:tcW w:w="1600" w:type="pct"/>
            <w:vAlign w:val="center"/>
          </w:tcPr>
          <w:p w14:paraId="6AC6FB70">
            <w:pPr>
              <w:rPr>
                <w:rFonts w:ascii="方正仿宋_GBK" w:hAnsi="方正仿宋_GBK" w:eastAsia="方正仿宋_GBK" w:cs="方正仿宋_GBK"/>
                <w:color w:val="auto"/>
                <w:sz w:val="22"/>
                <w:szCs w:val="16"/>
                <w:highlight w:val="none"/>
              </w:rPr>
            </w:pPr>
          </w:p>
        </w:tc>
        <w:tc>
          <w:tcPr>
            <w:tcW w:w="1198" w:type="pct"/>
            <w:vAlign w:val="center"/>
          </w:tcPr>
          <w:p w14:paraId="20F11A61">
            <w:pPr>
              <w:rPr>
                <w:rFonts w:ascii="方正仿宋_GBK" w:hAnsi="方正仿宋_GBK" w:eastAsia="方正仿宋_GBK" w:cs="方正仿宋_GBK"/>
                <w:color w:val="auto"/>
                <w:sz w:val="22"/>
                <w:szCs w:val="16"/>
                <w:highlight w:val="none"/>
              </w:rPr>
            </w:pPr>
          </w:p>
        </w:tc>
      </w:tr>
      <w:tr w14:paraId="4A71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4A53223F">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3B2C0803">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77A8F775">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62AAEC1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0717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B78D44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6D3D60C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50743F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3A91AF4D">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3B00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A92C5B">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6FAECE7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0EBEC1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2738C045">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3630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30A40B3">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19ACA5F3">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3884AA0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5BC6AAA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4450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0BDF461A">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3E8EF353">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032FE0E6">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644789F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7708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0E236AD">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6F0F57B5">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40E928F6">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3BE088E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1EDB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160F652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155599B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6FB576B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71339E0F">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56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FC3488">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787F9B05">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554C93F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550F210F">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7B47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1CF6D53">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79764481">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277E01C9">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056DAA6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767D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3FCDE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05CE1020">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6C3CE927">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2914076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r w14:paraId="6D89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C15D3E">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541" w:type="pct"/>
            <w:vAlign w:val="center"/>
          </w:tcPr>
          <w:p w14:paraId="7BA93752">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600" w:type="pct"/>
            <w:vAlign w:val="center"/>
          </w:tcPr>
          <w:p w14:paraId="73FE5020">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c>
          <w:tcPr>
            <w:tcW w:w="1198" w:type="pct"/>
            <w:vAlign w:val="center"/>
          </w:tcPr>
          <w:p w14:paraId="71B51769">
            <w:pPr>
              <w:tabs>
                <w:tab w:val="left" w:pos="6300"/>
              </w:tabs>
              <w:snapToGrid w:val="0"/>
              <w:spacing w:line="500" w:lineRule="exact"/>
              <w:jc w:val="center"/>
              <w:rPr>
                <w:rFonts w:ascii="方正仿宋_GBK" w:hAnsi="方正仿宋_GBK" w:eastAsia="方正仿宋_GBK" w:cs="方正仿宋_GBK"/>
                <w:color w:val="auto"/>
                <w:sz w:val="21"/>
                <w:szCs w:val="21"/>
                <w:highlight w:val="none"/>
              </w:rPr>
            </w:pPr>
          </w:p>
        </w:tc>
      </w:tr>
    </w:tbl>
    <w:p w14:paraId="75B0FCE1">
      <w:pPr>
        <w:spacing w:line="500" w:lineRule="exact"/>
        <w:ind w:firstLine="600" w:firstLineChars="250"/>
        <w:rPr>
          <w:rFonts w:ascii="方正仿宋_GBK" w:hAnsi="方正仿宋_GBK" w:eastAsia="方正仿宋_GBK" w:cs="方正仿宋_GBK"/>
          <w:color w:val="auto"/>
          <w:sz w:val="24"/>
          <w:szCs w:val="28"/>
          <w:highlight w:val="none"/>
        </w:rPr>
      </w:pPr>
    </w:p>
    <w:p w14:paraId="75211900">
      <w:pPr>
        <w:spacing w:line="500" w:lineRule="exact"/>
        <w:ind w:firstLine="600" w:firstLineChars="25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投标人：                     法定代表人（或法定代表人授权代表）或自然人：</w:t>
      </w:r>
    </w:p>
    <w:p w14:paraId="182BA714">
      <w:pPr>
        <w:spacing w:line="500" w:lineRule="exact"/>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（投标人公章）                               （签署或盖章）</w:t>
      </w:r>
    </w:p>
    <w:p w14:paraId="3757108A">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275DBC07">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401EF44A">
      <w:pPr>
        <w:tabs>
          <w:tab w:val="left" w:pos="6300"/>
        </w:tabs>
        <w:snapToGrid w:val="0"/>
        <w:spacing w:line="500" w:lineRule="exact"/>
        <w:ind w:firstLine="57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项目商务需求”中所列条款进行比较和响应；</w:t>
      </w:r>
    </w:p>
    <w:p w14:paraId="505E2096">
      <w:pPr>
        <w:tabs>
          <w:tab w:val="left" w:pos="6300"/>
        </w:tabs>
        <w:snapToGrid w:val="0"/>
        <w:spacing w:line="500" w:lineRule="exact"/>
        <w:ind w:firstLine="57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2.本表可扩展。</w:t>
      </w:r>
    </w:p>
    <w:p w14:paraId="34A68F6B">
      <w:pPr>
        <w:tabs>
          <w:tab w:val="left" w:pos="6300"/>
        </w:tabs>
        <w:snapToGrid w:val="0"/>
        <w:spacing w:line="500" w:lineRule="exact"/>
        <w:ind w:firstLine="560" w:firstLineChars="2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 w:val="24"/>
          <w:szCs w:val="28"/>
          <w:highlight w:val="none"/>
        </w:rPr>
        <w:t>（二）其他优惠承诺</w:t>
      </w:r>
    </w:p>
    <w:p w14:paraId="05474437">
      <w:pPr>
        <w:tabs>
          <w:tab w:val="left" w:pos="6300"/>
        </w:tabs>
        <w:snapToGrid w:val="0"/>
        <w:spacing w:line="500" w:lineRule="exact"/>
        <w:rPr>
          <w:rFonts w:ascii="方正仿宋_GBK" w:hAnsi="方正仿宋_GBK" w:eastAsia="方正仿宋_GBK" w:cs="方正仿宋_GBK"/>
          <w:color w:val="auto"/>
          <w:sz w:val="24"/>
          <w:highlight w:val="none"/>
        </w:rPr>
      </w:pPr>
    </w:p>
    <w:p w14:paraId="42C34C40">
      <w:pPr>
        <w:rPr>
          <w:color w:val="auto"/>
          <w:highlight w:val="none"/>
        </w:rPr>
      </w:pPr>
      <w:bookmarkStart w:id="194" w:name="_Toc26381"/>
      <w:bookmarkStart w:id="195" w:name="_Toc6108"/>
      <w:bookmarkStart w:id="196" w:name="_Toc12509"/>
      <w:bookmarkStart w:id="197" w:name="_Toc16577"/>
      <w:bookmarkStart w:id="198" w:name="_Toc492721038"/>
      <w:bookmarkStart w:id="199" w:name="_Toc75793544"/>
      <w:bookmarkStart w:id="200" w:name="_Toc106030421"/>
      <w:bookmarkStart w:id="201" w:name="_Toc23187"/>
      <w:bookmarkStart w:id="202" w:name="_Toc493178793"/>
      <w:bookmarkStart w:id="203" w:name="_Toc4000"/>
      <w:bookmarkStart w:id="204" w:name="_Toc17848"/>
      <w:bookmarkStart w:id="205" w:name="_Toc13249"/>
      <w:bookmarkStart w:id="206" w:name="_Toc17829"/>
      <w:bookmarkStart w:id="207" w:name="_Toc28432"/>
      <w:bookmarkStart w:id="208" w:name="_Toc11324"/>
      <w:bookmarkStart w:id="209" w:name="_Toc30818"/>
      <w:bookmarkStart w:id="210" w:name="_Toc21121"/>
      <w:r>
        <w:rPr>
          <w:color w:val="auto"/>
          <w:highlight w:val="none"/>
        </w:rPr>
        <w:br w:type="page"/>
      </w:r>
    </w:p>
    <w:p w14:paraId="63C91496">
      <w:pPr>
        <w:rPr>
          <w:rFonts w:ascii="方正仿宋_GBK" w:hAnsi="方正仿宋_GBK" w:eastAsia="方正仿宋_GBK" w:cs="方正仿宋_GBK"/>
          <w:b/>
          <w:color w:val="auto"/>
          <w:szCs w:val="28"/>
          <w:highlight w:val="none"/>
        </w:rPr>
      </w:pPr>
      <w:r>
        <w:rPr>
          <w:rFonts w:hint="eastAsia"/>
          <w:color w:val="auto"/>
          <w:highlight w:val="none"/>
        </w:rPr>
        <w:t>四、资格</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color w:val="auto"/>
          <w:highlight w:val="none"/>
        </w:rPr>
        <w:t>条件及其他</w:t>
      </w:r>
    </w:p>
    <w:p w14:paraId="711EE8C4">
      <w:pPr>
        <w:spacing w:line="400" w:lineRule="exact"/>
        <w:ind w:firstLine="480" w:firstLineChars="2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（一）法人营业执照（副本）或事业单位法人证书（副本）或个体工商户营业执照或有效的自然人身份证明或社会团体法人登记证书复印件</w:t>
      </w:r>
    </w:p>
    <w:p w14:paraId="728487C3">
      <w:pPr>
        <w:tabs>
          <w:tab w:val="left" w:pos="6300"/>
        </w:tabs>
        <w:snapToGrid w:val="0"/>
        <w:spacing w:line="500" w:lineRule="exact"/>
        <w:ind w:firstLine="570"/>
        <w:rPr>
          <w:rFonts w:ascii="方正仿宋_GBK" w:hAnsi="方正仿宋_GBK" w:eastAsia="方正仿宋_GBK" w:cs="方正仿宋_GBK"/>
          <w:color w:val="auto"/>
          <w:highlight w:val="none"/>
        </w:rPr>
      </w:pPr>
    </w:p>
    <w:p w14:paraId="22F575EF">
      <w:pPr>
        <w:tabs>
          <w:tab w:val="left" w:pos="6300"/>
        </w:tabs>
        <w:snapToGrid w:val="0"/>
        <w:spacing w:line="500" w:lineRule="exact"/>
        <w:ind w:firstLine="570"/>
        <w:rPr>
          <w:rFonts w:ascii="方正仿宋_GBK" w:hAnsi="方正仿宋_GBK" w:eastAsia="方正仿宋_GBK" w:cs="方正仿宋_GBK"/>
          <w:color w:val="auto"/>
          <w:highlight w:val="none"/>
        </w:rPr>
      </w:pPr>
    </w:p>
    <w:p w14:paraId="2D0F4383">
      <w:pPr>
        <w:tabs>
          <w:tab w:val="left" w:pos="6300"/>
        </w:tabs>
        <w:snapToGrid w:val="0"/>
        <w:spacing w:line="500" w:lineRule="exact"/>
        <w:ind w:firstLine="570"/>
        <w:rPr>
          <w:rFonts w:ascii="方正仿宋_GBK" w:hAnsi="方正仿宋_GBK" w:eastAsia="方正仿宋_GBK" w:cs="方正仿宋_GBK"/>
          <w:color w:val="auto"/>
          <w:highlight w:val="none"/>
        </w:rPr>
      </w:pPr>
    </w:p>
    <w:p w14:paraId="6FDB6A43">
      <w:pPr>
        <w:tabs>
          <w:tab w:val="left" w:pos="6300"/>
        </w:tabs>
        <w:snapToGrid w:val="0"/>
        <w:spacing w:line="500" w:lineRule="exact"/>
        <w:ind w:firstLine="570"/>
        <w:rPr>
          <w:rFonts w:ascii="方正仿宋_GBK" w:hAnsi="方正仿宋_GBK" w:eastAsia="方正仿宋_GBK" w:cs="方正仿宋_GBK"/>
          <w:color w:val="auto"/>
          <w:highlight w:val="none"/>
        </w:rPr>
      </w:pPr>
    </w:p>
    <w:p w14:paraId="3FC50201">
      <w:pPr>
        <w:tabs>
          <w:tab w:val="left" w:pos="6300"/>
        </w:tabs>
        <w:snapToGrid w:val="0"/>
        <w:spacing w:line="500" w:lineRule="exact"/>
        <w:ind w:firstLine="570"/>
        <w:rPr>
          <w:rFonts w:ascii="方正仿宋_GBK" w:hAnsi="方正仿宋_GBK" w:eastAsia="方正仿宋_GBK" w:cs="方正仿宋_GBK"/>
          <w:color w:val="auto"/>
          <w:highlight w:val="none"/>
        </w:rPr>
      </w:pPr>
    </w:p>
    <w:p w14:paraId="4B886029">
      <w:pPr>
        <w:tabs>
          <w:tab w:val="left" w:pos="6300"/>
        </w:tabs>
        <w:snapToGrid w:val="0"/>
        <w:spacing w:line="5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r>
        <w:rPr>
          <w:rFonts w:hint="eastAsia" w:ascii="方正仿宋_GBK" w:hAnsi="方正仿宋_GBK" w:eastAsia="方正仿宋_GBK" w:cs="方正仿宋_GBK"/>
          <w:color w:val="auto"/>
          <w:sz w:val="24"/>
          <w:highlight w:val="none"/>
        </w:rPr>
        <w:t>（二）法定代表人身份证明书（格式）</w:t>
      </w:r>
    </w:p>
    <w:p w14:paraId="3F7B0A79">
      <w:pPr>
        <w:tabs>
          <w:tab w:val="left" w:pos="6300"/>
        </w:tabs>
        <w:snapToGrid w:val="0"/>
        <w:spacing w:line="500" w:lineRule="exact"/>
        <w:rPr>
          <w:rFonts w:ascii="方正仿宋_GBK" w:hAnsi="方正仿宋_GBK" w:eastAsia="方正仿宋_GBK" w:cs="方正仿宋_GBK"/>
          <w:color w:val="auto"/>
          <w:sz w:val="24"/>
          <w:highlight w:val="none"/>
        </w:rPr>
      </w:pPr>
    </w:p>
    <w:p w14:paraId="25EA64A0">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招标项目名称：</w:t>
      </w:r>
      <w:r>
        <w:rPr>
          <w:rFonts w:hint="eastAsia" w:ascii="方正仿宋_GBK" w:hAnsi="方正仿宋_GBK" w:eastAsia="方正仿宋_GBK" w:cs="方正仿宋_GBK"/>
          <w:color w:val="auto"/>
          <w:sz w:val="24"/>
          <w:highlight w:val="none"/>
          <w:u w:val="single"/>
        </w:rPr>
        <w:t xml:space="preserve">                                                </w:t>
      </w:r>
    </w:p>
    <w:p w14:paraId="7821EB19">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0062FBB2">
      <w:pPr>
        <w:tabs>
          <w:tab w:val="left" w:pos="6300"/>
        </w:tabs>
        <w:snapToGrid w:val="0"/>
        <w:spacing w:line="5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055E25C9">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（法定代表人姓名）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（性别）在</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（投标人名称）任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（职务名称）职务，是（投标人名称）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的法定代表人。</w:t>
      </w:r>
    </w:p>
    <w:p w14:paraId="4A1F5CE4">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1431641F">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6FA9A3E1">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1AF6EB8C">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6D131E66">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投标人：</w:t>
      </w:r>
    </w:p>
    <w:p w14:paraId="6BAA5DF5">
      <w:pPr>
        <w:tabs>
          <w:tab w:val="left" w:pos="6300"/>
        </w:tabs>
        <w:snapToGrid w:val="0"/>
        <w:spacing w:line="500" w:lineRule="exact"/>
        <w:ind w:firstLine="5848" w:firstLineChars="2437"/>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（投标人公章）</w:t>
      </w:r>
    </w:p>
    <w:p w14:paraId="12647F4A">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74FEB755">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6EB9E9F7">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法定代表人电话：XXXXXXX      电子邮箱：XXXXXX@XXXXX（若授权他人办理并签署投标文件的可不填写）</w:t>
      </w:r>
    </w:p>
    <w:p w14:paraId="3FF42AE6">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1EAD39B3">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184AF79D">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4881E92B">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64FB4F90">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5145084E">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5E9FC58E">
      <w:pPr>
        <w:snapToGrid w:val="0"/>
        <w:spacing w:line="48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319F19DD">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5F7BD612">
      <w:pPr>
        <w:snapToGrid w:val="0"/>
        <w:spacing w:line="480" w:lineRule="exact"/>
        <w:ind w:firstLine="480" w:firstLineChars="200"/>
        <w:rPr>
          <w:rFonts w:ascii="仿宋" w:hAnsi="仿宋" w:eastAsia="仿宋" w:cs="仿宋"/>
          <w:color w:val="auto"/>
          <w:sz w:val="24"/>
          <w:szCs w:val="24"/>
          <w:highlight w:val="none"/>
        </w:rPr>
      </w:pPr>
    </w:p>
    <w:p w14:paraId="7DA071FE">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81C4A49">
      <w:pPr>
        <w:snapToGrid w:val="0"/>
        <w:spacing w:line="480" w:lineRule="exact"/>
        <w:ind w:firstLine="480" w:firstLineChars="200"/>
        <w:rPr>
          <w:rFonts w:ascii="仿宋" w:hAnsi="仿宋" w:eastAsia="仿宋" w:cs="仿宋"/>
          <w:color w:val="auto"/>
          <w:sz w:val="24"/>
          <w:szCs w:val="24"/>
          <w:highlight w:val="none"/>
        </w:rPr>
      </w:pPr>
    </w:p>
    <w:p w14:paraId="13E26743">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7EE078F9">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（被授权人姓名及身份证号码）代表我单位全权办理上述项目的网上竞采、签约等具体工作，并签署全部有关文件、协议及合同。</w:t>
      </w:r>
    </w:p>
    <w:p w14:paraId="37F1162D">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6C55B9AB">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7407981">
      <w:pPr>
        <w:snapToGrid w:val="0"/>
        <w:spacing w:line="480" w:lineRule="exact"/>
        <w:ind w:firstLine="480" w:firstLineChars="200"/>
        <w:rPr>
          <w:rFonts w:ascii="仿宋" w:hAnsi="仿宋" w:eastAsia="仿宋" w:cs="仿宋"/>
          <w:color w:val="auto"/>
          <w:sz w:val="24"/>
          <w:szCs w:val="24"/>
          <w:highlight w:val="none"/>
        </w:rPr>
      </w:pPr>
    </w:p>
    <w:p w14:paraId="278A5AD2">
      <w:pPr>
        <w:snapToGrid w:val="0"/>
        <w:spacing w:line="480" w:lineRule="exact"/>
        <w:ind w:firstLine="480" w:firstLineChars="200"/>
        <w:rPr>
          <w:rFonts w:ascii="仿宋" w:hAnsi="仿宋" w:eastAsia="仿宋" w:cs="仿宋"/>
          <w:color w:val="auto"/>
          <w:sz w:val="24"/>
          <w:szCs w:val="24"/>
          <w:highlight w:val="none"/>
        </w:rPr>
      </w:pPr>
    </w:p>
    <w:p w14:paraId="4F74F473">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613EB2B3">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C7EAC14">
      <w:pPr>
        <w:snapToGrid w:val="0"/>
        <w:spacing w:line="480" w:lineRule="exact"/>
        <w:ind w:firstLine="480" w:firstLineChars="200"/>
        <w:rPr>
          <w:rFonts w:ascii="仿宋" w:hAnsi="仿宋" w:eastAsia="仿宋" w:cs="仿宋"/>
          <w:color w:val="auto"/>
          <w:sz w:val="24"/>
          <w:szCs w:val="24"/>
          <w:highlight w:val="none"/>
        </w:rPr>
      </w:pPr>
    </w:p>
    <w:p w14:paraId="4BDE1509">
      <w:pPr>
        <w:snapToGrid w:val="0"/>
        <w:spacing w:line="480" w:lineRule="exact"/>
        <w:ind w:firstLine="480" w:firstLineChars="200"/>
        <w:rPr>
          <w:rFonts w:ascii="仿宋" w:hAnsi="仿宋" w:eastAsia="仿宋" w:cs="仿宋"/>
          <w:color w:val="auto"/>
          <w:sz w:val="24"/>
          <w:szCs w:val="24"/>
          <w:highlight w:val="none"/>
        </w:rPr>
      </w:pPr>
    </w:p>
    <w:p w14:paraId="65E3BBCD">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（附：被授权人、法定代表人身份证正反面）</w:t>
      </w:r>
    </w:p>
    <w:p w14:paraId="450B9FCF">
      <w:pPr>
        <w:snapToGrid w:val="0"/>
        <w:spacing w:line="480" w:lineRule="exact"/>
        <w:ind w:firstLine="480" w:firstLineChars="200"/>
        <w:rPr>
          <w:rFonts w:ascii="仿宋" w:hAnsi="仿宋" w:eastAsia="仿宋" w:cs="仿宋"/>
          <w:color w:val="auto"/>
          <w:sz w:val="24"/>
          <w:szCs w:val="24"/>
          <w:highlight w:val="none"/>
        </w:rPr>
      </w:pPr>
    </w:p>
    <w:p w14:paraId="1E49E9E7">
      <w:pPr>
        <w:snapToGrid w:val="0"/>
        <w:spacing w:line="480" w:lineRule="exact"/>
        <w:ind w:firstLine="240" w:firstLineChars="100"/>
        <w:rPr>
          <w:rFonts w:ascii="仿宋" w:hAnsi="仿宋" w:eastAsia="仿宋" w:cs="仿宋"/>
          <w:color w:val="auto"/>
          <w:sz w:val="24"/>
          <w:szCs w:val="24"/>
          <w:highlight w:val="none"/>
        </w:rPr>
      </w:pPr>
    </w:p>
    <w:p w14:paraId="7AD6D13A">
      <w:pPr>
        <w:snapToGrid w:val="0"/>
        <w:spacing w:line="480" w:lineRule="exact"/>
        <w:ind w:firstLine="240" w:firstLineChars="100"/>
        <w:rPr>
          <w:rFonts w:ascii="仿宋" w:hAnsi="仿宋" w:eastAsia="仿宋" w:cs="仿宋"/>
          <w:color w:val="auto"/>
          <w:sz w:val="24"/>
          <w:szCs w:val="24"/>
          <w:highlight w:val="none"/>
        </w:rPr>
      </w:pPr>
    </w:p>
    <w:p w14:paraId="3BDA3DD6">
      <w:pPr>
        <w:snapToGrid w:val="0"/>
        <w:spacing w:line="480" w:lineRule="exact"/>
        <w:ind w:firstLine="240" w:firstLineChars="1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20B8C6BD">
      <w:pPr>
        <w:snapToGrid w:val="0"/>
        <w:spacing w:line="480" w:lineRule="exact"/>
        <w:ind w:firstLine="240" w:firstLineChars="1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B6FE4D6">
      <w:pPr>
        <w:snapToGrid w:val="0"/>
        <w:spacing w:line="480" w:lineRule="exact"/>
        <w:ind w:firstLine="240" w:firstLineChars="100"/>
        <w:rPr>
          <w:rFonts w:ascii="仿宋" w:hAnsi="仿宋" w:eastAsia="仿宋" w:cs="仿宋"/>
          <w:color w:val="auto"/>
          <w:sz w:val="24"/>
          <w:szCs w:val="24"/>
          <w:highlight w:val="none"/>
        </w:rPr>
      </w:pPr>
    </w:p>
    <w:p w14:paraId="303FF4CE">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14:paraId="7684B1EB">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1EA1C10">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1.若为法定代表人办理并签署响应文件的，不提供此文件。</w:t>
      </w:r>
    </w:p>
    <w:p w14:paraId="237E6321">
      <w:pPr>
        <w:tabs>
          <w:tab w:val="left" w:pos="6300"/>
        </w:tabs>
        <w:snapToGrid w:val="0"/>
        <w:spacing w:line="500" w:lineRule="exact"/>
        <w:ind w:firstLine="570"/>
        <w:rPr>
          <w:rFonts w:ascii="方正仿宋_GBK" w:hAnsi="方正仿宋_GBK" w:eastAsia="方正仿宋_GBK" w:cs="方正仿宋_GBK"/>
          <w:color w:val="auto"/>
          <w:sz w:val="24"/>
          <w:highlight w:val="none"/>
        </w:rPr>
      </w:pPr>
    </w:p>
    <w:p w14:paraId="43E38279">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br w:type="page"/>
      </w:r>
    </w:p>
    <w:p w14:paraId="64D64825">
      <w:pPr>
        <w:tabs>
          <w:tab w:val="left" w:pos="6300"/>
        </w:tabs>
        <w:snapToGrid w:val="0"/>
        <w:spacing w:line="500" w:lineRule="exact"/>
        <w:ind w:firstLine="57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（四）基本资格条件承诺函</w:t>
      </w:r>
    </w:p>
    <w:p w14:paraId="39A9A934">
      <w:pPr>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基本资格条件承诺函</w:t>
      </w:r>
    </w:p>
    <w:p w14:paraId="7CED7D28">
      <w:pPr>
        <w:tabs>
          <w:tab w:val="left" w:pos="6300"/>
        </w:tabs>
        <w:snapToGrid w:val="0"/>
        <w:spacing w:line="530" w:lineRule="exact"/>
        <w:rPr>
          <w:rFonts w:ascii="方正仿宋_GBK" w:hAnsi="方正仿宋_GBK" w:eastAsia="方正仿宋_GBK" w:cs="方正仿宋_GBK"/>
          <w:color w:val="auto"/>
          <w:sz w:val="24"/>
          <w:highlight w:val="none"/>
        </w:rPr>
      </w:pPr>
    </w:p>
    <w:p w14:paraId="258B8FBD">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6E24A420">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（投标人名称）郑重承诺：</w:t>
      </w:r>
    </w:p>
    <w:p w14:paraId="0626A685">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highlight w:val="none"/>
          <w:lang w:val="zh-CN"/>
        </w:rPr>
        <w:t>有依法缴纳税收和社会保障金的良好记录</w:t>
      </w:r>
      <w:r>
        <w:rPr>
          <w:rFonts w:hint="eastAsia" w:ascii="方正仿宋_GBK" w:hAnsi="方正仿宋_GBK" w:eastAsia="方正仿宋_GBK" w:cs="方正仿宋_GBK"/>
          <w:color w:val="auto"/>
          <w:sz w:val="24"/>
          <w:highlight w:val="none"/>
        </w:rPr>
        <w:t>，参加本项目采购活动前三年内无重大违法活动记录。</w:t>
      </w:r>
    </w:p>
    <w:p w14:paraId="1F344D9B">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0E1C1A6">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2DA7CD12">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7FEAE8BE">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03F4CBFD">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p>
    <w:p w14:paraId="04AF715A">
      <w:pPr>
        <w:tabs>
          <w:tab w:val="left" w:pos="6300"/>
        </w:tabs>
        <w:snapToGrid w:val="0"/>
        <w:spacing w:line="500" w:lineRule="exact"/>
        <w:ind w:firstLine="480" w:firstLineChars="200"/>
        <w:jc w:val="righ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（投标人公章）</w:t>
      </w:r>
    </w:p>
    <w:p w14:paraId="6BF43ED4">
      <w:pPr>
        <w:tabs>
          <w:tab w:val="left" w:pos="6300"/>
        </w:tabs>
        <w:snapToGrid w:val="0"/>
        <w:spacing w:line="500" w:lineRule="exact"/>
        <w:ind w:firstLine="480" w:firstLineChars="200"/>
        <w:jc w:val="righ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6EF1244C">
      <w:pPr>
        <w:snapToGrid w:val="0"/>
        <w:spacing w:line="440" w:lineRule="exact"/>
        <w:ind w:firstLine="480" w:firstLineChars="200"/>
        <w:rPr>
          <w:rFonts w:ascii="方正仿宋_GBK" w:hAnsi="方正仿宋_GBK" w:eastAsia="方正仿宋_GBK" w:cs="方正仿宋_GBK"/>
          <w:color w:val="auto"/>
          <w:sz w:val="24"/>
          <w:szCs w:val="24"/>
          <w:highlight w:val="none"/>
        </w:rPr>
      </w:pPr>
    </w:p>
    <w:p w14:paraId="12535EB6">
      <w:pPr>
        <w:spacing w:line="400" w:lineRule="exact"/>
        <w:rPr>
          <w:rFonts w:ascii="方正仿宋_GBK" w:hAnsi="方正仿宋_GBK" w:eastAsia="方正仿宋_GBK" w:cs="方正仿宋_GBK"/>
          <w:color w:val="auto"/>
          <w:highlight w:val="none"/>
        </w:rPr>
      </w:pPr>
    </w:p>
    <w:p w14:paraId="5175D14D">
      <w:pPr>
        <w:spacing w:line="400" w:lineRule="exact"/>
        <w:rPr>
          <w:rFonts w:ascii="方正仿宋_GBK" w:hAnsi="方正仿宋_GBK" w:eastAsia="方正仿宋_GBK" w:cs="方正仿宋_GBK"/>
          <w:color w:val="auto"/>
          <w:highlight w:val="none"/>
        </w:rPr>
      </w:pPr>
    </w:p>
    <w:p w14:paraId="209DFA25">
      <w:pPr>
        <w:spacing w:line="400" w:lineRule="exact"/>
        <w:rPr>
          <w:rFonts w:ascii="方正仿宋_GBK" w:hAnsi="方正仿宋_GBK" w:eastAsia="方正仿宋_GBK" w:cs="方正仿宋_GBK"/>
          <w:color w:val="auto"/>
          <w:highlight w:val="none"/>
        </w:rPr>
      </w:pPr>
    </w:p>
    <w:p w14:paraId="424D12EA">
      <w:pPr>
        <w:spacing w:line="400" w:lineRule="exact"/>
        <w:rPr>
          <w:rFonts w:ascii="方正仿宋_GBK" w:hAnsi="方正仿宋_GBK" w:eastAsia="方正仿宋_GBK" w:cs="方正仿宋_GBK"/>
          <w:color w:val="auto"/>
          <w:highlight w:val="none"/>
        </w:rPr>
      </w:pPr>
    </w:p>
    <w:p w14:paraId="5B21BDC4">
      <w:pPr>
        <w:spacing w:line="400" w:lineRule="exact"/>
        <w:rPr>
          <w:rFonts w:ascii="方正仿宋_GBK" w:hAnsi="方正仿宋_GBK" w:eastAsia="方正仿宋_GBK" w:cs="方正仿宋_GBK"/>
          <w:color w:val="auto"/>
          <w:highlight w:val="none"/>
        </w:rPr>
      </w:pPr>
    </w:p>
    <w:p w14:paraId="53E77DE5">
      <w:pPr>
        <w:spacing w:line="400" w:lineRule="exact"/>
        <w:rPr>
          <w:rFonts w:ascii="方正仿宋_GBK" w:hAnsi="方正仿宋_GBK" w:eastAsia="方正仿宋_GBK" w:cs="方正仿宋_GBK"/>
          <w:color w:val="auto"/>
          <w:highlight w:val="none"/>
        </w:rPr>
      </w:pPr>
    </w:p>
    <w:p w14:paraId="64D96B5B">
      <w:pPr>
        <w:spacing w:line="400" w:lineRule="exact"/>
        <w:rPr>
          <w:rFonts w:ascii="方正仿宋_GBK" w:hAnsi="方正仿宋_GBK" w:eastAsia="方正仿宋_GBK" w:cs="方正仿宋_GBK"/>
          <w:color w:val="auto"/>
          <w:highlight w:val="none"/>
        </w:rPr>
      </w:pPr>
    </w:p>
    <w:p w14:paraId="309BF3A3">
      <w:pPr>
        <w:spacing w:line="400" w:lineRule="exact"/>
        <w:rPr>
          <w:rFonts w:ascii="方正仿宋_GBK" w:hAnsi="方正仿宋_GBK" w:eastAsia="方正仿宋_GBK" w:cs="方正仿宋_GBK"/>
          <w:color w:val="auto"/>
          <w:highlight w:val="none"/>
        </w:rPr>
      </w:pPr>
    </w:p>
    <w:p w14:paraId="2D7A5F64">
      <w:pPr>
        <w:tabs>
          <w:tab w:val="left" w:pos="6300"/>
        </w:tabs>
        <w:snapToGrid w:val="0"/>
        <w:spacing w:line="500" w:lineRule="exact"/>
        <w:ind w:firstLine="480" w:firstLineChars="200"/>
        <w:rPr>
          <w:rFonts w:ascii="方正仿宋_GBK" w:hAnsi="方正仿宋_GBK" w:eastAsia="方正仿宋_GBK" w:cs="方正仿宋_GBK"/>
          <w:color w:val="auto"/>
          <w:sz w:val="24"/>
          <w:szCs w:val="28"/>
          <w:highlight w:val="none"/>
        </w:rPr>
      </w:pPr>
    </w:p>
    <w:p w14:paraId="008587D1">
      <w:pPr>
        <w:tabs>
          <w:tab w:val="left" w:pos="6300"/>
        </w:tabs>
        <w:snapToGrid w:val="0"/>
        <w:spacing w:line="500" w:lineRule="exact"/>
        <w:ind w:firstLine="480" w:firstLineChars="200"/>
        <w:rPr>
          <w:rFonts w:ascii="方正仿宋_GBK" w:hAnsi="方正仿宋_GBK" w:eastAsia="方正仿宋_GBK" w:cs="方正仿宋_GBK"/>
          <w:color w:val="auto"/>
          <w:sz w:val="24"/>
          <w:szCs w:val="28"/>
          <w:highlight w:val="none"/>
        </w:rPr>
      </w:pPr>
    </w:p>
    <w:p w14:paraId="1A3A82E4">
      <w:pPr>
        <w:tabs>
          <w:tab w:val="left" w:pos="6300"/>
        </w:tabs>
        <w:snapToGrid w:val="0"/>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（五）特定资格条件证书或证明文件</w:t>
      </w:r>
    </w:p>
    <w:p w14:paraId="639C276F">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49F7B005">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7DEA7F6C">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14D7301F">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1A198EF2">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3AAC2B8F">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6421FA33">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6A31AD20">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6BE901EB">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7126C287">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68469AA2">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79E6694F">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594D2DCC">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5A92BD8A">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72704B4D">
      <w:pPr>
        <w:tabs>
          <w:tab w:val="left" w:pos="6300"/>
        </w:tabs>
        <w:snapToGrid w:val="0"/>
        <w:spacing w:line="500" w:lineRule="exact"/>
        <w:ind w:firstLine="570"/>
        <w:jc w:val="left"/>
        <w:rPr>
          <w:rFonts w:ascii="方正仿宋_GBK" w:hAnsi="方正仿宋_GBK" w:eastAsia="方正仿宋_GBK" w:cs="方正仿宋_GBK"/>
          <w:color w:val="auto"/>
          <w:sz w:val="24"/>
          <w:highlight w:val="none"/>
        </w:rPr>
      </w:pPr>
    </w:p>
    <w:p w14:paraId="0940E0D9">
      <w:pPr>
        <w:tabs>
          <w:tab w:val="left" w:pos="6300"/>
        </w:tabs>
        <w:snapToGrid w:val="0"/>
        <w:spacing w:line="500" w:lineRule="exact"/>
        <w:jc w:val="left"/>
        <w:rPr>
          <w:rFonts w:ascii="方正仿宋_GBK" w:hAnsi="方正仿宋_GBK" w:eastAsia="方正仿宋_GBK" w:cs="方正仿宋_GBK"/>
          <w:color w:val="auto"/>
          <w:sz w:val="24"/>
          <w:highlight w:val="none"/>
        </w:rPr>
      </w:pPr>
    </w:p>
    <w:p w14:paraId="5C5170CD">
      <w:pPr>
        <w:pStyle w:val="9"/>
        <w:jc w:val="center"/>
        <w:rPr>
          <w:color w:val="auto"/>
          <w:highlight w:val="none"/>
        </w:rPr>
      </w:pPr>
      <w:r>
        <w:rPr>
          <w:rFonts w:hint="eastAsia"/>
          <w:color w:val="auto"/>
          <w:highlight w:val="none"/>
        </w:rPr>
        <w:t>（结束）</w:t>
      </w:r>
    </w:p>
    <w:p w14:paraId="0FBBEC2A">
      <w:pPr>
        <w:pStyle w:val="6"/>
        <w:ind w:left="560"/>
        <w:rPr>
          <w:rFonts w:ascii="方正仿宋_GBK" w:hAnsi="方正仿宋_GBK" w:eastAsia="方正仿宋_GBK" w:cs="方正仿宋_GBK"/>
          <w:color w:val="auto"/>
          <w:sz w:val="24"/>
          <w:szCs w:val="24"/>
          <w:highlight w:val="none"/>
        </w:rPr>
      </w:pPr>
    </w:p>
    <w:p w14:paraId="4B98F1D7">
      <w:pPr>
        <w:rPr>
          <w:rFonts w:ascii="方正仿宋_GBK" w:hAnsi="方正仿宋_GBK" w:eastAsia="方正仿宋_GBK" w:cs="方正仿宋_GBK"/>
          <w:color w:val="auto"/>
          <w:sz w:val="24"/>
          <w:szCs w:val="24"/>
          <w:highlight w:val="none"/>
        </w:rPr>
      </w:pPr>
    </w:p>
    <w:p w14:paraId="74AEF001">
      <w:pPr>
        <w:pStyle w:val="6"/>
        <w:ind w:left="560"/>
        <w:rPr>
          <w:rFonts w:ascii="方正仿宋_GBK" w:hAnsi="方正仿宋_GBK" w:eastAsia="方正仿宋_GBK" w:cs="方正仿宋_GBK"/>
          <w:color w:val="auto"/>
          <w:sz w:val="24"/>
          <w:szCs w:val="24"/>
          <w:highlight w:val="none"/>
        </w:rPr>
      </w:pPr>
    </w:p>
    <w:p w14:paraId="70423F6A">
      <w:pPr>
        <w:rPr>
          <w:rFonts w:ascii="方正仿宋_GBK" w:hAnsi="方正仿宋_GBK" w:eastAsia="方正仿宋_GBK" w:cs="方正仿宋_GBK"/>
          <w:color w:val="auto"/>
          <w:sz w:val="24"/>
          <w:szCs w:val="24"/>
          <w:highlight w:val="none"/>
        </w:rPr>
      </w:pPr>
    </w:p>
    <w:p w14:paraId="2D085F23">
      <w:pPr>
        <w:pStyle w:val="6"/>
        <w:ind w:left="560"/>
        <w:rPr>
          <w:rFonts w:ascii="方正仿宋_GBK" w:hAnsi="方正仿宋_GBK" w:eastAsia="方正仿宋_GBK" w:cs="方正仿宋_GBK"/>
          <w:color w:val="auto"/>
          <w:sz w:val="24"/>
          <w:szCs w:val="24"/>
          <w:highlight w:val="none"/>
        </w:rPr>
      </w:pPr>
    </w:p>
    <w:p w14:paraId="4309A2ED">
      <w:pPr>
        <w:rPr>
          <w:rFonts w:ascii="方正仿宋_GBK" w:hAnsi="方正仿宋_GBK" w:eastAsia="方正仿宋_GBK" w:cs="方正仿宋_GBK"/>
          <w:color w:val="auto"/>
          <w:sz w:val="24"/>
          <w:szCs w:val="24"/>
          <w:highlight w:val="none"/>
        </w:rPr>
      </w:pPr>
    </w:p>
    <w:p w14:paraId="50786589">
      <w:pPr>
        <w:pStyle w:val="6"/>
        <w:ind w:left="560"/>
        <w:rPr>
          <w:rFonts w:ascii="方正仿宋_GBK" w:hAnsi="方正仿宋_GBK" w:eastAsia="方正仿宋_GBK" w:cs="方正仿宋_GBK"/>
          <w:color w:val="auto"/>
          <w:sz w:val="24"/>
          <w:szCs w:val="24"/>
          <w:highlight w:val="none"/>
        </w:rPr>
      </w:pPr>
    </w:p>
    <w:p w14:paraId="2BE403A0">
      <w:pPr>
        <w:rPr>
          <w:rFonts w:ascii="方正仿宋_GBK" w:hAnsi="方正仿宋_GBK" w:eastAsia="方正仿宋_GBK" w:cs="方正仿宋_GBK"/>
          <w:color w:val="auto"/>
          <w:sz w:val="24"/>
          <w:szCs w:val="24"/>
          <w:highlight w:val="none"/>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548F370-7457-4942-A237-DF85D88AE45A}"/>
  </w:font>
  <w:font w:name="Tahoma">
    <w:panose1 w:val="020B0604030504040204"/>
    <w:charset w:val="00"/>
    <w:family w:val="swiss"/>
    <w:pitch w:val="default"/>
    <w:sig w:usb0="E1002EFF" w:usb1="C000605B" w:usb2="00000029" w:usb3="00000000" w:csb0="200101FF" w:csb1="20280000"/>
  </w:font>
  <w:font w:name="宋体 ( 正文 )">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2" w:fontKey="{0F3B85F2-5363-45DB-B7CA-81DDD6F04169}"/>
  </w:font>
  <w:font w:name="方正仿宋_GB2312">
    <w:panose1 w:val="02000000000000000000"/>
    <w:charset w:val="86"/>
    <w:family w:val="auto"/>
    <w:pitch w:val="default"/>
    <w:sig w:usb0="A00002BF" w:usb1="184F6CFA" w:usb2="00000012" w:usb3="00000000" w:csb0="00040001" w:csb1="00000000"/>
    <w:embedRegular r:id="rId3" w:fontKey="{E1AB884F-7453-4E66-9849-6B046C9B48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DDB7">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75F0">
    <w:pPr>
      <w:pStyle w:val="15"/>
      <w:framePr w:wrap="around" w:vAnchor="text" w:hAnchor="margin" w:xAlign="center" w:y="1"/>
      <w:rPr>
        <w:rStyle w:val="24"/>
      </w:rPr>
    </w:pPr>
    <w:r>
      <w:fldChar w:fldCharType="begin"/>
    </w:r>
    <w:r>
      <w:rPr>
        <w:rStyle w:val="24"/>
      </w:rPr>
      <w:instrText xml:space="preserve">PAGE  </w:instrText>
    </w:r>
    <w:r>
      <w:fldChar w:fldCharType="end"/>
    </w:r>
  </w:p>
  <w:p w14:paraId="044C5811">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95BE">
    <w:pPr>
      <w:pStyle w:val="15"/>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9F56F">
                          <w:pPr>
                            <w:pStyle w:val="15"/>
                          </w:pPr>
                          <w:r>
                            <w:fldChar w:fldCharType="begin"/>
                          </w:r>
                          <w:r>
                            <w:instrText xml:space="preserve"> PAGE  \* MERGEFORMAT </w:instrText>
                          </w:r>
                          <w:r>
                            <w:fldChar w:fldCharType="separate"/>
                          </w:r>
                          <w:r>
                            <w:t>- 15 -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479F56F">
                    <w:pPr>
                      <w:pStyle w:val="1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B49B">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4171">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53C24171">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664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860A5EF">
                          <w:pPr>
                            <w:pStyle w:val="1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4860A5EF">
                    <w:pPr>
                      <w:pStyle w:val="1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- 22 -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4610">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51103989">
                          <w:pPr>
                            <w:pStyle w:val="1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51103989">
                    <w:pPr>
                      <w:pStyle w:val="1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50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2A3A">
    <w:pPr>
      <w:pStyle w:val="1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7AB3">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C9202"/>
    <w:multiLevelType w:val="singleLevel"/>
    <w:tmpl w:val="9B0C9202"/>
    <w:lvl w:ilvl="0" w:tentative="0">
      <w:start w:val="1"/>
      <w:numFmt w:val="decimal"/>
      <w:suff w:val="space"/>
      <w:lvlText w:val="%1."/>
      <w:lvlJc w:val="left"/>
    </w:lvl>
  </w:abstractNum>
  <w:abstractNum w:abstractNumId="1">
    <w:nsid w:val="0E6C586A"/>
    <w:multiLevelType w:val="singleLevel"/>
    <w:tmpl w:val="0E6C586A"/>
    <w:lvl w:ilvl="0" w:tentative="0">
      <w:start w:val="2"/>
      <w:numFmt w:val="chineseCounting"/>
      <w:suff w:val="nothing"/>
      <w:lvlText w:val="（%1）"/>
      <w:lvlJc w:val="left"/>
      <w:rPr>
        <w:rFonts w:hint="eastAsia"/>
      </w:rPr>
    </w:lvl>
  </w:abstractNum>
  <w:abstractNum w:abstractNumId="2">
    <w:nsid w:val="483CD81B"/>
    <w:multiLevelType w:val="singleLevel"/>
    <w:tmpl w:val="483CD81B"/>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77ABF0D0"/>
    <w:multiLevelType w:val="singleLevel"/>
    <w:tmpl w:val="77ABF0D0"/>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GUyNTkzN2JmZWY3ZGNiZjA5YmE1MGM1OTIwM2EifQ=="/>
  </w:docVars>
  <w:rsids>
    <w:rsidRoot w:val="4DEF5E83"/>
    <w:rsid w:val="002A0829"/>
    <w:rsid w:val="002D01E3"/>
    <w:rsid w:val="003000AB"/>
    <w:rsid w:val="00315FC9"/>
    <w:rsid w:val="003229F9"/>
    <w:rsid w:val="004A3B1B"/>
    <w:rsid w:val="005F4542"/>
    <w:rsid w:val="00651ADC"/>
    <w:rsid w:val="007C3AC1"/>
    <w:rsid w:val="009266AD"/>
    <w:rsid w:val="00C3413E"/>
    <w:rsid w:val="00CF6B2B"/>
    <w:rsid w:val="00D02170"/>
    <w:rsid w:val="00D54920"/>
    <w:rsid w:val="00E93B74"/>
    <w:rsid w:val="00EB07BF"/>
    <w:rsid w:val="00EF4BCC"/>
    <w:rsid w:val="00F941FA"/>
    <w:rsid w:val="010131A7"/>
    <w:rsid w:val="01782C45"/>
    <w:rsid w:val="037E30D1"/>
    <w:rsid w:val="03A70F25"/>
    <w:rsid w:val="03AC20C9"/>
    <w:rsid w:val="042E69E2"/>
    <w:rsid w:val="056E4905"/>
    <w:rsid w:val="057332A8"/>
    <w:rsid w:val="05AE345A"/>
    <w:rsid w:val="073C3631"/>
    <w:rsid w:val="075C5102"/>
    <w:rsid w:val="09B34850"/>
    <w:rsid w:val="0FD45313"/>
    <w:rsid w:val="102B7629"/>
    <w:rsid w:val="10484AE2"/>
    <w:rsid w:val="106877E7"/>
    <w:rsid w:val="116544B1"/>
    <w:rsid w:val="11B20170"/>
    <w:rsid w:val="13540CE3"/>
    <w:rsid w:val="13EA4945"/>
    <w:rsid w:val="14054265"/>
    <w:rsid w:val="14AE0CDA"/>
    <w:rsid w:val="15344EF4"/>
    <w:rsid w:val="15770AE8"/>
    <w:rsid w:val="15981F0D"/>
    <w:rsid w:val="16646293"/>
    <w:rsid w:val="17AE6E7B"/>
    <w:rsid w:val="1957287E"/>
    <w:rsid w:val="1A8D63A9"/>
    <w:rsid w:val="1B210BF7"/>
    <w:rsid w:val="1BB6167F"/>
    <w:rsid w:val="1C4865E5"/>
    <w:rsid w:val="1C8B4B07"/>
    <w:rsid w:val="1CD048C1"/>
    <w:rsid w:val="1D925B8A"/>
    <w:rsid w:val="1E2B7565"/>
    <w:rsid w:val="1F7405B1"/>
    <w:rsid w:val="20F47C1C"/>
    <w:rsid w:val="219D08AB"/>
    <w:rsid w:val="225856E4"/>
    <w:rsid w:val="22A232C6"/>
    <w:rsid w:val="232C638A"/>
    <w:rsid w:val="236723EA"/>
    <w:rsid w:val="24AA7567"/>
    <w:rsid w:val="258242A3"/>
    <w:rsid w:val="25893620"/>
    <w:rsid w:val="273A22E0"/>
    <w:rsid w:val="276B71D6"/>
    <w:rsid w:val="27BF5BC8"/>
    <w:rsid w:val="28D12092"/>
    <w:rsid w:val="28DF032D"/>
    <w:rsid w:val="2A91313C"/>
    <w:rsid w:val="2B09772F"/>
    <w:rsid w:val="2B172940"/>
    <w:rsid w:val="2CFE2B46"/>
    <w:rsid w:val="2EC918E0"/>
    <w:rsid w:val="2EC93486"/>
    <w:rsid w:val="311F3A57"/>
    <w:rsid w:val="31590030"/>
    <w:rsid w:val="3268462F"/>
    <w:rsid w:val="328F34B6"/>
    <w:rsid w:val="32B011BC"/>
    <w:rsid w:val="35246EC1"/>
    <w:rsid w:val="3547648D"/>
    <w:rsid w:val="356544C7"/>
    <w:rsid w:val="35987B8D"/>
    <w:rsid w:val="3789228D"/>
    <w:rsid w:val="37967EAF"/>
    <w:rsid w:val="37E8296A"/>
    <w:rsid w:val="37FD732F"/>
    <w:rsid w:val="38B73F9A"/>
    <w:rsid w:val="39704576"/>
    <w:rsid w:val="3979525D"/>
    <w:rsid w:val="39A24859"/>
    <w:rsid w:val="3A34533A"/>
    <w:rsid w:val="3AAF3477"/>
    <w:rsid w:val="3AB160D5"/>
    <w:rsid w:val="3ADC6040"/>
    <w:rsid w:val="3D561EA3"/>
    <w:rsid w:val="3D6E2D89"/>
    <w:rsid w:val="3D753879"/>
    <w:rsid w:val="3D7D2A20"/>
    <w:rsid w:val="3DBE08A9"/>
    <w:rsid w:val="3E9A0C6C"/>
    <w:rsid w:val="3EF0645B"/>
    <w:rsid w:val="3FB026E8"/>
    <w:rsid w:val="41684B4C"/>
    <w:rsid w:val="419F6289"/>
    <w:rsid w:val="42D842DA"/>
    <w:rsid w:val="42D85185"/>
    <w:rsid w:val="42FC4EA8"/>
    <w:rsid w:val="43FA7557"/>
    <w:rsid w:val="46B3312C"/>
    <w:rsid w:val="489925D5"/>
    <w:rsid w:val="49027FE8"/>
    <w:rsid w:val="49CA74E0"/>
    <w:rsid w:val="49E369F5"/>
    <w:rsid w:val="4B594059"/>
    <w:rsid w:val="4BCA6B34"/>
    <w:rsid w:val="4C770C39"/>
    <w:rsid w:val="4C8C608C"/>
    <w:rsid w:val="4D0104F9"/>
    <w:rsid w:val="4D0F047A"/>
    <w:rsid w:val="4DEF5E83"/>
    <w:rsid w:val="4F0516BA"/>
    <w:rsid w:val="4F2307E8"/>
    <w:rsid w:val="4F977F9F"/>
    <w:rsid w:val="4FD322A6"/>
    <w:rsid w:val="4FE45692"/>
    <w:rsid w:val="504852D5"/>
    <w:rsid w:val="50690566"/>
    <w:rsid w:val="5186459D"/>
    <w:rsid w:val="51C75820"/>
    <w:rsid w:val="525C5004"/>
    <w:rsid w:val="52B007B9"/>
    <w:rsid w:val="52FD2E8D"/>
    <w:rsid w:val="535A7887"/>
    <w:rsid w:val="53CD66E0"/>
    <w:rsid w:val="53FC7CF7"/>
    <w:rsid w:val="55062E8C"/>
    <w:rsid w:val="55CB16B9"/>
    <w:rsid w:val="56A54175"/>
    <w:rsid w:val="570858F2"/>
    <w:rsid w:val="57C230D5"/>
    <w:rsid w:val="57DC0F5F"/>
    <w:rsid w:val="58530075"/>
    <w:rsid w:val="588C08D1"/>
    <w:rsid w:val="5A180D4E"/>
    <w:rsid w:val="5B1A4B8F"/>
    <w:rsid w:val="5B8F3C7E"/>
    <w:rsid w:val="5C1B56E0"/>
    <w:rsid w:val="5C5251DF"/>
    <w:rsid w:val="5DFE04B3"/>
    <w:rsid w:val="5E3378EA"/>
    <w:rsid w:val="5EFC065E"/>
    <w:rsid w:val="5F30008D"/>
    <w:rsid w:val="5F6D28B1"/>
    <w:rsid w:val="5F8A758F"/>
    <w:rsid w:val="5FE536D5"/>
    <w:rsid w:val="60E7004C"/>
    <w:rsid w:val="614F3918"/>
    <w:rsid w:val="61515E49"/>
    <w:rsid w:val="6232470C"/>
    <w:rsid w:val="64264155"/>
    <w:rsid w:val="645F49F1"/>
    <w:rsid w:val="65F06D2C"/>
    <w:rsid w:val="66703E52"/>
    <w:rsid w:val="66BB2590"/>
    <w:rsid w:val="66E203D8"/>
    <w:rsid w:val="671B7922"/>
    <w:rsid w:val="677F153E"/>
    <w:rsid w:val="690946BA"/>
    <w:rsid w:val="6AE04B74"/>
    <w:rsid w:val="6AF01C56"/>
    <w:rsid w:val="6C710B23"/>
    <w:rsid w:val="6C8C621F"/>
    <w:rsid w:val="6DAE086E"/>
    <w:rsid w:val="6E1E4550"/>
    <w:rsid w:val="6F443096"/>
    <w:rsid w:val="6F5778B8"/>
    <w:rsid w:val="707D659C"/>
    <w:rsid w:val="70D21129"/>
    <w:rsid w:val="70E51287"/>
    <w:rsid w:val="71AF55B6"/>
    <w:rsid w:val="72241019"/>
    <w:rsid w:val="74862A98"/>
    <w:rsid w:val="74C668ED"/>
    <w:rsid w:val="75F05AFC"/>
    <w:rsid w:val="76BC6D48"/>
    <w:rsid w:val="777110D9"/>
    <w:rsid w:val="791553F6"/>
    <w:rsid w:val="799B1910"/>
    <w:rsid w:val="7A145B25"/>
    <w:rsid w:val="7A373298"/>
    <w:rsid w:val="7A41363F"/>
    <w:rsid w:val="7A542AC5"/>
    <w:rsid w:val="7B5628D6"/>
    <w:rsid w:val="7C025669"/>
    <w:rsid w:val="7C331A1A"/>
    <w:rsid w:val="7C4C02E1"/>
    <w:rsid w:val="7C7D2A53"/>
    <w:rsid w:val="7E032594"/>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sz w:val="28"/>
    </w:rPr>
  </w:style>
  <w:style w:type="paragraph" w:styleId="8">
    <w:name w:val="annotation text"/>
    <w:basedOn w:val="1"/>
    <w:qFormat/>
    <w:uiPriority w:val="0"/>
    <w:pPr>
      <w:jc w:val="left"/>
    </w:pPr>
  </w:style>
  <w:style w:type="paragraph" w:styleId="9">
    <w:name w:val="Body Text"/>
    <w:basedOn w:val="1"/>
    <w:next w:val="1"/>
    <w:autoRedefine/>
    <w:qFormat/>
    <w:uiPriority w:val="0"/>
    <w:rPr>
      <w:rFonts w:ascii="仿宋_GB2312" w:eastAsia="仿宋_GB2312"/>
      <w:sz w:val="32"/>
    </w:rPr>
  </w:style>
  <w:style w:type="paragraph" w:styleId="10">
    <w:name w:val="Body Text Indent"/>
    <w:basedOn w:val="1"/>
    <w:autoRedefine/>
    <w:qFormat/>
    <w:uiPriority w:val="0"/>
    <w:pPr>
      <w:spacing w:line="700" w:lineRule="exact"/>
      <w:ind w:left="960"/>
    </w:pPr>
    <w:rPr>
      <w:sz w:val="44"/>
    </w:rPr>
  </w:style>
  <w:style w:type="paragraph" w:styleId="1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0"/>
    <w:pPr>
      <w:spacing w:line="180" w:lineRule="auto"/>
      <w:jc w:val="center"/>
    </w:pPr>
    <w:rPr>
      <w:sz w:val="30"/>
    </w:rPr>
  </w:style>
  <w:style w:type="paragraph" w:styleId="18">
    <w:name w:val="List"/>
    <w:basedOn w:val="1"/>
    <w:autoRedefine/>
    <w:semiHidden/>
    <w:qFormat/>
    <w:uiPriority w:val="0"/>
    <w:pPr>
      <w:ind w:left="200" w:hanging="200" w:hangingChars="200"/>
    </w:pPr>
  </w:style>
  <w:style w:type="paragraph" w:styleId="19">
    <w:name w:val="toc 2"/>
    <w:basedOn w:val="1"/>
    <w:next w:val="1"/>
    <w:qFormat/>
    <w:uiPriority w:val="0"/>
    <w:pPr>
      <w:ind w:left="420" w:leftChars="200"/>
    </w:pPr>
  </w:style>
  <w:style w:type="paragraph" w:styleId="20">
    <w:name w:val="Normal (Web)"/>
    <w:basedOn w:val="1"/>
    <w:qFormat/>
    <w:uiPriority w:val="0"/>
    <w:rPr>
      <w:sz w:val="24"/>
    </w:rPr>
  </w:style>
  <w:style w:type="character" w:styleId="23">
    <w:name w:val="Strong"/>
    <w:basedOn w:val="22"/>
    <w:qFormat/>
    <w:uiPriority w:val="0"/>
    <w:rPr>
      <w:b/>
    </w:rPr>
  </w:style>
  <w:style w:type="character" w:styleId="24">
    <w:name w:val="page number"/>
    <w:basedOn w:val="22"/>
    <w:autoRedefine/>
    <w:qFormat/>
    <w:uiPriority w:val="0"/>
  </w:style>
  <w:style w:type="character" w:styleId="25">
    <w:name w:val="Emphasis"/>
    <w:basedOn w:val="22"/>
    <w:qFormat/>
    <w:uiPriority w:val="0"/>
    <w:rPr>
      <w:i/>
    </w:rPr>
  </w:style>
  <w:style w:type="character" w:styleId="26">
    <w:name w:val="Hyperlink"/>
    <w:basedOn w:val="22"/>
    <w:autoRedefine/>
    <w:qFormat/>
    <w:uiPriority w:val="0"/>
    <w:rPr>
      <w:color w:val="0000FF"/>
      <w:u w:val="single"/>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标题 4 字符"/>
    <w:basedOn w:val="22"/>
    <w:link w:val="5"/>
    <w:semiHidden/>
    <w:qFormat/>
    <w:uiPriority w:val="0"/>
    <w:rPr>
      <w:rFonts w:asciiTheme="majorHAnsi" w:hAnsiTheme="majorHAnsi" w:eastAsiaTheme="majorEastAsia" w:cstheme="majorBidi"/>
      <w:b/>
      <w:bCs/>
      <w:kern w:val="2"/>
      <w:sz w:val="28"/>
      <w:szCs w:val="28"/>
    </w:rPr>
  </w:style>
  <w:style w:type="paragraph" w:customStyle="1" w:styleId="3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35">
    <w:name w:val="font81"/>
    <w:basedOn w:val="22"/>
    <w:qFormat/>
    <w:uiPriority w:val="0"/>
    <w:rPr>
      <w:rFonts w:hint="eastAsia" w:ascii="宋体" w:hAnsi="宋体" w:eastAsia="宋体" w:cs="宋体"/>
      <w:b/>
      <w:bCs/>
      <w:color w:val="000000"/>
      <w:sz w:val="22"/>
      <w:szCs w:val="22"/>
      <w:u w:val="none"/>
    </w:rPr>
  </w:style>
  <w:style w:type="character" w:customStyle="1" w:styleId="36">
    <w:name w:val="font61"/>
    <w:basedOn w:val="22"/>
    <w:qFormat/>
    <w:uiPriority w:val="0"/>
    <w:rPr>
      <w:rFonts w:hint="eastAsia" w:ascii="宋体" w:hAnsi="宋体" w:eastAsia="宋体" w:cs="宋体"/>
      <w:color w:val="000000"/>
      <w:sz w:val="22"/>
      <w:szCs w:val="22"/>
      <w:u w:val="none"/>
    </w:rPr>
  </w:style>
  <w:style w:type="character" w:customStyle="1" w:styleId="37">
    <w:name w:val="font21"/>
    <w:basedOn w:val="22"/>
    <w:qFormat/>
    <w:uiPriority w:val="0"/>
    <w:rPr>
      <w:rFonts w:hint="eastAsia" w:ascii="宋体" w:hAnsi="宋体" w:eastAsia="宋体" w:cs="宋体"/>
      <w:color w:val="000000"/>
      <w:sz w:val="22"/>
      <w:szCs w:val="22"/>
      <w:u w:val="none"/>
    </w:rPr>
  </w:style>
  <w:style w:type="character" w:customStyle="1" w:styleId="38">
    <w:name w:val="font41"/>
    <w:basedOn w:val="22"/>
    <w:qFormat/>
    <w:uiPriority w:val="0"/>
    <w:rPr>
      <w:rFonts w:hint="eastAsia" w:ascii="宋体" w:hAnsi="宋体" w:eastAsia="宋体" w:cs="宋体"/>
      <w:b/>
      <w:bCs/>
      <w:color w:val="000000"/>
      <w:sz w:val="22"/>
      <w:szCs w:val="22"/>
      <w:u w:val="none"/>
    </w:rPr>
  </w:style>
  <w:style w:type="character" w:customStyle="1" w:styleId="39">
    <w:name w:val="font11"/>
    <w:basedOn w:val="22"/>
    <w:qFormat/>
    <w:uiPriority w:val="0"/>
    <w:rPr>
      <w:rFonts w:hint="default" w:ascii="宋体 ( 正文 )" w:hAnsi="宋体 ( 正文 )" w:eastAsia="宋体 ( 正文 )" w:cs="宋体 ( 正文 )"/>
      <w:color w:val="000000"/>
      <w:sz w:val="22"/>
      <w:szCs w:val="22"/>
      <w:u w:val="none"/>
    </w:rPr>
  </w:style>
  <w:style w:type="character" w:customStyle="1" w:styleId="40">
    <w:name w:val="font101"/>
    <w:basedOn w:val="22"/>
    <w:qFormat/>
    <w:uiPriority w:val="0"/>
    <w:rPr>
      <w:rFonts w:ascii="Microsoft YaHei UI" w:hAnsi="Microsoft YaHei UI" w:eastAsia="Microsoft YaHei UI" w:cs="Microsoft YaHei UI"/>
      <w:color w:val="000000"/>
      <w:sz w:val="22"/>
      <w:szCs w:val="22"/>
      <w:u w:val="none"/>
    </w:rPr>
  </w:style>
  <w:style w:type="character" w:customStyle="1" w:styleId="41">
    <w:name w:val="font31"/>
    <w:basedOn w:val="22"/>
    <w:qFormat/>
    <w:uiPriority w:val="0"/>
    <w:rPr>
      <w:rFonts w:hint="default" w:ascii="宋体 ( 正文 )" w:hAnsi="宋体 ( 正文 )" w:eastAsia="宋体 ( 正文 )" w:cs="宋体 ( 正文 )"/>
      <w:b/>
      <w:bCs/>
      <w:color w:val="000000"/>
      <w:sz w:val="22"/>
      <w:szCs w:val="22"/>
      <w:u w:val="none"/>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22829</Words>
  <Characters>23383</Characters>
  <Lines>91</Lines>
  <Paragraphs>25</Paragraphs>
  <TotalTime>68</TotalTime>
  <ScaleCrop>false</ScaleCrop>
  <LinksUpToDate>false</LinksUpToDate>
  <CharactersWithSpaces>23872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x、crazy</cp:lastModifiedBy>
  <cp:lastPrinted>2024-05-24T04:05:00Z</cp:lastPrinted>
  <dcterms:modified xsi:type="dcterms:W3CDTF">2025-05-08T01:35:24Z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BF520821A3E64D7A9F5BF2E61853C396_13</vt:lpwstr>
  </property>
  <property fmtid="{D5CDD505-2E9C-101B-9397-08002B2CF9AE}" pid="4" name="KSOTemplateDocerSaveRecord">
    <vt:lpwstr>eyJoZGlkIjoiOGUwNmVkY2MwZGI1N2ZhMzU5YzdmOTJmOGQ0ZGEyZDkiLCJ1c2VySWQiOiI1NjIyOTg1NTUifQ==</vt:lpwstr>
  </property>
</Properties>
</file>