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9D9D">
      <w:pPr>
        <w:pageBreakBefore w:val="0"/>
        <w:kinsoku/>
        <w:overflowPunct/>
        <w:topLinePunct w:val="0"/>
        <w:bidi w:val="0"/>
        <w:spacing w:line="336" w:lineRule="auto"/>
        <w:jc w:val="both"/>
        <w:textAlignment w:val="auto"/>
        <w:outlineLvl w:val="0"/>
        <w:rPr>
          <w:rFonts w:hint="eastAsia" w:ascii="宋体" w:hAnsi="宋体" w:eastAsia="宋体" w:cs="宋体"/>
          <w:b/>
          <w:bCs/>
          <w:color w:val="auto"/>
          <w:spacing w:val="80"/>
          <w:sz w:val="96"/>
          <w:szCs w:val="96"/>
        </w:rPr>
      </w:pPr>
      <w:bookmarkStart w:id="0" w:name="_Toc108545948"/>
      <w:bookmarkStart w:id="1" w:name="_Toc19609"/>
      <w:bookmarkStart w:id="2" w:name="_Toc17591"/>
      <w:bookmarkStart w:id="3" w:name="_Toc7408"/>
      <w:bookmarkStart w:id="4" w:name="_Toc16779"/>
    </w:p>
    <w:bookmarkEnd w:id="0"/>
    <w:p w14:paraId="428F298F">
      <w:pPr>
        <w:pageBreakBefore w:val="0"/>
        <w:kinsoku/>
        <w:overflowPunct/>
        <w:topLinePunct w:val="0"/>
        <w:bidi w:val="0"/>
        <w:spacing w:line="336" w:lineRule="auto"/>
        <w:jc w:val="center"/>
        <w:textAlignment w:val="auto"/>
        <w:outlineLvl w:val="0"/>
        <w:rPr>
          <w:rFonts w:hint="eastAsia" w:ascii="宋体" w:hAnsi="宋体" w:eastAsia="宋体" w:cs="宋体"/>
          <w:b/>
          <w:bCs/>
          <w:color w:val="auto"/>
          <w:spacing w:val="80"/>
          <w:sz w:val="96"/>
          <w:szCs w:val="96"/>
          <w:lang w:eastAsia="zh-CN"/>
        </w:rPr>
      </w:pPr>
      <w:r>
        <w:rPr>
          <w:rFonts w:hint="eastAsia" w:cs="宋体"/>
          <w:b/>
          <w:bCs/>
          <w:color w:val="auto"/>
          <w:spacing w:val="80"/>
          <w:sz w:val="96"/>
          <w:szCs w:val="96"/>
          <w:lang w:eastAsia="zh-CN"/>
        </w:rPr>
        <w:t>网上询价</w:t>
      </w:r>
    </w:p>
    <w:p w14:paraId="0187D9B8">
      <w:pPr>
        <w:pageBreakBefore w:val="0"/>
        <w:kinsoku/>
        <w:overflowPunct/>
        <w:topLinePunct w:val="0"/>
        <w:bidi w:val="0"/>
        <w:spacing w:line="336" w:lineRule="auto"/>
        <w:jc w:val="center"/>
        <w:textAlignment w:val="auto"/>
        <w:outlineLvl w:val="0"/>
        <w:rPr>
          <w:rFonts w:hint="eastAsia" w:ascii="宋体" w:hAnsi="宋体" w:eastAsia="宋体" w:cs="宋体"/>
          <w:b/>
          <w:bCs/>
          <w:color w:val="auto"/>
          <w:spacing w:val="80"/>
          <w:sz w:val="96"/>
          <w:szCs w:val="96"/>
        </w:rPr>
      </w:pPr>
      <w:bookmarkStart w:id="5" w:name="_Toc108545949"/>
      <w:r>
        <w:rPr>
          <w:rFonts w:hint="eastAsia" w:cs="宋体"/>
          <w:b/>
          <w:bCs/>
          <w:color w:val="auto"/>
          <w:spacing w:val="80"/>
          <w:sz w:val="96"/>
          <w:szCs w:val="96"/>
          <w:lang w:eastAsia="zh-CN"/>
        </w:rPr>
        <w:t>招标</w:t>
      </w:r>
      <w:r>
        <w:rPr>
          <w:rFonts w:hint="eastAsia" w:ascii="宋体" w:hAnsi="宋体" w:eastAsia="宋体" w:cs="宋体"/>
          <w:b/>
          <w:bCs/>
          <w:color w:val="auto"/>
          <w:spacing w:val="80"/>
          <w:sz w:val="96"/>
          <w:szCs w:val="96"/>
        </w:rPr>
        <w:t>文件</w:t>
      </w:r>
      <w:bookmarkEnd w:id="1"/>
      <w:bookmarkEnd w:id="2"/>
      <w:bookmarkEnd w:id="3"/>
      <w:bookmarkEnd w:id="4"/>
      <w:bookmarkEnd w:id="5"/>
    </w:p>
    <w:p w14:paraId="293AA40A">
      <w:pPr>
        <w:pageBreakBefore w:val="0"/>
        <w:kinsoku/>
        <w:overflowPunct/>
        <w:topLinePunct w:val="0"/>
        <w:bidi w:val="0"/>
        <w:spacing w:line="336" w:lineRule="auto"/>
        <w:jc w:val="center"/>
        <w:textAlignment w:val="auto"/>
        <w:rPr>
          <w:rFonts w:hint="eastAsia" w:ascii="宋体" w:hAnsi="宋体" w:eastAsia="宋体" w:cs="宋体"/>
          <w:color w:val="auto"/>
          <w:sz w:val="22"/>
          <w:szCs w:val="22"/>
        </w:rPr>
      </w:pPr>
      <w:r>
        <w:rPr>
          <w:rFonts w:hint="eastAsia" w:ascii="宋体" w:hAnsi="宋体" w:eastAsia="宋体" w:cs="宋体"/>
          <w:b/>
          <w:bCs/>
          <w:color w:val="auto"/>
          <w:spacing w:val="80"/>
          <w:sz w:val="44"/>
          <w:szCs w:val="44"/>
        </w:rPr>
        <w:t>（</w:t>
      </w:r>
      <w:r>
        <w:rPr>
          <w:rFonts w:hint="eastAsia" w:cs="宋体"/>
          <w:b/>
          <w:bCs/>
          <w:color w:val="auto"/>
          <w:spacing w:val="80"/>
          <w:sz w:val="44"/>
          <w:szCs w:val="44"/>
          <w:lang w:val="en-US" w:eastAsia="zh-CN"/>
        </w:rPr>
        <w:t>最低价</w:t>
      </w:r>
      <w:r>
        <w:rPr>
          <w:rFonts w:hint="eastAsia" w:ascii="宋体" w:hAnsi="宋体" w:eastAsia="宋体" w:cs="宋体"/>
          <w:b/>
          <w:bCs/>
          <w:color w:val="auto"/>
          <w:spacing w:val="80"/>
          <w:sz w:val="44"/>
          <w:szCs w:val="44"/>
        </w:rPr>
        <w:t>法）</w:t>
      </w:r>
    </w:p>
    <w:p w14:paraId="7FA6E4EE">
      <w:pPr>
        <w:pageBreakBefore w:val="0"/>
        <w:kinsoku/>
        <w:overflowPunct/>
        <w:topLinePunct w:val="0"/>
        <w:bidi w:val="0"/>
        <w:spacing w:line="336" w:lineRule="auto"/>
        <w:textAlignment w:val="auto"/>
        <w:rPr>
          <w:rFonts w:hint="eastAsia" w:ascii="宋体" w:hAnsi="宋体" w:eastAsia="宋体" w:cs="宋体"/>
          <w:color w:val="auto"/>
          <w:sz w:val="28"/>
          <w:szCs w:val="22"/>
        </w:rPr>
      </w:pPr>
    </w:p>
    <w:p w14:paraId="3676D550">
      <w:pPr>
        <w:pageBreakBefore w:val="0"/>
        <w:kinsoku/>
        <w:overflowPunct/>
        <w:topLinePunct w:val="0"/>
        <w:bidi w:val="0"/>
        <w:spacing w:line="336" w:lineRule="auto"/>
        <w:textAlignment w:val="auto"/>
        <w:rPr>
          <w:rFonts w:hint="eastAsia" w:ascii="宋体" w:hAnsi="宋体" w:eastAsia="宋体" w:cs="宋体"/>
          <w:b/>
          <w:color w:val="auto"/>
          <w:sz w:val="32"/>
          <w:szCs w:val="22"/>
        </w:rPr>
      </w:pPr>
    </w:p>
    <w:p w14:paraId="3C954A07">
      <w:pPr>
        <w:pageBreakBefore w:val="0"/>
        <w:kinsoku/>
        <w:overflowPunct/>
        <w:topLinePunct w:val="0"/>
        <w:bidi w:val="0"/>
        <w:spacing w:line="336" w:lineRule="auto"/>
        <w:ind w:firstLine="1285" w:firstLineChars="400"/>
        <w:textAlignment w:val="auto"/>
        <w:rPr>
          <w:rFonts w:hint="eastAsia" w:ascii="宋体" w:hAnsi="宋体" w:eastAsia="宋体" w:cs="宋体"/>
          <w:b/>
          <w:color w:val="auto"/>
          <w:sz w:val="32"/>
          <w:szCs w:val="22"/>
        </w:rPr>
      </w:pPr>
    </w:p>
    <w:p w14:paraId="13EEF8F9">
      <w:pPr>
        <w:pageBreakBefore w:val="0"/>
        <w:kinsoku/>
        <w:overflowPunct/>
        <w:topLinePunct w:val="0"/>
        <w:bidi w:val="0"/>
        <w:spacing w:line="336" w:lineRule="auto"/>
        <w:textAlignment w:val="auto"/>
        <w:rPr>
          <w:rFonts w:hint="eastAsia" w:ascii="宋体" w:hAnsi="宋体" w:eastAsia="宋体" w:cs="宋体"/>
          <w:b/>
          <w:color w:val="auto"/>
          <w:sz w:val="32"/>
          <w:szCs w:val="22"/>
        </w:rPr>
      </w:pPr>
    </w:p>
    <w:p w14:paraId="43D60531">
      <w:pPr>
        <w:pageBreakBefore w:val="0"/>
        <w:kinsoku/>
        <w:overflowPunct/>
        <w:topLinePunct w:val="0"/>
        <w:bidi w:val="0"/>
        <w:spacing w:line="336" w:lineRule="auto"/>
        <w:jc w:val="center"/>
        <w:textAlignment w:val="auto"/>
        <w:rPr>
          <w:rFonts w:hint="eastAsia" w:ascii="宋体" w:hAnsi="宋体" w:eastAsia="宋体" w:cs="宋体"/>
          <w:b/>
          <w:color w:val="auto"/>
          <w:sz w:val="32"/>
          <w:szCs w:val="22"/>
          <w:lang w:val="en-US" w:eastAsia="zh-CN"/>
        </w:rPr>
      </w:pPr>
      <w:r>
        <w:rPr>
          <w:rFonts w:hint="eastAsia" w:ascii="宋体" w:hAnsi="宋体" w:eastAsia="宋体" w:cs="宋体"/>
          <w:b/>
          <w:color w:val="auto"/>
          <w:sz w:val="32"/>
          <w:szCs w:val="22"/>
        </w:rPr>
        <w:t>项目名称：</w:t>
      </w:r>
      <w:r>
        <w:rPr>
          <w:rFonts w:hint="eastAsia" w:cs="宋体"/>
          <w:b/>
          <w:color w:val="auto"/>
          <w:sz w:val="32"/>
          <w:szCs w:val="22"/>
          <w:lang w:eastAsia="zh-CN"/>
        </w:rPr>
        <w:t>含谷镇一般不可移动文物公信堂修缮</w:t>
      </w:r>
      <w:r>
        <w:rPr>
          <w:rFonts w:hint="eastAsia" w:cs="宋体"/>
          <w:b/>
          <w:color w:val="auto"/>
          <w:sz w:val="32"/>
          <w:szCs w:val="22"/>
          <w:lang w:val="en-US" w:eastAsia="zh-CN"/>
        </w:rPr>
        <w:t>施工</w:t>
      </w:r>
      <w:r>
        <w:rPr>
          <w:rFonts w:hint="eastAsia" w:cs="宋体"/>
          <w:b/>
          <w:color w:val="auto"/>
          <w:sz w:val="32"/>
          <w:szCs w:val="22"/>
          <w:lang w:eastAsia="zh-CN"/>
        </w:rPr>
        <w:t>项目</w:t>
      </w:r>
    </w:p>
    <w:p w14:paraId="250DE87A">
      <w:pPr>
        <w:pageBreakBefore w:val="0"/>
        <w:kinsoku/>
        <w:overflowPunct/>
        <w:topLinePunct w:val="0"/>
        <w:bidi w:val="0"/>
        <w:spacing w:line="336" w:lineRule="auto"/>
        <w:textAlignment w:val="auto"/>
        <w:rPr>
          <w:rFonts w:hint="eastAsia" w:ascii="宋体" w:hAnsi="宋体" w:eastAsia="宋体" w:cs="宋体"/>
          <w:color w:val="auto"/>
          <w:sz w:val="22"/>
          <w:szCs w:val="22"/>
        </w:rPr>
      </w:pPr>
    </w:p>
    <w:p w14:paraId="3579A386">
      <w:pPr>
        <w:pageBreakBefore w:val="0"/>
        <w:kinsoku/>
        <w:overflowPunct/>
        <w:topLinePunct w:val="0"/>
        <w:bidi w:val="0"/>
        <w:spacing w:line="336" w:lineRule="auto"/>
        <w:jc w:val="both"/>
        <w:textAlignment w:val="auto"/>
        <w:rPr>
          <w:rFonts w:hint="eastAsia" w:ascii="宋体" w:hAnsi="宋体" w:eastAsia="宋体" w:cs="宋体"/>
          <w:b/>
          <w:color w:val="auto"/>
          <w:kern w:val="2"/>
          <w:sz w:val="32"/>
          <w:szCs w:val="22"/>
        </w:rPr>
      </w:pPr>
    </w:p>
    <w:p w14:paraId="4EA7BEF6">
      <w:pPr>
        <w:pageBreakBefore w:val="0"/>
        <w:kinsoku/>
        <w:overflowPunct/>
        <w:topLinePunct w:val="0"/>
        <w:bidi w:val="0"/>
        <w:spacing w:line="336" w:lineRule="auto"/>
        <w:jc w:val="center"/>
        <w:textAlignment w:val="auto"/>
        <w:rPr>
          <w:rFonts w:hint="eastAsia" w:ascii="宋体" w:hAnsi="宋体" w:eastAsia="宋体" w:cs="宋体"/>
          <w:b/>
          <w:color w:val="auto"/>
          <w:kern w:val="2"/>
          <w:sz w:val="32"/>
          <w:szCs w:val="22"/>
        </w:rPr>
      </w:pPr>
    </w:p>
    <w:p w14:paraId="492CAB30">
      <w:pPr>
        <w:pageBreakBefore w:val="0"/>
        <w:kinsoku/>
        <w:overflowPunct/>
        <w:topLinePunct w:val="0"/>
        <w:bidi w:val="0"/>
        <w:spacing w:line="336" w:lineRule="auto"/>
        <w:jc w:val="center"/>
        <w:textAlignment w:val="auto"/>
        <w:rPr>
          <w:rFonts w:hint="eastAsia" w:cs="宋体"/>
          <w:b/>
          <w:color w:val="auto"/>
          <w:sz w:val="32"/>
          <w:szCs w:val="22"/>
          <w:lang w:eastAsia="zh-CN"/>
        </w:rPr>
      </w:pPr>
      <w:r>
        <w:rPr>
          <w:rFonts w:hint="eastAsia" w:cs="宋体"/>
          <w:b/>
          <w:color w:val="auto"/>
          <w:kern w:val="2"/>
          <w:sz w:val="32"/>
          <w:szCs w:val="22"/>
          <w:lang w:eastAsia="zh-CN"/>
        </w:rPr>
        <w:t>招标</w:t>
      </w:r>
      <w:r>
        <w:rPr>
          <w:rFonts w:hint="eastAsia" w:ascii="宋体" w:hAnsi="宋体" w:eastAsia="宋体" w:cs="宋体"/>
          <w:b/>
          <w:color w:val="auto"/>
          <w:kern w:val="2"/>
          <w:sz w:val="32"/>
          <w:szCs w:val="22"/>
        </w:rPr>
        <w:t>人：</w:t>
      </w:r>
      <w:r>
        <w:rPr>
          <w:rFonts w:hint="eastAsia" w:cs="宋体"/>
          <w:b/>
          <w:color w:val="auto"/>
          <w:sz w:val="32"/>
          <w:szCs w:val="22"/>
          <w:lang w:eastAsia="zh-CN"/>
        </w:rPr>
        <w:t xml:space="preserve">重庆市九龙坡区含谷镇人民政府 </w:t>
      </w:r>
    </w:p>
    <w:p w14:paraId="22811051">
      <w:pPr>
        <w:pageBreakBefore w:val="0"/>
        <w:kinsoku/>
        <w:overflowPunct/>
        <w:topLinePunct w:val="0"/>
        <w:bidi w:val="0"/>
        <w:spacing w:line="336" w:lineRule="auto"/>
        <w:jc w:val="center"/>
        <w:textAlignment w:val="auto"/>
        <w:rPr>
          <w:rFonts w:hint="eastAsia" w:ascii="宋体" w:hAnsi="宋体" w:eastAsia="宋体" w:cs="宋体"/>
          <w:color w:val="auto"/>
          <w:sz w:val="28"/>
          <w:szCs w:val="28"/>
          <w:lang w:val="en-US" w:eastAsia="zh-CN"/>
        </w:rPr>
      </w:pPr>
      <w:r>
        <w:rPr>
          <w:rFonts w:hint="eastAsia" w:cs="宋体"/>
          <w:b/>
          <w:color w:val="auto"/>
          <w:sz w:val="32"/>
          <w:szCs w:val="22"/>
          <w:lang w:eastAsia="zh-CN"/>
        </w:rPr>
        <w:t>招标</w:t>
      </w:r>
      <w:r>
        <w:rPr>
          <w:rFonts w:hint="eastAsia" w:ascii="宋体" w:hAnsi="宋体" w:eastAsia="宋体" w:cs="宋体"/>
          <w:b/>
          <w:color w:val="auto"/>
          <w:sz w:val="32"/>
          <w:szCs w:val="22"/>
        </w:rPr>
        <w:t>代理机构：</w:t>
      </w:r>
      <w:r>
        <w:rPr>
          <w:rFonts w:hint="eastAsia" w:ascii="宋体" w:hAnsi="宋体" w:eastAsia="宋体" w:cs="宋体"/>
          <w:b/>
          <w:color w:val="auto"/>
          <w:sz w:val="32"/>
          <w:szCs w:val="22"/>
          <w:lang w:eastAsia="zh-CN"/>
        </w:rPr>
        <w:t>重庆市</w:t>
      </w:r>
      <w:r>
        <w:rPr>
          <w:rFonts w:hint="eastAsia" w:cs="宋体"/>
          <w:b/>
          <w:color w:val="auto"/>
          <w:sz w:val="32"/>
          <w:szCs w:val="22"/>
          <w:lang w:eastAsia="zh-CN"/>
        </w:rPr>
        <w:t>科成工程建设监理</w:t>
      </w:r>
      <w:r>
        <w:rPr>
          <w:rFonts w:hint="eastAsia" w:ascii="宋体" w:hAnsi="宋体" w:eastAsia="宋体" w:cs="宋体"/>
          <w:b/>
          <w:color w:val="auto"/>
          <w:sz w:val="32"/>
          <w:szCs w:val="22"/>
          <w:lang w:eastAsia="zh-CN"/>
        </w:rPr>
        <w:t>有限公司</w:t>
      </w:r>
    </w:p>
    <w:p w14:paraId="47354DFA">
      <w:pPr>
        <w:pageBreakBefore w:val="0"/>
        <w:kinsoku/>
        <w:overflowPunct/>
        <w:topLinePunct w:val="0"/>
        <w:bidi w:val="0"/>
        <w:spacing w:line="336" w:lineRule="auto"/>
        <w:jc w:val="center"/>
        <w:textAlignment w:val="auto"/>
        <w:rPr>
          <w:rFonts w:hint="eastAsia" w:ascii="宋体" w:hAnsi="宋体" w:eastAsia="宋体" w:cs="宋体"/>
          <w:b/>
          <w:color w:val="auto"/>
          <w:sz w:val="32"/>
          <w:szCs w:val="22"/>
          <w:lang w:eastAsia="zh-CN"/>
        </w:rPr>
      </w:pPr>
      <w:r>
        <w:rPr>
          <w:rFonts w:hint="eastAsia" w:ascii="宋体" w:hAnsi="宋体" w:eastAsia="宋体" w:cs="宋体"/>
          <w:b/>
          <w:color w:val="auto"/>
          <w:sz w:val="32"/>
          <w:szCs w:val="22"/>
          <w:lang w:eastAsia="zh-CN"/>
        </w:rPr>
        <w:t>二〇二</w:t>
      </w:r>
      <w:r>
        <w:rPr>
          <w:rFonts w:hint="eastAsia" w:cs="宋体"/>
          <w:b/>
          <w:color w:val="auto"/>
          <w:sz w:val="32"/>
          <w:szCs w:val="22"/>
          <w:lang w:eastAsia="zh-CN"/>
        </w:rPr>
        <w:t>五</w:t>
      </w:r>
      <w:r>
        <w:rPr>
          <w:rFonts w:hint="eastAsia" w:ascii="宋体" w:hAnsi="宋体" w:eastAsia="宋体" w:cs="宋体"/>
          <w:b/>
          <w:color w:val="auto"/>
          <w:sz w:val="32"/>
          <w:szCs w:val="22"/>
          <w:lang w:eastAsia="zh-CN"/>
        </w:rPr>
        <w:t>年</w:t>
      </w:r>
      <w:r>
        <w:rPr>
          <w:rFonts w:hint="eastAsia" w:cs="宋体"/>
          <w:b/>
          <w:color w:val="auto"/>
          <w:sz w:val="32"/>
          <w:szCs w:val="22"/>
          <w:lang w:val="en-US" w:eastAsia="zh-CN"/>
        </w:rPr>
        <w:t>十</w:t>
      </w:r>
      <w:r>
        <w:rPr>
          <w:rFonts w:hint="eastAsia" w:ascii="宋体" w:hAnsi="宋体" w:eastAsia="宋体" w:cs="宋体"/>
          <w:b/>
          <w:color w:val="auto"/>
          <w:sz w:val="32"/>
          <w:szCs w:val="22"/>
          <w:lang w:eastAsia="zh-CN"/>
        </w:rPr>
        <w:t>月</w:t>
      </w:r>
    </w:p>
    <w:p w14:paraId="2C58403D">
      <w:pPr>
        <w:pageBreakBefore w:val="0"/>
        <w:tabs>
          <w:tab w:val="left" w:pos="1185"/>
          <w:tab w:val="center" w:pos="4156"/>
          <w:tab w:val="left" w:pos="7095"/>
        </w:tabs>
        <w:kinsoku/>
        <w:overflowPunct/>
        <w:topLinePunct w:val="0"/>
        <w:bidi w:val="0"/>
        <w:spacing w:line="336" w:lineRule="auto"/>
        <w:textAlignment w:val="auto"/>
        <w:rPr>
          <w:rFonts w:hint="eastAsia" w:ascii="宋体" w:hAnsi="宋体" w:eastAsia="宋体" w:cs="宋体"/>
          <w:color w:val="auto"/>
          <w:sz w:val="22"/>
          <w:szCs w:val="22"/>
        </w:rPr>
        <w:sectPr>
          <w:headerReference r:id="rId5" w:type="first"/>
          <w:headerReference r:id="rId3" w:type="default"/>
          <w:footerReference r:id="rId6" w:type="default"/>
          <w:headerReference r:id="rId4" w:type="even"/>
          <w:footerReference r:id="rId7" w:type="even"/>
          <w:pgSz w:w="11907" w:h="16840"/>
          <w:pgMar w:top="1440" w:right="1797" w:bottom="1440" w:left="1797" w:header="454" w:footer="567" w:gutter="0"/>
          <w:pgNumType w:fmt="numberInDash" w:start="1"/>
          <w:cols w:space="720" w:num="1"/>
          <w:titlePg/>
          <w:docGrid w:type="lines" w:linePitch="381" w:charSpace="-5735"/>
        </w:sectPr>
      </w:pPr>
    </w:p>
    <w:p w14:paraId="3FCEC39F">
      <w:pPr>
        <w:pageBreakBefore w:val="0"/>
        <w:tabs>
          <w:tab w:val="left" w:pos="1185"/>
          <w:tab w:val="center" w:pos="4156"/>
          <w:tab w:val="left" w:pos="7095"/>
        </w:tabs>
        <w:kinsoku/>
        <w:overflowPunct/>
        <w:topLinePunct w:val="0"/>
        <w:bidi w:val="0"/>
        <w:spacing w:line="336" w:lineRule="auto"/>
        <w:textAlignment w:val="auto"/>
        <w:rPr>
          <w:rFonts w:hint="eastAsia" w:ascii="宋体" w:hAnsi="宋体" w:eastAsia="宋体" w:cs="宋体"/>
          <w:b/>
          <w:bCs/>
          <w:color w:val="auto"/>
          <w:sz w:val="40"/>
          <w:szCs w:val="40"/>
        </w:rPr>
      </w:pP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b/>
          <w:bCs/>
          <w:color w:val="auto"/>
          <w:sz w:val="40"/>
          <w:szCs w:val="40"/>
        </w:rPr>
        <w:t>目  录</w:t>
      </w:r>
    </w:p>
    <w:p w14:paraId="23698175">
      <w:pPr>
        <w:pStyle w:val="17"/>
        <w:pageBreakBefore w:val="0"/>
        <w:kinsoku/>
        <w:overflowPunct/>
        <w:topLinePunct w:val="0"/>
        <w:bidi w:val="0"/>
        <w:spacing w:line="336" w:lineRule="auto"/>
        <w:textAlignment w:val="auto"/>
        <w:rPr>
          <w:rFonts w:hint="eastAsia" w:ascii="宋体" w:hAnsi="宋体" w:eastAsia="宋体" w:cs="宋体"/>
          <w:b w:val="0"/>
          <w:bCs w:val="0"/>
          <w:color w:val="auto"/>
          <w:kern w:val="2"/>
          <w:sz w:val="21"/>
        </w:rPr>
      </w:pP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TOC \o "1-3" \h \z \u </w:instrText>
      </w:r>
      <w:r>
        <w:rPr>
          <w:rFonts w:hint="eastAsia" w:ascii="宋体" w:hAnsi="宋体" w:eastAsia="宋体" w:cs="宋体"/>
          <w:b w:val="0"/>
          <w:bCs w:val="0"/>
          <w:color w:val="auto"/>
        </w:rPr>
        <w:fldChar w:fldCharType="separate"/>
      </w:r>
    </w:p>
    <w:p w14:paraId="76B4C1DD">
      <w:pPr>
        <w:pStyle w:val="17"/>
        <w:pageBreakBefore w:val="0"/>
        <w:kinsoku/>
        <w:overflowPunct/>
        <w:topLinePunct w:val="0"/>
        <w:bidi w:val="0"/>
        <w:spacing w:line="336" w:lineRule="auto"/>
        <w:textAlignment w:val="auto"/>
        <w:rPr>
          <w:rFonts w:hint="eastAsia" w:ascii="宋体" w:hAnsi="宋体" w:eastAsia="宋体" w:cs="宋体"/>
          <w:b w:val="0"/>
          <w:bCs w:val="0"/>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"_Toc108545950" </w:instrText>
      </w:r>
      <w:r>
        <w:rPr>
          <w:rFonts w:hint="eastAsia" w:ascii="宋体" w:hAnsi="宋体" w:eastAsia="宋体" w:cs="宋体"/>
          <w:color w:val="auto"/>
        </w:rPr>
        <w:fldChar w:fldCharType="separate"/>
      </w:r>
      <w:r>
        <w:rPr>
          <w:rStyle w:val="30"/>
          <w:rFonts w:hint="eastAsia" w:ascii="宋体" w:hAnsi="宋体" w:eastAsia="宋体" w:cs="宋体"/>
          <w:color w:val="auto"/>
        </w:rPr>
        <w:t xml:space="preserve">第一篇  </w:t>
      </w:r>
      <w:r>
        <w:rPr>
          <w:rStyle w:val="30"/>
          <w:rFonts w:hint="eastAsia" w:ascii="宋体" w:hAnsi="宋体" w:eastAsia="宋体" w:cs="宋体"/>
          <w:color w:val="auto"/>
          <w:lang w:eastAsia="zh-CN"/>
        </w:rPr>
        <w:t>招标</w:t>
      </w:r>
      <w:r>
        <w:rPr>
          <w:rStyle w:val="30"/>
          <w:rFonts w:hint="eastAsia" w:ascii="宋体" w:hAnsi="宋体" w:eastAsia="宋体" w:cs="宋体"/>
          <w:color w:val="auto"/>
        </w:rPr>
        <w:t>邀请书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_Toc108545950 \h </w:instrText>
      </w:r>
      <w:r>
        <w:rPr>
          <w:rFonts w:hint="eastAsia" w:ascii="宋体" w:hAnsi="宋体" w:eastAsia="宋体" w:cs="宋体"/>
          <w:color w:val="auto"/>
        </w:rPr>
        <w:fldChar w:fldCharType="separate"/>
      </w:r>
      <w:r>
        <w:rPr>
          <w:rFonts w:hint="eastAsia" w:ascii="宋体" w:hAnsi="宋体" w:eastAsia="宋体" w:cs="宋体"/>
          <w:color w:val="auto"/>
        </w:rPr>
        <w:t>- 3 -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13A0573">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"_Toc108545951" </w:instrText>
      </w:r>
      <w:r>
        <w:rPr>
          <w:rFonts w:hint="eastAsia" w:ascii="宋体" w:hAnsi="宋体" w:eastAsia="宋体" w:cs="宋体"/>
          <w:color w:val="auto"/>
        </w:rPr>
        <w:fldChar w:fldCharType="separate"/>
      </w:r>
      <w:r>
        <w:rPr>
          <w:rStyle w:val="30"/>
          <w:rFonts w:hint="eastAsia" w:ascii="宋体" w:hAnsi="宋体" w:eastAsia="宋体" w:cs="宋体"/>
          <w:color w:val="auto"/>
        </w:rPr>
        <w:t>一、</w:t>
      </w:r>
      <w:r>
        <w:rPr>
          <w:rStyle w:val="30"/>
          <w:rFonts w:hint="eastAsia" w:cs="宋体"/>
          <w:color w:val="auto"/>
          <w:lang w:eastAsia="zh-CN"/>
        </w:rPr>
        <w:t>招标</w:t>
      </w:r>
      <w:r>
        <w:rPr>
          <w:rStyle w:val="30"/>
          <w:rFonts w:hint="eastAsia" w:ascii="宋体" w:hAnsi="宋体" w:eastAsia="宋体" w:cs="宋体"/>
          <w:color w:val="auto"/>
        </w:rPr>
        <w:t>项目内容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_Toc108545951 \h </w:instrText>
      </w:r>
      <w:r>
        <w:rPr>
          <w:rFonts w:hint="eastAsia" w:ascii="宋体" w:hAnsi="宋体" w:eastAsia="宋体" w:cs="宋体"/>
          <w:color w:val="auto"/>
        </w:rPr>
        <w:fldChar w:fldCharType="separate"/>
      </w:r>
      <w:r>
        <w:rPr>
          <w:rFonts w:hint="eastAsia" w:ascii="宋体" w:hAnsi="宋体" w:eastAsia="宋体" w:cs="宋体"/>
          <w:color w:val="auto"/>
        </w:rPr>
        <w:t>- 3 -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8CA127A">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"_Toc108545952" </w:instrText>
      </w:r>
      <w:r>
        <w:rPr>
          <w:rFonts w:hint="eastAsia" w:ascii="宋体" w:hAnsi="宋体" w:eastAsia="宋体" w:cs="宋体"/>
          <w:color w:val="auto"/>
        </w:rPr>
        <w:fldChar w:fldCharType="separate"/>
      </w:r>
      <w:r>
        <w:rPr>
          <w:rStyle w:val="30"/>
          <w:rFonts w:hint="eastAsia" w:ascii="宋体" w:hAnsi="宋体" w:eastAsia="宋体" w:cs="宋体"/>
          <w:color w:val="auto"/>
        </w:rPr>
        <w:t>二、资金来源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_Toc108545952 \h </w:instrText>
      </w:r>
      <w:r>
        <w:rPr>
          <w:rFonts w:hint="eastAsia" w:ascii="宋体" w:hAnsi="宋体" w:eastAsia="宋体" w:cs="宋体"/>
          <w:color w:val="auto"/>
        </w:rPr>
        <w:fldChar w:fldCharType="separate"/>
      </w:r>
      <w:r>
        <w:rPr>
          <w:rFonts w:hint="eastAsia" w:ascii="宋体" w:hAnsi="宋体" w:eastAsia="宋体" w:cs="宋体"/>
          <w:color w:val="auto"/>
        </w:rPr>
        <w:t>- 3 -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62A39EC">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"_Toc108545953" </w:instrText>
      </w:r>
      <w:r>
        <w:rPr>
          <w:rFonts w:hint="eastAsia" w:ascii="宋体" w:hAnsi="宋体" w:eastAsia="宋体" w:cs="宋体"/>
          <w:color w:val="auto"/>
        </w:rPr>
        <w:fldChar w:fldCharType="separate"/>
      </w:r>
      <w:r>
        <w:rPr>
          <w:rStyle w:val="30"/>
          <w:rFonts w:hint="eastAsia" w:ascii="宋体" w:hAnsi="宋体" w:eastAsia="宋体" w:cs="宋体"/>
          <w:color w:val="auto"/>
        </w:rPr>
        <w:t>三、资格要求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_Toc108545953 \h </w:instrText>
      </w:r>
      <w:r>
        <w:rPr>
          <w:rFonts w:hint="eastAsia" w:ascii="宋体" w:hAnsi="宋体" w:eastAsia="宋体" w:cs="宋体"/>
          <w:color w:val="auto"/>
        </w:rPr>
        <w:fldChar w:fldCharType="separate"/>
      </w:r>
      <w:r>
        <w:rPr>
          <w:rFonts w:hint="eastAsia" w:ascii="宋体" w:hAnsi="宋体" w:eastAsia="宋体" w:cs="宋体"/>
          <w:color w:val="auto"/>
        </w:rPr>
        <w:t>- 3 -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9699916">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"_Toc108545954" </w:instrText>
      </w:r>
      <w:r>
        <w:rPr>
          <w:rFonts w:hint="eastAsia" w:ascii="宋体" w:hAnsi="宋体" w:eastAsia="宋体" w:cs="宋体"/>
          <w:color w:val="auto"/>
        </w:rPr>
        <w:fldChar w:fldCharType="separate"/>
      </w:r>
      <w:r>
        <w:rPr>
          <w:rStyle w:val="30"/>
          <w:rFonts w:hint="eastAsia" w:ascii="宋体" w:hAnsi="宋体" w:eastAsia="宋体" w:cs="宋体"/>
          <w:color w:val="auto"/>
        </w:rPr>
        <w:t>四、</w:t>
      </w:r>
      <w:r>
        <w:rPr>
          <w:rStyle w:val="30"/>
          <w:rFonts w:hint="eastAsia" w:cs="宋体"/>
          <w:color w:val="auto"/>
          <w:lang w:eastAsia="zh-CN"/>
        </w:rPr>
        <w:t>招标</w:t>
      </w:r>
      <w:r>
        <w:rPr>
          <w:rStyle w:val="30"/>
          <w:rFonts w:hint="eastAsia" w:ascii="宋体" w:hAnsi="宋体" w:eastAsia="宋体" w:cs="宋体"/>
          <w:color w:val="auto"/>
        </w:rPr>
        <w:t>有关说明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_Toc108545954 \h </w:instrText>
      </w:r>
      <w:r>
        <w:rPr>
          <w:rFonts w:hint="eastAsia" w:ascii="宋体" w:hAnsi="宋体" w:eastAsia="宋体" w:cs="宋体"/>
          <w:color w:val="auto"/>
        </w:rPr>
        <w:fldChar w:fldCharType="separate"/>
      </w:r>
      <w:r>
        <w:rPr>
          <w:rFonts w:hint="eastAsia" w:ascii="宋体" w:hAnsi="宋体" w:eastAsia="宋体" w:cs="宋体"/>
          <w:color w:val="auto"/>
        </w:rPr>
        <w:t>- 3 -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61C30A4">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"_Toc108545955" </w:instrText>
      </w:r>
      <w:r>
        <w:rPr>
          <w:rFonts w:hint="eastAsia" w:ascii="宋体" w:hAnsi="宋体" w:eastAsia="宋体" w:cs="宋体"/>
          <w:color w:val="auto"/>
        </w:rPr>
        <w:fldChar w:fldCharType="separate"/>
      </w:r>
      <w:r>
        <w:rPr>
          <w:rStyle w:val="30"/>
          <w:rFonts w:hint="eastAsia" w:ascii="宋体" w:hAnsi="宋体" w:eastAsia="宋体" w:cs="宋体"/>
          <w:color w:val="auto"/>
        </w:rPr>
        <w:t>五、</w:t>
      </w:r>
      <w:r>
        <w:rPr>
          <w:rStyle w:val="30"/>
          <w:rFonts w:hint="eastAsia" w:cs="宋体"/>
          <w:color w:val="auto"/>
          <w:lang w:eastAsia="zh-CN"/>
        </w:rPr>
        <w:t>招标</w:t>
      </w:r>
      <w:r>
        <w:rPr>
          <w:rStyle w:val="30"/>
          <w:rFonts w:hint="eastAsia" w:ascii="宋体" w:hAnsi="宋体" w:eastAsia="宋体" w:cs="宋体"/>
          <w:color w:val="auto"/>
        </w:rPr>
        <w:t>保证金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_Toc108545955 \h </w:instrText>
      </w:r>
      <w:r>
        <w:rPr>
          <w:rFonts w:hint="eastAsia" w:ascii="宋体" w:hAnsi="宋体" w:eastAsia="宋体" w:cs="宋体"/>
          <w:color w:val="auto"/>
        </w:rPr>
        <w:fldChar w:fldCharType="separate"/>
      </w:r>
      <w:r>
        <w:rPr>
          <w:rFonts w:hint="eastAsia" w:ascii="宋体" w:hAnsi="宋体" w:eastAsia="宋体" w:cs="宋体"/>
          <w:color w:val="auto"/>
        </w:rPr>
        <w:t>- 4 -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FEC3768">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"_Toc108545956" </w:instrText>
      </w:r>
      <w:r>
        <w:rPr>
          <w:rFonts w:hint="eastAsia" w:ascii="宋体" w:hAnsi="宋体" w:eastAsia="宋体" w:cs="宋体"/>
          <w:color w:val="auto"/>
        </w:rPr>
        <w:fldChar w:fldCharType="separate"/>
      </w:r>
      <w:r>
        <w:rPr>
          <w:rStyle w:val="30"/>
          <w:rFonts w:hint="eastAsia" w:ascii="宋体" w:hAnsi="宋体" w:eastAsia="宋体" w:cs="宋体"/>
          <w:color w:val="auto"/>
        </w:rPr>
        <w:t>六、</w:t>
      </w:r>
      <w:r>
        <w:rPr>
          <w:rStyle w:val="30"/>
          <w:rFonts w:hint="eastAsia" w:cs="宋体"/>
          <w:color w:val="auto"/>
          <w:lang w:eastAsia="zh-CN"/>
        </w:rPr>
        <w:t>招标</w:t>
      </w:r>
      <w:r>
        <w:rPr>
          <w:rStyle w:val="30"/>
          <w:rFonts w:hint="eastAsia" w:ascii="宋体" w:hAnsi="宋体" w:eastAsia="宋体" w:cs="宋体"/>
          <w:color w:val="auto"/>
        </w:rPr>
        <w:t>有关规定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_Toc108545956 \h </w:instrText>
      </w:r>
      <w:r>
        <w:rPr>
          <w:rFonts w:hint="eastAsia" w:ascii="宋体" w:hAnsi="宋体" w:eastAsia="宋体" w:cs="宋体"/>
          <w:color w:val="auto"/>
        </w:rPr>
        <w:fldChar w:fldCharType="separate"/>
      </w:r>
      <w:r>
        <w:rPr>
          <w:rFonts w:hint="eastAsia" w:ascii="宋体" w:hAnsi="宋体" w:eastAsia="宋体" w:cs="宋体"/>
          <w:color w:val="auto"/>
        </w:rPr>
        <w:t>- 4 -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84EC231">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"_Toc108545957" </w:instrText>
      </w:r>
      <w:r>
        <w:rPr>
          <w:rFonts w:hint="eastAsia" w:ascii="宋体" w:hAnsi="宋体" w:eastAsia="宋体" w:cs="宋体"/>
          <w:color w:val="auto"/>
        </w:rPr>
        <w:fldChar w:fldCharType="separate"/>
      </w:r>
      <w:r>
        <w:rPr>
          <w:rStyle w:val="30"/>
          <w:rFonts w:hint="eastAsia" w:ascii="宋体" w:hAnsi="宋体" w:eastAsia="宋体" w:cs="宋体"/>
          <w:color w:val="auto"/>
        </w:rPr>
        <w:t>七、联系方式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_Toc108545957 \h </w:instrText>
      </w:r>
      <w:r>
        <w:rPr>
          <w:rFonts w:hint="eastAsia" w:ascii="宋体" w:hAnsi="宋体" w:eastAsia="宋体" w:cs="宋体"/>
          <w:color w:val="auto"/>
        </w:rPr>
        <w:fldChar w:fldCharType="separate"/>
      </w:r>
      <w:r>
        <w:rPr>
          <w:rFonts w:hint="eastAsia" w:ascii="宋体" w:hAnsi="宋体" w:eastAsia="宋体" w:cs="宋体"/>
          <w:color w:val="auto"/>
        </w:rPr>
        <w:t>- 6 -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39C6961">
      <w:pPr>
        <w:pStyle w:val="18"/>
        <w:pageBreakBefore w:val="0"/>
        <w:kinsoku/>
        <w:overflowPunct/>
        <w:topLinePunct w:val="0"/>
        <w:bidi w:val="0"/>
        <w:spacing w:line="336" w:lineRule="auto"/>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"_Toc108545958" </w:instrText>
      </w:r>
      <w:r>
        <w:rPr>
          <w:rFonts w:hint="eastAsia" w:ascii="宋体" w:hAnsi="宋体" w:eastAsia="宋体" w:cs="宋体"/>
          <w:color w:val="auto"/>
        </w:rPr>
        <w:fldChar w:fldCharType="separate"/>
      </w:r>
      <w:r>
        <w:rPr>
          <w:rStyle w:val="30"/>
          <w:rFonts w:hint="eastAsia" w:ascii="宋体" w:hAnsi="宋体" w:eastAsia="宋体" w:cs="宋体"/>
          <w:color w:val="auto"/>
        </w:rPr>
        <w:t>第二篇  供应商须知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_Toc108545958 \h </w:instrText>
      </w:r>
      <w:r>
        <w:rPr>
          <w:rFonts w:hint="eastAsia" w:ascii="宋体" w:hAnsi="宋体" w:eastAsia="宋体" w:cs="宋体"/>
          <w:color w:val="auto"/>
        </w:rPr>
        <w:fldChar w:fldCharType="separate"/>
      </w:r>
      <w:r>
        <w:rPr>
          <w:rFonts w:hint="eastAsia" w:ascii="宋体" w:hAnsi="宋体" w:eastAsia="宋体" w:cs="宋体"/>
          <w:color w:val="auto"/>
        </w:rPr>
        <w:t>- 7 -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8A8FB40">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"_Toc108545959" </w:instrText>
      </w:r>
      <w:r>
        <w:rPr>
          <w:rFonts w:hint="eastAsia" w:ascii="宋体" w:hAnsi="宋体" w:eastAsia="宋体" w:cs="宋体"/>
          <w:color w:val="auto"/>
        </w:rPr>
        <w:fldChar w:fldCharType="separate"/>
      </w:r>
      <w:r>
        <w:rPr>
          <w:rStyle w:val="30"/>
          <w:rFonts w:hint="eastAsia" w:ascii="宋体" w:hAnsi="宋体" w:eastAsia="宋体" w:cs="宋体"/>
          <w:color w:val="auto"/>
        </w:rPr>
        <w:t>一、</w:t>
      </w:r>
      <w:r>
        <w:rPr>
          <w:rStyle w:val="30"/>
          <w:rFonts w:hint="eastAsia" w:cs="宋体"/>
          <w:color w:val="auto"/>
          <w:lang w:eastAsia="zh-CN"/>
        </w:rPr>
        <w:t>招标</w:t>
      </w:r>
      <w:r>
        <w:rPr>
          <w:rStyle w:val="30"/>
          <w:rFonts w:hint="eastAsia" w:ascii="宋体" w:hAnsi="宋体" w:eastAsia="宋体" w:cs="宋体"/>
          <w:color w:val="auto"/>
        </w:rPr>
        <w:t>费用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_Toc108545959 \h </w:instrText>
      </w:r>
      <w:r>
        <w:rPr>
          <w:rFonts w:hint="eastAsia" w:ascii="宋体" w:hAnsi="宋体" w:eastAsia="宋体" w:cs="宋体"/>
          <w:color w:val="auto"/>
        </w:rPr>
        <w:fldChar w:fldCharType="separate"/>
      </w:r>
      <w:r>
        <w:rPr>
          <w:rFonts w:hint="eastAsia" w:ascii="宋体" w:hAnsi="宋体" w:eastAsia="宋体" w:cs="宋体"/>
          <w:color w:val="auto"/>
        </w:rPr>
        <w:t>- 7 -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926839A">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"_Toc108545960" </w:instrText>
      </w:r>
      <w:r>
        <w:rPr>
          <w:rFonts w:hint="eastAsia" w:ascii="宋体" w:hAnsi="宋体" w:eastAsia="宋体" w:cs="宋体"/>
          <w:color w:val="auto"/>
        </w:rPr>
        <w:fldChar w:fldCharType="separate"/>
      </w:r>
      <w:r>
        <w:rPr>
          <w:rStyle w:val="30"/>
          <w:rFonts w:hint="eastAsia" w:ascii="宋体" w:hAnsi="宋体" w:eastAsia="宋体" w:cs="宋体"/>
          <w:color w:val="auto"/>
        </w:rPr>
        <w:t>二、</w:t>
      </w:r>
      <w:r>
        <w:rPr>
          <w:rStyle w:val="30"/>
          <w:rFonts w:hint="eastAsia" w:cs="宋体"/>
          <w:color w:val="auto"/>
          <w:lang w:eastAsia="zh-CN"/>
        </w:rPr>
        <w:t>招标</w:t>
      </w:r>
      <w:r>
        <w:rPr>
          <w:rStyle w:val="30"/>
          <w:rFonts w:hint="eastAsia" w:ascii="宋体" w:hAnsi="宋体" w:eastAsia="宋体" w:cs="宋体"/>
          <w:color w:val="auto"/>
        </w:rPr>
        <w:t>通知书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_Toc108545960 \h </w:instrText>
      </w:r>
      <w:r>
        <w:rPr>
          <w:rFonts w:hint="eastAsia" w:ascii="宋体" w:hAnsi="宋体" w:eastAsia="宋体" w:cs="宋体"/>
          <w:color w:val="auto"/>
        </w:rPr>
        <w:fldChar w:fldCharType="separate"/>
      </w:r>
      <w:r>
        <w:rPr>
          <w:rFonts w:hint="eastAsia" w:ascii="宋体" w:hAnsi="宋体" w:eastAsia="宋体" w:cs="宋体"/>
          <w:color w:val="auto"/>
        </w:rPr>
        <w:t>- 7 -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85D23F8">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"_Toc108545961" </w:instrText>
      </w:r>
      <w:r>
        <w:rPr>
          <w:rFonts w:hint="eastAsia" w:ascii="宋体" w:hAnsi="宋体" w:eastAsia="宋体" w:cs="宋体"/>
          <w:color w:val="auto"/>
        </w:rPr>
        <w:fldChar w:fldCharType="separate"/>
      </w:r>
      <w:r>
        <w:rPr>
          <w:rStyle w:val="30"/>
          <w:rFonts w:hint="eastAsia" w:ascii="宋体" w:hAnsi="宋体" w:eastAsia="宋体" w:cs="宋体"/>
          <w:color w:val="auto"/>
        </w:rPr>
        <w:t>三、</w:t>
      </w:r>
      <w:r>
        <w:rPr>
          <w:rStyle w:val="30"/>
          <w:rFonts w:hint="eastAsia" w:cs="宋体"/>
          <w:color w:val="auto"/>
          <w:lang w:eastAsia="zh-CN"/>
        </w:rPr>
        <w:t>招标</w:t>
      </w:r>
      <w:r>
        <w:rPr>
          <w:rStyle w:val="30"/>
          <w:rFonts w:hint="eastAsia" w:ascii="宋体" w:hAnsi="宋体" w:eastAsia="宋体" w:cs="宋体"/>
          <w:color w:val="auto"/>
        </w:rPr>
        <w:t>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_Toc108545961 \h </w:instrText>
      </w:r>
      <w:r>
        <w:rPr>
          <w:rFonts w:hint="eastAsia" w:ascii="宋体" w:hAnsi="宋体" w:eastAsia="宋体" w:cs="宋体"/>
          <w:color w:val="auto"/>
        </w:rPr>
        <w:fldChar w:fldCharType="separate"/>
      </w:r>
      <w:r>
        <w:rPr>
          <w:rFonts w:hint="eastAsia" w:ascii="宋体" w:hAnsi="宋体" w:eastAsia="宋体" w:cs="宋体"/>
          <w:color w:val="auto"/>
        </w:rPr>
        <w:t>- 7 -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64431AB">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"_Toc108545962" </w:instrText>
      </w:r>
      <w:r>
        <w:rPr>
          <w:rFonts w:hint="eastAsia" w:ascii="宋体" w:hAnsi="宋体" w:eastAsia="宋体" w:cs="宋体"/>
          <w:color w:val="auto"/>
        </w:rPr>
        <w:fldChar w:fldCharType="separate"/>
      </w:r>
      <w:r>
        <w:rPr>
          <w:rStyle w:val="30"/>
          <w:rFonts w:hint="eastAsia" w:ascii="宋体" w:hAnsi="宋体" w:eastAsia="宋体" w:cs="宋体"/>
          <w:color w:val="auto"/>
        </w:rPr>
        <w:t>四、</w:t>
      </w:r>
      <w:r>
        <w:rPr>
          <w:rStyle w:val="30"/>
          <w:rFonts w:hint="eastAsia" w:cs="宋体"/>
          <w:color w:val="auto"/>
          <w:lang w:eastAsia="zh-CN"/>
        </w:rPr>
        <w:t>招标</w:t>
      </w:r>
      <w:r>
        <w:rPr>
          <w:rStyle w:val="30"/>
          <w:rFonts w:hint="eastAsia" w:ascii="宋体" w:hAnsi="宋体" w:eastAsia="宋体" w:cs="宋体"/>
          <w:color w:val="auto"/>
        </w:rPr>
        <w:t>程序及成交标准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_Toc108545962 \h </w:instrText>
      </w:r>
      <w:r>
        <w:rPr>
          <w:rFonts w:hint="eastAsia" w:ascii="宋体" w:hAnsi="宋体" w:eastAsia="宋体" w:cs="宋体"/>
          <w:color w:val="auto"/>
        </w:rPr>
        <w:fldChar w:fldCharType="separate"/>
      </w:r>
      <w:r>
        <w:rPr>
          <w:rFonts w:hint="eastAsia" w:ascii="宋体" w:hAnsi="宋体" w:eastAsia="宋体" w:cs="宋体"/>
          <w:color w:val="auto"/>
        </w:rPr>
        <w:t>- 10 -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E4C0C42">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"_Toc108545963" </w:instrText>
      </w:r>
      <w:r>
        <w:rPr>
          <w:rFonts w:hint="eastAsia" w:ascii="宋体" w:hAnsi="宋体" w:eastAsia="宋体" w:cs="宋体"/>
          <w:color w:val="auto"/>
        </w:rPr>
        <w:fldChar w:fldCharType="separate"/>
      </w:r>
      <w:r>
        <w:rPr>
          <w:rStyle w:val="30"/>
          <w:rFonts w:hint="eastAsia" w:ascii="宋体" w:hAnsi="宋体" w:eastAsia="宋体" w:cs="宋体"/>
          <w:color w:val="auto"/>
        </w:rPr>
        <w:t>五、评审标准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_Toc108545963 \h </w:instrText>
      </w:r>
      <w:r>
        <w:rPr>
          <w:rFonts w:hint="eastAsia" w:ascii="宋体" w:hAnsi="宋体" w:eastAsia="宋体" w:cs="宋体"/>
          <w:color w:val="auto"/>
        </w:rPr>
        <w:fldChar w:fldCharType="separate"/>
      </w:r>
      <w:r>
        <w:rPr>
          <w:rFonts w:hint="eastAsia" w:ascii="宋体" w:hAnsi="宋体" w:eastAsia="宋体" w:cs="宋体"/>
          <w:color w:val="auto"/>
        </w:rPr>
        <w:t>- 12 -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CAE0253">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"_Toc108545964" </w:instrText>
      </w:r>
      <w:r>
        <w:rPr>
          <w:rFonts w:hint="eastAsia" w:ascii="宋体" w:hAnsi="宋体" w:eastAsia="宋体" w:cs="宋体"/>
          <w:color w:val="auto"/>
        </w:rPr>
        <w:fldChar w:fldCharType="separate"/>
      </w:r>
      <w:r>
        <w:rPr>
          <w:rStyle w:val="30"/>
          <w:rFonts w:hint="eastAsia" w:ascii="宋体" w:hAnsi="宋体" w:eastAsia="宋体" w:cs="宋体"/>
          <w:color w:val="auto"/>
        </w:rPr>
        <w:t>六、评审依据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_Toc108545964 \h </w:instrText>
      </w:r>
      <w:r>
        <w:rPr>
          <w:rFonts w:hint="eastAsia" w:ascii="宋体" w:hAnsi="宋体" w:eastAsia="宋体" w:cs="宋体"/>
          <w:color w:val="auto"/>
        </w:rPr>
        <w:fldChar w:fldCharType="separate"/>
      </w:r>
      <w:r>
        <w:rPr>
          <w:rFonts w:hint="eastAsia" w:ascii="宋体" w:hAnsi="宋体" w:eastAsia="宋体" w:cs="宋体"/>
          <w:color w:val="auto"/>
        </w:rPr>
        <w:t>- 13 -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9BF87E4">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"_Toc108545965" </w:instrText>
      </w:r>
      <w:r>
        <w:rPr>
          <w:rFonts w:hint="eastAsia" w:ascii="宋体" w:hAnsi="宋体" w:eastAsia="宋体" w:cs="宋体"/>
          <w:color w:val="auto"/>
        </w:rPr>
        <w:fldChar w:fldCharType="separate"/>
      </w:r>
      <w:r>
        <w:rPr>
          <w:rStyle w:val="30"/>
          <w:rFonts w:hint="eastAsia" w:ascii="宋体" w:hAnsi="宋体" w:eastAsia="宋体" w:cs="宋体"/>
          <w:color w:val="auto"/>
        </w:rPr>
        <w:t>七、成交通知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_Toc108545965 \h </w:instrText>
      </w:r>
      <w:r>
        <w:rPr>
          <w:rFonts w:hint="eastAsia" w:ascii="宋体" w:hAnsi="宋体" w:eastAsia="宋体" w:cs="宋体"/>
          <w:color w:val="auto"/>
        </w:rPr>
        <w:fldChar w:fldCharType="separate"/>
      </w:r>
      <w:r>
        <w:rPr>
          <w:rFonts w:hint="eastAsia" w:ascii="宋体" w:hAnsi="宋体" w:eastAsia="宋体" w:cs="宋体"/>
          <w:color w:val="auto"/>
        </w:rPr>
        <w:t>- 14 -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4156774">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"_Toc108545966" </w:instrText>
      </w:r>
      <w:r>
        <w:rPr>
          <w:rFonts w:hint="eastAsia" w:ascii="宋体" w:hAnsi="宋体" w:eastAsia="宋体" w:cs="宋体"/>
          <w:color w:val="auto"/>
        </w:rPr>
        <w:fldChar w:fldCharType="separate"/>
      </w:r>
      <w:r>
        <w:rPr>
          <w:rStyle w:val="30"/>
          <w:rFonts w:hint="eastAsia" w:ascii="宋体" w:hAnsi="宋体" w:eastAsia="宋体" w:cs="宋体"/>
          <w:color w:val="auto"/>
        </w:rPr>
        <w:t>八、关于质疑和投诉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_Toc108545966 \h </w:instrText>
      </w:r>
      <w:r>
        <w:rPr>
          <w:rFonts w:hint="eastAsia" w:ascii="宋体" w:hAnsi="宋体" w:eastAsia="宋体" w:cs="宋体"/>
          <w:color w:val="auto"/>
        </w:rPr>
        <w:fldChar w:fldCharType="separate"/>
      </w:r>
      <w:r>
        <w:rPr>
          <w:rFonts w:hint="eastAsia" w:ascii="宋体" w:hAnsi="宋体" w:eastAsia="宋体" w:cs="宋体"/>
          <w:color w:val="auto"/>
        </w:rPr>
        <w:t>- 14 -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A6A957E">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"_Toc108545967" </w:instrText>
      </w:r>
      <w:r>
        <w:rPr>
          <w:rFonts w:hint="eastAsia" w:ascii="宋体" w:hAnsi="宋体" w:eastAsia="宋体" w:cs="宋体"/>
          <w:color w:val="auto"/>
        </w:rPr>
        <w:fldChar w:fldCharType="separate"/>
      </w:r>
      <w:r>
        <w:rPr>
          <w:rStyle w:val="30"/>
          <w:rFonts w:hint="eastAsia" w:ascii="宋体" w:hAnsi="宋体" w:eastAsia="宋体" w:cs="宋体"/>
          <w:color w:val="auto"/>
        </w:rPr>
        <w:t>九、签订合同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_Toc108545967 \h </w:instrText>
      </w:r>
      <w:r>
        <w:rPr>
          <w:rFonts w:hint="eastAsia" w:ascii="宋体" w:hAnsi="宋体" w:eastAsia="宋体" w:cs="宋体"/>
          <w:color w:val="auto"/>
        </w:rPr>
        <w:fldChar w:fldCharType="separate"/>
      </w:r>
      <w:r>
        <w:rPr>
          <w:rFonts w:hint="eastAsia" w:ascii="宋体" w:hAnsi="宋体" w:eastAsia="宋体" w:cs="宋体"/>
          <w:color w:val="auto"/>
        </w:rPr>
        <w:t>- 14 -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08AB464">
      <w:pPr>
        <w:pStyle w:val="18"/>
        <w:pageBreakBefore w:val="0"/>
        <w:kinsoku/>
        <w:overflowPunct/>
        <w:topLinePunct w:val="0"/>
        <w:bidi w:val="0"/>
        <w:spacing w:line="336" w:lineRule="auto"/>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"_Toc108545968" </w:instrText>
      </w:r>
      <w:r>
        <w:rPr>
          <w:rFonts w:hint="eastAsia" w:ascii="宋体" w:hAnsi="宋体" w:eastAsia="宋体" w:cs="宋体"/>
          <w:color w:val="auto"/>
        </w:rPr>
        <w:fldChar w:fldCharType="separate"/>
      </w:r>
      <w:r>
        <w:rPr>
          <w:rStyle w:val="30"/>
          <w:rFonts w:hint="eastAsia" w:ascii="宋体" w:hAnsi="宋体" w:eastAsia="宋体" w:cs="宋体"/>
          <w:color w:val="auto"/>
        </w:rPr>
        <w:t xml:space="preserve">第三篇  </w:t>
      </w:r>
      <w:r>
        <w:rPr>
          <w:rStyle w:val="30"/>
          <w:rFonts w:hint="eastAsia" w:ascii="宋体" w:hAnsi="宋体" w:eastAsia="宋体" w:cs="宋体"/>
          <w:color w:val="auto"/>
          <w:lang w:eastAsia="zh-CN"/>
        </w:rPr>
        <w:t>招标招标</w:t>
      </w:r>
      <w:r>
        <w:rPr>
          <w:rStyle w:val="30"/>
          <w:rFonts w:hint="eastAsia" w:ascii="宋体" w:hAnsi="宋体" w:eastAsia="宋体" w:cs="宋体"/>
          <w:color w:val="auto"/>
        </w:rPr>
        <w:t>服务需求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_Toc108545968 \h </w:instrText>
      </w:r>
      <w:r>
        <w:rPr>
          <w:rFonts w:hint="eastAsia" w:ascii="宋体" w:hAnsi="宋体" w:eastAsia="宋体" w:cs="宋体"/>
          <w:color w:val="auto"/>
        </w:rPr>
        <w:fldChar w:fldCharType="separate"/>
      </w:r>
      <w:r>
        <w:rPr>
          <w:rFonts w:hint="eastAsia" w:ascii="宋体" w:hAnsi="宋体" w:eastAsia="宋体" w:cs="宋体"/>
          <w:color w:val="auto"/>
        </w:rPr>
        <w:t>- 15 -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1E6DC3B">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"_Toc108545969" </w:instrText>
      </w:r>
      <w:r>
        <w:rPr>
          <w:rFonts w:hint="eastAsia" w:ascii="宋体" w:hAnsi="宋体" w:eastAsia="宋体" w:cs="宋体"/>
          <w:color w:val="auto"/>
        </w:rPr>
        <w:fldChar w:fldCharType="separate"/>
      </w:r>
      <w:r>
        <w:rPr>
          <w:rStyle w:val="30"/>
          <w:rFonts w:hint="eastAsia" w:ascii="宋体" w:hAnsi="宋体" w:eastAsia="宋体" w:cs="宋体"/>
          <w:color w:val="auto"/>
        </w:rPr>
        <w:t>一、项目基本概况介绍</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_Toc108545969 \h </w:instrText>
      </w:r>
      <w:r>
        <w:rPr>
          <w:rFonts w:hint="eastAsia" w:ascii="宋体" w:hAnsi="宋体" w:eastAsia="宋体" w:cs="宋体"/>
          <w:color w:val="auto"/>
        </w:rPr>
        <w:fldChar w:fldCharType="separate"/>
      </w:r>
      <w:r>
        <w:rPr>
          <w:rFonts w:hint="eastAsia" w:ascii="宋体" w:hAnsi="宋体" w:eastAsia="宋体" w:cs="宋体"/>
          <w:color w:val="auto"/>
        </w:rPr>
        <w:t>- 15 -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0CFCFDD">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"_Toc108545970" </w:instrText>
      </w:r>
      <w:r>
        <w:rPr>
          <w:rFonts w:hint="eastAsia" w:ascii="宋体" w:hAnsi="宋体" w:eastAsia="宋体" w:cs="宋体"/>
          <w:color w:val="auto"/>
        </w:rPr>
        <w:fldChar w:fldCharType="separate"/>
      </w:r>
      <w:r>
        <w:rPr>
          <w:rStyle w:val="30"/>
          <w:rFonts w:hint="eastAsia" w:ascii="宋体" w:hAnsi="宋体" w:eastAsia="宋体" w:cs="宋体"/>
          <w:color w:val="auto"/>
        </w:rPr>
        <w:t>二、项目要求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_Toc108545970 \h </w:instrText>
      </w:r>
      <w:r>
        <w:rPr>
          <w:rFonts w:hint="eastAsia" w:ascii="宋体" w:hAnsi="宋体" w:eastAsia="宋体" w:cs="宋体"/>
          <w:color w:val="auto"/>
        </w:rPr>
        <w:fldChar w:fldCharType="separate"/>
      </w:r>
      <w:r>
        <w:rPr>
          <w:rFonts w:hint="eastAsia" w:ascii="宋体" w:hAnsi="宋体" w:eastAsia="宋体" w:cs="宋体"/>
          <w:color w:val="auto"/>
        </w:rPr>
        <w:t>- 15 -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7649AF9">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"_Toc108545971" </w:instrText>
      </w:r>
      <w:r>
        <w:rPr>
          <w:rFonts w:hint="eastAsia" w:ascii="宋体" w:hAnsi="宋体" w:eastAsia="宋体" w:cs="宋体"/>
          <w:color w:val="auto"/>
        </w:rPr>
        <w:fldChar w:fldCharType="separate"/>
      </w:r>
      <w:r>
        <w:rPr>
          <w:rStyle w:val="30"/>
          <w:rFonts w:hint="eastAsia" w:ascii="宋体" w:hAnsi="宋体" w:eastAsia="宋体" w:cs="宋体"/>
          <w:color w:val="auto"/>
        </w:rPr>
        <w:t>三、安全要求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_Toc108545971 \h </w:instrText>
      </w:r>
      <w:r>
        <w:rPr>
          <w:rFonts w:hint="eastAsia" w:ascii="宋体" w:hAnsi="宋体" w:eastAsia="宋体" w:cs="宋体"/>
          <w:color w:val="auto"/>
        </w:rPr>
        <w:fldChar w:fldCharType="separate"/>
      </w:r>
      <w:r>
        <w:rPr>
          <w:rFonts w:hint="eastAsia" w:ascii="宋体" w:hAnsi="宋体" w:eastAsia="宋体" w:cs="宋体"/>
          <w:color w:val="auto"/>
        </w:rPr>
        <w:t>- 15 -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45146BF">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"_Toc108545972" </w:instrText>
      </w:r>
      <w:r>
        <w:rPr>
          <w:rFonts w:hint="eastAsia" w:ascii="宋体" w:hAnsi="宋体" w:eastAsia="宋体" w:cs="宋体"/>
          <w:color w:val="auto"/>
        </w:rPr>
        <w:fldChar w:fldCharType="separate"/>
      </w:r>
      <w:r>
        <w:rPr>
          <w:rStyle w:val="30"/>
          <w:rFonts w:hint="eastAsia" w:ascii="宋体" w:hAnsi="宋体" w:eastAsia="宋体" w:cs="宋体"/>
          <w:color w:val="auto"/>
        </w:rPr>
        <w:t>四、踏勘现场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_Toc108545972 \h </w:instrText>
      </w:r>
      <w:r>
        <w:rPr>
          <w:rFonts w:hint="eastAsia" w:ascii="宋体" w:hAnsi="宋体" w:eastAsia="宋体" w:cs="宋体"/>
          <w:color w:val="auto"/>
        </w:rPr>
        <w:fldChar w:fldCharType="separate"/>
      </w:r>
      <w:r>
        <w:rPr>
          <w:rFonts w:hint="eastAsia" w:ascii="宋体" w:hAnsi="宋体" w:eastAsia="宋体" w:cs="宋体"/>
          <w:color w:val="auto"/>
        </w:rPr>
        <w:t>- 15 -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1399922">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"_Toc108545973" </w:instrText>
      </w:r>
      <w:r>
        <w:rPr>
          <w:rFonts w:hint="eastAsia" w:ascii="宋体" w:hAnsi="宋体" w:eastAsia="宋体" w:cs="宋体"/>
          <w:color w:val="auto"/>
        </w:rPr>
        <w:fldChar w:fldCharType="separate"/>
      </w:r>
      <w:r>
        <w:rPr>
          <w:rStyle w:val="30"/>
          <w:rFonts w:hint="eastAsia" w:ascii="宋体" w:hAnsi="宋体" w:eastAsia="宋体" w:cs="宋体"/>
          <w:color w:val="auto"/>
        </w:rPr>
        <w:t>五、其他要求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_Toc108545973 \h </w:instrText>
      </w:r>
      <w:r>
        <w:rPr>
          <w:rFonts w:hint="eastAsia" w:ascii="宋体" w:hAnsi="宋体" w:eastAsia="宋体" w:cs="宋体"/>
          <w:color w:val="auto"/>
        </w:rPr>
        <w:fldChar w:fldCharType="separate"/>
      </w:r>
      <w:r>
        <w:rPr>
          <w:rFonts w:hint="eastAsia" w:ascii="宋体" w:hAnsi="宋体" w:eastAsia="宋体" w:cs="宋体"/>
          <w:color w:val="auto"/>
        </w:rPr>
        <w:t>- 16 -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7B44D06">
      <w:pPr>
        <w:pStyle w:val="18"/>
        <w:pageBreakBefore w:val="0"/>
        <w:kinsoku/>
        <w:overflowPunct/>
        <w:topLinePunct w:val="0"/>
        <w:bidi w:val="0"/>
        <w:spacing w:line="336" w:lineRule="auto"/>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"_Toc108545974" </w:instrText>
      </w:r>
      <w:r>
        <w:rPr>
          <w:rFonts w:hint="eastAsia" w:ascii="宋体" w:hAnsi="宋体" w:eastAsia="宋体" w:cs="宋体"/>
          <w:color w:val="auto"/>
        </w:rPr>
        <w:fldChar w:fldCharType="separate"/>
      </w:r>
      <w:r>
        <w:rPr>
          <w:rStyle w:val="30"/>
          <w:rFonts w:hint="eastAsia" w:ascii="宋体" w:hAnsi="宋体" w:eastAsia="宋体" w:cs="宋体"/>
          <w:color w:val="auto"/>
        </w:rPr>
        <w:t>第四篇  商务要求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_Toc108545974 \h </w:instrText>
      </w:r>
      <w:r>
        <w:rPr>
          <w:rFonts w:hint="eastAsia" w:ascii="宋体" w:hAnsi="宋体" w:eastAsia="宋体" w:cs="宋体"/>
          <w:color w:val="auto"/>
        </w:rPr>
        <w:fldChar w:fldCharType="separate"/>
      </w:r>
      <w:r>
        <w:rPr>
          <w:rFonts w:hint="eastAsia" w:ascii="宋体" w:hAnsi="宋体" w:eastAsia="宋体" w:cs="宋体"/>
          <w:color w:val="auto"/>
        </w:rPr>
        <w:t>- 17 -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7A25D0B">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"_Toc108545975" </w:instrText>
      </w:r>
      <w:r>
        <w:rPr>
          <w:rFonts w:hint="eastAsia" w:ascii="宋体" w:hAnsi="宋体" w:eastAsia="宋体" w:cs="宋体"/>
          <w:color w:val="auto"/>
        </w:rPr>
        <w:fldChar w:fldCharType="separate"/>
      </w:r>
      <w:r>
        <w:rPr>
          <w:rStyle w:val="30"/>
          <w:rFonts w:hint="eastAsia" w:ascii="宋体" w:hAnsi="宋体" w:eastAsia="宋体" w:cs="宋体"/>
          <w:color w:val="auto"/>
        </w:rPr>
        <w:t>一、工期、地点及验收方式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_Toc108545975 \h </w:instrText>
      </w:r>
      <w:r>
        <w:rPr>
          <w:rFonts w:hint="eastAsia" w:ascii="宋体" w:hAnsi="宋体" w:eastAsia="宋体" w:cs="宋体"/>
          <w:color w:val="auto"/>
        </w:rPr>
        <w:fldChar w:fldCharType="separate"/>
      </w:r>
      <w:r>
        <w:rPr>
          <w:rFonts w:hint="eastAsia" w:ascii="宋体" w:hAnsi="宋体" w:eastAsia="宋体" w:cs="宋体"/>
          <w:color w:val="auto"/>
        </w:rPr>
        <w:t>- 17 -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8F8DA25">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"_Toc108545976" </w:instrText>
      </w:r>
      <w:r>
        <w:rPr>
          <w:rFonts w:hint="eastAsia" w:ascii="宋体" w:hAnsi="宋体" w:eastAsia="宋体" w:cs="宋体"/>
          <w:color w:val="auto"/>
        </w:rPr>
        <w:fldChar w:fldCharType="separate"/>
      </w:r>
      <w:r>
        <w:rPr>
          <w:rStyle w:val="30"/>
          <w:rFonts w:hint="eastAsia" w:ascii="宋体" w:hAnsi="宋体" w:eastAsia="宋体" w:cs="宋体"/>
          <w:color w:val="auto"/>
        </w:rPr>
        <w:t>二、报价要求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_Toc108545976 \h </w:instrText>
      </w:r>
      <w:r>
        <w:rPr>
          <w:rFonts w:hint="eastAsia" w:ascii="宋体" w:hAnsi="宋体" w:eastAsia="宋体" w:cs="宋体"/>
          <w:color w:val="auto"/>
        </w:rPr>
        <w:fldChar w:fldCharType="separate"/>
      </w:r>
      <w:r>
        <w:rPr>
          <w:rFonts w:hint="eastAsia" w:ascii="宋体" w:hAnsi="宋体" w:eastAsia="宋体" w:cs="宋体"/>
          <w:color w:val="auto"/>
        </w:rPr>
        <w:t>- 17 -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7DE343C">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"_Toc108545977" </w:instrText>
      </w:r>
      <w:r>
        <w:rPr>
          <w:rFonts w:hint="eastAsia" w:ascii="宋体" w:hAnsi="宋体" w:eastAsia="宋体" w:cs="宋体"/>
          <w:color w:val="auto"/>
        </w:rPr>
        <w:fldChar w:fldCharType="separate"/>
      </w:r>
      <w:r>
        <w:rPr>
          <w:rStyle w:val="30"/>
          <w:rFonts w:hint="eastAsia" w:ascii="宋体" w:hAnsi="宋体" w:eastAsia="宋体" w:cs="宋体"/>
          <w:color w:val="auto"/>
        </w:rPr>
        <w:t>三、履约保证金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_Toc108545977 \h </w:instrText>
      </w:r>
      <w:r>
        <w:rPr>
          <w:rFonts w:hint="eastAsia" w:ascii="宋体" w:hAnsi="宋体" w:eastAsia="宋体" w:cs="宋体"/>
          <w:color w:val="auto"/>
        </w:rPr>
        <w:fldChar w:fldCharType="separate"/>
      </w:r>
      <w:r>
        <w:rPr>
          <w:rFonts w:hint="eastAsia" w:ascii="宋体" w:hAnsi="宋体" w:eastAsia="宋体" w:cs="宋体"/>
          <w:color w:val="auto"/>
        </w:rPr>
        <w:t>- 17 -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664BA78">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"_Toc108545978" </w:instrText>
      </w:r>
      <w:r>
        <w:rPr>
          <w:rFonts w:hint="eastAsia" w:ascii="宋体" w:hAnsi="宋体" w:eastAsia="宋体" w:cs="宋体"/>
          <w:color w:val="auto"/>
        </w:rPr>
        <w:fldChar w:fldCharType="separate"/>
      </w:r>
      <w:r>
        <w:rPr>
          <w:rStyle w:val="30"/>
          <w:rFonts w:hint="eastAsia" w:ascii="宋体" w:hAnsi="宋体" w:eastAsia="宋体" w:cs="宋体"/>
          <w:color w:val="auto"/>
        </w:rPr>
        <w:t>四、付款方式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_Toc108545978 \h </w:instrText>
      </w:r>
      <w:r>
        <w:rPr>
          <w:rFonts w:hint="eastAsia" w:ascii="宋体" w:hAnsi="宋体" w:eastAsia="宋体" w:cs="宋体"/>
          <w:color w:val="auto"/>
        </w:rPr>
        <w:fldChar w:fldCharType="separate"/>
      </w:r>
      <w:r>
        <w:rPr>
          <w:rFonts w:hint="eastAsia" w:ascii="宋体" w:hAnsi="宋体" w:eastAsia="宋体" w:cs="宋体"/>
          <w:color w:val="auto"/>
        </w:rPr>
        <w:t>- 18 -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255101D">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"_Toc108545979" </w:instrText>
      </w:r>
      <w:r>
        <w:rPr>
          <w:rFonts w:hint="eastAsia" w:ascii="宋体" w:hAnsi="宋体" w:eastAsia="宋体" w:cs="宋体"/>
          <w:color w:val="auto"/>
        </w:rPr>
        <w:fldChar w:fldCharType="separate"/>
      </w:r>
      <w:r>
        <w:rPr>
          <w:rStyle w:val="30"/>
          <w:rFonts w:hint="eastAsia" w:ascii="宋体" w:hAnsi="宋体" w:eastAsia="宋体" w:cs="宋体"/>
          <w:color w:val="auto"/>
        </w:rPr>
        <w:t>五、转包、分包</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_Toc108545979 \h </w:instrText>
      </w:r>
      <w:r>
        <w:rPr>
          <w:rFonts w:hint="eastAsia" w:ascii="宋体" w:hAnsi="宋体" w:eastAsia="宋体" w:cs="宋体"/>
          <w:color w:val="auto"/>
        </w:rPr>
        <w:fldChar w:fldCharType="separate"/>
      </w:r>
      <w:r>
        <w:rPr>
          <w:rFonts w:hint="eastAsia" w:ascii="宋体" w:hAnsi="宋体" w:eastAsia="宋体" w:cs="宋体"/>
          <w:color w:val="auto"/>
        </w:rPr>
        <w:t>- 20 -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1E49886">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"_Toc108545980" </w:instrText>
      </w:r>
      <w:r>
        <w:rPr>
          <w:rFonts w:hint="eastAsia" w:ascii="宋体" w:hAnsi="宋体" w:eastAsia="宋体" w:cs="宋体"/>
          <w:color w:val="auto"/>
        </w:rPr>
        <w:fldChar w:fldCharType="separate"/>
      </w:r>
      <w:r>
        <w:rPr>
          <w:rStyle w:val="30"/>
          <w:rFonts w:hint="eastAsia" w:ascii="宋体" w:hAnsi="宋体" w:eastAsia="宋体" w:cs="宋体"/>
          <w:color w:val="auto"/>
        </w:rPr>
        <w:t>六、其他</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_Toc108545980 \h </w:instrText>
      </w:r>
      <w:r>
        <w:rPr>
          <w:rFonts w:hint="eastAsia" w:ascii="宋体" w:hAnsi="宋体" w:eastAsia="宋体" w:cs="宋体"/>
          <w:color w:val="auto"/>
        </w:rPr>
        <w:fldChar w:fldCharType="separate"/>
      </w:r>
      <w:r>
        <w:rPr>
          <w:rFonts w:hint="eastAsia" w:ascii="宋体" w:hAnsi="宋体" w:eastAsia="宋体" w:cs="宋体"/>
          <w:color w:val="auto"/>
        </w:rPr>
        <w:t>- 21 -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E3376DC">
      <w:pPr>
        <w:pStyle w:val="18"/>
        <w:pageBreakBefore w:val="0"/>
        <w:kinsoku/>
        <w:overflowPunct/>
        <w:topLinePunct w:val="0"/>
        <w:bidi w:val="0"/>
        <w:spacing w:line="336" w:lineRule="auto"/>
        <w:textAlignment w:val="auto"/>
        <w:rPr>
          <w:rFonts w:hint="eastAsia" w:ascii="宋体" w:hAnsi="宋体" w:eastAsia="宋体" w:cs="宋体"/>
          <w:color w:val="auto"/>
          <w:kern w:val="2"/>
          <w:sz w:val="21"/>
        </w:rPr>
      </w:pPr>
    </w:p>
    <w:p w14:paraId="57E61131">
      <w:pPr>
        <w:pStyle w:val="18"/>
        <w:pageBreakBefore w:val="0"/>
        <w:kinsoku/>
        <w:overflowPunct/>
        <w:topLinePunct w:val="0"/>
        <w:bidi w:val="0"/>
        <w:spacing w:line="336" w:lineRule="auto"/>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"_Toc108545982" </w:instrText>
      </w:r>
      <w:r>
        <w:rPr>
          <w:rFonts w:hint="eastAsia" w:ascii="宋体" w:hAnsi="宋体" w:eastAsia="宋体" w:cs="宋体"/>
          <w:color w:val="auto"/>
        </w:rPr>
        <w:fldChar w:fldCharType="separate"/>
      </w:r>
      <w:r>
        <w:rPr>
          <w:rStyle w:val="30"/>
          <w:rFonts w:hint="eastAsia" w:ascii="宋体" w:hAnsi="宋体" w:eastAsia="宋体" w:cs="宋体"/>
          <w:color w:val="auto"/>
        </w:rPr>
        <w:t>第</w:t>
      </w:r>
      <w:r>
        <w:rPr>
          <w:rStyle w:val="30"/>
          <w:rFonts w:hint="eastAsia" w:ascii="宋体" w:hAnsi="宋体" w:eastAsia="宋体" w:cs="宋体"/>
          <w:color w:val="auto"/>
          <w:lang w:val="en-US" w:eastAsia="zh-CN"/>
        </w:rPr>
        <w:t>五</w:t>
      </w:r>
      <w:r>
        <w:rPr>
          <w:rStyle w:val="30"/>
          <w:rFonts w:hint="eastAsia" w:ascii="宋体" w:hAnsi="宋体" w:eastAsia="宋体" w:cs="宋体"/>
          <w:color w:val="auto"/>
        </w:rPr>
        <w:t>篇  响应文件格式要求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_Toc108545982 \h </w:instrText>
      </w:r>
      <w:r>
        <w:rPr>
          <w:rFonts w:hint="eastAsia" w:ascii="宋体" w:hAnsi="宋体" w:eastAsia="宋体" w:cs="宋体"/>
          <w:color w:val="auto"/>
        </w:rPr>
        <w:fldChar w:fldCharType="separate"/>
      </w:r>
      <w:r>
        <w:rPr>
          <w:rFonts w:hint="eastAsia" w:ascii="宋体" w:hAnsi="宋体" w:eastAsia="宋体" w:cs="宋体"/>
          <w:color w:val="auto"/>
        </w:rPr>
        <w:t>- 32 -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6CC0474">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"_Toc108545983" </w:instrText>
      </w:r>
      <w:r>
        <w:rPr>
          <w:rFonts w:hint="eastAsia" w:ascii="宋体" w:hAnsi="宋体" w:eastAsia="宋体" w:cs="宋体"/>
          <w:color w:val="auto"/>
        </w:rPr>
        <w:fldChar w:fldCharType="separate"/>
      </w:r>
      <w:r>
        <w:rPr>
          <w:rStyle w:val="30"/>
          <w:rFonts w:hint="eastAsia" w:ascii="宋体" w:hAnsi="宋体" w:eastAsia="宋体" w:cs="宋体"/>
          <w:color w:val="auto"/>
        </w:rPr>
        <w:t>一、经济部分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_Toc108545983 \h </w:instrText>
      </w:r>
      <w:r>
        <w:rPr>
          <w:rFonts w:hint="eastAsia" w:ascii="宋体" w:hAnsi="宋体" w:eastAsia="宋体" w:cs="宋体"/>
          <w:color w:val="auto"/>
        </w:rPr>
        <w:fldChar w:fldCharType="separate"/>
      </w:r>
      <w:r>
        <w:rPr>
          <w:rFonts w:hint="eastAsia" w:ascii="宋体" w:hAnsi="宋体" w:eastAsia="宋体" w:cs="宋体"/>
          <w:color w:val="auto"/>
        </w:rPr>
        <w:t>- 33 -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B307CB1">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"_Toc108545984" </w:instrText>
      </w:r>
      <w:r>
        <w:rPr>
          <w:rFonts w:hint="eastAsia" w:ascii="宋体" w:hAnsi="宋体" w:eastAsia="宋体" w:cs="宋体"/>
          <w:color w:val="auto"/>
        </w:rPr>
        <w:fldChar w:fldCharType="separate"/>
      </w:r>
      <w:r>
        <w:rPr>
          <w:rStyle w:val="30"/>
          <w:rFonts w:hint="eastAsia" w:ascii="宋体" w:hAnsi="宋体" w:eastAsia="宋体" w:cs="宋体"/>
          <w:color w:val="auto"/>
        </w:rPr>
        <w:t>二、技术部分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_Toc108545984 \h </w:instrText>
      </w:r>
      <w:r>
        <w:rPr>
          <w:rFonts w:hint="eastAsia" w:ascii="宋体" w:hAnsi="宋体" w:eastAsia="宋体" w:cs="宋体"/>
          <w:color w:val="auto"/>
        </w:rPr>
        <w:fldChar w:fldCharType="separate"/>
      </w:r>
      <w:r>
        <w:rPr>
          <w:rFonts w:hint="eastAsia" w:ascii="宋体" w:hAnsi="宋体" w:eastAsia="宋体" w:cs="宋体"/>
          <w:color w:val="auto"/>
        </w:rPr>
        <w:t>- 35 -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8346E88">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"_Toc108545985" </w:instrText>
      </w:r>
      <w:r>
        <w:rPr>
          <w:rFonts w:hint="eastAsia" w:ascii="宋体" w:hAnsi="宋体" w:eastAsia="宋体" w:cs="宋体"/>
          <w:color w:val="auto"/>
        </w:rPr>
        <w:fldChar w:fldCharType="separate"/>
      </w:r>
      <w:r>
        <w:rPr>
          <w:rStyle w:val="30"/>
          <w:rFonts w:hint="eastAsia" w:ascii="宋体" w:hAnsi="宋体" w:eastAsia="宋体" w:cs="宋体"/>
          <w:color w:val="auto"/>
        </w:rPr>
        <w:t>三、商务部分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_Toc108545985 \h </w:instrText>
      </w:r>
      <w:r>
        <w:rPr>
          <w:rFonts w:hint="eastAsia" w:ascii="宋体" w:hAnsi="宋体" w:eastAsia="宋体" w:cs="宋体"/>
          <w:color w:val="auto"/>
        </w:rPr>
        <w:fldChar w:fldCharType="separate"/>
      </w:r>
      <w:r>
        <w:rPr>
          <w:rFonts w:hint="eastAsia" w:ascii="宋体" w:hAnsi="宋体" w:eastAsia="宋体" w:cs="宋体"/>
          <w:color w:val="auto"/>
        </w:rPr>
        <w:t>- 37 -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8E0FB36">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"_Toc108545986" </w:instrText>
      </w:r>
      <w:r>
        <w:rPr>
          <w:rFonts w:hint="eastAsia" w:ascii="宋体" w:hAnsi="宋体" w:eastAsia="宋体" w:cs="宋体"/>
          <w:color w:val="auto"/>
        </w:rPr>
        <w:fldChar w:fldCharType="separate"/>
      </w:r>
      <w:r>
        <w:rPr>
          <w:rStyle w:val="30"/>
          <w:rFonts w:hint="eastAsia" w:ascii="宋体" w:hAnsi="宋体" w:eastAsia="宋体" w:cs="宋体"/>
          <w:color w:val="auto"/>
        </w:rPr>
        <w:t>四、资格条件及其他</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_Toc108545986 \h </w:instrText>
      </w:r>
      <w:r>
        <w:rPr>
          <w:rFonts w:hint="eastAsia" w:ascii="宋体" w:hAnsi="宋体" w:eastAsia="宋体" w:cs="宋体"/>
          <w:color w:val="auto"/>
        </w:rPr>
        <w:fldChar w:fldCharType="separate"/>
      </w:r>
      <w:r>
        <w:rPr>
          <w:rFonts w:hint="eastAsia" w:ascii="宋体" w:hAnsi="宋体" w:eastAsia="宋体" w:cs="宋体"/>
          <w:color w:val="auto"/>
        </w:rPr>
        <w:t>- 40 -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8E32BE9">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"_Toc108545987" </w:instrText>
      </w:r>
      <w:r>
        <w:rPr>
          <w:rFonts w:hint="eastAsia" w:ascii="宋体" w:hAnsi="宋体" w:eastAsia="宋体" w:cs="宋体"/>
          <w:color w:val="auto"/>
        </w:rPr>
        <w:fldChar w:fldCharType="separate"/>
      </w:r>
      <w:r>
        <w:rPr>
          <w:rStyle w:val="30"/>
          <w:rFonts w:hint="eastAsia" w:ascii="宋体" w:hAnsi="宋体" w:eastAsia="宋体" w:cs="宋体"/>
          <w:color w:val="auto"/>
        </w:rPr>
        <w:t>五、其他应提供的资料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_Toc108545987 \h </w:instrText>
      </w:r>
      <w:r>
        <w:rPr>
          <w:rFonts w:hint="eastAsia" w:ascii="宋体" w:hAnsi="宋体" w:eastAsia="宋体" w:cs="宋体"/>
          <w:color w:val="auto"/>
        </w:rPr>
        <w:fldChar w:fldCharType="separate"/>
      </w:r>
      <w:r>
        <w:rPr>
          <w:rFonts w:hint="eastAsia" w:ascii="宋体" w:hAnsi="宋体" w:eastAsia="宋体" w:cs="宋体"/>
          <w:color w:val="auto"/>
        </w:rPr>
        <w:t>- 44 -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941C293">
      <w:pPr>
        <w:pStyle w:val="17"/>
        <w:pageBreakBefore w:val="0"/>
        <w:kinsoku/>
        <w:overflowPunct/>
        <w:topLinePunct w:val="0"/>
        <w:bidi w:val="0"/>
        <w:spacing w:line="336" w:lineRule="auto"/>
        <w:textAlignment w:val="auto"/>
        <w:rPr>
          <w:rFonts w:hint="eastAsia" w:ascii="宋体" w:hAnsi="宋体" w:eastAsia="宋体" w:cs="宋体"/>
          <w:b w:val="0"/>
          <w:bCs w:val="0"/>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"_Toc108545988" </w:instrText>
      </w:r>
      <w:r>
        <w:rPr>
          <w:rFonts w:hint="eastAsia" w:ascii="宋体" w:hAnsi="宋体" w:eastAsia="宋体" w:cs="宋体"/>
          <w:color w:val="auto"/>
        </w:rPr>
        <w:fldChar w:fldCharType="separate"/>
      </w:r>
      <w:r>
        <w:rPr>
          <w:rStyle w:val="30"/>
          <w:rFonts w:hint="eastAsia" w:ascii="宋体" w:hAnsi="宋体" w:eastAsia="宋体" w:cs="宋体"/>
          <w:color w:val="auto"/>
        </w:rPr>
        <w:t>附件1：</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_Toc108545988 \h </w:instrText>
      </w:r>
      <w:r>
        <w:rPr>
          <w:rFonts w:hint="eastAsia" w:ascii="宋体" w:hAnsi="宋体" w:eastAsia="宋体" w:cs="宋体"/>
          <w:color w:val="auto"/>
        </w:rPr>
        <w:fldChar w:fldCharType="separate"/>
      </w:r>
      <w:r>
        <w:rPr>
          <w:rFonts w:hint="eastAsia" w:ascii="宋体" w:hAnsi="宋体" w:eastAsia="宋体" w:cs="宋体"/>
          <w:color w:val="auto"/>
        </w:rPr>
        <w:t xml:space="preserve">- </w:t>
      </w:r>
      <w:r>
        <w:rPr>
          <w:rFonts w:hint="eastAsia" w:ascii="宋体" w:hAnsi="宋体" w:eastAsia="宋体" w:cs="宋体"/>
          <w:color w:val="auto"/>
          <w:lang w:eastAsia="zh-CN"/>
        </w:rPr>
        <w:t>30</w:t>
      </w:r>
      <w:r>
        <w:rPr>
          <w:rFonts w:hint="eastAsia" w:ascii="宋体" w:hAnsi="宋体" w:eastAsia="宋体" w:cs="宋体"/>
          <w:color w:val="auto"/>
        </w:rPr>
        <w:t xml:space="preserve">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3B536C4">
      <w:pPr>
        <w:pageBreakBefore w:val="0"/>
        <w:kinsoku/>
        <w:overflowPunct/>
        <w:topLinePunct w:val="0"/>
        <w:bidi w:val="0"/>
        <w:spacing w:line="336" w:lineRule="auto"/>
        <w:textAlignment w:val="auto"/>
        <w:rPr>
          <w:rFonts w:hint="eastAsia" w:ascii="宋体" w:hAnsi="宋体" w:eastAsia="宋体" w:cs="宋体"/>
          <w:color w:val="auto"/>
        </w:rPr>
        <w:sectPr>
          <w:footerReference r:id="rId10" w:type="first"/>
          <w:headerReference r:id="rId8" w:type="default"/>
          <w:footerReference r:id="rId9"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宋体" w:hAnsi="宋体" w:eastAsia="宋体" w:cs="宋体"/>
          <w:bCs/>
          <w:color w:val="auto"/>
        </w:rPr>
        <w:fldChar w:fldCharType="end"/>
      </w:r>
    </w:p>
    <w:p w14:paraId="67B3A85E">
      <w:pPr>
        <w:pStyle w:val="3"/>
        <w:pageBreakBefore w:val="0"/>
        <w:kinsoku/>
        <w:overflowPunct/>
        <w:topLinePunct w:val="0"/>
        <w:bidi w:val="0"/>
        <w:spacing w:line="336" w:lineRule="auto"/>
        <w:jc w:val="center"/>
        <w:textAlignment w:val="auto"/>
        <w:rPr>
          <w:rFonts w:hint="eastAsia" w:ascii="宋体" w:hAnsi="宋体" w:eastAsia="宋体" w:cs="宋体"/>
          <w:color w:val="auto"/>
          <w:sz w:val="36"/>
          <w:szCs w:val="36"/>
        </w:rPr>
      </w:pPr>
      <w:bookmarkStart w:id="6" w:name="_Toc152480139"/>
      <w:bookmarkStart w:id="7" w:name="_Toc108545950"/>
      <w:bookmarkStart w:id="8" w:name="_Toc128744981"/>
      <w:bookmarkStart w:id="9" w:name="_Toc12789052"/>
      <w:bookmarkStart w:id="10" w:name="_Toc11641050"/>
      <w:r>
        <w:rPr>
          <w:rFonts w:hint="eastAsia" w:ascii="宋体" w:hAnsi="宋体" w:eastAsia="宋体" w:cs="宋体"/>
          <w:color w:val="auto"/>
          <w:sz w:val="36"/>
          <w:szCs w:val="36"/>
        </w:rPr>
        <w:t xml:space="preserve">第一篇  </w:t>
      </w:r>
      <w:r>
        <w:rPr>
          <w:rFonts w:hint="eastAsia" w:ascii="宋体" w:hAnsi="宋体" w:cs="宋体"/>
          <w:color w:val="auto"/>
          <w:sz w:val="36"/>
          <w:szCs w:val="36"/>
          <w:lang w:eastAsia="zh-CN"/>
        </w:rPr>
        <w:t>招标</w:t>
      </w:r>
      <w:r>
        <w:rPr>
          <w:rFonts w:hint="eastAsia" w:ascii="宋体" w:hAnsi="宋体" w:eastAsia="宋体" w:cs="宋体"/>
          <w:color w:val="auto"/>
          <w:sz w:val="36"/>
          <w:szCs w:val="36"/>
        </w:rPr>
        <w:t>邀请书</w:t>
      </w:r>
      <w:bookmarkEnd w:id="6"/>
      <w:bookmarkEnd w:id="7"/>
    </w:p>
    <w:p w14:paraId="54A01FBB">
      <w:pPr>
        <w:pageBreakBefore w:val="0"/>
        <w:kinsoku/>
        <w:overflowPunct/>
        <w:topLinePunct w:val="0"/>
        <w:bidi w:val="0"/>
        <w:snapToGrid w:val="0"/>
        <w:spacing w:line="336" w:lineRule="auto"/>
        <w:textAlignment w:val="auto"/>
        <w:rPr>
          <w:rFonts w:hint="eastAsia" w:ascii="宋体" w:hAnsi="宋体" w:eastAsia="宋体" w:cs="宋体"/>
          <w:color w:val="auto"/>
        </w:rPr>
      </w:pPr>
    </w:p>
    <w:p w14:paraId="4667D0C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bookmarkStart w:id="11" w:name="_Toc379619850"/>
      <w:r>
        <w:rPr>
          <w:rFonts w:hint="eastAsia" w:ascii="宋体" w:hAnsi="宋体" w:eastAsia="宋体" w:cs="宋体"/>
          <w:color w:val="auto"/>
        </w:rPr>
        <w:t>受</w:t>
      </w:r>
      <w:r>
        <w:rPr>
          <w:rFonts w:hint="eastAsia" w:cs="宋体"/>
          <w:color w:val="auto"/>
          <w:u w:val="single"/>
          <w:lang w:eastAsia="zh-CN"/>
        </w:rPr>
        <w:t xml:space="preserve">重庆市九龙坡区含谷镇人民政府 </w:t>
      </w:r>
      <w:r>
        <w:rPr>
          <w:rFonts w:hint="eastAsia" w:ascii="宋体" w:hAnsi="宋体" w:eastAsia="宋体" w:cs="宋体"/>
          <w:color w:val="auto"/>
        </w:rPr>
        <w:t>的委托，我公司组织对</w:t>
      </w:r>
      <w:r>
        <w:rPr>
          <w:rFonts w:hint="eastAsia" w:cs="宋体"/>
          <w:color w:val="auto"/>
          <w:u w:val="single"/>
          <w:lang w:val="en-US" w:eastAsia="zh-CN"/>
        </w:rPr>
        <w:t>含谷镇一般不可移动文物公信堂修缮施工项目</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进行</w:t>
      </w:r>
      <w:r>
        <w:rPr>
          <w:rFonts w:hint="eastAsia" w:cs="宋体"/>
          <w:color w:val="auto"/>
          <w:lang w:eastAsia="zh-CN"/>
        </w:rPr>
        <w:t>招标招标</w:t>
      </w:r>
      <w:r>
        <w:rPr>
          <w:rFonts w:hint="eastAsia" w:ascii="宋体" w:hAnsi="宋体" w:eastAsia="宋体" w:cs="宋体"/>
          <w:color w:val="auto"/>
        </w:rPr>
        <w:t>。欢迎具备相关资质的供应商参加。</w:t>
      </w:r>
    </w:p>
    <w:p w14:paraId="128B9F47">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12" w:name="_Toc108545951"/>
      <w:r>
        <w:rPr>
          <w:rFonts w:hint="eastAsia" w:ascii="宋体" w:hAnsi="宋体" w:eastAsia="宋体" w:cs="宋体"/>
          <w:color w:val="auto"/>
          <w:sz w:val="24"/>
          <w:szCs w:val="24"/>
        </w:rPr>
        <w:t>一、</w:t>
      </w:r>
      <w:r>
        <w:rPr>
          <w:rFonts w:hint="eastAsia" w:ascii="宋体" w:hAnsi="宋体" w:cs="宋体"/>
          <w:color w:val="auto"/>
          <w:sz w:val="24"/>
          <w:szCs w:val="24"/>
          <w:lang w:eastAsia="zh-CN"/>
        </w:rPr>
        <w:t>招标</w:t>
      </w:r>
      <w:r>
        <w:rPr>
          <w:rFonts w:hint="eastAsia" w:ascii="宋体" w:hAnsi="宋体" w:eastAsia="宋体" w:cs="宋体"/>
          <w:color w:val="auto"/>
          <w:sz w:val="24"/>
          <w:szCs w:val="24"/>
        </w:rPr>
        <w:t>项目内容</w:t>
      </w:r>
      <w:bookmarkEnd w:id="11"/>
      <w:bookmarkEnd w:id="12"/>
    </w:p>
    <w:tbl>
      <w:tblPr>
        <w:tblStyle w:val="23"/>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1"/>
        <w:gridCol w:w="2890"/>
        <w:gridCol w:w="1559"/>
        <w:gridCol w:w="1364"/>
      </w:tblGrid>
      <w:tr w14:paraId="5F00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631" w:type="dxa"/>
            <w:vAlign w:val="center"/>
          </w:tcPr>
          <w:p w14:paraId="6F15879C">
            <w:pPr>
              <w:pageBreakBefore w:val="0"/>
              <w:kinsoku/>
              <w:overflowPunct/>
              <w:topLinePunct w:val="0"/>
              <w:bidi w:val="0"/>
              <w:spacing w:line="336" w:lineRule="auto"/>
              <w:jc w:val="center"/>
              <w:textAlignment w:val="auto"/>
              <w:rPr>
                <w:rFonts w:hint="eastAsia" w:ascii="宋体" w:hAnsi="宋体" w:eastAsia="宋体" w:cs="宋体"/>
                <w:b/>
                <w:bCs/>
                <w:color w:val="auto"/>
              </w:rPr>
            </w:pPr>
            <w:bookmarkStart w:id="13" w:name="_Toc378251877"/>
            <w:bookmarkStart w:id="14" w:name="_Toc152480140"/>
            <w:r>
              <w:rPr>
                <w:rFonts w:hint="eastAsia" w:ascii="宋体" w:hAnsi="宋体" w:eastAsia="宋体" w:cs="宋体"/>
                <w:b/>
                <w:bCs/>
                <w:color w:val="auto"/>
              </w:rPr>
              <w:t>项目名称</w:t>
            </w:r>
          </w:p>
        </w:tc>
        <w:tc>
          <w:tcPr>
            <w:tcW w:w="2890" w:type="dxa"/>
            <w:vAlign w:val="center"/>
          </w:tcPr>
          <w:p w14:paraId="22DD1951">
            <w:pPr>
              <w:pageBreakBefore w:val="0"/>
              <w:kinsoku/>
              <w:overflowPunct/>
              <w:topLinePunct w:val="0"/>
              <w:bidi w:val="0"/>
              <w:spacing w:line="336" w:lineRule="auto"/>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最高限价</w:t>
            </w:r>
          </w:p>
          <w:p w14:paraId="1BBB00CD">
            <w:pPr>
              <w:pageBreakBefore w:val="0"/>
              <w:kinsoku/>
              <w:overflowPunct/>
              <w:topLinePunct w:val="0"/>
              <w:bidi w:val="0"/>
              <w:spacing w:line="336" w:lineRule="auto"/>
              <w:jc w:val="center"/>
              <w:textAlignment w:val="auto"/>
              <w:rPr>
                <w:rFonts w:hint="eastAsia" w:ascii="宋体" w:hAnsi="宋体" w:eastAsia="宋体" w:cs="宋体"/>
                <w:b/>
                <w:bCs/>
                <w:color w:val="auto"/>
              </w:rPr>
            </w:pPr>
            <w:r>
              <w:rPr>
                <w:rFonts w:hint="eastAsia" w:ascii="宋体" w:hAnsi="宋体" w:eastAsia="宋体" w:cs="宋体"/>
                <w:b/>
                <w:bCs/>
                <w:color w:val="auto"/>
                <w:highlight w:val="none"/>
              </w:rPr>
              <w:t>（元）</w:t>
            </w:r>
          </w:p>
        </w:tc>
        <w:tc>
          <w:tcPr>
            <w:tcW w:w="1559" w:type="dxa"/>
            <w:vAlign w:val="center"/>
          </w:tcPr>
          <w:p w14:paraId="1163C34F">
            <w:pPr>
              <w:pageBreakBefore w:val="0"/>
              <w:kinsoku/>
              <w:overflowPunct/>
              <w:topLinePunct w:val="0"/>
              <w:bidi w:val="0"/>
              <w:spacing w:line="336" w:lineRule="auto"/>
              <w:jc w:val="center"/>
              <w:textAlignment w:val="auto"/>
              <w:rPr>
                <w:rFonts w:hint="eastAsia" w:ascii="宋体" w:hAnsi="宋体" w:eastAsia="宋体" w:cs="宋体"/>
                <w:b/>
                <w:bCs/>
                <w:color w:val="auto"/>
                <w:lang w:eastAsia="zh-CN"/>
              </w:rPr>
            </w:pPr>
            <w:r>
              <w:rPr>
                <w:rFonts w:hint="eastAsia" w:ascii="宋体" w:hAnsi="宋体" w:eastAsia="宋体" w:cs="宋体"/>
                <w:b/>
                <w:bCs/>
                <w:color w:val="auto"/>
                <w:lang w:eastAsia="zh-CN"/>
              </w:rPr>
              <w:t>投标保证金（元）</w:t>
            </w:r>
          </w:p>
        </w:tc>
        <w:tc>
          <w:tcPr>
            <w:tcW w:w="1364" w:type="dxa"/>
            <w:vAlign w:val="center"/>
          </w:tcPr>
          <w:p w14:paraId="3C6420A1">
            <w:pPr>
              <w:pageBreakBefore w:val="0"/>
              <w:kinsoku/>
              <w:overflowPunct/>
              <w:topLinePunct w:val="0"/>
              <w:bidi w:val="0"/>
              <w:spacing w:line="336" w:lineRule="auto"/>
              <w:jc w:val="center"/>
              <w:textAlignment w:val="auto"/>
              <w:rPr>
                <w:rFonts w:hint="eastAsia" w:ascii="宋体" w:hAnsi="宋体" w:eastAsia="宋体" w:cs="宋体"/>
                <w:b/>
                <w:bCs/>
                <w:color w:val="auto"/>
              </w:rPr>
            </w:pPr>
            <w:r>
              <w:rPr>
                <w:rFonts w:hint="eastAsia" w:ascii="宋体" w:hAnsi="宋体" w:eastAsia="宋体" w:cs="宋体"/>
                <w:b/>
                <w:bCs/>
                <w:color w:val="auto"/>
              </w:rPr>
              <w:t>成交供应商数量（名）</w:t>
            </w:r>
          </w:p>
        </w:tc>
      </w:tr>
      <w:tr w14:paraId="52F4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3631" w:type="dxa"/>
            <w:vAlign w:val="center"/>
          </w:tcPr>
          <w:p w14:paraId="4BE5E2FB">
            <w:pPr>
              <w:pageBreakBefore w:val="0"/>
              <w:kinsoku/>
              <w:overflowPunct/>
              <w:topLinePunct w:val="0"/>
              <w:bidi w:val="0"/>
              <w:spacing w:line="336" w:lineRule="auto"/>
              <w:jc w:val="center"/>
              <w:textAlignment w:val="auto"/>
              <w:rPr>
                <w:rFonts w:hint="eastAsia" w:ascii="宋体" w:hAnsi="宋体" w:eastAsia="宋体" w:cs="宋体"/>
                <w:color w:val="auto"/>
                <w:lang w:eastAsia="zh-CN"/>
              </w:rPr>
            </w:pPr>
            <w:r>
              <w:rPr>
                <w:rFonts w:hint="eastAsia" w:cs="宋体"/>
                <w:color w:val="auto"/>
                <w:u w:val="single"/>
                <w:lang w:val="en-US" w:eastAsia="zh-CN"/>
              </w:rPr>
              <w:t>含谷镇一般不可移动文物公信堂修缮施工项目</w:t>
            </w:r>
          </w:p>
        </w:tc>
        <w:tc>
          <w:tcPr>
            <w:tcW w:w="2890" w:type="dxa"/>
            <w:vAlign w:val="center"/>
          </w:tcPr>
          <w:p w14:paraId="2F7647EC">
            <w:pPr>
              <w:pageBreakBefore w:val="0"/>
              <w:kinsoku/>
              <w:overflowPunct/>
              <w:topLinePunct w:val="0"/>
              <w:bidi w:val="0"/>
              <w:spacing w:line="336" w:lineRule="auto"/>
              <w:jc w:val="center"/>
              <w:textAlignment w:val="auto"/>
              <w:rPr>
                <w:rFonts w:hint="default" w:ascii="宋体" w:hAnsi="宋体" w:eastAsia="宋体" w:cs="宋体"/>
                <w:color w:val="auto"/>
                <w:lang w:val="en-US" w:eastAsia="zh-CN"/>
              </w:rPr>
            </w:pPr>
            <w:r>
              <w:rPr>
                <w:rFonts w:hint="eastAsia" w:cs="宋体"/>
                <w:b/>
                <w:bCs/>
                <w:color w:val="auto"/>
                <w:highlight w:val="none"/>
                <w:u w:val="none"/>
                <w:lang w:val="en-US" w:eastAsia="zh-CN"/>
              </w:rPr>
              <w:t>229,922.17</w:t>
            </w:r>
          </w:p>
        </w:tc>
        <w:tc>
          <w:tcPr>
            <w:tcW w:w="1559" w:type="dxa"/>
            <w:vAlign w:val="center"/>
          </w:tcPr>
          <w:p w14:paraId="50AA3A9D">
            <w:pPr>
              <w:pageBreakBefore w:val="0"/>
              <w:kinsoku/>
              <w:overflowPunct/>
              <w:topLinePunct w:val="0"/>
              <w:bidi w:val="0"/>
              <w:spacing w:line="336" w:lineRule="auto"/>
              <w:jc w:val="center"/>
              <w:textAlignment w:val="auto"/>
              <w:rPr>
                <w:rFonts w:hint="default" w:ascii="宋体" w:hAnsi="宋体" w:eastAsia="宋体" w:cs="宋体"/>
                <w:color w:val="auto"/>
                <w:lang w:val="en-US" w:eastAsia="zh-CN"/>
              </w:rPr>
            </w:pPr>
            <w:r>
              <w:rPr>
                <w:rFonts w:hint="eastAsia" w:cs="宋体"/>
                <w:color w:val="auto"/>
                <w:lang w:val="en-US" w:eastAsia="zh-CN"/>
              </w:rPr>
              <w:t>无</w:t>
            </w:r>
          </w:p>
        </w:tc>
        <w:tc>
          <w:tcPr>
            <w:tcW w:w="1364" w:type="dxa"/>
            <w:vAlign w:val="center"/>
          </w:tcPr>
          <w:p w14:paraId="3FC34479">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1</w:t>
            </w:r>
          </w:p>
        </w:tc>
      </w:tr>
    </w:tbl>
    <w:p w14:paraId="36AFB749">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highlight w:val="none"/>
        </w:rPr>
      </w:pPr>
      <w:bookmarkStart w:id="15" w:name="_Toc108545952"/>
      <w:r>
        <w:rPr>
          <w:rFonts w:hint="eastAsia" w:ascii="宋体" w:hAnsi="宋体" w:eastAsia="宋体" w:cs="宋体"/>
          <w:color w:val="auto"/>
          <w:sz w:val="24"/>
          <w:szCs w:val="24"/>
        </w:rPr>
        <w:t>二、</w:t>
      </w:r>
      <w:r>
        <w:rPr>
          <w:rFonts w:hint="eastAsia" w:ascii="宋体" w:hAnsi="宋体" w:eastAsia="宋体" w:cs="宋体"/>
          <w:color w:val="auto"/>
          <w:sz w:val="24"/>
          <w:szCs w:val="24"/>
          <w:highlight w:val="none"/>
        </w:rPr>
        <w:t>资金来源</w:t>
      </w:r>
      <w:bookmarkEnd w:id="13"/>
      <w:bookmarkEnd w:id="15"/>
    </w:p>
    <w:p w14:paraId="5E14DBD9">
      <w:pPr>
        <w:pageBreakBefore w:val="0"/>
        <w:kinsoku/>
        <w:overflowPunct/>
        <w:topLinePunct w:val="0"/>
        <w:bidi w:val="0"/>
        <w:snapToGrid w:val="0"/>
        <w:spacing w:line="336" w:lineRule="auto"/>
        <w:ind w:firstLine="480" w:firstLineChars="200"/>
        <w:textAlignment w:val="auto"/>
        <w:rPr>
          <w:rFonts w:hint="eastAsia" w:cs="宋体"/>
          <w:color w:val="auto"/>
          <w:u w:val="single"/>
          <w:lang w:val="en-US" w:eastAsia="zh-CN"/>
        </w:rPr>
      </w:pPr>
    </w:p>
    <w:p w14:paraId="66A78C02">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cs="宋体"/>
          <w:color w:val="auto"/>
          <w:u w:val="single"/>
          <w:lang w:val="en-US" w:eastAsia="zh-CN"/>
        </w:rPr>
        <w:t xml:space="preserve">区级、市级资金 </w:t>
      </w:r>
      <w:r>
        <w:rPr>
          <w:rFonts w:hint="eastAsia" w:cs="宋体"/>
          <w:color w:val="auto"/>
          <w:lang w:val="en-US" w:eastAsia="zh-CN"/>
        </w:rPr>
        <w:t xml:space="preserve"> </w:t>
      </w:r>
      <w:r>
        <w:rPr>
          <w:rFonts w:hint="eastAsia" w:ascii="宋体" w:hAnsi="宋体" w:eastAsia="宋体" w:cs="宋体"/>
          <w:color w:val="auto"/>
        </w:rPr>
        <w:t>。</w:t>
      </w:r>
    </w:p>
    <w:p w14:paraId="4D10FAA7">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16" w:name="_Toc108545953"/>
      <w:r>
        <w:rPr>
          <w:rFonts w:hint="eastAsia" w:ascii="宋体" w:hAnsi="宋体" w:eastAsia="宋体" w:cs="宋体"/>
          <w:color w:val="auto"/>
          <w:sz w:val="24"/>
          <w:szCs w:val="24"/>
        </w:rPr>
        <w:t>三、资格要求</w:t>
      </w:r>
      <w:bookmarkEnd w:id="16"/>
    </w:p>
    <w:p w14:paraId="6CCDECD3">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cs="宋体"/>
          <w:color w:val="auto"/>
          <w:lang w:eastAsia="zh-CN"/>
        </w:rPr>
        <w:t>招标</w:t>
      </w:r>
      <w:r>
        <w:rPr>
          <w:rFonts w:hint="eastAsia" w:ascii="宋体" w:hAnsi="宋体" w:eastAsia="宋体" w:cs="宋体"/>
          <w:color w:val="auto"/>
        </w:rPr>
        <w:t>供应商是指向</w:t>
      </w:r>
      <w:r>
        <w:rPr>
          <w:rFonts w:hint="eastAsia" w:cs="宋体"/>
          <w:color w:val="auto"/>
          <w:lang w:eastAsia="zh-CN"/>
        </w:rPr>
        <w:t>招标</w:t>
      </w:r>
      <w:r>
        <w:rPr>
          <w:rFonts w:hint="eastAsia" w:ascii="宋体" w:hAnsi="宋体" w:eastAsia="宋体" w:cs="宋体"/>
          <w:color w:val="auto"/>
        </w:rPr>
        <w:t>人提供货物、工程或者服务的法人、其他组织或者自然人。以下简称供应商。</w:t>
      </w:r>
    </w:p>
    <w:p w14:paraId="576859B2">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合格的供应商应符合下列条件：</w:t>
      </w:r>
    </w:p>
    <w:p w14:paraId="7541105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bookmarkStart w:id="17" w:name="_Toc487204774"/>
      <w:bookmarkStart w:id="18" w:name="_Toc1359"/>
      <w:r>
        <w:rPr>
          <w:rFonts w:hint="eastAsia" w:ascii="宋体" w:hAnsi="宋体" w:eastAsia="宋体" w:cs="宋体"/>
          <w:color w:val="auto"/>
        </w:rPr>
        <w:t>（一）基本条件</w:t>
      </w:r>
    </w:p>
    <w:p w14:paraId="016C37B2">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1、具有独立承担民事责任的能力；</w:t>
      </w:r>
    </w:p>
    <w:p w14:paraId="466F6A77">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2、具有良好的商业信誉和健全的财务会计制度；</w:t>
      </w:r>
    </w:p>
    <w:p w14:paraId="50B8C4BF">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3、具有履行合同所必需的设备和专业技术能力；</w:t>
      </w:r>
    </w:p>
    <w:p w14:paraId="65B0CA25">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4、有依法缴纳税收和社会保障资金的良好记录；</w:t>
      </w:r>
    </w:p>
    <w:p w14:paraId="5B66CB1F">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5、参加政府</w:t>
      </w:r>
      <w:r>
        <w:rPr>
          <w:rFonts w:hint="eastAsia" w:cs="宋体"/>
          <w:color w:val="auto"/>
          <w:lang w:eastAsia="zh-CN"/>
        </w:rPr>
        <w:t>招标</w:t>
      </w:r>
      <w:r>
        <w:rPr>
          <w:rFonts w:hint="eastAsia" w:ascii="宋体" w:hAnsi="宋体" w:eastAsia="宋体" w:cs="宋体"/>
          <w:color w:val="auto"/>
        </w:rPr>
        <w:t>活动前三年内，在经营活动中没有重大违法记录。</w:t>
      </w:r>
    </w:p>
    <w:p w14:paraId="00FBC6B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（二）特定资格条件</w:t>
      </w:r>
    </w:p>
    <w:p w14:paraId="0B67664B">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bookmarkStart w:id="19" w:name="_Toc108545954"/>
      <w:r>
        <w:rPr>
          <w:rFonts w:hint="eastAsia" w:ascii="宋体" w:hAnsi="宋体" w:eastAsia="宋体" w:cs="宋体"/>
          <w:color w:val="auto"/>
          <w:u w:val="none"/>
        </w:rPr>
        <w:t>具备文物保护</w:t>
      </w:r>
      <w:r>
        <w:rPr>
          <w:rFonts w:hint="eastAsia" w:cs="宋体"/>
          <w:color w:val="auto"/>
          <w:u w:val="none"/>
          <w:lang w:val="en-US" w:eastAsia="zh-CN"/>
        </w:rPr>
        <w:t>施工资质三级及以上资质</w:t>
      </w:r>
      <w:r>
        <w:rPr>
          <w:rFonts w:hint="eastAsia" w:ascii="宋体" w:hAnsi="宋体" w:eastAsia="宋体" w:cs="宋体"/>
          <w:color w:val="auto"/>
          <w:u w:val="none"/>
        </w:rPr>
        <w:t>。</w:t>
      </w:r>
      <w:r>
        <w:rPr>
          <w:rFonts w:hint="eastAsia" w:ascii="宋体" w:hAnsi="宋体" w:eastAsia="宋体" w:cs="宋体"/>
          <w:color w:val="auto"/>
        </w:rPr>
        <w:t>（提供证书副本复印件并加盖供应商公章）。</w:t>
      </w:r>
    </w:p>
    <w:p w14:paraId="0C398410">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w:t>
      </w:r>
      <w:r>
        <w:rPr>
          <w:rFonts w:hint="eastAsia" w:ascii="宋体" w:hAnsi="宋体" w:cs="宋体"/>
          <w:color w:val="auto"/>
          <w:sz w:val="24"/>
          <w:szCs w:val="24"/>
          <w:lang w:eastAsia="zh-CN"/>
        </w:rPr>
        <w:t>招标</w:t>
      </w:r>
      <w:r>
        <w:rPr>
          <w:rFonts w:hint="eastAsia" w:ascii="宋体" w:hAnsi="宋体" w:eastAsia="宋体" w:cs="宋体"/>
          <w:color w:val="auto"/>
          <w:sz w:val="24"/>
          <w:szCs w:val="24"/>
        </w:rPr>
        <w:t>有关说明</w:t>
      </w:r>
      <w:bookmarkEnd w:id="17"/>
      <w:bookmarkEnd w:id="18"/>
      <w:bookmarkEnd w:id="19"/>
    </w:p>
    <w:p w14:paraId="183A0EA4">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（一）凡有意参加</w:t>
      </w:r>
      <w:r>
        <w:rPr>
          <w:rFonts w:hint="eastAsia" w:cs="宋体"/>
          <w:color w:val="auto"/>
          <w:lang w:eastAsia="zh-CN"/>
        </w:rPr>
        <w:t>招标</w:t>
      </w:r>
      <w:r>
        <w:rPr>
          <w:rFonts w:hint="eastAsia" w:ascii="宋体" w:hAnsi="宋体" w:eastAsia="宋体" w:cs="宋体"/>
          <w:color w:val="auto"/>
        </w:rPr>
        <w:t>的供应商，请于公告发布之日起至提交首次响应文件截止时间之前，在“行采家(</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"https://www.gec123.com/" </w:instrText>
      </w:r>
      <w:r>
        <w:rPr>
          <w:rFonts w:hint="eastAsia" w:ascii="宋体" w:hAnsi="宋体" w:eastAsia="宋体" w:cs="宋体"/>
          <w:color w:val="auto"/>
        </w:rPr>
        <w:fldChar w:fldCharType="separate"/>
      </w:r>
      <w:r>
        <w:rPr>
          <w:rFonts w:hint="eastAsia" w:ascii="宋体" w:hAnsi="宋体" w:eastAsia="宋体" w:cs="宋体"/>
          <w:color w:val="auto"/>
        </w:rPr>
        <w:t>https://www.gec123.com</w:t>
      </w:r>
      <w:r>
        <w:rPr>
          <w:rFonts w:hint="eastAsia" w:ascii="宋体" w:hAnsi="宋体" w:eastAsia="宋体" w:cs="宋体"/>
          <w:color w:val="auto"/>
        </w:rPr>
        <w:fldChar w:fldCharType="end"/>
      </w:r>
      <w:r>
        <w:rPr>
          <w:rFonts w:hint="eastAsia" w:ascii="宋体" w:hAnsi="宋体" w:eastAsia="宋体" w:cs="宋体"/>
          <w:color w:val="auto"/>
        </w:rPr>
        <w:t>）”上下载或到</w:t>
      </w:r>
      <w:r>
        <w:rPr>
          <w:rFonts w:hint="eastAsia" w:cs="宋体"/>
          <w:color w:val="auto"/>
          <w:lang w:eastAsia="zh-CN"/>
        </w:rPr>
        <w:t>招标</w:t>
      </w:r>
      <w:r>
        <w:rPr>
          <w:rFonts w:hint="eastAsia" w:ascii="宋体" w:hAnsi="宋体" w:eastAsia="宋体" w:cs="宋体"/>
          <w:color w:val="auto"/>
        </w:rPr>
        <w:t>代理机构领取本项目</w:t>
      </w:r>
      <w:r>
        <w:rPr>
          <w:rFonts w:hint="eastAsia" w:cs="宋体"/>
          <w:color w:val="auto"/>
          <w:lang w:eastAsia="zh-CN"/>
        </w:rPr>
        <w:t>招标</w:t>
      </w:r>
      <w:r>
        <w:rPr>
          <w:rFonts w:hint="eastAsia" w:ascii="宋体" w:hAnsi="宋体" w:eastAsia="宋体" w:cs="宋体"/>
          <w:color w:val="auto"/>
        </w:rPr>
        <w:t>文件以及图纸、补遗等</w:t>
      </w:r>
      <w:r>
        <w:rPr>
          <w:rFonts w:hint="eastAsia" w:cs="宋体"/>
          <w:color w:val="auto"/>
          <w:lang w:eastAsia="zh-CN"/>
        </w:rPr>
        <w:t>招标</w:t>
      </w:r>
      <w:r>
        <w:rPr>
          <w:rFonts w:hint="eastAsia" w:ascii="宋体" w:hAnsi="宋体" w:eastAsia="宋体" w:cs="宋体"/>
          <w:color w:val="auto"/>
        </w:rPr>
        <w:t>前公布的所有项目资料，无论供应商下载或领取与否，均视为已知晓所有</w:t>
      </w:r>
      <w:r>
        <w:rPr>
          <w:rFonts w:hint="eastAsia" w:cs="宋体"/>
          <w:color w:val="auto"/>
          <w:lang w:eastAsia="zh-CN"/>
        </w:rPr>
        <w:t>招标</w:t>
      </w:r>
      <w:r>
        <w:rPr>
          <w:rFonts w:hint="eastAsia" w:ascii="宋体" w:hAnsi="宋体" w:eastAsia="宋体" w:cs="宋体"/>
          <w:color w:val="auto"/>
        </w:rPr>
        <w:t>实质性要求内容。</w:t>
      </w:r>
    </w:p>
    <w:p w14:paraId="48FDF972">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w:t>
      </w:r>
      <w:r>
        <w:rPr>
          <w:rFonts w:hint="eastAsia" w:cs="宋体"/>
          <w:color w:val="auto"/>
          <w:lang w:eastAsia="zh-CN"/>
        </w:rPr>
        <w:t>招标</w:t>
      </w:r>
      <w:r>
        <w:rPr>
          <w:rFonts w:hint="eastAsia" w:ascii="宋体" w:hAnsi="宋体" w:eastAsia="宋体" w:cs="宋体"/>
          <w:color w:val="auto"/>
        </w:rPr>
        <w:t>文件公告期限：</w:t>
      </w:r>
      <w:r>
        <w:rPr>
          <w:rFonts w:hint="eastAsia" w:ascii="宋体" w:hAnsi="宋体" w:eastAsia="宋体" w:cs="宋体"/>
          <w:color w:val="auto"/>
          <w:lang w:val="en-US" w:eastAsia="zh-CN"/>
        </w:rPr>
        <w:t>202</w:t>
      </w:r>
      <w:r>
        <w:rPr>
          <w:rFonts w:hint="eastAsia" w:cs="宋体"/>
          <w:color w:val="auto"/>
          <w:lang w:val="en-US" w:eastAsia="zh-CN"/>
        </w:rPr>
        <w:t>5</w:t>
      </w:r>
      <w:r>
        <w:rPr>
          <w:rFonts w:hint="eastAsia" w:ascii="宋体" w:hAnsi="宋体" w:eastAsia="宋体" w:cs="宋体"/>
          <w:color w:val="auto"/>
          <w:lang w:val="en-US" w:eastAsia="zh-CN"/>
        </w:rPr>
        <w:t>年</w:t>
      </w:r>
      <w:r>
        <w:rPr>
          <w:rFonts w:hint="eastAsia" w:cs="宋体"/>
          <w:color w:val="auto"/>
          <w:lang w:val="en-US" w:eastAsia="zh-CN"/>
        </w:rPr>
        <w:t>10月25日</w:t>
      </w:r>
      <w:r>
        <w:rPr>
          <w:rFonts w:hint="eastAsia" w:ascii="宋体" w:hAnsi="宋体" w:eastAsia="宋体" w:cs="宋体"/>
          <w:color w:val="auto"/>
          <w:lang w:val="en-US" w:eastAsia="zh-CN"/>
        </w:rPr>
        <w:t>-202</w:t>
      </w:r>
      <w:r>
        <w:rPr>
          <w:rFonts w:hint="eastAsia" w:cs="宋体"/>
          <w:color w:val="auto"/>
          <w:lang w:val="en-US" w:eastAsia="zh-CN"/>
        </w:rPr>
        <w:t>5</w:t>
      </w:r>
      <w:r>
        <w:rPr>
          <w:rFonts w:hint="eastAsia" w:ascii="宋体" w:hAnsi="宋体" w:eastAsia="宋体" w:cs="宋体"/>
          <w:color w:val="auto"/>
          <w:lang w:val="en-US" w:eastAsia="zh-CN"/>
        </w:rPr>
        <w:t>年</w:t>
      </w:r>
      <w:r>
        <w:rPr>
          <w:rFonts w:hint="eastAsia" w:cs="宋体"/>
          <w:color w:val="auto"/>
          <w:lang w:val="en-US" w:eastAsia="zh-CN"/>
        </w:rPr>
        <w:t>10月29日</w:t>
      </w:r>
      <w:r>
        <w:rPr>
          <w:rFonts w:hint="eastAsia" w:ascii="宋体" w:hAnsi="宋体" w:eastAsia="宋体" w:cs="宋体"/>
          <w:color w:val="auto"/>
        </w:rPr>
        <w:t>（开标前）。</w:t>
      </w:r>
    </w:p>
    <w:p w14:paraId="7D91844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（三）文件购买费：招标文件购买费为</w:t>
      </w:r>
      <w:r>
        <w:rPr>
          <w:rFonts w:hint="eastAsia" w:cs="宋体"/>
          <w:color w:val="auto"/>
          <w:lang w:val="en-US" w:eastAsia="zh-CN"/>
        </w:rPr>
        <w:t>500</w:t>
      </w:r>
      <w:r>
        <w:rPr>
          <w:rFonts w:hint="eastAsia" w:ascii="宋体" w:hAnsi="宋体" w:eastAsia="宋体" w:cs="宋体"/>
          <w:color w:val="auto"/>
        </w:rPr>
        <w:t>元/</w:t>
      </w:r>
      <w:r>
        <w:rPr>
          <w:rFonts w:hint="eastAsia" w:cs="宋体"/>
          <w:color w:val="auto"/>
          <w:lang w:eastAsia="zh-CN"/>
        </w:rPr>
        <w:t>份</w:t>
      </w:r>
      <w:r>
        <w:rPr>
          <w:rFonts w:hint="eastAsia" w:ascii="宋体" w:hAnsi="宋体" w:eastAsia="宋体" w:cs="宋体"/>
          <w:color w:val="auto"/>
        </w:rPr>
        <w:t>（售后不退）。由</w:t>
      </w:r>
      <w:r>
        <w:rPr>
          <w:rFonts w:hint="eastAsia" w:ascii="宋体" w:hAnsi="宋体" w:eastAsia="宋体" w:cs="宋体"/>
          <w:color w:val="auto"/>
          <w:lang w:eastAsia="zh-CN"/>
        </w:rPr>
        <w:t>供应商</w:t>
      </w:r>
      <w:r>
        <w:rPr>
          <w:rFonts w:hint="eastAsia" w:ascii="宋体" w:hAnsi="宋体" w:eastAsia="宋体" w:cs="宋体"/>
          <w:color w:val="auto"/>
        </w:rPr>
        <w:t>从其基本账户通过银行转账直接划付至下面指定的</w:t>
      </w:r>
      <w:r>
        <w:rPr>
          <w:rFonts w:hint="eastAsia" w:ascii="宋体" w:hAnsi="宋体" w:eastAsia="宋体" w:cs="宋体"/>
          <w:color w:val="auto"/>
          <w:lang w:eastAsia="zh-CN"/>
        </w:rPr>
        <w:t>购买费</w:t>
      </w:r>
      <w:r>
        <w:rPr>
          <w:rFonts w:hint="eastAsia" w:ascii="宋体" w:hAnsi="宋体" w:eastAsia="宋体" w:cs="宋体"/>
          <w:color w:val="auto"/>
        </w:rPr>
        <w:t>账户，</w:t>
      </w:r>
      <w:r>
        <w:rPr>
          <w:rFonts w:hint="eastAsia" w:ascii="宋体" w:hAnsi="宋体" w:eastAsia="宋体" w:cs="宋体"/>
          <w:color w:val="auto"/>
          <w:lang w:eastAsia="zh-CN"/>
        </w:rPr>
        <w:t>招标文件购买费</w:t>
      </w:r>
      <w:r>
        <w:rPr>
          <w:rFonts w:hint="eastAsia" w:ascii="宋体" w:hAnsi="宋体" w:eastAsia="宋体" w:cs="宋体"/>
          <w:color w:val="auto"/>
        </w:rPr>
        <w:t>的到账截止</w:t>
      </w:r>
      <w:r>
        <w:rPr>
          <w:rFonts w:hint="eastAsia" w:cs="宋体"/>
          <w:color w:val="auto"/>
          <w:lang w:val="en-US" w:eastAsia="zh-CN"/>
        </w:rPr>
        <w:t>日期</w:t>
      </w:r>
      <w:r>
        <w:rPr>
          <w:rFonts w:hint="eastAsia" w:ascii="宋体" w:hAnsi="宋体" w:eastAsia="宋体" w:cs="宋体"/>
          <w:color w:val="auto"/>
        </w:rPr>
        <w:t>为</w:t>
      </w:r>
      <w:r>
        <w:rPr>
          <w:rFonts w:hint="eastAsia" w:ascii="宋体" w:hAnsi="宋体" w:eastAsia="宋体" w:cs="宋体"/>
          <w:color w:val="auto"/>
          <w:lang w:eastAsia="zh-CN"/>
        </w:rPr>
        <w:t>：</w:t>
      </w:r>
      <w:r>
        <w:rPr>
          <w:rFonts w:hint="eastAsia" w:ascii="宋体" w:hAnsi="宋体" w:eastAsia="宋体" w:cs="宋体"/>
          <w:strike w:val="0"/>
          <w:dstrike w:val="0"/>
          <w:color w:val="auto"/>
          <w:sz w:val="24"/>
          <w:szCs w:val="24"/>
          <w:highlight w:val="none"/>
          <w:lang w:val="en-US" w:eastAsia="zh-CN"/>
        </w:rPr>
        <w:t>202</w:t>
      </w:r>
      <w:r>
        <w:rPr>
          <w:rFonts w:hint="eastAsia" w:ascii="宋体" w:hAnsi="宋体" w:cs="宋体"/>
          <w:strike w:val="0"/>
          <w:dstrike w:val="0"/>
          <w:color w:val="auto"/>
          <w:sz w:val="24"/>
          <w:szCs w:val="24"/>
          <w:highlight w:val="none"/>
          <w:lang w:val="en-US" w:eastAsia="zh-CN"/>
        </w:rPr>
        <w:t>5</w:t>
      </w:r>
      <w:r>
        <w:rPr>
          <w:rFonts w:hint="eastAsia" w:ascii="宋体" w:hAnsi="宋体" w:eastAsia="宋体" w:cs="宋体"/>
          <w:strike w:val="0"/>
          <w:dstrike w:val="0"/>
          <w:color w:val="auto"/>
          <w:sz w:val="24"/>
          <w:szCs w:val="24"/>
          <w:highlight w:val="none"/>
          <w:lang w:val="en-US" w:eastAsia="zh-CN"/>
        </w:rPr>
        <w:t>年</w:t>
      </w:r>
      <w:r>
        <w:rPr>
          <w:rFonts w:hint="eastAsia" w:ascii="宋体" w:hAnsi="宋体" w:cs="宋体"/>
          <w:strike w:val="0"/>
          <w:dstrike w:val="0"/>
          <w:color w:val="auto"/>
          <w:sz w:val="24"/>
          <w:szCs w:val="24"/>
          <w:highlight w:val="none"/>
          <w:lang w:val="en-US" w:eastAsia="zh-CN"/>
        </w:rPr>
        <w:t>10</w:t>
      </w:r>
      <w:r>
        <w:rPr>
          <w:rFonts w:hint="eastAsia" w:ascii="宋体" w:hAnsi="宋体" w:eastAsia="宋体" w:cs="宋体"/>
          <w:strike w:val="0"/>
          <w:dstrike w:val="0"/>
          <w:color w:val="auto"/>
          <w:sz w:val="24"/>
          <w:szCs w:val="24"/>
          <w:highlight w:val="none"/>
          <w:lang w:val="en-US" w:eastAsia="zh-CN"/>
        </w:rPr>
        <w:t>月</w:t>
      </w:r>
      <w:r>
        <w:rPr>
          <w:rFonts w:hint="eastAsia" w:ascii="宋体" w:hAnsi="宋体" w:cs="宋体"/>
          <w:strike w:val="0"/>
          <w:dstrike w:val="0"/>
          <w:color w:val="auto"/>
          <w:sz w:val="24"/>
          <w:szCs w:val="24"/>
          <w:highlight w:val="none"/>
          <w:lang w:val="en-US" w:eastAsia="zh-CN"/>
        </w:rPr>
        <w:t>28</w:t>
      </w:r>
      <w:r>
        <w:rPr>
          <w:rFonts w:hint="eastAsia" w:ascii="宋体" w:hAnsi="宋体" w:eastAsia="宋体" w:cs="宋体"/>
          <w:strike w:val="0"/>
          <w:dstrike w:val="0"/>
          <w:color w:val="auto"/>
          <w:sz w:val="24"/>
          <w:szCs w:val="24"/>
          <w:highlight w:val="none"/>
          <w:lang w:val="en-US" w:eastAsia="zh-CN"/>
        </w:rPr>
        <w:t>日</w:t>
      </w:r>
    </w:p>
    <w:p w14:paraId="49C9EFE6">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p>
    <w:p w14:paraId="3FB6D354">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1.招标文件购买方式</w:t>
      </w:r>
    </w:p>
    <w:p w14:paraId="7CE9260C">
      <w:pPr>
        <w:pStyle w:val="7"/>
        <w:keepNext w:val="0"/>
        <w:keepLines w:val="0"/>
        <w:pageBreakBefore w:val="0"/>
        <w:widowControl w:val="0"/>
        <w:kinsoku/>
        <w:wordWrap/>
        <w:overflowPunct/>
        <w:topLinePunct w:val="0"/>
        <w:autoSpaceDE/>
        <w:autoSpaceDN/>
        <w:bidi w:val="0"/>
        <w:adjustRightInd/>
        <w:snapToGrid/>
        <w:spacing w:after="120" w:line="336" w:lineRule="auto"/>
        <w:ind w:right="-403"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bookmarkStart w:id="20" w:name="_Toc9421"/>
      <w:r>
        <w:rPr>
          <w:rFonts w:hint="eastAsia" w:ascii="宋体" w:hAnsi="宋体" w:eastAsia="宋体" w:cs="宋体"/>
          <w:strike w:val="0"/>
          <w:dstrike w:val="0"/>
          <w:color w:val="auto"/>
          <w:sz w:val="24"/>
          <w:szCs w:val="24"/>
          <w:highlight w:val="none"/>
          <w:lang w:val="en-US" w:eastAsia="zh-CN"/>
        </w:rPr>
        <w:t>1.1报名和招标文件发售期：202</w:t>
      </w:r>
      <w:r>
        <w:rPr>
          <w:rFonts w:hint="eastAsia" w:ascii="宋体" w:hAnsi="宋体" w:cs="宋体"/>
          <w:strike w:val="0"/>
          <w:dstrike w:val="0"/>
          <w:color w:val="auto"/>
          <w:sz w:val="24"/>
          <w:szCs w:val="24"/>
          <w:highlight w:val="none"/>
          <w:lang w:val="en-US" w:eastAsia="zh-CN"/>
        </w:rPr>
        <w:t>5</w:t>
      </w:r>
      <w:r>
        <w:rPr>
          <w:rFonts w:hint="eastAsia" w:ascii="宋体" w:hAnsi="宋体" w:eastAsia="宋体" w:cs="宋体"/>
          <w:strike w:val="0"/>
          <w:dstrike w:val="0"/>
          <w:color w:val="auto"/>
          <w:sz w:val="24"/>
          <w:szCs w:val="24"/>
          <w:highlight w:val="none"/>
          <w:lang w:val="en-US" w:eastAsia="zh-CN"/>
        </w:rPr>
        <w:t>年</w:t>
      </w:r>
      <w:r>
        <w:rPr>
          <w:rFonts w:hint="eastAsia" w:ascii="宋体" w:hAnsi="宋体" w:cs="宋体"/>
          <w:strike w:val="0"/>
          <w:dstrike w:val="0"/>
          <w:color w:val="auto"/>
          <w:sz w:val="24"/>
          <w:szCs w:val="24"/>
          <w:highlight w:val="none"/>
          <w:lang w:val="en-US" w:eastAsia="zh-CN"/>
        </w:rPr>
        <w:t>10月25日</w:t>
      </w:r>
      <w:r>
        <w:rPr>
          <w:rFonts w:hint="eastAsia" w:ascii="宋体" w:hAnsi="宋体" w:eastAsia="宋体" w:cs="宋体"/>
          <w:strike w:val="0"/>
          <w:dstrike w:val="0"/>
          <w:color w:val="auto"/>
          <w:sz w:val="24"/>
          <w:szCs w:val="24"/>
          <w:highlight w:val="none"/>
          <w:lang w:val="en-US" w:eastAsia="zh-CN"/>
        </w:rPr>
        <w:t>-202</w:t>
      </w:r>
      <w:r>
        <w:rPr>
          <w:rFonts w:hint="eastAsia" w:ascii="宋体" w:hAnsi="宋体" w:cs="宋体"/>
          <w:strike w:val="0"/>
          <w:dstrike w:val="0"/>
          <w:color w:val="auto"/>
          <w:sz w:val="24"/>
          <w:szCs w:val="24"/>
          <w:highlight w:val="none"/>
          <w:lang w:val="en-US" w:eastAsia="zh-CN"/>
        </w:rPr>
        <w:t>5</w:t>
      </w:r>
      <w:r>
        <w:rPr>
          <w:rFonts w:hint="eastAsia" w:ascii="宋体" w:hAnsi="宋体" w:eastAsia="宋体" w:cs="宋体"/>
          <w:strike w:val="0"/>
          <w:dstrike w:val="0"/>
          <w:color w:val="auto"/>
          <w:sz w:val="24"/>
          <w:szCs w:val="24"/>
          <w:highlight w:val="none"/>
          <w:lang w:val="en-US" w:eastAsia="zh-CN"/>
        </w:rPr>
        <w:t>年</w:t>
      </w:r>
      <w:r>
        <w:rPr>
          <w:rFonts w:hint="eastAsia" w:ascii="宋体" w:hAnsi="宋体" w:cs="宋体"/>
          <w:strike w:val="0"/>
          <w:dstrike w:val="0"/>
          <w:color w:val="auto"/>
          <w:sz w:val="24"/>
          <w:szCs w:val="24"/>
          <w:highlight w:val="none"/>
          <w:lang w:val="en-US" w:eastAsia="zh-CN"/>
        </w:rPr>
        <w:t>10</w:t>
      </w:r>
      <w:r>
        <w:rPr>
          <w:rFonts w:hint="eastAsia" w:ascii="宋体" w:hAnsi="宋体" w:eastAsia="宋体" w:cs="宋体"/>
          <w:strike w:val="0"/>
          <w:dstrike w:val="0"/>
          <w:color w:val="auto"/>
          <w:sz w:val="24"/>
          <w:szCs w:val="24"/>
          <w:highlight w:val="none"/>
          <w:lang w:val="en-US" w:eastAsia="zh-CN"/>
        </w:rPr>
        <w:t>月</w:t>
      </w:r>
      <w:r>
        <w:rPr>
          <w:rFonts w:hint="eastAsia" w:ascii="宋体" w:hAnsi="宋体" w:cs="宋体"/>
          <w:strike w:val="0"/>
          <w:dstrike w:val="0"/>
          <w:color w:val="auto"/>
          <w:sz w:val="24"/>
          <w:szCs w:val="24"/>
          <w:highlight w:val="none"/>
          <w:lang w:val="en-US" w:eastAsia="zh-CN"/>
        </w:rPr>
        <w:t>28</w:t>
      </w:r>
      <w:r>
        <w:rPr>
          <w:rFonts w:hint="eastAsia" w:ascii="宋体" w:hAnsi="宋体" w:eastAsia="宋体" w:cs="宋体"/>
          <w:strike w:val="0"/>
          <w:dstrike w:val="0"/>
          <w:color w:val="auto"/>
          <w:sz w:val="24"/>
          <w:szCs w:val="24"/>
          <w:highlight w:val="none"/>
          <w:lang w:val="en-US" w:eastAsia="zh-CN"/>
        </w:rPr>
        <w:t>日</w:t>
      </w:r>
    </w:p>
    <w:p w14:paraId="72DB3644">
      <w:pPr>
        <w:pStyle w:val="7"/>
        <w:keepNext w:val="0"/>
        <w:keepLines w:val="0"/>
        <w:pageBreakBefore w:val="0"/>
        <w:widowControl w:val="0"/>
        <w:kinsoku/>
        <w:wordWrap/>
        <w:overflowPunct/>
        <w:topLinePunct w:val="0"/>
        <w:autoSpaceDE/>
        <w:autoSpaceDN/>
        <w:bidi w:val="0"/>
        <w:adjustRightInd/>
        <w:snapToGrid/>
        <w:spacing w:after="120" w:line="336" w:lineRule="auto"/>
        <w:ind w:right="-403"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fldChar w:fldCharType="begin"/>
      </w:r>
      <w:r>
        <w:rPr>
          <w:rFonts w:hint="eastAsia" w:ascii="宋体" w:hAnsi="宋体" w:eastAsia="宋体" w:cs="宋体"/>
          <w:strike w:val="0"/>
          <w:dstrike w:val="0"/>
          <w:color w:val="auto"/>
          <w:sz w:val="24"/>
          <w:szCs w:val="24"/>
          <w:highlight w:val="none"/>
          <w:lang w:val="en-US" w:eastAsia="zh-CN"/>
        </w:rPr>
        <w:instrText xml:space="preserve"> HYPERLINK "mailto:（2）在比选文件发售期内，比选申请人将《比选文件发售登记表》加盖投标人公章鲜章扫描后发送至850742771@qq.com。" </w:instrText>
      </w:r>
      <w:r>
        <w:rPr>
          <w:rFonts w:hint="eastAsia" w:ascii="宋体" w:hAnsi="宋体" w:eastAsia="宋体" w:cs="宋体"/>
          <w:strike w:val="0"/>
          <w:dstrike w:val="0"/>
          <w:color w:val="auto"/>
          <w:sz w:val="24"/>
          <w:szCs w:val="24"/>
          <w:highlight w:val="none"/>
          <w:lang w:val="en-US" w:eastAsia="zh-CN"/>
        </w:rPr>
        <w:fldChar w:fldCharType="separate"/>
      </w:r>
      <w:r>
        <w:rPr>
          <w:rFonts w:hint="eastAsia" w:ascii="宋体" w:hAnsi="宋体" w:eastAsia="宋体" w:cs="宋体"/>
          <w:strike w:val="0"/>
          <w:dstrike w:val="0"/>
          <w:color w:val="auto"/>
          <w:sz w:val="24"/>
          <w:szCs w:val="24"/>
          <w:highlight w:val="none"/>
          <w:lang w:val="en-US" w:eastAsia="zh-CN"/>
        </w:rPr>
        <w:t>1.2在招标文件发售期内，供应商将《招标文件发售登记表》加盖供应商公章扫描后发送至</w:t>
      </w:r>
      <w:r>
        <w:rPr>
          <w:rFonts w:hint="eastAsia" w:ascii="宋体" w:hAnsi="宋体" w:cs="宋体"/>
          <w:strike w:val="0"/>
          <w:dstrike w:val="0"/>
          <w:color w:val="auto"/>
          <w:sz w:val="24"/>
          <w:szCs w:val="24"/>
          <w:highlight w:val="none"/>
          <w:u w:val="single"/>
          <w:lang w:val="en-US" w:eastAsia="zh-CN"/>
        </w:rPr>
        <w:t xml:space="preserve">1154668290 </w:t>
      </w:r>
      <w:r>
        <w:rPr>
          <w:rFonts w:hint="eastAsia" w:ascii="宋体" w:hAnsi="宋体" w:eastAsia="宋体" w:cs="宋体"/>
          <w:strike w:val="0"/>
          <w:dstrike w:val="0"/>
          <w:color w:val="auto"/>
          <w:sz w:val="24"/>
          <w:szCs w:val="24"/>
          <w:highlight w:val="none"/>
          <w:lang w:val="en-US" w:eastAsia="zh-CN"/>
        </w:rPr>
        <w:t>@qq.com，</w:t>
      </w:r>
      <w:r>
        <w:rPr>
          <w:rFonts w:hint="eastAsia" w:ascii="宋体" w:hAnsi="宋体" w:eastAsia="宋体" w:cs="宋体"/>
          <w:strike w:val="0"/>
          <w:dstrike w:val="0"/>
          <w:color w:val="auto"/>
          <w:sz w:val="24"/>
          <w:szCs w:val="24"/>
          <w:highlight w:val="none"/>
          <w:lang w:val="en-US" w:eastAsia="zh-CN"/>
        </w:rPr>
        <w:fldChar w:fldCharType="end"/>
      </w:r>
      <w:r>
        <w:rPr>
          <w:rFonts w:hint="eastAsia" w:ascii="宋体" w:hAnsi="宋体" w:eastAsia="宋体" w:cs="宋体"/>
          <w:strike w:val="0"/>
          <w:dstrike w:val="0"/>
          <w:color w:val="auto"/>
          <w:sz w:val="24"/>
          <w:szCs w:val="24"/>
          <w:highlight w:val="none"/>
          <w:lang w:val="en-US" w:eastAsia="zh-CN"/>
        </w:rPr>
        <w:t>并电话通知招标代理机构（联系人：</w:t>
      </w:r>
      <w:r>
        <w:rPr>
          <w:rFonts w:hint="eastAsia" w:ascii="宋体" w:hAnsi="宋体" w:cs="宋体"/>
          <w:strike w:val="0"/>
          <w:dstrike w:val="0"/>
          <w:color w:val="auto"/>
          <w:sz w:val="24"/>
          <w:szCs w:val="24"/>
          <w:highlight w:val="none"/>
          <w:lang w:val="en-US" w:eastAsia="zh-CN"/>
        </w:rPr>
        <w:t>时</w:t>
      </w:r>
      <w:r>
        <w:rPr>
          <w:rFonts w:hint="eastAsia" w:ascii="宋体" w:hAnsi="宋体" w:eastAsia="宋体" w:cs="宋体"/>
          <w:strike w:val="0"/>
          <w:dstrike w:val="0"/>
          <w:color w:val="auto"/>
          <w:sz w:val="24"/>
          <w:szCs w:val="24"/>
          <w:highlight w:val="none"/>
          <w:lang w:val="en-US" w:eastAsia="zh-CN"/>
        </w:rPr>
        <w:t>老师 电话：</w:t>
      </w:r>
      <w:r>
        <w:rPr>
          <w:rFonts w:hint="eastAsia" w:ascii="宋体" w:hAnsi="宋体" w:cs="宋体"/>
          <w:strike w:val="0"/>
          <w:dstrike w:val="0"/>
          <w:color w:val="auto"/>
          <w:sz w:val="24"/>
          <w:szCs w:val="24"/>
          <w:highlight w:val="none"/>
          <w:u w:val="single"/>
          <w:lang w:val="en-US" w:eastAsia="zh-CN"/>
        </w:rPr>
        <w:t xml:space="preserve"> 17382327366 </w:t>
      </w:r>
      <w:r>
        <w:rPr>
          <w:rFonts w:hint="eastAsia" w:ascii="宋体" w:hAnsi="宋体" w:eastAsia="宋体" w:cs="宋体"/>
          <w:strike w:val="0"/>
          <w:dstrike w:val="0"/>
          <w:color w:val="auto"/>
          <w:sz w:val="24"/>
          <w:szCs w:val="24"/>
          <w:highlight w:val="none"/>
          <w:lang w:val="en-US" w:eastAsia="zh-CN"/>
        </w:rPr>
        <w:t>）</w:t>
      </w:r>
      <w:bookmarkEnd w:id="20"/>
    </w:p>
    <w:p w14:paraId="23575F11">
      <w:pPr>
        <w:pStyle w:val="7"/>
        <w:keepNext w:val="0"/>
        <w:keepLines w:val="0"/>
        <w:pageBreakBefore w:val="0"/>
        <w:widowControl w:val="0"/>
        <w:kinsoku/>
        <w:wordWrap/>
        <w:overflowPunct/>
        <w:topLinePunct w:val="0"/>
        <w:autoSpaceDE/>
        <w:autoSpaceDN/>
        <w:bidi w:val="0"/>
        <w:adjustRightInd/>
        <w:snapToGrid/>
        <w:spacing w:after="120" w:line="336" w:lineRule="auto"/>
        <w:ind w:right="-403" w:rightChars="-168" w:firstLine="480" w:firstLineChars="200"/>
        <w:jc w:val="left"/>
        <w:textAlignment w:val="auto"/>
        <w:outlineLvl w:val="1"/>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1.3招标文件每套售价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00.00元，在报名和招标文件发售期内报名的供应商，其投标文件才被接受。</w:t>
      </w:r>
    </w:p>
    <w:p w14:paraId="2C8A4857">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（四）供应商须满足以下三种要件，其响应文件才被接受：</w:t>
      </w:r>
    </w:p>
    <w:p w14:paraId="1693FA27">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1.按时递交了响应文件；</w:t>
      </w:r>
    </w:p>
    <w:p w14:paraId="777C10CD">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2.按时报名签到；</w:t>
      </w:r>
    </w:p>
    <w:p w14:paraId="28285102">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3.缴纳了文件购买费并登记递交《</w:t>
      </w:r>
      <w:r>
        <w:rPr>
          <w:rFonts w:hint="eastAsia" w:cs="宋体"/>
          <w:color w:val="auto"/>
          <w:lang w:eastAsia="zh-CN"/>
        </w:rPr>
        <w:t>招标</w:t>
      </w:r>
      <w:r>
        <w:rPr>
          <w:rFonts w:hint="eastAsia" w:ascii="宋体" w:hAnsi="宋体" w:eastAsia="宋体" w:cs="宋体"/>
          <w:color w:val="auto"/>
        </w:rPr>
        <w:t>文件发售登记表》加盖供应商公章（《</w:t>
      </w:r>
      <w:r>
        <w:rPr>
          <w:rFonts w:hint="eastAsia" w:cs="宋体"/>
          <w:color w:val="auto"/>
          <w:lang w:eastAsia="zh-CN"/>
        </w:rPr>
        <w:t>招标</w:t>
      </w:r>
      <w:r>
        <w:rPr>
          <w:rFonts w:hint="eastAsia" w:ascii="宋体" w:hAnsi="宋体" w:eastAsia="宋体" w:cs="宋体"/>
          <w:color w:val="auto"/>
        </w:rPr>
        <w:t>文件发售登记表》见文件最后页附件）。</w:t>
      </w:r>
    </w:p>
    <w:p w14:paraId="4A61C325">
      <w:pPr>
        <w:pageBreakBefore w:val="0"/>
        <w:kinsoku/>
        <w:overflowPunct/>
        <w:topLinePunct w:val="0"/>
        <w:bidi w:val="0"/>
        <w:snapToGrid w:val="0"/>
        <w:spacing w:line="336" w:lineRule="auto"/>
        <w:ind w:firstLine="480" w:firstLineChars="200"/>
        <w:textAlignment w:val="auto"/>
        <w:rPr>
          <w:rFonts w:hint="eastAsia" w:cs="宋体"/>
          <w:highlight w:val="none"/>
          <w:lang w:val="en-US" w:eastAsia="zh-CN"/>
        </w:rPr>
      </w:pPr>
      <w:r>
        <w:rPr>
          <w:rFonts w:hint="eastAsia" w:ascii="宋体" w:hAnsi="宋体" w:eastAsia="宋体" w:cs="宋体"/>
          <w:color w:val="auto"/>
        </w:rPr>
        <w:t>（五）投标地点：</w:t>
      </w:r>
      <w:r>
        <w:rPr>
          <w:rFonts w:hint="eastAsia" w:cs="宋体"/>
          <w:highlight w:val="none"/>
          <w:lang w:val="en-US" w:eastAsia="zh-CN"/>
        </w:rPr>
        <w:t>代理机构处</w:t>
      </w:r>
    </w:p>
    <w:p w14:paraId="19849471">
      <w:pPr>
        <w:pageBreakBefore w:val="0"/>
        <w:kinsoku/>
        <w:overflowPunct/>
        <w:topLinePunct w:val="0"/>
        <w:bidi w:val="0"/>
        <w:snapToGrid w:val="0"/>
        <w:spacing w:line="336" w:lineRule="auto"/>
        <w:ind w:firstLine="480" w:firstLineChars="200"/>
        <w:textAlignment w:val="auto"/>
        <w:rPr>
          <w:rFonts w:hint="default" w:ascii="宋体" w:hAnsi="宋体" w:eastAsia="宋体" w:cs="宋体"/>
          <w:color w:val="auto"/>
          <w:lang w:val="en-US" w:eastAsia="zh-CN"/>
        </w:rPr>
      </w:pPr>
      <w:r>
        <w:rPr>
          <w:rFonts w:hint="eastAsia" w:ascii="宋体" w:hAnsi="宋体" w:eastAsia="宋体" w:cs="宋体"/>
          <w:color w:val="auto"/>
        </w:rPr>
        <w:t>（六）</w:t>
      </w:r>
      <w:r>
        <w:rPr>
          <w:rFonts w:hint="eastAsia" w:ascii="宋体" w:hAnsi="宋体" w:eastAsia="宋体" w:cs="宋体"/>
          <w:color w:val="auto"/>
          <w:lang w:eastAsia="zh-CN"/>
        </w:rPr>
        <w:t>投标</w:t>
      </w:r>
      <w:r>
        <w:rPr>
          <w:rFonts w:hint="eastAsia" w:ascii="宋体" w:hAnsi="宋体" w:eastAsia="宋体" w:cs="宋体"/>
          <w:color w:val="auto"/>
        </w:rPr>
        <w:t>开始时间：</w:t>
      </w:r>
      <w:r>
        <w:rPr>
          <w:rFonts w:hint="eastAsia" w:ascii="宋体" w:hAnsi="宋体" w:eastAsia="宋体" w:cs="宋体"/>
          <w:color w:val="auto"/>
          <w:lang w:val="en-US" w:eastAsia="zh-CN"/>
        </w:rPr>
        <w:t>202</w:t>
      </w:r>
      <w:r>
        <w:rPr>
          <w:rFonts w:hint="eastAsia" w:cs="宋体"/>
          <w:color w:val="auto"/>
          <w:lang w:val="en-US" w:eastAsia="zh-CN"/>
        </w:rPr>
        <w:t>5</w:t>
      </w:r>
      <w:r>
        <w:rPr>
          <w:rFonts w:hint="eastAsia" w:ascii="宋体" w:hAnsi="宋体" w:eastAsia="宋体" w:cs="宋体"/>
          <w:color w:val="auto"/>
          <w:lang w:val="en-US" w:eastAsia="zh-CN"/>
        </w:rPr>
        <w:t>年</w:t>
      </w:r>
      <w:r>
        <w:rPr>
          <w:rFonts w:hint="eastAsia" w:cs="宋体"/>
          <w:color w:val="auto"/>
          <w:lang w:val="en-US" w:eastAsia="zh-CN"/>
        </w:rPr>
        <w:t>10</w:t>
      </w:r>
      <w:r>
        <w:rPr>
          <w:rFonts w:hint="eastAsia" w:ascii="宋体" w:hAnsi="宋体" w:eastAsia="宋体" w:cs="宋体"/>
          <w:color w:val="auto"/>
          <w:lang w:val="en-US" w:eastAsia="zh-CN"/>
        </w:rPr>
        <w:t>月</w:t>
      </w:r>
      <w:r>
        <w:rPr>
          <w:rFonts w:hint="eastAsia" w:cs="宋体"/>
          <w:color w:val="auto"/>
          <w:lang w:val="en-US" w:eastAsia="zh-CN"/>
        </w:rPr>
        <w:t>29</w:t>
      </w:r>
      <w:r>
        <w:rPr>
          <w:rFonts w:hint="eastAsia" w:ascii="宋体" w:hAnsi="宋体" w:eastAsia="宋体" w:cs="宋体"/>
          <w:color w:val="auto"/>
          <w:lang w:val="en-US" w:eastAsia="zh-CN"/>
        </w:rPr>
        <w:t>日</w:t>
      </w:r>
      <w:r>
        <w:rPr>
          <w:rFonts w:hint="eastAsia" w:ascii="宋体" w:hAnsi="宋体" w:eastAsia="宋体" w:cs="宋体"/>
          <w:color w:val="auto"/>
        </w:rPr>
        <w:t>北京时间</w:t>
      </w:r>
      <w:r>
        <w:rPr>
          <w:rFonts w:hint="eastAsia" w:cs="宋体"/>
          <w:color w:val="auto"/>
          <w:lang w:val="en-US" w:eastAsia="zh-CN"/>
        </w:rPr>
        <w:t>14:00</w:t>
      </w:r>
    </w:p>
    <w:p w14:paraId="267F7CE7">
      <w:pPr>
        <w:pageBreakBefore w:val="0"/>
        <w:kinsoku/>
        <w:overflowPunct/>
        <w:topLinePunct w:val="0"/>
        <w:bidi w:val="0"/>
        <w:snapToGrid w:val="0"/>
        <w:spacing w:line="336" w:lineRule="auto"/>
        <w:ind w:firstLine="480" w:firstLineChars="200"/>
        <w:textAlignment w:val="auto"/>
        <w:rPr>
          <w:rFonts w:hint="default" w:ascii="宋体" w:hAnsi="宋体" w:eastAsia="宋体" w:cs="宋体"/>
          <w:color w:val="auto"/>
          <w:lang w:val="en-US" w:eastAsia="zh-CN"/>
        </w:rPr>
      </w:pPr>
      <w:r>
        <w:rPr>
          <w:rFonts w:hint="eastAsia" w:ascii="宋体" w:hAnsi="宋体" w:eastAsia="宋体" w:cs="宋体"/>
          <w:color w:val="auto"/>
        </w:rPr>
        <w:t>（七）投标截止时间：</w:t>
      </w:r>
      <w:r>
        <w:rPr>
          <w:rFonts w:hint="eastAsia" w:ascii="宋体" w:hAnsi="宋体" w:eastAsia="宋体" w:cs="宋体"/>
          <w:color w:val="auto"/>
          <w:lang w:val="en-US" w:eastAsia="zh-CN"/>
        </w:rPr>
        <w:t>202</w:t>
      </w:r>
      <w:r>
        <w:rPr>
          <w:rFonts w:hint="eastAsia" w:cs="宋体"/>
          <w:color w:val="auto"/>
          <w:lang w:val="en-US" w:eastAsia="zh-CN"/>
        </w:rPr>
        <w:t>5</w:t>
      </w:r>
      <w:r>
        <w:rPr>
          <w:rFonts w:hint="eastAsia" w:ascii="宋体" w:hAnsi="宋体" w:eastAsia="宋体" w:cs="宋体"/>
          <w:color w:val="auto"/>
          <w:lang w:val="en-US" w:eastAsia="zh-CN"/>
        </w:rPr>
        <w:t>年</w:t>
      </w:r>
      <w:r>
        <w:rPr>
          <w:rFonts w:hint="eastAsia" w:cs="宋体"/>
          <w:color w:val="auto"/>
          <w:lang w:val="en-US" w:eastAsia="zh-CN"/>
        </w:rPr>
        <w:t>10</w:t>
      </w:r>
      <w:r>
        <w:rPr>
          <w:rFonts w:hint="eastAsia" w:ascii="宋体" w:hAnsi="宋体" w:eastAsia="宋体" w:cs="宋体"/>
          <w:color w:val="auto"/>
          <w:lang w:val="en-US" w:eastAsia="zh-CN"/>
        </w:rPr>
        <w:t>月</w:t>
      </w:r>
      <w:r>
        <w:rPr>
          <w:rFonts w:hint="eastAsia" w:cs="宋体"/>
          <w:color w:val="auto"/>
          <w:lang w:val="en-US" w:eastAsia="zh-CN"/>
        </w:rPr>
        <w:t>29</w:t>
      </w:r>
      <w:r>
        <w:rPr>
          <w:rFonts w:hint="eastAsia" w:ascii="宋体" w:hAnsi="宋体" w:eastAsia="宋体" w:cs="宋体"/>
          <w:color w:val="auto"/>
          <w:lang w:val="en-US" w:eastAsia="zh-CN"/>
        </w:rPr>
        <w:t>日</w:t>
      </w:r>
      <w:r>
        <w:rPr>
          <w:rFonts w:hint="eastAsia" w:ascii="宋体" w:hAnsi="宋体" w:eastAsia="宋体" w:cs="宋体"/>
          <w:color w:val="auto"/>
        </w:rPr>
        <w:t>北京时间</w:t>
      </w:r>
      <w:r>
        <w:rPr>
          <w:rFonts w:hint="eastAsia" w:cs="宋体"/>
          <w:color w:val="auto"/>
          <w:lang w:val="en-US" w:eastAsia="zh-CN"/>
        </w:rPr>
        <w:t>14:30</w:t>
      </w:r>
    </w:p>
    <w:p w14:paraId="5BAEF5AC">
      <w:pPr>
        <w:pageBreakBefore w:val="0"/>
        <w:kinsoku/>
        <w:overflowPunct/>
        <w:topLinePunct w:val="0"/>
        <w:bidi w:val="0"/>
        <w:snapToGrid w:val="0"/>
        <w:spacing w:line="336" w:lineRule="auto"/>
        <w:ind w:firstLine="480" w:firstLineChars="200"/>
        <w:textAlignment w:val="auto"/>
        <w:rPr>
          <w:rFonts w:hint="eastAsia" w:cs="宋体"/>
          <w:color w:val="auto"/>
          <w:lang w:val="en-US" w:eastAsia="zh-CN"/>
        </w:rPr>
      </w:pPr>
      <w:r>
        <w:rPr>
          <w:rFonts w:hint="eastAsia" w:ascii="宋体" w:hAnsi="宋体" w:eastAsia="宋体" w:cs="宋体"/>
          <w:color w:val="auto"/>
        </w:rPr>
        <w:t>（八）开标时间：</w:t>
      </w:r>
      <w:r>
        <w:rPr>
          <w:rFonts w:hint="eastAsia" w:ascii="宋体" w:hAnsi="宋体" w:eastAsia="宋体" w:cs="宋体"/>
          <w:color w:val="auto"/>
          <w:lang w:val="en-US" w:eastAsia="zh-CN"/>
        </w:rPr>
        <w:t>202</w:t>
      </w:r>
      <w:r>
        <w:rPr>
          <w:rFonts w:hint="eastAsia" w:cs="宋体"/>
          <w:color w:val="auto"/>
          <w:lang w:val="en-US" w:eastAsia="zh-CN"/>
        </w:rPr>
        <w:t>5</w:t>
      </w:r>
      <w:r>
        <w:rPr>
          <w:rFonts w:hint="eastAsia" w:ascii="宋体" w:hAnsi="宋体" w:eastAsia="宋体" w:cs="宋体"/>
          <w:color w:val="auto"/>
          <w:lang w:val="en-US" w:eastAsia="zh-CN"/>
        </w:rPr>
        <w:t>年</w:t>
      </w:r>
      <w:r>
        <w:rPr>
          <w:rFonts w:hint="eastAsia" w:cs="宋体"/>
          <w:color w:val="auto"/>
          <w:lang w:val="en-US" w:eastAsia="zh-CN"/>
        </w:rPr>
        <w:t>10</w:t>
      </w:r>
      <w:r>
        <w:rPr>
          <w:rFonts w:hint="eastAsia" w:ascii="宋体" w:hAnsi="宋体" w:eastAsia="宋体" w:cs="宋体"/>
          <w:color w:val="auto"/>
          <w:lang w:val="en-US" w:eastAsia="zh-CN"/>
        </w:rPr>
        <w:t>月</w:t>
      </w:r>
      <w:r>
        <w:rPr>
          <w:rFonts w:hint="eastAsia" w:cs="宋体"/>
          <w:color w:val="auto"/>
          <w:lang w:val="en-US" w:eastAsia="zh-CN"/>
        </w:rPr>
        <w:t>29</w:t>
      </w:r>
      <w:r>
        <w:rPr>
          <w:rFonts w:hint="eastAsia" w:ascii="宋体" w:hAnsi="宋体" w:eastAsia="宋体" w:cs="宋体"/>
          <w:color w:val="auto"/>
          <w:lang w:val="en-US" w:eastAsia="zh-CN"/>
        </w:rPr>
        <w:t>日</w:t>
      </w:r>
      <w:r>
        <w:rPr>
          <w:rFonts w:hint="eastAsia" w:ascii="宋体" w:hAnsi="宋体" w:eastAsia="宋体" w:cs="宋体"/>
          <w:color w:val="auto"/>
        </w:rPr>
        <w:t>北京时间</w:t>
      </w:r>
      <w:r>
        <w:rPr>
          <w:rFonts w:hint="eastAsia" w:cs="宋体"/>
          <w:color w:val="auto"/>
          <w:lang w:val="en-US" w:eastAsia="zh-CN"/>
        </w:rPr>
        <w:t>14:30</w:t>
      </w:r>
    </w:p>
    <w:p w14:paraId="767A970D">
      <w:pPr>
        <w:pStyle w:val="2"/>
        <w:ind w:firstLine="480" w:firstLineChars="200"/>
        <w:rPr>
          <w:rFonts w:hint="default"/>
          <w:lang w:val="en-US" w:eastAsia="zh-CN"/>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按本项目规定的时间在“重庆市行采家（https://www.gec123.com/）”进行网上报价</w:t>
      </w:r>
    </w:p>
    <w:p w14:paraId="011CA477">
      <w:pPr>
        <w:pageBreakBefore w:val="0"/>
        <w:kinsoku/>
        <w:overflowPunct/>
        <w:topLinePunct w:val="0"/>
        <w:bidi w:val="0"/>
        <w:snapToGrid w:val="0"/>
        <w:spacing w:line="336" w:lineRule="auto"/>
        <w:ind w:firstLine="480" w:firstLineChars="200"/>
        <w:textAlignment w:val="auto"/>
        <w:rPr>
          <w:rFonts w:hint="default" w:cs="宋体"/>
          <w:highlight w:val="none"/>
          <w:u w:val="single"/>
          <w:lang w:val="en-US" w:eastAsia="zh-CN"/>
        </w:rPr>
      </w:pPr>
      <w:r>
        <w:rPr>
          <w:rFonts w:hint="eastAsia" w:ascii="宋体" w:hAnsi="宋体" w:eastAsia="宋体" w:cs="宋体"/>
          <w:color w:val="auto"/>
        </w:rPr>
        <w:t>（</w:t>
      </w:r>
      <w:r>
        <w:rPr>
          <w:rFonts w:hint="eastAsia" w:cs="宋体"/>
          <w:color w:val="auto"/>
          <w:lang w:eastAsia="zh-CN"/>
        </w:rPr>
        <w:t>十</w:t>
      </w:r>
      <w:r>
        <w:rPr>
          <w:rFonts w:hint="eastAsia" w:ascii="宋体" w:hAnsi="宋体" w:eastAsia="宋体" w:cs="宋体"/>
          <w:color w:val="auto"/>
        </w:rPr>
        <w:t>）开标地点：</w:t>
      </w:r>
      <w:r>
        <w:rPr>
          <w:rFonts w:hint="eastAsia" w:cs="宋体"/>
          <w:highlight w:val="none"/>
          <w:lang w:val="en-US" w:eastAsia="zh-CN"/>
        </w:rPr>
        <w:t xml:space="preserve">  </w:t>
      </w:r>
      <w:r>
        <w:rPr>
          <w:rFonts w:hint="eastAsia" w:cs="宋体"/>
          <w:highlight w:val="none"/>
          <w:u w:val="single"/>
          <w:lang w:val="en-US" w:eastAsia="zh-CN"/>
        </w:rPr>
        <w:t xml:space="preserve"> </w:t>
      </w:r>
      <w:r>
        <w:rPr>
          <w:rFonts w:hint="eastAsia" w:cs="宋体"/>
          <w:color w:val="auto"/>
          <w:u w:val="single"/>
          <w:lang w:val="en-US" w:eastAsia="zh-CN"/>
        </w:rPr>
        <w:t>重庆市巴南区鱼洞街道江滨路13号（代理机构处）</w:t>
      </w:r>
      <w:r>
        <w:rPr>
          <w:rFonts w:hint="eastAsia" w:cs="宋体"/>
          <w:highlight w:val="none"/>
          <w:u w:val="single"/>
          <w:lang w:val="en-US" w:eastAsia="zh-CN"/>
        </w:rPr>
        <w:t xml:space="preserve">   </w:t>
      </w:r>
    </w:p>
    <w:p w14:paraId="2F890F5D">
      <w:pPr>
        <w:pStyle w:val="2"/>
        <w:rPr>
          <w:rFonts w:hint="eastAsia"/>
        </w:rPr>
      </w:pPr>
    </w:p>
    <w:p w14:paraId="68E3BF73">
      <w:pPr>
        <w:pStyle w:val="5"/>
        <w:pageBreakBefore w:val="0"/>
        <w:kinsoku/>
        <w:overflowPunct/>
        <w:topLinePunct w:val="0"/>
        <w:bidi w:val="0"/>
        <w:spacing w:before="0" w:after="0" w:line="336" w:lineRule="auto"/>
        <w:ind w:firstLine="480" w:firstLineChars="200"/>
        <w:textAlignment w:val="auto"/>
        <w:rPr>
          <w:rFonts w:hint="eastAsia" w:ascii="宋体" w:hAnsi="宋体" w:eastAsia="宋体" w:cs="宋体"/>
          <w:color w:val="auto"/>
          <w:sz w:val="24"/>
          <w:szCs w:val="24"/>
          <w:highlight w:val="none"/>
        </w:rPr>
      </w:pPr>
      <w:bookmarkStart w:id="21" w:name="_Toc108545955"/>
      <w:bookmarkStart w:id="22" w:name="_Toc22356"/>
      <w:bookmarkStart w:id="23" w:name="_Toc487204775"/>
      <w:r>
        <w:rPr>
          <w:rFonts w:hint="eastAsia" w:ascii="宋体" w:hAnsi="宋体" w:eastAsia="宋体" w:cs="宋体"/>
          <w:color w:val="auto"/>
          <w:sz w:val="24"/>
          <w:szCs w:val="24"/>
          <w:highlight w:val="none"/>
        </w:rPr>
        <w:t>五、</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w:t>
      </w:r>
      <w:bookmarkEnd w:id="21"/>
      <w:bookmarkEnd w:id="22"/>
      <w:bookmarkEnd w:id="23"/>
    </w:p>
    <w:p w14:paraId="6C5F4F59">
      <w:pPr>
        <w:pStyle w:val="5"/>
        <w:pageBreakBefore w:val="0"/>
        <w:kinsoku/>
        <w:overflowPunct/>
        <w:topLinePunct w:val="0"/>
        <w:bidi w:val="0"/>
        <w:spacing w:before="0" w:after="0" w:line="336" w:lineRule="auto"/>
        <w:ind w:firstLine="480" w:firstLineChars="200"/>
        <w:textAlignment w:val="auto"/>
        <w:rPr>
          <w:rFonts w:hint="eastAsia" w:ascii="宋体" w:hAnsi="宋体" w:cs="宋体"/>
          <w:b w:val="0"/>
          <w:bCs w:val="0"/>
          <w:color w:val="auto"/>
          <w:sz w:val="24"/>
          <w:szCs w:val="24"/>
          <w:lang w:val="en-US" w:eastAsia="zh-CN"/>
        </w:rPr>
      </w:pPr>
      <w:bookmarkStart w:id="24" w:name="_Toc108545956"/>
      <w:bookmarkStart w:id="25" w:name="_Toc24666"/>
      <w:bookmarkStart w:id="26" w:name="_Toc487204776"/>
      <w:r>
        <w:rPr>
          <w:rFonts w:hint="eastAsia" w:ascii="宋体" w:hAnsi="宋体" w:cs="宋体"/>
          <w:b w:val="0"/>
          <w:bCs w:val="0"/>
          <w:color w:val="auto"/>
          <w:sz w:val="24"/>
          <w:szCs w:val="24"/>
          <w:lang w:val="en-US" w:eastAsia="zh-CN"/>
        </w:rPr>
        <w:t>无</w:t>
      </w:r>
    </w:p>
    <w:p w14:paraId="08A0C76F">
      <w:pPr>
        <w:pStyle w:val="5"/>
        <w:pageBreakBefore w:val="0"/>
        <w:kinsoku/>
        <w:overflowPunct/>
        <w:topLinePunct w:val="0"/>
        <w:bidi w:val="0"/>
        <w:spacing w:before="0" w:after="0"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w:t>
      </w:r>
      <w:r>
        <w:rPr>
          <w:rFonts w:hint="eastAsia" w:ascii="宋体" w:hAnsi="宋体" w:cs="宋体"/>
          <w:color w:val="auto"/>
          <w:sz w:val="24"/>
          <w:szCs w:val="24"/>
          <w:lang w:eastAsia="zh-CN"/>
        </w:rPr>
        <w:t>招标</w:t>
      </w:r>
      <w:r>
        <w:rPr>
          <w:rFonts w:hint="eastAsia" w:ascii="宋体" w:hAnsi="宋体" w:eastAsia="宋体" w:cs="宋体"/>
          <w:color w:val="auto"/>
          <w:sz w:val="24"/>
          <w:szCs w:val="24"/>
        </w:rPr>
        <w:t>有关规定</w:t>
      </w:r>
      <w:bookmarkEnd w:id="24"/>
      <w:bookmarkEnd w:id="25"/>
      <w:bookmarkEnd w:id="26"/>
    </w:p>
    <w:p w14:paraId="457A2DA2">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（一）单位负责人为同一人或者存在直接控股、管理关系的不同供应商，不得参加同一合同项下的</w:t>
      </w:r>
      <w:r>
        <w:rPr>
          <w:rFonts w:hint="eastAsia" w:cs="宋体"/>
          <w:color w:val="auto"/>
          <w:lang w:eastAsia="zh-CN"/>
        </w:rPr>
        <w:t>招标</w:t>
      </w:r>
      <w:r>
        <w:rPr>
          <w:rFonts w:hint="eastAsia" w:ascii="宋体" w:hAnsi="宋体" w:eastAsia="宋体" w:cs="宋体"/>
          <w:color w:val="auto"/>
        </w:rPr>
        <w:t>活动，否则均为无效响应。</w:t>
      </w:r>
    </w:p>
    <w:p w14:paraId="0DF1D17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（二）为</w:t>
      </w:r>
      <w:r>
        <w:rPr>
          <w:rFonts w:hint="eastAsia" w:cs="宋体"/>
          <w:color w:val="auto"/>
          <w:lang w:eastAsia="zh-CN"/>
        </w:rPr>
        <w:t>招标</w:t>
      </w:r>
      <w:r>
        <w:rPr>
          <w:rFonts w:hint="eastAsia" w:ascii="宋体" w:hAnsi="宋体" w:eastAsia="宋体" w:cs="宋体"/>
          <w:color w:val="auto"/>
        </w:rPr>
        <w:t>项目提供整体设计、规范编制或者项目管理、监理、检测等服务的供应商，不得再参加该</w:t>
      </w:r>
      <w:r>
        <w:rPr>
          <w:rFonts w:hint="eastAsia" w:cs="宋体"/>
          <w:color w:val="auto"/>
          <w:lang w:eastAsia="zh-CN"/>
        </w:rPr>
        <w:t>招标</w:t>
      </w:r>
      <w:r>
        <w:rPr>
          <w:rFonts w:hint="eastAsia" w:ascii="宋体" w:hAnsi="宋体" w:eastAsia="宋体" w:cs="宋体"/>
          <w:color w:val="auto"/>
        </w:rPr>
        <w:t>项目的其他</w:t>
      </w:r>
      <w:r>
        <w:rPr>
          <w:rFonts w:hint="eastAsia" w:cs="宋体"/>
          <w:color w:val="auto"/>
          <w:lang w:eastAsia="zh-CN"/>
        </w:rPr>
        <w:t>招标</w:t>
      </w:r>
      <w:r>
        <w:rPr>
          <w:rFonts w:hint="eastAsia" w:ascii="宋体" w:hAnsi="宋体" w:eastAsia="宋体" w:cs="宋体"/>
          <w:color w:val="auto"/>
        </w:rPr>
        <w:t>活动，否则均为无效响应。</w:t>
      </w:r>
    </w:p>
    <w:p w14:paraId="74F72406">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（三）同一项目的货物，制造商参与</w:t>
      </w:r>
      <w:r>
        <w:rPr>
          <w:rFonts w:hint="eastAsia" w:cs="宋体"/>
          <w:color w:val="auto"/>
          <w:lang w:eastAsia="zh-CN"/>
        </w:rPr>
        <w:t>招标</w:t>
      </w:r>
      <w:r>
        <w:rPr>
          <w:rFonts w:hint="eastAsia" w:ascii="宋体" w:hAnsi="宋体" w:eastAsia="宋体" w:cs="宋体"/>
          <w:color w:val="auto"/>
        </w:rPr>
        <w:t>的，不得再委托代理商参与</w:t>
      </w:r>
      <w:r>
        <w:rPr>
          <w:rFonts w:hint="eastAsia" w:cs="宋体"/>
          <w:color w:val="auto"/>
          <w:lang w:eastAsia="zh-CN"/>
        </w:rPr>
        <w:t>招标</w:t>
      </w:r>
      <w:r>
        <w:rPr>
          <w:rFonts w:hint="eastAsia" w:ascii="宋体" w:hAnsi="宋体" w:eastAsia="宋体" w:cs="宋体"/>
          <w:color w:val="auto"/>
        </w:rPr>
        <w:t>，否则均为无效响应。</w:t>
      </w:r>
    </w:p>
    <w:p w14:paraId="40B6A8B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（四）本项目的补遗文件（如果有）一律在“行采家(</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"https://www.gec123.com/" </w:instrText>
      </w:r>
      <w:r>
        <w:rPr>
          <w:rFonts w:hint="eastAsia" w:ascii="宋体" w:hAnsi="宋体" w:eastAsia="宋体" w:cs="宋体"/>
          <w:color w:val="auto"/>
        </w:rPr>
        <w:fldChar w:fldCharType="separate"/>
      </w:r>
      <w:r>
        <w:rPr>
          <w:rFonts w:hint="eastAsia" w:ascii="宋体" w:hAnsi="宋体" w:eastAsia="宋体" w:cs="宋体"/>
          <w:color w:val="auto"/>
        </w:rPr>
        <w:t>https://www.gec123.com</w:t>
      </w:r>
      <w:r>
        <w:rPr>
          <w:rFonts w:hint="eastAsia" w:ascii="宋体" w:hAnsi="宋体" w:eastAsia="宋体" w:cs="宋体"/>
          <w:color w:val="auto"/>
        </w:rPr>
        <w:fldChar w:fldCharType="end"/>
      </w:r>
      <w:r>
        <w:rPr>
          <w:rFonts w:hint="eastAsia" w:ascii="宋体" w:hAnsi="宋体" w:eastAsia="宋体" w:cs="宋体"/>
          <w:color w:val="auto"/>
        </w:rPr>
        <w:t>）”上发布，请各供应商注意下载或到代理机构处领取；无论供应商下载或领取与否，均视同供应商已知晓本项目补遗文件（如果有）的内容。</w:t>
      </w:r>
    </w:p>
    <w:p w14:paraId="4FAE95FF">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（五）超过响应文件截止时间递交的响应文件，恕不接收。</w:t>
      </w:r>
    </w:p>
    <w:p w14:paraId="6EBDE614">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（六）</w:t>
      </w:r>
      <w:r>
        <w:rPr>
          <w:rFonts w:hint="eastAsia" w:cs="宋体"/>
          <w:color w:val="auto"/>
          <w:lang w:eastAsia="zh-CN"/>
        </w:rPr>
        <w:t>招标</w:t>
      </w:r>
      <w:r>
        <w:rPr>
          <w:rFonts w:hint="eastAsia" w:ascii="宋体" w:hAnsi="宋体" w:eastAsia="宋体" w:cs="宋体"/>
          <w:color w:val="auto"/>
        </w:rPr>
        <w:t>费用：无论</w:t>
      </w:r>
      <w:r>
        <w:rPr>
          <w:rFonts w:hint="eastAsia" w:cs="宋体"/>
          <w:color w:val="auto"/>
          <w:lang w:eastAsia="zh-CN"/>
        </w:rPr>
        <w:t>招标</w:t>
      </w:r>
      <w:r>
        <w:rPr>
          <w:rFonts w:hint="eastAsia" w:ascii="宋体" w:hAnsi="宋体" w:eastAsia="宋体" w:cs="宋体"/>
          <w:color w:val="auto"/>
        </w:rPr>
        <w:t>结果如何，供应商参与本项目</w:t>
      </w:r>
      <w:r>
        <w:rPr>
          <w:rFonts w:hint="eastAsia" w:cs="宋体"/>
          <w:color w:val="auto"/>
          <w:lang w:eastAsia="zh-CN"/>
        </w:rPr>
        <w:t>招标</w:t>
      </w:r>
      <w:r>
        <w:rPr>
          <w:rFonts w:hint="eastAsia" w:ascii="宋体" w:hAnsi="宋体" w:eastAsia="宋体" w:cs="宋体"/>
          <w:color w:val="auto"/>
        </w:rPr>
        <w:t>的所有费用均应由供应商自行承担。</w:t>
      </w:r>
    </w:p>
    <w:p w14:paraId="3CB299E9">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（七）供应商有下列情况之一的，将拒绝其参与</w:t>
      </w:r>
      <w:r>
        <w:rPr>
          <w:rFonts w:hint="eastAsia" w:cs="宋体"/>
          <w:color w:val="auto"/>
          <w:lang w:eastAsia="zh-CN"/>
        </w:rPr>
        <w:t>招标</w:t>
      </w:r>
      <w:r>
        <w:rPr>
          <w:rFonts w:hint="eastAsia" w:ascii="宋体" w:hAnsi="宋体" w:eastAsia="宋体" w:cs="宋体"/>
          <w:color w:val="auto"/>
        </w:rPr>
        <w:t>活动：在本项目投标截止日前三年内被列入失信被执行人、重大税收违法案件当事人名单的；被列入政府</w:t>
      </w:r>
      <w:r>
        <w:rPr>
          <w:rFonts w:hint="eastAsia" w:cs="宋体"/>
          <w:color w:val="auto"/>
          <w:lang w:eastAsia="zh-CN"/>
        </w:rPr>
        <w:t>招标</w:t>
      </w:r>
      <w:r>
        <w:rPr>
          <w:rFonts w:hint="eastAsia" w:ascii="宋体" w:hAnsi="宋体" w:eastAsia="宋体" w:cs="宋体"/>
          <w:color w:val="auto"/>
        </w:rPr>
        <w:t>严重违法失信名单且在处罚期内的；被列入政府</w:t>
      </w:r>
      <w:r>
        <w:rPr>
          <w:rFonts w:hint="eastAsia" w:cs="宋体"/>
          <w:color w:val="auto"/>
          <w:lang w:eastAsia="zh-CN"/>
        </w:rPr>
        <w:t>招标</w:t>
      </w:r>
      <w:r>
        <w:rPr>
          <w:rFonts w:hint="eastAsia" w:ascii="宋体" w:hAnsi="宋体" w:eastAsia="宋体" w:cs="宋体"/>
          <w:color w:val="auto"/>
        </w:rPr>
        <w:t>严重违法失信行为记录名单且在处罚期内的；其他不符合《中华人民共和国政府</w:t>
      </w:r>
      <w:r>
        <w:rPr>
          <w:rFonts w:hint="eastAsia" w:cs="宋体"/>
          <w:color w:val="auto"/>
          <w:lang w:eastAsia="zh-CN"/>
        </w:rPr>
        <w:t>招标</w:t>
      </w:r>
      <w:r>
        <w:rPr>
          <w:rFonts w:hint="eastAsia" w:ascii="宋体" w:hAnsi="宋体" w:eastAsia="宋体" w:cs="宋体"/>
          <w:color w:val="auto"/>
        </w:rPr>
        <w:t>法》第二十二条规定条件的。</w:t>
      </w:r>
    </w:p>
    <w:p w14:paraId="0596375F">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27" w:name="_Toc373860294"/>
      <w:bookmarkStart w:id="28" w:name="_Toc76462321"/>
      <w:bookmarkStart w:id="29" w:name="_Toc108545957"/>
      <w:r>
        <w:rPr>
          <w:rFonts w:hint="eastAsia" w:ascii="宋体" w:hAnsi="宋体" w:eastAsia="宋体" w:cs="宋体"/>
          <w:color w:val="auto"/>
          <w:sz w:val="24"/>
          <w:szCs w:val="24"/>
        </w:rPr>
        <w:t>七</w:t>
      </w:r>
      <w:bookmarkEnd w:id="27"/>
      <w:bookmarkEnd w:id="28"/>
      <w:r>
        <w:rPr>
          <w:rFonts w:hint="eastAsia" w:ascii="宋体" w:hAnsi="宋体" w:eastAsia="宋体" w:cs="宋体"/>
          <w:color w:val="auto"/>
          <w:sz w:val="24"/>
          <w:szCs w:val="24"/>
        </w:rPr>
        <w:t>、联系方式</w:t>
      </w:r>
      <w:bookmarkEnd w:id="29"/>
    </w:p>
    <w:p w14:paraId="6B63C5D7">
      <w:pPr>
        <w:pageBreakBefore w:val="0"/>
        <w:tabs>
          <w:tab w:val="center" w:pos="4535"/>
        </w:tabs>
        <w:kinsoku/>
        <w:overflowPunct/>
        <w:topLinePunct w:val="0"/>
        <w:bidi w:val="0"/>
        <w:snapToGrid w:val="0"/>
        <w:spacing w:line="336" w:lineRule="auto"/>
        <w:ind w:firstLine="480" w:firstLineChars="200"/>
        <w:textAlignment w:val="auto"/>
        <w:rPr>
          <w:rFonts w:hint="eastAsia" w:ascii="宋体" w:hAnsi="宋体" w:eastAsia="宋体" w:cs="宋体"/>
          <w:highlight w:val="none"/>
          <w:lang w:eastAsia="zh-CN"/>
        </w:rPr>
      </w:pPr>
      <w:r>
        <w:rPr>
          <w:rFonts w:hint="eastAsia" w:ascii="宋体" w:hAnsi="宋体" w:eastAsia="宋体" w:cs="宋体"/>
          <w:color w:val="auto"/>
        </w:rPr>
        <w:t>（一）</w:t>
      </w:r>
      <w:r>
        <w:rPr>
          <w:rFonts w:hint="eastAsia" w:cs="宋体"/>
          <w:highlight w:val="none"/>
          <w:lang w:eastAsia="zh-CN"/>
        </w:rPr>
        <w:t>招标</w:t>
      </w:r>
      <w:r>
        <w:rPr>
          <w:rFonts w:hint="eastAsia" w:ascii="宋体" w:hAnsi="宋体" w:eastAsia="宋体" w:cs="宋体"/>
          <w:highlight w:val="none"/>
        </w:rPr>
        <w:t>人：</w:t>
      </w:r>
      <w:r>
        <w:rPr>
          <w:rFonts w:hint="eastAsia" w:cs="宋体"/>
          <w:highlight w:val="none"/>
          <w:lang w:eastAsia="zh-CN"/>
        </w:rPr>
        <w:t xml:space="preserve">重庆市九龙坡区含谷镇人民政府 </w:t>
      </w:r>
    </w:p>
    <w:p w14:paraId="5D5F6A2B">
      <w:pPr>
        <w:pageBreakBefore w:val="0"/>
        <w:tabs>
          <w:tab w:val="center" w:pos="4535"/>
        </w:tabs>
        <w:kinsoku/>
        <w:overflowPunct/>
        <w:topLinePunct w:val="0"/>
        <w:bidi w:val="0"/>
        <w:snapToGrid w:val="0"/>
        <w:spacing w:line="336" w:lineRule="auto"/>
        <w:ind w:firstLine="48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rPr>
        <w:t>联系人：</w:t>
      </w:r>
      <w:r>
        <w:rPr>
          <w:rFonts w:hint="eastAsia" w:cs="宋体"/>
          <w:highlight w:val="none"/>
          <w:lang w:val="en-US" w:eastAsia="zh-CN"/>
        </w:rPr>
        <w:t xml:space="preserve"> 陈容</w:t>
      </w:r>
    </w:p>
    <w:p w14:paraId="04A54CAD">
      <w:pPr>
        <w:pageBreakBefore w:val="0"/>
        <w:tabs>
          <w:tab w:val="center" w:pos="4535"/>
        </w:tabs>
        <w:kinsoku/>
        <w:overflowPunct/>
        <w:topLinePunct w:val="0"/>
        <w:bidi w:val="0"/>
        <w:snapToGrid w:val="0"/>
        <w:spacing w:line="336" w:lineRule="auto"/>
        <w:ind w:firstLine="480" w:firstLineChars="200"/>
        <w:textAlignment w:val="auto"/>
        <w:rPr>
          <w:rFonts w:hint="eastAsia" w:cs="宋体"/>
          <w:highlight w:val="none"/>
          <w:lang w:val="en-US" w:eastAsia="zh-CN"/>
        </w:rPr>
      </w:pPr>
      <w:r>
        <w:rPr>
          <w:rFonts w:hint="eastAsia" w:ascii="宋体" w:hAnsi="宋体" w:eastAsia="宋体" w:cs="宋体"/>
          <w:highlight w:val="none"/>
          <w:lang w:eastAsia="zh-CN"/>
        </w:rPr>
        <w:t>联系电话</w:t>
      </w:r>
      <w:r>
        <w:rPr>
          <w:rFonts w:hint="eastAsia" w:ascii="宋体" w:hAnsi="宋体" w:eastAsia="宋体" w:cs="宋体"/>
          <w:highlight w:val="none"/>
        </w:rPr>
        <w:t>：</w:t>
      </w:r>
      <w:r>
        <w:rPr>
          <w:rFonts w:hint="eastAsia" w:cs="宋体"/>
          <w:highlight w:val="none"/>
          <w:lang w:val="en-US" w:eastAsia="zh-CN"/>
        </w:rPr>
        <w:t xml:space="preserve"> 15826167522</w:t>
      </w:r>
    </w:p>
    <w:p w14:paraId="53F24D6C">
      <w:pPr>
        <w:pageBreakBefore w:val="0"/>
        <w:tabs>
          <w:tab w:val="center" w:pos="4535"/>
        </w:tabs>
        <w:kinsoku/>
        <w:overflowPunct/>
        <w:topLinePunct w:val="0"/>
        <w:bidi w:val="0"/>
        <w:snapToGrid w:val="0"/>
        <w:spacing w:line="336" w:lineRule="auto"/>
        <w:ind w:firstLine="480" w:firstLineChars="200"/>
        <w:textAlignment w:val="auto"/>
        <w:rPr>
          <w:rFonts w:hint="default" w:ascii="宋体" w:hAnsi="宋体" w:eastAsia="宋体" w:cs="宋体"/>
          <w:color w:val="auto"/>
          <w:lang w:val="en-US" w:eastAsia="zh-CN"/>
        </w:rPr>
      </w:pPr>
      <w:r>
        <w:rPr>
          <w:rFonts w:hint="eastAsia" w:ascii="宋体" w:hAnsi="宋体" w:eastAsia="宋体" w:cs="宋体"/>
          <w:highlight w:val="none"/>
        </w:rPr>
        <w:t>地  址：</w:t>
      </w:r>
      <w:r>
        <w:rPr>
          <w:rFonts w:hint="eastAsia" w:cs="宋体"/>
          <w:highlight w:val="none"/>
          <w:lang w:val="en-US" w:eastAsia="zh-CN"/>
        </w:rPr>
        <w:t xml:space="preserve"> </w:t>
      </w:r>
      <w:r>
        <w:rPr>
          <w:rFonts w:hint="eastAsia" w:cs="宋体"/>
          <w:highlight w:val="none"/>
          <w:lang w:eastAsia="zh-CN"/>
        </w:rPr>
        <w:t xml:space="preserve">重庆市九龙坡区含谷镇人民政府 </w:t>
      </w:r>
    </w:p>
    <w:p w14:paraId="6513B90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w:t>
      </w:r>
      <w:r>
        <w:rPr>
          <w:rFonts w:hint="eastAsia" w:cs="宋体"/>
          <w:color w:val="auto"/>
          <w:lang w:eastAsia="zh-CN"/>
        </w:rPr>
        <w:t>招标</w:t>
      </w:r>
      <w:r>
        <w:rPr>
          <w:rFonts w:hint="eastAsia" w:ascii="宋体" w:hAnsi="宋体" w:eastAsia="宋体" w:cs="宋体"/>
          <w:color w:val="auto"/>
        </w:rPr>
        <w:t>代理机构：</w:t>
      </w:r>
      <w:r>
        <w:rPr>
          <w:rFonts w:hint="eastAsia" w:ascii="宋体" w:hAnsi="宋体" w:eastAsia="宋体" w:cs="宋体"/>
          <w:color w:val="auto"/>
          <w:lang w:eastAsia="zh-CN"/>
        </w:rPr>
        <w:t>重庆市</w:t>
      </w:r>
      <w:r>
        <w:rPr>
          <w:rFonts w:hint="eastAsia" w:cs="宋体"/>
          <w:color w:val="auto"/>
          <w:lang w:eastAsia="zh-CN"/>
        </w:rPr>
        <w:t>科成工程建设监理</w:t>
      </w:r>
      <w:r>
        <w:rPr>
          <w:rFonts w:hint="eastAsia" w:ascii="宋体" w:hAnsi="宋体" w:eastAsia="宋体" w:cs="宋体"/>
          <w:color w:val="auto"/>
          <w:lang w:eastAsia="zh-CN"/>
        </w:rPr>
        <w:t>有限公司</w:t>
      </w:r>
    </w:p>
    <w:p w14:paraId="27C6C13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rPr>
        <w:t>联系人：</w:t>
      </w:r>
      <w:r>
        <w:rPr>
          <w:rFonts w:hint="eastAsia" w:cs="宋体"/>
          <w:color w:val="auto"/>
          <w:lang w:eastAsia="zh-CN"/>
        </w:rPr>
        <w:t>时</w:t>
      </w:r>
      <w:r>
        <w:rPr>
          <w:rFonts w:hint="eastAsia" w:ascii="宋体" w:hAnsi="宋体" w:eastAsia="宋体" w:cs="宋体"/>
          <w:color w:val="auto"/>
          <w:lang w:eastAsia="zh-CN"/>
        </w:rPr>
        <w:t>老师</w:t>
      </w:r>
    </w:p>
    <w:p w14:paraId="3C8C1A87">
      <w:pPr>
        <w:pageBreakBefore w:val="0"/>
        <w:kinsoku/>
        <w:overflowPunct/>
        <w:topLinePunct w:val="0"/>
        <w:bidi w:val="0"/>
        <w:snapToGrid w:val="0"/>
        <w:spacing w:line="336" w:lineRule="auto"/>
        <w:ind w:firstLine="480" w:firstLineChars="200"/>
        <w:textAlignment w:val="auto"/>
        <w:rPr>
          <w:rFonts w:hint="default" w:ascii="宋体" w:hAnsi="宋体" w:eastAsia="宋体" w:cs="宋体"/>
          <w:color w:val="auto"/>
          <w:lang w:val="en-US" w:eastAsia="zh-CN"/>
        </w:rPr>
      </w:pPr>
      <w:r>
        <w:rPr>
          <w:rFonts w:hint="eastAsia" w:ascii="宋体" w:hAnsi="宋体" w:eastAsia="宋体" w:cs="宋体"/>
          <w:color w:val="auto"/>
        </w:rPr>
        <w:t>电  话：</w:t>
      </w:r>
      <w:r>
        <w:rPr>
          <w:rFonts w:hint="eastAsia" w:cs="宋体"/>
          <w:color w:val="auto"/>
          <w:u w:val="single"/>
          <w:lang w:val="en-US" w:eastAsia="zh-CN"/>
        </w:rPr>
        <w:t xml:space="preserve"> 17382327366  </w:t>
      </w:r>
    </w:p>
    <w:p w14:paraId="7C1C0A3B">
      <w:pPr>
        <w:pageBreakBefore w:val="0"/>
        <w:kinsoku/>
        <w:overflowPunct/>
        <w:topLinePunct w:val="0"/>
        <w:bidi w:val="0"/>
        <w:snapToGrid w:val="0"/>
        <w:spacing w:line="336" w:lineRule="auto"/>
        <w:ind w:firstLine="480" w:firstLineChars="200"/>
        <w:textAlignment w:val="auto"/>
        <w:rPr>
          <w:rFonts w:hint="default" w:ascii="宋体" w:hAnsi="宋体" w:eastAsia="宋体" w:cs="宋体"/>
          <w:b w:val="0"/>
          <w:bCs w:val="0"/>
          <w:color w:val="auto"/>
          <w:u w:val="single"/>
          <w:lang w:val="en-US" w:eastAsia="zh-CN"/>
        </w:rPr>
        <w:sectPr>
          <w:pgSz w:w="11907" w:h="16840"/>
          <w:pgMar w:top="1440" w:right="1797" w:bottom="1440" w:left="1797" w:header="454" w:footer="567" w:gutter="0"/>
          <w:pgNumType w:fmt="numberInDash"/>
          <w:cols w:space="720" w:num="1"/>
          <w:docGrid w:type="linesAndChars" w:linePitch="381" w:charSpace="0"/>
        </w:sectPr>
      </w:pPr>
      <w:r>
        <w:rPr>
          <w:rFonts w:hint="eastAsia" w:ascii="宋体" w:hAnsi="宋体" w:eastAsia="宋体" w:cs="宋体"/>
          <w:color w:val="auto"/>
        </w:rPr>
        <w:t>地  址：</w:t>
      </w:r>
      <w:bookmarkEnd w:id="14"/>
      <w:bookmarkStart w:id="30" w:name="_Toc102227313"/>
      <w:bookmarkStart w:id="31" w:name="_Toc152480141"/>
      <w:bookmarkStart w:id="32" w:name="_Toc376349875"/>
      <w:r>
        <w:rPr>
          <w:rFonts w:hint="eastAsia" w:cs="宋体"/>
          <w:color w:val="auto"/>
          <w:u w:val="single"/>
          <w:lang w:val="en-US" w:eastAsia="zh-CN"/>
        </w:rPr>
        <w:t xml:space="preserve"> 重庆市巴南区鱼洞街道江滨路13号  </w:t>
      </w:r>
    </w:p>
    <w:bookmarkEnd w:id="8"/>
    <w:bookmarkEnd w:id="9"/>
    <w:bookmarkEnd w:id="10"/>
    <w:bookmarkEnd w:id="30"/>
    <w:bookmarkEnd w:id="31"/>
    <w:bookmarkEnd w:id="32"/>
    <w:p w14:paraId="2E4E029A">
      <w:pPr>
        <w:pStyle w:val="4"/>
        <w:pageBreakBefore w:val="0"/>
        <w:kinsoku/>
        <w:overflowPunct/>
        <w:topLinePunct w:val="0"/>
        <w:bidi w:val="0"/>
        <w:spacing w:line="336" w:lineRule="auto"/>
        <w:jc w:val="center"/>
        <w:textAlignment w:val="auto"/>
        <w:rPr>
          <w:rFonts w:hint="eastAsia" w:ascii="宋体" w:hAnsi="宋体" w:eastAsia="宋体" w:cs="宋体"/>
          <w:b w:val="0"/>
          <w:bCs w:val="0"/>
          <w:color w:val="auto"/>
        </w:rPr>
      </w:pPr>
      <w:bookmarkStart w:id="33" w:name="_Toc487204778"/>
      <w:bookmarkStart w:id="34" w:name="_Toc108545958"/>
      <w:bookmarkStart w:id="35" w:name="_Toc6453"/>
      <w:bookmarkStart w:id="36" w:name="_Toc128744991"/>
      <w:r>
        <w:rPr>
          <w:rStyle w:val="38"/>
          <w:rFonts w:hint="eastAsia" w:ascii="宋体" w:hAnsi="宋体" w:eastAsia="宋体" w:cs="宋体"/>
          <w:b/>
          <w:bCs/>
          <w:color w:val="auto"/>
        </w:rPr>
        <w:t>第二篇  供应商须知</w:t>
      </w:r>
      <w:bookmarkEnd w:id="33"/>
      <w:bookmarkEnd w:id="34"/>
      <w:bookmarkEnd w:id="35"/>
    </w:p>
    <w:p w14:paraId="6CA3D227">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37" w:name="_Toc342913389"/>
      <w:bookmarkStart w:id="38" w:name="_Toc108545959"/>
      <w:bookmarkStart w:id="39" w:name="_Toc487204779"/>
      <w:bookmarkStart w:id="40" w:name="_Toc20643"/>
      <w:bookmarkStart w:id="41" w:name="_Toc426965630"/>
      <w:r>
        <w:rPr>
          <w:rFonts w:hint="eastAsia" w:ascii="宋体" w:hAnsi="宋体" w:eastAsia="宋体" w:cs="宋体"/>
          <w:color w:val="auto"/>
          <w:sz w:val="24"/>
          <w:szCs w:val="24"/>
        </w:rPr>
        <w:t>一、</w:t>
      </w:r>
      <w:r>
        <w:rPr>
          <w:rFonts w:hint="eastAsia" w:ascii="宋体" w:hAnsi="宋体" w:cs="宋体"/>
          <w:color w:val="auto"/>
          <w:sz w:val="24"/>
          <w:szCs w:val="24"/>
          <w:lang w:eastAsia="zh-CN"/>
        </w:rPr>
        <w:t>招标</w:t>
      </w:r>
      <w:r>
        <w:rPr>
          <w:rFonts w:hint="eastAsia" w:ascii="宋体" w:hAnsi="宋体" w:eastAsia="宋体" w:cs="宋体"/>
          <w:color w:val="auto"/>
          <w:sz w:val="24"/>
          <w:szCs w:val="24"/>
        </w:rPr>
        <w:t>费用</w:t>
      </w:r>
      <w:bookmarkEnd w:id="37"/>
      <w:bookmarkEnd w:id="38"/>
      <w:bookmarkEnd w:id="39"/>
      <w:bookmarkEnd w:id="40"/>
      <w:bookmarkEnd w:id="41"/>
    </w:p>
    <w:p w14:paraId="5EE73E91">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参与</w:t>
      </w:r>
      <w:r>
        <w:rPr>
          <w:rFonts w:hint="eastAsia" w:cs="宋体"/>
          <w:color w:val="auto"/>
          <w:lang w:eastAsia="zh-CN"/>
        </w:rPr>
        <w:t>招标</w:t>
      </w:r>
      <w:r>
        <w:rPr>
          <w:rFonts w:hint="eastAsia" w:ascii="宋体" w:hAnsi="宋体" w:eastAsia="宋体" w:cs="宋体"/>
          <w:color w:val="auto"/>
        </w:rPr>
        <w:t>的供应商应承担其编制响应文件与递交响应文件所涉及的一切费用，不论</w:t>
      </w:r>
      <w:r>
        <w:rPr>
          <w:rFonts w:hint="eastAsia" w:cs="宋体"/>
          <w:color w:val="auto"/>
          <w:lang w:eastAsia="zh-CN"/>
        </w:rPr>
        <w:t>招标</w:t>
      </w:r>
      <w:r>
        <w:rPr>
          <w:rFonts w:hint="eastAsia" w:ascii="宋体" w:hAnsi="宋体" w:eastAsia="宋体" w:cs="宋体"/>
          <w:color w:val="auto"/>
        </w:rPr>
        <w:t>结果如何，</w:t>
      </w:r>
      <w:r>
        <w:rPr>
          <w:rFonts w:hint="eastAsia" w:cs="宋体"/>
          <w:color w:val="auto"/>
          <w:lang w:eastAsia="zh-CN"/>
        </w:rPr>
        <w:t>招标</w:t>
      </w:r>
      <w:r>
        <w:rPr>
          <w:rFonts w:hint="eastAsia" w:ascii="宋体" w:hAnsi="宋体" w:eastAsia="宋体" w:cs="宋体"/>
          <w:color w:val="auto"/>
        </w:rPr>
        <w:t>人和</w:t>
      </w:r>
      <w:r>
        <w:rPr>
          <w:rFonts w:hint="eastAsia" w:cs="宋体"/>
          <w:color w:val="auto"/>
          <w:lang w:eastAsia="zh-CN"/>
        </w:rPr>
        <w:t>招标</w:t>
      </w:r>
      <w:r>
        <w:rPr>
          <w:rFonts w:hint="eastAsia" w:ascii="宋体" w:hAnsi="宋体" w:eastAsia="宋体" w:cs="宋体"/>
          <w:color w:val="auto"/>
        </w:rPr>
        <w:t>代理机构在任何情况下无义务也无责任承担这些费用。</w:t>
      </w:r>
    </w:p>
    <w:p w14:paraId="5A29850F">
      <w:pPr>
        <w:pStyle w:val="5"/>
        <w:pageBreakBefore w:val="0"/>
        <w:tabs>
          <w:tab w:val="left" w:pos="2640"/>
        </w:tabs>
        <w:kinsoku/>
        <w:overflowPunct/>
        <w:topLinePunct w:val="0"/>
        <w:bidi w:val="0"/>
        <w:spacing w:before="0" w:after="0" w:line="336" w:lineRule="auto"/>
        <w:textAlignment w:val="auto"/>
        <w:rPr>
          <w:rFonts w:hint="eastAsia" w:ascii="宋体" w:hAnsi="宋体" w:eastAsia="宋体" w:cs="宋体"/>
          <w:color w:val="auto"/>
          <w:sz w:val="24"/>
          <w:szCs w:val="24"/>
        </w:rPr>
      </w:pPr>
      <w:bookmarkStart w:id="42" w:name="_Toc426965631"/>
      <w:bookmarkStart w:id="43" w:name="_Toc342913391"/>
      <w:bookmarkStart w:id="44" w:name="_Toc487204780"/>
      <w:bookmarkStart w:id="45" w:name="_Toc7850"/>
      <w:bookmarkStart w:id="46" w:name="_Toc108545960"/>
      <w:r>
        <w:rPr>
          <w:rFonts w:hint="eastAsia" w:ascii="宋体" w:hAnsi="宋体" w:eastAsia="宋体" w:cs="宋体"/>
          <w:color w:val="auto"/>
          <w:sz w:val="24"/>
          <w:szCs w:val="24"/>
        </w:rPr>
        <w:t>二、</w:t>
      </w:r>
      <w:bookmarkEnd w:id="42"/>
      <w:bookmarkEnd w:id="43"/>
      <w:bookmarkEnd w:id="44"/>
      <w:r>
        <w:rPr>
          <w:rFonts w:hint="eastAsia" w:ascii="宋体" w:hAnsi="宋体" w:cs="宋体"/>
          <w:color w:val="auto"/>
          <w:sz w:val="24"/>
          <w:szCs w:val="24"/>
          <w:lang w:eastAsia="zh-CN"/>
        </w:rPr>
        <w:t>招标</w:t>
      </w:r>
      <w:r>
        <w:rPr>
          <w:rFonts w:hint="eastAsia" w:ascii="宋体" w:hAnsi="宋体" w:eastAsia="宋体" w:cs="宋体"/>
          <w:color w:val="auto"/>
          <w:sz w:val="24"/>
          <w:szCs w:val="24"/>
        </w:rPr>
        <w:t>通知书</w:t>
      </w:r>
      <w:bookmarkEnd w:id="45"/>
      <w:bookmarkEnd w:id="46"/>
      <w:r>
        <w:rPr>
          <w:rFonts w:hint="eastAsia" w:ascii="宋体" w:hAnsi="宋体" w:eastAsia="宋体" w:cs="宋体"/>
          <w:color w:val="auto"/>
          <w:sz w:val="24"/>
          <w:szCs w:val="24"/>
        </w:rPr>
        <w:tab/>
      </w:r>
    </w:p>
    <w:p w14:paraId="351CF381">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w:t>
      </w:r>
      <w:r>
        <w:rPr>
          <w:rFonts w:hint="eastAsia" w:cs="宋体"/>
          <w:color w:val="auto"/>
          <w:lang w:eastAsia="zh-CN"/>
        </w:rPr>
        <w:t>招标</w:t>
      </w:r>
      <w:r>
        <w:rPr>
          <w:rFonts w:hint="eastAsia" w:ascii="宋体" w:hAnsi="宋体" w:eastAsia="宋体" w:cs="宋体"/>
          <w:color w:val="auto"/>
        </w:rPr>
        <w:t>通知书由</w:t>
      </w:r>
      <w:r>
        <w:rPr>
          <w:rFonts w:hint="eastAsia" w:cs="宋体"/>
          <w:color w:val="auto"/>
          <w:lang w:eastAsia="zh-CN"/>
        </w:rPr>
        <w:t>招标</w:t>
      </w:r>
      <w:r>
        <w:rPr>
          <w:rFonts w:hint="eastAsia" w:ascii="宋体" w:hAnsi="宋体" w:eastAsia="宋体" w:cs="宋体"/>
          <w:color w:val="auto"/>
        </w:rPr>
        <w:t>邀请书、供应商须知、</w:t>
      </w:r>
      <w:r>
        <w:rPr>
          <w:rFonts w:hint="eastAsia" w:cs="宋体"/>
          <w:color w:val="auto"/>
          <w:lang w:eastAsia="zh-CN"/>
        </w:rPr>
        <w:t>招标</w:t>
      </w:r>
      <w:r>
        <w:rPr>
          <w:rFonts w:hint="eastAsia" w:ascii="宋体" w:hAnsi="宋体" w:eastAsia="宋体" w:cs="宋体"/>
          <w:color w:val="auto"/>
        </w:rPr>
        <w:t>项目技术需求、</w:t>
      </w:r>
      <w:r>
        <w:rPr>
          <w:rFonts w:hint="eastAsia" w:cs="宋体"/>
          <w:color w:val="auto"/>
          <w:lang w:eastAsia="zh-CN"/>
        </w:rPr>
        <w:t>招标</w:t>
      </w:r>
      <w:r>
        <w:rPr>
          <w:rFonts w:hint="eastAsia" w:ascii="宋体" w:hAnsi="宋体" w:eastAsia="宋体" w:cs="宋体"/>
          <w:color w:val="auto"/>
        </w:rPr>
        <w:t>项目商务需求、响应文件格式要求五部分组成。</w:t>
      </w:r>
    </w:p>
    <w:p w14:paraId="1C5A882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w:t>
      </w:r>
      <w:r>
        <w:rPr>
          <w:rFonts w:hint="eastAsia" w:cs="宋体"/>
          <w:color w:val="auto"/>
          <w:lang w:eastAsia="zh-CN"/>
        </w:rPr>
        <w:t>招标</w:t>
      </w:r>
      <w:r>
        <w:rPr>
          <w:rFonts w:hint="eastAsia" w:ascii="宋体" w:hAnsi="宋体" w:eastAsia="宋体" w:cs="宋体"/>
          <w:color w:val="auto"/>
        </w:rPr>
        <w:t>人（或</w:t>
      </w:r>
      <w:r>
        <w:rPr>
          <w:rFonts w:hint="eastAsia" w:cs="宋体"/>
          <w:color w:val="auto"/>
          <w:lang w:eastAsia="zh-CN"/>
        </w:rPr>
        <w:t>招标</w:t>
      </w:r>
      <w:r>
        <w:rPr>
          <w:rFonts w:hint="eastAsia" w:ascii="宋体" w:hAnsi="宋体" w:eastAsia="宋体" w:cs="宋体"/>
          <w:color w:val="auto"/>
        </w:rPr>
        <w:t>代理机构）所作的一切有效的书面通知、修改及补充，都是</w:t>
      </w:r>
      <w:r>
        <w:rPr>
          <w:rFonts w:hint="eastAsia" w:cs="宋体"/>
          <w:color w:val="auto"/>
          <w:lang w:eastAsia="zh-CN"/>
        </w:rPr>
        <w:t>招标</w:t>
      </w:r>
      <w:r>
        <w:rPr>
          <w:rFonts w:hint="eastAsia" w:ascii="宋体" w:hAnsi="宋体" w:eastAsia="宋体" w:cs="宋体"/>
          <w:color w:val="auto"/>
        </w:rPr>
        <w:t>通知书不可分割的部分。</w:t>
      </w:r>
    </w:p>
    <w:p w14:paraId="2C8047FF">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（三）</w:t>
      </w:r>
      <w:r>
        <w:rPr>
          <w:rFonts w:hint="eastAsia" w:cs="宋体"/>
          <w:color w:val="auto"/>
          <w:lang w:eastAsia="zh-CN"/>
        </w:rPr>
        <w:t>招标</w:t>
      </w:r>
      <w:r>
        <w:rPr>
          <w:rFonts w:hint="eastAsia" w:ascii="宋体" w:hAnsi="宋体" w:eastAsia="宋体" w:cs="宋体"/>
          <w:color w:val="auto"/>
        </w:rPr>
        <w:t>通知书的解释</w:t>
      </w:r>
    </w:p>
    <w:p w14:paraId="1BB3558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供应商如对</w:t>
      </w:r>
      <w:r>
        <w:rPr>
          <w:rFonts w:hint="eastAsia" w:cs="宋体"/>
          <w:color w:val="auto"/>
          <w:lang w:eastAsia="zh-CN"/>
        </w:rPr>
        <w:t>招标</w:t>
      </w:r>
      <w:r>
        <w:rPr>
          <w:rFonts w:hint="eastAsia" w:ascii="宋体" w:hAnsi="宋体" w:eastAsia="宋体" w:cs="宋体"/>
          <w:color w:val="auto"/>
        </w:rPr>
        <w:t>通知书有疑问，必须以书面形式在提交响应文件截止时间1个工作日前向</w:t>
      </w:r>
      <w:r>
        <w:rPr>
          <w:rFonts w:hint="eastAsia" w:cs="宋体"/>
          <w:color w:val="auto"/>
          <w:lang w:eastAsia="zh-CN"/>
        </w:rPr>
        <w:t>招标</w:t>
      </w:r>
      <w:r>
        <w:rPr>
          <w:rFonts w:hint="eastAsia" w:ascii="宋体" w:hAnsi="宋体" w:eastAsia="宋体" w:cs="宋体"/>
          <w:color w:val="auto"/>
        </w:rPr>
        <w:t>人（或</w:t>
      </w:r>
      <w:r>
        <w:rPr>
          <w:rFonts w:hint="eastAsia" w:cs="宋体"/>
          <w:color w:val="auto"/>
          <w:lang w:eastAsia="zh-CN"/>
        </w:rPr>
        <w:t>招标</w:t>
      </w:r>
      <w:r>
        <w:rPr>
          <w:rFonts w:hint="eastAsia" w:ascii="宋体" w:hAnsi="宋体" w:eastAsia="宋体" w:cs="宋体"/>
          <w:color w:val="auto"/>
        </w:rPr>
        <w:t>代理机构）要求澄清，</w:t>
      </w:r>
      <w:r>
        <w:rPr>
          <w:rFonts w:hint="eastAsia" w:cs="宋体"/>
          <w:color w:val="auto"/>
          <w:lang w:eastAsia="zh-CN"/>
        </w:rPr>
        <w:t>招标</w:t>
      </w:r>
      <w:r>
        <w:rPr>
          <w:rFonts w:hint="eastAsia" w:ascii="宋体" w:hAnsi="宋体" w:eastAsia="宋体" w:cs="宋体"/>
          <w:color w:val="auto"/>
        </w:rPr>
        <w:t>人（或</w:t>
      </w:r>
      <w:r>
        <w:rPr>
          <w:rFonts w:hint="eastAsia" w:cs="宋体"/>
          <w:color w:val="auto"/>
          <w:lang w:eastAsia="zh-CN"/>
        </w:rPr>
        <w:t>招标</w:t>
      </w:r>
      <w:r>
        <w:rPr>
          <w:rFonts w:hint="eastAsia" w:ascii="宋体" w:hAnsi="宋体" w:eastAsia="宋体" w:cs="宋体"/>
          <w:color w:val="auto"/>
        </w:rPr>
        <w:t>代理机构）可视具体情况做出处理或答复。如供应商未提出疑问，视为完全理解并同意本</w:t>
      </w:r>
      <w:r>
        <w:rPr>
          <w:rFonts w:hint="eastAsia" w:cs="宋体"/>
          <w:color w:val="auto"/>
          <w:lang w:eastAsia="zh-CN"/>
        </w:rPr>
        <w:t>招标</w:t>
      </w:r>
      <w:r>
        <w:rPr>
          <w:rFonts w:hint="eastAsia" w:ascii="宋体" w:hAnsi="宋体" w:eastAsia="宋体" w:cs="宋体"/>
          <w:color w:val="auto"/>
        </w:rPr>
        <w:t>通知书。一经进入</w:t>
      </w:r>
      <w:r>
        <w:rPr>
          <w:rFonts w:hint="eastAsia" w:cs="宋体"/>
          <w:color w:val="auto"/>
          <w:lang w:eastAsia="zh-CN"/>
        </w:rPr>
        <w:t>招标</w:t>
      </w:r>
      <w:r>
        <w:rPr>
          <w:rFonts w:hint="eastAsia" w:ascii="宋体" w:hAnsi="宋体" w:eastAsia="宋体" w:cs="宋体"/>
          <w:color w:val="auto"/>
        </w:rPr>
        <w:t>程序，即视为供应商已详细阅读全部文件资料，完全理解</w:t>
      </w:r>
      <w:r>
        <w:rPr>
          <w:rFonts w:hint="eastAsia" w:cs="宋体"/>
          <w:color w:val="auto"/>
          <w:lang w:eastAsia="zh-CN"/>
        </w:rPr>
        <w:t>招标</w:t>
      </w:r>
      <w:r>
        <w:rPr>
          <w:rFonts w:hint="eastAsia" w:ascii="宋体" w:hAnsi="宋体" w:eastAsia="宋体" w:cs="宋体"/>
          <w:color w:val="auto"/>
        </w:rPr>
        <w:t>通知书所有条款内容并同意放弃对这方面有不明白及误解的权利。</w:t>
      </w:r>
      <w:bookmarkStart w:id="47" w:name="_Toc318159160"/>
      <w:bookmarkStart w:id="48" w:name="_Toc318159780"/>
      <w:bookmarkStart w:id="49" w:name="_Toc318159349"/>
      <w:bookmarkStart w:id="50" w:name="_Toc318166429"/>
    </w:p>
    <w:bookmarkEnd w:id="47"/>
    <w:bookmarkEnd w:id="48"/>
    <w:bookmarkEnd w:id="49"/>
    <w:bookmarkEnd w:id="50"/>
    <w:p w14:paraId="2C333090">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51" w:name="_Toc108545961"/>
      <w:bookmarkStart w:id="52" w:name="_Toc26774"/>
      <w:bookmarkStart w:id="53" w:name="_Toc426965632"/>
      <w:bookmarkStart w:id="54" w:name="_Toc342913392"/>
      <w:bookmarkStart w:id="55" w:name="_Toc179714297"/>
      <w:bookmarkStart w:id="56" w:name="_Toc487204781"/>
      <w:bookmarkStart w:id="57" w:name="_Toc102227318"/>
      <w:r>
        <w:rPr>
          <w:rFonts w:hint="eastAsia" w:ascii="宋体" w:hAnsi="宋体" w:eastAsia="宋体" w:cs="宋体"/>
          <w:color w:val="auto"/>
          <w:sz w:val="24"/>
          <w:szCs w:val="24"/>
        </w:rPr>
        <w:t>三、</w:t>
      </w:r>
      <w:r>
        <w:rPr>
          <w:rFonts w:hint="eastAsia" w:ascii="宋体" w:hAnsi="宋体" w:cs="宋体"/>
          <w:color w:val="auto"/>
          <w:sz w:val="24"/>
          <w:szCs w:val="24"/>
          <w:lang w:eastAsia="zh-CN"/>
        </w:rPr>
        <w:t>招标</w:t>
      </w:r>
      <w:r>
        <w:rPr>
          <w:rFonts w:hint="eastAsia" w:ascii="宋体" w:hAnsi="宋体" w:eastAsia="宋体" w:cs="宋体"/>
          <w:color w:val="auto"/>
          <w:sz w:val="24"/>
          <w:szCs w:val="24"/>
        </w:rPr>
        <w:t>要求</w:t>
      </w:r>
      <w:bookmarkEnd w:id="51"/>
      <w:bookmarkEnd w:id="52"/>
      <w:bookmarkEnd w:id="53"/>
      <w:bookmarkEnd w:id="54"/>
      <w:bookmarkEnd w:id="55"/>
      <w:bookmarkEnd w:id="56"/>
      <w:bookmarkEnd w:id="57"/>
    </w:p>
    <w:p w14:paraId="4AA6D2BF">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（一）响应文件</w:t>
      </w:r>
    </w:p>
    <w:p w14:paraId="2AA1FFF4">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供应商应当按照</w:t>
      </w:r>
      <w:r>
        <w:rPr>
          <w:rFonts w:hint="eastAsia" w:cs="宋体"/>
          <w:color w:val="auto"/>
          <w:lang w:eastAsia="zh-CN"/>
        </w:rPr>
        <w:t>招标</w:t>
      </w:r>
      <w:r>
        <w:rPr>
          <w:rFonts w:hint="eastAsia" w:ascii="宋体" w:hAnsi="宋体" w:eastAsia="宋体" w:cs="宋体"/>
          <w:color w:val="auto"/>
        </w:rPr>
        <w:t>通知书的要求编制响应文件，并对</w:t>
      </w:r>
      <w:r>
        <w:rPr>
          <w:rFonts w:hint="eastAsia" w:cs="宋体"/>
          <w:color w:val="auto"/>
          <w:lang w:eastAsia="zh-CN"/>
        </w:rPr>
        <w:t>招标</w:t>
      </w:r>
      <w:r>
        <w:rPr>
          <w:rFonts w:hint="eastAsia" w:ascii="宋体" w:hAnsi="宋体" w:eastAsia="宋体" w:cs="宋体"/>
          <w:color w:val="auto"/>
        </w:rPr>
        <w:t>通知书提出的要求和条件作出实质性响应，响应文件原则上采用软面订本，同时应编制完整的页码、目录。</w:t>
      </w:r>
    </w:p>
    <w:p w14:paraId="54BA6C69">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1、响应文件组成</w:t>
      </w:r>
    </w:p>
    <w:p w14:paraId="75FDCD3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06C58247">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2、联合体</w:t>
      </w:r>
    </w:p>
    <w:p w14:paraId="04B77F66">
      <w:pPr>
        <w:pageBreakBefore w:val="0"/>
        <w:kinsoku/>
        <w:overflowPunct/>
        <w:topLinePunct w:val="0"/>
        <w:bidi w:val="0"/>
        <w:snapToGrid w:val="0"/>
        <w:spacing w:line="336" w:lineRule="auto"/>
        <w:ind w:firstLine="480" w:firstLineChars="200"/>
        <w:textAlignment w:val="auto"/>
        <w:rPr>
          <w:rFonts w:hint="eastAsia" w:ascii="宋体" w:hAnsi="宋体" w:eastAsia="宋体" w:cs="宋体"/>
          <w:b/>
          <w:bCs/>
          <w:color w:val="auto"/>
        </w:rPr>
      </w:pPr>
      <w:r>
        <w:rPr>
          <w:rFonts w:hint="eastAsia" w:ascii="宋体" w:hAnsi="宋体" w:eastAsia="宋体" w:cs="宋体"/>
          <w:b/>
          <w:bCs/>
          <w:color w:val="auto"/>
        </w:rPr>
        <w:t>本项目不接受联合体竞标。</w:t>
      </w:r>
    </w:p>
    <w:p w14:paraId="6C49404B">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w:t>
      </w:r>
      <w:r>
        <w:rPr>
          <w:rFonts w:hint="eastAsia" w:cs="宋体"/>
          <w:color w:val="auto"/>
          <w:lang w:eastAsia="zh-CN"/>
        </w:rPr>
        <w:t>招标</w:t>
      </w:r>
      <w:r>
        <w:rPr>
          <w:rFonts w:hint="eastAsia" w:ascii="宋体" w:hAnsi="宋体" w:eastAsia="宋体" w:cs="宋体"/>
          <w:color w:val="auto"/>
        </w:rPr>
        <w:t>有效期：响应文件及有关承诺文件有效期为</w:t>
      </w:r>
      <w:r>
        <w:rPr>
          <w:rFonts w:hint="eastAsia" w:cs="宋体"/>
          <w:color w:val="auto"/>
          <w:lang w:eastAsia="zh-CN"/>
        </w:rPr>
        <w:t>招标</w:t>
      </w:r>
      <w:r>
        <w:rPr>
          <w:rFonts w:hint="eastAsia" w:ascii="宋体" w:hAnsi="宋体" w:eastAsia="宋体" w:cs="宋体"/>
          <w:color w:val="auto"/>
        </w:rPr>
        <w:t>开始时间起90天。</w:t>
      </w:r>
    </w:p>
    <w:p w14:paraId="146823A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（二）保证金：</w:t>
      </w:r>
    </w:p>
    <w:p w14:paraId="4B59A2F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1、供应商提交保证金金额和方式详见“</w:t>
      </w:r>
      <w:r>
        <w:rPr>
          <w:rFonts w:hint="eastAsia" w:ascii="宋体" w:hAnsi="宋体" w:eastAsia="宋体" w:cs="宋体"/>
          <w:b/>
          <w:color w:val="auto"/>
        </w:rPr>
        <w:t>第一篇</w:t>
      </w:r>
      <w:r>
        <w:rPr>
          <w:rFonts w:hint="eastAsia" w:ascii="宋体" w:hAnsi="宋体" w:eastAsia="宋体" w:cs="宋体"/>
          <w:color w:val="auto"/>
        </w:rPr>
        <w:t>”；</w:t>
      </w:r>
    </w:p>
    <w:p w14:paraId="65017201">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2、发生以下情况之一者，保证金不予退还：</w:t>
      </w:r>
    </w:p>
    <w:p w14:paraId="559A9862">
      <w:pPr>
        <w:pageBreakBefore w:val="0"/>
        <w:kinsoku/>
        <w:overflowPunct/>
        <w:topLinePunct w:val="0"/>
        <w:bidi w:val="0"/>
        <w:snapToGrid w:val="0"/>
        <w:spacing w:line="336" w:lineRule="auto"/>
        <w:ind w:left="480" w:leftChars="200"/>
        <w:textAlignment w:val="auto"/>
        <w:rPr>
          <w:rFonts w:hint="eastAsia" w:ascii="宋体" w:hAnsi="宋体" w:eastAsia="宋体" w:cs="宋体"/>
          <w:color w:val="auto"/>
          <w:lang w:eastAsia="zh-CN"/>
        </w:rPr>
      </w:pPr>
      <w:r>
        <w:rPr>
          <w:rFonts w:hint="eastAsia" w:ascii="宋体" w:hAnsi="宋体" w:eastAsia="宋体" w:cs="宋体"/>
          <w:color w:val="auto"/>
        </w:rPr>
        <w:t>2.1供应商在提交响应文件截止时间后撤回响应文件的；</w:t>
      </w:r>
    </w:p>
    <w:p w14:paraId="1276133C">
      <w:pPr>
        <w:pageBreakBefore w:val="0"/>
        <w:kinsoku/>
        <w:overflowPunct/>
        <w:topLinePunct w:val="0"/>
        <w:bidi w:val="0"/>
        <w:snapToGrid w:val="0"/>
        <w:spacing w:line="336" w:lineRule="auto"/>
        <w:ind w:left="480" w:leftChars="200"/>
        <w:textAlignment w:val="auto"/>
        <w:rPr>
          <w:rFonts w:hint="eastAsia" w:ascii="宋体" w:hAnsi="宋体" w:eastAsia="宋体" w:cs="宋体"/>
          <w:color w:val="auto"/>
          <w:lang w:eastAsia="zh-CN"/>
        </w:rPr>
      </w:pPr>
      <w:r>
        <w:rPr>
          <w:rFonts w:hint="eastAsia" w:ascii="宋体" w:hAnsi="宋体" w:eastAsia="宋体" w:cs="宋体"/>
          <w:color w:val="auto"/>
        </w:rPr>
        <w:t>2.2供应商在响应文件中提供虚假材料的；</w:t>
      </w:r>
    </w:p>
    <w:p w14:paraId="19584811">
      <w:pPr>
        <w:pageBreakBefore w:val="0"/>
        <w:kinsoku/>
        <w:overflowPunct/>
        <w:topLinePunct w:val="0"/>
        <w:bidi w:val="0"/>
        <w:snapToGrid w:val="0"/>
        <w:spacing w:line="336" w:lineRule="auto"/>
        <w:ind w:left="480" w:leftChars="200"/>
        <w:textAlignment w:val="auto"/>
        <w:rPr>
          <w:rFonts w:hint="eastAsia" w:ascii="宋体" w:hAnsi="宋体" w:eastAsia="宋体" w:cs="宋体"/>
          <w:color w:val="auto"/>
          <w:lang w:eastAsia="zh-CN"/>
        </w:rPr>
      </w:pPr>
      <w:r>
        <w:rPr>
          <w:rFonts w:hint="eastAsia" w:ascii="宋体" w:hAnsi="宋体" w:eastAsia="宋体" w:cs="宋体"/>
          <w:color w:val="auto"/>
        </w:rPr>
        <w:t>2.3除因不可抗力或</w:t>
      </w:r>
      <w:r>
        <w:rPr>
          <w:rFonts w:hint="eastAsia" w:cs="宋体"/>
          <w:color w:val="auto"/>
          <w:lang w:eastAsia="zh-CN"/>
        </w:rPr>
        <w:t>招标</w:t>
      </w:r>
      <w:r>
        <w:rPr>
          <w:rFonts w:hint="eastAsia" w:ascii="宋体" w:hAnsi="宋体" w:eastAsia="宋体" w:cs="宋体"/>
          <w:color w:val="auto"/>
        </w:rPr>
        <w:t>通知书认可的情形以外，成交供应商不与</w:t>
      </w:r>
      <w:r>
        <w:rPr>
          <w:rFonts w:hint="eastAsia" w:cs="宋体"/>
          <w:color w:val="auto"/>
          <w:lang w:eastAsia="zh-CN"/>
        </w:rPr>
        <w:t>招标</w:t>
      </w:r>
      <w:r>
        <w:rPr>
          <w:rFonts w:hint="eastAsia" w:ascii="宋体" w:hAnsi="宋体" w:eastAsia="宋体" w:cs="宋体"/>
          <w:color w:val="auto"/>
        </w:rPr>
        <w:t>人签订合同的；</w:t>
      </w:r>
    </w:p>
    <w:p w14:paraId="5D55E8AB">
      <w:pPr>
        <w:pageBreakBefore w:val="0"/>
        <w:kinsoku/>
        <w:overflowPunct/>
        <w:topLinePunct w:val="0"/>
        <w:bidi w:val="0"/>
        <w:snapToGrid w:val="0"/>
        <w:spacing w:line="336" w:lineRule="auto"/>
        <w:ind w:left="480" w:leftChars="200"/>
        <w:textAlignment w:val="auto"/>
        <w:rPr>
          <w:rFonts w:hint="eastAsia" w:ascii="宋体" w:hAnsi="宋体" w:eastAsia="宋体" w:cs="宋体"/>
          <w:color w:val="auto"/>
          <w:lang w:eastAsia="zh-CN"/>
        </w:rPr>
      </w:pPr>
      <w:r>
        <w:rPr>
          <w:rFonts w:hint="eastAsia" w:ascii="宋体" w:hAnsi="宋体" w:eastAsia="宋体" w:cs="宋体"/>
          <w:color w:val="auto"/>
        </w:rPr>
        <w:t>2.4供应商与</w:t>
      </w:r>
      <w:r>
        <w:rPr>
          <w:rFonts w:hint="eastAsia" w:cs="宋体"/>
          <w:color w:val="auto"/>
          <w:lang w:eastAsia="zh-CN"/>
        </w:rPr>
        <w:t>招标</w:t>
      </w:r>
      <w:r>
        <w:rPr>
          <w:rFonts w:hint="eastAsia" w:ascii="宋体" w:hAnsi="宋体" w:eastAsia="宋体" w:cs="宋体"/>
          <w:color w:val="auto"/>
        </w:rPr>
        <w:t>人、其他供应商或者</w:t>
      </w:r>
      <w:r>
        <w:rPr>
          <w:rFonts w:hint="eastAsia" w:cs="宋体"/>
          <w:color w:val="auto"/>
          <w:lang w:eastAsia="zh-CN"/>
        </w:rPr>
        <w:t>招标</w:t>
      </w:r>
      <w:r>
        <w:rPr>
          <w:rFonts w:hint="eastAsia" w:ascii="宋体" w:hAnsi="宋体" w:eastAsia="宋体" w:cs="宋体"/>
          <w:color w:val="auto"/>
        </w:rPr>
        <w:t>代理机构恶意串通的；</w:t>
      </w:r>
    </w:p>
    <w:p w14:paraId="433CB03C">
      <w:pPr>
        <w:pageBreakBefore w:val="0"/>
        <w:kinsoku/>
        <w:overflowPunct/>
        <w:topLinePunct w:val="0"/>
        <w:bidi w:val="0"/>
        <w:snapToGrid w:val="0"/>
        <w:spacing w:line="336" w:lineRule="auto"/>
        <w:ind w:left="480" w:leftChars="200"/>
        <w:textAlignment w:val="auto"/>
        <w:rPr>
          <w:rFonts w:hint="eastAsia" w:ascii="宋体" w:hAnsi="宋体" w:eastAsia="宋体" w:cs="宋体"/>
          <w:color w:val="auto"/>
        </w:rPr>
      </w:pPr>
      <w:r>
        <w:rPr>
          <w:rFonts w:hint="eastAsia" w:ascii="宋体" w:hAnsi="宋体" w:eastAsia="宋体" w:cs="宋体"/>
          <w:color w:val="auto"/>
        </w:rPr>
        <w:t>2.5</w:t>
      </w:r>
      <w:r>
        <w:rPr>
          <w:rFonts w:hint="eastAsia" w:cs="宋体"/>
          <w:color w:val="auto"/>
          <w:lang w:eastAsia="zh-CN"/>
        </w:rPr>
        <w:t>招标</w:t>
      </w:r>
      <w:r>
        <w:rPr>
          <w:rFonts w:hint="eastAsia" w:ascii="宋体" w:hAnsi="宋体" w:eastAsia="宋体" w:cs="宋体"/>
          <w:color w:val="auto"/>
        </w:rPr>
        <w:t>通知书规定的其他情形。</w:t>
      </w:r>
    </w:p>
    <w:p w14:paraId="1C9069A6">
      <w:pPr>
        <w:pageBreakBefore w:val="0"/>
        <w:kinsoku/>
        <w:overflowPunct/>
        <w:topLinePunct w:val="0"/>
        <w:bidi w:val="0"/>
        <w:snapToGrid w:val="0"/>
        <w:spacing w:line="336" w:lineRule="auto"/>
        <w:ind w:left="480" w:leftChars="200"/>
        <w:textAlignment w:val="auto"/>
        <w:rPr>
          <w:rFonts w:hint="eastAsia" w:ascii="宋体" w:hAnsi="宋体" w:eastAsia="宋体" w:cs="宋体"/>
          <w:color w:val="auto"/>
        </w:rPr>
      </w:pPr>
      <w:r>
        <w:rPr>
          <w:rFonts w:hint="eastAsia" w:ascii="宋体" w:hAnsi="宋体" w:eastAsia="宋体" w:cs="宋体"/>
          <w:color w:val="auto"/>
        </w:rPr>
        <w:t>（三）报价要求</w:t>
      </w:r>
    </w:p>
    <w:p w14:paraId="6D8A63C5">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需综合考虑完成本项目所需的服务费、货物费、人工费及提供服务所需的设备或各种应纳的税费费等进行综合报价。因中标人自身原因造成漏报、少报皆由其自行承担责任，招标人不再补偿。</w:t>
      </w:r>
    </w:p>
    <w:p w14:paraId="2321E1FC">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（四）修正错误</w:t>
      </w:r>
    </w:p>
    <w:p w14:paraId="14472C7E">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若响应文件出现计算或表达上的错误，修正错误的原则如下：</w:t>
      </w:r>
    </w:p>
    <w:p w14:paraId="0F91DEA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1.响应文件中报价函的内容与响应文件中相应内容不一致的，以报价函为准；</w:t>
      </w:r>
    </w:p>
    <w:p w14:paraId="453ECE7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2.大写金额和小写金额不一致的，以大写金额为准；</w:t>
      </w:r>
    </w:p>
    <w:p w14:paraId="269065F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3.单价金额小数点或者百分比有明显错位的，以报价函总价为准，并修改单价；</w:t>
      </w:r>
    </w:p>
    <w:p w14:paraId="37D43251">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4.总价金额与按单价汇总金额不一致的，以单价金额计算结果为准。</w:t>
      </w:r>
    </w:p>
    <w:p w14:paraId="5B04C687">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lang w:eastAsia="zh-CN"/>
        </w:rPr>
        <w:t>评审小组</w:t>
      </w:r>
      <w:r>
        <w:rPr>
          <w:rFonts w:hint="eastAsia" w:ascii="宋体" w:hAnsi="宋体" w:eastAsia="宋体" w:cs="宋体"/>
          <w:color w:val="auto"/>
        </w:rPr>
        <w:t>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082AADE7">
      <w:pPr>
        <w:pageBreakBefore w:val="0"/>
        <w:numPr>
          <w:ilvl w:val="0"/>
          <w:numId w:val="2"/>
        </w:numPr>
        <w:kinsoku/>
        <w:overflowPunct/>
        <w:topLinePunct w:val="0"/>
        <w:bidi w:val="0"/>
        <w:snapToGrid w:val="0"/>
        <w:spacing w:line="336" w:lineRule="auto"/>
        <w:ind w:firstLine="360" w:firstLineChars="150"/>
        <w:textAlignment w:val="auto"/>
        <w:rPr>
          <w:rFonts w:hint="eastAsia" w:ascii="宋体" w:hAnsi="宋体" w:eastAsia="宋体" w:cs="宋体"/>
          <w:color w:val="auto"/>
        </w:rPr>
      </w:pPr>
      <w:r>
        <w:rPr>
          <w:rFonts w:hint="eastAsia" w:ascii="宋体" w:hAnsi="宋体" w:eastAsia="宋体" w:cs="宋体"/>
          <w:color w:val="auto"/>
        </w:rPr>
        <w:t>提交响应文件的份数和签署和递交</w:t>
      </w:r>
    </w:p>
    <w:p w14:paraId="6F8E8230">
      <w:pPr>
        <w:pageBreakBefore w:val="0"/>
        <w:kinsoku/>
        <w:overflowPunct/>
        <w:topLinePunct w:val="0"/>
        <w:bidi w:val="0"/>
        <w:snapToGrid w:val="0"/>
        <w:spacing w:line="336" w:lineRule="auto"/>
        <w:ind w:firstLine="480" w:firstLineChars="200"/>
        <w:textAlignment w:val="auto"/>
        <w:rPr>
          <w:rFonts w:hint="eastAsia" w:ascii="宋体" w:hAnsi="宋体" w:eastAsia="宋体" w:cs="宋体"/>
          <w:b/>
          <w:bCs/>
          <w:color w:val="auto"/>
        </w:rPr>
      </w:pPr>
      <w:r>
        <w:rPr>
          <w:rFonts w:hint="eastAsia" w:ascii="宋体" w:hAnsi="宋体" w:eastAsia="宋体" w:cs="宋体"/>
          <w:b/>
          <w:bCs/>
          <w:color w:val="auto"/>
        </w:rPr>
        <w:t>投标现场响应文件提交规则：</w:t>
      </w:r>
    </w:p>
    <w:p w14:paraId="4A5978CC">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w:t>
      </w:r>
      <w:r>
        <w:rPr>
          <w:rFonts w:hint="eastAsia" w:ascii="宋体" w:hAnsi="宋体" w:eastAsia="宋体" w:cs="宋体"/>
          <w:b/>
          <w:bCs/>
          <w:color w:val="auto"/>
        </w:rPr>
        <w:t>响应文件一式</w:t>
      </w:r>
      <w:r>
        <w:rPr>
          <w:rFonts w:hint="eastAsia" w:cs="宋体"/>
          <w:b/>
          <w:bCs/>
          <w:color w:val="auto"/>
          <w:lang w:val="en-US" w:eastAsia="zh-CN"/>
        </w:rPr>
        <w:t>两</w:t>
      </w:r>
      <w:r>
        <w:rPr>
          <w:rFonts w:hint="eastAsia" w:ascii="宋体" w:hAnsi="宋体" w:eastAsia="宋体" w:cs="宋体"/>
          <w:b/>
          <w:bCs/>
          <w:color w:val="auto"/>
        </w:rPr>
        <w:t>份，其中正本一份，副本</w:t>
      </w:r>
      <w:r>
        <w:rPr>
          <w:rFonts w:hint="eastAsia" w:cs="宋体"/>
          <w:b/>
          <w:bCs/>
          <w:color w:val="auto"/>
          <w:lang w:eastAsia="zh-CN"/>
        </w:rPr>
        <w:t>一</w:t>
      </w:r>
      <w:r>
        <w:rPr>
          <w:rFonts w:hint="eastAsia" w:ascii="宋体" w:hAnsi="宋体" w:eastAsia="宋体" w:cs="宋体"/>
          <w:b/>
          <w:bCs/>
          <w:color w:val="auto"/>
        </w:rPr>
        <w:t>份</w:t>
      </w:r>
      <w:r>
        <w:rPr>
          <w:rFonts w:hint="eastAsia" w:ascii="宋体" w:hAnsi="宋体" w:eastAsia="宋体" w:cs="宋体"/>
          <w:color w:val="auto"/>
        </w:rPr>
        <w:t>；副本可为正本的复印件，应与正本一致，如出现不一致情况以正本为准。</w:t>
      </w:r>
    </w:p>
    <w:p w14:paraId="5D6BC5C7">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w:t>
      </w:r>
      <w:r>
        <w:rPr>
          <w:rFonts w:hint="eastAsia" w:ascii="宋体" w:hAnsi="宋体" w:eastAsia="宋体" w:cs="宋体"/>
          <w:color w:val="auto"/>
        </w:rPr>
        <w:t>在响应文件正本中，</w:t>
      </w:r>
      <w:r>
        <w:rPr>
          <w:rFonts w:hint="eastAsia" w:cs="宋体"/>
          <w:color w:val="auto"/>
          <w:lang w:eastAsia="zh-CN"/>
        </w:rPr>
        <w:t>招标</w:t>
      </w:r>
      <w:r>
        <w:rPr>
          <w:rFonts w:hint="eastAsia" w:ascii="宋体" w:hAnsi="宋体" w:eastAsia="宋体" w:cs="宋体"/>
          <w:color w:val="auto"/>
        </w:rPr>
        <w:t>通知书第六篇响应文件格式中规定签字、盖章的地方必须按其规定签字、盖章。</w:t>
      </w:r>
    </w:p>
    <w:p w14:paraId="421A24D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en-US" w:eastAsia="zh-CN"/>
        </w:rPr>
        <w:t>.</w:t>
      </w:r>
      <w:r>
        <w:rPr>
          <w:rFonts w:hint="eastAsia" w:ascii="宋体" w:hAnsi="宋体" w:eastAsia="宋体" w:cs="宋体"/>
          <w:color w:val="auto"/>
        </w:rPr>
        <w:t>响应文件的密封与标记</w:t>
      </w:r>
    </w:p>
    <w:p w14:paraId="6D3D784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响应文件的正本、副本均应密封送达</w:t>
      </w:r>
      <w:r>
        <w:rPr>
          <w:rFonts w:hint="eastAsia" w:cs="宋体"/>
          <w:color w:val="auto"/>
          <w:lang w:eastAsia="zh-CN"/>
        </w:rPr>
        <w:t>招标</w:t>
      </w:r>
      <w:r>
        <w:rPr>
          <w:rFonts w:hint="eastAsia" w:ascii="宋体" w:hAnsi="宋体" w:eastAsia="宋体" w:cs="宋体"/>
          <w:color w:val="auto"/>
        </w:rPr>
        <w:t>地点，应在封套上注明项目名称、供应商名称。若正本、副本分别进行密封的，还应在封套上注明“正本”、“副本”字样。</w:t>
      </w:r>
    </w:p>
    <w:p w14:paraId="3B9DB98B">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4.如果响应文件通过邮寄递交，供应商应将响应文件用内、外两层封套密封。</w:t>
      </w:r>
    </w:p>
    <w:p w14:paraId="4271CAE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5.如果未按上述规定进行密封的，</w:t>
      </w:r>
      <w:r>
        <w:rPr>
          <w:rFonts w:hint="eastAsia" w:cs="宋体"/>
          <w:color w:val="auto"/>
          <w:lang w:eastAsia="zh-CN"/>
        </w:rPr>
        <w:t>招标</w:t>
      </w:r>
      <w:r>
        <w:rPr>
          <w:rFonts w:hint="eastAsia" w:ascii="宋体" w:hAnsi="宋体" w:eastAsia="宋体" w:cs="宋体"/>
          <w:color w:val="auto"/>
        </w:rPr>
        <w:t>人、</w:t>
      </w:r>
      <w:r>
        <w:rPr>
          <w:rFonts w:hint="eastAsia" w:cs="宋体"/>
          <w:color w:val="auto"/>
          <w:lang w:eastAsia="zh-CN"/>
        </w:rPr>
        <w:t>招标</w:t>
      </w:r>
      <w:r>
        <w:rPr>
          <w:rFonts w:hint="eastAsia" w:ascii="宋体" w:hAnsi="宋体" w:eastAsia="宋体" w:cs="宋体"/>
          <w:color w:val="auto"/>
        </w:rPr>
        <w:t>代理机构将拒收其响应文件。</w:t>
      </w:r>
    </w:p>
    <w:p w14:paraId="16AAC259">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lang w:val="en-US" w:eastAsia="zh-CN"/>
        </w:rPr>
        <w:t>.</w:t>
      </w:r>
      <w:r>
        <w:rPr>
          <w:rFonts w:hint="eastAsia" w:ascii="宋体" w:hAnsi="宋体" w:eastAsia="宋体" w:cs="宋体"/>
          <w:color w:val="auto"/>
        </w:rPr>
        <w:t>响应文件投递截止时间：见</w:t>
      </w:r>
      <w:r>
        <w:rPr>
          <w:rFonts w:hint="eastAsia" w:cs="宋体"/>
          <w:color w:val="auto"/>
          <w:lang w:eastAsia="zh-CN"/>
        </w:rPr>
        <w:t>招标</w:t>
      </w:r>
      <w:r>
        <w:rPr>
          <w:rFonts w:hint="eastAsia" w:ascii="宋体" w:hAnsi="宋体" w:eastAsia="宋体" w:cs="宋体"/>
          <w:color w:val="auto"/>
        </w:rPr>
        <w:t>通知书第一篇。供应商在提交响应文件截止时间前，可以对所提交的响应文件进行补充、修改或者撤回，并书面通知</w:t>
      </w:r>
      <w:r>
        <w:rPr>
          <w:rFonts w:hint="eastAsia" w:cs="宋体"/>
          <w:color w:val="auto"/>
          <w:lang w:eastAsia="zh-CN"/>
        </w:rPr>
        <w:t>招标</w:t>
      </w:r>
      <w:r>
        <w:rPr>
          <w:rFonts w:hint="eastAsia" w:ascii="宋体" w:hAnsi="宋体" w:eastAsia="宋体" w:cs="宋体"/>
          <w:color w:val="auto"/>
        </w:rPr>
        <w:t>人、</w:t>
      </w:r>
      <w:r>
        <w:rPr>
          <w:rFonts w:hint="eastAsia" w:cs="宋体"/>
          <w:color w:val="auto"/>
          <w:lang w:eastAsia="zh-CN"/>
        </w:rPr>
        <w:t>招标</w:t>
      </w:r>
      <w:r>
        <w:rPr>
          <w:rFonts w:hint="eastAsia" w:ascii="宋体" w:hAnsi="宋体" w:eastAsia="宋体" w:cs="宋体"/>
          <w:color w:val="auto"/>
        </w:rPr>
        <w:t>代理机构。补充、修改的内容作为响应文件的组成部分。补充、修改的内容与响应文件不一致的，以补充、修改的内容为准。</w:t>
      </w:r>
    </w:p>
    <w:p w14:paraId="3C24F75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rPr>
        <w:t>（六）响应文件语言：</w:t>
      </w:r>
      <w:r>
        <w:rPr>
          <w:rFonts w:hint="eastAsia" w:cs="宋体"/>
          <w:color w:val="auto"/>
          <w:lang w:eastAsia="zh-CN"/>
        </w:rPr>
        <w:t>不限</w:t>
      </w:r>
    </w:p>
    <w:p w14:paraId="4704DB5B">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（七）供应商参与人员</w:t>
      </w:r>
    </w:p>
    <w:p w14:paraId="3751B0F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red"/>
        </w:rPr>
      </w:pPr>
      <w:r>
        <w:rPr>
          <w:rFonts w:hint="eastAsia" w:ascii="宋体" w:hAnsi="宋体" w:eastAsia="宋体" w:cs="宋体"/>
          <w:color w:val="auto"/>
          <w:highlight w:val="none"/>
        </w:rPr>
        <w:t>各个供应商可派1-2名代表参与</w:t>
      </w:r>
      <w:r>
        <w:rPr>
          <w:rFonts w:hint="eastAsia" w:cs="宋体"/>
          <w:color w:val="auto"/>
          <w:highlight w:val="none"/>
          <w:lang w:eastAsia="zh-CN"/>
        </w:rPr>
        <w:t>招标</w:t>
      </w:r>
      <w:r>
        <w:rPr>
          <w:rFonts w:hint="eastAsia" w:ascii="宋体" w:hAnsi="宋体" w:eastAsia="宋体" w:cs="宋体"/>
          <w:color w:val="auto"/>
          <w:highlight w:val="none"/>
        </w:rPr>
        <w:t>，至少1人应为法定代表人或具有法定代表人授权委托书的授权代表。</w:t>
      </w:r>
    </w:p>
    <w:p w14:paraId="524519CD">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（八）无效响应</w:t>
      </w:r>
    </w:p>
    <w:p w14:paraId="2D378EEF">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供应商发生以下条款情况之一者，视为无效响应，其响应文件将被拒绝：</w:t>
      </w:r>
    </w:p>
    <w:p w14:paraId="7310D86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1、供应商不符合资格要求的；</w:t>
      </w:r>
    </w:p>
    <w:p w14:paraId="1AC25B34">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2、供应商未按照</w:t>
      </w:r>
      <w:r>
        <w:rPr>
          <w:rFonts w:hint="eastAsia" w:cs="宋体"/>
          <w:color w:val="auto"/>
          <w:lang w:eastAsia="zh-CN"/>
        </w:rPr>
        <w:t>招标</w:t>
      </w:r>
      <w:r>
        <w:rPr>
          <w:rFonts w:hint="eastAsia" w:ascii="宋体" w:hAnsi="宋体" w:eastAsia="宋体" w:cs="宋体"/>
          <w:color w:val="auto"/>
        </w:rPr>
        <w:t>通知书的要求缴纳保证金的；</w:t>
      </w:r>
    </w:p>
    <w:p w14:paraId="761DD73E">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3、供应商所提交的响应文件不按规定签字、盖章的；</w:t>
      </w:r>
    </w:p>
    <w:p w14:paraId="0593F49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4、供应商的报价超过</w:t>
      </w:r>
      <w:r>
        <w:rPr>
          <w:rFonts w:hint="eastAsia" w:cs="宋体"/>
          <w:color w:val="auto"/>
          <w:lang w:eastAsia="zh-CN"/>
        </w:rPr>
        <w:t>招标</w:t>
      </w:r>
      <w:r>
        <w:rPr>
          <w:rFonts w:hint="eastAsia" w:ascii="宋体" w:hAnsi="宋体" w:eastAsia="宋体" w:cs="宋体"/>
          <w:color w:val="auto"/>
        </w:rPr>
        <w:t>预算（若有</w:t>
      </w:r>
      <w:r>
        <w:rPr>
          <w:rFonts w:hint="eastAsia" w:cs="宋体"/>
          <w:color w:val="auto"/>
          <w:lang w:eastAsia="zh-CN"/>
        </w:rPr>
        <w:t>招标</w:t>
      </w:r>
      <w:r>
        <w:rPr>
          <w:rFonts w:hint="eastAsia" w:ascii="宋体" w:hAnsi="宋体" w:eastAsia="宋体" w:cs="宋体"/>
          <w:color w:val="auto"/>
        </w:rPr>
        <w:t>预算单价，则含</w:t>
      </w:r>
      <w:r>
        <w:rPr>
          <w:rFonts w:hint="eastAsia" w:cs="宋体"/>
          <w:color w:val="auto"/>
          <w:lang w:eastAsia="zh-CN"/>
        </w:rPr>
        <w:t>招标</w:t>
      </w:r>
      <w:r>
        <w:rPr>
          <w:rFonts w:hint="eastAsia" w:ascii="宋体" w:hAnsi="宋体" w:eastAsia="宋体" w:cs="宋体"/>
          <w:color w:val="auto"/>
        </w:rPr>
        <w:t>预算单价）的；</w:t>
      </w:r>
    </w:p>
    <w:p w14:paraId="6015A40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5、供应商响应文件附有</w:t>
      </w:r>
      <w:r>
        <w:rPr>
          <w:rFonts w:hint="eastAsia" w:cs="宋体"/>
          <w:color w:val="auto"/>
          <w:lang w:eastAsia="zh-CN"/>
        </w:rPr>
        <w:t>招标</w:t>
      </w:r>
      <w:r>
        <w:rPr>
          <w:rFonts w:hint="eastAsia" w:ascii="宋体" w:hAnsi="宋体" w:eastAsia="宋体" w:cs="宋体"/>
          <w:color w:val="auto"/>
        </w:rPr>
        <w:t>人无法接受的条件的；</w:t>
      </w:r>
    </w:p>
    <w:p w14:paraId="29C7446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6、供应商串通投标的；</w:t>
      </w:r>
    </w:p>
    <w:p w14:paraId="34F5AC1D">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7、供应商组成联合体投标的；</w:t>
      </w:r>
    </w:p>
    <w:p w14:paraId="0EC72965">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8、法律、法规和</w:t>
      </w:r>
      <w:r>
        <w:rPr>
          <w:rFonts w:hint="eastAsia" w:cs="宋体"/>
          <w:color w:val="auto"/>
          <w:lang w:eastAsia="zh-CN"/>
        </w:rPr>
        <w:t>招标</w:t>
      </w:r>
      <w:r>
        <w:rPr>
          <w:rFonts w:hint="eastAsia" w:ascii="宋体" w:hAnsi="宋体" w:eastAsia="宋体" w:cs="宋体"/>
          <w:color w:val="auto"/>
        </w:rPr>
        <w:t>通知书规定的其他无效情形。</w:t>
      </w:r>
      <w:bookmarkStart w:id="58" w:name="_Toc493506302"/>
      <w:bookmarkStart w:id="59" w:name="_Toc492721019"/>
    </w:p>
    <w:p w14:paraId="48F8AD34">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（九）废标条款</w:t>
      </w:r>
      <w:bookmarkEnd w:id="58"/>
      <w:bookmarkEnd w:id="59"/>
    </w:p>
    <w:p w14:paraId="7876DE15">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rPr>
        <w:t>出现下列情形之一的，</w:t>
      </w:r>
      <w:r>
        <w:rPr>
          <w:rFonts w:hint="eastAsia" w:cs="宋体"/>
          <w:color w:val="auto"/>
          <w:lang w:eastAsia="zh-CN"/>
        </w:rPr>
        <w:t>招标</w:t>
      </w:r>
      <w:r>
        <w:rPr>
          <w:rFonts w:hint="eastAsia" w:ascii="宋体" w:hAnsi="宋体" w:eastAsia="宋体" w:cs="宋体"/>
          <w:color w:val="auto"/>
        </w:rPr>
        <w:t>人或者</w:t>
      </w:r>
      <w:r>
        <w:rPr>
          <w:rFonts w:hint="eastAsia" w:cs="宋体"/>
          <w:color w:val="auto"/>
          <w:lang w:eastAsia="zh-CN"/>
        </w:rPr>
        <w:t>招标</w:t>
      </w:r>
      <w:r>
        <w:rPr>
          <w:rFonts w:hint="eastAsia" w:ascii="宋体" w:hAnsi="宋体" w:eastAsia="宋体" w:cs="宋体"/>
          <w:color w:val="auto"/>
        </w:rPr>
        <w:t>代理机构应当终止</w:t>
      </w:r>
      <w:r>
        <w:rPr>
          <w:rFonts w:hint="eastAsia" w:cs="宋体"/>
          <w:color w:val="auto"/>
          <w:lang w:eastAsia="zh-CN"/>
        </w:rPr>
        <w:t>招标招标</w:t>
      </w:r>
      <w:r>
        <w:rPr>
          <w:rFonts w:hint="eastAsia" w:ascii="宋体" w:hAnsi="宋体" w:eastAsia="宋体" w:cs="宋体"/>
          <w:color w:val="auto"/>
        </w:rPr>
        <w:t>活动，发布项目终止公告并说明原因，重新开展</w:t>
      </w:r>
      <w:r>
        <w:rPr>
          <w:rFonts w:hint="eastAsia" w:cs="宋体"/>
          <w:color w:val="auto"/>
          <w:lang w:eastAsia="zh-CN"/>
        </w:rPr>
        <w:t>招标</w:t>
      </w:r>
      <w:r>
        <w:rPr>
          <w:rFonts w:hint="eastAsia" w:ascii="宋体" w:hAnsi="宋体" w:eastAsia="宋体" w:cs="宋体"/>
          <w:color w:val="auto"/>
        </w:rPr>
        <w:t>活动：</w:t>
      </w:r>
    </w:p>
    <w:p w14:paraId="5E43D3A9">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rPr>
        <w:t>1、因情况变化，不再符合规定的</w:t>
      </w:r>
      <w:r>
        <w:rPr>
          <w:rFonts w:hint="eastAsia" w:cs="宋体"/>
          <w:color w:val="auto"/>
          <w:lang w:eastAsia="zh-CN"/>
        </w:rPr>
        <w:t>招标招标</w:t>
      </w:r>
      <w:r>
        <w:rPr>
          <w:rFonts w:hint="eastAsia" w:ascii="宋体" w:hAnsi="宋体" w:eastAsia="宋体" w:cs="宋体"/>
          <w:color w:val="auto"/>
        </w:rPr>
        <w:t>方式适用情形的；</w:t>
      </w:r>
    </w:p>
    <w:p w14:paraId="3F2D46F2">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rPr>
        <w:t>2、出现影响</w:t>
      </w:r>
      <w:r>
        <w:rPr>
          <w:rFonts w:hint="eastAsia" w:cs="宋体"/>
          <w:color w:val="auto"/>
          <w:lang w:eastAsia="zh-CN"/>
        </w:rPr>
        <w:t>招标</w:t>
      </w:r>
      <w:r>
        <w:rPr>
          <w:rFonts w:hint="eastAsia" w:ascii="宋体" w:hAnsi="宋体" w:eastAsia="宋体" w:cs="宋体"/>
          <w:color w:val="auto"/>
        </w:rPr>
        <w:t>公正的违法、违规行为的；</w:t>
      </w:r>
    </w:p>
    <w:p w14:paraId="567F4BB1">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3、在</w:t>
      </w:r>
      <w:r>
        <w:rPr>
          <w:rFonts w:hint="eastAsia" w:cs="宋体"/>
          <w:color w:val="auto"/>
          <w:lang w:eastAsia="zh-CN"/>
        </w:rPr>
        <w:t>招标</w:t>
      </w:r>
      <w:r>
        <w:rPr>
          <w:rFonts w:hint="eastAsia" w:ascii="宋体" w:hAnsi="宋体" w:eastAsia="宋体" w:cs="宋体"/>
          <w:color w:val="auto"/>
        </w:rPr>
        <w:t>过程中符合竞争要求的供应商或者报价未超过</w:t>
      </w:r>
      <w:r>
        <w:rPr>
          <w:rFonts w:hint="eastAsia" w:cs="宋体"/>
          <w:color w:val="auto"/>
          <w:lang w:eastAsia="zh-CN"/>
        </w:rPr>
        <w:t>招标</w:t>
      </w:r>
      <w:r>
        <w:rPr>
          <w:rFonts w:hint="eastAsia" w:ascii="宋体" w:hAnsi="宋体" w:eastAsia="宋体" w:cs="宋体"/>
          <w:color w:val="auto"/>
        </w:rPr>
        <w:t>预算的供应商不足</w:t>
      </w:r>
      <w:r>
        <w:rPr>
          <w:rFonts w:hint="eastAsia" w:cs="宋体"/>
          <w:color w:val="auto"/>
          <w:lang w:val="en-US" w:eastAsia="zh-CN"/>
        </w:rPr>
        <w:t>1</w:t>
      </w:r>
      <w:r>
        <w:rPr>
          <w:rFonts w:hint="eastAsia" w:ascii="宋体" w:hAnsi="宋体" w:eastAsia="宋体" w:cs="宋体"/>
          <w:color w:val="auto"/>
        </w:rPr>
        <w:t>家的。</w:t>
      </w:r>
    </w:p>
    <w:p w14:paraId="45CC8005">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废标后，除</w:t>
      </w:r>
      <w:r>
        <w:rPr>
          <w:rFonts w:hint="eastAsia" w:cs="宋体"/>
          <w:color w:val="auto"/>
          <w:lang w:eastAsia="zh-CN"/>
        </w:rPr>
        <w:t>招标</w:t>
      </w:r>
      <w:r>
        <w:rPr>
          <w:rFonts w:hint="eastAsia" w:ascii="宋体" w:hAnsi="宋体" w:eastAsia="宋体" w:cs="宋体"/>
          <w:color w:val="auto"/>
        </w:rPr>
        <w:t>任务取消情形外，应当重新组织</w:t>
      </w:r>
      <w:r>
        <w:rPr>
          <w:rFonts w:hint="eastAsia" w:cs="宋体"/>
          <w:color w:val="auto"/>
          <w:lang w:eastAsia="zh-CN"/>
        </w:rPr>
        <w:t>招标</w:t>
      </w:r>
      <w:r>
        <w:rPr>
          <w:rFonts w:hint="eastAsia" w:ascii="宋体" w:hAnsi="宋体" w:eastAsia="宋体" w:cs="宋体"/>
          <w:color w:val="auto"/>
        </w:rPr>
        <w:t>。</w:t>
      </w:r>
    </w:p>
    <w:p w14:paraId="0749F0B5">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cs="宋体"/>
          <w:color w:val="auto"/>
          <w:highlight w:val="none"/>
          <w:lang w:eastAsia="zh-CN"/>
        </w:rPr>
        <w:t>招标</w:t>
      </w:r>
      <w:r>
        <w:rPr>
          <w:rFonts w:hint="eastAsia" w:ascii="宋体" w:hAnsi="宋体" w:eastAsia="宋体" w:cs="宋体"/>
          <w:color w:val="auto"/>
          <w:highlight w:val="none"/>
        </w:rPr>
        <w:t>代理服务费</w:t>
      </w:r>
      <w:bookmarkStart w:id="60" w:name="_Toc102227319"/>
      <w:bookmarkStart w:id="61" w:name="_Toc179714298"/>
      <w:bookmarkStart w:id="62" w:name="_Toc487204782"/>
      <w:bookmarkStart w:id="63" w:name="_Toc426965633"/>
      <w:bookmarkStart w:id="64" w:name="_Toc342913393"/>
      <w:bookmarkStart w:id="65" w:name="_Toc31741"/>
    </w:p>
    <w:p w14:paraId="5EB81782">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1、</w:t>
      </w:r>
      <w:r>
        <w:rPr>
          <w:rFonts w:hint="eastAsia" w:cs="宋体"/>
          <w:color w:val="auto"/>
          <w:lang w:eastAsia="zh-CN"/>
        </w:rPr>
        <w:t>招标</w:t>
      </w:r>
      <w:r>
        <w:rPr>
          <w:rFonts w:hint="eastAsia" w:ascii="宋体" w:hAnsi="宋体" w:eastAsia="宋体" w:cs="宋体"/>
          <w:color w:val="auto"/>
          <w:lang w:eastAsia="zh-CN"/>
        </w:rPr>
        <w:t>代理服务费按照南岸区政府投资项目招标代理费标准（2012年度）文件</w:t>
      </w:r>
      <w:r>
        <w:rPr>
          <w:rFonts w:hint="eastAsia" w:ascii="宋体" w:hAnsi="宋体" w:eastAsia="宋体" w:cs="宋体"/>
          <w:color w:val="auto"/>
          <w:lang w:val="en-US" w:eastAsia="zh-CN"/>
        </w:rPr>
        <w:t>计取，金额为</w:t>
      </w:r>
      <w:r>
        <w:rPr>
          <w:rFonts w:hint="eastAsia" w:cs="宋体"/>
          <w:color w:val="auto"/>
          <w:lang w:val="en-US" w:eastAsia="zh-CN"/>
        </w:rPr>
        <w:t>3000</w:t>
      </w:r>
      <w:r>
        <w:rPr>
          <w:rFonts w:hint="eastAsia" w:ascii="宋体" w:hAnsi="宋体" w:eastAsia="宋体" w:cs="宋体"/>
          <w:color w:val="auto"/>
        </w:rPr>
        <w:t>.00元</w:t>
      </w:r>
      <w:r>
        <w:rPr>
          <w:rFonts w:hint="eastAsia" w:cs="宋体"/>
          <w:color w:val="auto"/>
          <w:lang w:eastAsia="zh-CN"/>
        </w:rPr>
        <w:t>包干包括专家费</w:t>
      </w:r>
      <w:r>
        <w:rPr>
          <w:rFonts w:hint="eastAsia" w:ascii="宋体" w:hAnsi="宋体" w:eastAsia="宋体" w:cs="宋体"/>
          <w:color w:val="auto"/>
        </w:rPr>
        <w:t>（大写：</w:t>
      </w:r>
      <w:r>
        <w:rPr>
          <w:rFonts w:hint="eastAsia" w:cs="宋体"/>
          <w:color w:val="auto"/>
          <w:lang w:val="en-US" w:eastAsia="zh-CN"/>
        </w:rPr>
        <w:t>叁</w:t>
      </w:r>
      <w:r>
        <w:rPr>
          <w:rFonts w:hint="eastAsia" w:ascii="宋体" w:hAnsi="宋体" w:eastAsia="宋体" w:cs="宋体"/>
          <w:color w:val="auto"/>
          <w:lang w:val="en-US" w:eastAsia="zh-CN"/>
        </w:rPr>
        <w:t>仟</w:t>
      </w:r>
      <w:r>
        <w:rPr>
          <w:rFonts w:hint="eastAsia" w:ascii="宋体" w:hAnsi="宋体" w:eastAsia="宋体" w:cs="宋体"/>
          <w:color w:val="auto"/>
        </w:rPr>
        <w:t>元整</w:t>
      </w:r>
      <w:r>
        <w:rPr>
          <w:rFonts w:hint="eastAsia" w:ascii="宋体" w:hAnsi="宋体" w:eastAsia="宋体" w:cs="宋体"/>
          <w:color w:val="auto"/>
          <w:lang w:val="en-US" w:eastAsia="zh-CN"/>
        </w:rPr>
        <w:t xml:space="preserve"> </w:t>
      </w:r>
      <w:r>
        <w:rPr>
          <w:rFonts w:hint="eastAsia" w:ascii="宋体" w:hAnsi="宋体" w:eastAsia="宋体" w:cs="宋体"/>
          <w:color w:val="auto"/>
        </w:rPr>
        <w:t>）</w:t>
      </w:r>
      <w:r>
        <w:rPr>
          <w:rFonts w:hint="eastAsia" w:ascii="宋体" w:hAnsi="宋体" w:eastAsia="宋体" w:cs="宋体"/>
          <w:color w:val="auto"/>
          <w:lang w:eastAsia="zh-CN"/>
        </w:rPr>
        <w:t>，由</w:t>
      </w:r>
      <w:r>
        <w:rPr>
          <w:rFonts w:hint="eastAsia" w:cs="宋体"/>
          <w:color w:val="auto"/>
          <w:lang w:val="en-US" w:eastAsia="zh-CN"/>
        </w:rPr>
        <w:t>中标人</w:t>
      </w:r>
      <w:r>
        <w:rPr>
          <w:rFonts w:hint="eastAsia" w:ascii="宋体" w:hAnsi="宋体" w:eastAsia="宋体" w:cs="宋体"/>
          <w:color w:val="auto"/>
          <w:lang w:eastAsia="zh-CN"/>
        </w:rPr>
        <w:t>按照合同向</w:t>
      </w:r>
      <w:r>
        <w:rPr>
          <w:rFonts w:hint="eastAsia" w:cs="宋体"/>
          <w:color w:val="auto"/>
          <w:lang w:eastAsia="zh-CN"/>
        </w:rPr>
        <w:t>招标</w:t>
      </w:r>
      <w:r>
        <w:rPr>
          <w:rFonts w:hint="eastAsia" w:ascii="宋体" w:hAnsi="宋体" w:eastAsia="宋体" w:cs="宋体"/>
          <w:color w:val="auto"/>
        </w:rPr>
        <w:t>代理机构</w:t>
      </w:r>
      <w:r>
        <w:rPr>
          <w:rFonts w:hint="eastAsia" w:ascii="宋体" w:hAnsi="宋体" w:eastAsia="宋体" w:cs="宋体"/>
          <w:color w:val="auto"/>
          <w:lang w:eastAsia="zh-CN"/>
        </w:rPr>
        <w:t>按时足额支付</w:t>
      </w:r>
      <w:r>
        <w:rPr>
          <w:rFonts w:hint="eastAsia" w:ascii="宋体" w:hAnsi="宋体" w:eastAsia="宋体" w:cs="宋体"/>
          <w:color w:val="auto"/>
        </w:rPr>
        <w:t>。</w:t>
      </w:r>
    </w:p>
    <w:p w14:paraId="624053ED">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2、代理服务费以转帐形式支付</w:t>
      </w:r>
      <w:r>
        <w:rPr>
          <w:rFonts w:hint="eastAsia" w:ascii="宋体" w:hAnsi="宋体" w:eastAsia="宋体" w:cs="宋体"/>
          <w:color w:val="auto"/>
          <w:lang w:eastAsia="zh-CN"/>
        </w:rPr>
        <w:t>，代理服务机构提供足额普通增值税发票</w:t>
      </w:r>
      <w:r>
        <w:rPr>
          <w:rFonts w:hint="eastAsia" w:ascii="宋体" w:hAnsi="宋体" w:eastAsia="宋体" w:cs="宋体"/>
          <w:color w:val="auto"/>
        </w:rPr>
        <w:t>。</w:t>
      </w:r>
    </w:p>
    <w:p w14:paraId="734B698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none"/>
        </w:rPr>
      </w:pPr>
      <w:r>
        <w:rPr>
          <w:rFonts w:hint="eastAsia" w:cs="宋体"/>
          <w:color w:val="auto"/>
          <w:highlight w:val="none"/>
          <w:lang w:val="en-US" w:eastAsia="zh-CN"/>
        </w:rPr>
        <w:t>3</w:t>
      </w:r>
      <w:r>
        <w:rPr>
          <w:rFonts w:hint="eastAsia" w:ascii="宋体" w:hAnsi="宋体" w:eastAsia="宋体" w:cs="宋体"/>
          <w:color w:val="auto"/>
          <w:highlight w:val="none"/>
        </w:rPr>
        <w:t>、费用缴纳账号：</w:t>
      </w:r>
    </w:p>
    <w:p w14:paraId="4EEDBD9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户  名：重庆市</w:t>
      </w:r>
      <w:r>
        <w:rPr>
          <w:rFonts w:hint="eastAsia" w:cs="宋体"/>
          <w:color w:val="auto"/>
          <w:lang w:eastAsia="zh-CN"/>
        </w:rPr>
        <w:t>科成工程建设监理</w:t>
      </w:r>
      <w:r>
        <w:rPr>
          <w:rFonts w:hint="eastAsia" w:ascii="宋体" w:hAnsi="宋体" w:eastAsia="宋体" w:cs="宋体"/>
          <w:color w:val="auto"/>
        </w:rPr>
        <w:t>有限公司</w:t>
      </w:r>
    </w:p>
    <w:p w14:paraId="57896AA0">
      <w:pPr>
        <w:pageBreakBefore w:val="0"/>
        <w:kinsoku/>
        <w:overflowPunct/>
        <w:topLinePunct w:val="0"/>
        <w:bidi w:val="0"/>
        <w:snapToGrid w:val="0"/>
        <w:spacing w:line="336" w:lineRule="auto"/>
        <w:ind w:firstLine="480" w:firstLineChars="200"/>
        <w:textAlignment w:val="auto"/>
        <w:rPr>
          <w:rFonts w:hint="default" w:ascii="宋体" w:hAnsi="宋体" w:eastAsia="宋体" w:cs="宋体"/>
          <w:color w:val="auto"/>
          <w:u w:val="single"/>
          <w:lang w:val="en-US" w:eastAsia="zh-CN"/>
        </w:rPr>
      </w:pPr>
      <w:r>
        <w:rPr>
          <w:rFonts w:hint="eastAsia" w:ascii="宋体" w:hAnsi="宋体" w:eastAsia="宋体" w:cs="宋体"/>
          <w:color w:val="auto"/>
        </w:rPr>
        <w:t>开户行：</w:t>
      </w:r>
      <w:r>
        <w:rPr>
          <w:rFonts w:hint="eastAsia" w:cs="宋体"/>
          <w:color w:val="auto"/>
          <w:u w:val="single"/>
          <w:lang w:val="en-US" w:eastAsia="zh-CN"/>
        </w:rPr>
        <w:t xml:space="preserve">  中国建设银行重庆巴南支行   </w:t>
      </w:r>
    </w:p>
    <w:p w14:paraId="61D2046E">
      <w:pPr>
        <w:pageBreakBefore w:val="0"/>
        <w:kinsoku/>
        <w:overflowPunct/>
        <w:topLinePunct w:val="0"/>
        <w:bidi w:val="0"/>
        <w:snapToGrid w:val="0"/>
        <w:spacing w:line="336" w:lineRule="auto"/>
        <w:ind w:firstLine="480" w:firstLineChars="200"/>
        <w:textAlignment w:val="auto"/>
        <w:rPr>
          <w:rFonts w:hint="eastAsia" w:cs="宋体"/>
          <w:color w:val="auto"/>
          <w:lang w:val="en-US" w:eastAsia="zh-CN"/>
        </w:rPr>
      </w:pPr>
      <w:r>
        <w:rPr>
          <w:rFonts w:hint="eastAsia" w:ascii="宋体" w:hAnsi="宋体" w:eastAsia="宋体" w:cs="宋体"/>
          <w:color w:val="auto"/>
        </w:rPr>
        <w:t>账  号：</w:t>
      </w:r>
      <w:bookmarkStart w:id="66" w:name="_Toc108545962"/>
      <w:r>
        <w:rPr>
          <w:rFonts w:hint="eastAsia" w:cs="宋体"/>
          <w:color w:val="auto"/>
          <w:u w:val="single"/>
          <w:lang w:val="en-US" w:eastAsia="zh-CN"/>
        </w:rPr>
        <w:t xml:space="preserve">  50001113600050005196  </w:t>
      </w:r>
      <w:r>
        <w:rPr>
          <w:rFonts w:hint="eastAsia" w:cs="宋体"/>
          <w:color w:val="auto"/>
          <w:lang w:val="en-US" w:eastAsia="zh-CN"/>
        </w:rPr>
        <w:t xml:space="preserve">  </w:t>
      </w:r>
    </w:p>
    <w:p w14:paraId="73023AD4">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w:t>
      </w:r>
      <w:bookmarkEnd w:id="60"/>
      <w:bookmarkEnd w:id="61"/>
      <w:bookmarkEnd w:id="62"/>
      <w:bookmarkEnd w:id="63"/>
      <w:bookmarkEnd w:id="64"/>
      <w:r>
        <w:rPr>
          <w:rFonts w:hint="eastAsia" w:cs="宋体"/>
          <w:color w:val="auto"/>
          <w:sz w:val="24"/>
          <w:szCs w:val="24"/>
          <w:lang w:eastAsia="zh-CN"/>
        </w:rPr>
        <w:t>招标</w:t>
      </w:r>
      <w:r>
        <w:rPr>
          <w:rFonts w:hint="eastAsia" w:ascii="宋体" w:hAnsi="宋体" w:eastAsia="宋体" w:cs="宋体"/>
          <w:color w:val="auto"/>
          <w:sz w:val="24"/>
          <w:szCs w:val="24"/>
        </w:rPr>
        <w:t>程序及成交标准</w:t>
      </w:r>
      <w:bookmarkEnd w:id="65"/>
      <w:bookmarkEnd w:id="66"/>
    </w:p>
    <w:p w14:paraId="349496F6">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（一）本项目</w:t>
      </w:r>
      <w:r>
        <w:rPr>
          <w:rFonts w:hint="eastAsia" w:cs="宋体"/>
          <w:color w:val="auto"/>
          <w:lang w:eastAsia="zh-CN"/>
        </w:rPr>
        <w:t>招标</w:t>
      </w:r>
      <w:r>
        <w:rPr>
          <w:rFonts w:hint="eastAsia" w:ascii="宋体" w:hAnsi="宋体" w:eastAsia="宋体" w:cs="宋体"/>
          <w:color w:val="auto"/>
        </w:rPr>
        <w:t>按照</w:t>
      </w:r>
      <w:r>
        <w:rPr>
          <w:rFonts w:hint="eastAsia" w:cs="宋体"/>
          <w:color w:val="auto"/>
          <w:lang w:eastAsia="zh-CN"/>
        </w:rPr>
        <w:t>招标</w:t>
      </w:r>
      <w:r>
        <w:rPr>
          <w:rFonts w:hint="eastAsia" w:ascii="宋体" w:hAnsi="宋体" w:eastAsia="宋体" w:cs="宋体"/>
          <w:color w:val="auto"/>
        </w:rPr>
        <w:t>通知书规定的时间和地点进行。供应商须有法定代表人或其授权代表参加并签到。</w:t>
      </w:r>
    </w:p>
    <w:p w14:paraId="7BADE3DC">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（二）资格性符合性检查</w:t>
      </w:r>
    </w:p>
    <w:p w14:paraId="469D512B">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1.资格性检查。依据法律法规和</w:t>
      </w:r>
      <w:r>
        <w:rPr>
          <w:rFonts w:hint="eastAsia" w:cs="宋体"/>
          <w:color w:val="auto"/>
          <w:lang w:eastAsia="zh-CN"/>
        </w:rPr>
        <w:t>招标</w:t>
      </w:r>
      <w:r>
        <w:rPr>
          <w:rFonts w:hint="eastAsia" w:ascii="宋体" w:hAnsi="宋体" w:eastAsia="宋体" w:cs="宋体"/>
          <w:color w:val="auto"/>
        </w:rPr>
        <w:t>通知书的规定，对响应文件中的资格证明、保证金等进行审查，以确定供应商是否具备</w:t>
      </w:r>
      <w:r>
        <w:rPr>
          <w:rFonts w:hint="eastAsia" w:cs="宋体"/>
          <w:color w:val="auto"/>
          <w:lang w:eastAsia="zh-CN"/>
        </w:rPr>
        <w:t>招标</w:t>
      </w:r>
      <w:r>
        <w:rPr>
          <w:rFonts w:hint="eastAsia" w:ascii="宋体" w:hAnsi="宋体" w:eastAsia="宋体" w:cs="宋体"/>
          <w:color w:val="auto"/>
        </w:rPr>
        <w:t>资格。资格性检查资料表如下：</w:t>
      </w:r>
    </w:p>
    <w:tbl>
      <w:tblPr>
        <w:tblStyle w:val="23"/>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1416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0DE1B857">
            <w:pPr>
              <w:pageBreakBefore w:val="0"/>
              <w:kinsoku/>
              <w:overflowPunct/>
              <w:topLinePunct w:val="0"/>
              <w:bidi w:val="0"/>
              <w:spacing w:line="336"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3800" w:type="dxa"/>
            <w:gridSpan w:val="2"/>
            <w:vAlign w:val="center"/>
          </w:tcPr>
          <w:p w14:paraId="02069DFD">
            <w:pPr>
              <w:pageBreakBefore w:val="0"/>
              <w:kinsoku/>
              <w:overflowPunct/>
              <w:topLinePunct w:val="0"/>
              <w:bidi w:val="0"/>
              <w:spacing w:line="336"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检查因素</w:t>
            </w:r>
          </w:p>
        </w:tc>
        <w:tc>
          <w:tcPr>
            <w:tcW w:w="5812" w:type="dxa"/>
            <w:vAlign w:val="center"/>
          </w:tcPr>
          <w:p w14:paraId="1A2EE253">
            <w:pPr>
              <w:pageBreakBefore w:val="0"/>
              <w:kinsoku/>
              <w:overflowPunct/>
              <w:topLinePunct w:val="0"/>
              <w:bidi w:val="0"/>
              <w:spacing w:line="336"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检查内容</w:t>
            </w:r>
          </w:p>
        </w:tc>
      </w:tr>
      <w:tr w14:paraId="4ACA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39A5F701">
            <w:pPr>
              <w:pageBreakBefore w:val="0"/>
              <w:kinsoku/>
              <w:overflowPunct/>
              <w:topLinePunct w:val="0"/>
              <w:bidi w:val="0"/>
              <w:spacing w:line="336"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65" w:type="dxa"/>
            <w:vMerge w:val="restart"/>
            <w:vAlign w:val="center"/>
          </w:tcPr>
          <w:p w14:paraId="37529564">
            <w:pPr>
              <w:pageBreakBefore w:val="0"/>
              <w:kinsoku/>
              <w:overflowPunct/>
              <w:topLinePunct w:val="0"/>
              <w:bidi w:val="0"/>
              <w:spacing w:line="336"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供应商</w:t>
            </w:r>
            <w:r>
              <w:rPr>
                <w:rFonts w:hint="eastAsia" w:ascii="宋体" w:hAnsi="宋体" w:eastAsia="宋体" w:cs="宋体"/>
                <w:color w:val="auto"/>
                <w:sz w:val="21"/>
                <w:szCs w:val="21"/>
                <w:lang w:val="zh-CN"/>
              </w:rPr>
              <w:t>应符合的基本资格条件</w:t>
            </w:r>
          </w:p>
        </w:tc>
        <w:tc>
          <w:tcPr>
            <w:tcW w:w="2835" w:type="dxa"/>
            <w:vAlign w:val="center"/>
          </w:tcPr>
          <w:p w14:paraId="2C254FF8">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（1）具有独立承担民事责任的能力</w:t>
            </w:r>
          </w:p>
        </w:tc>
        <w:tc>
          <w:tcPr>
            <w:tcW w:w="5812" w:type="dxa"/>
            <w:vAlign w:val="center"/>
          </w:tcPr>
          <w:p w14:paraId="0843E413">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供应商法人营业执照（副本）或事业单位法人证书（副本）或个体工商户营业执照或有效的自然人身份证明、组织机构代码证复印件（注</w:t>
            </w:r>
            <w:r>
              <w:rPr>
                <w:rFonts w:hint="eastAsia" w:ascii="宋体" w:hAnsi="宋体" w:eastAsia="宋体" w:cs="宋体"/>
                <w:color w:val="auto"/>
              </w:rPr>
              <w:sym w:font="Wingdings" w:char="F081"/>
            </w:r>
            <w:r>
              <w:rPr>
                <w:rFonts w:hint="eastAsia" w:ascii="宋体" w:hAnsi="宋体" w:eastAsia="宋体" w:cs="宋体"/>
                <w:color w:val="auto"/>
                <w:sz w:val="21"/>
                <w:szCs w:val="21"/>
              </w:rPr>
              <w:t xml:space="preserve">）； </w:t>
            </w:r>
          </w:p>
          <w:p w14:paraId="4A3F5197">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供应商法定代表人身份证明和法定代表人授权代表委托书。</w:t>
            </w:r>
          </w:p>
        </w:tc>
      </w:tr>
      <w:tr w14:paraId="66E1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1791DEF4">
            <w:pPr>
              <w:keepNext/>
              <w:keepLines/>
              <w:pageBreakBefore w:val="0"/>
              <w:kinsoku/>
              <w:overflowPunct/>
              <w:topLinePunct w:val="0"/>
              <w:bidi w:val="0"/>
              <w:spacing w:before="260" w:after="260" w:line="336" w:lineRule="auto"/>
              <w:jc w:val="center"/>
              <w:textAlignment w:val="auto"/>
              <w:outlineLvl w:val="2"/>
              <w:rPr>
                <w:rFonts w:hint="eastAsia" w:ascii="宋体" w:hAnsi="宋体" w:eastAsia="宋体" w:cs="宋体"/>
                <w:color w:val="auto"/>
                <w:sz w:val="21"/>
                <w:szCs w:val="21"/>
              </w:rPr>
            </w:pPr>
          </w:p>
        </w:tc>
        <w:tc>
          <w:tcPr>
            <w:tcW w:w="965" w:type="dxa"/>
            <w:vMerge w:val="continue"/>
            <w:vAlign w:val="center"/>
          </w:tcPr>
          <w:p w14:paraId="2CD4859C">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lang w:val="zh-CN"/>
              </w:rPr>
            </w:pPr>
          </w:p>
        </w:tc>
        <w:tc>
          <w:tcPr>
            <w:tcW w:w="2835" w:type="dxa"/>
            <w:vAlign w:val="center"/>
          </w:tcPr>
          <w:p w14:paraId="64D873BF">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（2）</w:t>
            </w:r>
            <w:r>
              <w:rPr>
                <w:rFonts w:hint="eastAsia" w:ascii="宋体" w:hAnsi="宋体" w:eastAsia="宋体" w:cs="宋体"/>
                <w:color w:val="auto"/>
                <w:sz w:val="21"/>
                <w:szCs w:val="21"/>
              </w:rPr>
              <w:t>具有良好的商业信誉和健全的财务会计制度</w:t>
            </w:r>
          </w:p>
        </w:tc>
        <w:tc>
          <w:tcPr>
            <w:tcW w:w="5812" w:type="dxa"/>
            <w:vMerge w:val="restart"/>
            <w:vAlign w:val="center"/>
          </w:tcPr>
          <w:p w14:paraId="29894E56">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供应商提供基本资格条件承诺函（见格式文件）</w:t>
            </w:r>
          </w:p>
        </w:tc>
      </w:tr>
      <w:tr w14:paraId="4CF3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76F6C01">
            <w:pPr>
              <w:keepNext/>
              <w:keepLines/>
              <w:pageBreakBefore w:val="0"/>
              <w:kinsoku/>
              <w:overflowPunct/>
              <w:topLinePunct w:val="0"/>
              <w:bidi w:val="0"/>
              <w:spacing w:before="260" w:after="260" w:line="336" w:lineRule="auto"/>
              <w:jc w:val="center"/>
              <w:textAlignment w:val="auto"/>
              <w:outlineLvl w:val="2"/>
              <w:rPr>
                <w:rFonts w:hint="eastAsia" w:ascii="宋体" w:hAnsi="宋体" w:eastAsia="宋体" w:cs="宋体"/>
                <w:color w:val="auto"/>
                <w:sz w:val="21"/>
                <w:szCs w:val="21"/>
              </w:rPr>
            </w:pPr>
          </w:p>
        </w:tc>
        <w:tc>
          <w:tcPr>
            <w:tcW w:w="965" w:type="dxa"/>
            <w:vMerge w:val="continue"/>
            <w:vAlign w:val="center"/>
          </w:tcPr>
          <w:p w14:paraId="59A08C60">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lang w:val="zh-CN"/>
              </w:rPr>
            </w:pPr>
          </w:p>
        </w:tc>
        <w:tc>
          <w:tcPr>
            <w:tcW w:w="2835" w:type="dxa"/>
            <w:vAlign w:val="center"/>
          </w:tcPr>
          <w:p w14:paraId="2A0C0443">
            <w:pPr>
              <w:pageBreakBefore w:val="0"/>
              <w:kinsoku/>
              <w:overflowPunct/>
              <w:topLinePunct w:val="0"/>
              <w:bidi w:val="0"/>
              <w:spacing w:line="336"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（3）具有履行合同所必需的设备和专业技术能力</w:t>
            </w:r>
          </w:p>
        </w:tc>
        <w:tc>
          <w:tcPr>
            <w:tcW w:w="5812" w:type="dxa"/>
            <w:vMerge w:val="continue"/>
            <w:vAlign w:val="center"/>
          </w:tcPr>
          <w:p w14:paraId="0BFB7689">
            <w:pPr>
              <w:pageBreakBefore w:val="0"/>
              <w:kinsoku/>
              <w:overflowPunct/>
              <w:topLinePunct w:val="0"/>
              <w:bidi w:val="0"/>
              <w:spacing w:line="336" w:lineRule="auto"/>
              <w:textAlignment w:val="auto"/>
              <w:rPr>
                <w:rFonts w:hint="eastAsia" w:ascii="宋体" w:hAnsi="宋体" w:eastAsia="宋体" w:cs="宋体"/>
                <w:color w:val="auto"/>
                <w:sz w:val="21"/>
                <w:szCs w:val="21"/>
              </w:rPr>
            </w:pPr>
          </w:p>
        </w:tc>
      </w:tr>
      <w:tr w14:paraId="21BF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DBAA734">
            <w:pPr>
              <w:keepNext/>
              <w:keepLines/>
              <w:pageBreakBefore w:val="0"/>
              <w:kinsoku/>
              <w:overflowPunct/>
              <w:topLinePunct w:val="0"/>
              <w:bidi w:val="0"/>
              <w:spacing w:before="260" w:after="260" w:line="336" w:lineRule="auto"/>
              <w:jc w:val="center"/>
              <w:textAlignment w:val="auto"/>
              <w:outlineLvl w:val="2"/>
              <w:rPr>
                <w:rFonts w:hint="eastAsia" w:ascii="宋体" w:hAnsi="宋体" w:eastAsia="宋体" w:cs="宋体"/>
                <w:color w:val="auto"/>
                <w:sz w:val="21"/>
                <w:szCs w:val="21"/>
              </w:rPr>
            </w:pPr>
          </w:p>
        </w:tc>
        <w:tc>
          <w:tcPr>
            <w:tcW w:w="965" w:type="dxa"/>
            <w:vMerge w:val="continue"/>
            <w:vAlign w:val="center"/>
          </w:tcPr>
          <w:p w14:paraId="651DCD42">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lang w:val="zh-CN"/>
              </w:rPr>
            </w:pPr>
          </w:p>
        </w:tc>
        <w:tc>
          <w:tcPr>
            <w:tcW w:w="2835" w:type="dxa"/>
            <w:vAlign w:val="center"/>
          </w:tcPr>
          <w:p w14:paraId="57165E4F">
            <w:pPr>
              <w:pageBreakBefore w:val="0"/>
              <w:kinsoku/>
              <w:overflowPunct/>
              <w:topLinePunct w:val="0"/>
              <w:bidi w:val="0"/>
              <w:spacing w:line="336"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（4）有依法缴纳税收和社会保障金的良好记录</w:t>
            </w:r>
          </w:p>
        </w:tc>
        <w:tc>
          <w:tcPr>
            <w:tcW w:w="5812" w:type="dxa"/>
            <w:vMerge w:val="continue"/>
            <w:vAlign w:val="center"/>
          </w:tcPr>
          <w:p w14:paraId="562664B9">
            <w:pPr>
              <w:pageBreakBefore w:val="0"/>
              <w:kinsoku/>
              <w:overflowPunct/>
              <w:topLinePunct w:val="0"/>
              <w:bidi w:val="0"/>
              <w:spacing w:line="336" w:lineRule="auto"/>
              <w:textAlignment w:val="auto"/>
              <w:rPr>
                <w:rFonts w:hint="eastAsia" w:ascii="宋体" w:hAnsi="宋体" w:eastAsia="宋体" w:cs="宋体"/>
                <w:color w:val="auto"/>
                <w:sz w:val="21"/>
                <w:szCs w:val="21"/>
              </w:rPr>
            </w:pPr>
          </w:p>
        </w:tc>
      </w:tr>
      <w:tr w14:paraId="3CBD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620295C">
            <w:pPr>
              <w:pageBreakBefore w:val="0"/>
              <w:kinsoku/>
              <w:overflowPunct/>
              <w:topLinePunct w:val="0"/>
              <w:bidi w:val="0"/>
              <w:spacing w:line="336" w:lineRule="auto"/>
              <w:jc w:val="center"/>
              <w:textAlignment w:val="auto"/>
              <w:rPr>
                <w:rFonts w:hint="eastAsia" w:ascii="宋体" w:hAnsi="宋体" w:eastAsia="宋体" w:cs="宋体"/>
                <w:color w:val="auto"/>
                <w:sz w:val="21"/>
                <w:szCs w:val="21"/>
              </w:rPr>
            </w:pPr>
          </w:p>
        </w:tc>
        <w:tc>
          <w:tcPr>
            <w:tcW w:w="965" w:type="dxa"/>
            <w:vMerge w:val="continue"/>
            <w:vAlign w:val="center"/>
          </w:tcPr>
          <w:p w14:paraId="2BF42D68">
            <w:pPr>
              <w:pageBreakBefore w:val="0"/>
              <w:kinsoku/>
              <w:overflowPunct/>
              <w:topLinePunct w:val="0"/>
              <w:bidi w:val="0"/>
              <w:spacing w:line="336" w:lineRule="auto"/>
              <w:textAlignment w:val="auto"/>
              <w:rPr>
                <w:rFonts w:hint="eastAsia" w:ascii="宋体" w:hAnsi="宋体" w:eastAsia="宋体" w:cs="宋体"/>
                <w:color w:val="auto"/>
                <w:sz w:val="21"/>
                <w:szCs w:val="21"/>
                <w:lang w:val="zh-CN"/>
              </w:rPr>
            </w:pPr>
          </w:p>
        </w:tc>
        <w:tc>
          <w:tcPr>
            <w:tcW w:w="2835" w:type="dxa"/>
            <w:vAlign w:val="center"/>
          </w:tcPr>
          <w:p w14:paraId="077C31C2">
            <w:pPr>
              <w:pageBreakBefore w:val="0"/>
              <w:kinsoku/>
              <w:overflowPunct/>
              <w:topLinePunct w:val="0"/>
              <w:bidi w:val="0"/>
              <w:spacing w:line="336"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（5）参加政府</w:t>
            </w:r>
            <w:r>
              <w:rPr>
                <w:rFonts w:hint="eastAsia" w:cs="宋体"/>
                <w:color w:val="auto"/>
                <w:sz w:val="21"/>
                <w:szCs w:val="21"/>
                <w:lang w:eastAsia="zh-CN"/>
              </w:rPr>
              <w:t>招标</w:t>
            </w:r>
            <w:r>
              <w:rPr>
                <w:rFonts w:hint="eastAsia" w:ascii="宋体" w:hAnsi="宋体" w:eastAsia="宋体" w:cs="宋体"/>
                <w:color w:val="auto"/>
                <w:sz w:val="21"/>
                <w:szCs w:val="21"/>
              </w:rPr>
              <w:t>活动前三年内，在经营活动中没有重大违法记录（注②）</w:t>
            </w:r>
          </w:p>
        </w:tc>
        <w:tc>
          <w:tcPr>
            <w:tcW w:w="5812" w:type="dxa"/>
            <w:vMerge w:val="continue"/>
            <w:vAlign w:val="center"/>
          </w:tcPr>
          <w:p w14:paraId="65B78B09">
            <w:pPr>
              <w:pageBreakBefore w:val="0"/>
              <w:kinsoku/>
              <w:overflowPunct/>
              <w:topLinePunct w:val="0"/>
              <w:bidi w:val="0"/>
              <w:spacing w:line="336" w:lineRule="auto"/>
              <w:textAlignment w:val="auto"/>
              <w:rPr>
                <w:rFonts w:hint="eastAsia" w:ascii="宋体" w:hAnsi="宋体" w:eastAsia="宋体" w:cs="宋体"/>
                <w:color w:val="auto"/>
                <w:sz w:val="21"/>
                <w:szCs w:val="21"/>
              </w:rPr>
            </w:pPr>
          </w:p>
        </w:tc>
      </w:tr>
      <w:tr w14:paraId="030B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2AF19AB0">
            <w:pPr>
              <w:keepNext/>
              <w:keepLines/>
              <w:pageBreakBefore w:val="0"/>
              <w:kinsoku/>
              <w:overflowPunct/>
              <w:topLinePunct w:val="0"/>
              <w:bidi w:val="0"/>
              <w:spacing w:before="260" w:after="260" w:line="336" w:lineRule="auto"/>
              <w:jc w:val="center"/>
              <w:textAlignment w:val="auto"/>
              <w:outlineLvl w:val="2"/>
              <w:rPr>
                <w:rFonts w:hint="eastAsia" w:ascii="宋体" w:hAnsi="宋体" w:eastAsia="宋体" w:cs="宋体"/>
                <w:color w:val="auto"/>
                <w:sz w:val="21"/>
                <w:szCs w:val="21"/>
              </w:rPr>
            </w:pPr>
          </w:p>
        </w:tc>
        <w:tc>
          <w:tcPr>
            <w:tcW w:w="965" w:type="dxa"/>
            <w:vMerge w:val="continue"/>
            <w:vAlign w:val="center"/>
          </w:tcPr>
          <w:p w14:paraId="11FBB49A">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lang w:val="zh-CN"/>
              </w:rPr>
            </w:pPr>
          </w:p>
        </w:tc>
        <w:tc>
          <w:tcPr>
            <w:tcW w:w="2835" w:type="dxa"/>
            <w:vAlign w:val="center"/>
          </w:tcPr>
          <w:p w14:paraId="579AEB8B">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（6）法律、行政法规规定的其他条件</w:t>
            </w:r>
          </w:p>
        </w:tc>
        <w:tc>
          <w:tcPr>
            <w:tcW w:w="5812" w:type="dxa"/>
            <w:vAlign w:val="center"/>
          </w:tcPr>
          <w:p w14:paraId="39299312">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rPr>
            </w:pPr>
          </w:p>
        </w:tc>
      </w:tr>
      <w:tr w14:paraId="0DCD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15C68B7C">
            <w:pPr>
              <w:pageBreakBefore w:val="0"/>
              <w:kinsoku/>
              <w:overflowPunct/>
              <w:topLinePunct w:val="0"/>
              <w:bidi w:val="0"/>
              <w:spacing w:line="336"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800" w:type="dxa"/>
            <w:gridSpan w:val="2"/>
            <w:vAlign w:val="center"/>
          </w:tcPr>
          <w:p w14:paraId="6BB8FBBA">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特定资格条件</w:t>
            </w:r>
          </w:p>
        </w:tc>
        <w:tc>
          <w:tcPr>
            <w:tcW w:w="5812" w:type="dxa"/>
            <w:vAlign w:val="center"/>
          </w:tcPr>
          <w:p w14:paraId="24F4E77F">
            <w:pPr>
              <w:pageBreakBefore w:val="0"/>
              <w:kinsoku/>
              <w:overflowPunct/>
              <w:topLinePunct w:val="0"/>
              <w:bidi w:val="0"/>
              <w:spacing w:line="336" w:lineRule="auto"/>
              <w:textAlignment w:val="auto"/>
              <w:rPr>
                <w:rFonts w:hint="eastAsia" w:ascii="宋体" w:hAnsi="宋体" w:eastAsia="宋体" w:cs="宋体"/>
                <w:color w:val="auto"/>
                <w:sz w:val="21"/>
                <w:szCs w:val="21"/>
              </w:rPr>
            </w:pPr>
            <w:bookmarkStart w:id="67" w:name="_Toc13413"/>
            <w:bookmarkStart w:id="68" w:name="_Toc11965"/>
            <w:r>
              <w:rPr>
                <w:rFonts w:hint="eastAsia" w:ascii="宋体" w:hAnsi="宋体" w:eastAsia="宋体" w:cs="宋体"/>
                <w:color w:val="auto"/>
                <w:sz w:val="22"/>
                <w:szCs w:val="22"/>
              </w:rPr>
              <w:t>按第一篇“</w:t>
            </w:r>
            <w:r>
              <w:rPr>
                <w:rFonts w:hint="eastAsia" w:cs="宋体"/>
                <w:color w:val="auto"/>
                <w:sz w:val="22"/>
                <w:szCs w:val="22"/>
                <w:lang w:eastAsia="zh-CN"/>
              </w:rPr>
              <w:t>招标</w:t>
            </w:r>
            <w:r>
              <w:rPr>
                <w:rFonts w:hint="eastAsia" w:ascii="宋体" w:hAnsi="宋体" w:eastAsia="宋体" w:cs="宋体"/>
                <w:color w:val="auto"/>
                <w:sz w:val="22"/>
                <w:szCs w:val="22"/>
              </w:rPr>
              <w:t>邀请书（三）特定资格条件”的要求提交证明文件复印件并加盖供应商公章。</w:t>
            </w:r>
            <w:bookmarkEnd w:id="67"/>
            <w:bookmarkEnd w:id="68"/>
          </w:p>
        </w:tc>
      </w:tr>
    </w:tbl>
    <w:p w14:paraId="0F141182">
      <w:pPr>
        <w:pageBreakBefore w:val="0"/>
        <w:kinsoku/>
        <w:overflowPunct/>
        <w:topLinePunct w:val="0"/>
        <w:bidi w:val="0"/>
        <w:snapToGrid w:val="0"/>
        <w:spacing w:line="336" w:lineRule="auto"/>
        <w:textAlignment w:val="auto"/>
        <w:rPr>
          <w:rFonts w:hint="eastAsia" w:ascii="宋体" w:hAnsi="宋体" w:eastAsia="宋体" w:cs="宋体"/>
          <w:color w:val="auto"/>
        </w:rPr>
      </w:pPr>
      <w:r>
        <w:rPr>
          <w:rFonts w:hint="eastAsia" w:ascii="宋体" w:hAnsi="宋体" w:eastAsia="宋体" w:cs="宋体"/>
          <w:color w:val="auto"/>
        </w:rPr>
        <w:t>注：</w:t>
      </w:r>
    </w:p>
    <w:p w14:paraId="22BF1B57">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sym w:font="Wingdings" w:char="F081"/>
      </w:r>
      <w:r>
        <w:rPr>
          <w:rFonts w:hint="eastAsia" w:ascii="宋体" w:hAnsi="宋体" w:eastAsia="宋体" w:cs="宋体"/>
          <w:color w:val="auto"/>
        </w:rPr>
        <w:t>供应商按“五证合一”登记制度办理营业执照的，组织机构代码证、税务登记证（副本）和社会保险登记证以供应商所提供的营业执照（副本）复印件为准。</w:t>
      </w:r>
    </w:p>
    <w:p w14:paraId="7BDA16A7">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sym w:font="Wingdings" w:char="F082"/>
      </w:r>
      <w:r>
        <w:rPr>
          <w:rFonts w:hint="eastAsia" w:ascii="宋体" w:hAnsi="宋体" w:eastAsia="宋体" w:cs="宋体"/>
          <w:color w:val="auto"/>
        </w:rPr>
        <w:t>根据《中华人民共和国政府</w:t>
      </w:r>
      <w:r>
        <w:rPr>
          <w:rFonts w:hint="eastAsia" w:cs="宋体"/>
          <w:color w:val="auto"/>
          <w:lang w:eastAsia="zh-CN"/>
        </w:rPr>
        <w:t>招标</w:t>
      </w:r>
      <w:r>
        <w:rPr>
          <w:rFonts w:hint="eastAsia" w:ascii="宋体" w:hAnsi="宋体" w:eastAsia="宋体" w:cs="宋体"/>
          <w:color w:val="auto"/>
        </w:rPr>
        <w:t>法实施条例》第十九条“参加政府</w:t>
      </w:r>
      <w:r>
        <w:rPr>
          <w:rFonts w:hint="eastAsia" w:cs="宋体"/>
          <w:color w:val="auto"/>
          <w:lang w:eastAsia="zh-CN"/>
        </w:rPr>
        <w:t>招标</w:t>
      </w:r>
      <w:r>
        <w:rPr>
          <w:rFonts w:hint="eastAsia" w:ascii="宋体" w:hAnsi="宋体" w:eastAsia="宋体" w:cs="宋体"/>
          <w:color w:val="auto"/>
        </w:rPr>
        <w:t>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590715D">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yellow"/>
        </w:rPr>
      </w:pPr>
      <w:r>
        <w:rPr>
          <w:rFonts w:hint="eastAsia" w:ascii="宋体" w:hAnsi="宋体" w:eastAsia="宋体" w:cs="宋体"/>
          <w:color w:val="auto"/>
        </w:rPr>
        <w:t>③根据重庆市财政局文件 渝财规〔2022〕4号重庆市财政局关于实施政府</w:t>
      </w:r>
      <w:r>
        <w:rPr>
          <w:rFonts w:hint="eastAsia" w:cs="宋体"/>
          <w:color w:val="auto"/>
          <w:lang w:eastAsia="zh-CN"/>
        </w:rPr>
        <w:t>招标</w:t>
      </w:r>
      <w:r>
        <w:rPr>
          <w:rFonts w:hint="eastAsia" w:ascii="宋体" w:hAnsi="宋体" w:eastAsia="宋体" w:cs="宋体"/>
          <w:color w:val="auto"/>
        </w:rPr>
        <w:t>供应商 基本资格条件承诺制的通知：</w:t>
      </w:r>
      <w:r>
        <w:rPr>
          <w:rFonts w:hint="eastAsia" w:ascii="宋体" w:hAnsi="宋体" w:eastAsia="宋体" w:cs="宋体"/>
          <w:color w:val="auto"/>
          <w:highlight w:val="yellow"/>
        </w:rPr>
        <w:t xml:space="preserve">供应商只需以书面形式提供规定格式的《基本资格条件承诺函》，即可替代以下材料： </w:t>
      </w:r>
    </w:p>
    <w:p w14:paraId="371514D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1、财务状况报告（表）或其基本开户银行出具的资信证明材料；</w:t>
      </w:r>
    </w:p>
    <w:p w14:paraId="4027B10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2、依法缴纳税收的证明材料；</w:t>
      </w:r>
    </w:p>
    <w:p w14:paraId="6D335A05">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3、缴纳社会保障金的证明材料；</w:t>
      </w:r>
    </w:p>
    <w:p w14:paraId="6203B18C">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4、具有履行合同所必需的设备和专业技术能力的证明材料；</w:t>
      </w:r>
    </w:p>
    <w:p w14:paraId="211FC581">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5、参加政府</w:t>
      </w:r>
      <w:r>
        <w:rPr>
          <w:rFonts w:hint="eastAsia" w:cs="宋体"/>
          <w:color w:val="auto"/>
          <w:highlight w:val="none"/>
          <w:lang w:eastAsia="zh-CN"/>
        </w:rPr>
        <w:t>招标</w:t>
      </w:r>
      <w:r>
        <w:rPr>
          <w:rFonts w:hint="eastAsia" w:ascii="宋体" w:hAnsi="宋体" w:eastAsia="宋体" w:cs="宋体"/>
          <w:color w:val="auto"/>
          <w:highlight w:val="none"/>
        </w:rPr>
        <w:t>活动前三年内，在经营活动中没有重大违法记录的证明材料；</w:t>
      </w:r>
    </w:p>
    <w:p w14:paraId="1FE4D2DC">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6、未被列入失信被执行人、重大税收违法案件当事人名单及政府</w:t>
      </w:r>
      <w:r>
        <w:rPr>
          <w:rFonts w:hint="eastAsia" w:cs="宋体"/>
          <w:color w:val="auto"/>
          <w:highlight w:val="none"/>
          <w:lang w:eastAsia="zh-CN"/>
        </w:rPr>
        <w:t>招标</w:t>
      </w:r>
      <w:r>
        <w:rPr>
          <w:rFonts w:hint="eastAsia" w:ascii="宋体" w:hAnsi="宋体" w:eastAsia="宋体" w:cs="宋体"/>
          <w:color w:val="auto"/>
          <w:highlight w:val="none"/>
        </w:rPr>
        <w:t>严重违法失信行为记录名单的证明材料。</w:t>
      </w:r>
    </w:p>
    <w:p w14:paraId="67C7A9EE">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符合性检查。依据</w:t>
      </w:r>
      <w:r>
        <w:rPr>
          <w:rFonts w:hint="eastAsia" w:cs="宋体"/>
          <w:color w:val="auto"/>
          <w:lang w:eastAsia="zh-CN"/>
        </w:rPr>
        <w:t>招标</w:t>
      </w:r>
      <w:r>
        <w:rPr>
          <w:rFonts w:hint="eastAsia" w:ascii="宋体" w:hAnsi="宋体" w:eastAsia="宋体" w:cs="宋体"/>
          <w:color w:val="auto"/>
        </w:rPr>
        <w:t>通知书的规定，从响应文件的有效性、完整性和对</w:t>
      </w:r>
      <w:r>
        <w:rPr>
          <w:rFonts w:hint="eastAsia" w:cs="宋体"/>
          <w:color w:val="auto"/>
          <w:lang w:eastAsia="zh-CN"/>
        </w:rPr>
        <w:t>招标</w:t>
      </w:r>
      <w:r>
        <w:rPr>
          <w:rFonts w:hint="eastAsia" w:ascii="宋体" w:hAnsi="宋体" w:eastAsia="宋体" w:cs="宋体"/>
          <w:color w:val="auto"/>
        </w:rPr>
        <w:t>通知书的响应程度进行审查，以确定是否对</w:t>
      </w:r>
      <w:r>
        <w:rPr>
          <w:rFonts w:hint="eastAsia" w:cs="宋体"/>
          <w:color w:val="auto"/>
          <w:lang w:eastAsia="zh-CN"/>
        </w:rPr>
        <w:t>招标</w:t>
      </w:r>
      <w:r>
        <w:rPr>
          <w:rFonts w:hint="eastAsia" w:ascii="宋体" w:hAnsi="宋体" w:eastAsia="宋体" w:cs="宋体"/>
          <w:color w:val="auto"/>
        </w:rPr>
        <w:t>通知书的实质性要求作出响应。符合性检查资料表如下：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17AF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4FACBE2F">
            <w:pPr>
              <w:pageBreakBefore w:val="0"/>
              <w:kinsoku/>
              <w:overflowPunct/>
              <w:topLinePunct w:val="0"/>
              <w:bidi w:val="0"/>
              <w:spacing w:line="336"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03F40FBE">
            <w:pPr>
              <w:pageBreakBefore w:val="0"/>
              <w:kinsoku/>
              <w:overflowPunct/>
              <w:topLinePunct w:val="0"/>
              <w:bidi w:val="0"/>
              <w:spacing w:line="336"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375E370A">
            <w:pPr>
              <w:pageBreakBefore w:val="0"/>
              <w:kinsoku/>
              <w:overflowPunct/>
              <w:topLinePunct w:val="0"/>
              <w:bidi w:val="0"/>
              <w:spacing w:line="336"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评审标准</w:t>
            </w:r>
          </w:p>
        </w:tc>
      </w:tr>
      <w:tr w14:paraId="0D72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6E41BCCB">
            <w:pPr>
              <w:pageBreakBefore w:val="0"/>
              <w:kinsoku/>
              <w:overflowPunct/>
              <w:topLinePunct w:val="0"/>
              <w:bidi w:val="0"/>
              <w:spacing w:line="336"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5A586F9C">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3129B2BF">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130CEEAD">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响应文件上法定代表人或其授权代表人的签字齐全。</w:t>
            </w:r>
          </w:p>
        </w:tc>
      </w:tr>
      <w:tr w14:paraId="2A8C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303FC477">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6807AF56">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D218B40">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049CA0A9">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法定代表人身份证明及授权委托书有效，符合</w:t>
            </w:r>
            <w:r>
              <w:rPr>
                <w:rFonts w:hint="eastAsia" w:cs="宋体"/>
                <w:color w:val="auto"/>
                <w:sz w:val="21"/>
                <w:szCs w:val="21"/>
                <w:lang w:eastAsia="zh-CN"/>
              </w:rPr>
              <w:t>招标</w:t>
            </w:r>
            <w:r>
              <w:rPr>
                <w:rFonts w:hint="eastAsia" w:ascii="宋体" w:hAnsi="宋体" w:eastAsia="宋体" w:cs="宋体"/>
                <w:color w:val="auto"/>
                <w:sz w:val="21"/>
                <w:szCs w:val="21"/>
              </w:rPr>
              <w:t>通知书规定的格式，签字或盖章齐全。</w:t>
            </w:r>
          </w:p>
        </w:tc>
      </w:tr>
      <w:tr w14:paraId="249F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34013113">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13A87234">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A087501">
            <w:pPr>
              <w:pageBreakBefore w:val="0"/>
              <w:kinsoku/>
              <w:overflowPunct/>
              <w:topLinePunct w:val="0"/>
              <w:bidi w:val="0"/>
              <w:spacing w:line="336"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17861C91">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每个分包只能有一个</w:t>
            </w: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方案。</w:t>
            </w:r>
          </w:p>
        </w:tc>
      </w:tr>
      <w:tr w14:paraId="1C2B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5A8C5599">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411E3212">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1F64DF3">
            <w:pPr>
              <w:pageBreakBefore w:val="0"/>
              <w:kinsoku/>
              <w:overflowPunct/>
              <w:topLinePunct w:val="0"/>
              <w:bidi w:val="0"/>
              <w:spacing w:line="336"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70A17D5F">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只能有一个有效报价，不得提交选择性报价。</w:t>
            </w:r>
          </w:p>
        </w:tc>
      </w:tr>
      <w:tr w14:paraId="6DD3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46BEEF47">
            <w:pPr>
              <w:pageBreakBefore w:val="0"/>
              <w:kinsoku/>
              <w:overflowPunct/>
              <w:topLinePunct w:val="0"/>
              <w:bidi w:val="0"/>
              <w:spacing w:line="336"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0A1E6318">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30F7F1EA">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51E288AB">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响应文件正、副本数量符合投标文件要求。</w:t>
            </w:r>
          </w:p>
        </w:tc>
      </w:tr>
      <w:tr w14:paraId="693A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vAlign w:val="center"/>
          </w:tcPr>
          <w:p w14:paraId="62FDCD40">
            <w:pPr>
              <w:pageBreakBefore w:val="0"/>
              <w:kinsoku/>
              <w:overflowPunct/>
              <w:topLinePunct w:val="0"/>
              <w:bidi w:val="0"/>
              <w:spacing w:line="336"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2EE3B2A5">
            <w:pPr>
              <w:pageBreakBefore w:val="0"/>
              <w:kinsoku/>
              <w:overflowPunct/>
              <w:topLinePunct w:val="0"/>
              <w:bidi w:val="0"/>
              <w:spacing w:line="336" w:lineRule="auto"/>
              <w:textAlignment w:val="auto"/>
              <w:rPr>
                <w:rFonts w:hint="eastAsia" w:ascii="宋体" w:hAnsi="宋体" w:eastAsia="宋体" w:cs="宋体"/>
                <w:color w:val="auto"/>
                <w:sz w:val="21"/>
                <w:szCs w:val="21"/>
                <w:lang w:val="zh-CN"/>
              </w:rPr>
            </w:pPr>
            <w:r>
              <w:rPr>
                <w:rFonts w:hint="eastAsia" w:cs="宋体"/>
                <w:color w:val="auto"/>
                <w:sz w:val="21"/>
                <w:szCs w:val="21"/>
                <w:lang w:eastAsia="zh-CN"/>
              </w:rPr>
              <w:t>招标</w:t>
            </w:r>
            <w:r>
              <w:rPr>
                <w:rFonts w:hint="eastAsia" w:ascii="宋体" w:hAnsi="宋体" w:eastAsia="宋体" w:cs="宋体"/>
                <w:color w:val="auto"/>
                <w:sz w:val="21"/>
                <w:szCs w:val="21"/>
              </w:rPr>
              <w:t>通知书的响应程度审查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4B566D73">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40F0E7C1">
            <w:pPr>
              <w:pStyle w:val="13"/>
              <w:pageBreakBefore w:val="0"/>
              <w:widowControl w:val="0"/>
              <w:kinsoku/>
              <w:overflowPunct/>
              <w:topLinePunct w:val="0"/>
              <w:bidi w:val="0"/>
              <w:spacing w:line="336" w:lineRule="auto"/>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对</w:t>
            </w:r>
            <w:r>
              <w:rPr>
                <w:rFonts w:hint="eastAsia" w:ascii="宋体" w:hAnsi="宋体" w:cs="宋体"/>
                <w:color w:val="auto"/>
                <w:kern w:val="2"/>
                <w:sz w:val="21"/>
                <w:szCs w:val="21"/>
                <w:lang w:val="en-US" w:eastAsia="zh-CN"/>
              </w:rPr>
              <w:t>招标</w:t>
            </w:r>
            <w:r>
              <w:rPr>
                <w:rFonts w:hint="eastAsia" w:ascii="宋体" w:hAnsi="宋体" w:eastAsia="宋体" w:cs="宋体"/>
                <w:color w:val="auto"/>
                <w:kern w:val="2"/>
                <w:sz w:val="21"/>
                <w:szCs w:val="21"/>
                <w:lang w:val="en-US" w:eastAsia="zh-CN"/>
              </w:rPr>
              <w:t>通知书第三篇、第四篇规定的</w:t>
            </w:r>
            <w:r>
              <w:rPr>
                <w:rFonts w:hint="eastAsia" w:ascii="宋体" w:hAnsi="宋体" w:cs="宋体"/>
                <w:color w:val="auto"/>
                <w:kern w:val="2"/>
                <w:sz w:val="21"/>
                <w:szCs w:val="21"/>
                <w:lang w:val="en-US" w:eastAsia="zh-CN"/>
              </w:rPr>
              <w:t>招标</w:t>
            </w:r>
            <w:r>
              <w:rPr>
                <w:rFonts w:hint="eastAsia" w:ascii="宋体" w:hAnsi="宋体" w:eastAsia="宋体" w:cs="宋体"/>
                <w:color w:val="auto"/>
                <w:kern w:val="2"/>
                <w:sz w:val="21"/>
                <w:szCs w:val="21"/>
                <w:lang w:val="en-US" w:eastAsia="zh-CN"/>
              </w:rPr>
              <w:t>内容作出响应。</w:t>
            </w:r>
          </w:p>
        </w:tc>
      </w:tr>
      <w:tr w14:paraId="7AA2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223180DD">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B6F4EDC">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47144E12">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cs="宋体"/>
                <w:color w:val="auto"/>
                <w:sz w:val="21"/>
                <w:szCs w:val="21"/>
                <w:lang w:eastAsia="zh-CN"/>
              </w:rPr>
              <w:t>招标</w:t>
            </w:r>
            <w:r>
              <w:rPr>
                <w:rFonts w:hint="eastAsia" w:ascii="宋体" w:hAnsi="宋体" w:eastAsia="宋体" w:cs="宋体"/>
                <w:color w:val="auto"/>
                <w:sz w:val="21"/>
                <w:szCs w:val="21"/>
              </w:rPr>
              <w:t>有效期</w:t>
            </w:r>
          </w:p>
        </w:tc>
        <w:tc>
          <w:tcPr>
            <w:tcW w:w="6043" w:type="dxa"/>
            <w:tcBorders>
              <w:top w:val="single" w:color="auto" w:sz="4" w:space="0"/>
              <w:left w:val="single" w:color="auto" w:sz="4" w:space="0"/>
              <w:bottom w:val="single" w:color="auto" w:sz="4" w:space="0"/>
              <w:right w:val="single" w:color="auto" w:sz="4" w:space="0"/>
            </w:tcBorders>
            <w:vAlign w:val="center"/>
          </w:tcPr>
          <w:p w14:paraId="05035448">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cs="宋体"/>
                <w:color w:val="auto"/>
                <w:sz w:val="21"/>
                <w:szCs w:val="21"/>
                <w:lang w:eastAsia="zh-CN"/>
              </w:rPr>
              <w:t>招标</w:t>
            </w:r>
            <w:r>
              <w:rPr>
                <w:rFonts w:hint="eastAsia" w:ascii="宋体" w:hAnsi="宋体" w:eastAsia="宋体" w:cs="宋体"/>
                <w:color w:val="auto"/>
                <w:sz w:val="21"/>
                <w:szCs w:val="21"/>
              </w:rPr>
              <w:t>通知书</w:t>
            </w:r>
            <w:r>
              <w:rPr>
                <w:rFonts w:hint="eastAsia" w:ascii="宋体" w:hAnsi="宋体" w:eastAsia="宋体" w:cs="宋体"/>
                <w:color w:val="auto"/>
                <w:sz w:val="21"/>
                <w:szCs w:val="21"/>
                <w:lang w:val="zh-CN"/>
              </w:rPr>
              <w:t>规定。</w:t>
            </w:r>
          </w:p>
        </w:tc>
      </w:tr>
    </w:tbl>
    <w:p w14:paraId="55FACC0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评审小组</w:t>
      </w:r>
      <w:r>
        <w:rPr>
          <w:rFonts w:hint="eastAsia" w:ascii="宋体" w:hAnsi="宋体" w:eastAsia="宋体" w:cs="宋体"/>
          <w:color w:val="auto"/>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00EC7E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评审小组</w:t>
      </w:r>
      <w:r>
        <w:rPr>
          <w:rFonts w:hint="eastAsia" w:ascii="宋体" w:hAnsi="宋体" w:eastAsia="宋体" w:cs="宋体"/>
          <w:color w:val="auto"/>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A78EEFB">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（3）在</w:t>
      </w:r>
      <w:r>
        <w:rPr>
          <w:rFonts w:hint="eastAsia" w:cs="宋体"/>
          <w:color w:val="auto"/>
          <w:lang w:eastAsia="zh-CN"/>
        </w:rPr>
        <w:t>招标</w:t>
      </w:r>
      <w:r>
        <w:rPr>
          <w:rFonts w:hint="eastAsia" w:ascii="宋体" w:hAnsi="宋体" w:eastAsia="宋体" w:cs="宋体"/>
          <w:color w:val="auto"/>
        </w:rPr>
        <w:t>过程中</w:t>
      </w:r>
      <w:r>
        <w:rPr>
          <w:rFonts w:hint="eastAsia" w:cs="宋体"/>
          <w:color w:val="auto"/>
          <w:lang w:eastAsia="zh-CN"/>
        </w:rPr>
        <w:t>招标</w:t>
      </w:r>
      <w:r>
        <w:rPr>
          <w:rFonts w:hint="eastAsia" w:ascii="宋体" w:hAnsi="宋体" w:eastAsia="宋体" w:cs="宋体"/>
          <w:color w:val="auto"/>
        </w:rPr>
        <w:t>的任何一方不得向他人透露与</w:t>
      </w:r>
      <w:r>
        <w:rPr>
          <w:rFonts w:hint="eastAsia" w:cs="宋体"/>
          <w:color w:val="auto"/>
          <w:lang w:eastAsia="zh-CN"/>
        </w:rPr>
        <w:t>招标</w:t>
      </w:r>
      <w:r>
        <w:rPr>
          <w:rFonts w:hint="eastAsia" w:ascii="宋体" w:hAnsi="宋体" w:eastAsia="宋体" w:cs="宋体"/>
          <w:color w:val="auto"/>
        </w:rPr>
        <w:t>有关的技术资料、价格或其他信息。</w:t>
      </w:r>
    </w:p>
    <w:p w14:paraId="4AA23A34">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69" w:name="_Toc11594"/>
      <w:bookmarkStart w:id="70" w:name="_Toc108545963"/>
      <w:r>
        <w:rPr>
          <w:rFonts w:hint="eastAsia" w:ascii="宋体" w:hAnsi="宋体" w:eastAsia="宋体" w:cs="宋体"/>
          <w:color w:val="auto"/>
          <w:sz w:val="24"/>
          <w:szCs w:val="24"/>
        </w:rPr>
        <w:t>五、评审标准</w:t>
      </w:r>
      <w:bookmarkEnd w:id="69"/>
      <w:bookmarkEnd w:id="70"/>
    </w:p>
    <w:tbl>
      <w:tblPr>
        <w:tblStyle w:val="23"/>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4989"/>
        <w:gridCol w:w="2982"/>
      </w:tblGrid>
      <w:tr w14:paraId="687E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14:paraId="4D3483E0">
            <w:pPr>
              <w:pageBreakBefore w:val="0"/>
              <w:kinsoku/>
              <w:overflowPunct/>
              <w:topLinePunct w:val="0"/>
              <w:bidi w:val="0"/>
              <w:snapToGrid w:val="0"/>
              <w:spacing w:line="336" w:lineRule="auto"/>
              <w:ind w:firstLine="28"/>
              <w:jc w:val="center"/>
              <w:textAlignment w:val="auto"/>
              <w:rPr>
                <w:rFonts w:hint="eastAsia" w:ascii="宋体" w:hAnsi="宋体" w:eastAsia="宋体" w:cs="宋体"/>
                <w:b/>
                <w:sz w:val="22"/>
                <w:szCs w:val="22"/>
              </w:rPr>
            </w:pPr>
            <w:r>
              <w:rPr>
                <w:rFonts w:hint="eastAsia" w:ascii="宋体" w:hAnsi="宋体" w:eastAsia="宋体" w:cs="宋体"/>
                <w:b/>
                <w:sz w:val="22"/>
                <w:szCs w:val="22"/>
              </w:rPr>
              <w:t>序号</w:t>
            </w:r>
          </w:p>
        </w:tc>
        <w:tc>
          <w:tcPr>
            <w:tcW w:w="1134" w:type="dxa"/>
            <w:noWrap w:val="0"/>
            <w:vAlign w:val="center"/>
          </w:tcPr>
          <w:p w14:paraId="5C19A0A1">
            <w:pPr>
              <w:pageBreakBefore w:val="0"/>
              <w:kinsoku/>
              <w:overflowPunct/>
              <w:topLinePunct w:val="0"/>
              <w:bidi w:val="0"/>
              <w:snapToGrid w:val="0"/>
              <w:spacing w:line="336" w:lineRule="auto"/>
              <w:ind w:firstLine="28"/>
              <w:jc w:val="center"/>
              <w:textAlignment w:val="auto"/>
              <w:rPr>
                <w:rFonts w:hint="eastAsia" w:ascii="宋体" w:hAnsi="宋体" w:eastAsia="宋体" w:cs="宋体"/>
                <w:b/>
                <w:sz w:val="22"/>
                <w:szCs w:val="22"/>
              </w:rPr>
            </w:pPr>
            <w:r>
              <w:rPr>
                <w:rFonts w:hint="eastAsia" w:cs="宋体"/>
                <w:b/>
                <w:sz w:val="22"/>
                <w:szCs w:val="22"/>
                <w:lang w:eastAsia="zh-CN"/>
              </w:rPr>
              <w:t>评审</w:t>
            </w:r>
            <w:r>
              <w:rPr>
                <w:rFonts w:hint="eastAsia" w:ascii="宋体" w:hAnsi="宋体" w:eastAsia="宋体" w:cs="宋体"/>
                <w:b/>
                <w:sz w:val="22"/>
                <w:szCs w:val="22"/>
              </w:rPr>
              <w:t>因素</w:t>
            </w:r>
          </w:p>
          <w:p w14:paraId="403FE7BD">
            <w:pPr>
              <w:pageBreakBefore w:val="0"/>
              <w:kinsoku/>
              <w:overflowPunct/>
              <w:topLinePunct w:val="0"/>
              <w:bidi w:val="0"/>
              <w:snapToGrid w:val="0"/>
              <w:spacing w:line="336" w:lineRule="auto"/>
              <w:ind w:firstLine="28"/>
              <w:jc w:val="center"/>
              <w:textAlignment w:val="auto"/>
              <w:rPr>
                <w:rFonts w:hint="eastAsia" w:ascii="宋体" w:hAnsi="宋体" w:eastAsia="宋体" w:cs="宋体"/>
                <w:b/>
                <w:sz w:val="22"/>
                <w:szCs w:val="22"/>
              </w:rPr>
            </w:pPr>
            <w:r>
              <w:rPr>
                <w:rFonts w:hint="eastAsia" w:ascii="宋体" w:hAnsi="宋体" w:eastAsia="宋体" w:cs="宋体"/>
                <w:b/>
                <w:sz w:val="22"/>
                <w:szCs w:val="22"/>
              </w:rPr>
              <w:t>及权重</w:t>
            </w:r>
          </w:p>
        </w:tc>
        <w:tc>
          <w:tcPr>
            <w:tcW w:w="4989" w:type="dxa"/>
            <w:noWrap w:val="0"/>
            <w:vAlign w:val="center"/>
          </w:tcPr>
          <w:p w14:paraId="6A7656BE">
            <w:pPr>
              <w:pageBreakBefore w:val="0"/>
              <w:kinsoku/>
              <w:overflowPunct/>
              <w:topLinePunct w:val="0"/>
              <w:bidi w:val="0"/>
              <w:snapToGrid w:val="0"/>
              <w:spacing w:line="336" w:lineRule="auto"/>
              <w:ind w:firstLine="28"/>
              <w:jc w:val="center"/>
              <w:textAlignment w:val="auto"/>
              <w:rPr>
                <w:rFonts w:hint="eastAsia" w:ascii="宋体" w:hAnsi="宋体" w:eastAsia="宋体" w:cs="宋体"/>
                <w:b/>
                <w:sz w:val="22"/>
                <w:szCs w:val="22"/>
              </w:rPr>
            </w:pPr>
            <w:r>
              <w:rPr>
                <w:rFonts w:hint="eastAsia" w:cs="宋体"/>
                <w:b/>
                <w:sz w:val="22"/>
                <w:szCs w:val="22"/>
                <w:lang w:eastAsia="zh-CN"/>
              </w:rPr>
              <w:t>评审</w:t>
            </w:r>
            <w:r>
              <w:rPr>
                <w:rFonts w:hint="eastAsia" w:ascii="宋体" w:hAnsi="宋体" w:eastAsia="宋体" w:cs="宋体"/>
                <w:b/>
                <w:sz w:val="22"/>
                <w:szCs w:val="22"/>
              </w:rPr>
              <w:t>标准</w:t>
            </w:r>
          </w:p>
        </w:tc>
        <w:tc>
          <w:tcPr>
            <w:tcW w:w="2982" w:type="dxa"/>
            <w:noWrap w:val="0"/>
            <w:vAlign w:val="center"/>
          </w:tcPr>
          <w:p w14:paraId="08017450">
            <w:pPr>
              <w:pStyle w:val="66"/>
              <w:pageBreakBefore w:val="0"/>
              <w:kinsoku/>
              <w:overflowPunct/>
              <w:topLinePunct w:val="0"/>
              <w:bidi w:val="0"/>
              <w:snapToGrid w:val="0"/>
              <w:spacing w:before="0" w:after="0" w:line="336" w:lineRule="auto"/>
              <w:textAlignment w:val="auto"/>
              <w:rPr>
                <w:rFonts w:hint="eastAsia" w:ascii="宋体" w:hAnsi="宋体" w:eastAsia="宋体" w:cs="宋体"/>
                <w:sz w:val="22"/>
                <w:szCs w:val="22"/>
              </w:rPr>
            </w:pPr>
            <w:r>
              <w:rPr>
                <w:rFonts w:hint="eastAsia" w:ascii="宋体" w:hAnsi="宋体" w:eastAsia="宋体" w:cs="宋体"/>
                <w:sz w:val="22"/>
                <w:szCs w:val="22"/>
              </w:rPr>
              <w:t>说明</w:t>
            </w:r>
          </w:p>
        </w:tc>
      </w:tr>
      <w:tr w14:paraId="32EA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1" w:hRule="atLeast"/>
        </w:trPr>
        <w:tc>
          <w:tcPr>
            <w:tcW w:w="534" w:type="dxa"/>
            <w:noWrap w:val="0"/>
            <w:vAlign w:val="center"/>
          </w:tcPr>
          <w:p w14:paraId="6C835FD4">
            <w:pPr>
              <w:pageBreakBefore w:val="0"/>
              <w:kinsoku/>
              <w:overflowPunct/>
              <w:topLinePunct w:val="0"/>
              <w:bidi w:val="0"/>
              <w:snapToGrid w:val="0"/>
              <w:spacing w:line="336" w:lineRule="auto"/>
              <w:ind w:firstLine="28"/>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1134" w:type="dxa"/>
            <w:noWrap w:val="0"/>
            <w:vAlign w:val="center"/>
          </w:tcPr>
          <w:p w14:paraId="6ADA3771">
            <w:pPr>
              <w:pageBreakBefore w:val="0"/>
              <w:kinsoku/>
              <w:overflowPunct/>
              <w:topLinePunct w:val="0"/>
              <w:bidi w:val="0"/>
              <w:spacing w:line="336" w:lineRule="auto"/>
              <w:ind w:firstLine="28"/>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竞</w:t>
            </w:r>
            <w:r>
              <w:rPr>
                <w:rFonts w:hint="eastAsia" w:ascii="宋体" w:hAnsi="宋体" w:eastAsia="宋体" w:cs="宋体"/>
                <w:color w:val="000000"/>
                <w:sz w:val="21"/>
                <w:szCs w:val="21"/>
                <w:lang w:eastAsia="zh-CN"/>
              </w:rPr>
              <w:t>选</w:t>
            </w:r>
            <w:r>
              <w:rPr>
                <w:rFonts w:hint="eastAsia" w:ascii="宋体" w:hAnsi="宋体" w:eastAsia="宋体" w:cs="宋体"/>
                <w:color w:val="000000"/>
                <w:sz w:val="21"/>
                <w:szCs w:val="21"/>
              </w:rPr>
              <w:t>报价</w:t>
            </w:r>
          </w:p>
          <w:p w14:paraId="4394B80E">
            <w:pPr>
              <w:pageBreakBefore w:val="0"/>
              <w:kinsoku/>
              <w:overflowPunct/>
              <w:topLinePunct w:val="0"/>
              <w:bidi w:val="0"/>
              <w:spacing w:line="336" w:lineRule="auto"/>
              <w:ind w:firstLine="28" w:firstLineChars="0"/>
              <w:jc w:val="center"/>
              <w:textAlignment w:val="auto"/>
              <w:rPr>
                <w:rFonts w:hint="eastAsia" w:ascii="宋体" w:hAnsi="宋体" w:eastAsia="宋体" w:cs="宋体"/>
                <w:sz w:val="22"/>
                <w:szCs w:val="22"/>
              </w:rPr>
            </w:pPr>
          </w:p>
        </w:tc>
        <w:tc>
          <w:tcPr>
            <w:tcW w:w="4989" w:type="dxa"/>
            <w:noWrap w:val="0"/>
            <w:vAlign w:val="center"/>
          </w:tcPr>
          <w:p w14:paraId="34FEF3A5">
            <w:pPr>
              <w:pageBreakBefore w:val="0"/>
              <w:kinsoku/>
              <w:overflowPunct/>
              <w:topLinePunct w:val="0"/>
              <w:bidi w:val="0"/>
              <w:spacing w:line="336" w:lineRule="auto"/>
              <w:ind w:firstLine="28"/>
              <w:jc w:val="center"/>
              <w:textAlignment w:val="auto"/>
              <w:rPr>
                <w:rFonts w:hint="eastAsia" w:ascii="宋体" w:hAnsi="宋体" w:eastAsia="宋体" w:cs="宋体"/>
                <w:sz w:val="22"/>
                <w:szCs w:val="22"/>
              </w:rPr>
            </w:pPr>
            <w:r>
              <w:rPr>
                <w:rFonts w:hint="eastAsia" w:ascii="宋体" w:hAnsi="宋体" w:eastAsia="宋体" w:cs="宋体"/>
                <w:color w:val="000000"/>
                <w:sz w:val="21"/>
                <w:szCs w:val="21"/>
                <w:lang w:eastAsia="zh-CN"/>
              </w:rPr>
              <w:t>满足资格性、符合性要求</w:t>
            </w:r>
          </w:p>
        </w:tc>
        <w:tc>
          <w:tcPr>
            <w:tcW w:w="2982" w:type="dxa"/>
            <w:noWrap w:val="0"/>
            <w:vAlign w:val="center"/>
          </w:tcPr>
          <w:p w14:paraId="471DBC60">
            <w:pPr>
              <w:pageBreakBefore w:val="0"/>
              <w:kinsoku/>
              <w:overflowPunct/>
              <w:topLinePunct w:val="0"/>
              <w:bidi w:val="0"/>
              <w:snapToGrid w:val="0"/>
              <w:spacing w:line="336" w:lineRule="auto"/>
              <w:ind w:left="-38"/>
              <w:textAlignment w:val="auto"/>
              <w:rPr>
                <w:rFonts w:hint="eastAsia" w:ascii="宋体" w:hAnsi="宋体" w:eastAsia="宋体" w:cs="宋体"/>
                <w:sz w:val="22"/>
                <w:szCs w:val="22"/>
              </w:rPr>
            </w:pPr>
            <w:r>
              <w:rPr>
                <w:rFonts w:hint="eastAsia" w:ascii="宋体" w:hAnsi="宋体" w:eastAsia="宋体" w:cs="宋体"/>
                <w:color w:val="000000"/>
                <w:sz w:val="21"/>
                <w:szCs w:val="21"/>
              </w:rPr>
              <w:t>高于</w:t>
            </w:r>
            <w:r>
              <w:rPr>
                <w:rFonts w:hint="eastAsia" w:ascii="宋体" w:hAnsi="宋体" w:eastAsia="宋体" w:cs="宋体"/>
                <w:color w:val="000000"/>
                <w:sz w:val="21"/>
                <w:szCs w:val="21"/>
                <w:lang w:eastAsia="zh-CN"/>
              </w:rPr>
              <w:t>最高限价</w:t>
            </w:r>
            <w:r>
              <w:rPr>
                <w:rFonts w:hint="eastAsia" w:ascii="宋体" w:hAnsi="宋体" w:eastAsia="宋体" w:cs="宋体"/>
                <w:color w:val="000000"/>
                <w:sz w:val="21"/>
                <w:szCs w:val="21"/>
              </w:rPr>
              <w:t>为无效报价</w:t>
            </w:r>
          </w:p>
        </w:tc>
      </w:tr>
      <w:tr w14:paraId="5516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534" w:type="dxa"/>
            <w:noWrap w:val="0"/>
            <w:vAlign w:val="center"/>
          </w:tcPr>
          <w:p w14:paraId="4F7F91ED">
            <w:pPr>
              <w:pageBreakBefore w:val="0"/>
              <w:kinsoku/>
              <w:overflowPunct/>
              <w:topLinePunct w:val="0"/>
              <w:bidi w:val="0"/>
              <w:snapToGrid w:val="0"/>
              <w:spacing w:line="336" w:lineRule="auto"/>
              <w:ind w:firstLine="28"/>
              <w:jc w:val="center"/>
              <w:textAlignment w:val="auto"/>
              <w:rPr>
                <w:rFonts w:hint="eastAsia" w:ascii="宋体" w:hAnsi="宋体" w:eastAsia="宋体" w:cs="宋体"/>
                <w:sz w:val="22"/>
                <w:szCs w:val="22"/>
                <w:lang w:val="en-US" w:eastAsia="zh-CN"/>
              </w:rPr>
            </w:pPr>
          </w:p>
          <w:p w14:paraId="64DF0C22">
            <w:pPr>
              <w:pageBreakBefore w:val="0"/>
              <w:kinsoku/>
              <w:overflowPunct/>
              <w:topLinePunct w:val="0"/>
              <w:bidi w:val="0"/>
              <w:snapToGrid w:val="0"/>
              <w:spacing w:line="336" w:lineRule="auto"/>
              <w:ind w:firstLine="28"/>
              <w:jc w:val="center"/>
              <w:textAlignment w:val="auto"/>
              <w:rPr>
                <w:rFonts w:hint="eastAsia" w:ascii="宋体" w:hAnsi="宋体" w:eastAsia="宋体" w:cs="宋体"/>
                <w:sz w:val="22"/>
                <w:szCs w:val="22"/>
                <w:lang w:val="en-US" w:eastAsia="zh-CN"/>
              </w:rPr>
            </w:pPr>
          </w:p>
          <w:p w14:paraId="26A7D466">
            <w:pPr>
              <w:pageBreakBefore w:val="0"/>
              <w:kinsoku/>
              <w:overflowPunct/>
              <w:topLinePunct w:val="0"/>
              <w:bidi w:val="0"/>
              <w:snapToGrid w:val="0"/>
              <w:spacing w:line="336" w:lineRule="auto"/>
              <w:ind w:firstLine="28"/>
              <w:jc w:val="center"/>
              <w:textAlignment w:val="auto"/>
              <w:rPr>
                <w:rFonts w:hint="eastAsia" w:ascii="宋体" w:hAnsi="宋体" w:eastAsia="宋体" w:cs="宋体"/>
                <w:sz w:val="22"/>
                <w:szCs w:val="22"/>
                <w:lang w:val="en-US" w:eastAsia="zh-CN"/>
              </w:rPr>
            </w:pPr>
          </w:p>
          <w:p w14:paraId="6484849F">
            <w:pPr>
              <w:pageBreakBefore w:val="0"/>
              <w:kinsoku/>
              <w:overflowPunct/>
              <w:topLinePunct w:val="0"/>
              <w:bidi w:val="0"/>
              <w:snapToGrid w:val="0"/>
              <w:spacing w:line="336" w:lineRule="auto"/>
              <w:ind w:firstLine="28"/>
              <w:jc w:val="center"/>
              <w:textAlignment w:val="auto"/>
              <w:rPr>
                <w:rFonts w:hint="eastAsia" w:ascii="宋体" w:hAnsi="宋体" w:eastAsia="宋体" w:cs="宋体"/>
                <w:sz w:val="22"/>
                <w:szCs w:val="22"/>
                <w:lang w:val="en-US" w:eastAsia="zh-CN"/>
              </w:rPr>
            </w:pPr>
          </w:p>
          <w:p w14:paraId="44D89114">
            <w:pPr>
              <w:pageBreakBefore w:val="0"/>
              <w:kinsoku/>
              <w:overflowPunct/>
              <w:topLinePunct w:val="0"/>
              <w:bidi w:val="0"/>
              <w:snapToGrid w:val="0"/>
              <w:spacing w:line="336" w:lineRule="auto"/>
              <w:ind w:firstLine="28"/>
              <w:jc w:val="center"/>
              <w:textAlignment w:val="auto"/>
              <w:rPr>
                <w:rFonts w:hint="default" w:ascii="宋体" w:hAnsi="宋体" w:eastAsia="宋体" w:cs="宋体"/>
                <w:sz w:val="22"/>
                <w:szCs w:val="22"/>
                <w:lang w:val="en-US" w:eastAsia="zh-CN"/>
              </w:rPr>
            </w:pPr>
            <w:r>
              <w:rPr>
                <w:rFonts w:hint="eastAsia" w:cs="宋体"/>
                <w:sz w:val="22"/>
                <w:szCs w:val="22"/>
                <w:lang w:val="en-US" w:eastAsia="zh-CN"/>
              </w:rPr>
              <w:t>2</w:t>
            </w:r>
          </w:p>
          <w:p w14:paraId="421D0121">
            <w:pPr>
              <w:pageBreakBefore w:val="0"/>
              <w:kinsoku/>
              <w:overflowPunct/>
              <w:topLinePunct w:val="0"/>
              <w:bidi w:val="0"/>
              <w:snapToGrid w:val="0"/>
              <w:spacing w:line="336" w:lineRule="auto"/>
              <w:ind w:firstLine="28"/>
              <w:jc w:val="center"/>
              <w:textAlignment w:val="auto"/>
              <w:rPr>
                <w:rFonts w:hint="eastAsia" w:ascii="宋体" w:hAnsi="宋体" w:eastAsia="宋体" w:cs="宋体"/>
                <w:sz w:val="22"/>
                <w:szCs w:val="22"/>
                <w:lang w:val="en-US" w:eastAsia="zh-CN"/>
              </w:rPr>
            </w:pPr>
          </w:p>
          <w:p w14:paraId="683FF01E">
            <w:pPr>
              <w:pageBreakBefore w:val="0"/>
              <w:kinsoku/>
              <w:overflowPunct/>
              <w:topLinePunct w:val="0"/>
              <w:bidi w:val="0"/>
              <w:snapToGrid w:val="0"/>
              <w:spacing w:line="336" w:lineRule="auto"/>
              <w:ind w:firstLine="28"/>
              <w:jc w:val="center"/>
              <w:textAlignment w:val="auto"/>
              <w:rPr>
                <w:rFonts w:hint="eastAsia" w:ascii="宋体" w:hAnsi="宋体" w:eastAsia="宋体" w:cs="宋体"/>
                <w:sz w:val="22"/>
                <w:szCs w:val="22"/>
                <w:lang w:val="en-US" w:eastAsia="zh-CN"/>
              </w:rPr>
            </w:pPr>
          </w:p>
          <w:p w14:paraId="58949467">
            <w:pPr>
              <w:pageBreakBefore w:val="0"/>
              <w:kinsoku/>
              <w:overflowPunct/>
              <w:topLinePunct w:val="0"/>
              <w:bidi w:val="0"/>
              <w:snapToGrid w:val="0"/>
              <w:spacing w:line="336" w:lineRule="auto"/>
              <w:jc w:val="both"/>
              <w:textAlignment w:val="auto"/>
              <w:rPr>
                <w:rFonts w:hint="eastAsia" w:ascii="宋体" w:hAnsi="宋体" w:eastAsia="宋体" w:cs="宋体"/>
                <w:sz w:val="22"/>
                <w:szCs w:val="22"/>
                <w:lang w:val="en-US" w:eastAsia="zh-CN"/>
              </w:rPr>
            </w:pPr>
          </w:p>
        </w:tc>
        <w:tc>
          <w:tcPr>
            <w:tcW w:w="1134" w:type="dxa"/>
            <w:noWrap w:val="0"/>
            <w:vAlign w:val="center"/>
          </w:tcPr>
          <w:p w14:paraId="756C9469">
            <w:pPr>
              <w:pageBreakBefore w:val="0"/>
              <w:kinsoku/>
              <w:overflowPunct/>
              <w:topLinePunct w:val="0"/>
              <w:bidi w:val="0"/>
              <w:spacing w:line="336" w:lineRule="auto"/>
              <w:ind w:firstLine="28"/>
              <w:jc w:val="both"/>
              <w:textAlignment w:val="auto"/>
              <w:rPr>
                <w:rFonts w:hint="eastAsia" w:ascii="宋体" w:hAnsi="宋体" w:eastAsia="宋体" w:cs="宋体"/>
                <w:color w:val="000000"/>
                <w:sz w:val="21"/>
                <w:szCs w:val="21"/>
              </w:rPr>
            </w:pPr>
          </w:p>
          <w:p w14:paraId="60E5337C">
            <w:pPr>
              <w:pageBreakBefore w:val="0"/>
              <w:kinsoku/>
              <w:overflowPunct/>
              <w:topLinePunct w:val="0"/>
              <w:bidi w:val="0"/>
              <w:spacing w:line="336" w:lineRule="auto"/>
              <w:ind w:firstLine="28"/>
              <w:jc w:val="both"/>
              <w:textAlignment w:val="auto"/>
              <w:rPr>
                <w:rFonts w:hint="eastAsia" w:ascii="宋体" w:hAnsi="宋体" w:eastAsia="宋体" w:cs="宋体"/>
                <w:color w:val="000000"/>
                <w:sz w:val="21"/>
                <w:szCs w:val="21"/>
              </w:rPr>
            </w:pPr>
          </w:p>
          <w:p w14:paraId="38C7F060">
            <w:pPr>
              <w:pageBreakBefore w:val="0"/>
              <w:kinsoku/>
              <w:overflowPunct/>
              <w:topLinePunct w:val="0"/>
              <w:bidi w:val="0"/>
              <w:spacing w:line="336" w:lineRule="auto"/>
              <w:ind w:firstLine="28"/>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技术部分</w:t>
            </w:r>
          </w:p>
          <w:p w14:paraId="41EC6F7F">
            <w:pPr>
              <w:pageBreakBefore w:val="0"/>
              <w:kinsoku/>
              <w:overflowPunct/>
              <w:topLinePunct w:val="0"/>
              <w:bidi w:val="0"/>
              <w:spacing w:line="336" w:lineRule="auto"/>
              <w:ind w:firstLine="28" w:firstLineChars="0"/>
              <w:jc w:val="both"/>
              <w:textAlignment w:val="auto"/>
              <w:rPr>
                <w:rFonts w:hint="eastAsia" w:ascii="宋体" w:hAnsi="宋体" w:eastAsia="宋体" w:cs="宋体"/>
                <w:color w:val="000000"/>
                <w:sz w:val="21"/>
                <w:szCs w:val="21"/>
              </w:rPr>
            </w:pPr>
          </w:p>
        </w:tc>
        <w:tc>
          <w:tcPr>
            <w:tcW w:w="4989" w:type="dxa"/>
            <w:noWrap w:val="0"/>
            <w:vAlign w:val="center"/>
          </w:tcPr>
          <w:p w14:paraId="1446AFBE">
            <w:pPr>
              <w:pageBreakBefore w:val="0"/>
              <w:kinsoku/>
              <w:overflowPunct/>
              <w:topLinePunct w:val="0"/>
              <w:bidi w:val="0"/>
              <w:adjustRightInd w:val="0"/>
              <w:snapToGrid w:val="0"/>
              <w:spacing w:line="336" w:lineRule="auto"/>
              <w:jc w:val="both"/>
              <w:textAlignment w:val="auto"/>
              <w:rPr>
                <w:rFonts w:hint="eastAsia" w:ascii="宋体" w:hAnsi="宋体" w:eastAsia="宋体" w:cs="宋体"/>
                <w:sz w:val="21"/>
                <w:szCs w:val="21"/>
              </w:rPr>
            </w:pPr>
            <w:r>
              <w:rPr>
                <w:rFonts w:hint="eastAsia" w:ascii="宋体" w:hAnsi="宋体" w:eastAsia="宋体" w:cs="宋体"/>
                <w:sz w:val="21"/>
                <w:szCs w:val="21"/>
              </w:rPr>
              <w:t>根据施工方案中的施工方法、施工设备、项目管理机构配备、劳动力计划，确保工程质量、工期、安全和文明施工的技术、组织措施、施工总进度计划、对施工现场周围环境污染的保护措施等进行</w:t>
            </w:r>
            <w:r>
              <w:rPr>
                <w:rFonts w:hint="eastAsia" w:cs="宋体"/>
                <w:sz w:val="21"/>
                <w:szCs w:val="21"/>
                <w:lang w:eastAsia="zh-CN"/>
              </w:rPr>
              <w:t>评审</w:t>
            </w:r>
            <w:r>
              <w:rPr>
                <w:rFonts w:hint="eastAsia" w:ascii="宋体" w:hAnsi="宋体" w:eastAsia="宋体" w:cs="宋体"/>
                <w:sz w:val="21"/>
                <w:szCs w:val="21"/>
              </w:rPr>
              <w:t>。</w:t>
            </w:r>
          </w:p>
          <w:p w14:paraId="2C672F96">
            <w:pPr>
              <w:pageBreakBefore w:val="0"/>
              <w:kinsoku/>
              <w:overflowPunct/>
              <w:topLinePunct w:val="0"/>
              <w:bidi w:val="0"/>
              <w:adjustRightInd w:val="0"/>
              <w:snapToGrid w:val="0"/>
              <w:spacing w:line="336" w:lineRule="auto"/>
              <w:jc w:val="both"/>
              <w:textAlignment w:val="auto"/>
              <w:rPr>
                <w:rFonts w:hint="eastAsia" w:ascii="宋体" w:hAnsi="宋体" w:eastAsia="宋体" w:cs="宋体"/>
                <w:color w:val="000000"/>
                <w:sz w:val="21"/>
                <w:szCs w:val="21"/>
              </w:rPr>
            </w:pPr>
          </w:p>
        </w:tc>
        <w:tc>
          <w:tcPr>
            <w:tcW w:w="2982" w:type="dxa"/>
            <w:noWrap w:val="0"/>
            <w:vAlign w:val="center"/>
          </w:tcPr>
          <w:p w14:paraId="59F801AF">
            <w:pPr>
              <w:pageBreakBefore w:val="0"/>
              <w:kinsoku/>
              <w:overflowPunct/>
              <w:topLinePunct w:val="0"/>
              <w:bidi w:val="0"/>
              <w:snapToGrid w:val="0"/>
              <w:spacing w:line="336"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格式自拟。</w:t>
            </w:r>
            <w:r>
              <w:rPr>
                <w:rFonts w:hint="eastAsia" w:ascii="宋体" w:hAnsi="宋体" w:eastAsia="宋体" w:cs="宋体"/>
                <w:color w:val="000000"/>
                <w:sz w:val="21"/>
                <w:szCs w:val="21"/>
                <w:lang w:eastAsia="zh-CN"/>
              </w:rPr>
              <w:t>评审</w:t>
            </w:r>
            <w:r>
              <w:rPr>
                <w:rFonts w:hint="eastAsia" w:ascii="宋体" w:hAnsi="宋体" w:eastAsia="宋体" w:cs="宋体"/>
                <w:color w:val="000000"/>
                <w:sz w:val="21"/>
                <w:szCs w:val="21"/>
              </w:rPr>
              <w:t>小组根据有效供应商提供的服务方案，进行横向比较评审。</w:t>
            </w:r>
          </w:p>
        </w:tc>
      </w:tr>
    </w:tbl>
    <w:p w14:paraId="309C0F54">
      <w:pPr>
        <w:pageBreakBefore w:val="0"/>
        <w:kinsoku/>
        <w:overflowPunct/>
        <w:topLinePunct w:val="0"/>
        <w:bidi w:val="0"/>
        <w:spacing w:line="336" w:lineRule="auto"/>
        <w:textAlignment w:val="auto"/>
        <w:rPr>
          <w:rFonts w:hint="eastAsia" w:ascii="宋体" w:hAnsi="宋体" w:eastAsia="宋体" w:cs="宋体"/>
          <w:color w:val="auto"/>
          <w:lang w:eastAsia="zh-CN"/>
        </w:rPr>
      </w:pPr>
    </w:p>
    <w:p w14:paraId="645C82F5">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评审小组</w:t>
      </w:r>
      <w:r>
        <w:rPr>
          <w:rFonts w:hint="eastAsia" w:ascii="宋体" w:hAnsi="宋体" w:eastAsia="宋体" w:cs="宋体"/>
          <w:color w:val="auto"/>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宋体" w:hAnsi="宋体" w:eastAsia="宋体" w:cs="宋体"/>
          <w:color w:val="auto"/>
          <w:lang w:eastAsia="zh-CN"/>
        </w:rPr>
        <w:t>评审小组</w:t>
      </w:r>
      <w:r>
        <w:rPr>
          <w:rFonts w:hint="eastAsia" w:ascii="宋体" w:hAnsi="宋体" w:eastAsia="宋体" w:cs="宋体"/>
          <w:color w:val="auto"/>
        </w:rPr>
        <w:t>应当将其作为无效投标处理。</w:t>
      </w:r>
    </w:p>
    <w:p w14:paraId="4839573B">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2、采取</w:t>
      </w:r>
      <w:r>
        <w:rPr>
          <w:rFonts w:hint="eastAsia" w:cs="宋体"/>
          <w:color w:val="auto"/>
          <w:lang w:eastAsia="zh-CN"/>
        </w:rPr>
        <w:t>招标</w:t>
      </w:r>
      <w:r>
        <w:rPr>
          <w:rFonts w:hint="eastAsia" w:ascii="宋体" w:hAnsi="宋体" w:eastAsia="宋体" w:cs="宋体"/>
          <w:color w:val="auto"/>
        </w:rPr>
        <w:t>人确定成交供应商的，</w:t>
      </w:r>
      <w:r>
        <w:rPr>
          <w:rFonts w:hint="eastAsia" w:cs="宋体"/>
          <w:color w:val="auto"/>
          <w:lang w:eastAsia="zh-CN"/>
        </w:rPr>
        <w:t>招标</w:t>
      </w:r>
      <w:r>
        <w:rPr>
          <w:rFonts w:hint="eastAsia" w:ascii="宋体" w:hAnsi="宋体" w:eastAsia="宋体" w:cs="宋体"/>
          <w:color w:val="auto"/>
        </w:rPr>
        <w:t>代理机构应当在评审结束后2个工作日内将评审报告送</w:t>
      </w:r>
      <w:r>
        <w:rPr>
          <w:rFonts w:hint="eastAsia" w:cs="宋体"/>
          <w:color w:val="auto"/>
          <w:lang w:eastAsia="zh-CN"/>
        </w:rPr>
        <w:t>招标</w:t>
      </w:r>
      <w:r>
        <w:rPr>
          <w:rFonts w:hint="eastAsia" w:ascii="宋体" w:hAnsi="宋体" w:eastAsia="宋体" w:cs="宋体"/>
          <w:color w:val="auto"/>
        </w:rPr>
        <w:t>人确认。</w:t>
      </w:r>
      <w:r>
        <w:rPr>
          <w:rFonts w:hint="eastAsia" w:cs="宋体"/>
          <w:color w:val="auto"/>
          <w:lang w:eastAsia="zh-CN"/>
        </w:rPr>
        <w:t>招标</w:t>
      </w:r>
      <w:r>
        <w:rPr>
          <w:rFonts w:hint="eastAsia" w:ascii="宋体" w:hAnsi="宋体" w:eastAsia="宋体" w:cs="宋体"/>
          <w:color w:val="auto"/>
        </w:rPr>
        <w:t>人应当在收到评审报告后5个工作日内，从评审报告提出的成交候选人中，</w:t>
      </w:r>
      <w:r>
        <w:rPr>
          <w:rFonts w:hint="eastAsia" w:ascii="宋体" w:hAnsi="宋体" w:eastAsia="宋体" w:cs="宋体"/>
          <w:color w:val="auto"/>
          <w:highlight w:val="yellow"/>
        </w:rPr>
        <w:t>根据</w:t>
      </w:r>
      <w:r>
        <w:rPr>
          <w:rFonts w:hint="eastAsia" w:cs="宋体"/>
          <w:color w:val="auto"/>
          <w:highlight w:val="yellow"/>
          <w:lang w:val="en-US" w:eastAsia="zh-CN"/>
        </w:rPr>
        <w:t>报价从低到高</w:t>
      </w:r>
      <w:r>
        <w:rPr>
          <w:rFonts w:hint="eastAsia" w:ascii="宋体" w:hAnsi="宋体" w:eastAsia="宋体" w:cs="宋体"/>
          <w:color w:val="auto"/>
          <w:highlight w:val="yellow"/>
        </w:rPr>
        <w:t>原则确定成交供应商</w:t>
      </w:r>
      <w:r>
        <w:rPr>
          <w:rFonts w:hint="eastAsia" w:ascii="宋体" w:hAnsi="宋体" w:eastAsia="宋体" w:cs="宋体"/>
          <w:color w:val="auto"/>
        </w:rPr>
        <w:t>。</w:t>
      </w:r>
      <w:r>
        <w:rPr>
          <w:rFonts w:hint="eastAsia" w:cs="宋体"/>
          <w:color w:val="auto"/>
          <w:lang w:eastAsia="zh-CN"/>
        </w:rPr>
        <w:t>招标</w:t>
      </w:r>
      <w:r>
        <w:rPr>
          <w:rFonts w:hint="eastAsia" w:ascii="宋体" w:hAnsi="宋体" w:eastAsia="宋体" w:cs="宋体"/>
          <w:color w:val="auto"/>
        </w:rPr>
        <w:t>人逾期未确定成交供应商且不提出异议的。</w:t>
      </w:r>
      <w:r>
        <w:rPr>
          <w:rFonts w:hint="eastAsia" w:cs="宋体"/>
          <w:color w:val="auto"/>
          <w:lang w:eastAsia="zh-CN"/>
        </w:rPr>
        <w:t>招标</w:t>
      </w:r>
      <w:r>
        <w:rPr>
          <w:rFonts w:hint="eastAsia" w:ascii="宋体" w:hAnsi="宋体" w:eastAsia="宋体" w:cs="宋体"/>
          <w:color w:val="auto"/>
        </w:rPr>
        <w:t>人也可以授权</w:t>
      </w:r>
      <w:r>
        <w:rPr>
          <w:rFonts w:hint="eastAsia" w:ascii="宋体" w:hAnsi="宋体" w:eastAsia="宋体" w:cs="宋体"/>
          <w:color w:val="auto"/>
          <w:lang w:eastAsia="zh-CN"/>
        </w:rPr>
        <w:t>评审小组</w:t>
      </w:r>
      <w:r>
        <w:rPr>
          <w:rFonts w:hint="eastAsia" w:ascii="宋体" w:hAnsi="宋体" w:eastAsia="宋体" w:cs="宋体"/>
          <w:color w:val="auto"/>
        </w:rPr>
        <w:t>直接确定成交供应商。</w:t>
      </w:r>
    </w:p>
    <w:p w14:paraId="333926F3">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71" w:name="_Toc108545964"/>
      <w:bookmarkStart w:id="72" w:name="_Toc1719"/>
      <w:r>
        <w:rPr>
          <w:rFonts w:hint="eastAsia" w:ascii="宋体" w:hAnsi="宋体" w:eastAsia="宋体" w:cs="宋体"/>
          <w:color w:val="auto"/>
          <w:sz w:val="24"/>
          <w:szCs w:val="24"/>
        </w:rPr>
        <w:t>六、评审依据</w:t>
      </w:r>
      <w:bookmarkEnd w:id="71"/>
      <w:bookmarkEnd w:id="72"/>
    </w:p>
    <w:p w14:paraId="0FA95DFE">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评审的依据为</w:t>
      </w:r>
      <w:r>
        <w:rPr>
          <w:rFonts w:hint="eastAsia" w:cs="宋体"/>
          <w:color w:val="auto"/>
          <w:lang w:eastAsia="zh-CN"/>
        </w:rPr>
        <w:t>招标</w:t>
      </w:r>
      <w:r>
        <w:rPr>
          <w:rFonts w:hint="eastAsia" w:ascii="宋体" w:hAnsi="宋体" w:eastAsia="宋体" w:cs="宋体"/>
          <w:color w:val="auto"/>
        </w:rPr>
        <w:t>通知书和响应文件（含有效的补充文件）。</w:t>
      </w:r>
      <w:r>
        <w:rPr>
          <w:rFonts w:hint="eastAsia" w:ascii="宋体" w:hAnsi="宋体" w:eastAsia="宋体" w:cs="宋体"/>
          <w:color w:val="auto"/>
          <w:lang w:eastAsia="zh-CN"/>
        </w:rPr>
        <w:t>评审小组</w:t>
      </w:r>
      <w:r>
        <w:rPr>
          <w:rFonts w:hint="eastAsia" w:ascii="宋体" w:hAnsi="宋体" w:eastAsia="宋体" w:cs="宋体"/>
          <w:color w:val="auto"/>
        </w:rPr>
        <w:t>判断响应文件对</w:t>
      </w:r>
      <w:r>
        <w:rPr>
          <w:rFonts w:hint="eastAsia" w:cs="宋体"/>
          <w:color w:val="auto"/>
          <w:lang w:eastAsia="zh-CN"/>
        </w:rPr>
        <w:t>招标</w:t>
      </w:r>
      <w:r>
        <w:rPr>
          <w:rFonts w:hint="eastAsia" w:ascii="宋体" w:hAnsi="宋体" w:eastAsia="宋体" w:cs="宋体"/>
          <w:color w:val="auto"/>
        </w:rPr>
        <w:t>通知书的响应，仅基于响应文件本身而不靠外部证据。</w:t>
      </w:r>
    </w:p>
    <w:p w14:paraId="42F876F6">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73" w:name="_Toc108545965"/>
      <w:bookmarkStart w:id="74" w:name="_Toc342913395"/>
      <w:bookmarkStart w:id="75" w:name="_Toc487204785"/>
      <w:bookmarkStart w:id="76" w:name="_Toc102227321"/>
      <w:bookmarkStart w:id="77" w:name="_Toc426965636"/>
      <w:r>
        <w:rPr>
          <w:rFonts w:hint="eastAsia" w:ascii="宋体" w:hAnsi="宋体" w:eastAsia="宋体" w:cs="宋体"/>
          <w:color w:val="auto"/>
          <w:sz w:val="24"/>
          <w:szCs w:val="24"/>
        </w:rPr>
        <w:t>七、成交通知</w:t>
      </w:r>
      <w:bookmarkEnd w:id="73"/>
      <w:bookmarkEnd w:id="74"/>
      <w:bookmarkEnd w:id="75"/>
      <w:bookmarkEnd w:id="76"/>
      <w:bookmarkEnd w:id="77"/>
    </w:p>
    <w:p w14:paraId="1E146633">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（一）成交供应商确定后，</w:t>
      </w:r>
      <w:r>
        <w:rPr>
          <w:rFonts w:hint="eastAsia" w:cs="宋体"/>
          <w:color w:val="auto"/>
          <w:lang w:eastAsia="zh-CN"/>
        </w:rPr>
        <w:t>招标</w:t>
      </w:r>
      <w:r>
        <w:rPr>
          <w:rFonts w:hint="eastAsia" w:ascii="宋体" w:hAnsi="宋体" w:eastAsia="宋体" w:cs="宋体"/>
          <w:color w:val="auto"/>
        </w:rPr>
        <w:t>代理机构将在“行采家(</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"https://www.gec123.com/" </w:instrText>
      </w:r>
      <w:r>
        <w:rPr>
          <w:rFonts w:hint="eastAsia" w:ascii="宋体" w:hAnsi="宋体" w:eastAsia="宋体" w:cs="宋体"/>
          <w:color w:val="auto"/>
        </w:rPr>
        <w:fldChar w:fldCharType="separate"/>
      </w:r>
      <w:r>
        <w:rPr>
          <w:rFonts w:hint="eastAsia" w:ascii="宋体" w:hAnsi="宋体" w:eastAsia="宋体" w:cs="宋体"/>
          <w:color w:val="auto"/>
        </w:rPr>
        <w:t>https://www.gec123.com</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"http://www.cqgp.gov.cn）上发布成交结果公示。" </w:instrText>
      </w:r>
      <w:r>
        <w:rPr>
          <w:rFonts w:hint="eastAsia" w:ascii="宋体" w:hAnsi="宋体" w:eastAsia="宋体" w:cs="宋体"/>
          <w:color w:val="auto"/>
        </w:rPr>
        <w:fldChar w:fldCharType="separate"/>
      </w:r>
      <w:r>
        <w:rPr>
          <w:rFonts w:hint="eastAsia" w:ascii="宋体" w:hAnsi="宋体" w:eastAsia="宋体" w:cs="宋体"/>
          <w:color w:val="auto"/>
        </w:rPr>
        <w:t>上发布成交结果公示。</w:t>
      </w:r>
      <w:r>
        <w:rPr>
          <w:rFonts w:hint="eastAsia" w:ascii="宋体" w:hAnsi="宋体" w:eastAsia="宋体" w:cs="宋体"/>
          <w:color w:val="auto"/>
        </w:rPr>
        <w:fldChar w:fldCharType="end"/>
      </w:r>
    </w:p>
    <w:p w14:paraId="0B685AB3">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（二）结果公告发出同时，</w:t>
      </w:r>
      <w:r>
        <w:rPr>
          <w:rFonts w:hint="eastAsia" w:cs="宋体"/>
          <w:color w:val="auto"/>
          <w:lang w:eastAsia="zh-CN"/>
        </w:rPr>
        <w:t>招标</w:t>
      </w:r>
      <w:r>
        <w:rPr>
          <w:rFonts w:hint="eastAsia" w:ascii="宋体" w:hAnsi="宋体" w:eastAsia="宋体" w:cs="宋体"/>
          <w:color w:val="auto"/>
        </w:rPr>
        <w:t>代理机构将以书面形式发出《成交通知书》。《成交通知书》一经发出即发生法律效力。</w:t>
      </w:r>
    </w:p>
    <w:p w14:paraId="6D32BE8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（三）《成交通知书》将作为签订合同的依据。</w:t>
      </w:r>
    </w:p>
    <w:p w14:paraId="28C115D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（四）如有供应商对成交结果提出质疑的，在质疑处理完毕后发出成交通知书。</w:t>
      </w:r>
    </w:p>
    <w:p w14:paraId="5FFB16FD">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78" w:name="_Toc487204786"/>
      <w:bookmarkStart w:id="79" w:name="_Toc426965637"/>
      <w:bookmarkStart w:id="80" w:name="_Toc3695"/>
      <w:bookmarkStart w:id="81" w:name="_Toc108545966"/>
      <w:r>
        <w:rPr>
          <w:rFonts w:hint="eastAsia" w:ascii="宋体" w:hAnsi="宋体" w:eastAsia="宋体" w:cs="宋体"/>
          <w:color w:val="auto"/>
          <w:sz w:val="24"/>
          <w:szCs w:val="24"/>
        </w:rPr>
        <w:t>八、关于质疑和投诉</w:t>
      </w:r>
      <w:bookmarkEnd w:id="78"/>
      <w:bookmarkEnd w:id="79"/>
      <w:bookmarkEnd w:id="80"/>
      <w:bookmarkEnd w:id="81"/>
    </w:p>
    <w:p w14:paraId="1BF584FC">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（一）质疑内容、时限</w:t>
      </w:r>
    </w:p>
    <w:p w14:paraId="2926A5AC">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1、供应商对成交结果有异议的，应当在结果预公示发布之日起七个工作日内以书面形式向</w:t>
      </w:r>
      <w:r>
        <w:rPr>
          <w:rFonts w:hint="eastAsia" w:cs="宋体"/>
          <w:color w:val="auto"/>
          <w:lang w:eastAsia="zh-CN"/>
        </w:rPr>
        <w:t>招标</w:t>
      </w:r>
      <w:r>
        <w:rPr>
          <w:rFonts w:hint="eastAsia" w:ascii="宋体" w:hAnsi="宋体" w:eastAsia="宋体" w:cs="宋体"/>
          <w:color w:val="auto"/>
        </w:rPr>
        <w:t>人、</w:t>
      </w:r>
      <w:r>
        <w:rPr>
          <w:rFonts w:hint="eastAsia" w:cs="宋体"/>
          <w:color w:val="auto"/>
          <w:lang w:eastAsia="zh-CN"/>
        </w:rPr>
        <w:t>招标</w:t>
      </w:r>
      <w:r>
        <w:rPr>
          <w:rFonts w:hint="eastAsia" w:ascii="宋体" w:hAnsi="宋体" w:eastAsia="宋体" w:cs="宋体"/>
          <w:color w:val="auto"/>
        </w:rPr>
        <w:t>代理机构提出质疑，并附相关证明材料。</w:t>
      </w:r>
    </w:p>
    <w:p w14:paraId="42EDB1AF">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2、供应商对</w:t>
      </w:r>
      <w:r>
        <w:rPr>
          <w:rFonts w:hint="eastAsia" w:cs="宋体"/>
          <w:color w:val="auto"/>
          <w:lang w:eastAsia="zh-CN"/>
        </w:rPr>
        <w:t>招标</w:t>
      </w:r>
      <w:r>
        <w:rPr>
          <w:rFonts w:hint="eastAsia" w:ascii="宋体" w:hAnsi="宋体" w:eastAsia="宋体" w:cs="宋体"/>
          <w:color w:val="auto"/>
        </w:rPr>
        <w:t>通知书中供应商特定资格条件、技术质量和商务要求、评审标准及评审细则有异议的，应主要向</w:t>
      </w:r>
      <w:r>
        <w:rPr>
          <w:rFonts w:hint="eastAsia" w:cs="宋体"/>
          <w:color w:val="auto"/>
          <w:lang w:eastAsia="zh-CN"/>
        </w:rPr>
        <w:t>招标</w:t>
      </w:r>
      <w:r>
        <w:rPr>
          <w:rFonts w:hint="eastAsia" w:ascii="宋体" w:hAnsi="宋体" w:eastAsia="宋体" w:cs="宋体"/>
          <w:color w:val="auto"/>
        </w:rPr>
        <w:t>人提出质疑，其他问题可向</w:t>
      </w:r>
      <w:r>
        <w:rPr>
          <w:rFonts w:hint="eastAsia" w:cs="宋体"/>
          <w:color w:val="auto"/>
          <w:lang w:eastAsia="zh-CN"/>
        </w:rPr>
        <w:t>招标</w:t>
      </w:r>
      <w:r>
        <w:rPr>
          <w:rFonts w:hint="eastAsia" w:ascii="宋体" w:hAnsi="宋体" w:eastAsia="宋体" w:cs="宋体"/>
          <w:color w:val="auto"/>
        </w:rPr>
        <w:t>代理机构提出质疑。</w:t>
      </w:r>
    </w:p>
    <w:p w14:paraId="5360807D">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（二）质疑答复</w:t>
      </w:r>
    </w:p>
    <w:p w14:paraId="5C652DB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cs="宋体"/>
          <w:color w:val="auto"/>
          <w:lang w:eastAsia="zh-CN"/>
        </w:rPr>
        <w:t>招标</w:t>
      </w:r>
      <w:r>
        <w:rPr>
          <w:rFonts w:hint="eastAsia" w:ascii="宋体" w:hAnsi="宋体" w:eastAsia="宋体" w:cs="宋体"/>
          <w:color w:val="auto"/>
        </w:rPr>
        <w:t>人、</w:t>
      </w:r>
      <w:r>
        <w:rPr>
          <w:rFonts w:hint="eastAsia" w:cs="宋体"/>
          <w:color w:val="auto"/>
          <w:lang w:eastAsia="zh-CN"/>
        </w:rPr>
        <w:t>招标</w:t>
      </w:r>
      <w:r>
        <w:rPr>
          <w:rFonts w:hint="eastAsia" w:ascii="宋体" w:hAnsi="宋体" w:eastAsia="宋体" w:cs="宋体"/>
          <w:color w:val="auto"/>
        </w:rPr>
        <w:t>代理机构将参照《政府</w:t>
      </w:r>
      <w:r>
        <w:rPr>
          <w:rFonts w:hint="eastAsia" w:cs="宋体"/>
          <w:color w:val="auto"/>
          <w:lang w:eastAsia="zh-CN"/>
        </w:rPr>
        <w:t>招标</w:t>
      </w:r>
      <w:r>
        <w:rPr>
          <w:rFonts w:hint="eastAsia" w:ascii="宋体" w:hAnsi="宋体" w:eastAsia="宋体" w:cs="宋体"/>
          <w:color w:val="auto"/>
        </w:rPr>
        <w:t>质疑和投诉办法》的相关规定对质疑内容作出答复和处理。</w:t>
      </w:r>
    </w:p>
    <w:p w14:paraId="206A7A49">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82" w:name="_Toc102227322"/>
      <w:bookmarkStart w:id="83" w:name="_Toc342913396"/>
      <w:bookmarkStart w:id="84" w:name="_Toc23427"/>
      <w:bookmarkStart w:id="85" w:name="_Toc487204787"/>
      <w:bookmarkStart w:id="86" w:name="_Toc426965638"/>
      <w:bookmarkStart w:id="87" w:name="_Toc108545967"/>
      <w:r>
        <w:rPr>
          <w:rFonts w:hint="eastAsia" w:ascii="宋体" w:hAnsi="宋体" w:eastAsia="宋体" w:cs="宋体"/>
          <w:color w:val="auto"/>
          <w:sz w:val="24"/>
          <w:szCs w:val="24"/>
        </w:rPr>
        <w:t>九、</w:t>
      </w:r>
      <w:r>
        <w:rPr>
          <w:rFonts w:hint="eastAsia" w:ascii="宋体" w:hAnsi="宋体" w:eastAsia="宋体" w:cs="宋体"/>
          <w:color w:val="auto"/>
          <w:sz w:val="24"/>
          <w:szCs w:val="24"/>
          <w:highlight w:val="none"/>
        </w:rPr>
        <w:t>签订</w:t>
      </w:r>
      <w:bookmarkEnd w:id="82"/>
      <w:r>
        <w:rPr>
          <w:rFonts w:hint="eastAsia" w:ascii="宋体" w:hAnsi="宋体" w:eastAsia="宋体" w:cs="宋体"/>
          <w:color w:val="auto"/>
          <w:sz w:val="24"/>
          <w:szCs w:val="24"/>
          <w:highlight w:val="none"/>
        </w:rPr>
        <w:t>合同</w:t>
      </w:r>
      <w:bookmarkEnd w:id="83"/>
      <w:bookmarkEnd w:id="84"/>
      <w:bookmarkEnd w:id="85"/>
      <w:bookmarkEnd w:id="86"/>
      <w:bookmarkEnd w:id="87"/>
    </w:p>
    <w:p w14:paraId="05A67F3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w:t>
      </w:r>
      <w:r>
        <w:rPr>
          <w:rFonts w:hint="eastAsia" w:cs="宋体"/>
          <w:color w:val="auto"/>
          <w:highlight w:val="none"/>
          <w:lang w:eastAsia="zh-CN"/>
        </w:rPr>
        <w:t>招标</w:t>
      </w:r>
      <w:r>
        <w:rPr>
          <w:rFonts w:hint="eastAsia" w:ascii="宋体" w:hAnsi="宋体" w:eastAsia="宋体" w:cs="宋体"/>
          <w:color w:val="auto"/>
          <w:highlight w:val="none"/>
        </w:rPr>
        <w:t>人与成交供应商应当在成交通知书发出之日起</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日内，按照</w:t>
      </w:r>
      <w:r>
        <w:rPr>
          <w:rFonts w:hint="eastAsia" w:cs="宋体"/>
          <w:color w:val="auto"/>
          <w:highlight w:val="none"/>
          <w:lang w:eastAsia="zh-CN"/>
        </w:rPr>
        <w:t>招标</w:t>
      </w:r>
      <w:r>
        <w:rPr>
          <w:rFonts w:hint="eastAsia" w:ascii="宋体" w:hAnsi="宋体" w:eastAsia="宋体" w:cs="宋体"/>
          <w:color w:val="auto"/>
          <w:highlight w:val="none"/>
        </w:rPr>
        <w:t>文件确定的合同文本以及</w:t>
      </w:r>
      <w:r>
        <w:rPr>
          <w:rFonts w:hint="eastAsia" w:cs="宋体"/>
          <w:color w:val="auto"/>
          <w:highlight w:val="none"/>
          <w:lang w:eastAsia="zh-CN"/>
        </w:rPr>
        <w:t>招标</w:t>
      </w:r>
      <w:r>
        <w:rPr>
          <w:rFonts w:hint="eastAsia" w:ascii="宋体" w:hAnsi="宋体" w:eastAsia="宋体" w:cs="宋体"/>
          <w:color w:val="auto"/>
          <w:highlight w:val="none"/>
        </w:rPr>
        <w:t>标的、规格型号、</w:t>
      </w:r>
      <w:r>
        <w:rPr>
          <w:rFonts w:hint="eastAsia" w:cs="宋体"/>
          <w:color w:val="auto"/>
          <w:highlight w:val="none"/>
          <w:lang w:eastAsia="zh-CN"/>
        </w:rPr>
        <w:t>招标</w:t>
      </w:r>
      <w:r>
        <w:rPr>
          <w:rFonts w:hint="eastAsia" w:ascii="宋体" w:hAnsi="宋体" w:eastAsia="宋体" w:cs="宋体"/>
          <w:color w:val="auto"/>
          <w:highlight w:val="none"/>
        </w:rPr>
        <w:t>金额、</w:t>
      </w:r>
      <w:r>
        <w:rPr>
          <w:rFonts w:hint="eastAsia" w:cs="宋体"/>
          <w:color w:val="auto"/>
          <w:highlight w:val="none"/>
          <w:lang w:eastAsia="zh-CN"/>
        </w:rPr>
        <w:t>招标</w:t>
      </w:r>
      <w:r>
        <w:rPr>
          <w:rFonts w:hint="eastAsia" w:ascii="宋体" w:hAnsi="宋体" w:eastAsia="宋体" w:cs="宋体"/>
          <w:color w:val="auto"/>
          <w:highlight w:val="none"/>
        </w:rPr>
        <w:t>数量、技术和服务要求等事项签订</w:t>
      </w:r>
      <w:r>
        <w:rPr>
          <w:rFonts w:hint="eastAsia" w:cs="宋体"/>
          <w:color w:val="auto"/>
          <w:highlight w:val="none"/>
          <w:lang w:eastAsia="zh-CN"/>
        </w:rPr>
        <w:t>招标</w:t>
      </w:r>
      <w:r>
        <w:rPr>
          <w:rFonts w:hint="eastAsia" w:ascii="宋体" w:hAnsi="宋体" w:eastAsia="宋体" w:cs="宋体"/>
          <w:color w:val="auto"/>
          <w:highlight w:val="none"/>
        </w:rPr>
        <w:t>合同。</w:t>
      </w:r>
    </w:p>
    <w:p w14:paraId="112C81E9">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w:t>
      </w:r>
      <w:r>
        <w:rPr>
          <w:rFonts w:hint="eastAsia" w:cs="宋体"/>
          <w:color w:val="auto"/>
          <w:lang w:eastAsia="zh-CN"/>
        </w:rPr>
        <w:t>招标</w:t>
      </w:r>
      <w:r>
        <w:rPr>
          <w:rFonts w:hint="eastAsia" w:ascii="宋体" w:hAnsi="宋体" w:eastAsia="宋体" w:cs="宋体"/>
          <w:color w:val="auto"/>
        </w:rPr>
        <w:t>通知书、成交供应商的响应文件及有效承诺文件等，均为签订合同的依据。</w:t>
      </w:r>
    </w:p>
    <w:p w14:paraId="719FA3AE">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（三）成交供应商未按照</w:t>
      </w:r>
      <w:r>
        <w:rPr>
          <w:rFonts w:hint="eastAsia" w:cs="宋体"/>
          <w:color w:val="auto"/>
          <w:lang w:eastAsia="zh-CN"/>
        </w:rPr>
        <w:t>招标</w:t>
      </w:r>
      <w:r>
        <w:rPr>
          <w:rFonts w:hint="eastAsia" w:ascii="宋体" w:hAnsi="宋体" w:eastAsia="宋体" w:cs="宋体"/>
          <w:color w:val="auto"/>
        </w:rPr>
        <w:t>通知书确定的事项签订合同，或者与</w:t>
      </w:r>
      <w:r>
        <w:rPr>
          <w:rFonts w:hint="eastAsia" w:cs="宋体"/>
          <w:color w:val="auto"/>
          <w:lang w:eastAsia="zh-CN"/>
        </w:rPr>
        <w:t>招标</w:t>
      </w:r>
      <w:r>
        <w:rPr>
          <w:rFonts w:hint="eastAsia" w:ascii="宋体" w:hAnsi="宋体" w:eastAsia="宋体" w:cs="宋体"/>
          <w:color w:val="auto"/>
        </w:rPr>
        <w:t>人另行订立背离合同实质性内容协议的，将承担相关法律责任。</w:t>
      </w:r>
    </w:p>
    <w:p w14:paraId="723DFECB">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（四）</w:t>
      </w:r>
      <w:r>
        <w:rPr>
          <w:rFonts w:hint="eastAsia" w:cs="宋体"/>
          <w:color w:val="auto"/>
          <w:lang w:eastAsia="zh-CN"/>
        </w:rPr>
        <w:t>招标</w:t>
      </w:r>
      <w:r>
        <w:rPr>
          <w:rFonts w:hint="eastAsia" w:ascii="宋体" w:hAnsi="宋体" w:eastAsia="宋体" w:cs="宋体"/>
          <w:color w:val="auto"/>
        </w:rPr>
        <w:t>人不得向成交供应商提出超出</w:t>
      </w:r>
      <w:r>
        <w:rPr>
          <w:rFonts w:hint="eastAsia" w:cs="宋体"/>
          <w:color w:val="auto"/>
          <w:lang w:eastAsia="zh-CN"/>
        </w:rPr>
        <w:t>招标</w:t>
      </w:r>
      <w:r>
        <w:rPr>
          <w:rFonts w:hint="eastAsia" w:ascii="宋体" w:hAnsi="宋体" w:eastAsia="宋体" w:cs="宋体"/>
          <w:color w:val="auto"/>
        </w:rPr>
        <w:t>以外的任何要求作为签订合同的条件，不得与成交供应商订立背离</w:t>
      </w:r>
      <w:r>
        <w:rPr>
          <w:rFonts w:hint="eastAsia" w:cs="宋体"/>
          <w:color w:val="auto"/>
          <w:lang w:eastAsia="zh-CN"/>
        </w:rPr>
        <w:t>招标</w:t>
      </w:r>
      <w:r>
        <w:rPr>
          <w:rFonts w:hint="eastAsia" w:ascii="宋体" w:hAnsi="宋体" w:eastAsia="宋体" w:cs="宋体"/>
          <w:color w:val="auto"/>
        </w:rPr>
        <w:t>确定的合同文本以及</w:t>
      </w:r>
      <w:r>
        <w:rPr>
          <w:rFonts w:hint="eastAsia" w:cs="宋体"/>
          <w:color w:val="auto"/>
          <w:lang w:eastAsia="zh-CN"/>
        </w:rPr>
        <w:t>招标</w:t>
      </w:r>
      <w:r>
        <w:rPr>
          <w:rFonts w:hint="eastAsia" w:ascii="宋体" w:hAnsi="宋体" w:eastAsia="宋体" w:cs="宋体"/>
          <w:color w:val="auto"/>
        </w:rPr>
        <w:t>标的、规格型号、</w:t>
      </w:r>
      <w:r>
        <w:rPr>
          <w:rFonts w:hint="eastAsia" w:cs="宋体"/>
          <w:color w:val="auto"/>
          <w:lang w:eastAsia="zh-CN"/>
        </w:rPr>
        <w:t>招标</w:t>
      </w:r>
      <w:r>
        <w:rPr>
          <w:rFonts w:hint="eastAsia" w:ascii="宋体" w:hAnsi="宋体" w:eastAsia="宋体" w:cs="宋体"/>
          <w:color w:val="auto"/>
        </w:rPr>
        <w:t>金额、</w:t>
      </w:r>
      <w:r>
        <w:rPr>
          <w:rFonts w:hint="eastAsia" w:cs="宋体"/>
          <w:color w:val="auto"/>
          <w:lang w:eastAsia="zh-CN"/>
        </w:rPr>
        <w:t>招标</w:t>
      </w:r>
      <w:r>
        <w:rPr>
          <w:rFonts w:hint="eastAsia" w:ascii="宋体" w:hAnsi="宋体" w:eastAsia="宋体" w:cs="宋体"/>
          <w:color w:val="auto"/>
        </w:rPr>
        <w:t>数量、技术和服务要求等实质性内容的协议。</w:t>
      </w:r>
    </w:p>
    <w:p w14:paraId="448463A1">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（五）除不可抗力等因素外，成交通知书发出后，</w:t>
      </w:r>
      <w:r>
        <w:rPr>
          <w:rFonts w:hint="eastAsia" w:cs="宋体"/>
          <w:color w:val="auto"/>
          <w:lang w:eastAsia="zh-CN"/>
        </w:rPr>
        <w:t>招标</w:t>
      </w:r>
      <w:r>
        <w:rPr>
          <w:rFonts w:hint="eastAsia" w:ascii="宋体" w:hAnsi="宋体" w:eastAsia="宋体" w:cs="宋体"/>
          <w:color w:val="auto"/>
        </w:rPr>
        <w:t>人改变成交结果，或者成交供应商无正当理由拒绝签订</w:t>
      </w:r>
      <w:r>
        <w:rPr>
          <w:rFonts w:hint="eastAsia" w:cs="宋体"/>
          <w:color w:val="auto"/>
          <w:lang w:eastAsia="zh-CN"/>
        </w:rPr>
        <w:t>招标</w:t>
      </w:r>
      <w:r>
        <w:rPr>
          <w:rFonts w:hint="eastAsia" w:ascii="宋体" w:hAnsi="宋体" w:eastAsia="宋体" w:cs="宋体"/>
          <w:color w:val="auto"/>
        </w:rPr>
        <w:t>合同的，应当承担相应的法律责任。</w:t>
      </w:r>
    </w:p>
    <w:p w14:paraId="75BBE80B">
      <w:pPr>
        <w:pageBreakBefore w:val="0"/>
        <w:kinsoku/>
        <w:overflowPunct/>
        <w:topLinePunct w:val="0"/>
        <w:bidi w:val="0"/>
        <w:spacing w:line="336" w:lineRule="auto"/>
        <w:ind w:firstLine="720" w:firstLineChars="300"/>
        <w:textAlignment w:val="auto"/>
        <w:rPr>
          <w:rFonts w:hint="eastAsia" w:ascii="宋体" w:hAnsi="宋体" w:eastAsia="宋体" w:cs="宋体"/>
          <w:color w:val="auto"/>
        </w:rPr>
        <w:sectPr>
          <w:headerReference r:id="rId11" w:type="default"/>
          <w:pgSz w:w="11907" w:h="16840"/>
          <w:pgMar w:top="1440" w:right="1080" w:bottom="1440" w:left="1080" w:header="454" w:footer="567" w:gutter="0"/>
          <w:pgNumType w:fmt="numberInDash"/>
          <w:cols w:space="720" w:num="1"/>
          <w:docGrid w:type="linesAndChars" w:linePitch="381" w:charSpace="0"/>
        </w:sectPr>
      </w:pPr>
    </w:p>
    <w:p w14:paraId="277936C7">
      <w:pPr>
        <w:pStyle w:val="4"/>
        <w:pageBreakBefore w:val="0"/>
        <w:kinsoku/>
        <w:overflowPunct/>
        <w:topLinePunct w:val="0"/>
        <w:bidi w:val="0"/>
        <w:spacing w:line="336" w:lineRule="auto"/>
        <w:jc w:val="center"/>
        <w:textAlignment w:val="auto"/>
        <w:rPr>
          <w:rStyle w:val="38"/>
          <w:rFonts w:hint="eastAsia" w:ascii="宋体" w:hAnsi="宋体" w:eastAsia="宋体" w:cs="宋体"/>
          <w:b/>
          <w:bCs w:val="0"/>
          <w:color w:val="auto"/>
        </w:rPr>
      </w:pPr>
      <w:bookmarkStart w:id="88" w:name="_Toc108545968"/>
      <w:r>
        <w:rPr>
          <w:rStyle w:val="38"/>
          <w:rFonts w:hint="eastAsia" w:ascii="宋体" w:hAnsi="宋体" w:eastAsia="宋体" w:cs="宋体"/>
          <w:b/>
          <w:bCs w:val="0"/>
          <w:color w:val="auto"/>
        </w:rPr>
        <w:t xml:space="preserve">第三篇  </w:t>
      </w:r>
      <w:r>
        <w:rPr>
          <w:rStyle w:val="38"/>
          <w:rFonts w:hint="eastAsia" w:ascii="宋体" w:hAnsi="宋体" w:cs="宋体"/>
          <w:b/>
          <w:bCs w:val="0"/>
          <w:color w:val="auto"/>
        </w:rPr>
        <w:t>招标</w:t>
      </w:r>
      <w:r>
        <w:rPr>
          <w:rStyle w:val="38"/>
          <w:rFonts w:hint="eastAsia" w:ascii="宋体" w:hAnsi="宋体" w:eastAsia="宋体" w:cs="宋体"/>
          <w:b/>
          <w:bCs w:val="0"/>
          <w:color w:val="auto"/>
        </w:rPr>
        <w:t>服务</w:t>
      </w:r>
      <w:bookmarkEnd w:id="36"/>
      <w:r>
        <w:rPr>
          <w:rStyle w:val="38"/>
          <w:rFonts w:hint="eastAsia" w:ascii="宋体" w:hAnsi="宋体" w:eastAsia="宋体" w:cs="宋体"/>
          <w:b/>
          <w:bCs w:val="0"/>
          <w:color w:val="auto"/>
        </w:rPr>
        <w:t>需求</w:t>
      </w:r>
      <w:bookmarkEnd w:id="88"/>
    </w:p>
    <w:p w14:paraId="10449E24">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89" w:name="_Toc55403965"/>
      <w:bookmarkStart w:id="90" w:name="_Toc108545969"/>
      <w:bookmarkStart w:id="91" w:name="_Toc83805584"/>
      <w:bookmarkStart w:id="92" w:name="_Toc11115"/>
      <w:bookmarkStart w:id="93" w:name="_Toc78793920"/>
      <w:bookmarkStart w:id="94" w:name="_Toc37860275"/>
      <w:bookmarkStart w:id="95" w:name="_Toc9220"/>
      <w:bookmarkStart w:id="96" w:name="_Toc91171606"/>
      <w:bookmarkStart w:id="97" w:name="_Toc128744993"/>
      <w:bookmarkStart w:id="98" w:name="_Toc12789058"/>
      <w:r>
        <w:rPr>
          <w:rFonts w:hint="eastAsia" w:ascii="宋体" w:hAnsi="宋体" w:eastAsia="宋体" w:cs="宋体"/>
          <w:color w:val="auto"/>
          <w:sz w:val="24"/>
          <w:szCs w:val="24"/>
        </w:rPr>
        <w:t>一</w:t>
      </w:r>
      <w:r>
        <w:rPr>
          <w:rFonts w:hint="eastAsia" w:ascii="宋体" w:hAnsi="宋体" w:eastAsia="宋体" w:cs="宋体"/>
          <w:color w:val="auto"/>
          <w:sz w:val="24"/>
          <w:szCs w:val="24"/>
          <w:highlight w:val="none"/>
        </w:rPr>
        <w:t>、项目基本概况介绍</w:t>
      </w:r>
      <w:bookmarkEnd w:id="89"/>
      <w:bookmarkEnd w:id="90"/>
    </w:p>
    <w:p w14:paraId="1B64FE0C">
      <w:pPr>
        <w:pageBreakBefore w:val="0"/>
        <w:kinsoku/>
        <w:overflowPunct/>
        <w:topLinePunct w:val="0"/>
        <w:bidi w:val="0"/>
        <w:spacing w:line="336"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rPr>
        <w:t>（一）工程名称：含谷镇一般不可移动文物公信堂修缮施工项目</w:t>
      </w:r>
    </w:p>
    <w:p w14:paraId="7F17CFF6">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（二）工程地址：含谷镇</w:t>
      </w:r>
    </w:p>
    <w:p w14:paraId="33BE09F2">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（三）</w:t>
      </w:r>
      <w:r>
        <w:rPr>
          <w:rFonts w:hint="eastAsia" w:ascii="宋体" w:hAnsi="宋体" w:eastAsia="宋体" w:cs="宋体"/>
          <w:color w:val="auto"/>
          <w:lang w:eastAsia="zh-CN"/>
        </w:rPr>
        <w:t>项目概况</w:t>
      </w:r>
      <w:r>
        <w:rPr>
          <w:rFonts w:hint="eastAsia" w:ascii="宋体" w:hAnsi="宋体" w:eastAsia="宋体" w:cs="宋体"/>
          <w:color w:val="auto"/>
        </w:rPr>
        <w:t>：含谷镇公信堂始建于清朝道光年间，坐落于含湖村，占地面积 3147 平方米，建筑面积1101平方米。根据高新区公共服务局专家意见：“1.含谷镇公信堂保存完好，建筑装饰精美，是重庆地区少见的合院式教堂建筑，是天主教中国化的重要物证，具有重要的历史与艺术价值，应当重点予以保护。2.现存文物建筑为门厅、堂屋、前院左右厢房、后院左厢房。3.建议尽快编制文物保护修缮设计方案与施工图，尽快实施抢险加固，后期可根据情况分步实施，相关方案编制单位与施工单位应具有相应资质。公信堂占地面积 3147 平方米，建筑面积1101平方米，设计面积约600平方米。为区级文物保护单位，并择机申报市级文物保护单位”。</w:t>
      </w:r>
    </w:p>
    <w:p w14:paraId="502719E2">
      <w:pPr>
        <w:pStyle w:val="2"/>
        <w:rPr>
          <w:rFonts w:hint="eastAsia"/>
          <w:lang w:val="en-US" w:eastAsia="zh-CN"/>
        </w:rPr>
      </w:pPr>
    </w:p>
    <w:p w14:paraId="56345D5B">
      <w:pPr>
        <w:pageBreakBefore w:val="0"/>
        <w:kinsoku/>
        <w:overflowPunct/>
        <w:topLinePunct w:val="0"/>
        <w:bidi w:val="0"/>
        <w:spacing w:line="336" w:lineRule="auto"/>
        <w:ind w:firstLine="480" w:firstLineChars="200"/>
        <w:textAlignment w:val="auto"/>
        <w:rPr>
          <w:rFonts w:hint="eastAsia" w:ascii="宋体" w:hAnsi="宋体" w:eastAsia="宋体" w:cs="宋体"/>
          <w:b/>
          <w:bCs/>
          <w:color w:val="FF0000"/>
          <w:u w:val="single"/>
        </w:rPr>
      </w:pPr>
      <w:r>
        <w:rPr>
          <w:rFonts w:hint="eastAsia" w:ascii="宋体" w:hAnsi="宋体" w:eastAsia="宋体" w:cs="宋体"/>
          <w:color w:val="auto"/>
        </w:rPr>
        <w:t>（四）</w:t>
      </w:r>
      <w:r>
        <w:rPr>
          <w:rFonts w:hint="eastAsia" w:ascii="宋体" w:hAnsi="宋体" w:eastAsia="宋体" w:cs="宋体"/>
          <w:color w:val="auto"/>
          <w:lang w:val="en-US" w:eastAsia="zh-CN"/>
        </w:rPr>
        <w:t>计划工期：</w:t>
      </w:r>
      <w:r>
        <w:rPr>
          <w:rFonts w:hint="eastAsia" w:cs="宋体"/>
          <w:color w:val="auto"/>
          <w:lang w:val="en-US" w:eastAsia="zh-CN"/>
        </w:rPr>
        <w:t>30</w:t>
      </w:r>
      <w:r>
        <w:rPr>
          <w:rFonts w:hint="eastAsia" w:ascii="宋体" w:hAnsi="宋体" w:eastAsia="宋体" w:cs="宋体"/>
          <w:color w:val="auto"/>
          <w:lang w:val="en-US" w:eastAsia="zh-CN"/>
        </w:rPr>
        <w:t>日历天。</w:t>
      </w:r>
    </w:p>
    <w:p w14:paraId="23E39B11">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w:t>
      </w:r>
      <w:bookmarkStart w:id="99" w:name="_Toc108545970"/>
      <w:bookmarkStart w:id="100" w:name="_Toc54879125"/>
      <w:bookmarkStart w:id="101" w:name="_Toc55403966"/>
      <w:r>
        <w:rPr>
          <w:rFonts w:hint="eastAsia" w:ascii="宋体" w:hAnsi="宋体" w:eastAsia="宋体" w:cs="宋体"/>
          <w:color w:val="auto"/>
          <w:sz w:val="24"/>
          <w:szCs w:val="24"/>
          <w:lang w:eastAsia="zh-CN"/>
        </w:rPr>
        <w:t>施工要求</w:t>
      </w:r>
    </w:p>
    <w:p w14:paraId="6C328CAA">
      <w:pPr>
        <w:pageBreakBefore w:val="0"/>
        <w:kinsoku/>
        <w:overflowPunct/>
        <w:topLinePunct w:val="0"/>
        <w:bidi w:val="0"/>
        <w:spacing w:line="336"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eastAsia="zh-CN"/>
        </w:rPr>
        <w:t>1.</w:t>
      </w:r>
      <w:r>
        <w:rPr>
          <w:rFonts w:hint="eastAsia" w:ascii="宋体" w:hAnsi="宋体" w:eastAsia="宋体" w:cs="宋体"/>
          <w:color w:val="auto"/>
          <w:lang w:val="en-US" w:eastAsia="zh-CN"/>
        </w:rPr>
        <w:t>进场施工前，需签订施工安全协议。</w:t>
      </w:r>
    </w:p>
    <w:p w14:paraId="627DA659">
      <w:pPr>
        <w:pageBreakBefore w:val="0"/>
        <w:kinsoku/>
        <w:overflowPunct/>
        <w:topLinePunct w:val="0"/>
        <w:bidi w:val="0"/>
        <w:spacing w:line="336" w:lineRule="auto"/>
        <w:ind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2.</w:t>
      </w:r>
      <w:r>
        <w:rPr>
          <w:rFonts w:hint="eastAsia" w:ascii="宋体" w:hAnsi="宋体" w:eastAsia="宋体" w:cs="宋体"/>
          <w:color w:val="auto"/>
          <w:lang w:eastAsia="zh-CN"/>
        </w:rPr>
        <w:t>供应商在实施项目过程中应做到安全文明施工，并做好相应的施工安全公告及警戒标识，施工过程中发生的一切安全事故由供应商自行负责。</w:t>
      </w:r>
    </w:p>
    <w:p w14:paraId="2AD0A039">
      <w:pPr>
        <w:pageBreakBefore w:val="0"/>
        <w:kinsoku/>
        <w:overflowPunct/>
        <w:topLinePunct w:val="0"/>
        <w:bidi w:val="0"/>
        <w:spacing w:line="336" w:lineRule="auto"/>
        <w:ind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3</w:t>
      </w:r>
      <w:r>
        <w:rPr>
          <w:rFonts w:hint="eastAsia" w:ascii="宋体" w:hAnsi="宋体" w:eastAsia="宋体" w:cs="宋体"/>
          <w:color w:val="auto"/>
          <w:lang w:eastAsia="zh-CN"/>
        </w:rPr>
        <w:t>.施工过程中注意控制灰尘、噪音、气味、环保等，夜间施工做到不扰民。因上列事项引起的投诉、纠纷、诉讼、赔偿等，由供应商自行负责。</w:t>
      </w:r>
    </w:p>
    <w:p w14:paraId="5A752085">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二、项目要求</w:t>
      </w:r>
      <w:bookmarkEnd w:id="99"/>
      <w:bookmarkEnd w:id="100"/>
      <w:bookmarkEnd w:id="101"/>
    </w:p>
    <w:p w14:paraId="22F1C127">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详见本项目</w:t>
      </w:r>
      <w:r>
        <w:rPr>
          <w:rFonts w:hint="eastAsia" w:ascii="宋体" w:hAnsi="宋体" w:eastAsia="宋体" w:cs="宋体"/>
          <w:color w:val="auto"/>
          <w:lang w:eastAsia="zh-CN"/>
        </w:rPr>
        <w:t>工程量清单及图纸（如有）</w:t>
      </w:r>
      <w:r>
        <w:rPr>
          <w:rFonts w:hint="eastAsia" w:ascii="宋体" w:hAnsi="宋体" w:eastAsia="宋体" w:cs="宋体"/>
          <w:color w:val="auto"/>
        </w:rPr>
        <w:t>随</w:t>
      </w:r>
      <w:r>
        <w:rPr>
          <w:rFonts w:hint="eastAsia" w:cs="宋体"/>
          <w:color w:val="auto"/>
          <w:lang w:eastAsia="zh-CN"/>
        </w:rPr>
        <w:t>网上询价</w:t>
      </w:r>
      <w:r>
        <w:rPr>
          <w:rFonts w:hint="eastAsia" w:ascii="宋体" w:hAnsi="宋体" w:eastAsia="宋体" w:cs="宋体"/>
          <w:color w:val="auto"/>
        </w:rPr>
        <w:t>文件在“行采家(</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"https://www.gec123.com/" </w:instrText>
      </w:r>
      <w:r>
        <w:rPr>
          <w:rFonts w:hint="eastAsia" w:ascii="宋体" w:hAnsi="宋体" w:eastAsia="宋体" w:cs="宋体"/>
          <w:color w:val="auto"/>
        </w:rPr>
        <w:fldChar w:fldCharType="separate"/>
      </w:r>
      <w:r>
        <w:rPr>
          <w:rFonts w:hint="eastAsia" w:ascii="宋体" w:hAnsi="宋体" w:eastAsia="宋体" w:cs="宋体"/>
          <w:color w:val="auto"/>
        </w:rPr>
        <w:t>https://www.gec123.com</w:t>
      </w:r>
      <w:r>
        <w:rPr>
          <w:rFonts w:hint="eastAsia" w:ascii="宋体" w:hAnsi="宋体" w:eastAsia="宋体" w:cs="宋体"/>
          <w:color w:val="auto"/>
        </w:rPr>
        <w:fldChar w:fldCharType="end"/>
      </w:r>
      <w:r>
        <w:rPr>
          <w:rFonts w:hint="eastAsia" w:ascii="宋体" w:hAnsi="宋体" w:eastAsia="宋体" w:cs="宋体"/>
          <w:color w:val="auto"/>
        </w:rPr>
        <w:t>）”上发布，各供应商需注意下载或到代理机构处领取。</w:t>
      </w:r>
    </w:p>
    <w:p w14:paraId="7E107843">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102" w:name="_Toc54879126"/>
      <w:bookmarkStart w:id="103" w:name="_Toc108545971"/>
      <w:bookmarkStart w:id="104" w:name="_Toc55403967"/>
      <w:r>
        <w:rPr>
          <w:rFonts w:hint="eastAsia" w:ascii="宋体" w:hAnsi="宋体" w:eastAsia="宋体" w:cs="宋体"/>
          <w:color w:val="auto"/>
          <w:sz w:val="24"/>
          <w:szCs w:val="24"/>
        </w:rPr>
        <w:t>三、安全要求</w:t>
      </w:r>
      <w:bookmarkEnd w:id="102"/>
      <w:bookmarkEnd w:id="103"/>
      <w:bookmarkEnd w:id="104"/>
    </w:p>
    <w:p w14:paraId="6ACAE8B8">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供应商应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w:t>
      </w:r>
      <w:r>
        <w:rPr>
          <w:rFonts w:hint="eastAsia" w:cs="宋体"/>
          <w:color w:val="auto"/>
          <w:lang w:eastAsia="zh-CN"/>
        </w:rPr>
        <w:t>招标</w:t>
      </w:r>
      <w:r>
        <w:rPr>
          <w:rFonts w:hint="eastAsia" w:ascii="宋体" w:hAnsi="宋体" w:eastAsia="宋体" w:cs="宋体"/>
          <w:color w:val="auto"/>
        </w:rPr>
        <w:t>人无关，供应商自行解决并承担相应的法律责任和财产损失。如因施工导致第三人人身、财产损失由供应商承担赔偿责任。</w:t>
      </w:r>
      <w:bookmarkStart w:id="105" w:name="_Toc49960014"/>
    </w:p>
    <w:p w14:paraId="6606211F">
      <w:pPr>
        <w:pStyle w:val="5"/>
        <w:pageBreakBefore w:val="0"/>
        <w:kinsoku/>
        <w:overflowPunct/>
        <w:topLinePunct w:val="0"/>
        <w:bidi w:val="0"/>
        <w:spacing w:before="0" w:after="0" w:line="336" w:lineRule="auto"/>
        <w:textAlignment w:val="auto"/>
        <w:rPr>
          <w:rFonts w:hint="eastAsia" w:ascii="宋体" w:hAnsi="宋体" w:eastAsia="宋体" w:cs="宋体"/>
          <w:b w:val="0"/>
          <w:bCs w:val="0"/>
          <w:color w:val="auto"/>
          <w:sz w:val="24"/>
          <w:szCs w:val="24"/>
        </w:rPr>
      </w:pPr>
      <w:bookmarkStart w:id="106" w:name="_Toc108545972"/>
      <w:r>
        <w:rPr>
          <w:rFonts w:hint="eastAsia" w:ascii="宋体" w:hAnsi="宋体" w:eastAsia="宋体" w:cs="宋体"/>
          <w:color w:val="auto"/>
          <w:sz w:val="24"/>
          <w:szCs w:val="24"/>
        </w:rPr>
        <w:t>四、踏勘现场</w:t>
      </w:r>
      <w:bookmarkEnd w:id="106"/>
    </w:p>
    <w:p w14:paraId="7BF878DD">
      <w:pPr>
        <w:pStyle w:val="4"/>
        <w:numPr>
          <w:ilvl w:val="0"/>
          <w:numId w:val="0"/>
        </w:numPr>
        <w:adjustRightInd w:val="0"/>
        <w:snapToGrid w:val="0"/>
        <w:spacing w:before="0" w:after="0" w:line="440" w:lineRule="exact"/>
        <w:ind w:firstLine="480" w:firstLineChars="200"/>
        <w:rPr>
          <w:rFonts w:ascii="宋体" w:hAnsi="宋体" w:eastAsia="宋体" w:cs="宋体"/>
          <w:b w:val="0"/>
          <w:bCs w:val="0"/>
          <w:sz w:val="24"/>
          <w:szCs w:val="24"/>
        </w:rPr>
      </w:pPr>
      <w:r>
        <w:rPr>
          <w:rFonts w:hint="eastAsia" w:ascii="宋体" w:hAnsi="宋体" w:eastAsia="宋体" w:cs="宋体"/>
          <w:b w:val="0"/>
          <w:bCs w:val="0"/>
          <w:color w:val="auto"/>
          <w:sz w:val="24"/>
          <w:szCs w:val="24"/>
        </w:rPr>
        <w:t>不组织。各供应商自行现场踏勘，以便获取本工程编制响应文件和签署合同所需的所有数据。踏勘现场所发生的所有费用（包含因踏勘现场而造成的死亡、人身伤害、财产损失和产生的其他费用）均由供应商自行承担。供应商一旦中标，供应商不得以不完全了解</w:t>
      </w:r>
    </w:p>
    <w:p w14:paraId="680DE68C">
      <w:pPr>
        <w:pStyle w:val="4"/>
        <w:numPr>
          <w:ilvl w:val="0"/>
          <w:numId w:val="0"/>
        </w:numPr>
        <w:adjustRightInd w:val="0"/>
        <w:snapToGrid w:val="0"/>
        <w:spacing w:before="0" w:after="0" w:line="440" w:lineRule="exact"/>
        <w:rPr>
          <w:rFonts w:ascii="宋体" w:hAnsi="宋体" w:eastAsia="宋体" w:cs="宋体"/>
          <w:sz w:val="24"/>
          <w:szCs w:val="16"/>
        </w:rPr>
      </w:pPr>
      <w:r>
        <w:rPr>
          <w:rFonts w:hint="eastAsia" w:ascii="宋体" w:hAnsi="宋体" w:eastAsia="宋体" w:cs="宋体"/>
          <w:sz w:val="24"/>
          <w:szCs w:val="16"/>
          <w:lang w:eastAsia="zh-CN"/>
        </w:rPr>
        <w:t>五、</w:t>
      </w:r>
      <w:r>
        <w:rPr>
          <w:rFonts w:hint="eastAsia" w:ascii="宋体" w:hAnsi="宋体" w:eastAsia="宋体" w:cs="宋体"/>
          <w:sz w:val="24"/>
          <w:szCs w:val="16"/>
        </w:rPr>
        <w:t>人员要求</w:t>
      </w:r>
    </w:p>
    <w:p w14:paraId="0D232085">
      <w:pPr>
        <w:spacing w:line="500" w:lineRule="exact"/>
        <w:ind w:firstLine="482" w:firstLineChars="200"/>
        <w:rPr>
          <w:rFonts w:hint="eastAsia" w:ascii="宋体" w:hAnsi="宋体" w:eastAsia="宋体" w:cs="宋体"/>
          <w:b/>
          <w:bCs/>
          <w:sz w:val="24"/>
          <w:szCs w:val="24"/>
        </w:rPr>
      </w:pPr>
      <w:bookmarkStart w:id="107" w:name="_Toc11462"/>
      <w:r>
        <w:rPr>
          <w:rFonts w:hint="eastAsia" w:ascii="宋体" w:hAnsi="宋体" w:eastAsia="宋体" w:cs="宋体"/>
          <w:b/>
          <w:bCs/>
          <w:sz w:val="24"/>
          <w:szCs w:val="24"/>
        </w:rPr>
        <w:t>（一）项目经理：1人。</w:t>
      </w:r>
    </w:p>
    <w:p w14:paraId="0BD4505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投标人拟派的项目经理必须已在投标人本单位注册并应具有</w:t>
      </w:r>
      <w:r>
        <w:rPr>
          <w:rFonts w:hint="eastAsia" w:ascii="宋体" w:hAnsi="宋体" w:eastAsia="宋体" w:cs="宋体"/>
          <w:sz w:val="24"/>
          <w:szCs w:val="24"/>
          <w:u w:val="single"/>
        </w:rPr>
        <w:t>建筑工程</w:t>
      </w:r>
      <w:r>
        <w:rPr>
          <w:rFonts w:hint="eastAsia" w:ascii="宋体" w:hAnsi="宋体" w:eastAsia="宋体" w:cs="宋体"/>
          <w:sz w:val="24"/>
          <w:szCs w:val="24"/>
        </w:rPr>
        <w:t>专业</w:t>
      </w:r>
      <w:r>
        <w:rPr>
          <w:rFonts w:hint="eastAsia" w:ascii="宋体" w:hAnsi="宋体" w:eastAsia="宋体" w:cs="宋体"/>
          <w:sz w:val="24"/>
          <w:szCs w:val="24"/>
          <w:u w:val="single"/>
        </w:rPr>
        <w:t>二级</w:t>
      </w:r>
      <w:r>
        <w:rPr>
          <w:rFonts w:hint="eastAsia" w:ascii="宋体" w:hAnsi="宋体" w:eastAsia="宋体" w:cs="宋体"/>
          <w:sz w:val="24"/>
          <w:szCs w:val="24"/>
        </w:rPr>
        <w:t>及以上注册建造师执业资格，具有建设行政主管部门颁发的有效的安全生产考核合格证书（B证）。同时投标人须承诺拟派项目经理按注册建造师的相关规定到岗履职和未被禁止参与投标。</w:t>
      </w:r>
    </w:p>
    <w:p w14:paraId="2BC378A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bCs/>
          <w:sz w:val="24"/>
          <w:szCs w:val="24"/>
        </w:rPr>
        <w:t>须提供项目经理身份证、建造师注册证书、安全生产考核合格证书（B证）、投标人为其缴纳的养老保险证明复印件、拟派项目经理到岗履职和未被禁止参与投标的承诺（承诺格式自拟）并加盖投标人单位公章。</w:t>
      </w:r>
      <w:r>
        <w:rPr>
          <w:rFonts w:hint="eastAsia" w:ascii="宋体" w:hAnsi="宋体" w:eastAsia="宋体" w:cs="宋体"/>
          <w:sz w:val="24"/>
          <w:szCs w:val="24"/>
        </w:rPr>
        <w:t>】</w:t>
      </w:r>
    </w:p>
    <w:p w14:paraId="3180ED2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注：（1）投标人拟派的项目经理为一级建造师或重庆市二级建造师注册人员的，必须提供建造师电子注册证书复印件，且该建造师电子注册证书打印件须由建造师本人在个人签名处手写本人签名。</w:t>
      </w:r>
    </w:p>
    <w:p w14:paraId="08B6D06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（2）重庆市以外的省级住房城乡建设主管部门对二级建造师电子注册证书使用有明确规定的，从其规定。未规定使用电子注册证书打印件的，可提供纸质证书复印件。</w:t>
      </w:r>
    </w:p>
    <w:p w14:paraId="62DA1BD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（3）建造师电子注册证书打印件本人手写签名与签名图像笔迹是否一致不作为无效响应的情形。</w:t>
      </w:r>
    </w:p>
    <w:p w14:paraId="67C2F275">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（二）项目技术负责人：1人。</w:t>
      </w:r>
    </w:p>
    <w:p w14:paraId="666F329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投标人拟派的项目技术负责人应具有</w:t>
      </w:r>
      <w:r>
        <w:rPr>
          <w:rFonts w:hint="eastAsia" w:ascii="宋体" w:hAnsi="宋体" w:eastAsia="宋体" w:cs="宋体"/>
          <w:sz w:val="24"/>
          <w:szCs w:val="24"/>
          <w:u w:val="single"/>
        </w:rPr>
        <w:t>工程</w:t>
      </w:r>
      <w:r>
        <w:rPr>
          <w:rFonts w:hint="eastAsia" w:ascii="宋体" w:hAnsi="宋体" w:eastAsia="宋体" w:cs="宋体"/>
          <w:sz w:val="24"/>
          <w:szCs w:val="24"/>
        </w:rPr>
        <w:t>类</w:t>
      </w:r>
      <w:r>
        <w:rPr>
          <w:rFonts w:hint="eastAsia" w:ascii="宋体" w:hAnsi="宋体" w:eastAsia="宋体" w:cs="宋体"/>
          <w:sz w:val="24"/>
          <w:szCs w:val="24"/>
          <w:u w:val="single"/>
        </w:rPr>
        <w:t>中级</w:t>
      </w:r>
      <w:r>
        <w:rPr>
          <w:rFonts w:hint="eastAsia" w:ascii="宋体" w:hAnsi="宋体" w:eastAsia="宋体" w:cs="宋体"/>
          <w:sz w:val="24"/>
          <w:szCs w:val="24"/>
        </w:rPr>
        <w:t>及以上职称。</w:t>
      </w:r>
    </w:p>
    <w:p w14:paraId="56974B7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bCs/>
          <w:sz w:val="24"/>
          <w:szCs w:val="24"/>
        </w:rPr>
        <w:t>须提供项目技术负责人身份证、职称证书、投标人为其缴纳的养老保险证明复印件并加盖投标人单位公章。</w:t>
      </w:r>
      <w:r>
        <w:rPr>
          <w:rFonts w:hint="eastAsia" w:ascii="宋体" w:hAnsi="宋体" w:eastAsia="宋体" w:cs="宋体"/>
          <w:sz w:val="24"/>
          <w:szCs w:val="24"/>
        </w:rPr>
        <w:t>】</w:t>
      </w:r>
    </w:p>
    <w:p w14:paraId="6F2F899B">
      <w:pPr>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（三）主要管理人员</w:t>
      </w:r>
      <w:r>
        <w:rPr>
          <w:rFonts w:hint="eastAsia" w:ascii="宋体" w:hAnsi="宋体" w:eastAsia="宋体" w:cs="宋体"/>
          <w:sz w:val="24"/>
          <w:szCs w:val="24"/>
        </w:rPr>
        <w:t>：投标人须承诺成交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成交后不能满足该要求的，招标人可取消其成交资格，给招标人造成损失的，投标人依法承担违约赔偿责任。</w:t>
      </w:r>
    </w:p>
    <w:p w14:paraId="262D293C">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【须提供主要管理人员承诺（承诺格式自拟）并加盖投标人单位公章。】</w:t>
      </w:r>
    </w:p>
    <w:p w14:paraId="186AC493">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（四）委托代理人：</w:t>
      </w:r>
    </w:p>
    <w:p w14:paraId="4DEAA6E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委托代理人必须为投标人本单位在职人员。</w:t>
      </w:r>
    </w:p>
    <w:p w14:paraId="17097E81">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【须提供投标人为委托代理人缴纳的养老保险证明复印件并加盖投标人单位公章。】</w:t>
      </w:r>
    </w:p>
    <w:p w14:paraId="5EB1D1F2">
      <w:pPr>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特别提示：</w:t>
      </w:r>
    </w:p>
    <w:p w14:paraId="439DBE26">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①以上要求须提交的相关证明材料复印件均须加盖投标人公章。</w:t>
      </w:r>
    </w:p>
    <w:p w14:paraId="37A9823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②项目经理、项目技术负责人相互间不得兼任。</w:t>
      </w:r>
    </w:p>
    <w:p w14:paraId="76B2BB5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③项目经理、项目技术负责人、委托代理人的养老保险证明期限为2025年1月至2025年6月中任意一个月。提供的养老保险参保证明须体现上述人员的姓名、身份证号（或社保号）、单位名称、本单位参保时间（或起始参保时间），并带有社保部门公章或社保部门的有效电子印章。</w:t>
      </w:r>
      <w:bookmarkEnd w:id="107"/>
    </w:p>
    <w:p w14:paraId="628EE1E5">
      <w:pPr>
        <w:pStyle w:val="2"/>
        <w:rPr>
          <w:rFonts w:hint="eastAsia"/>
        </w:rPr>
      </w:pPr>
    </w:p>
    <w:p w14:paraId="4E7E9ED4">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108" w:name="_Toc55403968"/>
      <w:bookmarkStart w:id="109" w:name="_Toc108545973"/>
      <w:bookmarkStart w:id="110" w:name="_Toc54879127"/>
      <w:r>
        <w:rPr>
          <w:rFonts w:hint="eastAsia" w:ascii="宋体" w:hAnsi="宋体" w:cs="宋体"/>
          <w:color w:val="auto"/>
          <w:sz w:val="24"/>
          <w:szCs w:val="24"/>
          <w:lang w:eastAsia="zh-CN"/>
        </w:rPr>
        <w:t>六</w:t>
      </w:r>
      <w:r>
        <w:rPr>
          <w:rFonts w:hint="eastAsia" w:ascii="宋体" w:hAnsi="宋体" w:eastAsia="宋体" w:cs="宋体"/>
          <w:color w:val="auto"/>
          <w:sz w:val="24"/>
          <w:szCs w:val="24"/>
        </w:rPr>
        <w:t>、其他要求</w:t>
      </w:r>
      <w:bookmarkEnd w:id="105"/>
      <w:bookmarkEnd w:id="108"/>
      <w:bookmarkEnd w:id="109"/>
      <w:bookmarkEnd w:id="110"/>
    </w:p>
    <w:p w14:paraId="4D32C36E">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eastAsia="zh-CN"/>
        </w:rPr>
        <w:t>一</w:t>
      </w:r>
      <w:r>
        <w:rPr>
          <w:rFonts w:hint="eastAsia" w:ascii="宋体" w:hAnsi="宋体" w:eastAsia="宋体" w:cs="宋体"/>
          <w:color w:val="auto"/>
        </w:rPr>
        <w:t>）供应商若成为成交供应商，施工时必须严格按照</w:t>
      </w:r>
      <w:r>
        <w:rPr>
          <w:rFonts w:hint="eastAsia" w:cs="宋体"/>
          <w:color w:val="auto"/>
          <w:lang w:eastAsia="zh-CN"/>
        </w:rPr>
        <w:t>招标</w:t>
      </w:r>
      <w:r>
        <w:rPr>
          <w:rFonts w:hint="eastAsia" w:ascii="宋体" w:hAnsi="宋体" w:eastAsia="宋体" w:cs="宋体"/>
          <w:color w:val="auto"/>
        </w:rPr>
        <w:t>人提供的工程量清单内容进行施工，不得擅自修改施工内容。</w:t>
      </w:r>
    </w:p>
    <w:bookmarkEnd w:id="91"/>
    <w:bookmarkEnd w:id="92"/>
    <w:bookmarkEnd w:id="93"/>
    <w:bookmarkEnd w:id="94"/>
    <w:bookmarkEnd w:id="95"/>
    <w:bookmarkEnd w:id="96"/>
    <w:p w14:paraId="194990C2">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eastAsia="zh-CN"/>
        </w:rPr>
        <w:t>二</w:t>
      </w:r>
      <w:r>
        <w:rPr>
          <w:rFonts w:hint="eastAsia" w:ascii="宋体" w:hAnsi="宋体" w:eastAsia="宋体" w:cs="宋体"/>
          <w:color w:val="auto"/>
        </w:rPr>
        <w:t>）成交供应商的工作人员在为</w:t>
      </w:r>
      <w:r>
        <w:rPr>
          <w:rFonts w:hint="eastAsia" w:cs="宋体"/>
          <w:color w:val="auto"/>
          <w:lang w:eastAsia="zh-CN"/>
        </w:rPr>
        <w:t>招标</w:t>
      </w:r>
      <w:r>
        <w:rPr>
          <w:rFonts w:hint="eastAsia" w:ascii="宋体" w:hAnsi="宋体" w:eastAsia="宋体" w:cs="宋体"/>
          <w:color w:val="auto"/>
        </w:rPr>
        <w:t>人的服务期间，因疾病、工伤、意外伤害、疾病传染、劳动保护、职业病等所产生的一切费用，均由成交供应商自行负责。</w:t>
      </w:r>
    </w:p>
    <w:p w14:paraId="33041BB8">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eastAsia="zh-CN"/>
        </w:rPr>
        <w:t>三</w:t>
      </w:r>
      <w:r>
        <w:rPr>
          <w:rFonts w:hint="eastAsia" w:ascii="宋体" w:hAnsi="宋体" w:eastAsia="宋体" w:cs="宋体"/>
          <w:color w:val="auto"/>
        </w:rPr>
        <w:t>）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4C2AE09C">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eastAsia="zh-CN"/>
        </w:rPr>
        <w:t>四</w:t>
      </w:r>
      <w:r>
        <w:rPr>
          <w:rFonts w:hint="eastAsia" w:ascii="宋体" w:hAnsi="宋体" w:eastAsia="宋体" w:cs="宋体"/>
          <w:color w:val="auto"/>
        </w:rPr>
        <w:t>）成交供应商人员因自身工作失误造成货物、现场、人员及其他损失由成交供应商自行负责，</w:t>
      </w:r>
      <w:r>
        <w:rPr>
          <w:rFonts w:hint="eastAsia" w:cs="宋体"/>
          <w:color w:val="auto"/>
          <w:lang w:eastAsia="zh-CN"/>
        </w:rPr>
        <w:t>招标</w:t>
      </w:r>
      <w:r>
        <w:rPr>
          <w:rFonts w:hint="eastAsia" w:ascii="宋体" w:hAnsi="宋体" w:eastAsia="宋体" w:cs="宋体"/>
          <w:color w:val="auto"/>
        </w:rPr>
        <w:t>人不承担责任。</w:t>
      </w:r>
    </w:p>
    <w:p w14:paraId="26947775">
      <w:pPr>
        <w:pStyle w:val="4"/>
        <w:pageBreakBefore w:val="0"/>
        <w:kinsoku/>
        <w:overflowPunct/>
        <w:topLinePunct w:val="0"/>
        <w:bidi w:val="0"/>
        <w:spacing w:line="336" w:lineRule="auto"/>
        <w:jc w:val="center"/>
        <w:textAlignment w:val="auto"/>
        <w:rPr>
          <w:rStyle w:val="38"/>
          <w:rFonts w:hint="eastAsia" w:ascii="宋体" w:hAnsi="宋体" w:eastAsia="宋体" w:cs="宋体"/>
          <w:b/>
          <w:bCs/>
          <w:color w:val="auto"/>
        </w:rPr>
      </w:pPr>
      <w:r>
        <w:rPr>
          <w:rStyle w:val="38"/>
          <w:rFonts w:hint="eastAsia" w:ascii="宋体" w:hAnsi="宋体" w:eastAsia="宋体" w:cs="宋体"/>
          <w:b w:val="0"/>
          <w:bCs w:val="0"/>
          <w:color w:val="auto"/>
        </w:rPr>
        <w:br w:type="page"/>
      </w:r>
      <w:bookmarkStart w:id="111" w:name="_Toc108545974"/>
      <w:r>
        <w:rPr>
          <w:rStyle w:val="38"/>
          <w:rFonts w:hint="eastAsia" w:ascii="宋体" w:hAnsi="宋体" w:eastAsia="宋体" w:cs="宋体"/>
          <w:b/>
          <w:bCs/>
          <w:color w:val="auto"/>
        </w:rPr>
        <w:t>第四篇  商务要求</w:t>
      </w:r>
      <w:bookmarkEnd w:id="111"/>
    </w:p>
    <w:p w14:paraId="492FFFB5">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112" w:name="_Toc62484881"/>
      <w:bookmarkStart w:id="113" w:name="_Toc344475120"/>
      <w:bookmarkStart w:id="114" w:name="_Toc108545975"/>
      <w:bookmarkStart w:id="115" w:name="_Toc22463"/>
      <w:bookmarkStart w:id="116" w:name="_Toc344475121"/>
      <w:bookmarkStart w:id="117" w:name="_Toc487204790"/>
      <w:r>
        <w:rPr>
          <w:rFonts w:hint="eastAsia" w:ascii="宋体" w:hAnsi="宋体" w:eastAsia="宋体" w:cs="宋体"/>
          <w:color w:val="auto"/>
          <w:sz w:val="24"/>
          <w:szCs w:val="24"/>
        </w:rPr>
        <w:t>一、</w:t>
      </w:r>
      <w:r>
        <w:rPr>
          <w:rFonts w:hint="eastAsia" w:ascii="宋体" w:hAnsi="宋体" w:eastAsia="宋体" w:cs="宋体"/>
          <w:color w:val="auto"/>
          <w:sz w:val="24"/>
          <w:szCs w:val="24"/>
          <w:highlight w:val="none"/>
        </w:rPr>
        <w:t>工期、地点及验收方式</w:t>
      </w:r>
      <w:bookmarkEnd w:id="112"/>
      <w:bookmarkEnd w:id="113"/>
      <w:bookmarkEnd w:id="114"/>
    </w:p>
    <w:p w14:paraId="4D37BFD2">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red"/>
        </w:rPr>
      </w:pPr>
      <w:r>
        <w:rPr>
          <w:rFonts w:hint="eastAsia" w:ascii="宋体" w:hAnsi="宋体" w:eastAsia="宋体" w:cs="宋体"/>
          <w:color w:val="auto"/>
          <w:highlight w:val="none"/>
        </w:rPr>
        <w:t>（一）工期：</w:t>
      </w:r>
      <w:r>
        <w:rPr>
          <w:rFonts w:hint="eastAsia" w:cs="宋体"/>
          <w:color w:val="auto"/>
          <w:highlight w:val="none"/>
          <w:lang w:val="en-US" w:eastAsia="zh-CN"/>
        </w:rPr>
        <w:t>30</w:t>
      </w:r>
      <w:r>
        <w:rPr>
          <w:rFonts w:hint="eastAsia" w:ascii="宋体" w:hAnsi="宋体" w:eastAsia="宋体" w:cs="宋体"/>
          <w:color w:val="auto"/>
          <w:highlight w:val="none"/>
          <w:lang w:val="en-US" w:eastAsia="zh-CN"/>
        </w:rPr>
        <w:t>日历天</w:t>
      </w:r>
      <w:r>
        <w:rPr>
          <w:rFonts w:hint="eastAsia" w:ascii="宋体" w:hAnsi="宋体" w:eastAsia="宋体" w:cs="宋体"/>
          <w:color w:val="auto"/>
          <w:highlight w:val="none"/>
        </w:rPr>
        <w:t>。</w:t>
      </w:r>
    </w:p>
    <w:p w14:paraId="010E5D86">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（二）服务地点：</w:t>
      </w:r>
      <w:r>
        <w:rPr>
          <w:rFonts w:hint="eastAsia" w:cs="宋体"/>
          <w:color w:val="auto"/>
          <w:lang w:eastAsia="zh-CN"/>
        </w:rPr>
        <w:t>招标</w:t>
      </w:r>
      <w:r>
        <w:rPr>
          <w:rFonts w:hint="eastAsia" w:ascii="宋体" w:hAnsi="宋体" w:eastAsia="宋体" w:cs="宋体"/>
          <w:color w:val="auto"/>
        </w:rPr>
        <w:t>人指定地点，详见上篇服务需求。</w:t>
      </w:r>
    </w:p>
    <w:p w14:paraId="7DDDC1BB">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（三）验收方式：项目施工完成，质量符合本</w:t>
      </w:r>
      <w:r>
        <w:rPr>
          <w:rFonts w:hint="eastAsia" w:cs="宋体"/>
          <w:color w:val="auto"/>
          <w:lang w:eastAsia="zh-CN"/>
        </w:rPr>
        <w:t>招标</w:t>
      </w:r>
      <w:r>
        <w:rPr>
          <w:rFonts w:hint="eastAsia" w:ascii="宋体" w:hAnsi="宋体" w:eastAsia="宋体" w:cs="宋体"/>
          <w:color w:val="auto"/>
        </w:rPr>
        <w:t>文件、国家及重庆市工程验收规范要求，由成交供应商提出验收申请，由</w:t>
      </w:r>
      <w:r>
        <w:rPr>
          <w:rFonts w:hint="eastAsia" w:cs="宋体"/>
          <w:color w:val="auto"/>
          <w:lang w:eastAsia="zh-CN"/>
        </w:rPr>
        <w:t>招标</w:t>
      </w:r>
      <w:r>
        <w:rPr>
          <w:rFonts w:hint="eastAsia" w:ascii="宋体" w:hAnsi="宋体" w:eastAsia="宋体" w:cs="宋体"/>
          <w:color w:val="auto"/>
        </w:rPr>
        <w:t>人组织开展对项目的验收工作，并形成专门的验收报告。</w:t>
      </w:r>
    </w:p>
    <w:p w14:paraId="6667AA33">
      <w:pPr>
        <w:pStyle w:val="5"/>
        <w:pageBreakBefore w:val="0"/>
        <w:tabs>
          <w:tab w:val="left" w:pos="2377"/>
        </w:tabs>
        <w:kinsoku/>
        <w:overflowPunct/>
        <w:topLinePunct w:val="0"/>
        <w:bidi w:val="0"/>
        <w:spacing w:before="0" w:after="0" w:line="336" w:lineRule="auto"/>
        <w:textAlignment w:val="auto"/>
        <w:rPr>
          <w:rFonts w:hint="eastAsia" w:ascii="宋体" w:hAnsi="宋体" w:eastAsia="宋体" w:cs="宋体"/>
          <w:color w:val="auto"/>
          <w:sz w:val="24"/>
          <w:szCs w:val="24"/>
          <w:lang w:val="en-US" w:eastAsia="zh-CN"/>
        </w:rPr>
      </w:pPr>
      <w:bookmarkStart w:id="118" w:name="_Toc108545976"/>
      <w:r>
        <w:rPr>
          <w:rFonts w:hint="eastAsia" w:ascii="宋体" w:hAnsi="宋体" w:eastAsia="宋体" w:cs="宋体"/>
          <w:color w:val="auto"/>
          <w:sz w:val="24"/>
          <w:szCs w:val="24"/>
          <w:lang w:val="en-US" w:eastAsia="zh-CN"/>
        </w:rPr>
        <w:t>二、报价要求</w:t>
      </w:r>
      <w:bookmarkEnd w:id="118"/>
      <w:r>
        <w:rPr>
          <w:rFonts w:hint="eastAsia" w:ascii="宋体" w:hAnsi="宋体" w:cs="宋体"/>
          <w:color w:val="auto"/>
          <w:sz w:val="24"/>
          <w:szCs w:val="24"/>
          <w:lang w:val="en-US" w:eastAsia="zh-CN"/>
        </w:rPr>
        <w:tab/>
      </w:r>
    </w:p>
    <w:p w14:paraId="2D5FAB02">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bookmarkStart w:id="119" w:name="_Toc62484882"/>
      <w:bookmarkStart w:id="120" w:name="_Toc49960018"/>
      <w:bookmarkStart w:id="121" w:name="_Toc54879131"/>
      <w:bookmarkStart w:id="122" w:name="_Toc108545977"/>
      <w:bookmarkStart w:id="123" w:name="_Toc344475122"/>
      <w:r>
        <w:rPr>
          <w:rFonts w:hint="eastAsia" w:ascii="宋体" w:hAnsi="宋体" w:eastAsia="宋体" w:cs="宋体"/>
          <w:color w:val="auto"/>
          <w:highlight w:val="none"/>
        </w:rPr>
        <w:t>（一）本工程采用固定综合单价合同。</w:t>
      </w:r>
    </w:p>
    <w:p w14:paraId="038967AC">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报价范围：各参选人应按照</w:t>
      </w:r>
      <w:r>
        <w:rPr>
          <w:rFonts w:hint="eastAsia" w:cs="宋体"/>
          <w:color w:val="auto"/>
          <w:highlight w:val="none"/>
          <w:lang w:eastAsia="zh-CN"/>
        </w:rPr>
        <w:t>招标</w:t>
      </w:r>
      <w:r>
        <w:rPr>
          <w:rFonts w:hint="eastAsia" w:ascii="宋体" w:hAnsi="宋体" w:eastAsia="宋体" w:cs="宋体"/>
          <w:color w:val="auto"/>
          <w:highlight w:val="none"/>
        </w:rPr>
        <w:t>范围的规定，对</w:t>
      </w:r>
      <w:r>
        <w:rPr>
          <w:rFonts w:hint="eastAsia" w:cs="宋体"/>
          <w:color w:val="auto"/>
          <w:highlight w:val="none"/>
          <w:lang w:eastAsia="zh-CN"/>
        </w:rPr>
        <w:t>招标人</w:t>
      </w:r>
      <w:r>
        <w:rPr>
          <w:rFonts w:hint="eastAsia" w:ascii="宋体" w:hAnsi="宋体" w:eastAsia="宋体" w:cs="宋体"/>
          <w:color w:val="auto"/>
          <w:highlight w:val="none"/>
        </w:rPr>
        <w:t>提供的工程量清单，结合施工图的要求予以自主报价。工程量清单中的工程量是作为</w:t>
      </w:r>
      <w:r>
        <w:rPr>
          <w:rFonts w:hint="eastAsia" w:cs="宋体"/>
          <w:color w:val="auto"/>
          <w:highlight w:val="none"/>
          <w:lang w:eastAsia="zh-CN"/>
        </w:rPr>
        <w:t>招标</w:t>
      </w:r>
      <w:r>
        <w:rPr>
          <w:rFonts w:hint="eastAsia" w:ascii="宋体" w:hAnsi="宋体" w:eastAsia="宋体" w:cs="宋体"/>
          <w:color w:val="auto"/>
          <w:highlight w:val="none"/>
        </w:rPr>
        <w:t>报价的估算工程量，不作为最终结算的工程量。用于结算的工程量是参选人实际完成的，并按有关规定计量的合格的工程量。</w:t>
      </w:r>
    </w:p>
    <w:p w14:paraId="0B58B64C">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（二）工程计价方式：工程量清单计价方式。</w:t>
      </w:r>
    </w:p>
    <w:p w14:paraId="5542F8FF">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（三）报价原则：本工程由参选人以</w:t>
      </w:r>
      <w:r>
        <w:rPr>
          <w:rFonts w:hint="eastAsia" w:cs="宋体"/>
          <w:color w:val="auto"/>
          <w:highlight w:val="none"/>
          <w:lang w:eastAsia="zh-CN"/>
        </w:rPr>
        <w:t>网上询价</w:t>
      </w:r>
      <w:r>
        <w:rPr>
          <w:rFonts w:hint="eastAsia" w:ascii="宋体" w:hAnsi="宋体" w:eastAsia="宋体" w:cs="宋体"/>
          <w:color w:val="auto"/>
          <w:highlight w:val="none"/>
        </w:rPr>
        <w:t>文件、合同条件、工程量清单、本次</w:t>
      </w:r>
      <w:r>
        <w:rPr>
          <w:rFonts w:hint="eastAsia" w:cs="宋体"/>
          <w:color w:val="auto"/>
          <w:highlight w:val="none"/>
          <w:lang w:eastAsia="zh-CN"/>
        </w:rPr>
        <w:t>招标</w:t>
      </w:r>
      <w:r>
        <w:rPr>
          <w:rFonts w:hint="eastAsia" w:ascii="宋体" w:hAnsi="宋体" w:eastAsia="宋体" w:cs="宋体"/>
          <w:color w:val="auto"/>
          <w:highlight w:val="none"/>
        </w:rPr>
        <w:t>范围的施工设计图纸、国家技术和经济规范及标准、《建设工程量清单计价规范》（GB50500-2013）、《重庆市房屋建筑与装饰工程计价定额》（CQJZZSDE-2018）、《重庆市房屋修缮工程计价定额》（CQXSDE-2018）、《重庆市通用安装工程计价定额》（CQAZDE-2018）、《2018 重庆市市政工程计价定额》、《重庆市建设工程费用定额》（CQFYDE-2018）、《重庆市建设工程施工机械台班定额》（CQJXDE-2018）、《2018 重庆市绿色建筑工程计价定额》、《2018 重庆市园林绿化工程计价定额》、《2018 重庆市构筑物工程计价定额》及相关配套文件和国家及地方相关规定为依据进行工程量清单组价，由参选人结合自身实力、市场行情以及</w:t>
      </w:r>
      <w:r>
        <w:rPr>
          <w:rFonts w:hint="eastAsia" w:cs="宋体"/>
          <w:color w:val="auto"/>
          <w:highlight w:val="none"/>
          <w:lang w:eastAsia="zh-CN"/>
        </w:rPr>
        <w:t>招标</w:t>
      </w:r>
      <w:r>
        <w:rPr>
          <w:rFonts w:hint="eastAsia" w:ascii="宋体" w:hAnsi="宋体" w:eastAsia="宋体" w:cs="宋体"/>
          <w:color w:val="auto"/>
          <w:highlight w:val="none"/>
        </w:rPr>
        <w:t>文件对工程质量、工期、款项支付等相关实质性要求予以自主报价。</w:t>
      </w:r>
      <w:r>
        <w:rPr>
          <w:rFonts w:hint="eastAsia" w:cs="宋体"/>
          <w:color w:val="auto"/>
          <w:highlight w:val="none"/>
          <w:lang w:eastAsia="zh-CN"/>
        </w:rPr>
        <w:t>招标</w:t>
      </w:r>
      <w:r>
        <w:rPr>
          <w:rFonts w:hint="eastAsia" w:ascii="宋体" w:hAnsi="宋体" w:eastAsia="宋体" w:cs="宋体"/>
          <w:color w:val="auto"/>
          <w:highlight w:val="none"/>
        </w:rPr>
        <w:t>报价应包括并不仅限于完成</w:t>
      </w:r>
      <w:r>
        <w:rPr>
          <w:rFonts w:hint="eastAsia" w:cs="宋体"/>
          <w:color w:val="auto"/>
          <w:highlight w:val="none"/>
          <w:lang w:eastAsia="zh-CN"/>
        </w:rPr>
        <w:t>招标</w:t>
      </w:r>
      <w:r>
        <w:rPr>
          <w:rFonts w:hint="eastAsia" w:ascii="宋体" w:hAnsi="宋体" w:eastAsia="宋体" w:cs="宋体"/>
          <w:color w:val="auto"/>
          <w:highlight w:val="none"/>
        </w:rPr>
        <w:t>范围内工程项目的人工费、材料费、机械费、企业管理费、利润、风险费用、已完工程及设备保护费、临时保护设施费、建设工程竣工档案编制费、场地（竣工面）清理费（含：垃圾清运）、规费、安全文明施工措施费、税金、政策性文件规定、报建和验收以及施工其间的市场波动风险等所需的所有费用，</w:t>
      </w:r>
      <w:r>
        <w:rPr>
          <w:rFonts w:hint="eastAsia" w:cs="宋体"/>
          <w:color w:val="auto"/>
          <w:highlight w:val="none"/>
          <w:lang w:eastAsia="zh-CN"/>
        </w:rPr>
        <w:t>招标人</w:t>
      </w:r>
      <w:r>
        <w:rPr>
          <w:rFonts w:hint="eastAsia" w:ascii="宋体" w:hAnsi="宋体" w:eastAsia="宋体" w:cs="宋体"/>
          <w:color w:val="auto"/>
          <w:highlight w:val="none"/>
        </w:rPr>
        <w:t>除此以外不支付其它费用。</w:t>
      </w:r>
    </w:p>
    <w:p w14:paraId="313C4B74">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（四）参选人应认真填写工程量清单中所列的本合同各工程子目的单价或总价。参选人没有填入单价或总价的工程子目，</w:t>
      </w:r>
      <w:r>
        <w:rPr>
          <w:rFonts w:hint="eastAsia" w:cs="宋体"/>
          <w:color w:val="auto"/>
          <w:highlight w:val="none"/>
          <w:lang w:eastAsia="zh-CN"/>
        </w:rPr>
        <w:t>招标人</w:t>
      </w:r>
      <w:r>
        <w:rPr>
          <w:rFonts w:hint="eastAsia" w:ascii="宋体" w:hAnsi="宋体" w:eastAsia="宋体" w:cs="宋体"/>
          <w:color w:val="auto"/>
          <w:highlight w:val="none"/>
        </w:rPr>
        <w:t>将认为该子目的价款已包括在工程量清单其他子目的单价和总价中。参选人必须按</w:t>
      </w:r>
      <w:r>
        <w:rPr>
          <w:rFonts w:hint="eastAsia" w:cs="宋体"/>
          <w:color w:val="auto"/>
          <w:highlight w:val="none"/>
          <w:lang w:eastAsia="zh-CN"/>
        </w:rPr>
        <w:t>招标</w:t>
      </w:r>
      <w:r>
        <w:rPr>
          <w:rFonts w:hint="eastAsia" w:ascii="宋体" w:hAnsi="宋体" w:eastAsia="宋体" w:cs="宋体"/>
          <w:color w:val="auto"/>
          <w:highlight w:val="none"/>
        </w:rPr>
        <w:t>工程量清单填报价格。项目名称、项目特征、计量单位、工程量必须与</w:t>
      </w:r>
      <w:r>
        <w:rPr>
          <w:rFonts w:hint="eastAsia" w:cs="宋体"/>
          <w:color w:val="auto"/>
          <w:highlight w:val="none"/>
          <w:lang w:eastAsia="zh-CN"/>
        </w:rPr>
        <w:t>招标</w:t>
      </w:r>
      <w:r>
        <w:rPr>
          <w:rFonts w:hint="eastAsia" w:ascii="宋体" w:hAnsi="宋体" w:eastAsia="宋体" w:cs="宋体"/>
          <w:color w:val="auto"/>
          <w:highlight w:val="none"/>
        </w:rPr>
        <w:t>工程量清单一致。否则交由评审小组作否决投标处理。</w:t>
      </w:r>
      <w:r>
        <w:rPr>
          <w:rFonts w:hint="eastAsia" w:cs="宋体"/>
          <w:color w:val="auto"/>
          <w:highlight w:val="none"/>
          <w:lang w:eastAsia="zh-CN"/>
        </w:rPr>
        <w:t>网上询价</w:t>
      </w:r>
      <w:r>
        <w:rPr>
          <w:rFonts w:hint="eastAsia" w:ascii="宋体" w:hAnsi="宋体" w:eastAsia="宋体" w:cs="宋体"/>
          <w:color w:val="auto"/>
          <w:highlight w:val="none"/>
        </w:rPr>
        <w:t>报价函中的总报价与已标价工程量清单总报价不一致，或工程量清单总报价与依据单价、工程数量、分部分项工程合价计算出的结果不一致，由评审小组作否决投标处理。</w:t>
      </w:r>
    </w:p>
    <w:p w14:paraId="758DA86E">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（五）本项目增值税计税方法采用一般计税法。</w:t>
      </w:r>
    </w:p>
    <w:p w14:paraId="1A67A0F0">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（六）如发现工程量清单中的数量与图纸中数量不一致，以工程量清单中列出的数量为准。</w:t>
      </w:r>
    </w:p>
    <w:p w14:paraId="2DFE154B">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（七）</w:t>
      </w:r>
      <w:r>
        <w:rPr>
          <w:rFonts w:hint="eastAsia" w:cs="宋体"/>
          <w:color w:val="auto"/>
          <w:highlight w:val="none"/>
          <w:lang w:eastAsia="zh-CN"/>
        </w:rPr>
        <w:t>招标人</w:t>
      </w:r>
      <w:r>
        <w:rPr>
          <w:rFonts w:hint="eastAsia" w:ascii="宋体" w:hAnsi="宋体" w:eastAsia="宋体" w:cs="宋体"/>
          <w:color w:val="auto"/>
          <w:highlight w:val="none"/>
        </w:rPr>
        <w:t>在工程量清单中所列出的安全文明施工费、暂列金额（如有）、暂估价（如有）等暂定金额，参选人不得修改，否则由评审小组作否决投标处理。</w:t>
      </w:r>
    </w:p>
    <w:p w14:paraId="36888524">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yellow"/>
        </w:rPr>
      </w:pPr>
      <w:r>
        <w:rPr>
          <w:rFonts w:hint="eastAsia" w:ascii="宋体" w:hAnsi="宋体" w:eastAsia="宋体" w:cs="宋体"/>
          <w:color w:val="auto"/>
          <w:highlight w:val="yellow"/>
        </w:rPr>
        <w:t>（八）本项目设置</w:t>
      </w:r>
      <w:r>
        <w:rPr>
          <w:rFonts w:hint="eastAsia" w:ascii="宋体" w:hAnsi="宋体" w:eastAsia="宋体" w:cs="宋体"/>
          <w:b/>
          <w:bCs/>
          <w:color w:val="auto"/>
          <w:highlight w:val="yellow"/>
        </w:rPr>
        <w:t>投标总报价最高限价为</w:t>
      </w:r>
      <w:r>
        <w:rPr>
          <w:rFonts w:hint="eastAsia" w:cs="宋体"/>
          <w:b/>
          <w:bCs/>
          <w:color w:val="auto"/>
          <w:highlight w:val="yellow"/>
          <w:u w:val="single"/>
          <w:lang w:val="en-US" w:eastAsia="zh-CN"/>
        </w:rPr>
        <w:t xml:space="preserve"> 229,922.17</w:t>
      </w:r>
      <w:r>
        <w:rPr>
          <w:rFonts w:hint="eastAsia" w:ascii="宋体" w:hAnsi="宋体" w:eastAsia="宋体" w:cs="宋体"/>
          <w:b/>
          <w:bCs/>
          <w:color w:val="000000" w:themeColor="text1"/>
          <w:highlight w:val="yellow"/>
          <w:lang w:val="en-US" w:eastAsia="zh-CN"/>
          <w14:textFill>
            <w14:solidFill>
              <w14:schemeClr w14:val="tx1"/>
            </w14:solidFill>
          </w14:textFill>
        </w:rPr>
        <w:t>元（大写：</w:t>
      </w:r>
      <w:r>
        <w:rPr>
          <w:rFonts w:hint="eastAsia" w:cs="宋体"/>
          <w:b/>
          <w:bCs/>
          <w:color w:val="000000" w:themeColor="text1"/>
          <w:highlight w:val="yellow"/>
          <w:u w:val="single"/>
          <w:lang w:val="en-US" w:eastAsia="zh-CN"/>
          <w14:textFill>
            <w14:solidFill>
              <w14:schemeClr w14:val="tx1"/>
            </w14:solidFill>
          </w14:textFill>
        </w:rPr>
        <w:t>贰拾贰万玖仟玖佰贰拾贰圆壹角柒分</w:t>
      </w:r>
      <w:r>
        <w:rPr>
          <w:rFonts w:hint="eastAsia" w:ascii="宋体" w:hAnsi="宋体" w:eastAsia="宋体" w:cs="宋体"/>
          <w:b/>
          <w:bCs/>
          <w:color w:val="000000" w:themeColor="text1"/>
          <w:highlight w:val="yellow"/>
          <w:lang w:val="en-US" w:eastAsia="zh-CN"/>
          <w14:textFill>
            <w14:solidFill>
              <w14:schemeClr w14:val="tx1"/>
            </w14:solidFill>
          </w14:textFill>
        </w:rPr>
        <w:t>）</w:t>
      </w:r>
      <w:r>
        <w:rPr>
          <w:rFonts w:hint="eastAsia" w:ascii="宋体" w:hAnsi="宋体" w:eastAsia="宋体" w:cs="宋体"/>
          <w:b/>
          <w:bCs/>
          <w:color w:val="auto"/>
          <w:highlight w:val="yellow"/>
        </w:rPr>
        <w:t>，其中安全文明施工费</w:t>
      </w:r>
      <w:r>
        <w:rPr>
          <w:rFonts w:hint="eastAsia" w:cs="宋体"/>
          <w:b/>
          <w:bCs/>
          <w:color w:val="auto"/>
          <w:highlight w:val="yellow"/>
          <w:u w:val="single"/>
          <w:lang w:val="en-US" w:eastAsia="zh-CN"/>
        </w:rPr>
        <w:t>6633.31</w:t>
      </w:r>
      <w:r>
        <w:rPr>
          <w:rFonts w:hint="eastAsia" w:ascii="宋体" w:hAnsi="宋体" w:eastAsia="宋体" w:cs="宋体"/>
          <w:b/>
          <w:bCs/>
          <w:color w:val="auto"/>
          <w:highlight w:val="yellow"/>
        </w:rPr>
        <w:t>元</w:t>
      </w:r>
      <w:r>
        <w:rPr>
          <w:rFonts w:hint="eastAsia" w:ascii="宋体" w:hAnsi="宋体" w:eastAsia="宋体" w:cs="宋体"/>
          <w:color w:val="auto"/>
          <w:highlight w:val="yellow"/>
        </w:rPr>
        <w:t>，参选人的投标总报价不得超过本项目设置的总价最高限价，否则由评审小组作否决投标处理。</w:t>
      </w:r>
    </w:p>
    <w:p w14:paraId="317D6122">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本次</w:t>
      </w:r>
      <w:r>
        <w:rPr>
          <w:rFonts w:hint="eastAsia" w:cs="宋体"/>
          <w:color w:val="auto"/>
          <w:highlight w:val="none"/>
          <w:lang w:eastAsia="zh-CN"/>
        </w:rPr>
        <w:t>招标</w:t>
      </w:r>
      <w:r>
        <w:rPr>
          <w:rFonts w:hint="eastAsia" w:ascii="宋体" w:hAnsi="宋体" w:eastAsia="宋体" w:cs="宋体"/>
          <w:color w:val="auto"/>
          <w:highlight w:val="none"/>
        </w:rPr>
        <w:t>将设置全部工程量清单综合单价最高限价，工程量清单综合单价最高限价详见工程量清单，参选人的每项工程量清单综合单价报价不得超过其对应清单综合单价最高限价。否则由评审小组作否决投标处理。</w:t>
      </w:r>
    </w:p>
    <w:p w14:paraId="3A760567">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cs="宋体"/>
          <w:color w:val="auto"/>
          <w:highlight w:val="none"/>
          <w:lang w:eastAsia="zh-CN"/>
        </w:rPr>
        <w:t>招标人</w:t>
      </w:r>
      <w:r>
        <w:rPr>
          <w:rFonts w:hint="eastAsia" w:ascii="宋体" w:hAnsi="宋体" w:eastAsia="宋体" w:cs="宋体"/>
          <w:color w:val="auto"/>
          <w:highlight w:val="none"/>
        </w:rPr>
        <w:t>在合同签订前将对成交参选人已标价工程量清单进行清标。若发现成交参选人的工程量清单综合单价报价超过</w:t>
      </w:r>
      <w:r>
        <w:rPr>
          <w:rFonts w:hint="eastAsia" w:cs="宋体"/>
          <w:color w:val="auto"/>
          <w:highlight w:val="none"/>
          <w:lang w:eastAsia="zh-CN"/>
        </w:rPr>
        <w:t>招标</w:t>
      </w:r>
      <w:r>
        <w:rPr>
          <w:rFonts w:hint="eastAsia" w:ascii="宋体" w:hAnsi="宋体" w:eastAsia="宋体" w:cs="宋体"/>
          <w:color w:val="auto"/>
          <w:highlight w:val="none"/>
        </w:rPr>
        <w:t>时给出的工程量清单综合单价最高限价的，在工程结算时</w:t>
      </w:r>
      <w:r>
        <w:rPr>
          <w:rFonts w:hint="eastAsia" w:cs="宋体"/>
          <w:color w:val="auto"/>
          <w:highlight w:val="none"/>
          <w:lang w:eastAsia="zh-CN"/>
        </w:rPr>
        <w:t>招标人</w:t>
      </w:r>
      <w:r>
        <w:rPr>
          <w:rFonts w:hint="eastAsia" w:ascii="宋体" w:hAnsi="宋体" w:eastAsia="宋体" w:cs="宋体"/>
          <w:color w:val="auto"/>
          <w:highlight w:val="none"/>
        </w:rPr>
        <w:t>将以发出的工程量清单综合单价最高限价为基础，按照成交参选人所报总报价与本工程的总价最高限价的下浮比例进行同比例下调，成交参选人必须无条件接受，否则按成交参选人违约处理。</w:t>
      </w:r>
    </w:p>
    <w:p w14:paraId="6ADD4AC6">
      <w:pPr>
        <w:pageBreakBefore w:val="0"/>
        <w:kinsoku/>
        <w:overflowPunct/>
        <w:topLinePunct w:val="0"/>
        <w:bidi w:val="0"/>
        <w:spacing w:line="336"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（九）安全文明施工费：</w:t>
      </w:r>
    </w:p>
    <w:p w14:paraId="79553EC1">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根据《重庆城乡建设委员会关于印发&lt;重庆市建设工程安全文明施工费计取及使用管理规定&gt;的通知》（渝建发〔2014〕25号）规定，安全文明施工费由安全施工费、文明施工费、环境保护费及临时设施费组成。</w:t>
      </w:r>
    </w:p>
    <w:p w14:paraId="655E34F2">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2、本工程安全文明施工费由</w:t>
      </w:r>
      <w:r>
        <w:rPr>
          <w:rFonts w:hint="eastAsia" w:cs="宋体"/>
          <w:color w:val="auto"/>
          <w:highlight w:val="none"/>
          <w:lang w:eastAsia="zh-CN"/>
        </w:rPr>
        <w:t>招标人</w:t>
      </w:r>
      <w:r>
        <w:rPr>
          <w:rFonts w:hint="eastAsia" w:ascii="宋体" w:hAnsi="宋体" w:eastAsia="宋体" w:cs="宋体"/>
          <w:color w:val="auto"/>
          <w:highlight w:val="none"/>
        </w:rPr>
        <w:t>根据《建设工程工程量清单计价规范》（GB50500-2013）、《重庆市建设工程工程量清单计价规则》（CQJJGZ-2013）、《重庆市城乡建设委员会关于印发&lt;重庆市建设工程安全文明施工费计取及使用管理规定&gt;的通知》（渝建发〔2014〕25号）、《重庆市住房和城乡建设委员会关于调整建设施工现场形象品质提升安全文明施工费计取的通知》（渝建管〔2020〕97号）、《重庆市建设工程费用定额》（CQFYDE-2018）、2018重庆市通用安装工程计价定额》及相关配套文件、《2018重庆市房屋修缮工程计价定额》及相关配套文件、《2018重庆市市政工程计价定额》及相关配套文件、《2018重庆市房屋建筑与装饰工程计价定额》及相关配套文件、《2018重庆市绿色建筑工程计价定额》及相关配套文件、《2018重庆市园林绿化工程计价定额》及相关配套文件、《2018重庆市构筑物工程计价定额》及相关配套文件、《重庆市住房和城乡建设委员会关于适用增值税新税率调整建设工程计价依据的通知》（渝建〔2019〕143号）的相关规定和费用标准计算。</w:t>
      </w:r>
    </w:p>
    <w:p w14:paraId="5151C2AA">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（十）人工费</w:t>
      </w:r>
    </w:p>
    <w:p w14:paraId="7B7CFE6D">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本工程人工单价由各参选人参照重庆市建设工程造价总站发布的《重庆工程造价信息》近期公布的人工价并结合市场行情自主报价，成交后不再做调整。</w:t>
      </w:r>
    </w:p>
    <w:p w14:paraId="2E1A60E7">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（十一）材料费</w:t>
      </w:r>
    </w:p>
    <w:p w14:paraId="29316FCF">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1、本项目所需的全部材料、设备由成交参选人供应。但所</w:t>
      </w:r>
      <w:r>
        <w:rPr>
          <w:rFonts w:hint="eastAsia" w:cs="宋体"/>
          <w:color w:val="auto"/>
          <w:highlight w:val="none"/>
          <w:lang w:eastAsia="zh-CN"/>
        </w:rPr>
        <w:t>招标</w:t>
      </w:r>
      <w:r>
        <w:rPr>
          <w:rFonts w:hint="eastAsia" w:ascii="宋体" w:hAnsi="宋体" w:eastAsia="宋体" w:cs="宋体"/>
          <w:color w:val="auto"/>
          <w:highlight w:val="none"/>
        </w:rPr>
        <w:t>的材料必须符合国家规范标准及设计文件、技术参数、</w:t>
      </w:r>
      <w:r>
        <w:rPr>
          <w:rFonts w:hint="eastAsia" w:cs="宋体"/>
          <w:color w:val="auto"/>
          <w:highlight w:val="none"/>
          <w:lang w:eastAsia="zh-CN"/>
        </w:rPr>
        <w:t>招标</w:t>
      </w:r>
      <w:r>
        <w:rPr>
          <w:rFonts w:hint="eastAsia" w:ascii="宋体" w:hAnsi="宋体" w:eastAsia="宋体" w:cs="宋体"/>
          <w:color w:val="auto"/>
          <w:highlight w:val="none"/>
        </w:rPr>
        <w:t>文件要求，并提供相应合格证明资料、质保书、检测报告等品质证明材料，报经监理单位和</w:t>
      </w:r>
      <w:r>
        <w:rPr>
          <w:rFonts w:hint="eastAsia" w:cs="宋体"/>
          <w:color w:val="auto"/>
          <w:highlight w:val="none"/>
          <w:lang w:eastAsia="zh-CN"/>
        </w:rPr>
        <w:t>招标人</w:t>
      </w:r>
      <w:r>
        <w:rPr>
          <w:rFonts w:hint="eastAsia" w:ascii="宋体" w:hAnsi="宋体" w:eastAsia="宋体" w:cs="宋体"/>
          <w:color w:val="auto"/>
          <w:highlight w:val="none"/>
        </w:rPr>
        <w:t>批准后方可用于工程。</w:t>
      </w:r>
    </w:p>
    <w:p w14:paraId="70430D12">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2、本工程所需的全部材料、设备由各参选人参照发布的《重庆工程造价信息》近期公布的材料价并结合市场行情自主报价，参选人已将施工期间的</w:t>
      </w:r>
      <w:r>
        <w:rPr>
          <w:rFonts w:hint="eastAsia" w:cs="宋体"/>
          <w:color w:val="auto"/>
          <w:highlight w:val="none"/>
          <w:lang w:eastAsia="zh-CN"/>
        </w:rPr>
        <w:t>材</w:t>
      </w:r>
      <w:r>
        <w:rPr>
          <w:rFonts w:hint="eastAsia" w:ascii="宋体" w:hAnsi="宋体" w:eastAsia="宋体" w:cs="宋体"/>
          <w:color w:val="auto"/>
          <w:highlight w:val="none"/>
        </w:rPr>
        <w:t>料价格涨跌风险考虑其中，成交后在结算时不调整。</w:t>
      </w:r>
    </w:p>
    <w:p w14:paraId="1A04C42A">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3、使用缺陷材料引起的返工、报废、工期延误等损失，由成交参选人自行承担。</w:t>
      </w:r>
    </w:p>
    <w:p w14:paraId="3A82ACB6">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5、本工程所需的材料和设备的</w:t>
      </w:r>
      <w:r>
        <w:rPr>
          <w:rFonts w:hint="eastAsia" w:cs="宋体"/>
          <w:color w:val="auto"/>
          <w:highlight w:val="none"/>
          <w:lang w:eastAsia="zh-CN"/>
        </w:rPr>
        <w:t>招标</w:t>
      </w:r>
      <w:r>
        <w:rPr>
          <w:rFonts w:hint="eastAsia" w:ascii="宋体" w:hAnsi="宋体" w:eastAsia="宋体" w:cs="宋体"/>
          <w:color w:val="auto"/>
          <w:highlight w:val="none"/>
        </w:rPr>
        <w:t>和保管费由参选人自行考虑，包含在投标工程量清单综合单价中，</w:t>
      </w:r>
      <w:r>
        <w:rPr>
          <w:rFonts w:hint="eastAsia" w:cs="宋体"/>
          <w:color w:val="auto"/>
          <w:highlight w:val="none"/>
          <w:lang w:eastAsia="zh-CN"/>
        </w:rPr>
        <w:t>招标人</w:t>
      </w:r>
      <w:r>
        <w:rPr>
          <w:rFonts w:hint="eastAsia" w:ascii="宋体" w:hAnsi="宋体" w:eastAsia="宋体" w:cs="宋体"/>
          <w:color w:val="auto"/>
          <w:highlight w:val="none"/>
        </w:rPr>
        <w:t>不再单独支付。</w:t>
      </w:r>
    </w:p>
    <w:p w14:paraId="357B5C50">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（十二）措施项目费</w:t>
      </w:r>
    </w:p>
    <w:p w14:paraId="733925B8">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目费清单包括施工组织措施项目清单和施工技术措施项目清单两部分。</w:t>
      </w:r>
    </w:p>
    <w:p w14:paraId="497E0225">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施工组织措施项目清单：参选人结合本工程的实际情况和国家及重庆市相关管理规定自行增减项目，并进行报价。如果漏项或不报价，视为已包含在其他项目清单综合单价内。成交后施工组织措施项目费用一概不作调整。</w:t>
      </w:r>
    </w:p>
    <w:p w14:paraId="2180B5AE">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施工技术措施项目清单：技术措施清单中以项计列的项目，由参选人根据现场踏勘情况及本工程的实际情况结合自身施工组织设计，以项为单位的自行报价，包干使用，结算时不再调整。成交后不论何种因素影响，相应的综合单价不作调整，工程量按《通用安装工程工程量计算规范》GB50856-2013、《房屋建筑与装饰工程工程量计算规范》GB50854-2013、《重庆市建设工程工程量计算规则》（CQJLGZ-2013 ）规定的计量规则及工程量清单说明按实计量。</w:t>
      </w:r>
    </w:p>
    <w:p w14:paraId="2F43F35C">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（十三）规费、税金、竣工档案编制费：</w:t>
      </w:r>
    </w:p>
    <w:p w14:paraId="543FCC64">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1、规费：按照《重庆市建设工程费用定额》（CQFYDE-2018）所规定费率执行。</w:t>
      </w:r>
    </w:p>
    <w:p w14:paraId="56F69B16">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税金：按《重庆市城乡建设委员会关于建筑业营业税改征增值税调整建设工程计价依据的通知》（渝建（2016）35号）、国家税务总局《关于调整增值税税率的通知》（财税〔2018〕32号）、住房城乡建设部办公厅《关于调整建设工程计价依据增值税税率的通知》（建办标〔2018〕20号）、重庆市城乡建设委员会《关于适用增值税新税率调整建设工程计价依据的通知》（渝建〔2018〕195号）及《关于适用增值税新税率调整建设工程计价依据的通知》（渝建（2019）143号）执行，按增值税一般计税方法编制预算。</w:t>
      </w:r>
    </w:p>
    <w:p w14:paraId="41FA46A9">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3、竣工档案编制费：按《关于调整建设工程竣工档案编制费计取标准与计算方法的通知》渝建发〔2014〕26号、2018年《重庆市建设工程费用定额》规定执行。</w:t>
      </w:r>
    </w:p>
    <w:p w14:paraId="1D46A4ED">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（十四）其他说明</w:t>
      </w:r>
    </w:p>
    <w:p w14:paraId="46B85DFB">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1、按政策和合同约定的应由成交参选人交纳的各种保险费由成交参选人自行投保，保险费由成交参选人承担并支付，并根据企业自身和本工程情况，测算包含在相应的报价中，</w:t>
      </w:r>
      <w:r>
        <w:rPr>
          <w:rFonts w:hint="eastAsia" w:cs="宋体"/>
          <w:color w:val="auto"/>
          <w:highlight w:val="none"/>
          <w:lang w:eastAsia="zh-CN"/>
        </w:rPr>
        <w:t>招标人</w:t>
      </w:r>
      <w:r>
        <w:rPr>
          <w:rFonts w:hint="eastAsia" w:ascii="宋体" w:hAnsi="宋体" w:eastAsia="宋体" w:cs="宋体"/>
          <w:color w:val="auto"/>
          <w:highlight w:val="none"/>
        </w:rPr>
        <w:t>不另行支付。</w:t>
      </w:r>
    </w:p>
    <w:p w14:paraId="64E96C16">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2、参选人应先到工地踏勘以充分了解工地位置、进出场道路、储存空间、装卸限制、行车干扰及任何其它足以影响承包价格的情况，任何因忽视或误解工地情况而导致的索赔或工期延长申请将不获批准。</w:t>
      </w:r>
    </w:p>
    <w:p w14:paraId="5780D272">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3、出渣至渣场费用(运距和渣场费）、施工用水、用电费用、安全防护费、成品和半成品保护费、所有材料运输费及二次转运费均包含在工程量清单综合单价中，成交后不再做调整。</w:t>
      </w:r>
    </w:p>
    <w:p w14:paraId="78AB2F93">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4、施工期间施工区域的安全由成交参选人全权负责，施工过程中出现人身伤亡，财产损失的，全部责任由成交参选人承担，与</w:t>
      </w:r>
      <w:r>
        <w:rPr>
          <w:rFonts w:hint="eastAsia" w:cs="宋体"/>
          <w:color w:val="auto"/>
          <w:highlight w:val="none"/>
          <w:lang w:eastAsia="zh-CN"/>
        </w:rPr>
        <w:t>招标人</w:t>
      </w:r>
      <w:r>
        <w:rPr>
          <w:rFonts w:hint="eastAsia" w:ascii="宋体" w:hAnsi="宋体" w:eastAsia="宋体" w:cs="宋体"/>
          <w:color w:val="auto"/>
          <w:highlight w:val="none"/>
        </w:rPr>
        <w:t>无关。由此给</w:t>
      </w:r>
      <w:r>
        <w:rPr>
          <w:rFonts w:hint="eastAsia" w:cs="宋体"/>
          <w:color w:val="auto"/>
          <w:highlight w:val="none"/>
          <w:lang w:eastAsia="zh-CN"/>
        </w:rPr>
        <w:t>招标人</w:t>
      </w:r>
      <w:r>
        <w:rPr>
          <w:rFonts w:hint="eastAsia" w:ascii="宋体" w:hAnsi="宋体" w:eastAsia="宋体" w:cs="宋体"/>
          <w:color w:val="auto"/>
          <w:highlight w:val="none"/>
        </w:rPr>
        <w:t>造成损失的，成交参选人还应当赔偿。</w:t>
      </w:r>
    </w:p>
    <w:p w14:paraId="3372BDE5">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本项目施工用水、用电由参选人自行解决，参选人自行踏勘现场考虑接入点，负责办理有关手续、实施、维护，并承担相应的安全和管理责任。由此发生的手续费、工程费用、接入费、使用费、维护费、管理费等所有费用均纳入参选报价中，结算时不再另行计取。</w:t>
      </w:r>
    </w:p>
    <w:p w14:paraId="362C5A38">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三、履约保证金</w:t>
      </w:r>
      <w:bookmarkEnd w:id="119"/>
      <w:bookmarkEnd w:id="120"/>
      <w:bookmarkEnd w:id="121"/>
      <w:bookmarkEnd w:id="122"/>
    </w:p>
    <w:p w14:paraId="68AB1978">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bookmarkStart w:id="124" w:name="_Toc62484883"/>
      <w:r>
        <w:rPr>
          <w:rFonts w:hint="eastAsia" w:ascii="宋体" w:hAnsi="宋体" w:eastAsia="宋体" w:cs="宋体"/>
          <w:color w:val="000000" w:themeColor="text1"/>
          <w14:textFill>
            <w14:solidFill>
              <w14:schemeClr w14:val="tx1"/>
            </w14:solidFill>
          </w14:textFill>
        </w:rPr>
        <w:t>（一）本项目履约保证金为</w:t>
      </w:r>
      <w:r>
        <w:rPr>
          <w:rFonts w:hint="eastAsia" w:cs="宋体"/>
          <w:color w:val="000000" w:themeColor="text1"/>
          <w:u w:val="single"/>
          <w:lang w:val="en-US" w:eastAsia="zh-CN"/>
          <w14:textFill>
            <w14:solidFill>
              <w14:schemeClr w14:val="tx1"/>
            </w14:solidFill>
          </w14:textFill>
        </w:rPr>
        <w:t>中标价的5%</w:t>
      </w:r>
      <w:r>
        <w:rPr>
          <w:rFonts w:hint="eastAsia" w:ascii="宋体" w:hAnsi="宋体" w:eastAsia="宋体" w:cs="宋体"/>
          <w:color w:val="000000" w:themeColor="text1"/>
          <w14:textFill>
            <w14:solidFill>
              <w14:schemeClr w14:val="tx1"/>
            </w14:solidFill>
          </w14:textFill>
        </w:rPr>
        <w:t>。</w:t>
      </w:r>
    </w:p>
    <w:p w14:paraId="45840F2F">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（二）缴纳履约保证金方式：成交供应商应在成交通知书发出后</w:t>
      </w:r>
      <w:r>
        <w:rPr>
          <w:rFonts w:hint="eastAsia"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个工作日内、合同签订之前通过支票、</w:t>
      </w:r>
      <w:r>
        <w:rPr>
          <w:rFonts w:hint="eastAsia" w:ascii="宋体" w:hAnsi="宋体" w:eastAsia="宋体" w:cs="宋体"/>
          <w:color w:val="000000" w:themeColor="text1"/>
          <w:highlight w:val="none"/>
          <w:lang w:val="en-US" w:eastAsia="zh-CN"/>
          <w14:textFill>
            <w14:solidFill>
              <w14:schemeClr w14:val="tx1"/>
            </w14:solidFill>
          </w14:textFill>
        </w:rPr>
        <w:t>转账、</w:t>
      </w:r>
      <w:r>
        <w:rPr>
          <w:rFonts w:hint="eastAsia" w:ascii="宋体" w:hAnsi="宋体" w:eastAsia="宋体" w:cs="宋体"/>
          <w:color w:val="000000" w:themeColor="text1"/>
          <w:highlight w:val="none"/>
          <w14:textFill>
            <w14:solidFill>
              <w14:schemeClr w14:val="tx1"/>
            </w14:solidFill>
          </w14:textFill>
        </w:rPr>
        <w:t>汇票、本票或者金融机构、担保机构出具的保函等方式缴纳履约保证金，不得使用现金进账。</w:t>
      </w:r>
    </w:p>
    <w:p w14:paraId="0DA0760B">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（三）履约保证金的退还：履约保证金在竣工验收合格后1个</w:t>
      </w:r>
      <w:r>
        <w:rPr>
          <w:rFonts w:hint="eastAsia" w:cs="宋体"/>
          <w:color w:val="000000" w:themeColor="text1"/>
          <w:lang w:eastAsia="zh-CN"/>
          <w14:textFill>
            <w14:solidFill>
              <w14:schemeClr w14:val="tx1"/>
            </w14:solidFill>
          </w14:textFill>
        </w:rPr>
        <w:t>星期</w:t>
      </w:r>
      <w:r>
        <w:rPr>
          <w:rFonts w:hint="eastAsia" w:ascii="宋体" w:hAnsi="宋体" w:eastAsia="宋体" w:cs="宋体"/>
          <w:color w:val="000000" w:themeColor="text1"/>
          <w14:textFill>
            <w14:solidFill>
              <w14:schemeClr w14:val="tx1"/>
            </w14:solidFill>
          </w14:textFill>
        </w:rPr>
        <w:t>内退还，履约保证金不计息。</w:t>
      </w:r>
    </w:p>
    <w:p w14:paraId="05496712">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（四）成交供应商的工程质量未达到</w:t>
      </w:r>
      <w:r>
        <w:rPr>
          <w:rFonts w:hint="eastAsia" w:cs="宋体"/>
          <w:color w:val="000000" w:themeColor="text1"/>
          <w:lang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文件规定要求响应文件的响应及承诺，且对</w:t>
      </w:r>
      <w:r>
        <w:rPr>
          <w:rFonts w:hint="eastAsia" w:cs="宋体"/>
          <w:color w:val="000000" w:themeColor="text1"/>
          <w:lang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人造成损失的，由成交供应商承担一切责任的同时，扣除履约保证金，并赔偿所造成的损失。</w:t>
      </w:r>
    </w:p>
    <w:p w14:paraId="42406F4D">
      <w:pPr>
        <w:pStyle w:val="5"/>
        <w:pageBreakBefore w:val="0"/>
        <w:kinsoku/>
        <w:overflowPunct/>
        <w:topLinePunct w:val="0"/>
        <w:bidi w:val="0"/>
        <w:spacing w:before="0" w:after="0" w:line="336" w:lineRule="auto"/>
        <w:textAlignment w:val="auto"/>
        <w:rPr>
          <w:rFonts w:hint="eastAsia" w:ascii="宋体" w:hAnsi="宋体" w:eastAsia="宋体" w:cs="宋体"/>
          <w:color w:val="000000" w:themeColor="text1"/>
          <w:sz w:val="24"/>
          <w:szCs w:val="24"/>
          <w:highlight w:val="red"/>
          <w14:textFill>
            <w14:solidFill>
              <w14:schemeClr w14:val="tx1"/>
            </w14:solidFill>
          </w14:textFill>
        </w:rPr>
      </w:pPr>
      <w:bookmarkStart w:id="125" w:name="_Toc108545978"/>
      <w:r>
        <w:rPr>
          <w:rFonts w:hint="eastAsia" w:ascii="宋体" w:hAnsi="宋体" w:eastAsia="宋体" w:cs="宋体"/>
          <w:color w:val="000000" w:themeColor="text1"/>
          <w:sz w:val="24"/>
          <w:szCs w:val="24"/>
          <w:highlight w:val="none"/>
          <w14:textFill>
            <w14:solidFill>
              <w14:schemeClr w14:val="tx1"/>
            </w14:solidFill>
          </w14:textFill>
        </w:rPr>
        <w:t>四、</w:t>
      </w:r>
      <w:bookmarkEnd w:id="125"/>
      <w:bookmarkStart w:id="126" w:name="_Toc344475123"/>
      <w:r>
        <w:rPr>
          <w:rFonts w:hint="eastAsia" w:ascii="宋体" w:hAnsi="宋体" w:eastAsia="宋体" w:cs="宋体"/>
          <w:color w:val="000000" w:themeColor="text1"/>
          <w:sz w:val="24"/>
          <w:szCs w:val="24"/>
          <w:highlight w:val="none"/>
          <w14:textFill>
            <w14:solidFill>
              <w14:schemeClr w14:val="tx1"/>
            </w14:solidFill>
          </w14:textFill>
        </w:rPr>
        <w:t>结算方式</w:t>
      </w:r>
    </w:p>
    <w:bookmarkEnd w:id="126"/>
    <w:p w14:paraId="324FAA44">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（一）本</w:t>
      </w:r>
      <w:r>
        <w:rPr>
          <w:rFonts w:hint="eastAsia" w:cs="宋体"/>
          <w:color w:val="000000" w:themeColor="text1"/>
          <w:lang w:eastAsia="zh-CN"/>
          <w14:textFill>
            <w14:solidFill>
              <w14:schemeClr w14:val="tx1"/>
            </w14:solidFill>
          </w14:textFill>
        </w:rPr>
        <w:t>项目</w:t>
      </w:r>
      <w:r>
        <w:rPr>
          <w:rFonts w:hint="eastAsia" w:ascii="宋体" w:hAnsi="宋体" w:eastAsia="宋体" w:cs="宋体"/>
          <w:color w:val="000000" w:themeColor="text1"/>
          <w14:textFill>
            <w14:solidFill>
              <w14:schemeClr w14:val="tx1"/>
            </w14:solidFill>
          </w14:textFill>
        </w:rPr>
        <w:t>采用固定综合单价，综合单价不因工程量的增减（工程量的变化、施工方式的变化）而调整。除非合同另有约定，投标报价的工程量清单中的综合单价均已包含但不限于参选人为实施和完成合同工程量清单项目所需的人工费、材料费、机械费、企业管理费、利润、风险费用。</w:t>
      </w:r>
    </w:p>
    <w:p w14:paraId="12A8AF53">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（二）各部分的结算原则如下:</w:t>
      </w:r>
    </w:p>
    <w:p w14:paraId="5CA5BD26">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1.分部分项工程量清单结算总价:</w:t>
      </w:r>
    </w:p>
    <w:p w14:paraId="581139B1">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分部分项工程结算价=综合单价×子项工程量</w:t>
      </w:r>
    </w:p>
    <w:p w14:paraId="18A20282">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子项工程量:工程量计算以施工图、设计变更、有效签证资料(签字且盖章)及竣工图作为计算依据，按《重庆市建设工程工程量计算规则》（CQJLGZ-2013）、《建设工程工程量清单计价规范》（GB50500-2013）、《重庆市建设工程工程量清单计价规则》（CQQDGZ-2013）、《重庆市建设工程工程量清单计价指南》（2013）；定额执行《重庆市房屋建筑与装饰工程计价定额》（CQJZZSDE-2018）、《重庆市房屋修缮工程计价定额》（CQXSDE-2018）、《重庆市通用安装工程计价定额》（CQAZDE-2018）、《重庆市建设工程费用定额》（CQFYDE-2018）、《重庆市建设工程施工机械台班定额》（CQJXDE-2018）及其配套文件规定的计量规则计算的合格工程量作为结算依据。</w:t>
      </w:r>
    </w:p>
    <w:p w14:paraId="61FC8C68">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2.措施费</w:t>
      </w:r>
    </w:p>
    <w:p w14:paraId="5D55B7FB">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措施项目费清单包括施工组织措施项目清单和施工技术措施项目清单两部分。</w:t>
      </w:r>
    </w:p>
    <w:p w14:paraId="6DACC545">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施工组织措施项目清单：除安全文明施工费用外，其他施工组织措施项目无论因设计变更或施工工艺变化、完成工程数量的多少而调整、分段施工造成的工期增加或相应费用的增加，施工组织措施项目费用包干计算，一概不作调整。</w:t>
      </w:r>
    </w:p>
    <w:p w14:paraId="5C24171C">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施工技术措施项目清单：技术措施清单中以项计列的项目，由参选人根据现场踏勘情况及本工程的实际情况结合自身施工组织设计，以项为单位的自行报价，包干使用，结算时不再调整。成交后不论何种因素影响，相应的综合单价不作调整，工程量按《通用安装工程工程量计算规范》GB50856-2013、《房屋建筑与装饰工程工程量计算规范》GB50854-2013、《重庆市建设工程工程量计算规则》（CQJLGZ-2013 ）规定的计量规则及工程量清单说明按实计量。</w:t>
      </w:r>
    </w:p>
    <w:p w14:paraId="2B6612B4">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3.设计变更费、新增项目</w:t>
      </w:r>
    </w:p>
    <w:p w14:paraId="2FD3A235">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当发生设计变更或新增项目，</w:t>
      </w:r>
      <w:r>
        <w:rPr>
          <w:rFonts w:hint="eastAsia" w:cs="宋体"/>
          <w:color w:val="000000" w:themeColor="text1"/>
          <w:lang w:eastAsia="zh-CN"/>
          <w14:textFill>
            <w14:solidFill>
              <w14:schemeClr w14:val="tx1"/>
            </w14:solidFill>
          </w14:textFill>
        </w:rPr>
        <w:t>招标人</w:t>
      </w:r>
      <w:r>
        <w:rPr>
          <w:rFonts w:hint="eastAsia" w:ascii="宋体" w:hAnsi="宋体" w:eastAsia="宋体" w:cs="宋体"/>
          <w:color w:val="000000" w:themeColor="text1"/>
          <w14:textFill>
            <w14:solidFill>
              <w14:schemeClr w14:val="tx1"/>
            </w14:solidFill>
          </w14:textFill>
        </w:rPr>
        <w:t>及监理工程师按照下列计价原则结算：</w:t>
      </w:r>
    </w:p>
    <w:p w14:paraId="49724B13">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①已标价工程量清单中有适用于变更工作的子目，采用该子目的综合单价。</w:t>
      </w:r>
    </w:p>
    <w:p w14:paraId="7D063183">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已标价工程量清单中无适用于变更工程的子目，但有类似子目的，可在合理范围内参照类似子目的综合单价，对该子目主材的价格进行调整。主材调整原则:投标时有的材料，调入时取投标价与投标当期重庆市建设工程造价总站主办的《重庆工程造价信息》的低值；投标时没有的材料，按</w:t>
      </w:r>
      <w:r>
        <w:rPr>
          <w:rFonts w:hint="eastAsia" w:cs="宋体"/>
          <w:color w:val="000000" w:themeColor="text1"/>
          <w:lang w:eastAsia="zh-CN"/>
          <w14:textFill>
            <w14:solidFill>
              <w14:schemeClr w14:val="tx1"/>
            </w14:solidFill>
          </w14:textFill>
        </w:rPr>
        <w:t>招标人</w:t>
      </w:r>
      <w:r>
        <w:rPr>
          <w:rFonts w:hint="eastAsia" w:ascii="宋体" w:hAnsi="宋体" w:eastAsia="宋体" w:cs="宋体"/>
          <w:color w:val="000000" w:themeColor="text1"/>
          <w14:textFill>
            <w14:solidFill>
              <w14:schemeClr w14:val="tx1"/>
            </w14:solidFill>
          </w14:textFill>
        </w:rPr>
        <w:t>充分结合施工期市场核定的价格执行，并不高于施工同期《重庆工程造价信息》，调整后的综合单价作为类似子目的综合单价(类似项目由</w:t>
      </w:r>
      <w:r>
        <w:rPr>
          <w:rFonts w:hint="eastAsia" w:cs="宋体"/>
          <w:color w:val="000000" w:themeColor="text1"/>
          <w:lang w:eastAsia="zh-CN"/>
          <w14:textFill>
            <w14:solidFill>
              <w14:schemeClr w14:val="tx1"/>
            </w14:solidFill>
          </w14:textFill>
        </w:rPr>
        <w:t>招标人</w:t>
      </w:r>
      <w:r>
        <w:rPr>
          <w:rFonts w:hint="eastAsia" w:ascii="宋体" w:hAnsi="宋体" w:eastAsia="宋体" w:cs="宋体"/>
          <w:color w:val="000000" w:themeColor="text1"/>
          <w14:textFill>
            <w14:solidFill>
              <w14:schemeClr w14:val="tx1"/>
            </w14:solidFill>
          </w14:textFill>
        </w:rPr>
        <w:t>确定，投标的人工、材料单价表作为合同附件)。</w:t>
      </w:r>
    </w:p>
    <w:p w14:paraId="5D3CD9C9">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已标价工程量清单中无适用或类似子目的综合单价，按国家技术和经济规范及标准、《重庆市建设工程工程量计算规则》（CQJLGZ－2013）、《建设工程工程量清单计价规范》（GB50500-2013）、《重庆市建设工程工程量清单计价规则》（CQQDGZ-2013）、《重庆市建设工程工程量清单计价指南》（2013）；定额执行《重庆市房屋建筑与装饰工程计价定额》（CQJZZSDE-2018）、《重庆市房屋修缮工程计价定额》（CQXSDE-2018）、《重庆市通用安装工程计价定额》（CQAZDE-2018）、《重庆市建设工程费用定额》（CQFYDE-2018）、《重庆市建设工程施工机械台班定额》（CQJXDE-2018）及其配套文件等（配套文件只执行合同签定之日前重庆市建委颁发的文件，合同签定之日后颁发的有关政策文件不予执行。）编制，再按成交总价与总价最高限价同比例进行下浮（其中人工价差、材料价差、未计价材料、不下浮）。其中人工工日、材料单价的确定原则：人工费按投标时有的投标价执行，若参选人</w:t>
      </w:r>
      <w:r>
        <w:rPr>
          <w:rFonts w:hint="eastAsia" w:cs="宋体"/>
          <w:color w:val="000000" w:themeColor="text1"/>
          <w:lang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报价高于施工实施期《重庆工程造价信息》中对应的人工工日单价平均值（若发布的某一类别人工工日单价是区间值的，则按其算术平均值执行），则按施工实施期《重庆工程造价信息》中对应的人工工日单价平均值执行；材料结算价格：清单报价中已有的按响应文件中清单报价执行；清单报价中没有的按该项目施工期间的《重庆工程造价信息》信息价的算术平均价执行；</w:t>
      </w:r>
      <w:r>
        <w:rPr>
          <w:rFonts w:hint="eastAsia" w:cs="宋体"/>
          <w:color w:val="000000" w:themeColor="text1"/>
          <w:lang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时没有的，</w:t>
      </w:r>
      <w:r>
        <w:rPr>
          <w:rFonts w:hint="eastAsia" w:cs="宋体"/>
          <w:color w:val="000000" w:themeColor="text1"/>
          <w:lang w:eastAsia="zh-CN"/>
          <w14:textFill>
            <w14:solidFill>
              <w14:schemeClr w14:val="tx1"/>
            </w14:solidFill>
          </w14:textFill>
        </w:rPr>
        <w:t>招标人</w:t>
      </w:r>
      <w:r>
        <w:rPr>
          <w:rFonts w:hint="eastAsia" w:ascii="宋体" w:hAnsi="宋体" w:eastAsia="宋体" w:cs="宋体"/>
          <w:color w:val="000000" w:themeColor="text1"/>
          <w14:textFill>
            <w14:solidFill>
              <w14:schemeClr w14:val="tx1"/>
            </w14:solidFill>
          </w14:textFill>
        </w:rPr>
        <w:t xml:space="preserve">结合市场进行核定价格，且不高于施工同期《重庆工程造价信息》的价格。  </w:t>
      </w:r>
    </w:p>
    <w:p w14:paraId="0B855B0D">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4.安全文明施工费: 根据渝建发〔2014〕25号、《重庆市建设工程费用定额（2018）》文并结合渝建〔2019〕143号文按“合格”标准计取。</w:t>
      </w:r>
    </w:p>
    <w:p w14:paraId="767004E9">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5.规费：按照参选报价书的费率，但若报价书的费率高于《重庆市建设工程费用定额》（CQFYDE-2018）的规定费率，则按规定费率结算。</w:t>
      </w:r>
    </w:p>
    <w:p w14:paraId="15E9A1CF">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税金：按照参选报价书的费率，但若报价书的费率高于《重庆市建设工程费用定额》（CQFYDE-2018）、《重庆市住房和城乡建设委员会关于适用增值税新税率调整建设工程计价依据的通知》（渝建【2019】143号）的规定费率，则按规定费率结算。</w:t>
      </w:r>
    </w:p>
    <w:p w14:paraId="758669A7">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（三）最终结算原则</w:t>
      </w:r>
    </w:p>
    <w:p w14:paraId="667F8DF7">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1.竣工结算价=Σ分部分项工程结算价+Σ措施项目结算价+Σ其他项目结算价±Σ价格调整（如有）±Σ变更、索赔与现场签证结算价±Σ奖励、罚金、违约金及其他费用+Σ规费+Σ税金。</w:t>
      </w:r>
    </w:p>
    <w:p w14:paraId="23ECB215">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2.合同履行中,若存在需追加与合同标的相同的货物、工程或者服务的，在不改变合同其他条款的前提下，可以与参选人协商签订补充合同，但所有补充合同的</w:t>
      </w:r>
      <w:r>
        <w:rPr>
          <w:rFonts w:hint="eastAsia" w:cs="宋体"/>
          <w:color w:val="000000" w:themeColor="text1"/>
          <w:lang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金额不得超过原合同</w:t>
      </w:r>
      <w:r>
        <w:rPr>
          <w:rFonts w:hint="eastAsia" w:cs="宋体"/>
          <w:color w:val="000000" w:themeColor="text1"/>
          <w:lang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 xml:space="preserve">金额的百分之十。 </w:t>
      </w:r>
    </w:p>
    <w:p w14:paraId="29010348">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本工程结算价最终以相关审计部门审定的金额为准。</w:t>
      </w:r>
      <w:r>
        <w:rPr>
          <w:rFonts w:hint="eastAsia" w:ascii="宋体" w:hAnsi="宋体" w:cs="宋体"/>
          <w:color w:val="auto"/>
          <w:sz w:val="24"/>
          <w:szCs w:val="24"/>
          <w:highlight w:val="none"/>
        </w:rPr>
        <w:t>相关部门审核结算金额与建设单位报送结算金额相比，审减率在5%以内时，结算评审费由委托方支付；审减率在5%以上（含5%）时，委托方只支付基本审计费，所有审减金额的效益费由施工单位支付。</w:t>
      </w:r>
    </w:p>
    <w:p w14:paraId="0719A153">
      <w:pPr>
        <w:pStyle w:val="5"/>
        <w:pageBreakBefore w:val="0"/>
        <w:numPr>
          <w:ilvl w:val="0"/>
          <w:numId w:val="3"/>
        </w:numPr>
        <w:kinsoku/>
        <w:overflowPunct/>
        <w:topLinePunct w:val="0"/>
        <w:bidi w:val="0"/>
        <w:spacing w:before="0" w:after="0" w:line="336" w:lineRule="auto"/>
        <w:textAlignment w:val="auto"/>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yellow"/>
          <w14:textFill>
            <w14:solidFill>
              <w14:schemeClr w14:val="tx1"/>
            </w14:solidFill>
          </w14:textFill>
        </w:rPr>
        <w:t>付款方式</w:t>
      </w:r>
      <w:bookmarkEnd w:id="123"/>
      <w:bookmarkEnd w:id="124"/>
      <w:bookmarkStart w:id="127" w:name="_Toc62484884"/>
    </w:p>
    <w:p w14:paraId="0AA53F29">
      <w:pPr>
        <w:pStyle w:val="5"/>
        <w:pageBreakBefore w:val="0"/>
        <w:kinsoku/>
        <w:overflowPunct/>
        <w:topLinePunct w:val="0"/>
        <w:bidi w:val="0"/>
        <w:spacing w:before="0" w:after="0" w:line="336" w:lineRule="auto"/>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签订合同之后支付合同总价的40%，验收合格后支付至合同金额的70%，应优先用于农民工工资保障，完成审计结算后付至审定金额97%，留3%作为项目质量保证金，质保期为2年，自验收合格之日起算；质保金待质保期满，乙方完清质保义务且无其他违约行为的，无息支付。</w:t>
      </w:r>
    </w:p>
    <w:p w14:paraId="021AB2A8">
      <w:pPr>
        <w:pStyle w:val="5"/>
        <w:pageBreakBefore w:val="0"/>
        <w:kinsoku/>
        <w:overflowPunct/>
        <w:topLinePunct w:val="0"/>
        <w:bidi w:val="0"/>
        <w:spacing w:before="0" w:after="0" w:line="336" w:lineRule="auto"/>
        <w:textAlignment w:val="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auto"/>
          <w:sz w:val="24"/>
          <w:szCs w:val="24"/>
          <w:lang w:val="en-US" w:eastAsia="zh-CN"/>
        </w:rPr>
        <w:t>六、缺陷责任期</w:t>
      </w:r>
    </w:p>
    <w:p w14:paraId="1F0D8351">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lang w:eastAsia="zh-CN"/>
        </w:rPr>
        <w:t>本项目缺陷责任期为</w:t>
      </w:r>
      <w:r>
        <w:rPr>
          <w:rFonts w:hint="eastAsia" w:cs="宋体"/>
          <w:color w:val="auto"/>
          <w:lang w:eastAsia="zh-CN"/>
        </w:rPr>
        <w:t>贰</w:t>
      </w:r>
      <w:r>
        <w:rPr>
          <w:rFonts w:hint="eastAsia" w:ascii="宋体" w:hAnsi="宋体" w:eastAsia="宋体" w:cs="宋体"/>
          <w:color w:val="auto"/>
          <w:lang w:eastAsia="zh-CN"/>
        </w:rPr>
        <w:t>年，</w:t>
      </w:r>
      <w:r>
        <w:rPr>
          <w:rFonts w:hint="eastAsia" w:ascii="宋体" w:hAnsi="宋体" w:eastAsia="宋体" w:cs="宋体"/>
          <w:color w:val="auto"/>
          <w:lang w:val="en-US" w:eastAsia="zh-CN"/>
        </w:rPr>
        <w:t>按照《建设工程质量管理条例》和《房屋工程质量管理》中的规定，防水工程为五年。</w:t>
      </w:r>
      <w:r>
        <w:rPr>
          <w:rFonts w:hint="eastAsia" w:cs="宋体"/>
          <w:color w:val="auto"/>
          <w:lang w:eastAsia="zh-CN"/>
        </w:rPr>
        <w:t>招标</w:t>
      </w:r>
      <w:r>
        <w:rPr>
          <w:rFonts w:hint="eastAsia" w:ascii="宋体" w:hAnsi="宋体" w:eastAsia="宋体" w:cs="宋体"/>
          <w:color w:val="auto"/>
        </w:rPr>
        <w:t>人在工程完工验收合格</w:t>
      </w:r>
      <w:r>
        <w:rPr>
          <w:rFonts w:hint="eastAsia" w:ascii="宋体" w:hAnsi="宋体" w:eastAsia="宋体" w:cs="宋体"/>
          <w:color w:val="auto"/>
          <w:lang w:eastAsia="zh-CN"/>
        </w:rPr>
        <w:t>且缺陷责任期满后</w:t>
      </w:r>
      <w:r>
        <w:rPr>
          <w:rFonts w:hint="eastAsia" w:ascii="宋体" w:hAnsi="宋体" w:eastAsia="宋体" w:cs="宋体"/>
          <w:color w:val="auto"/>
        </w:rPr>
        <w:t>，不存在质量问题的条件下，退还质量保证金（质量保证金不计息）</w:t>
      </w:r>
      <w:r>
        <w:rPr>
          <w:rFonts w:hint="eastAsia" w:ascii="宋体" w:hAnsi="宋体" w:eastAsia="宋体" w:cs="宋体"/>
          <w:color w:val="auto"/>
          <w:lang w:eastAsia="zh-CN"/>
        </w:rPr>
        <w:t>。</w:t>
      </w:r>
    </w:p>
    <w:p w14:paraId="0BCC7AE6">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128" w:name="_Toc108545979"/>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、转包、分包</w:t>
      </w:r>
      <w:bookmarkEnd w:id="127"/>
      <w:bookmarkEnd w:id="128"/>
    </w:p>
    <w:p w14:paraId="0CBBF7D3">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（一）成交供应商未经</w:t>
      </w:r>
      <w:r>
        <w:rPr>
          <w:rFonts w:hint="eastAsia" w:cs="宋体"/>
          <w:color w:val="auto"/>
          <w:lang w:eastAsia="zh-CN"/>
        </w:rPr>
        <w:t>招标</w:t>
      </w:r>
      <w:r>
        <w:rPr>
          <w:rFonts w:hint="eastAsia" w:ascii="宋体" w:hAnsi="宋体" w:eastAsia="宋体" w:cs="宋体"/>
          <w:color w:val="auto"/>
        </w:rPr>
        <w:t>人书面同意，不得将本工程项目转包、分包给第三方，如成交供应商将本工程项目转包、分包给第三方的，</w:t>
      </w:r>
      <w:r>
        <w:rPr>
          <w:rFonts w:hint="eastAsia" w:cs="宋体"/>
          <w:color w:val="auto"/>
          <w:lang w:eastAsia="zh-CN"/>
        </w:rPr>
        <w:t>招标</w:t>
      </w:r>
      <w:r>
        <w:rPr>
          <w:rFonts w:hint="eastAsia" w:ascii="宋体" w:hAnsi="宋体" w:eastAsia="宋体" w:cs="宋体"/>
          <w:color w:val="auto"/>
        </w:rPr>
        <w:t>人有权解除合同，同时</w:t>
      </w:r>
      <w:r>
        <w:rPr>
          <w:rFonts w:hint="eastAsia" w:cs="宋体"/>
          <w:color w:val="auto"/>
          <w:lang w:eastAsia="zh-CN"/>
        </w:rPr>
        <w:t>招标</w:t>
      </w:r>
      <w:r>
        <w:rPr>
          <w:rFonts w:hint="eastAsia" w:ascii="宋体" w:hAnsi="宋体" w:eastAsia="宋体" w:cs="宋体"/>
          <w:color w:val="auto"/>
        </w:rPr>
        <w:t>人有权要求成交供应商按合同总金额的10 %支付违约金，因此给</w:t>
      </w:r>
      <w:r>
        <w:rPr>
          <w:rFonts w:hint="eastAsia" w:cs="宋体"/>
          <w:color w:val="auto"/>
          <w:lang w:eastAsia="zh-CN"/>
        </w:rPr>
        <w:t>招标</w:t>
      </w:r>
      <w:r>
        <w:rPr>
          <w:rFonts w:hint="eastAsia" w:ascii="宋体" w:hAnsi="宋体" w:eastAsia="宋体" w:cs="宋体"/>
          <w:color w:val="auto"/>
        </w:rPr>
        <w:t>人造成的损失应由成交供应商承担赔偿责任。</w:t>
      </w:r>
    </w:p>
    <w:p w14:paraId="721B36D6">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129" w:name="_Toc344475124"/>
      <w:bookmarkStart w:id="130" w:name="_Toc54879135"/>
      <w:bookmarkStart w:id="131" w:name="_Toc62484885"/>
      <w:bookmarkStart w:id="132" w:name="_Toc108545980"/>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w:t>
      </w:r>
      <w:bookmarkEnd w:id="129"/>
      <w:bookmarkStart w:id="133" w:name="_Toc344475125"/>
      <w:r>
        <w:rPr>
          <w:rFonts w:hint="eastAsia" w:ascii="宋体" w:hAnsi="宋体" w:eastAsia="宋体" w:cs="宋体"/>
          <w:color w:val="auto"/>
          <w:sz w:val="24"/>
          <w:szCs w:val="24"/>
        </w:rPr>
        <w:t>其他</w:t>
      </w:r>
      <w:bookmarkEnd w:id="130"/>
      <w:bookmarkEnd w:id="131"/>
      <w:bookmarkEnd w:id="132"/>
    </w:p>
    <w:p w14:paraId="14A3451A">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（一）价格调整：在合同执行期间（包括工期拖延期间），由于人工、材料和设备价格的上涨而引起工程施工成本增加的风险由承包人自行承担，合同价格不会因此而调整。</w:t>
      </w:r>
    </w:p>
    <w:bookmarkEnd w:id="133"/>
    <w:p w14:paraId="28523935">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（二）供应商必须在响应文件中对以上条款和服务承诺明确列出，承诺内容必须达到本篇及</w:t>
      </w:r>
      <w:r>
        <w:rPr>
          <w:rFonts w:hint="eastAsia" w:cs="宋体"/>
          <w:color w:val="auto"/>
          <w:lang w:eastAsia="zh-CN"/>
        </w:rPr>
        <w:t>网上询价</w:t>
      </w:r>
      <w:r>
        <w:rPr>
          <w:rFonts w:hint="eastAsia" w:ascii="宋体" w:hAnsi="宋体" w:eastAsia="宋体" w:cs="宋体"/>
          <w:color w:val="auto"/>
        </w:rPr>
        <w:t>文件其他条款的要求。</w:t>
      </w:r>
    </w:p>
    <w:p w14:paraId="51DF9383">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（三）其他未尽事宜由供需双方在</w:t>
      </w:r>
      <w:r>
        <w:rPr>
          <w:rFonts w:hint="eastAsia" w:cs="宋体"/>
          <w:color w:val="auto"/>
          <w:lang w:eastAsia="zh-CN"/>
        </w:rPr>
        <w:t>招标</w:t>
      </w:r>
      <w:r>
        <w:rPr>
          <w:rFonts w:hint="eastAsia" w:ascii="宋体" w:hAnsi="宋体" w:eastAsia="宋体" w:cs="宋体"/>
          <w:color w:val="auto"/>
        </w:rPr>
        <w:t>合同中详细约定。</w:t>
      </w:r>
    </w:p>
    <w:p w14:paraId="5C381D6B">
      <w:pPr>
        <w:pStyle w:val="7"/>
        <w:pageBreakBefore w:val="0"/>
        <w:kinsoku/>
        <w:overflowPunct/>
        <w:topLinePunct w:val="0"/>
        <w:bidi w:val="0"/>
        <w:spacing w:line="336" w:lineRule="auto"/>
        <w:textAlignment w:val="auto"/>
        <w:rPr>
          <w:rFonts w:hint="eastAsia" w:ascii="宋体" w:hAnsi="宋体" w:eastAsia="宋体" w:cs="宋体"/>
          <w:color w:val="auto"/>
        </w:rPr>
      </w:pPr>
      <w:r>
        <w:rPr>
          <w:rFonts w:hint="eastAsia" w:ascii="宋体" w:hAnsi="宋体" w:eastAsia="宋体" w:cs="宋体"/>
          <w:color w:val="auto"/>
        </w:rPr>
        <w:br w:type="page"/>
      </w:r>
    </w:p>
    <w:p w14:paraId="325F2F92">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p>
    <w:bookmarkEnd w:id="97"/>
    <w:bookmarkEnd w:id="98"/>
    <w:bookmarkEnd w:id="115"/>
    <w:bookmarkEnd w:id="116"/>
    <w:bookmarkEnd w:id="117"/>
    <w:p w14:paraId="460D306C">
      <w:pPr>
        <w:pStyle w:val="4"/>
        <w:pageBreakBefore w:val="0"/>
        <w:kinsoku/>
        <w:overflowPunct/>
        <w:topLinePunct w:val="0"/>
        <w:bidi w:val="0"/>
        <w:spacing w:line="336" w:lineRule="auto"/>
        <w:jc w:val="center"/>
        <w:textAlignment w:val="auto"/>
        <w:rPr>
          <w:rFonts w:hint="eastAsia" w:ascii="宋体" w:hAnsi="宋体" w:eastAsia="宋体" w:cs="宋体"/>
          <w:b w:val="0"/>
          <w:color w:val="auto"/>
        </w:rPr>
      </w:pPr>
      <w:bookmarkStart w:id="134" w:name="_Toc108545982"/>
      <w:bookmarkStart w:id="135" w:name="_Toc12942"/>
      <w:bookmarkStart w:id="136" w:name="_Toc487204796"/>
      <w:r>
        <w:rPr>
          <w:rFonts w:hint="eastAsia" w:ascii="宋体" w:hAnsi="宋体" w:eastAsia="宋体" w:cs="宋体"/>
          <w:bCs w:val="0"/>
          <w:color w:val="auto"/>
        </w:rPr>
        <w:t>第</w:t>
      </w:r>
      <w:r>
        <w:rPr>
          <w:rFonts w:hint="eastAsia" w:ascii="宋体" w:hAnsi="宋体" w:cs="宋体"/>
          <w:bCs w:val="0"/>
          <w:color w:val="auto"/>
          <w:lang w:val="en-US" w:eastAsia="zh-CN"/>
        </w:rPr>
        <w:t>五</w:t>
      </w:r>
      <w:r>
        <w:rPr>
          <w:rFonts w:hint="eastAsia" w:ascii="宋体" w:hAnsi="宋体" w:eastAsia="宋体" w:cs="宋体"/>
          <w:bCs w:val="0"/>
          <w:color w:val="auto"/>
        </w:rPr>
        <w:t>篇  响应文件格式要求</w:t>
      </w:r>
      <w:bookmarkEnd w:id="134"/>
      <w:bookmarkEnd w:id="135"/>
      <w:bookmarkEnd w:id="136"/>
    </w:p>
    <w:p w14:paraId="3C212728">
      <w:pPr>
        <w:pageBreakBefore w:val="0"/>
        <w:kinsoku/>
        <w:overflowPunct/>
        <w:topLinePunct w:val="0"/>
        <w:bidi w:val="0"/>
        <w:spacing w:line="336" w:lineRule="auto"/>
        <w:textAlignment w:val="auto"/>
        <w:rPr>
          <w:rFonts w:hint="eastAsia" w:ascii="宋体" w:hAnsi="宋体" w:eastAsia="宋体" w:cs="宋体"/>
          <w:b/>
          <w:bCs/>
          <w:color w:val="auto"/>
        </w:rPr>
      </w:pPr>
      <w:r>
        <w:rPr>
          <w:rFonts w:hint="eastAsia" w:ascii="宋体" w:hAnsi="宋体" w:eastAsia="宋体" w:cs="宋体"/>
          <w:b/>
          <w:bCs/>
          <w:color w:val="auto"/>
        </w:rPr>
        <w:t>一、经济部分</w:t>
      </w:r>
    </w:p>
    <w:p w14:paraId="51B46812">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（一）报价函</w:t>
      </w:r>
    </w:p>
    <w:p w14:paraId="27407009">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（二）明细报价表</w:t>
      </w:r>
    </w:p>
    <w:p w14:paraId="023AB0AD">
      <w:pPr>
        <w:pageBreakBefore w:val="0"/>
        <w:kinsoku/>
        <w:overflowPunct/>
        <w:topLinePunct w:val="0"/>
        <w:bidi w:val="0"/>
        <w:spacing w:line="336" w:lineRule="auto"/>
        <w:textAlignment w:val="auto"/>
        <w:rPr>
          <w:rFonts w:hint="eastAsia" w:ascii="宋体" w:hAnsi="宋体" w:eastAsia="宋体" w:cs="宋体"/>
          <w:b/>
          <w:bCs/>
          <w:color w:val="auto"/>
        </w:rPr>
      </w:pPr>
      <w:r>
        <w:rPr>
          <w:rFonts w:hint="eastAsia" w:ascii="宋体" w:hAnsi="宋体" w:eastAsia="宋体" w:cs="宋体"/>
          <w:b/>
          <w:bCs/>
          <w:color w:val="auto"/>
        </w:rPr>
        <w:t>二、技术部分</w:t>
      </w:r>
    </w:p>
    <w:p w14:paraId="59303408">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（一）技术应答</w:t>
      </w:r>
    </w:p>
    <w:p w14:paraId="0E96EE7D">
      <w:pPr>
        <w:pageBreakBefore w:val="0"/>
        <w:kinsoku/>
        <w:overflowPunct/>
        <w:topLinePunct w:val="0"/>
        <w:bidi w:val="0"/>
        <w:spacing w:line="336" w:lineRule="auto"/>
        <w:textAlignment w:val="auto"/>
        <w:rPr>
          <w:rFonts w:hint="eastAsia" w:ascii="宋体" w:hAnsi="宋体" w:eastAsia="宋体" w:cs="宋体"/>
          <w:b/>
          <w:bCs/>
          <w:color w:val="auto"/>
        </w:rPr>
      </w:pPr>
      <w:r>
        <w:rPr>
          <w:rFonts w:hint="eastAsia" w:ascii="宋体" w:hAnsi="宋体" w:eastAsia="宋体" w:cs="宋体"/>
          <w:b/>
          <w:bCs/>
          <w:color w:val="auto"/>
        </w:rPr>
        <w:t>三、商务部分</w:t>
      </w:r>
    </w:p>
    <w:p w14:paraId="0589A230">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（一）服务要求响应情况</w:t>
      </w:r>
    </w:p>
    <w:p w14:paraId="200CF045">
      <w:pPr>
        <w:pageBreakBefore w:val="0"/>
        <w:kinsoku/>
        <w:overflowPunct/>
        <w:topLinePunct w:val="0"/>
        <w:bidi w:val="0"/>
        <w:spacing w:line="336" w:lineRule="auto"/>
        <w:textAlignment w:val="auto"/>
        <w:rPr>
          <w:rFonts w:hint="eastAsia" w:ascii="宋体" w:hAnsi="宋体" w:eastAsia="宋体" w:cs="宋体"/>
          <w:b/>
          <w:bCs/>
          <w:color w:val="auto"/>
        </w:rPr>
      </w:pPr>
      <w:r>
        <w:rPr>
          <w:rFonts w:hint="eastAsia" w:ascii="宋体" w:hAnsi="宋体" w:eastAsia="宋体" w:cs="宋体"/>
          <w:b/>
          <w:bCs/>
          <w:color w:val="auto"/>
        </w:rPr>
        <w:t>四、资格条件及其他</w:t>
      </w:r>
    </w:p>
    <w:p w14:paraId="7F3D8026">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（一）营业执照（副本）或事业单位法人证书（副本）复印件或个体工商户营业执照</w:t>
      </w:r>
    </w:p>
    <w:p w14:paraId="25F9673D">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（二）法定代表人身份证明书（格式）</w:t>
      </w:r>
    </w:p>
    <w:p w14:paraId="190D2757">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（三）法定代表人授权委托书（格式）</w:t>
      </w:r>
    </w:p>
    <w:p w14:paraId="1F04F544">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（四）基本资格条件承诺函（格式）</w:t>
      </w:r>
    </w:p>
    <w:p w14:paraId="6CFBAEF7">
      <w:pPr>
        <w:pageBreakBefore w:val="0"/>
        <w:kinsoku/>
        <w:overflowPunct/>
        <w:topLinePunct w:val="0"/>
        <w:bidi w:val="0"/>
        <w:spacing w:line="336" w:lineRule="auto"/>
        <w:textAlignment w:val="auto"/>
        <w:rPr>
          <w:rFonts w:hint="eastAsia" w:ascii="宋体" w:hAnsi="宋体" w:eastAsia="宋体" w:cs="宋体"/>
          <w:b/>
          <w:bCs/>
          <w:color w:val="auto"/>
        </w:rPr>
      </w:pPr>
      <w:r>
        <w:rPr>
          <w:rFonts w:hint="eastAsia" w:ascii="宋体" w:hAnsi="宋体" w:eastAsia="宋体" w:cs="宋体"/>
          <w:b/>
          <w:bCs/>
          <w:color w:val="auto"/>
        </w:rPr>
        <w:t>五、其他应提供的资料</w:t>
      </w:r>
    </w:p>
    <w:p w14:paraId="68E1D00F">
      <w:pPr>
        <w:pageBreakBefore w:val="0"/>
        <w:kinsoku/>
        <w:overflowPunct/>
        <w:topLinePunct w:val="0"/>
        <w:bidi w:val="0"/>
        <w:spacing w:line="336" w:lineRule="auto"/>
        <w:ind w:firstLine="480" w:firstLineChars="200"/>
        <w:textAlignment w:val="auto"/>
        <w:rPr>
          <w:rFonts w:hint="eastAsia" w:ascii="宋体" w:hAnsi="宋体" w:eastAsia="宋体" w:cs="宋体"/>
          <w:color w:val="auto"/>
          <w:bdr w:val="single" w:color="auto" w:sz="4" w:space="0"/>
        </w:rPr>
        <w:sectPr>
          <w:headerReference r:id="rId12" w:type="default"/>
          <w:footerReference r:id="rId13" w:type="default"/>
          <w:pgSz w:w="11907" w:h="16840"/>
          <w:pgMar w:top="1134" w:right="1191" w:bottom="1134" w:left="1304" w:header="454" w:footer="567" w:gutter="0"/>
          <w:pgNumType w:fmt="numberInDash"/>
          <w:cols w:space="720" w:num="1"/>
          <w:docGrid w:linePitch="381" w:charSpace="0"/>
        </w:sectPr>
      </w:pPr>
      <w:r>
        <w:rPr>
          <w:rFonts w:hint="eastAsia" w:ascii="宋体" w:hAnsi="宋体" w:eastAsia="宋体" w:cs="宋体"/>
          <w:color w:val="auto"/>
        </w:rPr>
        <w:t>（一）其他与项目有关的资料（自附）</w:t>
      </w:r>
    </w:p>
    <w:p w14:paraId="6C558F76">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169" w:name="_GoBack"/>
      <w:bookmarkEnd w:id="169"/>
      <w:bookmarkStart w:id="137" w:name="_Toc108545983"/>
      <w:bookmarkStart w:id="138" w:name="_Toc486608277"/>
      <w:bookmarkStart w:id="139" w:name="_Toc14854"/>
      <w:bookmarkStart w:id="140" w:name="_Toc487204797"/>
      <w:bookmarkStart w:id="141" w:name="_Toc486585240"/>
      <w:r>
        <w:rPr>
          <w:rFonts w:hint="eastAsia" w:ascii="宋体" w:hAnsi="宋体" w:eastAsia="宋体" w:cs="宋体"/>
          <w:color w:val="auto"/>
          <w:sz w:val="24"/>
          <w:szCs w:val="24"/>
        </w:rPr>
        <w:t>一、经济部分</w:t>
      </w:r>
      <w:bookmarkEnd w:id="137"/>
      <w:bookmarkEnd w:id="138"/>
      <w:bookmarkEnd w:id="139"/>
      <w:bookmarkEnd w:id="140"/>
      <w:bookmarkEnd w:id="141"/>
    </w:p>
    <w:p w14:paraId="50762725">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（一）报价函</w:t>
      </w:r>
    </w:p>
    <w:p w14:paraId="4C3FEE5F">
      <w:pPr>
        <w:pageBreakBefore w:val="0"/>
        <w:tabs>
          <w:tab w:val="left" w:pos="6300"/>
        </w:tabs>
        <w:kinsoku/>
        <w:overflowPunct/>
        <w:topLinePunct w:val="0"/>
        <w:bidi w:val="0"/>
        <w:snapToGrid w:val="0"/>
        <w:spacing w:line="336" w:lineRule="auto"/>
        <w:ind w:firstLine="480" w:firstLineChars="200"/>
        <w:jc w:val="center"/>
        <w:textAlignment w:val="auto"/>
        <w:rPr>
          <w:rFonts w:hint="eastAsia" w:ascii="宋体" w:hAnsi="宋体" w:eastAsia="宋体" w:cs="宋体"/>
          <w:color w:val="auto"/>
        </w:rPr>
      </w:pPr>
      <w:r>
        <w:rPr>
          <w:rFonts w:hint="eastAsia" w:ascii="宋体" w:hAnsi="宋体" w:eastAsia="宋体" w:cs="宋体"/>
          <w:color w:val="auto"/>
        </w:rPr>
        <w:t>报价函</w:t>
      </w:r>
    </w:p>
    <w:p w14:paraId="188B1F02">
      <w:pPr>
        <w:pageBreakBefore w:val="0"/>
        <w:tabs>
          <w:tab w:val="left" w:pos="6300"/>
        </w:tabs>
        <w:kinsoku/>
        <w:overflowPunct/>
        <w:topLinePunct w:val="0"/>
        <w:bidi w:val="0"/>
        <w:snapToGrid w:val="0"/>
        <w:spacing w:line="336" w:lineRule="auto"/>
        <w:textAlignment w:val="auto"/>
        <w:rPr>
          <w:rFonts w:hint="eastAsia" w:ascii="宋体" w:hAnsi="宋体" w:eastAsia="宋体" w:cs="宋体"/>
          <w:color w:val="auto"/>
        </w:rPr>
      </w:pPr>
      <w:r>
        <w:rPr>
          <w:rFonts w:hint="eastAsia" w:ascii="宋体" w:hAnsi="宋体" w:eastAsia="宋体" w:cs="宋体"/>
          <w:color w:val="auto"/>
          <w:u w:val="single"/>
        </w:rPr>
        <w:t>（</w:t>
      </w:r>
      <w:r>
        <w:rPr>
          <w:rFonts w:hint="eastAsia" w:cs="宋体"/>
          <w:color w:val="auto"/>
          <w:u w:val="single"/>
          <w:lang w:eastAsia="zh-CN"/>
        </w:rPr>
        <w:t>招标</w:t>
      </w:r>
      <w:r>
        <w:rPr>
          <w:rFonts w:hint="eastAsia" w:ascii="宋体" w:hAnsi="宋体" w:eastAsia="宋体" w:cs="宋体"/>
          <w:color w:val="auto"/>
          <w:u w:val="single"/>
        </w:rPr>
        <w:t>代理机构名称）</w:t>
      </w:r>
      <w:r>
        <w:rPr>
          <w:rFonts w:hint="eastAsia" w:ascii="宋体" w:hAnsi="宋体" w:eastAsia="宋体" w:cs="宋体"/>
          <w:color w:val="auto"/>
        </w:rPr>
        <w:t>：</w:t>
      </w:r>
    </w:p>
    <w:p w14:paraId="0B012DD9">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我方收到____________________________（</w:t>
      </w:r>
      <w:r>
        <w:rPr>
          <w:rFonts w:hint="eastAsia" w:cs="宋体"/>
          <w:color w:val="auto"/>
          <w:lang w:eastAsia="zh-CN"/>
        </w:rPr>
        <w:t>招标</w:t>
      </w:r>
      <w:r>
        <w:rPr>
          <w:rFonts w:hint="eastAsia" w:ascii="宋体" w:hAnsi="宋体" w:eastAsia="宋体" w:cs="宋体"/>
          <w:color w:val="auto"/>
        </w:rPr>
        <w:t>项目名称）的</w:t>
      </w:r>
      <w:r>
        <w:rPr>
          <w:rFonts w:hint="eastAsia" w:cs="宋体"/>
          <w:color w:val="auto"/>
          <w:lang w:eastAsia="zh-CN"/>
        </w:rPr>
        <w:t>招标</w:t>
      </w:r>
      <w:r>
        <w:rPr>
          <w:rFonts w:hint="eastAsia" w:ascii="宋体" w:hAnsi="宋体" w:eastAsia="宋体" w:cs="宋体"/>
          <w:color w:val="auto"/>
        </w:rPr>
        <w:t>通知书，经详细研究，决定参加该项目的</w:t>
      </w:r>
      <w:r>
        <w:rPr>
          <w:rFonts w:hint="eastAsia" w:cs="宋体"/>
          <w:color w:val="auto"/>
          <w:lang w:eastAsia="zh-CN"/>
        </w:rPr>
        <w:t>招标</w:t>
      </w:r>
      <w:r>
        <w:rPr>
          <w:rFonts w:hint="eastAsia" w:ascii="宋体" w:hAnsi="宋体" w:eastAsia="宋体" w:cs="宋体"/>
          <w:color w:val="auto"/>
        </w:rPr>
        <w:t>。</w:t>
      </w:r>
    </w:p>
    <w:p w14:paraId="1BC938CC">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1.愿意按照</w:t>
      </w:r>
      <w:r>
        <w:rPr>
          <w:rFonts w:hint="eastAsia" w:cs="宋体"/>
          <w:color w:val="auto"/>
          <w:lang w:eastAsia="zh-CN"/>
        </w:rPr>
        <w:t>招标</w:t>
      </w:r>
      <w:r>
        <w:rPr>
          <w:rFonts w:hint="eastAsia" w:ascii="宋体" w:hAnsi="宋体" w:eastAsia="宋体" w:cs="宋体"/>
          <w:color w:val="auto"/>
        </w:rPr>
        <w:t>通知书中的一切要求，提供本项目的</w:t>
      </w:r>
      <w:r>
        <w:rPr>
          <w:rFonts w:hint="eastAsia" w:ascii="宋体" w:hAnsi="宋体" w:eastAsia="宋体" w:cs="宋体"/>
          <w:color w:val="auto"/>
          <w:lang w:eastAsia="zh-CN"/>
        </w:rPr>
        <w:t>工程</w:t>
      </w:r>
      <w:r>
        <w:rPr>
          <w:rFonts w:hint="eastAsia" w:ascii="宋体" w:hAnsi="宋体" w:eastAsia="宋体" w:cs="宋体"/>
          <w:color w:val="auto"/>
        </w:rPr>
        <w:t>服务，报价为人民币大写：元整；人民币小写：元。</w:t>
      </w:r>
    </w:p>
    <w:p w14:paraId="2D553F85">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2.我方现提交的响应文件为：响应文件正本</w:t>
      </w:r>
      <w:r>
        <w:rPr>
          <w:rFonts w:hint="eastAsia" w:ascii="宋体" w:hAnsi="宋体" w:eastAsia="宋体" w:cs="宋体"/>
          <w:color w:val="auto"/>
          <w:u w:val="single"/>
        </w:rPr>
        <w:t xml:space="preserve">   </w:t>
      </w:r>
      <w:r>
        <w:rPr>
          <w:rFonts w:hint="eastAsia" w:ascii="宋体" w:hAnsi="宋体" w:eastAsia="宋体" w:cs="宋体"/>
          <w:color w:val="auto"/>
        </w:rPr>
        <w:t>份，副本</w:t>
      </w:r>
      <w:r>
        <w:rPr>
          <w:rFonts w:hint="eastAsia" w:ascii="宋体" w:hAnsi="宋体" w:eastAsia="宋体" w:cs="宋体"/>
          <w:color w:val="auto"/>
          <w:u w:val="single"/>
        </w:rPr>
        <w:t xml:space="preserve">   </w:t>
      </w:r>
      <w:r>
        <w:rPr>
          <w:rFonts w:hint="eastAsia" w:ascii="宋体" w:hAnsi="宋体" w:eastAsia="宋体" w:cs="宋体"/>
          <w:color w:val="auto"/>
        </w:rPr>
        <w:t>份。</w:t>
      </w:r>
    </w:p>
    <w:p w14:paraId="740A272C">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3.我方承诺：本次</w:t>
      </w:r>
      <w:r>
        <w:rPr>
          <w:rFonts w:hint="eastAsia" w:cs="宋体"/>
          <w:color w:val="auto"/>
          <w:lang w:eastAsia="zh-CN"/>
        </w:rPr>
        <w:t>招标</w:t>
      </w:r>
      <w:r>
        <w:rPr>
          <w:rFonts w:hint="eastAsia" w:ascii="宋体" w:hAnsi="宋体" w:eastAsia="宋体" w:cs="宋体"/>
          <w:color w:val="auto"/>
        </w:rPr>
        <w:t>的有效期为90天。</w:t>
      </w:r>
    </w:p>
    <w:p w14:paraId="73B6D960">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4.我方完全理解和接受贵方</w:t>
      </w:r>
      <w:r>
        <w:rPr>
          <w:rFonts w:hint="eastAsia" w:cs="宋体"/>
          <w:color w:val="auto"/>
          <w:lang w:eastAsia="zh-CN"/>
        </w:rPr>
        <w:t>招标</w:t>
      </w:r>
      <w:r>
        <w:rPr>
          <w:rFonts w:hint="eastAsia" w:ascii="宋体" w:hAnsi="宋体" w:eastAsia="宋体" w:cs="宋体"/>
          <w:color w:val="auto"/>
        </w:rPr>
        <w:t>通知书的一切规定和要求及</w:t>
      </w:r>
      <w:r>
        <w:rPr>
          <w:rFonts w:hint="eastAsia" w:cs="宋体"/>
          <w:color w:val="auto"/>
          <w:lang w:eastAsia="zh-CN"/>
        </w:rPr>
        <w:t>招标</w:t>
      </w:r>
      <w:r>
        <w:rPr>
          <w:rFonts w:hint="eastAsia" w:ascii="宋体" w:hAnsi="宋体" w:eastAsia="宋体" w:cs="宋体"/>
          <w:color w:val="auto"/>
        </w:rPr>
        <w:t>评审办法。</w:t>
      </w:r>
    </w:p>
    <w:p w14:paraId="3F505E57">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5.在整个</w:t>
      </w:r>
      <w:r>
        <w:rPr>
          <w:rFonts w:hint="eastAsia" w:cs="宋体"/>
          <w:color w:val="auto"/>
          <w:lang w:eastAsia="zh-CN"/>
        </w:rPr>
        <w:t>招标</w:t>
      </w:r>
      <w:r>
        <w:rPr>
          <w:rFonts w:hint="eastAsia" w:ascii="宋体" w:hAnsi="宋体" w:eastAsia="宋体" w:cs="宋体"/>
          <w:color w:val="auto"/>
        </w:rPr>
        <w:t>过程中，我方若有违规行为，接受按照《中华人民共和国政府</w:t>
      </w:r>
      <w:r>
        <w:rPr>
          <w:rFonts w:hint="eastAsia" w:cs="宋体"/>
          <w:color w:val="auto"/>
          <w:lang w:eastAsia="zh-CN"/>
        </w:rPr>
        <w:t>招标</w:t>
      </w:r>
      <w:r>
        <w:rPr>
          <w:rFonts w:hint="eastAsia" w:ascii="宋体" w:hAnsi="宋体" w:eastAsia="宋体" w:cs="宋体"/>
          <w:color w:val="auto"/>
        </w:rPr>
        <w:t>法》和《</w:t>
      </w:r>
      <w:r>
        <w:rPr>
          <w:rFonts w:hint="eastAsia" w:cs="宋体"/>
          <w:color w:val="auto"/>
          <w:lang w:eastAsia="zh-CN"/>
        </w:rPr>
        <w:t>招标</w:t>
      </w:r>
      <w:r>
        <w:rPr>
          <w:rFonts w:hint="eastAsia" w:ascii="宋体" w:hAnsi="宋体" w:eastAsia="宋体" w:cs="宋体"/>
          <w:color w:val="auto"/>
        </w:rPr>
        <w:t>通知书》之规定给予惩罚。</w:t>
      </w:r>
    </w:p>
    <w:p w14:paraId="0F8A7CF5">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6.我方若成为成交供应商，将按照最终</w:t>
      </w:r>
      <w:r>
        <w:rPr>
          <w:rFonts w:hint="eastAsia" w:cs="宋体"/>
          <w:color w:val="auto"/>
          <w:lang w:eastAsia="zh-CN"/>
        </w:rPr>
        <w:t>招标</w:t>
      </w:r>
      <w:r>
        <w:rPr>
          <w:rFonts w:hint="eastAsia" w:ascii="宋体" w:hAnsi="宋体" w:eastAsia="宋体" w:cs="宋体"/>
          <w:color w:val="auto"/>
        </w:rPr>
        <w:t>结果签订合同，并且严格履行合同义务。本承诺函将成为合同不可分割的一部分，与合同具有同等的法律效力。</w:t>
      </w:r>
    </w:p>
    <w:p w14:paraId="12C1B70E">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7.我方同意按</w:t>
      </w:r>
      <w:r>
        <w:rPr>
          <w:rFonts w:hint="eastAsia" w:cs="宋体"/>
          <w:color w:val="auto"/>
          <w:lang w:eastAsia="zh-CN"/>
        </w:rPr>
        <w:t>招标</w:t>
      </w:r>
      <w:r>
        <w:rPr>
          <w:rFonts w:hint="eastAsia" w:ascii="宋体" w:hAnsi="宋体" w:eastAsia="宋体" w:cs="宋体"/>
          <w:color w:val="auto"/>
        </w:rPr>
        <w:t>通知书规定，交纳</w:t>
      </w:r>
      <w:r>
        <w:rPr>
          <w:rFonts w:hint="eastAsia" w:cs="宋体"/>
          <w:color w:val="auto"/>
          <w:lang w:eastAsia="zh-CN"/>
        </w:rPr>
        <w:t>招标</w:t>
      </w:r>
      <w:r>
        <w:rPr>
          <w:rFonts w:hint="eastAsia" w:ascii="宋体" w:hAnsi="宋体" w:eastAsia="宋体" w:cs="宋体"/>
          <w:color w:val="auto"/>
        </w:rPr>
        <w:t>通知书要求的保证金。如果我方成为成交供应商，保证在接到成交通知书后，向</w:t>
      </w:r>
      <w:r>
        <w:rPr>
          <w:rFonts w:hint="eastAsia" w:cs="宋体"/>
          <w:color w:val="auto"/>
          <w:lang w:eastAsia="zh-CN"/>
        </w:rPr>
        <w:t>招标</w:t>
      </w:r>
      <w:r>
        <w:rPr>
          <w:rFonts w:hint="eastAsia" w:ascii="宋体" w:hAnsi="宋体" w:eastAsia="宋体" w:cs="宋体"/>
          <w:color w:val="auto"/>
        </w:rPr>
        <w:t>代理机构交纳</w:t>
      </w:r>
      <w:r>
        <w:rPr>
          <w:rFonts w:hint="eastAsia" w:cs="宋体"/>
          <w:color w:val="auto"/>
          <w:lang w:eastAsia="zh-CN"/>
        </w:rPr>
        <w:t>招标</w:t>
      </w:r>
      <w:r>
        <w:rPr>
          <w:rFonts w:hint="eastAsia" w:ascii="宋体" w:hAnsi="宋体" w:eastAsia="宋体" w:cs="宋体"/>
          <w:color w:val="auto"/>
        </w:rPr>
        <w:t>通知书规定的</w:t>
      </w:r>
      <w:r>
        <w:rPr>
          <w:rFonts w:hint="eastAsia" w:cs="宋体"/>
          <w:color w:val="auto"/>
          <w:lang w:eastAsia="zh-CN"/>
        </w:rPr>
        <w:t>招标</w:t>
      </w:r>
      <w:r>
        <w:rPr>
          <w:rFonts w:hint="eastAsia" w:ascii="宋体" w:hAnsi="宋体" w:eastAsia="宋体" w:cs="宋体"/>
          <w:color w:val="auto"/>
        </w:rPr>
        <w:t>代理服务费。</w:t>
      </w:r>
    </w:p>
    <w:p w14:paraId="33EE6AFD">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8.我方未为</w:t>
      </w:r>
      <w:r>
        <w:rPr>
          <w:rFonts w:hint="eastAsia" w:cs="宋体"/>
          <w:color w:val="auto"/>
          <w:lang w:eastAsia="zh-CN"/>
        </w:rPr>
        <w:t>招标</w:t>
      </w:r>
      <w:r>
        <w:rPr>
          <w:rFonts w:hint="eastAsia" w:ascii="宋体" w:hAnsi="宋体" w:eastAsia="宋体" w:cs="宋体"/>
          <w:color w:val="auto"/>
        </w:rPr>
        <w:t>项目提供整体设计、规范编制或者项目管理、监理、检测等服务。</w:t>
      </w:r>
    </w:p>
    <w:p w14:paraId="2A45F5EE">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52FFDE3E">
      <w:pPr>
        <w:pageBreakBefore w:val="0"/>
        <w:tabs>
          <w:tab w:val="left" w:pos="6300"/>
        </w:tabs>
        <w:kinsoku/>
        <w:overflowPunct/>
        <w:topLinePunct w:val="0"/>
        <w:bidi w:val="0"/>
        <w:snapToGrid w:val="0"/>
        <w:spacing w:line="336" w:lineRule="auto"/>
        <w:textAlignment w:val="auto"/>
        <w:rPr>
          <w:rFonts w:hint="eastAsia" w:ascii="宋体" w:hAnsi="宋体" w:eastAsia="宋体" w:cs="宋体"/>
          <w:color w:val="auto"/>
        </w:rPr>
      </w:pPr>
    </w:p>
    <w:p w14:paraId="232DF6C4">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74CE955A">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供应商（公章）：</w:t>
      </w:r>
    </w:p>
    <w:p w14:paraId="456BA988">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地址：</w:t>
      </w:r>
    </w:p>
    <w:p w14:paraId="15FF2E24">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电话：                   传真：</w:t>
      </w:r>
    </w:p>
    <w:p w14:paraId="13D4A050">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网址：                   邮编：</w:t>
      </w:r>
    </w:p>
    <w:p w14:paraId="15546563">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联系人：</w:t>
      </w:r>
    </w:p>
    <w:p w14:paraId="6E4E6D89">
      <w:pPr>
        <w:pageBreakBefore w:val="0"/>
        <w:kinsoku/>
        <w:overflowPunct/>
        <w:topLinePunct w:val="0"/>
        <w:bidi w:val="0"/>
        <w:snapToGrid w:val="0"/>
        <w:spacing w:line="336" w:lineRule="auto"/>
        <w:ind w:right="480" w:firstLine="480" w:firstLineChars="200"/>
        <w:textAlignment w:val="auto"/>
        <w:rPr>
          <w:rFonts w:hint="eastAsia" w:ascii="宋体" w:hAnsi="宋体" w:eastAsia="宋体" w:cs="宋体"/>
          <w:color w:val="auto"/>
        </w:rPr>
      </w:pPr>
      <w:r>
        <w:rPr>
          <w:rFonts w:hint="eastAsia" w:ascii="宋体" w:hAnsi="宋体" w:eastAsia="宋体" w:cs="宋体"/>
          <w:color w:val="auto"/>
        </w:rPr>
        <w:t xml:space="preserve">                               年   月   日</w:t>
      </w:r>
    </w:p>
    <w:p w14:paraId="167C2927">
      <w:pPr>
        <w:pageBreakBefore w:val="0"/>
        <w:kinsoku/>
        <w:overflowPunct/>
        <w:topLinePunct w:val="0"/>
        <w:bidi w:val="0"/>
        <w:spacing w:line="336" w:lineRule="auto"/>
        <w:textAlignment w:val="auto"/>
        <w:rPr>
          <w:rFonts w:hint="eastAsia" w:ascii="宋体" w:hAnsi="宋体" w:eastAsia="宋体" w:cs="宋体"/>
          <w:color w:val="auto"/>
        </w:rPr>
        <w:sectPr>
          <w:pgSz w:w="11907" w:h="16840"/>
          <w:pgMar w:top="1134" w:right="1191" w:bottom="1134" w:left="1304" w:header="454" w:footer="567" w:gutter="0"/>
          <w:pgNumType w:fmt="numberInDash"/>
          <w:cols w:space="720" w:num="1"/>
          <w:docGrid w:linePitch="326" w:charSpace="0"/>
        </w:sectPr>
      </w:pPr>
    </w:p>
    <w:p w14:paraId="28704E47">
      <w:pPr>
        <w:pageBreakBefore w:val="0"/>
        <w:tabs>
          <w:tab w:val="left" w:pos="2895"/>
        </w:tabs>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（二）明细报价表</w:t>
      </w:r>
    </w:p>
    <w:p w14:paraId="4D218A63">
      <w:pPr>
        <w:pageBreakBefore w:val="0"/>
        <w:kinsoku/>
        <w:overflowPunct/>
        <w:topLinePunct w:val="0"/>
        <w:bidi w:val="0"/>
        <w:spacing w:line="336" w:lineRule="auto"/>
        <w:jc w:val="center"/>
        <w:textAlignment w:val="auto"/>
        <w:rPr>
          <w:rFonts w:hint="eastAsia" w:ascii="宋体" w:hAnsi="宋体" w:eastAsia="宋体" w:cs="宋体"/>
          <w:b/>
          <w:color w:val="auto"/>
        </w:rPr>
      </w:pPr>
      <w:r>
        <w:rPr>
          <w:rFonts w:hint="eastAsia" w:ascii="宋体" w:hAnsi="宋体" w:eastAsia="宋体" w:cs="宋体"/>
          <w:b/>
          <w:color w:val="auto"/>
        </w:rPr>
        <w:t>明细报价表</w:t>
      </w:r>
    </w:p>
    <w:p w14:paraId="24D2D849">
      <w:pPr>
        <w:pageBreakBefore w:val="0"/>
        <w:kinsoku/>
        <w:overflowPunct/>
        <w:topLinePunct w:val="0"/>
        <w:bidi w:val="0"/>
        <w:spacing w:line="336" w:lineRule="auto"/>
        <w:textAlignment w:val="auto"/>
        <w:rPr>
          <w:rFonts w:hint="eastAsia" w:ascii="宋体" w:hAnsi="宋体" w:eastAsia="宋体" w:cs="宋体"/>
          <w:color w:val="auto"/>
          <w:lang w:eastAsia="zh-CN"/>
        </w:rPr>
      </w:pPr>
      <w:r>
        <w:rPr>
          <w:rFonts w:hint="eastAsia" w:ascii="宋体" w:hAnsi="宋体" w:eastAsia="宋体" w:cs="宋体"/>
          <w:color w:val="auto"/>
          <w:lang w:eastAsia="zh-CN"/>
        </w:rPr>
        <w:t>按随</w:t>
      </w:r>
      <w:r>
        <w:rPr>
          <w:rFonts w:hint="eastAsia" w:cs="宋体"/>
          <w:color w:val="auto"/>
          <w:lang w:eastAsia="zh-CN"/>
        </w:rPr>
        <w:t>网上询价</w:t>
      </w:r>
      <w:r>
        <w:rPr>
          <w:rFonts w:hint="eastAsia" w:ascii="宋体" w:hAnsi="宋体" w:eastAsia="宋体" w:cs="宋体"/>
          <w:color w:val="auto"/>
          <w:lang w:eastAsia="zh-CN"/>
        </w:rPr>
        <w:t>文件一同发布的工程量清单填写。</w:t>
      </w:r>
    </w:p>
    <w:p w14:paraId="39A015B5">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p>
    <w:p w14:paraId="47C82BF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p>
    <w:p w14:paraId="124015B1">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u w:val="single"/>
        </w:rPr>
      </w:pPr>
      <w:r>
        <w:rPr>
          <w:rFonts w:hint="eastAsia" w:ascii="宋体" w:hAnsi="宋体" w:eastAsia="宋体" w:cs="宋体"/>
          <w:color w:val="auto"/>
        </w:rPr>
        <w:t>注：1、该表</w:t>
      </w:r>
      <w:bookmarkStart w:id="142" w:name="OLE_LINK1"/>
      <w:bookmarkStart w:id="143" w:name="OLE_LINK2"/>
      <w:r>
        <w:rPr>
          <w:rFonts w:hint="eastAsia" w:ascii="宋体" w:hAnsi="宋体" w:eastAsia="宋体" w:cs="宋体"/>
          <w:color w:val="auto"/>
        </w:rPr>
        <w:t>逐页签字或盖章</w:t>
      </w:r>
      <w:bookmarkEnd w:id="142"/>
      <w:bookmarkEnd w:id="143"/>
      <w:r>
        <w:rPr>
          <w:rFonts w:hint="eastAsia" w:ascii="宋体" w:hAnsi="宋体" w:eastAsia="宋体" w:cs="宋体"/>
          <w:color w:val="auto"/>
        </w:rPr>
        <w:t>；</w:t>
      </w:r>
    </w:p>
    <w:p w14:paraId="18E76320">
      <w:pPr>
        <w:pageBreakBefore w:val="0"/>
        <w:kinsoku/>
        <w:overflowPunct/>
        <w:topLinePunct w:val="0"/>
        <w:bidi w:val="0"/>
        <w:snapToGrid w:val="0"/>
        <w:spacing w:line="336" w:lineRule="auto"/>
        <w:textAlignment w:val="auto"/>
        <w:rPr>
          <w:rFonts w:hint="eastAsia" w:ascii="宋体" w:hAnsi="宋体" w:eastAsia="宋体" w:cs="宋体"/>
          <w:color w:val="auto"/>
        </w:rPr>
      </w:pPr>
    </w:p>
    <w:p w14:paraId="47F7C713">
      <w:pPr>
        <w:pStyle w:val="17"/>
        <w:pageBreakBefore w:val="0"/>
        <w:kinsoku/>
        <w:overflowPunct/>
        <w:topLinePunct w:val="0"/>
        <w:bidi w:val="0"/>
        <w:spacing w:line="336" w:lineRule="auto"/>
        <w:textAlignment w:val="auto"/>
        <w:rPr>
          <w:rFonts w:hint="eastAsia" w:ascii="宋体" w:hAnsi="宋体" w:eastAsia="宋体" w:cs="宋体"/>
          <w:color w:val="auto"/>
        </w:rPr>
      </w:pPr>
    </w:p>
    <w:p w14:paraId="2990209F">
      <w:pPr>
        <w:pageBreakBefore w:val="0"/>
        <w:kinsoku/>
        <w:overflowPunct/>
        <w:topLinePunct w:val="0"/>
        <w:bidi w:val="0"/>
        <w:spacing w:line="336" w:lineRule="auto"/>
        <w:textAlignment w:val="auto"/>
        <w:rPr>
          <w:rFonts w:hint="eastAsia" w:ascii="宋体" w:hAnsi="宋体" w:eastAsia="宋体" w:cs="宋体"/>
          <w:color w:val="auto"/>
        </w:rPr>
      </w:pPr>
      <w:r>
        <w:rPr>
          <w:rFonts w:hint="eastAsia" w:ascii="宋体" w:hAnsi="宋体" w:eastAsia="宋体" w:cs="宋体"/>
          <w:color w:val="auto"/>
        </w:rPr>
        <w:t xml:space="preserve">                                                    供应商名称（公章）：</w:t>
      </w:r>
    </w:p>
    <w:p w14:paraId="3536C8BA">
      <w:pPr>
        <w:pageBreakBefore w:val="0"/>
        <w:kinsoku/>
        <w:overflowPunct/>
        <w:topLinePunct w:val="0"/>
        <w:bidi w:val="0"/>
        <w:spacing w:line="336" w:lineRule="auto"/>
        <w:ind w:right="480" w:firstLine="6480" w:firstLineChars="2700"/>
        <w:textAlignment w:val="auto"/>
        <w:rPr>
          <w:rFonts w:hint="eastAsia" w:ascii="宋体" w:hAnsi="宋体" w:eastAsia="宋体" w:cs="宋体"/>
          <w:color w:val="auto"/>
        </w:rPr>
      </w:pPr>
      <w:r>
        <w:rPr>
          <w:rFonts w:hint="eastAsia" w:ascii="宋体" w:hAnsi="宋体" w:eastAsia="宋体" w:cs="宋体"/>
          <w:color w:val="auto"/>
        </w:rPr>
        <w:t>年    月    日</w:t>
      </w:r>
    </w:p>
    <w:p w14:paraId="3BD7CCEE">
      <w:pPr>
        <w:pageBreakBefore w:val="0"/>
        <w:kinsoku/>
        <w:overflowPunct/>
        <w:topLinePunct w:val="0"/>
        <w:bidi w:val="0"/>
        <w:spacing w:line="336" w:lineRule="auto"/>
        <w:textAlignment w:val="auto"/>
        <w:rPr>
          <w:rFonts w:hint="eastAsia" w:ascii="宋体" w:hAnsi="宋体" w:eastAsia="宋体" w:cs="宋体"/>
          <w:color w:val="auto"/>
          <w:bdr w:val="single" w:color="auto" w:sz="4" w:space="0"/>
        </w:rPr>
        <w:sectPr>
          <w:pgSz w:w="11907" w:h="16840"/>
          <w:pgMar w:top="1134" w:right="1191" w:bottom="1134" w:left="1304" w:header="850" w:footer="992" w:gutter="0"/>
          <w:pgNumType w:fmt="numberInDash"/>
          <w:cols w:space="720" w:num="1"/>
          <w:docGrid w:linePitch="326" w:charSpace="0"/>
        </w:sectPr>
      </w:pPr>
    </w:p>
    <w:p w14:paraId="33B35D63">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144" w:name="_Toc486585241"/>
      <w:bookmarkStart w:id="145" w:name="_Toc486608278"/>
      <w:bookmarkStart w:id="146" w:name="_Toc487204798"/>
      <w:bookmarkStart w:id="147" w:name="_Toc3192"/>
      <w:bookmarkStart w:id="148" w:name="_Toc108545984"/>
      <w:r>
        <w:rPr>
          <w:rFonts w:hint="eastAsia" w:ascii="宋体" w:hAnsi="宋体" w:eastAsia="宋体" w:cs="宋体"/>
          <w:color w:val="auto"/>
          <w:sz w:val="24"/>
          <w:szCs w:val="24"/>
        </w:rPr>
        <w:t>二、技术部分</w:t>
      </w:r>
      <w:bookmarkEnd w:id="144"/>
      <w:bookmarkEnd w:id="145"/>
      <w:bookmarkEnd w:id="146"/>
      <w:bookmarkEnd w:id="147"/>
      <w:bookmarkEnd w:id="148"/>
    </w:p>
    <w:p w14:paraId="4331048C">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（一）技术应答（格式自拟）</w:t>
      </w:r>
    </w:p>
    <w:p w14:paraId="7A66841C">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54752196">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2B9DC8DF">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1C8508A0">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0331FB2F">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095F116D">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29332BC7">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55323F66">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391E03D6">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5DB8BF1E">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063B7FC0">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4E8DA314">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2F13BE41">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37171B8B">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35C9D5B5">
      <w:pPr>
        <w:pageBreakBefore w:val="0"/>
        <w:kinsoku/>
        <w:overflowPunct/>
        <w:topLinePunct w:val="0"/>
        <w:bidi w:val="0"/>
        <w:spacing w:line="336"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bookmarkStart w:id="149" w:name="_Toc486608279"/>
      <w:bookmarkStart w:id="150" w:name="_Toc17029"/>
      <w:bookmarkStart w:id="151" w:name="_Toc486585242"/>
      <w:bookmarkStart w:id="152" w:name="_Toc487204799"/>
      <w:bookmarkStart w:id="153" w:name="_Toc108545985"/>
      <w:r>
        <w:rPr>
          <w:rFonts w:hint="eastAsia" w:ascii="宋体" w:hAnsi="宋体" w:eastAsia="宋体" w:cs="宋体"/>
          <w:color w:val="auto"/>
          <w:sz w:val="24"/>
          <w:szCs w:val="24"/>
        </w:rPr>
        <w:t>三、商务部分</w:t>
      </w:r>
      <w:bookmarkEnd w:id="149"/>
      <w:bookmarkEnd w:id="150"/>
      <w:bookmarkEnd w:id="151"/>
      <w:bookmarkEnd w:id="152"/>
      <w:bookmarkEnd w:id="153"/>
    </w:p>
    <w:p w14:paraId="73D4EACC">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（一）按照商务要求进行响应</w:t>
      </w:r>
    </w:p>
    <w:p w14:paraId="1FB73B83">
      <w:pPr>
        <w:pageBreakBefore w:val="0"/>
        <w:kinsoku/>
        <w:overflowPunct/>
        <w:topLinePunct w:val="0"/>
        <w:bidi w:val="0"/>
        <w:spacing w:line="336" w:lineRule="auto"/>
        <w:textAlignment w:val="auto"/>
        <w:rPr>
          <w:rFonts w:hint="eastAsia" w:ascii="宋体" w:hAnsi="宋体" w:eastAsia="宋体" w:cs="宋体"/>
          <w:color w:val="auto"/>
        </w:rPr>
      </w:pPr>
    </w:p>
    <w:p w14:paraId="1722BCAB">
      <w:pPr>
        <w:pageBreakBefore w:val="0"/>
        <w:kinsoku/>
        <w:overflowPunct/>
        <w:topLinePunct w:val="0"/>
        <w:bidi w:val="0"/>
        <w:spacing w:line="336" w:lineRule="auto"/>
        <w:textAlignment w:val="auto"/>
        <w:rPr>
          <w:rFonts w:hint="eastAsia" w:ascii="宋体" w:hAnsi="宋体" w:eastAsia="宋体" w:cs="宋体"/>
          <w:color w:val="auto"/>
        </w:rPr>
      </w:pPr>
    </w:p>
    <w:p w14:paraId="4267CE04">
      <w:pPr>
        <w:pageBreakBefore w:val="0"/>
        <w:kinsoku/>
        <w:overflowPunct/>
        <w:topLinePunct w:val="0"/>
        <w:bidi w:val="0"/>
        <w:spacing w:line="336" w:lineRule="auto"/>
        <w:textAlignment w:val="auto"/>
        <w:rPr>
          <w:rFonts w:hint="eastAsia" w:ascii="宋体" w:hAnsi="宋体" w:eastAsia="宋体" w:cs="宋体"/>
          <w:color w:val="auto"/>
        </w:rPr>
      </w:pPr>
    </w:p>
    <w:p w14:paraId="5A12FE63">
      <w:pPr>
        <w:pageBreakBefore w:val="0"/>
        <w:kinsoku/>
        <w:overflowPunct/>
        <w:topLinePunct w:val="0"/>
        <w:bidi w:val="0"/>
        <w:spacing w:line="336" w:lineRule="auto"/>
        <w:textAlignment w:val="auto"/>
        <w:rPr>
          <w:rFonts w:hint="eastAsia" w:ascii="宋体" w:hAnsi="宋体" w:eastAsia="宋体" w:cs="宋体"/>
          <w:color w:val="auto"/>
        </w:rPr>
      </w:pPr>
    </w:p>
    <w:p w14:paraId="2480D6F9">
      <w:pPr>
        <w:pageBreakBefore w:val="0"/>
        <w:kinsoku/>
        <w:overflowPunct/>
        <w:topLinePunct w:val="0"/>
        <w:bidi w:val="0"/>
        <w:spacing w:line="336" w:lineRule="auto"/>
        <w:textAlignment w:val="auto"/>
        <w:rPr>
          <w:rFonts w:hint="eastAsia" w:ascii="宋体" w:hAnsi="宋体" w:eastAsia="宋体" w:cs="宋体"/>
          <w:color w:val="auto"/>
        </w:rPr>
      </w:pPr>
    </w:p>
    <w:p w14:paraId="1DAABBE6">
      <w:pPr>
        <w:pageBreakBefore w:val="0"/>
        <w:kinsoku/>
        <w:overflowPunct/>
        <w:topLinePunct w:val="0"/>
        <w:bidi w:val="0"/>
        <w:spacing w:line="336" w:lineRule="auto"/>
        <w:textAlignment w:val="auto"/>
        <w:rPr>
          <w:rFonts w:hint="eastAsia" w:ascii="宋体" w:hAnsi="宋体" w:eastAsia="宋体" w:cs="宋体"/>
          <w:color w:val="auto"/>
        </w:rPr>
      </w:pPr>
    </w:p>
    <w:p w14:paraId="0B51184B">
      <w:pPr>
        <w:pageBreakBefore w:val="0"/>
        <w:kinsoku/>
        <w:overflowPunct/>
        <w:topLinePunct w:val="0"/>
        <w:bidi w:val="0"/>
        <w:spacing w:line="336" w:lineRule="auto"/>
        <w:textAlignment w:val="auto"/>
        <w:rPr>
          <w:rFonts w:hint="eastAsia" w:ascii="宋体" w:hAnsi="宋体" w:eastAsia="宋体" w:cs="宋体"/>
          <w:color w:val="auto"/>
        </w:rPr>
      </w:pPr>
    </w:p>
    <w:p w14:paraId="03C66279">
      <w:pPr>
        <w:pageBreakBefore w:val="0"/>
        <w:kinsoku/>
        <w:overflowPunct/>
        <w:topLinePunct w:val="0"/>
        <w:bidi w:val="0"/>
        <w:spacing w:line="336" w:lineRule="auto"/>
        <w:textAlignment w:val="auto"/>
        <w:rPr>
          <w:rFonts w:hint="eastAsia" w:ascii="宋体" w:hAnsi="宋体" w:eastAsia="宋体" w:cs="宋体"/>
          <w:color w:val="auto"/>
        </w:rPr>
      </w:pPr>
    </w:p>
    <w:p w14:paraId="5DCEBBB4">
      <w:pPr>
        <w:pageBreakBefore w:val="0"/>
        <w:kinsoku/>
        <w:overflowPunct/>
        <w:topLinePunct w:val="0"/>
        <w:bidi w:val="0"/>
        <w:spacing w:line="336" w:lineRule="auto"/>
        <w:textAlignment w:val="auto"/>
        <w:rPr>
          <w:rFonts w:hint="eastAsia" w:ascii="宋体" w:hAnsi="宋体" w:eastAsia="宋体" w:cs="宋体"/>
          <w:color w:val="auto"/>
        </w:rPr>
      </w:pPr>
    </w:p>
    <w:p w14:paraId="63519327">
      <w:pPr>
        <w:pageBreakBefore w:val="0"/>
        <w:kinsoku/>
        <w:overflowPunct/>
        <w:topLinePunct w:val="0"/>
        <w:bidi w:val="0"/>
        <w:spacing w:line="336" w:lineRule="auto"/>
        <w:textAlignment w:val="auto"/>
        <w:rPr>
          <w:rFonts w:hint="eastAsia" w:ascii="宋体" w:hAnsi="宋体" w:eastAsia="宋体" w:cs="宋体"/>
          <w:color w:val="auto"/>
        </w:rPr>
      </w:pPr>
    </w:p>
    <w:p w14:paraId="7489F2CE">
      <w:pPr>
        <w:pageBreakBefore w:val="0"/>
        <w:kinsoku/>
        <w:overflowPunct/>
        <w:topLinePunct w:val="0"/>
        <w:bidi w:val="0"/>
        <w:spacing w:line="336" w:lineRule="auto"/>
        <w:textAlignment w:val="auto"/>
        <w:rPr>
          <w:rFonts w:hint="eastAsia" w:ascii="宋体" w:hAnsi="宋体" w:eastAsia="宋体" w:cs="宋体"/>
          <w:color w:val="auto"/>
        </w:rPr>
      </w:pPr>
    </w:p>
    <w:p w14:paraId="5FA68B48">
      <w:pPr>
        <w:pageBreakBefore w:val="0"/>
        <w:kinsoku/>
        <w:overflowPunct/>
        <w:topLinePunct w:val="0"/>
        <w:bidi w:val="0"/>
        <w:spacing w:line="336" w:lineRule="auto"/>
        <w:textAlignment w:val="auto"/>
        <w:rPr>
          <w:rFonts w:hint="eastAsia" w:ascii="宋体" w:hAnsi="宋体" w:eastAsia="宋体" w:cs="宋体"/>
          <w:color w:val="auto"/>
        </w:rPr>
      </w:pPr>
    </w:p>
    <w:p w14:paraId="6E38F649">
      <w:pPr>
        <w:pageBreakBefore w:val="0"/>
        <w:kinsoku/>
        <w:overflowPunct/>
        <w:topLinePunct w:val="0"/>
        <w:bidi w:val="0"/>
        <w:spacing w:line="336" w:lineRule="auto"/>
        <w:textAlignment w:val="auto"/>
        <w:rPr>
          <w:rFonts w:hint="eastAsia" w:ascii="宋体" w:hAnsi="宋体" w:eastAsia="宋体" w:cs="宋体"/>
          <w:color w:val="auto"/>
        </w:rPr>
      </w:pPr>
    </w:p>
    <w:p w14:paraId="5EACA9AD">
      <w:pPr>
        <w:pageBreakBefore w:val="0"/>
        <w:kinsoku/>
        <w:overflowPunct/>
        <w:topLinePunct w:val="0"/>
        <w:bidi w:val="0"/>
        <w:spacing w:line="336" w:lineRule="auto"/>
        <w:textAlignment w:val="auto"/>
        <w:rPr>
          <w:rFonts w:hint="eastAsia" w:ascii="宋体" w:hAnsi="宋体" w:eastAsia="宋体" w:cs="宋体"/>
          <w:color w:val="auto"/>
          <w:sz w:val="24"/>
          <w:szCs w:val="24"/>
        </w:rPr>
      </w:pPr>
      <w:r>
        <w:rPr>
          <w:rFonts w:hint="eastAsia" w:ascii="宋体" w:hAnsi="宋体" w:eastAsia="宋体" w:cs="宋体"/>
          <w:b w:val="0"/>
          <w:color w:val="auto"/>
          <w:sz w:val="24"/>
          <w:szCs w:val="24"/>
        </w:rPr>
        <w:br w:type="page"/>
      </w:r>
      <w:bookmarkStart w:id="154" w:name="_Toc486608280"/>
      <w:bookmarkStart w:id="155" w:name="_Toc8290"/>
      <w:bookmarkStart w:id="156" w:name="_Toc23557"/>
      <w:bookmarkStart w:id="157" w:name="_Toc108545986"/>
      <w:bookmarkStart w:id="158" w:name="_Toc487204800"/>
      <w:bookmarkStart w:id="159" w:name="_Toc486585243"/>
      <w:r>
        <w:rPr>
          <w:rFonts w:hint="eastAsia" w:ascii="宋体" w:hAnsi="宋体" w:eastAsia="宋体" w:cs="宋体"/>
          <w:color w:val="auto"/>
          <w:sz w:val="24"/>
          <w:szCs w:val="24"/>
        </w:rPr>
        <w:t>四、资格条件及其他</w:t>
      </w:r>
      <w:bookmarkEnd w:id="154"/>
      <w:bookmarkEnd w:id="155"/>
      <w:bookmarkEnd w:id="156"/>
      <w:bookmarkEnd w:id="157"/>
      <w:bookmarkEnd w:id="158"/>
      <w:bookmarkEnd w:id="159"/>
    </w:p>
    <w:p w14:paraId="1B2B9A1E">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（一）营业执照（副本）或事业单位法人证书（副本）复印件或个体工商户营业执照</w:t>
      </w:r>
    </w:p>
    <w:p w14:paraId="1044CCB3">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102E336E">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6A53B25A">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（二）法定代表人身份证明书（格式）</w:t>
      </w:r>
    </w:p>
    <w:p w14:paraId="2A20F1AA">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56F98A24">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项目名称：</w:t>
      </w:r>
    </w:p>
    <w:p w14:paraId="57732D93">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27E025E7">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w:t>
      </w:r>
      <w:r>
        <w:rPr>
          <w:rFonts w:hint="eastAsia" w:cs="宋体"/>
          <w:color w:val="auto"/>
          <w:u w:val="single"/>
          <w:lang w:eastAsia="zh-CN"/>
        </w:rPr>
        <w:t>招标</w:t>
      </w:r>
      <w:r>
        <w:rPr>
          <w:rFonts w:hint="eastAsia" w:ascii="宋体" w:hAnsi="宋体" w:eastAsia="宋体" w:cs="宋体"/>
          <w:color w:val="auto"/>
          <w:u w:val="single"/>
        </w:rPr>
        <w:t>代理机构名称）</w:t>
      </w:r>
      <w:r>
        <w:rPr>
          <w:rFonts w:hint="eastAsia" w:ascii="宋体" w:hAnsi="宋体" w:eastAsia="宋体" w:cs="宋体"/>
          <w:color w:val="auto"/>
        </w:rPr>
        <w:t>：</w:t>
      </w:r>
    </w:p>
    <w:p w14:paraId="62D9B731">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u w:val="single"/>
        </w:rPr>
        <w:t>（法定代表人姓名）</w:t>
      </w:r>
      <w:r>
        <w:rPr>
          <w:rFonts w:hint="eastAsia" w:ascii="宋体" w:hAnsi="宋体" w:eastAsia="宋体" w:cs="宋体"/>
          <w:color w:val="auto"/>
        </w:rPr>
        <w:t>在</w:t>
      </w:r>
      <w:r>
        <w:rPr>
          <w:rFonts w:hint="eastAsia" w:ascii="宋体" w:hAnsi="宋体" w:eastAsia="宋体" w:cs="宋体"/>
          <w:color w:val="auto"/>
          <w:u w:val="single"/>
        </w:rPr>
        <w:t>（供应商名称）</w:t>
      </w:r>
      <w:r>
        <w:rPr>
          <w:rFonts w:hint="eastAsia" w:ascii="宋体" w:hAnsi="宋体" w:eastAsia="宋体" w:cs="宋体"/>
          <w:color w:val="auto"/>
        </w:rPr>
        <w:t>任</w:t>
      </w:r>
      <w:r>
        <w:rPr>
          <w:rFonts w:hint="eastAsia" w:ascii="宋体" w:hAnsi="宋体" w:eastAsia="宋体" w:cs="宋体"/>
          <w:color w:val="auto"/>
          <w:u w:val="single"/>
        </w:rPr>
        <w:t>（职务名称）</w:t>
      </w:r>
      <w:r>
        <w:rPr>
          <w:rFonts w:hint="eastAsia" w:ascii="宋体" w:hAnsi="宋体" w:eastAsia="宋体" w:cs="宋体"/>
          <w:color w:val="auto"/>
        </w:rPr>
        <w:t>职务，是</w:t>
      </w:r>
      <w:r>
        <w:rPr>
          <w:rFonts w:hint="eastAsia" w:ascii="宋体" w:hAnsi="宋体" w:eastAsia="宋体" w:cs="宋体"/>
          <w:color w:val="auto"/>
          <w:u w:val="single"/>
        </w:rPr>
        <w:t>（供应商名称）</w:t>
      </w:r>
      <w:r>
        <w:rPr>
          <w:rFonts w:hint="eastAsia" w:ascii="宋体" w:hAnsi="宋体" w:eastAsia="宋体" w:cs="宋体"/>
          <w:color w:val="auto"/>
        </w:rPr>
        <w:t>的法定代表人。</w:t>
      </w:r>
    </w:p>
    <w:p w14:paraId="488402A3">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5C9404B7">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特此证明。</w:t>
      </w:r>
    </w:p>
    <w:p w14:paraId="5632DC8B">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716C4C21">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65BA4C6F">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5F988746">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 xml:space="preserve">                                             （供应商公章）</w:t>
      </w:r>
    </w:p>
    <w:p w14:paraId="3FC29928">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052A830B">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 xml:space="preserve">                                             年   月   日</w:t>
      </w:r>
    </w:p>
    <w:p w14:paraId="4A5B5251">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60F0E6CD">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（附：法定代表人身份证正反面复印件）</w:t>
      </w:r>
    </w:p>
    <w:p w14:paraId="4942B66A">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2ACC5CCB">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78510A16">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1E149A36">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2D52989E">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5567CF1C">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7ACDD8B6">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br w:type="column"/>
      </w:r>
      <w:r>
        <w:rPr>
          <w:rFonts w:hint="eastAsia" w:ascii="宋体" w:hAnsi="宋体" w:eastAsia="宋体" w:cs="宋体"/>
          <w:color w:val="auto"/>
        </w:rPr>
        <w:t>（三）法定代表人授权委托书（格式）</w:t>
      </w:r>
    </w:p>
    <w:p w14:paraId="64F92CB6">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22CEFD51">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项目名称：</w:t>
      </w:r>
    </w:p>
    <w:p w14:paraId="4B0F7292">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48CC1390">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w:t>
      </w:r>
      <w:r>
        <w:rPr>
          <w:rFonts w:hint="eastAsia" w:cs="宋体"/>
          <w:color w:val="auto"/>
          <w:u w:val="single"/>
          <w:lang w:eastAsia="zh-CN"/>
        </w:rPr>
        <w:t>招标</w:t>
      </w:r>
      <w:r>
        <w:rPr>
          <w:rFonts w:hint="eastAsia" w:ascii="宋体" w:hAnsi="宋体" w:eastAsia="宋体" w:cs="宋体"/>
          <w:color w:val="auto"/>
          <w:u w:val="single"/>
        </w:rPr>
        <w:t>代理机构名称）</w:t>
      </w:r>
      <w:r>
        <w:rPr>
          <w:rFonts w:hint="eastAsia" w:ascii="宋体" w:hAnsi="宋体" w:eastAsia="宋体" w:cs="宋体"/>
          <w:color w:val="auto"/>
        </w:rPr>
        <w:t>：</w:t>
      </w:r>
    </w:p>
    <w:p w14:paraId="1D11C6D5">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u w:val="single"/>
        </w:rPr>
        <w:t>（供应商法定代表人名称）</w:t>
      </w:r>
      <w:r>
        <w:rPr>
          <w:rFonts w:hint="eastAsia" w:ascii="宋体" w:hAnsi="宋体" w:eastAsia="宋体" w:cs="宋体"/>
          <w:color w:val="auto"/>
        </w:rPr>
        <w:t>是</w:t>
      </w:r>
      <w:r>
        <w:rPr>
          <w:rFonts w:hint="eastAsia" w:ascii="宋体" w:hAnsi="宋体" w:eastAsia="宋体" w:cs="宋体"/>
          <w:color w:val="auto"/>
          <w:u w:val="single"/>
        </w:rPr>
        <w:t>（供应商名称）</w:t>
      </w:r>
      <w:r>
        <w:rPr>
          <w:rFonts w:hint="eastAsia" w:ascii="宋体" w:hAnsi="宋体" w:eastAsia="宋体" w:cs="宋体"/>
          <w:color w:val="auto"/>
        </w:rPr>
        <w:t>的法定代表人，特授权</w:t>
      </w:r>
      <w:r>
        <w:rPr>
          <w:rFonts w:hint="eastAsia" w:ascii="宋体" w:hAnsi="宋体" w:eastAsia="宋体" w:cs="宋体"/>
          <w:color w:val="auto"/>
          <w:u w:val="single"/>
        </w:rPr>
        <w:t>（被授权人姓名及身份证代码）</w:t>
      </w:r>
      <w:r>
        <w:rPr>
          <w:rFonts w:hint="eastAsia" w:ascii="宋体" w:hAnsi="宋体" w:eastAsia="宋体" w:cs="宋体"/>
          <w:color w:val="auto"/>
        </w:rPr>
        <w:t>代表我单位全权办理上述项目的</w:t>
      </w:r>
      <w:r>
        <w:rPr>
          <w:rFonts w:hint="eastAsia" w:cs="宋体"/>
          <w:color w:val="auto"/>
          <w:lang w:eastAsia="zh-CN"/>
        </w:rPr>
        <w:t>招标</w:t>
      </w:r>
      <w:r>
        <w:rPr>
          <w:rFonts w:hint="eastAsia" w:ascii="宋体" w:hAnsi="宋体" w:eastAsia="宋体" w:cs="宋体"/>
          <w:color w:val="auto"/>
        </w:rPr>
        <w:t>、签约等具体工作，并签署全部有关文件、协议及合同。</w:t>
      </w:r>
    </w:p>
    <w:p w14:paraId="59ACB3C7">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我单位对被授权人的签字负全部责任。</w:t>
      </w:r>
    </w:p>
    <w:p w14:paraId="26EDA051">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在撤消授权的书面通知以前，本授权书一直有效。被授权人在授权书有效期内签署的所有文件不因授权的撤消而失效。</w:t>
      </w:r>
    </w:p>
    <w:p w14:paraId="7C242A2A">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4BBEF3E6">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3F15F00A">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被授权人：                                   供应商法定代表人：</w:t>
      </w:r>
    </w:p>
    <w:p w14:paraId="10DA7075">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（签字或盖章）                              （签字或盖章）</w:t>
      </w:r>
    </w:p>
    <w:p w14:paraId="13726BFE">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31B3B86E">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0D6E50CC">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（附：被授权人身份证正反面复印件）</w:t>
      </w:r>
    </w:p>
    <w:p w14:paraId="39F77D29">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1B8FEBD1">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43A3B0FC">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24186CC3">
      <w:pPr>
        <w:pageBreakBefore w:val="0"/>
        <w:tabs>
          <w:tab w:val="left" w:pos="6300"/>
        </w:tabs>
        <w:kinsoku/>
        <w:overflowPunct/>
        <w:topLinePunct w:val="0"/>
        <w:bidi w:val="0"/>
        <w:snapToGrid w:val="0"/>
        <w:spacing w:line="336" w:lineRule="auto"/>
        <w:ind w:right="480" w:firstLine="570"/>
        <w:jc w:val="right"/>
        <w:textAlignment w:val="auto"/>
        <w:rPr>
          <w:rFonts w:hint="eastAsia" w:ascii="宋体" w:hAnsi="宋体" w:eastAsia="宋体" w:cs="宋体"/>
          <w:color w:val="auto"/>
        </w:rPr>
      </w:pPr>
      <w:r>
        <w:rPr>
          <w:rFonts w:hint="eastAsia" w:ascii="宋体" w:hAnsi="宋体" w:eastAsia="宋体" w:cs="宋体"/>
          <w:color w:val="auto"/>
        </w:rPr>
        <w:t>（供应商公章）</w:t>
      </w:r>
    </w:p>
    <w:p w14:paraId="4AA5F5BF">
      <w:pPr>
        <w:pageBreakBefore w:val="0"/>
        <w:tabs>
          <w:tab w:val="left" w:pos="6300"/>
        </w:tabs>
        <w:kinsoku/>
        <w:overflowPunct/>
        <w:topLinePunct w:val="0"/>
        <w:bidi w:val="0"/>
        <w:snapToGrid w:val="0"/>
        <w:spacing w:line="336" w:lineRule="auto"/>
        <w:ind w:right="480" w:firstLine="570"/>
        <w:jc w:val="right"/>
        <w:textAlignment w:val="auto"/>
        <w:rPr>
          <w:rFonts w:hint="eastAsia" w:ascii="宋体" w:hAnsi="宋体" w:eastAsia="宋体" w:cs="宋体"/>
          <w:color w:val="auto"/>
        </w:rPr>
      </w:pPr>
      <w:r>
        <w:rPr>
          <w:rFonts w:hint="eastAsia" w:ascii="宋体" w:hAnsi="宋体" w:eastAsia="宋体" w:cs="宋体"/>
          <w:color w:val="auto"/>
        </w:rPr>
        <w:t>年   月   日</w:t>
      </w:r>
    </w:p>
    <w:p w14:paraId="2B61486D">
      <w:pPr>
        <w:pageBreakBefore w:val="0"/>
        <w:kinsoku/>
        <w:overflowPunct/>
        <w:topLinePunct w:val="0"/>
        <w:bidi w:val="0"/>
        <w:spacing w:line="336" w:lineRule="auto"/>
        <w:textAlignment w:val="auto"/>
        <w:rPr>
          <w:rFonts w:hint="eastAsia" w:ascii="宋体" w:hAnsi="宋体" w:eastAsia="宋体" w:cs="宋体"/>
          <w:color w:val="auto"/>
        </w:rPr>
      </w:pPr>
      <w:r>
        <w:rPr>
          <w:rFonts w:hint="eastAsia" w:ascii="宋体" w:hAnsi="宋体" w:eastAsia="宋体" w:cs="宋体"/>
          <w:color w:val="auto"/>
        </w:rPr>
        <w:br w:type="page"/>
      </w:r>
    </w:p>
    <w:p w14:paraId="34B872AB">
      <w:pPr>
        <w:pageBreakBefore w:val="0"/>
        <w:tabs>
          <w:tab w:val="left" w:pos="6300"/>
        </w:tabs>
        <w:kinsoku/>
        <w:overflowPunct/>
        <w:topLinePunct w:val="0"/>
        <w:bidi w:val="0"/>
        <w:snapToGrid w:val="0"/>
        <w:spacing w:line="336" w:lineRule="auto"/>
        <w:ind w:right="480" w:firstLine="570"/>
        <w:jc w:val="right"/>
        <w:textAlignment w:val="auto"/>
        <w:rPr>
          <w:rFonts w:hint="eastAsia" w:ascii="宋体" w:hAnsi="宋体" w:eastAsia="宋体" w:cs="宋体"/>
          <w:color w:val="auto"/>
        </w:rPr>
      </w:pPr>
    </w:p>
    <w:p w14:paraId="06BC0D44">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（四）基本资格条件承诺函</w:t>
      </w:r>
    </w:p>
    <w:p w14:paraId="6AC372D7">
      <w:pPr>
        <w:pageBreakBefore w:val="0"/>
        <w:tabs>
          <w:tab w:val="left" w:pos="6300"/>
        </w:tabs>
        <w:kinsoku/>
        <w:overflowPunct/>
        <w:topLinePunct w:val="0"/>
        <w:bidi w:val="0"/>
        <w:snapToGrid w:val="0"/>
        <w:spacing w:line="336" w:lineRule="auto"/>
        <w:textAlignment w:val="auto"/>
        <w:rPr>
          <w:rFonts w:hint="eastAsia" w:ascii="宋体" w:hAnsi="宋体" w:eastAsia="宋体" w:cs="宋体"/>
          <w:color w:val="auto"/>
        </w:rPr>
      </w:pPr>
    </w:p>
    <w:p w14:paraId="5216B98C">
      <w:pPr>
        <w:pageBreakBefore w:val="0"/>
        <w:tabs>
          <w:tab w:val="left" w:pos="6300"/>
        </w:tabs>
        <w:kinsoku/>
        <w:overflowPunct/>
        <w:topLinePunct w:val="0"/>
        <w:bidi w:val="0"/>
        <w:snapToGrid w:val="0"/>
        <w:spacing w:line="336" w:lineRule="auto"/>
        <w:ind w:firstLine="640" w:firstLineChars="200"/>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基本资格条件承诺函</w:t>
      </w:r>
    </w:p>
    <w:p w14:paraId="0E1104DA">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 xml:space="preserve">致 </w:t>
      </w:r>
    </w:p>
    <w:p w14:paraId="73915BB6">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w:t>
      </w:r>
      <w:r>
        <w:rPr>
          <w:rFonts w:hint="eastAsia" w:cs="宋体"/>
          <w:color w:val="auto"/>
          <w:lang w:eastAsia="zh-CN"/>
        </w:rPr>
        <w:t>招标</w:t>
      </w:r>
      <w:r>
        <w:rPr>
          <w:rFonts w:hint="eastAsia" w:ascii="宋体" w:hAnsi="宋体" w:eastAsia="宋体" w:cs="宋体"/>
          <w:color w:val="auto"/>
        </w:rPr>
        <w:t xml:space="preserve">代理机构名称）： </w:t>
      </w:r>
    </w:p>
    <w:p w14:paraId="26E282FA">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eastAsia="zh-CN"/>
        </w:rPr>
        <w:t>供应商</w:t>
      </w:r>
      <w:r>
        <w:rPr>
          <w:rFonts w:hint="eastAsia" w:ascii="宋体" w:hAnsi="宋体" w:eastAsia="宋体" w:cs="宋体"/>
          <w:color w:val="auto"/>
        </w:rPr>
        <w:t xml:space="preserve">名称）郑重承诺： </w:t>
      </w:r>
    </w:p>
    <w:p w14:paraId="505DE392">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1.我方具有良好的商业信誉和健全的财务会计制度，具有履行合同所必需的设备和专业技术能力，具有依法缴纳税收和社会保障金的良好记录，参加本项目</w:t>
      </w:r>
      <w:r>
        <w:rPr>
          <w:rFonts w:hint="eastAsia" w:cs="宋体"/>
          <w:color w:val="auto"/>
          <w:lang w:eastAsia="zh-CN"/>
        </w:rPr>
        <w:t>招标</w:t>
      </w:r>
      <w:r>
        <w:rPr>
          <w:rFonts w:hint="eastAsia" w:ascii="宋体" w:hAnsi="宋体" w:eastAsia="宋体" w:cs="宋体"/>
          <w:color w:val="auto"/>
        </w:rPr>
        <w:t xml:space="preserve">活动前三年内无重大违法活动记录。 </w:t>
      </w:r>
    </w:p>
    <w:p w14:paraId="644A4CEF">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2.我方未列入在信用中国网站（www.creditchina.gov.cn）“失信被执行人”、“重大税收违法案件当事人名单”中，也未列入中国政府</w:t>
      </w:r>
      <w:r>
        <w:rPr>
          <w:rFonts w:hint="eastAsia" w:cs="宋体"/>
          <w:color w:val="auto"/>
          <w:lang w:eastAsia="zh-CN"/>
        </w:rPr>
        <w:t>招标</w:t>
      </w:r>
      <w:r>
        <w:rPr>
          <w:rFonts w:hint="eastAsia" w:ascii="宋体" w:hAnsi="宋体" w:eastAsia="宋体" w:cs="宋体"/>
          <w:color w:val="auto"/>
        </w:rPr>
        <w:t>网（www.ccgp.gov.cn）“政府</w:t>
      </w:r>
      <w:r>
        <w:rPr>
          <w:rFonts w:hint="eastAsia" w:cs="宋体"/>
          <w:color w:val="auto"/>
          <w:lang w:eastAsia="zh-CN"/>
        </w:rPr>
        <w:t>招标</w:t>
      </w:r>
      <w:r>
        <w:rPr>
          <w:rFonts w:hint="eastAsia" w:ascii="宋体" w:hAnsi="宋体" w:eastAsia="宋体" w:cs="宋体"/>
          <w:color w:val="auto"/>
        </w:rPr>
        <w:t xml:space="preserve">严重违法失信行为记录名单”中。 </w:t>
      </w:r>
    </w:p>
    <w:p w14:paraId="542EC37A">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3.我方在</w:t>
      </w:r>
      <w:r>
        <w:rPr>
          <w:rFonts w:hint="eastAsia" w:cs="宋体"/>
          <w:color w:val="auto"/>
          <w:lang w:eastAsia="zh-CN"/>
        </w:rPr>
        <w:t>招标</w:t>
      </w:r>
      <w:r>
        <w:rPr>
          <w:rFonts w:hint="eastAsia" w:ascii="宋体" w:hAnsi="宋体" w:eastAsia="宋体" w:cs="宋体"/>
          <w:color w:val="auto"/>
        </w:rPr>
        <w:t>项目评审（评标）环节结束后，随时接受</w:t>
      </w:r>
      <w:r>
        <w:rPr>
          <w:rFonts w:hint="eastAsia" w:cs="宋体"/>
          <w:color w:val="auto"/>
          <w:lang w:eastAsia="zh-CN"/>
        </w:rPr>
        <w:t>招标</w:t>
      </w:r>
      <w:r>
        <w:rPr>
          <w:rFonts w:hint="eastAsia" w:ascii="宋体" w:hAnsi="宋体" w:eastAsia="宋体" w:cs="宋体"/>
          <w:color w:val="auto"/>
        </w:rPr>
        <w:t>人、</w:t>
      </w:r>
      <w:r>
        <w:rPr>
          <w:rFonts w:hint="eastAsia" w:cs="宋体"/>
          <w:color w:val="auto"/>
          <w:lang w:eastAsia="zh-CN"/>
        </w:rPr>
        <w:t>招标</w:t>
      </w:r>
      <w:r>
        <w:rPr>
          <w:rFonts w:hint="eastAsia" w:ascii="宋体" w:hAnsi="宋体" w:eastAsia="宋体" w:cs="宋体"/>
          <w:color w:val="auto"/>
        </w:rPr>
        <w:t>代理机构的检查验证，配合提供相关证明材料，证明符合《中华人民共和国政府</w:t>
      </w:r>
      <w:r>
        <w:rPr>
          <w:rFonts w:hint="eastAsia" w:cs="宋体"/>
          <w:color w:val="auto"/>
          <w:lang w:eastAsia="zh-CN"/>
        </w:rPr>
        <w:t>招标</w:t>
      </w:r>
      <w:r>
        <w:rPr>
          <w:rFonts w:hint="eastAsia" w:ascii="宋体" w:hAnsi="宋体" w:eastAsia="宋体" w:cs="宋体"/>
          <w:color w:val="auto"/>
        </w:rPr>
        <w:t>法》规定的</w:t>
      </w:r>
      <w:r>
        <w:rPr>
          <w:rFonts w:hint="eastAsia" w:ascii="宋体" w:hAnsi="宋体" w:eastAsia="宋体" w:cs="宋体"/>
          <w:color w:val="auto"/>
          <w:lang w:eastAsia="zh-CN"/>
        </w:rPr>
        <w:t>供应商</w:t>
      </w:r>
      <w:r>
        <w:rPr>
          <w:rFonts w:hint="eastAsia" w:ascii="宋体" w:hAnsi="宋体" w:eastAsia="宋体" w:cs="宋体"/>
          <w:color w:val="auto"/>
        </w:rPr>
        <w:t>基本资格条件。我方对以上承诺负全部法律责任。特此承诺。</w:t>
      </w:r>
    </w:p>
    <w:p w14:paraId="16260797">
      <w:pPr>
        <w:pStyle w:val="7"/>
        <w:pageBreakBefore w:val="0"/>
        <w:kinsoku/>
        <w:overflowPunct/>
        <w:topLinePunct w:val="0"/>
        <w:bidi w:val="0"/>
        <w:spacing w:line="336" w:lineRule="auto"/>
        <w:textAlignment w:val="auto"/>
        <w:rPr>
          <w:rFonts w:hint="eastAsia" w:ascii="宋体" w:hAnsi="宋体" w:eastAsia="宋体" w:cs="宋体"/>
          <w:color w:val="auto"/>
        </w:rPr>
      </w:pPr>
    </w:p>
    <w:p w14:paraId="21C4CA9E">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lang w:eastAsia="zh-CN"/>
        </w:rPr>
        <w:t>供应商</w:t>
      </w:r>
      <w:r>
        <w:rPr>
          <w:rFonts w:hint="eastAsia" w:ascii="宋体" w:hAnsi="宋体" w:eastAsia="宋体" w:cs="宋体"/>
          <w:color w:val="auto"/>
        </w:rPr>
        <w:t xml:space="preserve">公章） </w:t>
      </w:r>
    </w:p>
    <w:p w14:paraId="309B53A9">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 xml:space="preserve">                                              年     月      日</w:t>
      </w:r>
    </w:p>
    <w:p w14:paraId="28EE21CF">
      <w:pPr>
        <w:pageBreakBefore w:val="0"/>
        <w:tabs>
          <w:tab w:val="left" w:pos="6300"/>
        </w:tabs>
        <w:kinsoku/>
        <w:overflowPunct/>
        <w:topLinePunct w:val="0"/>
        <w:bidi w:val="0"/>
        <w:snapToGrid w:val="0"/>
        <w:spacing w:line="336" w:lineRule="auto"/>
        <w:textAlignment w:val="auto"/>
        <w:rPr>
          <w:rFonts w:hint="eastAsia" w:ascii="宋体" w:hAnsi="宋体" w:eastAsia="宋体" w:cs="宋体"/>
          <w:color w:val="auto"/>
        </w:rPr>
      </w:pPr>
      <w:r>
        <w:rPr>
          <w:rFonts w:hint="eastAsia" w:ascii="宋体" w:hAnsi="宋体" w:eastAsia="宋体" w:cs="宋体"/>
          <w:color w:val="auto"/>
        </w:rPr>
        <w:br w:type="page"/>
      </w:r>
    </w:p>
    <w:p w14:paraId="19B34309">
      <w:pPr>
        <w:pStyle w:val="5"/>
        <w:pageBreakBefore w:val="0"/>
        <w:kinsoku/>
        <w:overflowPunct/>
        <w:topLinePunct w:val="0"/>
        <w:bidi w:val="0"/>
        <w:spacing w:line="336" w:lineRule="auto"/>
        <w:textAlignment w:val="auto"/>
        <w:rPr>
          <w:rFonts w:hint="eastAsia" w:ascii="宋体" w:hAnsi="宋体" w:eastAsia="宋体" w:cs="宋体"/>
          <w:color w:val="auto"/>
          <w:sz w:val="24"/>
          <w:szCs w:val="24"/>
        </w:rPr>
      </w:pPr>
      <w:bookmarkStart w:id="160" w:name="_Toc487204801"/>
      <w:bookmarkStart w:id="161" w:name="_Toc486608281"/>
      <w:bookmarkStart w:id="162" w:name="_Toc486585244"/>
      <w:bookmarkStart w:id="163" w:name="_Toc11824"/>
      <w:bookmarkStart w:id="164" w:name="_Toc108545987"/>
      <w:bookmarkStart w:id="165" w:name="_Toc29032"/>
      <w:r>
        <w:rPr>
          <w:rFonts w:hint="eastAsia" w:ascii="宋体" w:hAnsi="宋体" w:eastAsia="宋体" w:cs="宋体"/>
          <w:color w:val="auto"/>
          <w:sz w:val="24"/>
          <w:szCs w:val="24"/>
        </w:rPr>
        <w:t>五、其他应提供的资料</w:t>
      </w:r>
      <w:bookmarkEnd w:id="160"/>
      <w:bookmarkEnd w:id="161"/>
      <w:bookmarkEnd w:id="162"/>
      <w:bookmarkEnd w:id="163"/>
      <w:bookmarkEnd w:id="164"/>
      <w:bookmarkEnd w:id="165"/>
    </w:p>
    <w:p w14:paraId="3EC7B947">
      <w:pPr>
        <w:pageBreakBefore w:val="0"/>
        <w:kinsoku/>
        <w:overflowPunct/>
        <w:topLinePunct w:val="0"/>
        <w:bidi w:val="0"/>
        <w:spacing w:line="336" w:lineRule="auto"/>
        <w:textAlignment w:val="auto"/>
        <w:rPr>
          <w:rFonts w:hint="eastAsia" w:ascii="宋体" w:hAnsi="宋体" w:eastAsia="宋体" w:cs="宋体"/>
          <w:color w:val="auto"/>
        </w:rPr>
      </w:pPr>
      <w:r>
        <w:rPr>
          <w:rFonts w:hint="eastAsia" w:ascii="宋体" w:hAnsi="宋体" w:eastAsia="宋体" w:cs="宋体"/>
          <w:color w:val="auto"/>
        </w:rPr>
        <w:t>（一）其他与项目有关的资料（如有）</w:t>
      </w:r>
    </w:p>
    <w:p w14:paraId="664EBED2">
      <w:pPr>
        <w:pageBreakBefore w:val="0"/>
        <w:kinsoku/>
        <w:overflowPunct/>
        <w:topLinePunct w:val="0"/>
        <w:bidi w:val="0"/>
        <w:spacing w:line="336" w:lineRule="auto"/>
        <w:textAlignment w:val="auto"/>
        <w:rPr>
          <w:rFonts w:hint="eastAsia" w:ascii="宋体" w:hAnsi="宋体" w:eastAsia="宋体" w:cs="宋体"/>
          <w:color w:val="auto"/>
        </w:rPr>
      </w:pPr>
      <w:r>
        <w:rPr>
          <w:rFonts w:hint="eastAsia" w:ascii="宋体" w:hAnsi="宋体" w:eastAsia="宋体" w:cs="宋体"/>
          <w:color w:val="auto"/>
        </w:rPr>
        <w:t>其他与项目有关的资料（自附）：其他与本项目有关的资料等。</w:t>
      </w:r>
    </w:p>
    <w:p w14:paraId="55EB9273">
      <w:pPr>
        <w:pageBreakBefore w:val="0"/>
        <w:kinsoku/>
        <w:overflowPunct/>
        <w:topLinePunct w:val="0"/>
        <w:bidi w:val="0"/>
        <w:spacing w:line="336" w:lineRule="auto"/>
        <w:textAlignment w:val="auto"/>
        <w:rPr>
          <w:rFonts w:hint="eastAsia" w:ascii="宋体" w:hAnsi="宋体" w:eastAsia="宋体" w:cs="宋体"/>
          <w:color w:val="auto"/>
        </w:rPr>
      </w:pPr>
    </w:p>
    <w:p w14:paraId="223C3D89">
      <w:pPr>
        <w:pageBreakBefore w:val="0"/>
        <w:kinsoku/>
        <w:overflowPunct/>
        <w:topLinePunct w:val="0"/>
        <w:bidi w:val="0"/>
        <w:spacing w:line="336" w:lineRule="auto"/>
        <w:textAlignment w:val="auto"/>
        <w:rPr>
          <w:rFonts w:hint="eastAsia" w:ascii="宋体" w:hAnsi="宋体" w:eastAsia="宋体" w:cs="宋体"/>
          <w:color w:val="auto"/>
        </w:rPr>
      </w:pPr>
    </w:p>
    <w:p w14:paraId="33A0618F">
      <w:pPr>
        <w:pageBreakBefore w:val="0"/>
        <w:kinsoku/>
        <w:overflowPunct/>
        <w:topLinePunct w:val="0"/>
        <w:bidi w:val="0"/>
        <w:spacing w:line="336" w:lineRule="auto"/>
        <w:textAlignment w:val="auto"/>
        <w:rPr>
          <w:rFonts w:hint="eastAsia" w:ascii="宋体" w:hAnsi="宋体" w:eastAsia="宋体" w:cs="宋体"/>
          <w:color w:val="auto"/>
        </w:rPr>
      </w:pPr>
    </w:p>
    <w:p w14:paraId="287C45C4">
      <w:pPr>
        <w:pageBreakBefore w:val="0"/>
        <w:kinsoku/>
        <w:overflowPunct/>
        <w:topLinePunct w:val="0"/>
        <w:bidi w:val="0"/>
        <w:spacing w:line="336" w:lineRule="auto"/>
        <w:textAlignment w:val="auto"/>
        <w:rPr>
          <w:rFonts w:hint="eastAsia" w:ascii="宋体" w:hAnsi="宋体" w:eastAsia="宋体" w:cs="宋体"/>
          <w:color w:val="auto"/>
        </w:rPr>
      </w:pPr>
    </w:p>
    <w:p w14:paraId="67887C62">
      <w:pPr>
        <w:pageBreakBefore w:val="0"/>
        <w:kinsoku/>
        <w:overflowPunct/>
        <w:topLinePunct w:val="0"/>
        <w:bidi w:val="0"/>
        <w:spacing w:line="336" w:lineRule="auto"/>
        <w:jc w:val="center"/>
        <w:textAlignment w:val="auto"/>
        <w:rPr>
          <w:rFonts w:hint="eastAsia" w:ascii="宋体" w:hAnsi="宋体" w:eastAsia="宋体" w:cs="宋体"/>
          <w:color w:val="auto"/>
        </w:rPr>
      </w:pPr>
    </w:p>
    <w:p w14:paraId="231088BA">
      <w:pPr>
        <w:pageBreakBefore w:val="0"/>
        <w:kinsoku/>
        <w:overflowPunct/>
        <w:topLinePunct w:val="0"/>
        <w:bidi w:val="0"/>
        <w:spacing w:line="336" w:lineRule="auto"/>
        <w:jc w:val="center"/>
        <w:textAlignment w:val="auto"/>
        <w:rPr>
          <w:rFonts w:hint="eastAsia" w:ascii="宋体" w:hAnsi="宋体" w:eastAsia="宋体" w:cs="宋体"/>
          <w:color w:val="auto"/>
        </w:rPr>
      </w:pPr>
    </w:p>
    <w:p w14:paraId="1A2EBBD8">
      <w:pPr>
        <w:pageBreakBefore w:val="0"/>
        <w:kinsoku/>
        <w:overflowPunct/>
        <w:topLinePunct w:val="0"/>
        <w:bidi w:val="0"/>
        <w:spacing w:line="336" w:lineRule="auto"/>
        <w:jc w:val="center"/>
        <w:textAlignment w:val="auto"/>
        <w:rPr>
          <w:rFonts w:hint="eastAsia" w:ascii="宋体" w:hAnsi="宋体" w:eastAsia="宋体" w:cs="宋体"/>
          <w:color w:val="auto"/>
        </w:rPr>
      </w:pPr>
    </w:p>
    <w:p w14:paraId="42CBDD89">
      <w:pPr>
        <w:pageBreakBefore w:val="0"/>
        <w:kinsoku/>
        <w:overflowPunct/>
        <w:topLinePunct w:val="0"/>
        <w:bidi w:val="0"/>
        <w:spacing w:line="336" w:lineRule="auto"/>
        <w:jc w:val="center"/>
        <w:textAlignment w:val="auto"/>
        <w:rPr>
          <w:rFonts w:hint="eastAsia" w:ascii="宋体" w:hAnsi="宋体" w:eastAsia="宋体" w:cs="宋体"/>
          <w:color w:val="auto"/>
        </w:rPr>
      </w:pPr>
    </w:p>
    <w:p w14:paraId="61CA3305">
      <w:pPr>
        <w:pageBreakBefore w:val="0"/>
        <w:kinsoku/>
        <w:overflowPunct/>
        <w:topLinePunct w:val="0"/>
        <w:bidi w:val="0"/>
        <w:spacing w:line="336" w:lineRule="auto"/>
        <w:jc w:val="center"/>
        <w:textAlignment w:val="auto"/>
        <w:rPr>
          <w:rFonts w:hint="eastAsia" w:ascii="宋体" w:hAnsi="宋体" w:eastAsia="宋体" w:cs="宋体"/>
          <w:color w:val="auto"/>
        </w:rPr>
      </w:pPr>
    </w:p>
    <w:p w14:paraId="7E6195A2">
      <w:pPr>
        <w:pageBreakBefore w:val="0"/>
        <w:kinsoku/>
        <w:overflowPunct/>
        <w:topLinePunct w:val="0"/>
        <w:bidi w:val="0"/>
        <w:spacing w:line="336" w:lineRule="auto"/>
        <w:jc w:val="center"/>
        <w:textAlignment w:val="auto"/>
        <w:rPr>
          <w:rFonts w:hint="eastAsia" w:ascii="宋体" w:hAnsi="宋体" w:eastAsia="宋体" w:cs="宋体"/>
          <w:color w:val="auto"/>
        </w:rPr>
      </w:pPr>
    </w:p>
    <w:p w14:paraId="2F1EA735">
      <w:pPr>
        <w:pageBreakBefore w:val="0"/>
        <w:kinsoku/>
        <w:overflowPunct/>
        <w:topLinePunct w:val="0"/>
        <w:bidi w:val="0"/>
        <w:spacing w:line="336" w:lineRule="auto"/>
        <w:jc w:val="center"/>
        <w:textAlignment w:val="auto"/>
        <w:rPr>
          <w:rFonts w:hint="eastAsia" w:ascii="宋体" w:hAnsi="宋体" w:eastAsia="宋体" w:cs="宋体"/>
          <w:color w:val="auto"/>
        </w:rPr>
      </w:pPr>
    </w:p>
    <w:p w14:paraId="089E8434">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（结束）</w:t>
      </w:r>
    </w:p>
    <w:p w14:paraId="136A5C41">
      <w:pPr>
        <w:pStyle w:val="7"/>
        <w:pageBreakBefore w:val="0"/>
        <w:kinsoku/>
        <w:overflowPunct/>
        <w:topLinePunct w:val="0"/>
        <w:bidi w:val="0"/>
        <w:spacing w:line="336" w:lineRule="auto"/>
        <w:textAlignment w:val="auto"/>
        <w:rPr>
          <w:rFonts w:hint="eastAsia" w:ascii="宋体" w:hAnsi="宋体" w:eastAsia="宋体" w:cs="宋体"/>
          <w:color w:val="auto"/>
        </w:rPr>
      </w:pPr>
    </w:p>
    <w:p w14:paraId="082D4DCC">
      <w:pPr>
        <w:pStyle w:val="7"/>
        <w:pageBreakBefore w:val="0"/>
        <w:kinsoku/>
        <w:overflowPunct/>
        <w:topLinePunct w:val="0"/>
        <w:bidi w:val="0"/>
        <w:spacing w:line="336" w:lineRule="auto"/>
        <w:textAlignment w:val="auto"/>
        <w:rPr>
          <w:rFonts w:hint="eastAsia" w:ascii="宋体" w:hAnsi="宋体" w:eastAsia="宋体" w:cs="宋体"/>
          <w:color w:val="auto"/>
        </w:rPr>
      </w:pPr>
    </w:p>
    <w:p w14:paraId="33535DA2">
      <w:pPr>
        <w:pStyle w:val="7"/>
        <w:pageBreakBefore w:val="0"/>
        <w:kinsoku/>
        <w:overflowPunct/>
        <w:topLinePunct w:val="0"/>
        <w:bidi w:val="0"/>
        <w:spacing w:line="336" w:lineRule="auto"/>
        <w:textAlignment w:val="auto"/>
        <w:rPr>
          <w:rFonts w:hint="eastAsia" w:ascii="宋体" w:hAnsi="宋体" w:eastAsia="宋体" w:cs="宋体"/>
          <w:color w:val="auto"/>
        </w:rPr>
      </w:pPr>
    </w:p>
    <w:p w14:paraId="2AC110E2">
      <w:pPr>
        <w:pStyle w:val="7"/>
        <w:pageBreakBefore w:val="0"/>
        <w:kinsoku/>
        <w:overflowPunct/>
        <w:topLinePunct w:val="0"/>
        <w:bidi w:val="0"/>
        <w:spacing w:line="336" w:lineRule="auto"/>
        <w:textAlignment w:val="auto"/>
        <w:rPr>
          <w:rFonts w:hint="eastAsia" w:ascii="宋体" w:hAnsi="宋体" w:eastAsia="宋体" w:cs="宋体"/>
          <w:color w:val="auto"/>
        </w:rPr>
      </w:pPr>
    </w:p>
    <w:p w14:paraId="21A82B8B">
      <w:pPr>
        <w:pStyle w:val="7"/>
        <w:pageBreakBefore w:val="0"/>
        <w:kinsoku/>
        <w:overflowPunct/>
        <w:topLinePunct w:val="0"/>
        <w:bidi w:val="0"/>
        <w:spacing w:line="336" w:lineRule="auto"/>
        <w:textAlignment w:val="auto"/>
        <w:rPr>
          <w:rFonts w:hint="eastAsia" w:ascii="宋体" w:hAnsi="宋体" w:eastAsia="宋体" w:cs="宋体"/>
          <w:color w:val="auto"/>
        </w:rPr>
      </w:pPr>
    </w:p>
    <w:p w14:paraId="18E378A5">
      <w:pPr>
        <w:pStyle w:val="7"/>
        <w:pageBreakBefore w:val="0"/>
        <w:kinsoku/>
        <w:overflowPunct/>
        <w:topLinePunct w:val="0"/>
        <w:bidi w:val="0"/>
        <w:spacing w:line="336" w:lineRule="auto"/>
        <w:textAlignment w:val="auto"/>
        <w:rPr>
          <w:rFonts w:hint="eastAsia" w:ascii="宋体" w:hAnsi="宋体" w:eastAsia="宋体" w:cs="宋体"/>
          <w:color w:val="auto"/>
        </w:rPr>
      </w:pPr>
    </w:p>
    <w:p w14:paraId="1C597B3A">
      <w:pPr>
        <w:pStyle w:val="7"/>
        <w:pageBreakBefore w:val="0"/>
        <w:kinsoku/>
        <w:overflowPunct/>
        <w:topLinePunct w:val="0"/>
        <w:bidi w:val="0"/>
        <w:spacing w:line="336" w:lineRule="auto"/>
        <w:textAlignment w:val="auto"/>
        <w:rPr>
          <w:rFonts w:hint="eastAsia" w:ascii="宋体" w:hAnsi="宋体" w:eastAsia="宋体" w:cs="宋体"/>
          <w:color w:val="auto"/>
        </w:rPr>
      </w:pPr>
    </w:p>
    <w:p w14:paraId="1F84C102">
      <w:pPr>
        <w:pStyle w:val="7"/>
        <w:pageBreakBefore w:val="0"/>
        <w:kinsoku/>
        <w:overflowPunct/>
        <w:topLinePunct w:val="0"/>
        <w:bidi w:val="0"/>
        <w:spacing w:line="336" w:lineRule="auto"/>
        <w:textAlignment w:val="auto"/>
        <w:rPr>
          <w:rFonts w:hint="eastAsia" w:ascii="宋体" w:hAnsi="宋体" w:eastAsia="宋体" w:cs="宋体"/>
          <w:color w:val="auto"/>
        </w:rPr>
      </w:pPr>
    </w:p>
    <w:p w14:paraId="023FD528">
      <w:pPr>
        <w:pStyle w:val="7"/>
        <w:pageBreakBefore w:val="0"/>
        <w:kinsoku/>
        <w:overflowPunct/>
        <w:topLinePunct w:val="0"/>
        <w:bidi w:val="0"/>
        <w:spacing w:line="336" w:lineRule="auto"/>
        <w:textAlignment w:val="auto"/>
        <w:rPr>
          <w:rFonts w:hint="eastAsia" w:ascii="宋体" w:hAnsi="宋体" w:eastAsia="宋体" w:cs="宋体"/>
          <w:color w:val="auto"/>
        </w:rPr>
      </w:pPr>
    </w:p>
    <w:p w14:paraId="5B93CA94">
      <w:pPr>
        <w:pageBreakBefore w:val="0"/>
        <w:kinsoku/>
        <w:overflowPunct/>
        <w:topLinePunct w:val="0"/>
        <w:bidi w:val="0"/>
        <w:spacing w:line="336" w:lineRule="auto"/>
        <w:textAlignment w:val="auto"/>
        <w:rPr>
          <w:rFonts w:hint="eastAsia" w:ascii="宋体" w:hAnsi="宋体" w:eastAsia="宋体" w:cs="宋体"/>
          <w:color w:val="auto"/>
        </w:rPr>
      </w:pPr>
      <w:r>
        <w:rPr>
          <w:rFonts w:hint="eastAsia" w:ascii="宋体" w:hAnsi="宋体" w:eastAsia="宋体" w:cs="宋体"/>
          <w:color w:val="auto"/>
        </w:rPr>
        <w:br w:type="page"/>
      </w:r>
    </w:p>
    <w:p w14:paraId="2E5DAE93">
      <w:pPr>
        <w:pStyle w:val="34"/>
        <w:pageBreakBefore w:val="0"/>
        <w:kinsoku/>
        <w:overflowPunct/>
        <w:topLinePunct w:val="0"/>
        <w:bidi w:val="0"/>
        <w:spacing w:line="336" w:lineRule="auto"/>
        <w:textAlignment w:val="auto"/>
        <w:rPr>
          <w:rFonts w:hint="eastAsia" w:ascii="宋体" w:hAnsi="宋体" w:eastAsia="宋体" w:cs="宋体"/>
        </w:rPr>
      </w:pPr>
    </w:p>
    <w:p w14:paraId="39B1E533">
      <w:pPr>
        <w:pStyle w:val="73"/>
        <w:pageBreakBefore w:val="0"/>
        <w:kinsoku/>
        <w:overflowPunct/>
        <w:topLinePunct w:val="0"/>
        <w:bidi w:val="0"/>
        <w:spacing w:line="336" w:lineRule="auto"/>
        <w:jc w:val="both"/>
        <w:textAlignment w:val="auto"/>
        <w:rPr>
          <w:rFonts w:hint="eastAsia" w:ascii="宋体" w:hAnsi="宋体" w:eastAsia="宋体" w:cs="宋体"/>
          <w:color w:val="auto"/>
          <w:sz w:val="36"/>
          <w:szCs w:val="36"/>
        </w:rPr>
      </w:pPr>
      <w:bookmarkStart w:id="166" w:name="_Toc3096"/>
      <w:bookmarkStart w:id="167" w:name="_Toc108545988"/>
      <w:bookmarkStart w:id="168" w:name="_Toc23244"/>
      <w:r>
        <w:rPr>
          <w:rFonts w:hint="eastAsia" w:ascii="宋体" w:hAnsi="宋体" w:eastAsia="宋体" w:cs="宋体"/>
          <w:color w:val="auto"/>
          <w:sz w:val="36"/>
          <w:szCs w:val="36"/>
        </w:rPr>
        <w:t>附件1：</w:t>
      </w:r>
      <w:bookmarkEnd w:id="166"/>
      <w:bookmarkEnd w:id="167"/>
      <w:bookmarkEnd w:id="168"/>
    </w:p>
    <w:p w14:paraId="007301AE">
      <w:pPr>
        <w:pageBreakBefore w:val="0"/>
        <w:kinsoku/>
        <w:overflowPunct/>
        <w:topLinePunct w:val="0"/>
        <w:bidi w:val="0"/>
        <w:spacing w:line="336" w:lineRule="auto"/>
        <w:jc w:val="center"/>
        <w:textAlignment w:val="auto"/>
        <w:rPr>
          <w:rFonts w:hint="eastAsia" w:ascii="宋体" w:hAnsi="宋体" w:eastAsia="宋体" w:cs="宋体"/>
          <w:b/>
          <w:bCs/>
          <w:color w:val="auto"/>
          <w:sz w:val="44"/>
          <w:szCs w:val="44"/>
        </w:rPr>
      </w:pPr>
      <w:r>
        <w:rPr>
          <w:rFonts w:hint="eastAsia" w:ascii="宋体" w:hAnsi="宋体" w:eastAsia="宋体" w:cs="宋体"/>
          <w:color w:val="auto"/>
        </w:rPr>
        <w:t xml:space="preserve"> </w:t>
      </w:r>
      <w:r>
        <w:rPr>
          <w:rFonts w:hint="eastAsia" w:cs="宋体"/>
          <w:b/>
          <w:bCs/>
          <w:color w:val="auto"/>
          <w:sz w:val="44"/>
          <w:szCs w:val="44"/>
          <w:lang w:eastAsia="zh-CN"/>
        </w:rPr>
        <w:t>招标</w:t>
      </w:r>
      <w:r>
        <w:rPr>
          <w:rFonts w:hint="eastAsia" w:ascii="宋体" w:hAnsi="宋体" w:eastAsia="宋体" w:cs="宋体"/>
          <w:b/>
          <w:bCs/>
          <w:color w:val="auto"/>
          <w:sz w:val="44"/>
          <w:szCs w:val="44"/>
        </w:rPr>
        <w:t>文件发售登记表</w:t>
      </w:r>
    </w:p>
    <w:p w14:paraId="68F8737D">
      <w:pPr>
        <w:pageBreakBefore w:val="0"/>
        <w:kinsoku/>
        <w:overflowPunct/>
        <w:topLinePunct w:val="0"/>
        <w:bidi w:val="0"/>
        <w:spacing w:line="336" w:lineRule="auto"/>
        <w:textAlignment w:val="auto"/>
        <w:rPr>
          <w:rFonts w:hint="eastAsia" w:ascii="宋体" w:hAnsi="宋体" w:eastAsia="宋体" w:cs="宋体"/>
          <w:b/>
          <w:bCs/>
          <w:color w:val="auto"/>
          <w:spacing w:val="40"/>
        </w:rPr>
      </w:pPr>
    </w:p>
    <w:tbl>
      <w:tblPr>
        <w:tblStyle w:val="2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1F3D1D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948" w:type="dxa"/>
            <w:vAlign w:val="center"/>
          </w:tcPr>
          <w:p w14:paraId="13EB08ED">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项目号</w:t>
            </w:r>
          </w:p>
        </w:tc>
        <w:tc>
          <w:tcPr>
            <w:tcW w:w="7226" w:type="dxa"/>
            <w:gridSpan w:val="3"/>
            <w:vAlign w:val="center"/>
          </w:tcPr>
          <w:p w14:paraId="0817605D">
            <w:pPr>
              <w:pageBreakBefore w:val="0"/>
              <w:kinsoku/>
              <w:overflowPunct/>
              <w:topLinePunct w:val="0"/>
              <w:bidi w:val="0"/>
              <w:spacing w:line="336" w:lineRule="auto"/>
              <w:jc w:val="center"/>
              <w:textAlignment w:val="auto"/>
              <w:rPr>
                <w:rFonts w:hint="eastAsia" w:ascii="宋体" w:hAnsi="宋体" w:eastAsia="宋体" w:cs="宋体"/>
                <w:color w:val="auto"/>
              </w:rPr>
            </w:pPr>
          </w:p>
        </w:tc>
      </w:tr>
      <w:tr w14:paraId="32F66F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100967A0">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项目名称</w:t>
            </w:r>
          </w:p>
        </w:tc>
        <w:tc>
          <w:tcPr>
            <w:tcW w:w="7226" w:type="dxa"/>
            <w:gridSpan w:val="3"/>
            <w:vAlign w:val="center"/>
          </w:tcPr>
          <w:p w14:paraId="786D02ED">
            <w:pPr>
              <w:pageBreakBefore w:val="0"/>
              <w:kinsoku/>
              <w:overflowPunct/>
              <w:topLinePunct w:val="0"/>
              <w:bidi w:val="0"/>
              <w:spacing w:line="336" w:lineRule="auto"/>
              <w:jc w:val="center"/>
              <w:textAlignment w:val="auto"/>
              <w:rPr>
                <w:rFonts w:hint="eastAsia" w:ascii="宋体" w:hAnsi="宋体" w:eastAsia="宋体" w:cs="宋体"/>
                <w:color w:val="auto"/>
                <w:lang w:eastAsia="zh-CN"/>
              </w:rPr>
            </w:pPr>
          </w:p>
        </w:tc>
      </w:tr>
      <w:tr w14:paraId="0B0C00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2A9442D">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名称</w:t>
            </w:r>
          </w:p>
        </w:tc>
        <w:tc>
          <w:tcPr>
            <w:tcW w:w="7226" w:type="dxa"/>
            <w:gridSpan w:val="3"/>
            <w:vAlign w:val="bottom"/>
          </w:tcPr>
          <w:p w14:paraId="3547B0D8">
            <w:pPr>
              <w:pageBreakBefore w:val="0"/>
              <w:kinsoku/>
              <w:overflowPunct/>
              <w:topLinePunct w:val="0"/>
              <w:bidi w:val="0"/>
              <w:spacing w:line="336" w:lineRule="auto"/>
              <w:jc w:val="right"/>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eastAsia="zh-CN"/>
              </w:rPr>
              <w:t>供应商</w:t>
            </w:r>
            <w:r>
              <w:rPr>
                <w:rFonts w:hint="eastAsia" w:ascii="宋体" w:hAnsi="宋体" w:eastAsia="宋体" w:cs="宋体"/>
                <w:color w:val="auto"/>
              </w:rPr>
              <w:t>公章）</w:t>
            </w:r>
          </w:p>
        </w:tc>
      </w:tr>
      <w:tr w14:paraId="30D31F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F648F21">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联系人</w:t>
            </w:r>
          </w:p>
        </w:tc>
        <w:tc>
          <w:tcPr>
            <w:tcW w:w="2573" w:type="dxa"/>
            <w:vAlign w:val="center"/>
          </w:tcPr>
          <w:p w14:paraId="7F635CCB">
            <w:pPr>
              <w:pageBreakBefore w:val="0"/>
              <w:kinsoku/>
              <w:overflowPunct/>
              <w:topLinePunct w:val="0"/>
              <w:bidi w:val="0"/>
              <w:spacing w:line="336" w:lineRule="auto"/>
              <w:textAlignment w:val="auto"/>
              <w:rPr>
                <w:rFonts w:hint="eastAsia" w:ascii="宋体" w:hAnsi="宋体" w:eastAsia="宋体" w:cs="宋体"/>
                <w:color w:val="auto"/>
              </w:rPr>
            </w:pPr>
          </w:p>
        </w:tc>
        <w:tc>
          <w:tcPr>
            <w:tcW w:w="1084" w:type="dxa"/>
            <w:vAlign w:val="center"/>
          </w:tcPr>
          <w:p w14:paraId="7A7B6861">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手机</w:t>
            </w:r>
          </w:p>
        </w:tc>
        <w:tc>
          <w:tcPr>
            <w:tcW w:w="3569" w:type="dxa"/>
            <w:vAlign w:val="center"/>
          </w:tcPr>
          <w:p w14:paraId="50BFB01D">
            <w:pPr>
              <w:pageBreakBefore w:val="0"/>
              <w:kinsoku/>
              <w:overflowPunct/>
              <w:topLinePunct w:val="0"/>
              <w:bidi w:val="0"/>
              <w:spacing w:line="336" w:lineRule="auto"/>
              <w:textAlignment w:val="auto"/>
              <w:rPr>
                <w:rFonts w:hint="eastAsia" w:ascii="宋体" w:hAnsi="宋体" w:eastAsia="宋体" w:cs="宋体"/>
                <w:color w:val="auto"/>
              </w:rPr>
            </w:pPr>
          </w:p>
        </w:tc>
      </w:tr>
      <w:tr w14:paraId="54559A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62850105">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办公电话</w:t>
            </w:r>
          </w:p>
        </w:tc>
        <w:tc>
          <w:tcPr>
            <w:tcW w:w="2573" w:type="dxa"/>
            <w:vAlign w:val="center"/>
          </w:tcPr>
          <w:p w14:paraId="1E1158DE">
            <w:pPr>
              <w:pageBreakBefore w:val="0"/>
              <w:kinsoku/>
              <w:overflowPunct/>
              <w:topLinePunct w:val="0"/>
              <w:bidi w:val="0"/>
              <w:spacing w:line="336" w:lineRule="auto"/>
              <w:textAlignment w:val="auto"/>
              <w:rPr>
                <w:rFonts w:hint="eastAsia" w:ascii="宋体" w:hAnsi="宋体" w:eastAsia="宋体" w:cs="宋体"/>
                <w:color w:val="auto"/>
              </w:rPr>
            </w:pPr>
          </w:p>
        </w:tc>
        <w:tc>
          <w:tcPr>
            <w:tcW w:w="1084" w:type="dxa"/>
            <w:vAlign w:val="center"/>
          </w:tcPr>
          <w:p w14:paraId="3E25AD07">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传真</w:t>
            </w:r>
          </w:p>
        </w:tc>
        <w:tc>
          <w:tcPr>
            <w:tcW w:w="3569" w:type="dxa"/>
            <w:vAlign w:val="center"/>
          </w:tcPr>
          <w:p w14:paraId="3089C6DD">
            <w:pPr>
              <w:pageBreakBefore w:val="0"/>
              <w:kinsoku/>
              <w:overflowPunct/>
              <w:topLinePunct w:val="0"/>
              <w:bidi w:val="0"/>
              <w:spacing w:line="336" w:lineRule="auto"/>
              <w:textAlignment w:val="auto"/>
              <w:rPr>
                <w:rFonts w:hint="eastAsia" w:ascii="宋体" w:hAnsi="宋体" w:eastAsia="宋体" w:cs="宋体"/>
                <w:color w:val="auto"/>
              </w:rPr>
            </w:pPr>
          </w:p>
        </w:tc>
      </w:tr>
      <w:tr w14:paraId="481543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ADEA815">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E-mail</w:t>
            </w:r>
          </w:p>
        </w:tc>
        <w:tc>
          <w:tcPr>
            <w:tcW w:w="7226" w:type="dxa"/>
            <w:gridSpan w:val="3"/>
            <w:vAlign w:val="center"/>
          </w:tcPr>
          <w:p w14:paraId="467BCDB9">
            <w:pPr>
              <w:pageBreakBefore w:val="0"/>
              <w:kinsoku/>
              <w:overflowPunct/>
              <w:topLinePunct w:val="0"/>
              <w:bidi w:val="0"/>
              <w:spacing w:line="336" w:lineRule="auto"/>
              <w:textAlignment w:val="auto"/>
              <w:rPr>
                <w:rFonts w:hint="eastAsia" w:ascii="宋体" w:hAnsi="宋体" w:eastAsia="宋体" w:cs="宋体"/>
                <w:color w:val="auto"/>
              </w:rPr>
            </w:pPr>
          </w:p>
        </w:tc>
      </w:tr>
      <w:tr w14:paraId="337CC0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899D52E">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单位地址</w:t>
            </w:r>
          </w:p>
        </w:tc>
        <w:tc>
          <w:tcPr>
            <w:tcW w:w="7226" w:type="dxa"/>
            <w:gridSpan w:val="3"/>
            <w:vAlign w:val="center"/>
          </w:tcPr>
          <w:p w14:paraId="40CF0962">
            <w:pPr>
              <w:pageBreakBefore w:val="0"/>
              <w:kinsoku/>
              <w:overflowPunct/>
              <w:topLinePunct w:val="0"/>
              <w:bidi w:val="0"/>
              <w:spacing w:line="336" w:lineRule="auto"/>
              <w:textAlignment w:val="auto"/>
              <w:rPr>
                <w:rFonts w:hint="eastAsia" w:ascii="宋体" w:hAnsi="宋体" w:eastAsia="宋体" w:cs="宋体"/>
                <w:color w:val="auto"/>
              </w:rPr>
            </w:pPr>
          </w:p>
        </w:tc>
      </w:tr>
      <w:tr w14:paraId="57E5C0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0458FB8D">
            <w:pPr>
              <w:pageBreakBefore w:val="0"/>
              <w:kinsoku/>
              <w:overflowPunct/>
              <w:topLinePunct w:val="0"/>
              <w:bidi w:val="0"/>
              <w:spacing w:line="336" w:lineRule="auto"/>
              <w:jc w:val="center"/>
              <w:textAlignment w:val="auto"/>
              <w:rPr>
                <w:rFonts w:hint="eastAsia" w:ascii="宋体" w:hAnsi="宋体" w:eastAsia="宋体" w:cs="宋体"/>
                <w:color w:val="auto"/>
              </w:rPr>
            </w:pPr>
          </w:p>
        </w:tc>
      </w:tr>
      <w:tr w14:paraId="1752BD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5DAB17CC">
            <w:pPr>
              <w:pageBreakBefore w:val="0"/>
              <w:kinsoku/>
              <w:overflowPunct/>
              <w:topLinePunct w:val="0"/>
              <w:bidi w:val="0"/>
              <w:spacing w:line="336" w:lineRule="auto"/>
              <w:textAlignment w:val="auto"/>
              <w:rPr>
                <w:rFonts w:hint="eastAsia" w:ascii="宋体" w:hAnsi="宋体" w:eastAsia="宋体" w:cs="宋体"/>
                <w:color w:val="auto"/>
              </w:rPr>
            </w:pPr>
          </w:p>
        </w:tc>
      </w:tr>
      <w:tr w14:paraId="264AF2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0491A5F1">
            <w:pPr>
              <w:pageBreakBefore w:val="0"/>
              <w:kinsoku/>
              <w:overflowPunct/>
              <w:topLinePunct w:val="0"/>
              <w:bidi w:val="0"/>
              <w:spacing w:line="336" w:lineRule="auto"/>
              <w:textAlignment w:val="auto"/>
              <w:rPr>
                <w:rFonts w:hint="eastAsia" w:ascii="宋体" w:hAnsi="宋体" w:eastAsia="宋体" w:cs="宋体"/>
                <w:color w:val="auto"/>
              </w:rPr>
            </w:pPr>
            <w:r>
              <w:rPr>
                <w:rFonts w:hint="eastAsia" w:ascii="宋体" w:hAnsi="宋体" w:eastAsia="宋体" w:cs="宋体"/>
                <w:color w:val="auto"/>
              </w:rPr>
              <w:t>招标文件售价：人民币</w:t>
            </w:r>
            <w:r>
              <w:rPr>
                <w:rFonts w:hint="eastAsia" w:cs="宋体"/>
                <w:color w:val="auto"/>
                <w:lang w:val="en-US" w:eastAsia="zh-CN"/>
              </w:rPr>
              <w:t>5</w:t>
            </w:r>
            <w:r>
              <w:rPr>
                <w:rFonts w:hint="eastAsia" w:ascii="宋体" w:hAnsi="宋体" w:eastAsia="宋体" w:cs="宋体"/>
                <w:color w:val="auto"/>
                <w:lang w:val="en-US" w:eastAsia="zh-CN"/>
              </w:rPr>
              <w:t>00</w:t>
            </w:r>
            <w:r>
              <w:rPr>
                <w:rFonts w:hint="eastAsia" w:ascii="宋体" w:hAnsi="宋体" w:eastAsia="宋体" w:cs="宋体"/>
                <w:color w:val="auto"/>
              </w:rPr>
              <w:t>元/份</w:t>
            </w:r>
          </w:p>
        </w:tc>
      </w:tr>
    </w:tbl>
    <w:p w14:paraId="4DADD809">
      <w:pPr>
        <w:pageBreakBefore w:val="0"/>
        <w:kinsoku/>
        <w:overflowPunct/>
        <w:topLinePunct w:val="0"/>
        <w:bidi w:val="0"/>
        <w:spacing w:line="336" w:lineRule="auto"/>
        <w:textAlignment w:val="auto"/>
        <w:rPr>
          <w:rFonts w:hint="eastAsia" w:ascii="宋体" w:hAnsi="宋体" w:eastAsia="宋体" w:cs="宋体"/>
          <w:color w:val="auto"/>
        </w:rPr>
      </w:pPr>
      <w:r>
        <w:rPr>
          <w:rFonts w:hint="eastAsia" w:ascii="宋体" w:hAnsi="宋体" w:eastAsia="宋体" w:cs="宋体"/>
          <w:color w:val="auto"/>
        </w:rPr>
        <w:t xml:space="preserve"> </w:t>
      </w:r>
    </w:p>
    <w:p w14:paraId="73BA95CF">
      <w:pPr>
        <w:pStyle w:val="7"/>
        <w:pageBreakBefore w:val="0"/>
        <w:kinsoku/>
        <w:overflowPunct/>
        <w:topLinePunct w:val="0"/>
        <w:bidi w:val="0"/>
        <w:spacing w:line="336" w:lineRule="auto"/>
        <w:textAlignment w:val="auto"/>
        <w:rPr>
          <w:rFonts w:hint="eastAsia" w:ascii="宋体" w:hAnsi="宋体" w:eastAsia="宋体" w:cs="宋体"/>
          <w:color w:val="auto"/>
        </w:rPr>
      </w:pPr>
    </w:p>
    <w:p w14:paraId="3FD3DD92">
      <w:pPr>
        <w:pStyle w:val="54"/>
        <w:pageBreakBefore w:val="0"/>
        <w:kinsoku/>
        <w:overflowPunct/>
        <w:topLinePunct w:val="0"/>
        <w:bidi w:val="0"/>
        <w:spacing w:line="336" w:lineRule="auto"/>
        <w:textAlignment w:val="auto"/>
        <w:rPr>
          <w:rFonts w:hint="eastAsia" w:ascii="宋体" w:hAnsi="宋体" w:eastAsia="宋体" w:cs="宋体"/>
          <w:color w:val="auto"/>
        </w:rPr>
      </w:pPr>
    </w:p>
    <w:p w14:paraId="62B7313B">
      <w:pPr>
        <w:pStyle w:val="73"/>
        <w:pageBreakBefore w:val="0"/>
        <w:kinsoku/>
        <w:overflowPunct/>
        <w:topLinePunct w:val="0"/>
        <w:bidi w:val="0"/>
        <w:spacing w:line="336" w:lineRule="auto"/>
        <w:jc w:val="both"/>
        <w:textAlignment w:val="auto"/>
        <w:rPr>
          <w:rFonts w:hint="eastAsia" w:ascii="宋体" w:hAnsi="宋体" w:eastAsia="宋体" w:cs="宋体"/>
        </w:rPr>
      </w:pPr>
    </w:p>
    <w:p w14:paraId="4941AA7F">
      <w:pPr>
        <w:pageBreakBefore w:val="0"/>
        <w:kinsoku/>
        <w:overflowPunct/>
        <w:topLinePunct w:val="0"/>
        <w:bidi w:val="0"/>
        <w:spacing w:line="336" w:lineRule="auto"/>
        <w:textAlignment w:val="auto"/>
        <w:rPr>
          <w:rFonts w:hint="eastAsia" w:ascii="宋体" w:hAnsi="宋体" w:eastAsia="宋体" w:cs="宋体"/>
        </w:rPr>
      </w:pPr>
    </w:p>
    <w:sectPr>
      <w:headerReference r:id="rId14" w:type="default"/>
      <w:footerReference r:id="rId15"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Monaco">
    <w:altName w:val="Courier New"/>
    <w:panose1 w:val="020B0509030404040204"/>
    <w:charset w:val="00"/>
    <w:family w:val="auto"/>
    <w:pitch w:val="default"/>
    <w:sig w:usb0="00000000" w:usb1="00000000" w:usb2="00000000" w:usb3="00000000" w:csb0="0000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ZHei-B01">
    <w:altName w:val="宋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965E8">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7B96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B6682">
    <w:pPr>
      <w:pStyle w:val="2"/>
      <w:ind w:right="360"/>
    </w:pPr>
    <w:r>
      <w:pict>
        <v:shape id="_x0000_s1027" o:spid="_x0000_s1027" o:spt="202" type="#_x0000_t202" style="position:absolute;left:0pt;margin-top:0pt;height:10.35pt;width:15pt;mso-position-horizontal:center;mso-position-horizontal-relative:margin;mso-wrap-style:none;z-index:251659264;mso-width-relative:page;mso-height-relative:page;" filled="f" stroked="f" coordsize="21600,21600">
          <v:path/>
          <v:fill on="f" focussize="0,0"/>
          <v:stroke on="f" joinstyle="miter"/>
          <v:imagedata o:title=""/>
          <o:lock v:ext="edit" text="t" aspectratio="t"/>
          <v:textbox inset="0mm,0mm,0mm,0mm" style="mso-fit-shape-to-text:t;">
            <w:txbxContent>
              <w:p w14:paraId="38441324">
                <w:pPr>
                  <w:pStyle w:val="2"/>
                </w:pPr>
                <w:r>
                  <w:fldChar w:fldCharType="begin"/>
                </w:r>
                <w:r>
                  <w:instrText xml:space="preserve"> PAGE  \* MERGEFORMAT </w:instrText>
                </w:r>
                <w:r>
                  <w:fldChar w:fldCharType="separate"/>
                </w:r>
                <w:r>
                  <w:t>- 17 -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AD51">
    <w:pPr>
      <w:pStyle w:val="2"/>
    </w:pPr>
    <w:r>
      <w:pict>
        <v:shape id="文本框 15" o:spid="_x0000_s1026" o:spt="202" type="#_x0000_t202" style="position:absolute;left:0pt;margin-top:0pt;height:10.35pt;width:19.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">
          <v:path/>
          <v:fill on="f" focussize="0,0"/>
          <v:stroke on="f" joinstyle="miter"/>
          <v:imagedata o:title=""/>
          <o:lock v:ext="edit" text="t" aspectratio="t"/>
          <v:textbox inset="0mm,0mm,0mm,0mm" style="mso-fit-shape-to-text:t;">
            <w:txbxContent>
              <w:p w14:paraId="0C8E31C1">
                <w:pPr>
                  <w:pStyle w:val="2"/>
                </w:pPr>
                <w:r>
                  <w:fldChar w:fldCharType="begin"/>
                </w:r>
                <w:r>
                  <w:instrText xml:space="preserve"> PAGE  \* MERGEFORMAT </w:instrText>
                </w:r>
                <w:r>
                  <w:fldChar w:fldCharType="separate"/>
                </w:r>
                <w:r>
                  <w:t>- 1 -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F7BAD">
    <w:pPr>
      <w:pStyle w:val="2"/>
      <w:jc w:val="center"/>
      <w:rPr>
        <w:sz w:val="21"/>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8255"/>
              <wp:wrapNone/>
              <wp:docPr id="28" name="文本框 5"/>
              <wp:cNvGraphicFramePr/>
              <a:graphic xmlns:a="http://schemas.openxmlformats.org/drawingml/2006/main">
                <a:graphicData uri="http://schemas.microsoft.com/office/word/2010/wordprocessingShape">
                  <wps:wsp>
                    <wps:cNvSpPr txBox="1"/>
                    <wps:spPr bwMode="auto">
                      <a:xfrm>
                        <a:off x="0" y="0"/>
                        <a:ext cx="247650" cy="131445"/>
                      </a:xfrm>
                      <a:prstGeom prst="rect">
                        <a:avLst/>
                      </a:prstGeom>
                      <a:noFill/>
                      <a:ln>
                        <a:noFill/>
                      </a:ln>
                    </wps:spPr>
                    <wps:txbx>
                      <w:txbxContent>
                        <w:p w14:paraId="6E8DA42C">
                          <w:pPr>
                            <w:pStyle w:val="2"/>
                          </w:pPr>
                          <w:r>
                            <w:fldChar w:fldCharType="begin"/>
                          </w:r>
                          <w:r>
                            <w:instrText xml:space="preserve"> PAGE  \* MERGEFORMAT </w:instrText>
                          </w:r>
                          <w:r>
                            <w:fldChar w:fldCharType="separate"/>
                          </w:r>
                          <w:r>
                            <w:t>- 25 -</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7FI&#10;4NAAAAADAQAADwAAAAAAAAABACAAAAAiAAAAZHJzL2Rvd25yZXYueG1sUEsBAhQAFAAAAAgAh07i&#10;QMYj3KXxAQAA0wMAAA4AAAAAAAAAAQAgAAAAHwEAAGRycy9lMm9Eb2MueG1sUEsFBgAAAAAGAAYA&#10;WQEAAIIFAAAAAA==&#10;">
              <v:fill on="f" focussize="0,0"/>
              <v:stroke on="f"/>
              <v:imagedata o:title=""/>
              <o:lock v:ext="edit" aspectratio="f"/>
              <v:textbox inset="0mm,0mm,0mm,0mm" style="mso-fit-shape-to-text:t;">
                <w:txbxContent>
                  <w:p w14:paraId="6E8DA42C">
                    <w:pPr>
                      <w:pStyle w:val="2"/>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D9294">
    <w:pPr>
      <w:pStyle w:val="2"/>
      <w:jc w:val="center"/>
      <w:rPr>
        <w:sz w:val="21"/>
        <w:szCs w:val="21"/>
      </w:rPr>
    </w:pPr>
    <w:r>
      <w:pict>
        <v:shape id="文本框 14" o:spid="_x0000_s1025" o:spt="202" type="#_x0000_t202" style="position:absolute;left:0pt;margin-top:0pt;height:10.35pt;width:19.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">
          <v:path/>
          <v:fill on="f" focussize="0,0"/>
          <v:stroke on="f" joinstyle="miter"/>
          <v:imagedata o:title=""/>
          <o:lock v:ext="edit" text="t" aspectratio="t"/>
          <v:textbox inset="0mm,0mm,0mm,0mm" style="mso-fit-shape-to-text:t;">
            <w:txbxContent>
              <w:p w14:paraId="402D636B">
                <w:pPr>
                  <w:pStyle w:val="2"/>
                </w:pPr>
                <w:r>
                  <w:fldChar w:fldCharType="begin"/>
                </w:r>
                <w:r>
                  <w:instrText xml:space="preserve"> PAGE  \* MERGEFORMAT </w:instrText>
                </w:r>
                <w:r>
                  <w:fldChar w:fldCharType="separate"/>
                </w:r>
                <w:r>
                  <w:t>- 36 -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F195D">
    <w:pPr>
      <w:pStyle w:val="16"/>
      <w:pBdr>
        <w:bottom w:val="none" w:color="auto" w:sz="0" w:space="1"/>
      </w:pBdr>
      <w:jc w:val="left"/>
    </w:pPr>
    <w:r>
      <w:rPr>
        <w:rFonts w:hint="eastAsia" w:ascii="仿宋" w:hAnsi="仿宋" w:eastAsia="仿宋"/>
      </w:rPr>
      <w:t xml:space="preserve">                </w:t>
    </w:r>
    <w:r>
      <w:rPr>
        <w:rFonts w:ascii="仿宋" w:hAnsi="仿宋" w:eastAsia="仿宋"/>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7F193">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2C3E">
    <w:pPr>
      <w:pStyle w:val="16"/>
      <w:pBdr>
        <w:bottom w:val="none" w:color="auto" w:sz="0" w:space="1"/>
      </w:pBdr>
      <w:jc w:val="left"/>
    </w:pPr>
    <w:r>
      <w:rPr>
        <w:rFonts w:hint="eastAsia" w:ascii="仿宋" w:hAnsi="仿宋" w:eastAsia="仿宋"/>
      </w:rPr>
      <w:t xml:space="preserve">          </w:t>
    </w:r>
    <w:r>
      <w:rPr>
        <w:rFonts w:ascii="仿宋" w:hAnsi="仿宋" w:eastAsia="仿宋"/>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7D821">
    <w:pPr>
      <w:pStyle w:val="16"/>
      <w:pBdr>
        <w:bottom w:val="none" w:color="auto" w:sz="0" w:space="1"/>
      </w:pBdr>
      <w:jc w:val="left"/>
    </w:pPr>
    <w:r>
      <w:rPr>
        <w:rFonts w:hint="eastAsia" w:ascii="仿宋" w:hAnsi="仿宋" w:eastAsia="仿宋"/>
      </w:rPr>
      <w:t xml:space="preserve">               </w:t>
    </w:r>
    <w:r>
      <w:rPr>
        <w:rFonts w:ascii="仿宋" w:hAnsi="仿宋" w:eastAsia="仿宋"/>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40322">
    <w:pPr>
      <w:pStyle w:val="16"/>
      <w:pBdr>
        <w:bottom w:val="none" w:color="auto" w:sz="0" w:space="1"/>
      </w:pBdr>
      <w:jc w:val="left"/>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2C9EB">
    <w:pPr>
      <w:pStyle w:val="16"/>
      <w:pBdr>
        <w:bottom w:val="none" w:color="auto" w:sz="0" w:space="1"/>
      </w:pBdr>
      <w:jc w:val="left"/>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97BC6">
    <w:pPr>
      <w:pStyle w:val="16"/>
      <w:pBdr>
        <w:bottom w:val="none" w:color="auto" w:sz="0" w:space="1"/>
      </w:pBdr>
      <w:jc w:val="left"/>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86FC1"/>
    <w:multiLevelType w:val="singleLevel"/>
    <w:tmpl w:val="BF486FC1"/>
    <w:lvl w:ilvl="0" w:tentative="0">
      <w:start w:val="5"/>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pStyle w:val="7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525CFCF"/>
    <w:multiLevelType w:val="singleLevel"/>
    <w:tmpl w:val="3525CFCF"/>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zOGZiNGU0YjkyMzRlMTQwOTFhNjdmMzJkMjJhZGMifQ=="/>
  </w:docVars>
  <w:rsids>
    <w:rsidRoot w:val="00E3648B"/>
    <w:rsid w:val="0000480E"/>
    <w:rsid w:val="00025FBA"/>
    <w:rsid w:val="000725DB"/>
    <w:rsid w:val="000B32FD"/>
    <w:rsid w:val="001516B9"/>
    <w:rsid w:val="00154A20"/>
    <w:rsid w:val="001A767F"/>
    <w:rsid w:val="001C389B"/>
    <w:rsid w:val="00226C58"/>
    <w:rsid w:val="002B509A"/>
    <w:rsid w:val="002D25BB"/>
    <w:rsid w:val="002E06D4"/>
    <w:rsid w:val="003144F5"/>
    <w:rsid w:val="003518FB"/>
    <w:rsid w:val="00380AD0"/>
    <w:rsid w:val="003E02EA"/>
    <w:rsid w:val="00440452"/>
    <w:rsid w:val="00485D56"/>
    <w:rsid w:val="004B3C46"/>
    <w:rsid w:val="004E3AD0"/>
    <w:rsid w:val="0050474F"/>
    <w:rsid w:val="005C2ECC"/>
    <w:rsid w:val="005D121C"/>
    <w:rsid w:val="0060328E"/>
    <w:rsid w:val="00734460"/>
    <w:rsid w:val="00755555"/>
    <w:rsid w:val="007A77B9"/>
    <w:rsid w:val="007E1477"/>
    <w:rsid w:val="007F72A3"/>
    <w:rsid w:val="00854700"/>
    <w:rsid w:val="00862769"/>
    <w:rsid w:val="008D6776"/>
    <w:rsid w:val="008F064D"/>
    <w:rsid w:val="009D36ED"/>
    <w:rsid w:val="009F587B"/>
    <w:rsid w:val="00A61888"/>
    <w:rsid w:val="00AD5C72"/>
    <w:rsid w:val="00AE5A3D"/>
    <w:rsid w:val="00B25F4B"/>
    <w:rsid w:val="00B51C8F"/>
    <w:rsid w:val="00BA599F"/>
    <w:rsid w:val="00BC09F1"/>
    <w:rsid w:val="00C11B36"/>
    <w:rsid w:val="00C27C27"/>
    <w:rsid w:val="00C425C0"/>
    <w:rsid w:val="00C536FA"/>
    <w:rsid w:val="00C56E12"/>
    <w:rsid w:val="00CA2BB4"/>
    <w:rsid w:val="00CF33BC"/>
    <w:rsid w:val="00D339BF"/>
    <w:rsid w:val="00DE3FCE"/>
    <w:rsid w:val="00E019CF"/>
    <w:rsid w:val="00E3648B"/>
    <w:rsid w:val="00E4764A"/>
    <w:rsid w:val="00E6131B"/>
    <w:rsid w:val="00EB708A"/>
    <w:rsid w:val="00F343AA"/>
    <w:rsid w:val="00F57324"/>
    <w:rsid w:val="00FC7590"/>
    <w:rsid w:val="00FD2F76"/>
    <w:rsid w:val="017C53AD"/>
    <w:rsid w:val="01D86994"/>
    <w:rsid w:val="029006BE"/>
    <w:rsid w:val="02C5513C"/>
    <w:rsid w:val="02DF795F"/>
    <w:rsid w:val="02E5364E"/>
    <w:rsid w:val="038D75F5"/>
    <w:rsid w:val="069B0169"/>
    <w:rsid w:val="097F526B"/>
    <w:rsid w:val="0E3948C2"/>
    <w:rsid w:val="0EEC1973"/>
    <w:rsid w:val="0F1119E4"/>
    <w:rsid w:val="0F6E7324"/>
    <w:rsid w:val="0FA45494"/>
    <w:rsid w:val="10EB2FF8"/>
    <w:rsid w:val="11230293"/>
    <w:rsid w:val="13843EAB"/>
    <w:rsid w:val="14EF7AC7"/>
    <w:rsid w:val="153A0198"/>
    <w:rsid w:val="15793835"/>
    <w:rsid w:val="1695469E"/>
    <w:rsid w:val="17061948"/>
    <w:rsid w:val="1971594F"/>
    <w:rsid w:val="1B0209DB"/>
    <w:rsid w:val="1C5B3C94"/>
    <w:rsid w:val="1E845724"/>
    <w:rsid w:val="1EDF7443"/>
    <w:rsid w:val="1F0B1480"/>
    <w:rsid w:val="1F533349"/>
    <w:rsid w:val="21895841"/>
    <w:rsid w:val="22A72B65"/>
    <w:rsid w:val="22C61D50"/>
    <w:rsid w:val="23EC4874"/>
    <w:rsid w:val="25950217"/>
    <w:rsid w:val="26D62FA3"/>
    <w:rsid w:val="271138CD"/>
    <w:rsid w:val="279A1B15"/>
    <w:rsid w:val="27D87C46"/>
    <w:rsid w:val="27FA251F"/>
    <w:rsid w:val="2879797C"/>
    <w:rsid w:val="28B516A5"/>
    <w:rsid w:val="29A65F05"/>
    <w:rsid w:val="29FA743E"/>
    <w:rsid w:val="2B617549"/>
    <w:rsid w:val="2BCE6231"/>
    <w:rsid w:val="2C0B69EC"/>
    <w:rsid w:val="2C7566AC"/>
    <w:rsid w:val="2E2E5403"/>
    <w:rsid w:val="2FC9111F"/>
    <w:rsid w:val="300C7DF5"/>
    <w:rsid w:val="304964EC"/>
    <w:rsid w:val="30AF3789"/>
    <w:rsid w:val="311A7FB0"/>
    <w:rsid w:val="31EB6BFC"/>
    <w:rsid w:val="32513718"/>
    <w:rsid w:val="33A82C9F"/>
    <w:rsid w:val="33C341A1"/>
    <w:rsid w:val="35A9176E"/>
    <w:rsid w:val="370E1FF0"/>
    <w:rsid w:val="37714C0D"/>
    <w:rsid w:val="37B95D83"/>
    <w:rsid w:val="39791649"/>
    <w:rsid w:val="39C5432C"/>
    <w:rsid w:val="3B940DE0"/>
    <w:rsid w:val="3D0B3E57"/>
    <w:rsid w:val="3D2341EB"/>
    <w:rsid w:val="3D7B3D3F"/>
    <w:rsid w:val="3DCB187D"/>
    <w:rsid w:val="3F542A99"/>
    <w:rsid w:val="3FC62809"/>
    <w:rsid w:val="415C79E3"/>
    <w:rsid w:val="41923405"/>
    <w:rsid w:val="43414037"/>
    <w:rsid w:val="44817E8C"/>
    <w:rsid w:val="460A6844"/>
    <w:rsid w:val="468D421B"/>
    <w:rsid w:val="46AE739C"/>
    <w:rsid w:val="46F35A9B"/>
    <w:rsid w:val="4800731A"/>
    <w:rsid w:val="481E1E96"/>
    <w:rsid w:val="4BE216B1"/>
    <w:rsid w:val="4C031829"/>
    <w:rsid w:val="4F4B3161"/>
    <w:rsid w:val="4F7F5615"/>
    <w:rsid w:val="5100038B"/>
    <w:rsid w:val="5180327A"/>
    <w:rsid w:val="51A4428B"/>
    <w:rsid w:val="51F70B1A"/>
    <w:rsid w:val="5233653E"/>
    <w:rsid w:val="527E018B"/>
    <w:rsid w:val="542A7943"/>
    <w:rsid w:val="549D3677"/>
    <w:rsid w:val="54D9448D"/>
    <w:rsid w:val="551D2AB1"/>
    <w:rsid w:val="55C776C9"/>
    <w:rsid w:val="55C91693"/>
    <w:rsid w:val="56EB73E7"/>
    <w:rsid w:val="57051EFB"/>
    <w:rsid w:val="57E156E6"/>
    <w:rsid w:val="587C0C3F"/>
    <w:rsid w:val="5A6307F6"/>
    <w:rsid w:val="5B585A25"/>
    <w:rsid w:val="5BC55A80"/>
    <w:rsid w:val="5BDE39BF"/>
    <w:rsid w:val="5CCF650E"/>
    <w:rsid w:val="5F7F2DC3"/>
    <w:rsid w:val="5FB661DD"/>
    <w:rsid w:val="60D3786A"/>
    <w:rsid w:val="61E17D0C"/>
    <w:rsid w:val="61FA2BD4"/>
    <w:rsid w:val="62A6294E"/>
    <w:rsid w:val="62F95789"/>
    <w:rsid w:val="636B1FDC"/>
    <w:rsid w:val="63AD43A2"/>
    <w:rsid w:val="63C53594"/>
    <w:rsid w:val="6489568D"/>
    <w:rsid w:val="65FD5CAD"/>
    <w:rsid w:val="66AC62E5"/>
    <w:rsid w:val="6833452D"/>
    <w:rsid w:val="68DE4FFE"/>
    <w:rsid w:val="69355797"/>
    <w:rsid w:val="69C601FA"/>
    <w:rsid w:val="6AFE405E"/>
    <w:rsid w:val="6C3E27AC"/>
    <w:rsid w:val="6C494259"/>
    <w:rsid w:val="6DB36A59"/>
    <w:rsid w:val="6DCE598B"/>
    <w:rsid w:val="6EEF37F3"/>
    <w:rsid w:val="6FE15F5A"/>
    <w:rsid w:val="70785D38"/>
    <w:rsid w:val="711D0007"/>
    <w:rsid w:val="7556556B"/>
    <w:rsid w:val="75981ACC"/>
    <w:rsid w:val="762E3B57"/>
    <w:rsid w:val="767A5980"/>
    <w:rsid w:val="769E554C"/>
    <w:rsid w:val="784615CE"/>
    <w:rsid w:val="79CE678C"/>
    <w:rsid w:val="7A607B74"/>
    <w:rsid w:val="7A922676"/>
    <w:rsid w:val="7B345BCE"/>
    <w:rsid w:val="7C3C40BE"/>
    <w:rsid w:val="7D10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kern w:val="0"/>
      <w:sz w:val="24"/>
      <w:szCs w:val="24"/>
      <w:lang w:val="en-US" w:eastAsia="zh-CN" w:bidi="ar-SA"/>
    </w:rPr>
  </w:style>
  <w:style w:type="paragraph" w:styleId="3">
    <w:name w:val="heading 1"/>
    <w:basedOn w:val="1"/>
    <w:next w:val="1"/>
    <w:link w:val="37"/>
    <w:qFormat/>
    <w:uiPriority w:val="99"/>
    <w:pPr>
      <w:keepNext/>
      <w:snapToGrid w:val="0"/>
      <w:spacing w:line="360" w:lineRule="atLeast"/>
      <w:outlineLvl w:val="0"/>
    </w:pPr>
    <w:rPr>
      <w:rFonts w:ascii="Times New Roman" w:hAnsi="Times New Roman" w:cs="Times New Roman"/>
      <w:b/>
      <w:bCs/>
      <w:kern w:val="44"/>
      <w:sz w:val="44"/>
      <w:szCs w:val="44"/>
      <w:lang w:val="zh-CN" w:eastAsia="zh-CN"/>
    </w:rPr>
  </w:style>
  <w:style w:type="paragraph" w:styleId="4">
    <w:name w:val="heading 2"/>
    <w:basedOn w:val="1"/>
    <w:next w:val="1"/>
    <w:link w:val="38"/>
    <w:qFormat/>
    <w:uiPriority w:val="99"/>
    <w:pPr>
      <w:keepNext/>
      <w:keepLines/>
      <w:spacing w:before="260" w:after="260" w:line="415" w:lineRule="auto"/>
      <w:outlineLvl w:val="1"/>
    </w:pPr>
    <w:rPr>
      <w:rFonts w:ascii="Cambria" w:hAnsi="Cambria" w:cs="Times New Roman"/>
      <w:b/>
      <w:bCs/>
      <w:sz w:val="32"/>
      <w:szCs w:val="32"/>
      <w:lang w:val="zh-CN" w:eastAsia="zh-CN"/>
    </w:rPr>
  </w:style>
  <w:style w:type="paragraph" w:styleId="5">
    <w:name w:val="heading 3"/>
    <w:basedOn w:val="1"/>
    <w:next w:val="1"/>
    <w:link w:val="39"/>
    <w:qFormat/>
    <w:uiPriority w:val="0"/>
    <w:pPr>
      <w:keepNext/>
      <w:keepLines/>
      <w:spacing w:before="260" w:after="260" w:line="415" w:lineRule="auto"/>
      <w:outlineLvl w:val="2"/>
    </w:pPr>
    <w:rPr>
      <w:rFonts w:ascii="Times New Roman" w:hAnsi="Times New Roman" w:cs="Times New Roman"/>
      <w:b/>
      <w:bCs/>
      <w:sz w:val="32"/>
      <w:szCs w:val="32"/>
      <w:lang w:val="zh-CN" w:eastAsia="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8"/>
    <w:qFormat/>
    <w:uiPriority w:val="99"/>
    <w:pPr>
      <w:tabs>
        <w:tab w:val="center" w:pos="4153"/>
        <w:tab w:val="right" w:pos="8306"/>
      </w:tabs>
      <w:snapToGrid w:val="0"/>
    </w:pPr>
    <w:rPr>
      <w:rFonts w:ascii="Times New Roman" w:hAnsi="Times New Roman" w:cs="Times New Roman"/>
      <w:sz w:val="18"/>
      <w:szCs w:val="18"/>
      <w:lang w:val="zh-CN" w:eastAsia="zh-CN"/>
    </w:rPr>
  </w:style>
  <w:style w:type="paragraph" w:styleId="6">
    <w:name w:val="Normal Indent"/>
    <w:basedOn w:val="1"/>
    <w:next w:val="7"/>
    <w:qFormat/>
    <w:uiPriority w:val="99"/>
    <w:pPr>
      <w:adjustRightInd w:val="0"/>
      <w:snapToGrid w:val="0"/>
      <w:spacing w:line="360" w:lineRule="auto"/>
      <w:ind w:firstLine="420"/>
    </w:pPr>
    <w:rPr>
      <w:szCs w:val="20"/>
    </w:rPr>
  </w:style>
  <w:style w:type="paragraph" w:styleId="7">
    <w:name w:val="Body Text"/>
    <w:basedOn w:val="1"/>
    <w:next w:val="1"/>
    <w:link w:val="40"/>
    <w:autoRedefine/>
    <w:unhideWhenUsed/>
    <w:qFormat/>
    <w:uiPriority w:val="99"/>
    <w:pPr>
      <w:spacing w:after="120"/>
    </w:pPr>
    <w:rPr>
      <w:rFonts w:ascii="Times New Roman" w:hAnsi="Times New Roman" w:cs="Times New Roman"/>
      <w:kern w:val="2"/>
      <w:sz w:val="28"/>
      <w:szCs w:val="28"/>
      <w:lang w:val="zh-CN" w:eastAsia="zh-CN"/>
    </w:rPr>
  </w:style>
  <w:style w:type="paragraph" w:styleId="8">
    <w:name w:val="Document Map"/>
    <w:basedOn w:val="1"/>
    <w:link w:val="41"/>
    <w:semiHidden/>
    <w:qFormat/>
    <w:uiPriority w:val="99"/>
    <w:pPr>
      <w:shd w:val="clear" w:color="auto" w:fill="000080"/>
    </w:pPr>
    <w:rPr>
      <w:rFonts w:ascii="Times New Roman" w:hAnsi="Times New Roman" w:cs="Times New Roman"/>
      <w:sz w:val="2"/>
      <w:szCs w:val="2"/>
      <w:lang w:val="zh-CN" w:eastAsia="zh-CN"/>
    </w:rPr>
  </w:style>
  <w:style w:type="paragraph" w:styleId="9">
    <w:name w:val="annotation text"/>
    <w:basedOn w:val="1"/>
    <w:link w:val="42"/>
    <w:unhideWhenUsed/>
    <w:qFormat/>
    <w:uiPriority w:val="99"/>
    <w:rPr>
      <w:rFonts w:ascii="Times New Roman" w:hAnsi="Times New Roman" w:cs="Times New Roman"/>
      <w:kern w:val="2"/>
      <w:sz w:val="28"/>
      <w:szCs w:val="28"/>
      <w:lang w:val="zh-CN" w:eastAsia="zh-CN"/>
    </w:rPr>
  </w:style>
  <w:style w:type="paragraph" w:styleId="10">
    <w:name w:val="Body Text Indent"/>
    <w:basedOn w:val="1"/>
    <w:link w:val="43"/>
    <w:qFormat/>
    <w:uiPriority w:val="99"/>
    <w:pPr>
      <w:spacing w:line="700" w:lineRule="exact"/>
      <w:ind w:left="960"/>
    </w:pPr>
    <w:rPr>
      <w:rFonts w:ascii="Times New Roman" w:hAnsi="Times New Roman" w:cs="Times New Roman"/>
      <w:sz w:val="20"/>
      <w:szCs w:val="20"/>
      <w:lang w:val="zh-CN" w:eastAsia="zh-CN"/>
    </w:rPr>
  </w:style>
  <w:style w:type="paragraph" w:styleId="11">
    <w:name w:val="toc 3"/>
    <w:basedOn w:val="1"/>
    <w:next w:val="1"/>
    <w:qFormat/>
    <w:uiPriority w:val="39"/>
    <w:pPr>
      <w:tabs>
        <w:tab w:val="right" w:leader="dot" w:pos="8303"/>
      </w:tabs>
      <w:spacing w:line="540" w:lineRule="exact"/>
      <w:ind w:left="1120" w:leftChars="400"/>
    </w:pPr>
  </w:style>
  <w:style w:type="paragraph" w:styleId="12">
    <w:name w:val="Plain Text"/>
    <w:basedOn w:val="1"/>
    <w:link w:val="44"/>
    <w:qFormat/>
    <w:uiPriority w:val="99"/>
    <w:rPr>
      <w:rFonts w:hAnsi="Courier New" w:cs="Times New Roman"/>
      <w:sz w:val="21"/>
      <w:szCs w:val="21"/>
      <w:lang w:val="zh-CN" w:eastAsia="zh-CN"/>
    </w:rPr>
  </w:style>
  <w:style w:type="paragraph" w:styleId="13">
    <w:name w:val="Date"/>
    <w:basedOn w:val="1"/>
    <w:next w:val="1"/>
    <w:link w:val="45"/>
    <w:qFormat/>
    <w:uiPriority w:val="99"/>
    <w:rPr>
      <w:rFonts w:ascii="Times New Roman" w:hAnsi="Times New Roman" w:cs="Times New Roman"/>
      <w:sz w:val="20"/>
      <w:szCs w:val="20"/>
      <w:lang w:val="zh-CN" w:eastAsia="zh-CN"/>
    </w:rPr>
  </w:style>
  <w:style w:type="paragraph" w:styleId="14">
    <w:name w:val="Body Text Indent 2"/>
    <w:basedOn w:val="1"/>
    <w:link w:val="46"/>
    <w:unhideWhenUsed/>
    <w:qFormat/>
    <w:uiPriority w:val="99"/>
    <w:pPr>
      <w:spacing w:after="120" w:line="480" w:lineRule="auto"/>
      <w:ind w:left="420" w:leftChars="200"/>
    </w:pPr>
    <w:rPr>
      <w:rFonts w:ascii="Times New Roman" w:hAnsi="Times New Roman" w:cs="Times New Roman"/>
      <w:kern w:val="2"/>
      <w:sz w:val="28"/>
      <w:szCs w:val="28"/>
      <w:lang w:val="zh-CN" w:eastAsia="zh-CN"/>
    </w:rPr>
  </w:style>
  <w:style w:type="paragraph" w:styleId="15">
    <w:name w:val="Balloon Text"/>
    <w:basedOn w:val="1"/>
    <w:link w:val="47"/>
    <w:semiHidden/>
    <w:qFormat/>
    <w:uiPriority w:val="99"/>
    <w:rPr>
      <w:rFonts w:ascii="Times New Roman" w:hAnsi="Times New Roman" w:cs="Times New Roman"/>
      <w:sz w:val="2"/>
      <w:szCs w:val="2"/>
      <w:lang w:val="zh-CN" w:eastAsia="zh-CN"/>
    </w:rPr>
  </w:style>
  <w:style w:type="paragraph" w:styleId="16">
    <w:name w:val="header"/>
    <w:basedOn w:val="1"/>
    <w:link w:val="49"/>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eastAsia="zh-CN"/>
    </w:rPr>
  </w:style>
  <w:style w:type="paragraph" w:styleId="17">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18">
    <w:name w:val="toc 2"/>
    <w:basedOn w:val="1"/>
    <w:next w:val="1"/>
    <w:qFormat/>
    <w:uiPriority w:val="39"/>
    <w:pPr>
      <w:tabs>
        <w:tab w:val="right" w:leader="dot" w:pos="8303"/>
      </w:tabs>
      <w:spacing w:line="360" w:lineRule="auto"/>
      <w:ind w:left="278"/>
    </w:pPr>
    <w:rPr>
      <w:rFonts w:ascii="仿宋_GB2312" w:hAnsi="华文中宋" w:eastAsia="仿宋_GB2312" w:cs="仿宋_GB2312"/>
    </w:rPr>
  </w:style>
  <w:style w:type="paragraph" w:styleId="19">
    <w:name w:val="Body Text 2"/>
    <w:basedOn w:val="1"/>
    <w:link w:val="50"/>
    <w:unhideWhenUsed/>
    <w:qFormat/>
    <w:uiPriority w:val="99"/>
    <w:pPr>
      <w:spacing w:after="120" w:line="480" w:lineRule="auto"/>
    </w:pPr>
    <w:rPr>
      <w:rFonts w:cs="Times New Roman"/>
      <w:lang w:val="zh-CN" w:eastAsia="zh-CN"/>
    </w:rPr>
  </w:style>
  <w:style w:type="paragraph" w:styleId="20">
    <w:name w:val="Normal (Web)"/>
    <w:basedOn w:val="1"/>
    <w:qFormat/>
    <w:uiPriority w:val="99"/>
    <w:pPr>
      <w:spacing w:before="100" w:beforeAutospacing="1" w:after="100" w:afterAutospacing="1"/>
    </w:pPr>
    <w:rPr>
      <w:color w:val="000000"/>
    </w:rPr>
  </w:style>
  <w:style w:type="paragraph" w:styleId="21">
    <w:name w:val="annotation subject"/>
    <w:basedOn w:val="9"/>
    <w:next w:val="9"/>
    <w:link w:val="51"/>
    <w:unhideWhenUsed/>
    <w:qFormat/>
    <w:uiPriority w:val="99"/>
    <w:rPr>
      <w:b/>
      <w:bCs/>
    </w:rPr>
  </w:style>
  <w:style w:type="paragraph" w:styleId="22">
    <w:name w:val="Body Text First Indent"/>
    <w:basedOn w:val="1"/>
    <w:link w:val="52"/>
    <w:qFormat/>
    <w:uiPriority w:val="0"/>
    <w:pPr>
      <w:ind w:firstLine="420"/>
    </w:pPr>
  </w:style>
  <w:style w:type="table" w:styleId="24">
    <w:name w:val="Table Grid"/>
    <w:basedOn w:val="23"/>
    <w:qFormat/>
    <w:uiPriority w:val="0"/>
    <w:pPr>
      <w:widowControl w:val="0"/>
      <w:jc w:val="both"/>
    </w:pPr>
    <w:rPr>
      <w:rFonts w:ascii="等线" w:hAnsi="等线"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qFormat/>
    <w:uiPriority w:val="0"/>
    <w:rPr>
      <w:rFonts w:cs="Times New Roman"/>
    </w:rPr>
  </w:style>
  <w:style w:type="character" w:styleId="28">
    <w:name w:val="FollowedHyperlink"/>
    <w:basedOn w:val="25"/>
    <w:semiHidden/>
    <w:unhideWhenUsed/>
    <w:qFormat/>
    <w:uiPriority w:val="99"/>
    <w:rPr>
      <w:color w:val="000000"/>
      <w:u w:val="none"/>
    </w:rPr>
  </w:style>
  <w:style w:type="character" w:styleId="29">
    <w:name w:val="Emphasis"/>
    <w:basedOn w:val="25"/>
    <w:qFormat/>
    <w:uiPriority w:val="20"/>
    <w:rPr>
      <w:i/>
      <w:iCs/>
    </w:rPr>
  </w:style>
  <w:style w:type="character" w:styleId="30">
    <w:name w:val="Hyperlink"/>
    <w:qFormat/>
    <w:uiPriority w:val="99"/>
    <w:rPr>
      <w:rFonts w:cs="Times New Roman"/>
      <w:color w:val="0000FF"/>
      <w:u w:val="single"/>
    </w:rPr>
  </w:style>
  <w:style w:type="character" w:styleId="31">
    <w:name w:val="HTML Code"/>
    <w:basedOn w:val="25"/>
    <w:semiHidden/>
    <w:unhideWhenUsed/>
    <w:qFormat/>
    <w:uiPriority w:val="99"/>
    <w:rPr>
      <w:rFonts w:ascii="Monaco" w:hAnsi="Monaco" w:eastAsia="Monaco" w:cs="Monaco"/>
      <w:color w:val="DD1144"/>
      <w:sz w:val="15"/>
      <w:szCs w:val="15"/>
      <w:bdr w:val="single" w:color="E1E1E8" w:sz="6" w:space="0"/>
      <w:shd w:val="clear" w:fill="F7F7F9"/>
    </w:rPr>
  </w:style>
  <w:style w:type="character" w:styleId="32">
    <w:name w:val="annotation reference"/>
    <w:unhideWhenUsed/>
    <w:qFormat/>
    <w:uiPriority w:val="99"/>
    <w:rPr>
      <w:sz w:val="21"/>
      <w:szCs w:val="21"/>
    </w:rPr>
  </w:style>
  <w:style w:type="character" w:styleId="33">
    <w:name w:val="HTML Cite"/>
    <w:basedOn w:val="25"/>
    <w:semiHidden/>
    <w:unhideWhenUsed/>
    <w:qFormat/>
    <w:uiPriority w:val="99"/>
  </w:style>
  <w:style w:type="paragraph" w:customStyle="1" w:styleId="34">
    <w:name w:val="Default"/>
    <w:next w:val="35"/>
    <w:semiHidden/>
    <w:qFormat/>
    <w:uiPriority w:val="0"/>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paragraph" w:customStyle="1" w:styleId="35">
    <w:name w:val="表格文字"/>
    <w:basedOn w:val="1"/>
    <w:qFormat/>
    <w:uiPriority w:val="0"/>
    <w:pPr>
      <w:spacing w:line="420" w:lineRule="atLeast"/>
      <w:textAlignment w:val="baseline"/>
    </w:pPr>
    <w:rPr>
      <w:szCs w:val="20"/>
    </w:rPr>
  </w:style>
  <w:style w:type="paragraph" w:customStyle="1" w:styleId="36">
    <w:name w:val="标书正文1"/>
    <w:basedOn w:val="1"/>
    <w:qFormat/>
    <w:uiPriority w:val="99"/>
    <w:pPr>
      <w:spacing w:line="520" w:lineRule="exact"/>
      <w:ind w:firstLine="640" w:firstLineChars="200"/>
    </w:pPr>
  </w:style>
  <w:style w:type="character" w:customStyle="1" w:styleId="37">
    <w:name w:val="标题 1 字符"/>
    <w:basedOn w:val="25"/>
    <w:link w:val="3"/>
    <w:qFormat/>
    <w:uiPriority w:val="99"/>
    <w:rPr>
      <w:rFonts w:ascii="Times New Roman" w:hAnsi="Times New Roman" w:eastAsia="宋体" w:cs="Times New Roman"/>
      <w:b/>
      <w:bCs/>
      <w:kern w:val="44"/>
      <w:sz w:val="44"/>
      <w:szCs w:val="44"/>
      <w:lang w:val="zh-CN" w:eastAsia="zh-CN"/>
    </w:rPr>
  </w:style>
  <w:style w:type="character" w:customStyle="1" w:styleId="38">
    <w:name w:val="标题 2 字符"/>
    <w:basedOn w:val="25"/>
    <w:link w:val="4"/>
    <w:qFormat/>
    <w:uiPriority w:val="99"/>
    <w:rPr>
      <w:rFonts w:ascii="Cambria" w:hAnsi="Cambria" w:eastAsia="宋体" w:cs="Times New Roman"/>
      <w:b/>
      <w:bCs/>
      <w:kern w:val="0"/>
      <w:sz w:val="32"/>
      <w:szCs w:val="32"/>
      <w:lang w:val="zh-CN" w:eastAsia="zh-CN"/>
    </w:rPr>
  </w:style>
  <w:style w:type="character" w:customStyle="1" w:styleId="39">
    <w:name w:val="标题 3 字符"/>
    <w:basedOn w:val="25"/>
    <w:link w:val="5"/>
    <w:qFormat/>
    <w:uiPriority w:val="0"/>
    <w:rPr>
      <w:rFonts w:ascii="Times New Roman" w:hAnsi="Times New Roman" w:eastAsia="宋体" w:cs="Times New Roman"/>
      <w:b/>
      <w:bCs/>
      <w:kern w:val="0"/>
      <w:sz w:val="32"/>
      <w:szCs w:val="32"/>
      <w:lang w:val="zh-CN" w:eastAsia="zh-CN"/>
    </w:rPr>
  </w:style>
  <w:style w:type="character" w:customStyle="1" w:styleId="40">
    <w:name w:val="正文文本 字符"/>
    <w:basedOn w:val="25"/>
    <w:link w:val="7"/>
    <w:qFormat/>
    <w:uiPriority w:val="99"/>
    <w:rPr>
      <w:rFonts w:ascii="Times New Roman" w:hAnsi="Times New Roman" w:eastAsia="宋体" w:cs="Times New Roman"/>
      <w:sz w:val="28"/>
      <w:szCs w:val="28"/>
      <w:lang w:val="zh-CN" w:eastAsia="zh-CN"/>
    </w:rPr>
  </w:style>
  <w:style w:type="character" w:customStyle="1" w:styleId="41">
    <w:name w:val="文档结构图 字符"/>
    <w:basedOn w:val="25"/>
    <w:link w:val="8"/>
    <w:semiHidden/>
    <w:qFormat/>
    <w:uiPriority w:val="99"/>
    <w:rPr>
      <w:rFonts w:ascii="Times New Roman" w:hAnsi="Times New Roman" w:eastAsia="宋体" w:cs="Times New Roman"/>
      <w:kern w:val="0"/>
      <w:sz w:val="2"/>
      <w:szCs w:val="2"/>
      <w:shd w:val="clear" w:color="auto" w:fill="000080"/>
      <w:lang w:val="zh-CN" w:eastAsia="zh-CN"/>
    </w:rPr>
  </w:style>
  <w:style w:type="character" w:customStyle="1" w:styleId="42">
    <w:name w:val="批注文字 字符"/>
    <w:basedOn w:val="25"/>
    <w:link w:val="9"/>
    <w:qFormat/>
    <w:uiPriority w:val="99"/>
    <w:rPr>
      <w:rFonts w:ascii="Times New Roman" w:hAnsi="Times New Roman" w:eastAsia="宋体" w:cs="Times New Roman"/>
      <w:sz w:val="28"/>
      <w:szCs w:val="28"/>
      <w:lang w:val="zh-CN" w:eastAsia="zh-CN"/>
    </w:rPr>
  </w:style>
  <w:style w:type="character" w:customStyle="1" w:styleId="43">
    <w:name w:val="正文文本缩进 字符"/>
    <w:basedOn w:val="25"/>
    <w:link w:val="10"/>
    <w:qFormat/>
    <w:uiPriority w:val="99"/>
    <w:rPr>
      <w:rFonts w:ascii="Times New Roman" w:hAnsi="Times New Roman" w:eastAsia="宋体" w:cs="Times New Roman"/>
      <w:kern w:val="0"/>
      <w:sz w:val="20"/>
      <w:szCs w:val="20"/>
      <w:lang w:val="zh-CN" w:eastAsia="zh-CN"/>
    </w:rPr>
  </w:style>
  <w:style w:type="character" w:customStyle="1" w:styleId="44">
    <w:name w:val="纯文本 字符"/>
    <w:basedOn w:val="25"/>
    <w:link w:val="12"/>
    <w:qFormat/>
    <w:uiPriority w:val="99"/>
    <w:rPr>
      <w:rFonts w:ascii="宋体" w:hAnsi="Courier New" w:eastAsia="宋体" w:cs="Times New Roman"/>
      <w:kern w:val="0"/>
      <w:szCs w:val="21"/>
      <w:lang w:val="zh-CN" w:eastAsia="zh-CN"/>
    </w:rPr>
  </w:style>
  <w:style w:type="character" w:customStyle="1" w:styleId="45">
    <w:name w:val="日期 字符"/>
    <w:basedOn w:val="25"/>
    <w:link w:val="13"/>
    <w:qFormat/>
    <w:uiPriority w:val="99"/>
    <w:rPr>
      <w:rFonts w:ascii="Times New Roman" w:hAnsi="Times New Roman" w:eastAsia="宋体" w:cs="Times New Roman"/>
      <w:kern w:val="0"/>
      <w:sz w:val="20"/>
      <w:szCs w:val="20"/>
      <w:lang w:val="zh-CN" w:eastAsia="zh-CN"/>
    </w:rPr>
  </w:style>
  <w:style w:type="character" w:customStyle="1" w:styleId="46">
    <w:name w:val="正文文本缩进 2 字符"/>
    <w:basedOn w:val="25"/>
    <w:link w:val="14"/>
    <w:qFormat/>
    <w:uiPriority w:val="99"/>
    <w:rPr>
      <w:rFonts w:ascii="Times New Roman" w:hAnsi="Times New Roman" w:eastAsia="宋体" w:cs="Times New Roman"/>
      <w:sz w:val="28"/>
      <w:szCs w:val="28"/>
      <w:lang w:val="zh-CN" w:eastAsia="zh-CN"/>
    </w:rPr>
  </w:style>
  <w:style w:type="character" w:customStyle="1" w:styleId="47">
    <w:name w:val="批注框文本 字符"/>
    <w:basedOn w:val="25"/>
    <w:link w:val="15"/>
    <w:semiHidden/>
    <w:qFormat/>
    <w:uiPriority w:val="99"/>
    <w:rPr>
      <w:rFonts w:ascii="Times New Roman" w:hAnsi="Times New Roman" w:eastAsia="宋体" w:cs="Times New Roman"/>
      <w:kern w:val="0"/>
      <w:sz w:val="2"/>
      <w:szCs w:val="2"/>
      <w:lang w:val="zh-CN" w:eastAsia="zh-CN"/>
    </w:rPr>
  </w:style>
  <w:style w:type="character" w:customStyle="1" w:styleId="48">
    <w:name w:val="页脚 字符"/>
    <w:basedOn w:val="25"/>
    <w:link w:val="2"/>
    <w:qFormat/>
    <w:uiPriority w:val="99"/>
    <w:rPr>
      <w:rFonts w:ascii="Times New Roman" w:hAnsi="Times New Roman" w:eastAsia="宋体" w:cs="Times New Roman"/>
      <w:kern w:val="0"/>
      <w:sz w:val="18"/>
      <w:szCs w:val="18"/>
      <w:lang w:val="zh-CN" w:eastAsia="zh-CN"/>
    </w:rPr>
  </w:style>
  <w:style w:type="character" w:customStyle="1" w:styleId="49">
    <w:name w:val="页眉 字符"/>
    <w:basedOn w:val="25"/>
    <w:link w:val="16"/>
    <w:qFormat/>
    <w:uiPriority w:val="0"/>
    <w:rPr>
      <w:rFonts w:ascii="Times New Roman" w:hAnsi="Times New Roman" w:eastAsia="宋体" w:cs="Times New Roman"/>
      <w:kern w:val="0"/>
      <w:sz w:val="18"/>
      <w:szCs w:val="18"/>
      <w:lang w:val="zh-CN" w:eastAsia="zh-CN"/>
    </w:rPr>
  </w:style>
  <w:style w:type="character" w:customStyle="1" w:styleId="50">
    <w:name w:val="正文文本 2 字符"/>
    <w:basedOn w:val="25"/>
    <w:link w:val="19"/>
    <w:qFormat/>
    <w:uiPriority w:val="99"/>
    <w:rPr>
      <w:rFonts w:ascii="宋体" w:hAnsi="宋体" w:eastAsia="宋体" w:cs="Times New Roman"/>
      <w:kern w:val="0"/>
      <w:sz w:val="24"/>
      <w:lang w:val="zh-CN" w:eastAsia="zh-CN"/>
    </w:rPr>
  </w:style>
  <w:style w:type="character" w:customStyle="1" w:styleId="51">
    <w:name w:val="批注主题 字符"/>
    <w:basedOn w:val="42"/>
    <w:link w:val="21"/>
    <w:qFormat/>
    <w:uiPriority w:val="99"/>
    <w:rPr>
      <w:rFonts w:ascii="Times New Roman" w:hAnsi="Times New Roman" w:eastAsia="宋体" w:cs="Times New Roman"/>
      <w:b/>
      <w:bCs/>
      <w:sz w:val="28"/>
      <w:szCs w:val="28"/>
      <w:lang w:val="zh-CN" w:eastAsia="zh-CN"/>
    </w:rPr>
  </w:style>
  <w:style w:type="character" w:customStyle="1" w:styleId="52">
    <w:name w:val="正文文本首行缩进 字符"/>
    <w:basedOn w:val="40"/>
    <w:link w:val="22"/>
    <w:qFormat/>
    <w:uiPriority w:val="0"/>
    <w:rPr>
      <w:rFonts w:ascii="宋体" w:hAnsi="宋体" w:eastAsia="宋体" w:cs="宋体"/>
      <w:kern w:val="0"/>
      <w:sz w:val="24"/>
      <w:szCs w:val="28"/>
      <w:lang w:val="zh-CN" w:eastAsia="zh-CN"/>
    </w:rPr>
  </w:style>
  <w:style w:type="paragraph" w:customStyle="1" w:styleId="53">
    <w:name w:val="正文文本 21"/>
    <w:basedOn w:val="1"/>
    <w:qFormat/>
    <w:uiPriority w:val="0"/>
    <w:pPr>
      <w:snapToGrid w:val="0"/>
      <w:spacing w:line="540" w:lineRule="exact"/>
    </w:pPr>
    <w:rPr>
      <w:rFonts w:eastAsia="方正仿宋_GBK"/>
      <w:color w:val="000000"/>
    </w:rPr>
  </w:style>
  <w:style w:type="paragraph" w:customStyle="1" w:styleId="54">
    <w:name w:val="引用1"/>
    <w:next w:val="1"/>
    <w:qFormat/>
    <w:uiPriority w:val="0"/>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character" w:customStyle="1" w:styleId="55">
    <w:name w:val="emphasizedtitle1"/>
    <w:qFormat/>
    <w:uiPriority w:val="99"/>
    <w:rPr>
      <w:rFonts w:ascii="Arial" w:hAnsi="Arial"/>
      <w:b/>
      <w:sz w:val="27"/>
    </w:rPr>
  </w:style>
  <w:style w:type="character" w:customStyle="1" w:styleId="56">
    <w:name w:val="font21"/>
    <w:qFormat/>
    <w:uiPriority w:val="0"/>
    <w:rPr>
      <w:rFonts w:ascii="宋体" w:eastAsia="宋体" w:cs="宋体"/>
      <w:color w:val="000000"/>
      <w:sz w:val="20"/>
      <w:szCs w:val="20"/>
      <w:u w:val="none"/>
    </w:rPr>
  </w:style>
  <w:style w:type="character" w:customStyle="1" w:styleId="57">
    <w:name w:val="apple-converted-space"/>
    <w:qFormat/>
    <w:uiPriority w:val="99"/>
    <w:rPr>
      <w:rFonts w:cs="Times New Roman"/>
    </w:rPr>
  </w:style>
  <w:style w:type="character" w:customStyle="1" w:styleId="58">
    <w:name w:val="active"/>
    <w:qFormat/>
    <w:uiPriority w:val="0"/>
    <w:rPr>
      <w:shd w:val="clear" w:color="auto" w:fill="EC3535"/>
    </w:rPr>
  </w:style>
  <w:style w:type="character" w:customStyle="1" w:styleId="59">
    <w:name w:val="样式 (中文) 仿宋_GB2312 小四 行距: 固定值 22 磅 Char"/>
    <w:link w:val="60"/>
    <w:qFormat/>
    <w:uiPriority w:val="0"/>
    <w:rPr>
      <w:rFonts w:eastAsia="仿宋_GB2312"/>
      <w:sz w:val="24"/>
    </w:rPr>
  </w:style>
  <w:style w:type="paragraph" w:customStyle="1" w:styleId="60">
    <w:name w:val="样式 (中文) 仿宋_GB2312 小四 行距: 固定值 22 磅"/>
    <w:basedOn w:val="1"/>
    <w:link w:val="59"/>
    <w:qFormat/>
    <w:uiPriority w:val="0"/>
    <w:pPr>
      <w:spacing w:line="400" w:lineRule="exact"/>
      <w:ind w:firstLine="150" w:firstLineChars="150"/>
    </w:pPr>
    <w:rPr>
      <w:rFonts w:eastAsia="仿宋_GB2312" w:asciiTheme="minorHAnsi" w:hAnsiTheme="minorHAnsi" w:cstheme="minorBidi"/>
      <w:kern w:val="2"/>
    </w:rPr>
  </w:style>
  <w:style w:type="character" w:customStyle="1" w:styleId="61">
    <w:name w:val="maincontenttable"/>
    <w:qFormat/>
    <w:uiPriority w:val="99"/>
    <w:rPr>
      <w:rFonts w:cs="Times New Roman"/>
    </w:rPr>
  </w:style>
  <w:style w:type="paragraph" w:customStyle="1" w:styleId="62">
    <w:name w:val="Char1 Char Char Char"/>
    <w:basedOn w:val="1"/>
    <w:autoRedefine/>
    <w:qFormat/>
    <w:uiPriority w:val="99"/>
    <w:rPr>
      <w:rFonts w:ascii="Tahoma" w:hAnsi="Tahoma" w:cs="Tahoma"/>
      <w:sz w:val="30"/>
      <w:szCs w:val="30"/>
    </w:rPr>
  </w:style>
  <w:style w:type="paragraph" w:customStyle="1" w:styleId="63">
    <w:name w:val="Char Char Char Char Char Char Char Char Char Char"/>
    <w:basedOn w:val="1"/>
    <w:qFormat/>
    <w:uiPriority w:val="99"/>
    <w:pPr>
      <w:tabs>
        <w:tab w:val="left" w:pos="360"/>
      </w:tabs>
      <w:ind w:left="360" w:hanging="360" w:hangingChars="200"/>
    </w:pPr>
  </w:style>
  <w:style w:type="paragraph" w:customStyle="1" w:styleId="64">
    <w:name w:val="op_exactqa_s_prop"/>
    <w:basedOn w:val="1"/>
    <w:autoRedefine/>
    <w:qFormat/>
    <w:uiPriority w:val="99"/>
  </w:style>
  <w:style w:type="paragraph" w:customStyle="1" w:styleId="65">
    <w:name w:val="Char"/>
    <w:basedOn w:val="1"/>
    <w:qFormat/>
    <w:uiPriority w:val="99"/>
    <w:pPr>
      <w:spacing w:after="160" w:line="240" w:lineRule="exact"/>
    </w:pPr>
    <w:rPr>
      <w:rFonts w:ascii="Verdana" w:hAnsi="Verdana" w:eastAsia="仿宋_GB2312" w:cs="Verdana"/>
      <w:lang w:eastAsia="en-US"/>
    </w:rPr>
  </w:style>
  <w:style w:type="paragraph" w:customStyle="1" w:styleId="66">
    <w:name w:val="图例"/>
    <w:basedOn w:val="1"/>
    <w:qFormat/>
    <w:uiPriority w:val="0"/>
    <w:pPr>
      <w:spacing w:before="120" w:after="120" w:line="360" w:lineRule="auto"/>
      <w:jc w:val="center"/>
    </w:pPr>
    <w:rPr>
      <w:rFonts w:eastAsia="仿宋_GB2312"/>
      <w:b/>
    </w:rPr>
  </w:style>
  <w:style w:type="paragraph" w:customStyle="1" w:styleId="67">
    <w:name w:val="Char Char Char Char"/>
    <w:basedOn w:val="1"/>
    <w:autoRedefine/>
    <w:qFormat/>
    <w:uiPriority w:val="99"/>
    <w:pPr>
      <w:spacing w:after="160" w:line="240" w:lineRule="exact"/>
    </w:pPr>
    <w:rPr>
      <w:rFonts w:ascii="Verdana" w:hAnsi="Verdana" w:cs="Verdana"/>
      <w:sz w:val="20"/>
      <w:szCs w:val="20"/>
      <w:lang w:eastAsia="en-US"/>
    </w:rPr>
  </w:style>
  <w:style w:type="paragraph" w:customStyle="1" w:styleId="68">
    <w:name w:val="_Style 7"/>
    <w:basedOn w:val="1"/>
    <w:qFormat/>
    <w:uiPriority w:val="0"/>
    <w:pPr>
      <w:ind w:firstLine="200" w:firstLineChars="200"/>
    </w:pPr>
    <w:rPr>
      <w:rFonts w:ascii="等线" w:eastAsia="等线" w:cs="Times New Roman"/>
      <w:sz w:val="21"/>
      <w:szCs w:val="22"/>
    </w:rPr>
  </w:style>
  <w:style w:type="paragraph" w:customStyle="1" w:styleId="69">
    <w:name w:val="xl40"/>
    <w:basedOn w:val="1"/>
    <w:qFormat/>
    <w:uiPriority w:val="99"/>
    <w:pPr>
      <w:pBdr>
        <w:left w:val="single" w:color="auto" w:sz="4" w:space="0"/>
        <w:right w:val="single" w:color="auto" w:sz="4" w:space="0"/>
      </w:pBdr>
      <w:spacing w:before="100" w:beforeAutospacing="1" w:after="100" w:afterAutospacing="1"/>
      <w:jc w:val="center"/>
    </w:pPr>
  </w:style>
  <w:style w:type="paragraph" w:customStyle="1" w:styleId="70">
    <w:name w:val="列表段落1"/>
    <w:basedOn w:val="1"/>
    <w:unhideWhenUsed/>
    <w:qFormat/>
    <w:uiPriority w:val="99"/>
    <w:pPr>
      <w:ind w:firstLine="420" w:firstLineChars="200"/>
    </w:pPr>
  </w:style>
  <w:style w:type="paragraph" w:customStyle="1" w:styleId="71">
    <w:name w:val="1"/>
    <w:basedOn w:val="1"/>
    <w:next w:val="12"/>
    <w:autoRedefine/>
    <w:qFormat/>
    <w:uiPriority w:val="0"/>
    <w:rPr>
      <w:rFonts w:hAnsi="Courier New"/>
      <w:sz w:val="21"/>
      <w:szCs w:val="21"/>
    </w:rPr>
  </w:style>
  <w:style w:type="paragraph" w:customStyle="1" w:styleId="72">
    <w:name w:val="列出段落2"/>
    <w:basedOn w:val="1"/>
    <w:autoRedefine/>
    <w:unhideWhenUsed/>
    <w:qFormat/>
    <w:uiPriority w:val="99"/>
    <w:pPr>
      <w:ind w:firstLine="420" w:firstLineChars="200"/>
    </w:pPr>
  </w:style>
  <w:style w:type="paragraph" w:customStyle="1" w:styleId="73">
    <w:name w:val="附件"/>
    <w:next w:val="1"/>
    <w:qFormat/>
    <w:uiPriority w:val="0"/>
    <w:pPr>
      <w:tabs>
        <w:tab w:val="right" w:leader="dot" w:pos="9402"/>
      </w:tabs>
      <w:spacing w:line="400" w:lineRule="exact"/>
      <w:jc w:val="center"/>
      <w:outlineLvl w:val="0"/>
    </w:pPr>
    <w:rPr>
      <w:rFonts w:ascii="Times New Roman" w:hAnsi="Times New Roman" w:eastAsia="FZHei-B01" w:cs="Times New Roman"/>
      <w:b/>
      <w:bCs/>
      <w:smallCaps/>
      <w:kern w:val="2"/>
      <w:sz w:val="28"/>
      <w:szCs w:val="20"/>
      <w:lang w:val="en-US" w:eastAsia="zh-CN" w:bidi="ar-SA"/>
    </w:rPr>
  </w:style>
  <w:style w:type="paragraph" w:customStyle="1" w:styleId="74">
    <w:name w:val="列出段落1"/>
    <w:basedOn w:val="1"/>
    <w:qFormat/>
    <w:uiPriority w:val="99"/>
    <w:pPr>
      <w:ind w:firstLine="420" w:firstLineChars="200"/>
    </w:pPr>
    <w:rPr>
      <w:rFonts w:ascii="Calibri" w:hAnsi="Calibri"/>
      <w:sz w:val="21"/>
      <w:szCs w:val="22"/>
    </w:rPr>
  </w:style>
  <w:style w:type="paragraph" w:customStyle="1" w:styleId="75">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6">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77">
    <w:name w:val="样式 样式 首行缩进:  2 字符 + 首行缩进:  2 字符"/>
    <w:basedOn w:val="1"/>
    <w:autoRedefine/>
    <w:qFormat/>
    <w:uiPriority w:val="0"/>
    <w:pPr>
      <w:numPr>
        <w:ilvl w:val="0"/>
        <w:numId w:val="1"/>
      </w:numPr>
      <w:tabs>
        <w:tab w:val="clear" w:pos="1230"/>
      </w:tabs>
      <w:spacing w:line="360" w:lineRule="auto"/>
      <w:ind w:firstLine="480" w:firstLineChars="200"/>
    </w:pPr>
    <w:rPr>
      <w:szCs w:val="20"/>
    </w:rPr>
  </w:style>
  <w:style w:type="character" w:customStyle="1" w:styleId="78">
    <w:name w:val="NormalCharacter"/>
    <w:autoRedefine/>
    <w:qFormat/>
    <w:uiPriority w:val="0"/>
    <w:rPr>
      <w:rFonts w:ascii="Calibri" w:hAnsi="Calibri" w:eastAsia="宋体"/>
    </w:rPr>
  </w:style>
  <w:style w:type="paragraph" w:styleId="79">
    <w:name w:val="List Paragraph"/>
    <w:basedOn w:val="1"/>
    <w:autoRedefine/>
    <w:qFormat/>
    <w:uiPriority w:val="99"/>
    <w:pPr>
      <w:widowControl w:val="0"/>
      <w:ind w:firstLine="420" w:firstLineChars="200"/>
      <w:jc w:val="both"/>
    </w:pPr>
    <w:rPr>
      <w:rFonts w:ascii="Calibri" w:hAnsi="Calibri" w:cs="Times New Roman"/>
      <w:kern w:val="2"/>
      <w:sz w:val="21"/>
    </w:rPr>
  </w:style>
  <w:style w:type="paragraph" w:customStyle="1" w:styleId="80">
    <w:name w:val="Normal_6b1eb2b1-915e-4520-a4ad-e896fdd76176"/>
    <w:next w:val="3"/>
    <w:autoRedefine/>
    <w:qFormat/>
    <w:uiPriority w:val="0"/>
    <w:rPr>
      <w:rFonts w:ascii="Times New Roman" w:hAnsi="Times New Roman" w:eastAsia="宋体" w:cs="Times New Roman"/>
      <w:kern w:val="0"/>
      <w:sz w:val="21"/>
      <w:szCs w:val="20"/>
      <w:lang w:val="en-US" w:eastAsia="zh-CN" w:bidi="ar-SA"/>
    </w:rPr>
  </w:style>
  <w:style w:type="character" w:customStyle="1" w:styleId="81">
    <w:name w:val="active7"/>
    <w:basedOn w:val="25"/>
    <w:qFormat/>
    <w:uiPriority w:val="0"/>
    <w:rPr>
      <w:color w:val="FFFFFF"/>
      <w:shd w:val="clear" w:fill="E02F23"/>
    </w:rPr>
  </w:style>
  <w:style w:type="character" w:customStyle="1" w:styleId="82">
    <w:name w:val="active6"/>
    <w:basedOn w:val="25"/>
    <w:autoRedefine/>
    <w:qFormat/>
    <w:uiPriority w:val="0"/>
    <w:rPr>
      <w:color w:val="FFFFFF"/>
      <w:shd w:val="clear" w:fill="E02F23"/>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B5009-B4C9-FB4E-9480-C727C9A8B43B}">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18094</Words>
  <Characters>19028</Characters>
  <Lines>185</Lines>
  <Paragraphs>52</Paragraphs>
  <TotalTime>32</TotalTime>
  <ScaleCrop>false</ScaleCrop>
  <LinksUpToDate>false</LinksUpToDate>
  <CharactersWithSpaces>19907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2022-07-04T08:46:00Z</dcterms:created>
  <dc:creator>Haowen Yang</dc:creator>
  <cp:lastModifiedBy>时源泽</cp:lastModifiedBy>
  <dcterms:modified xsi:type="dcterms:W3CDTF">2025-10-25T04:54:45Z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F01D788833A54F57BADD64BA5A7A54F1_13</vt:lpwstr>
  </property>
  <property fmtid="{D5CDD505-2E9C-101B-9397-08002B2CF9AE}" pid="4" name="KSOTemplateDocerSaveRecord">
    <vt:lpwstr>eyJoZGlkIjoiOTc3M2Y5NzIzMDFlZjAyY2Q4Njk5ODkyYjFjNzBiNTQiLCJ1c2VySWQiOiIxMjY2Njc0NTMifQ==</vt:lpwstr>
  </property>
</Properties>
</file>