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2CAB6">
      <w:pPr>
        <w:pStyle w:val="2"/>
        <w:spacing w:line="360" w:lineRule="auto"/>
        <w:jc w:val="center"/>
        <w:rPr>
          <w:rFonts w:hint="eastAsia" w:ascii="仿宋" w:hAnsi="仿宋" w:eastAsia="仿宋"/>
          <w:szCs w:val="32"/>
          <w:lang w:val="en-US" w:eastAsia="zh-CN"/>
        </w:rPr>
      </w:pPr>
      <w:r>
        <w:rPr>
          <w:rFonts w:hint="eastAsia" w:ascii="仿宋" w:hAnsi="仿宋" w:eastAsia="仿宋"/>
          <w:szCs w:val="32"/>
          <w:lang w:val="en-US" w:eastAsia="zh-CN"/>
        </w:rPr>
        <w:t>采购公告</w:t>
      </w:r>
    </w:p>
    <w:p w14:paraId="26081323">
      <w:pPr>
        <w:snapToGrid w:val="0"/>
        <w:spacing w:line="360" w:lineRule="auto"/>
        <w:ind w:firstLine="720" w:firstLineChars="300"/>
        <w:rPr>
          <w:rFonts w:hint="eastAsia" w:ascii="仿宋" w:hAnsi="仿宋" w:eastAsia="仿宋"/>
          <w:sz w:val="24"/>
          <w:szCs w:val="24"/>
        </w:rPr>
      </w:pPr>
      <w:r>
        <w:rPr>
          <w:rFonts w:hint="eastAsia" w:ascii="仿宋" w:hAnsi="仿宋" w:eastAsia="仿宋"/>
          <w:sz w:val="24"/>
          <w:szCs w:val="24"/>
          <w:u w:val="single"/>
        </w:rPr>
        <w:t>重庆博咨项目管理有限公司</w:t>
      </w:r>
      <w:r>
        <w:rPr>
          <w:rFonts w:hint="eastAsia" w:ascii="仿宋" w:hAnsi="仿宋" w:eastAsia="仿宋"/>
          <w:sz w:val="24"/>
          <w:szCs w:val="24"/>
        </w:rPr>
        <w:t>（以下简称：采购代理机构）受</w:t>
      </w:r>
      <w:r>
        <w:rPr>
          <w:rFonts w:hint="eastAsia" w:ascii="仿宋" w:hAnsi="仿宋" w:eastAsia="仿宋"/>
          <w:sz w:val="24"/>
          <w:szCs w:val="24"/>
          <w:u w:val="single"/>
        </w:rPr>
        <w:t>重庆市南岸区规划和自然资源局</w:t>
      </w:r>
      <w:r>
        <w:rPr>
          <w:rFonts w:hint="eastAsia" w:ascii="仿宋" w:hAnsi="仿宋" w:eastAsia="仿宋"/>
          <w:sz w:val="24"/>
          <w:szCs w:val="24"/>
        </w:rPr>
        <w:t>（以下简称：采购人）的委托，对</w:t>
      </w:r>
      <w:r>
        <w:rPr>
          <w:rFonts w:hint="eastAsia" w:ascii="仿宋" w:hAnsi="仿宋" w:eastAsia="仿宋"/>
          <w:sz w:val="24"/>
          <w:szCs w:val="24"/>
          <w:u w:val="single"/>
        </w:rPr>
        <w:t>南岸区现状耕地和标注恢复属性图斑细化调查工作技术服务</w:t>
      </w:r>
      <w:r>
        <w:rPr>
          <w:rFonts w:hint="eastAsia" w:ascii="仿宋" w:hAnsi="仿宋" w:eastAsia="仿宋"/>
          <w:sz w:val="24"/>
          <w:szCs w:val="24"/>
        </w:rPr>
        <w:t>进行竞争性磋商采购。欢迎有资格的供应商前来参与磋商。</w:t>
      </w:r>
    </w:p>
    <w:p w14:paraId="344302C0">
      <w:pPr>
        <w:pStyle w:val="3"/>
        <w:spacing w:before="0" w:after="0" w:line="360" w:lineRule="auto"/>
        <w:rPr>
          <w:rFonts w:hint="eastAsia" w:ascii="仿宋" w:hAnsi="仿宋" w:eastAsia="仿宋"/>
          <w:sz w:val="24"/>
          <w:szCs w:val="24"/>
        </w:rPr>
      </w:pPr>
      <w:bookmarkStart w:id="0" w:name="_Toc30814"/>
      <w:bookmarkStart w:id="1" w:name="_Toc317775175"/>
      <w:bookmarkStart w:id="2" w:name="_Toc313893526"/>
      <w:bookmarkStart w:id="3" w:name="_Toc27541"/>
      <w:r>
        <w:rPr>
          <w:rFonts w:hint="eastAsia" w:ascii="仿宋" w:hAnsi="仿宋" w:eastAsia="仿宋"/>
          <w:sz w:val="24"/>
          <w:szCs w:val="24"/>
        </w:rPr>
        <w:t>一、竞争性磋商内容</w:t>
      </w:r>
      <w:bookmarkEnd w:id="0"/>
      <w:bookmarkEnd w:id="1"/>
      <w:bookmarkEnd w:id="2"/>
      <w:bookmarkEnd w:id="3"/>
    </w:p>
    <w:tbl>
      <w:tblPr>
        <w:tblStyle w:val="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169"/>
        <w:gridCol w:w="2089"/>
        <w:gridCol w:w="1578"/>
      </w:tblGrid>
      <w:tr w14:paraId="079B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25" w:type="dxa"/>
            <w:tcBorders>
              <w:top w:val="single" w:color="auto" w:sz="4" w:space="0"/>
              <w:left w:val="single" w:color="auto" w:sz="4" w:space="0"/>
              <w:right w:val="single" w:color="auto" w:sz="4" w:space="0"/>
            </w:tcBorders>
            <w:noWrap w:val="0"/>
            <w:vAlign w:val="center"/>
          </w:tcPr>
          <w:p w14:paraId="579D3CBA">
            <w:pPr>
              <w:widowControl/>
              <w:adjustRightInd w:val="0"/>
              <w:snapToGrid w:val="0"/>
              <w:jc w:val="center"/>
              <w:rPr>
                <w:rFonts w:hint="eastAsia" w:ascii="仿宋" w:hAnsi="仿宋" w:eastAsia="仿宋" w:cs="仿宋"/>
                <w:b/>
                <w:bCs/>
                <w:kern w:val="0"/>
                <w:sz w:val="24"/>
                <w:szCs w:val="24"/>
              </w:rPr>
            </w:pPr>
            <w:bookmarkStart w:id="4" w:name="_Toc373860293"/>
            <w:bookmarkStart w:id="5" w:name="_Toc317775178"/>
            <w:r>
              <w:rPr>
                <w:rFonts w:hint="eastAsia" w:ascii="仿宋" w:hAnsi="仿宋" w:eastAsia="仿宋" w:cs="仿宋"/>
                <w:b/>
                <w:bCs/>
                <w:kern w:val="0"/>
                <w:sz w:val="24"/>
                <w:szCs w:val="24"/>
              </w:rPr>
              <w:t>项目名称</w:t>
            </w:r>
          </w:p>
        </w:tc>
        <w:tc>
          <w:tcPr>
            <w:tcW w:w="2169" w:type="dxa"/>
            <w:tcBorders>
              <w:top w:val="single" w:color="auto" w:sz="4" w:space="0"/>
              <w:left w:val="single" w:color="auto" w:sz="4" w:space="0"/>
              <w:right w:val="single" w:color="auto" w:sz="4" w:space="0"/>
            </w:tcBorders>
            <w:noWrap w:val="0"/>
            <w:vAlign w:val="center"/>
          </w:tcPr>
          <w:p w14:paraId="3D21C731">
            <w:pPr>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最高限价（万元）</w:t>
            </w:r>
          </w:p>
        </w:tc>
        <w:tc>
          <w:tcPr>
            <w:tcW w:w="2089" w:type="dxa"/>
            <w:tcBorders>
              <w:top w:val="single" w:color="auto" w:sz="4" w:space="0"/>
              <w:left w:val="single" w:color="auto" w:sz="4" w:space="0"/>
              <w:right w:val="single" w:color="auto" w:sz="4" w:space="0"/>
            </w:tcBorders>
            <w:noWrap w:val="0"/>
            <w:vAlign w:val="center"/>
          </w:tcPr>
          <w:p w14:paraId="34F9C706">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成交数量（名）</w:t>
            </w:r>
          </w:p>
        </w:tc>
        <w:tc>
          <w:tcPr>
            <w:tcW w:w="1578" w:type="dxa"/>
            <w:tcBorders>
              <w:top w:val="single" w:color="auto" w:sz="4" w:space="0"/>
              <w:left w:val="single" w:color="auto" w:sz="4" w:space="0"/>
              <w:right w:val="single" w:color="auto" w:sz="4" w:space="0"/>
            </w:tcBorders>
            <w:noWrap w:val="0"/>
            <w:vAlign w:val="center"/>
          </w:tcPr>
          <w:p w14:paraId="61EAE95B">
            <w:pPr>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14:paraId="2513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125" w:type="dxa"/>
            <w:tcBorders>
              <w:top w:val="single" w:color="auto" w:sz="4" w:space="0"/>
              <w:left w:val="single" w:color="auto" w:sz="4" w:space="0"/>
              <w:right w:val="single" w:color="auto" w:sz="4" w:space="0"/>
            </w:tcBorders>
            <w:noWrap w:val="0"/>
            <w:vAlign w:val="center"/>
          </w:tcPr>
          <w:p w14:paraId="483567B4">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南岸区现状耕地和标注恢复属性图斑细化调查工作技术服务</w:t>
            </w:r>
          </w:p>
        </w:tc>
        <w:tc>
          <w:tcPr>
            <w:tcW w:w="2169" w:type="dxa"/>
            <w:tcBorders>
              <w:top w:val="single" w:color="auto" w:sz="4" w:space="0"/>
              <w:left w:val="single" w:color="auto" w:sz="4" w:space="0"/>
              <w:right w:val="single" w:color="auto" w:sz="4" w:space="0"/>
            </w:tcBorders>
            <w:noWrap w:val="0"/>
            <w:vAlign w:val="center"/>
          </w:tcPr>
          <w:p w14:paraId="06F67F10">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089" w:type="dxa"/>
            <w:tcBorders>
              <w:top w:val="single" w:color="auto" w:sz="4" w:space="0"/>
              <w:left w:val="single" w:color="auto" w:sz="4" w:space="0"/>
              <w:right w:val="single" w:color="auto" w:sz="4" w:space="0"/>
            </w:tcBorders>
            <w:noWrap w:val="0"/>
            <w:vAlign w:val="center"/>
          </w:tcPr>
          <w:p w14:paraId="08408E40">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578" w:type="dxa"/>
            <w:tcBorders>
              <w:top w:val="single" w:color="auto" w:sz="4" w:space="0"/>
              <w:left w:val="single" w:color="auto" w:sz="4" w:space="0"/>
              <w:right w:val="single" w:color="auto" w:sz="4" w:space="0"/>
            </w:tcBorders>
            <w:noWrap w:val="0"/>
            <w:vAlign w:val="center"/>
          </w:tcPr>
          <w:p w14:paraId="0C9CB233">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w:t>
            </w:r>
          </w:p>
        </w:tc>
      </w:tr>
    </w:tbl>
    <w:p w14:paraId="4747DF24">
      <w:pPr>
        <w:pStyle w:val="3"/>
        <w:spacing w:before="0" w:after="0" w:line="360" w:lineRule="auto"/>
        <w:rPr>
          <w:rFonts w:hint="eastAsia" w:ascii="仿宋" w:hAnsi="仿宋" w:eastAsia="仿宋" w:cs="仿宋"/>
          <w:sz w:val="24"/>
          <w:szCs w:val="24"/>
        </w:rPr>
      </w:pPr>
      <w:bookmarkStart w:id="6" w:name="_Toc5880"/>
      <w:bookmarkStart w:id="7" w:name="_Toc11804"/>
      <w:r>
        <w:rPr>
          <w:rFonts w:hint="eastAsia" w:ascii="仿宋" w:hAnsi="仿宋" w:eastAsia="仿宋" w:cs="仿宋"/>
          <w:sz w:val="24"/>
          <w:szCs w:val="24"/>
        </w:rPr>
        <w:t>二、资金来源</w:t>
      </w:r>
      <w:bookmarkEnd w:id="6"/>
      <w:bookmarkEnd w:id="7"/>
    </w:p>
    <w:p w14:paraId="4D5DCE2E">
      <w:pPr>
        <w:keepNext/>
        <w:keepLines/>
        <w:spacing w:line="360" w:lineRule="auto"/>
        <w:ind w:firstLine="480" w:firstLineChars="200"/>
        <w:rPr>
          <w:rFonts w:ascii="仿宋" w:hAnsi="仿宋" w:eastAsia="仿宋"/>
          <w:sz w:val="24"/>
          <w:szCs w:val="24"/>
        </w:rPr>
      </w:pPr>
      <w:bookmarkStart w:id="8" w:name="_Toc14686"/>
      <w:bookmarkStart w:id="9" w:name="_Toc29447"/>
      <w:bookmarkStart w:id="10" w:name="_Toc26446"/>
      <w:bookmarkStart w:id="11" w:name="_Toc4768"/>
      <w:bookmarkStart w:id="12" w:name="_Toc16625"/>
      <w:bookmarkStart w:id="13" w:name="_Toc23776"/>
      <w:bookmarkStart w:id="14" w:name="_Toc23434"/>
      <w:bookmarkStart w:id="15" w:name="_Toc30662"/>
      <w:bookmarkStart w:id="16" w:name="_Toc27801"/>
      <w:r>
        <w:rPr>
          <w:rFonts w:hint="eastAsia" w:ascii="仿宋" w:hAnsi="仿宋" w:eastAsia="仿宋"/>
          <w:sz w:val="24"/>
          <w:szCs w:val="24"/>
        </w:rPr>
        <w:t>财政资金，采购预算30万元。</w:t>
      </w:r>
      <w:bookmarkEnd w:id="8"/>
      <w:bookmarkEnd w:id="9"/>
      <w:bookmarkEnd w:id="10"/>
      <w:bookmarkEnd w:id="11"/>
      <w:bookmarkEnd w:id="12"/>
      <w:bookmarkEnd w:id="13"/>
      <w:bookmarkEnd w:id="14"/>
      <w:bookmarkEnd w:id="15"/>
      <w:bookmarkEnd w:id="16"/>
    </w:p>
    <w:p w14:paraId="43C72368">
      <w:pPr>
        <w:pStyle w:val="3"/>
        <w:spacing w:before="0" w:after="0" w:line="360" w:lineRule="auto"/>
        <w:rPr>
          <w:rFonts w:hint="eastAsia" w:ascii="仿宋" w:hAnsi="仿宋" w:eastAsia="仿宋"/>
          <w:sz w:val="24"/>
          <w:szCs w:val="24"/>
        </w:rPr>
      </w:pPr>
      <w:bookmarkStart w:id="17" w:name="_Toc25277"/>
      <w:bookmarkStart w:id="18" w:name="_Toc14065"/>
      <w:r>
        <w:rPr>
          <w:rFonts w:hint="eastAsia" w:ascii="仿宋" w:hAnsi="仿宋" w:eastAsia="仿宋"/>
          <w:sz w:val="24"/>
          <w:szCs w:val="24"/>
        </w:rPr>
        <w:t>三、供应商资格条件</w:t>
      </w:r>
      <w:bookmarkEnd w:id="17"/>
      <w:bookmarkEnd w:id="18"/>
    </w:p>
    <w:p w14:paraId="6032F2E1">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供应商是指向采购人提供服务或者货物的法人、其他组织或者自然人。合格的供应商应首先符合政府采购法第二十二条规定的基本资格条件，同时符合本项目特定资格条件。</w:t>
      </w:r>
    </w:p>
    <w:p w14:paraId="1A0B237D">
      <w:pPr>
        <w:snapToGrid w:val="0"/>
        <w:spacing w:line="360" w:lineRule="auto"/>
        <w:ind w:firstLine="480" w:firstLineChars="200"/>
        <w:outlineLvl w:val="2"/>
        <w:rPr>
          <w:rFonts w:hint="eastAsia" w:ascii="仿宋" w:hAnsi="仿宋" w:eastAsia="仿宋"/>
          <w:sz w:val="24"/>
          <w:szCs w:val="24"/>
        </w:rPr>
      </w:pPr>
      <w:r>
        <w:rPr>
          <w:rFonts w:hint="eastAsia" w:ascii="仿宋" w:hAnsi="仿宋" w:eastAsia="仿宋"/>
          <w:sz w:val="24"/>
          <w:szCs w:val="24"/>
        </w:rPr>
        <w:t>（一）基本资格条件</w:t>
      </w:r>
    </w:p>
    <w:p w14:paraId="55690C44">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1.具有独立承担民事责任的能力；</w:t>
      </w:r>
    </w:p>
    <w:p w14:paraId="296DDC70">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2.具有良好的商业信誉和健全的财务会计制度；</w:t>
      </w:r>
    </w:p>
    <w:p w14:paraId="0FD9A4F5">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3.具有履行合同所必需的设备和专业技术能力；</w:t>
      </w:r>
    </w:p>
    <w:p w14:paraId="2AD2CA3D">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4.有依法缴纳税收和社会保障资金的良好记录；</w:t>
      </w:r>
    </w:p>
    <w:p w14:paraId="1C542ACC">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5.参加政府采购活动前三年内，在经营活动中没有重大违法记录；</w:t>
      </w:r>
    </w:p>
    <w:p w14:paraId="16C87362">
      <w:pPr>
        <w:snapToGrid w:val="0"/>
        <w:spacing w:line="360" w:lineRule="auto"/>
        <w:ind w:firstLine="480" w:firstLineChars="200"/>
        <w:rPr>
          <w:rFonts w:eastAsia="仿宋"/>
        </w:rPr>
      </w:pPr>
      <w:r>
        <w:rPr>
          <w:rFonts w:hint="eastAsia" w:ascii="仿宋" w:hAnsi="仿宋" w:eastAsia="仿宋"/>
          <w:sz w:val="24"/>
          <w:szCs w:val="24"/>
        </w:rPr>
        <w:t>6.法律、行政法规规定的其他条件。</w:t>
      </w:r>
    </w:p>
    <w:p w14:paraId="642F5A55">
      <w:pPr>
        <w:snapToGrid w:val="0"/>
        <w:spacing w:line="360" w:lineRule="auto"/>
        <w:ind w:firstLine="480" w:firstLineChars="200"/>
        <w:outlineLvl w:val="2"/>
        <w:rPr>
          <w:rFonts w:hint="eastAsia" w:ascii="仿宋" w:hAnsi="仿宋" w:eastAsia="仿宋"/>
          <w:sz w:val="24"/>
          <w:szCs w:val="24"/>
        </w:rPr>
      </w:pPr>
      <w:r>
        <w:rPr>
          <w:rFonts w:hint="eastAsia" w:ascii="仿宋" w:hAnsi="仿宋" w:eastAsia="仿宋"/>
          <w:sz w:val="24"/>
          <w:szCs w:val="24"/>
        </w:rPr>
        <w:t>（二）特定资格条件</w:t>
      </w:r>
    </w:p>
    <w:p w14:paraId="53F1BE02">
      <w:pPr>
        <w:snapToGrid w:val="0"/>
        <w:spacing w:line="360" w:lineRule="auto"/>
        <w:ind w:firstLine="480" w:firstLineChars="200"/>
        <w:rPr>
          <w:rFonts w:hint="eastAsia" w:ascii="仿宋" w:hAnsi="仿宋" w:eastAsia="仿宋"/>
          <w:sz w:val="24"/>
          <w:szCs w:val="24"/>
        </w:rPr>
      </w:pPr>
      <w:bookmarkStart w:id="19" w:name="_Toc551"/>
      <w:bookmarkStart w:id="20" w:name="_Toc3998"/>
      <w:r>
        <w:rPr>
          <w:rFonts w:hint="eastAsia" w:ascii="仿宋" w:hAnsi="仿宋" w:eastAsia="仿宋"/>
          <w:sz w:val="24"/>
          <w:szCs w:val="24"/>
        </w:rPr>
        <w:t>具备省级（含直辖市）及以上测绘主管部门颁发的甲级及以上测绘资质（提供资质复印件并加盖供应商公章）。</w:t>
      </w:r>
    </w:p>
    <w:p w14:paraId="6038F787">
      <w:pPr>
        <w:pStyle w:val="3"/>
        <w:spacing w:before="0" w:after="0" w:line="360" w:lineRule="auto"/>
        <w:rPr>
          <w:rFonts w:hint="eastAsia" w:ascii="仿宋" w:hAnsi="仿宋" w:eastAsia="仿宋"/>
          <w:sz w:val="24"/>
          <w:szCs w:val="24"/>
        </w:rPr>
      </w:pPr>
      <w:r>
        <w:rPr>
          <w:rFonts w:hint="eastAsia" w:ascii="仿宋" w:hAnsi="仿宋" w:eastAsia="仿宋"/>
          <w:sz w:val="24"/>
          <w:szCs w:val="24"/>
        </w:rPr>
        <w:t>四、磋商有关说明</w:t>
      </w:r>
      <w:bookmarkEnd w:id="4"/>
      <w:bookmarkEnd w:id="19"/>
      <w:bookmarkEnd w:id="20"/>
    </w:p>
    <w:p w14:paraId="2B571364">
      <w:pPr>
        <w:spacing w:line="360" w:lineRule="auto"/>
        <w:ind w:firstLine="480" w:firstLineChars="200"/>
        <w:rPr>
          <w:rFonts w:hint="eastAsia" w:ascii="仿宋" w:hAnsi="仿宋" w:eastAsia="仿宋"/>
          <w:sz w:val="24"/>
          <w:szCs w:val="24"/>
        </w:rPr>
      </w:pPr>
      <w:bookmarkStart w:id="21" w:name="_Toc373860294"/>
      <w:r>
        <w:rPr>
          <w:rFonts w:hint="eastAsia" w:ascii="仿宋" w:hAnsi="仿宋" w:eastAsia="仿宋"/>
          <w:sz w:val="24"/>
          <w:szCs w:val="24"/>
        </w:rPr>
        <w:t>（一）凡有意参加磋商的供应商，请于公告发布之日起至提交首次响应文件截止时间之前，在“行采家”平台（http://www.gec123.com）网上下载本项目磋商文件以及图纸、补遗等开标前公布的所有项目资料，无论供应商领取或下载与否，均视为已知晓所有磋商内容。</w:t>
      </w:r>
    </w:p>
    <w:p w14:paraId="2D13EF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（二）竞争性磋商公告期限：自采购公告发布之日起三个工作日。</w:t>
      </w:r>
    </w:p>
    <w:p w14:paraId="66C4B99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（三）竞争性磋商文件发售期限： </w:t>
      </w:r>
    </w:p>
    <w:p w14:paraId="42A0BF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1.竞争性磋商文件发售期：2025年4月</w:t>
      </w:r>
      <w:r>
        <w:rPr>
          <w:rFonts w:hint="eastAsia" w:ascii="仿宋" w:hAnsi="仿宋" w:eastAsia="仿宋" w:cs="仿宋"/>
          <w:sz w:val="24"/>
          <w:szCs w:val="24"/>
          <w:lang w:val="en-US" w:eastAsia="zh-CN"/>
        </w:rPr>
        <w:t>3</w:t>
      </w:r>
      <w:r>
        <w:rPr>
          <w:rFonts w:hint="eastAsia" w:ascii="仿宋" w:hAnsi="仿宋" w:eastAsia="仿宋" w:cs="仿宋"/>
          <w:sz w:val="24"/>
          <w:szCs w:val="24"/>
        </w:rPr>
        <w:t>日至2025年4月</w:t>
      </w:r>
      <w:r>
        <w:rPr>
          <w:rFonts w:hint="eastAsia" w:ascii="仿宋" w:hAnsi="仿宋" w:eastAsia="仿宋" w:cs="仿宋"/>
          <w:sz w:val="24"/>
          <w:szCs w:val="24"/>
          <w:lang w:val="en-US" w:eastAsia="zh-CN"/>
        </w:rPr>
        <w:t>11</w:t>
      </w:r>
      <w:r>
        <w:rPr>
          <w:rFonts w:hint="eastAsia" w:ascii="仿宋" w:hAnsi="仿宋" w:eastAsia="仿宋" w:cs="仿宋"/>
          <w:sz w:val="24"/>
          <w:szCs w:val="24"/>
        </w:rPr>
        <w:t>日17:00前。</w:t>
      </w:r>
    </w:p>
    <w:p w14:paraId="74F21B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2.报名方式：在报名和竞争性磋商文件发售期内递交了《重庆博咨项目管理有限公司采购文件发售登记表》的供应商，其报名才被接收。</w:t>
      </w:r>
    </w:p>
    <w:p w14:paraId="3068F7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2.1非现场报名方式：</w:t>
      </w:r>
    </w:p>
    <w:p w14:paraId="493E8A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供应商在报名和竞争性磋商文件发售期内将《重庆博咨项目管理有限公司采购文件发售登记表》（加盖供应商公章）扫描后发送至2672287626@qq.com（邮箱）。</w:t>
      </w:r>
    </w:p>
    <w:p w14:paraId="0A85AE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2.2现场报名方式：</w:t>
      </w:r>
    </w:p>
    <w:p w14:paraId="1656954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现场报名地点：供应商在报名和竞争性磋商文件发售期内持《重庆博咨项目管理有限公司采购文件发售登记表》（加盖供应商公章）至重庆市渝北区杨柳北路9号力华科谷C区508报名。</w:t>
      </w:r>
    </w:p>
    <w:p w14:paraId="362CC9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3.竞争性磋商文件售价：人民币300元/份（售后不退）。</w:t>
      </w:r>
    </w:p>
    <w:p w14:paraId="4C20E03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备注：各供应商须在报名和竞争性磋商文件发售期内报名，才具备竞标资格。</w:t>
      </w:r>
    </w:p>
    <w:p w14:paraId="5A868F0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（四）递交响应文件地点：重庆市南岸区规划和自然资源局（重庆市南岸区花红路6号2幢）。</w:t>
      </w:r>
    </w:p>
    <w:p w14:paraId="5EAF9E8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（五）响应文件递交开始时间：2025年4月</w:t>
      </w:r>
      <w:r>
        <w:rPr>
          <w:rFonts w:hint="eastAsia" w:ascii="仿宋" w:hAnsi="仿宋" w:eastAsia="仿宋" w:cs="仿宋"/>
          <w:sz w:val="24"/>
          <w:szCs w:val="24"/>
          <w:lang w:val="en-US" w:eastAsia="zh-CN"/>
        </w:rPr>
        <w:t>15</w:t>
      </w:r>
      <w:r>
        <w:rPr>
          <w:rFonts w:hint="eastAsia" w:ascii="仿宋" w:hAnsi="仿宋" w:eastAsia="仿宋" w:cs="仿宋"/>
          <w:sz w:val="24"/>
          <w:szCs w:val="24"/>
        </w:rPr>
        <w:t>日14:00北京时间。</w:t>
      </w:r>
    </w:p>
    <w:p w14:paraId="31A7B7E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（六）响应文件递交截止时间：2025年4月</w:t>
      </w:r>
      <w:r>
        <w:rPr>
          <w:rFonts w:hint="eastAsia" w:ascii="仿宋" w:hAnsi="仿宋" w:eastAsia="仿宋" w:cs="仿宋"/>
          <w:sz w:val="24"/>
          <w:szCs w:val="24"/>
          <w:lang w:val="en-US" w:eastAsia="zh-CN"/>
        </w:rPr>
        <w:t>15</w:t>
      </w:r>
      <w:r>
        <w:rPr>
          <w:rFonts w:hint="eastAsia" w:ascii="仿宋" w:hAnsi="仿宋" w:eastAsia="仿宋" w:cs="仿宋"/>
          <w:sz w:val="24"/>
          <w:szCs w:val="24"/>
        </w:rPr>
        <w:t>日14:30北京时间。</w:t>
      </w:r>
    </w:p>
    <w:p w14:paraId="548DD55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（七）磋商开始时间：2025年4月</w:t>
      </w:r>
      <w:r>
        <w:rPr>
          <w:rFonts w:hint="eastAsia" w:ascii="仿宋" w:hAnsi="仿宋" w:eastAsia="仿宋" w:cs="仿宋"/>
          <w:sz w:val="24"/>
          <w:szCs w:val="24"/>
          <w:lang w:val="en-US" w:eastAsia="zh-CN"/>
        </w:rPr>
        <w:t>15</w:t>
      </w:r>
      <w:r>
        <w:rPr>
          <w:rFonts w:hint="eastAsia" w:ascii="仿宋" w:hAnsi="仿宋" w:eastAsia="仿宋" w:cs="仿宋"/>
          <w:sz w:val="24"/>
          <w:szCs w:val="24"/>
        </w:rPr>
        <w:t>日14:30北京时间。</w:t>
      </w:r>
    </w:p>
    <w:p w14:paraId="3B6CAEC0">
      <w:pPr>
        <w:pStyle w:val="3"/>
        <w:spacing w:before="0" w:after="0" w:line="360" w:lineRule="auto"/>
        <w:rPr>
          <w:rFonts w:hint="eastAsia" w:ascii="仿宋" w:hAnsi="仿宋" w:eastAsia="仿宋"/>
          <w:sz w:val="24"/>
          <w:szCs w:val="24"/>
        </w:rPr>
      </w:pPr>
      <w:bookmarkStart w:id="22" w:name="_Toc920"/>
      <w:bookmarkStart w:id="23" w:name="_Toc10901"/>
      <w:r>
        <w:rPr>
          <w:rFonts w:hint="eastAsia" w:ascii="仿宋" w:hAnsi="仿宋" w:eastAsia="仿宋"/>
          <w:sz w:val="24"/>
          <w:szCs w:val="24"/>
        </w:rPr>
        <w:t>五、磋商保证金</w:t>
      </w:r>
      <w:bookmarkEnd w:id="21"/>
      <w:bookmarkEnd w:id="22"/>
      <w:bookmarkEnd w:id="23"/>
    </w:p>
    <w:p w14:paraId="42378EE7">
      <w:pPr>
        <w:snapToGrid w:val="0"/>
        <w:spacing w:line="360" w:lineRule="auto"/>
        <w:ind w:firstLine="480" w:firstLineChars="200"/>
        <w:rPr>
          <w:rFonts w:hint="eastAsia" w:ascii="仿宋" w:hAnsi="仿宋" w:eastAsia="仿宋"/>
          <w:sz w:val="24"/>
          <w:szCs w:val="24"/>
        </w:rPr>
      </w:pPr>
      <w:bookmarkStart w:id="24" w:name="_Toc479668114"/>
      <w:r>
        <w:rPr>
          <w:rFonts w:hint="eastAsia" w:ascii="仿宋" w:hAnsi="仿宋" w:eastAsia="仿宋"/>
          <w:sz w:val="24"/>
          <w:szCs w:val="24"/>
        </w:rPr>
        <w:t>无。</w:t>
      </w:r>
      <w:bookmarkEnd w:id="24"/>
    </w:p>
    <w:p w14:paraId="5BAFC586">
      <w:pPr>
        <w:pStyle w:val="3"/>
        <w:spacing w:before="0" w:after="0" w:line="360" w:lineRule="auto"/>
        <w:rPr>
          <w:rFonts w:hint="eastAsia" w:ascii="仿宋" w:hAnsi="仿宋" w:eastAsia="仿宋"/>
          <w:sz w:val="24"/>
          <w:szCs w:val="24"/>
        </w:rPr>
      </w:pPr>
      <w:bookmarkStart w:id="25" w:name="_Toc8584"/>
      <w:bookmarkStart w:id="26" w:name="_Toc30276"/>
      <w:r>
        <w:rPr>
          <w:rFonts w:hint="eastAsia" w:ascii="仿宋" w:hAnsi="仿宋" w:eastAsia="仿宋"/>
          <w:sz w:val="24"/>
          <w:szCs w:val="24"/>
        </w:rPr>
        <w:t>六、</w:t>
      </w:r>
      <w:bookmarkEnd w:id="5"/>
      <w:bookmarkStart w:id="27" w:name="_Toc20806"/>
      <w:r>
        <w:rPr>
          <w:rFonts w:hint="eastAsia" w:ascii="仿宋" w:hAnsi="仿宋" w:eastAsia="仿宋"/>
          <w:sz w:val="24"/>
          <w:szCs w:val="24"/>
        </w:rPr>
        <w:t>采购项目需落实的政府采购政策</w:t>
      </w:r>
      <w:bookmarkEnd w:id="25"/>
      <w:bookmarkEnd w:id="26"/>
      <w:bookmarkEnd w:id="27"/>
    </w:p>
    <w:p w14:paraId="2A5C81A1">
      <w:pPr>
        <w:snapToGrid w:val="0"/>
        <w:spacing w:line="360" w:lineRule="auto"/>
        <w:ind w:firstLine="480" w:firstLineChars="200"/>
        <w:rPr>
          <w:rFonts w:hint="eastAsia" w:ascii="仿宋" w:hAnsi="仿宋" w:eastAsia="仿宋"/>
          <w:sz w:val="24"/>
          <w:szCs w:val="24"/>
        </w:rPr>
      </w:pPr>
      <w:bookmarkStart w:id="28" w:name="_Toc167"/>
      <w:bookmarkStart w:id="29" w:name="_Toc14118"/>
      <w:r>
        <w:rPr>
          <w:rFonts w:hint="eastAsia" w:ascii="仿宋" w:hAnsi="仿宋" w:eastAsia="仿宋"/>
          <w:sz w:val="24"/>
          <w:szCs w:val="24"/>
        </w:rPr>
        <w:t>无。</w:t>
      </w:r>
    </w:p>
    <w:p w14:paraId="1C10318C">
      <w:pPr>
        <w:pStyle w:val="3"/>
        <w:spacing w:before="0" w:after="0" w:line="360" w:lineRule="auto"/>
        <w:rPr>
          <w:rFonts w:hint="eastAsia" w:ascii="仿宋" w:hAnsi="仿宋" w:eastAsia="仿宋"/>
          <w:sz w:val="24"/>
          <w:szCs w:val="24"/>
        </w:rPr>
      </w:pPr>
      <w:r>
        <w:rPr>
          <w:rFonts w:hint="eastAsia" w:ascii="仿宋" w:hAnsi="仿宋" w:eastAsia="仿宋"/>
          <w:sz w:val="24"/>
          <w:szCs w:val="24"/>
        </w:rPr>
        <w:t>七、其它有关规定</w:t>
      </w:r>
      <w:bookmarkEnd w:id="28"/>
      <w:bookmarkEnd w:id="29"/>
    </w:p>
    <w:p w14:paraId="3BDFE6EB">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（一）单位负责人为同一人或者存在直接控股、管理关系的不同供应商，不得参加同一合同项（包）下的政府采购活动，否则均为无效响应。</w:t>
      </w:r>
    </w:p>
    <w:p w14:paraId="1BF1A9CA">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14:paraId="4F5E7AAB">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（三）本项目的澄清文件（如果有）</w:t>
      </w:r>
      <w:r>
        <w:rPr>
          <w:rFonts w:hint="eastAsia" w:ascii="仿宋" w:hAnsi="仿宋" w:eastAsia="仿宋"/>
          <w:sz w:val="24"/>
          <w:szCs w:val="24"/>
        </w:rPr>
        <w:t>一律在“行采家”平台（http://www.gec123.com）</w:t>
      </w:r>
      <w:r>
        <w:rPr>
          <w:rFonts w:hint="eastAsia" w:ascii="仿宋" w:hAnsi="仿宋" w:eastAsia="仿宋" w:cs="仿宋"/>
          <w:sz w:val="24"/>
          <w:szCs w:val="24"/>
        </w:rPr>
        <w:t>上发布，请各供应商注意下载或到采购代理机构处领取；无论供应商下载或领取与否，均视同供应商已知晓本项目澄清文件（如果有）的内容。</w:t>
      </w:r>
    </w:p>
    <w:p w14:paraId="440E3A86">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（四）超过响应文件截止时间递交的响应文件，恕不接收。</w:t>
      </w:r>
    </w:p>
    <w:p w14:paraId="142E103A">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（五）磋商费用：无论磋商结果如何，供应商参与本项目磋商的所有费用均应由供应商自行承担。</w:t>
      </w:r>
    </w:p>
    <w:p w14:paraId="71DAF1DC">
      <w:pPr>
        <w:snapToGrid w:val="0"/>
        <w:spacing w:line="360" w:lineRule="auto"/>
        <w:ind w:firstLine="361" w:firstLineChars="150"/>
        <w:rPr>
          <w:rFonts w:hint="eastAsia" w:ascii="仿宋" w:hAnsi="仿宋" w:eastAsia="仿宋" w:cs="仿宋"/>
          <w:b/>
          <w:bCs/>
          <w:sz w:val="24"/>
          <w:szCs w:val="24"/>
        </w:rPr>
      </w:pPr>
      <w:r>
        <w:rPr>
          <w:rFonts w:hint="eastAsia" w:ascii="仿宋" w:hAnsi="仿宋" w:eastAsia="仿宋" w:cs="仿宋"/>
          <w:b/>
          <w:bCs/>
          <w:sz w:val="24"/>
          <w:szCs w:val="24"/>
        </w:rPr>
        <w:t>（六）本项目不接受联合体参与磋商。</w:t>
      </w:r>
    </w:p>
    <w:p w14:paraId="0C41F8D0">
      <w:pPr>
        <w:snapToGrid w:val="0"/>
        <w:spacing w:line="360" w:lineRule="auto"/>
        <w:ind w:firstLine="361" w:firstLineChars="150"/>
        <w:rPr>
          <w:rFonts w:hint="eastAsia" w:ascii="仿宋" w:hAnsi="仿宋" w:eastAsia="仿宋" w:cs="仿宋"/>
          <w:b/>
          <w:bCs/>
          <w:sz w:val="24"/>
          <w:szCs w:val="24"/>
        </w:rPr>
      </w:pPr>
      <w:r>
        <w:rPr>
          <w:rFonts w:hint="eastAsia" w:ascii="仿宋" w:hAnsi="仿宋" w:eastAsia="仿宋" w:cs="仿宋"/>
          <w:b/>
          <w:bCs/>
          <w:sz w:val="24"/>
          <w:szCs w:val="24"/>
        </w:rPr>
        <w:t>（七）本项目不接受合同分包，否则按无效处理。</w:t>
      </w:r>
    </w:p>
    <w:p w14:paraId="011226C6">
      <w:pPr>
        <w:snapToGrid w:val="0"/>
        <w:spacing w:line="360" w:lineRule="auto"/>
        <w:ind w:firstLine="360" w:firstLineChars="150"/>
        <w:rPr>
          <w:rFonts w:hint="eastAsia" w:ascii="仿宋" w:hAnsi="仿宋" w:eastAsia="仿宋"/>
          <w:bCs/>
          <w:sz w:val="24"/>
          <w:szCs w:val="24"/>
        </w:rPr>
      </w:pPr>
      <w:r>
        <w:rPr>
          <w:rFonts w:hint="eastAsia" w:ascii="仿宋" w:hAnsi="仿宋" w:eastAsia="仿宋" w:cs="仿宋"/>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仿宋" w:hAnsi="仿宋" w:eastAsia="仿宋"/>
          <w:bCs/>
          <w:sz w:val="24"/>
          <w:szCs w:val="24"/>
        </w:rPr>
        <w:t>。</w:t>
      </w:r>
    </w:p>
    <w:p w14:paraId="507C382C">
      <w:pPr>
        <w:pStyle w:val="3"/>
        <w:spacing w:before="0" w:after="0" w:line="360" w:lineRule="auto"/>
        <w:rPr>
          <w:rFonts w:hint="eastAsia" w:ascii="仿宋" w:hAnsi="仿宋" w:eastAsia="仿宋"/>
          <w:sz w:val="24"/>
          <w:szCs w:val="24"/>
        </w:rPr>
      </w:pPr>
      <w:bookmarkStart w:id="30" w:name="_Toc6482"/>
      <w:bookmarkStart w:id="31" w:name="_Toc23491"/>
      <w:r>
        <w:rPr>
          <w:rFonts w:hint="eastAsia" w:ascii="仿宋" w:hAnsi="仿宋" w:eastAsia="仿宋"/>
          <w:sz w:val="24"/>
          <w:szCs w:val="24"/>
        </w:rPr>
        <w:t>八、联系方式</w:t>
      </w:r>
      <w:bookmarkEnd w:id="30"/>
      <w:bookmarkEnd w:id="31"/>
    </w:p>
    <w:p w14:paraId="5CBD4650">
      <w:pPr>
        <w:snapToGrid w:val="0"/>
        <w:spacing w:line="360" w:lineRule="auto"/>
        <w:ind w:firstLine="480" w:firstLineChars="200"/>
        <w:outlineLvl w:val="2"/>
        <w:rPr>
          <w:rFonts w:ascii="仿宋" w:hAnsi="仿宋" w:eastAsia="仿宋"/>
          <w:sz w:val="24"/>
          <w:szCs w:val="24"/>
        </w:rPr>
      </w:pPr>
      <w:r>
        <w:rPr>
          <w:rFonts w:hint="eastAsia" w:ascii="仿宋" w:hAnsi="仿宋" w:eastAsia="仿宋"/>
          <w:sz w:val="24"/>
          <w:szCs w:val="24"/>
        </w:rPr>
        <w:t>（一）采购人：重庆市南岸区规划和自然资源局</w:t>
      </w:r>
    </w:p>
    <w:p w14:paraId="5986C343">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联系人：冯老师   </w:t>
      </w:r>
    </w:p>
    <w:p w14:paraId="4B0EC90B">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电  话：023-62800025</w:t>
      </w:r>
    </w:p>
    <w:p w14:paraId="1094A96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地  址：重庆市南岸区花红路6号2幢 </w:t>
      </w:r>
    </w:p>
    <w:p w14:paraId="4F643BED">
      <w:pPr>
        <w:snapToGrid w:val="0"/>
        <w:spacing w:line="360" w:lineRule="auto"/>
        <w:ind w:firstLine="480" w:firstLineChars="200"/>
        <w:outlineLvl w:val="2"/>
        <w:rPr>
          <w:rFonts w:hint="eastAsia" w:ascii="仿宋" w:hAnsi="仿宋" w:eastAsia="仿宋"/>
          <w:sz w:val="24"/>
          <w:szCs w:val="24"/>
        </w:rPr>
      </w:pPr>
      <w:r>
        <w:rPr>
          <w:rFonts w:hint="eastAsia" w:ascii="仿宋" w:hAnsi="仿宋" w:eastAsia="仿宋"/>
          <w:sz w:val="24"/>
          <w:szCs w:val="24"/>
        </w:rPr>
        <w:t>（二）采购代理机构：重庆博咨项目管理有限公司</w:t>
      </w:r>
    </w:p>
    <w:p w14:paraId="04E30419">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联系人：周老师</w:t>
      </w:r>
    </w:p>
    <w:p w14:paraId="534CD68D">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电  话：023-65906423</w:t>
      </w:r>
    </w:p>
    <w:p w14:paraId="611A03D0">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地  址：重庆市渝北区杨柳北路9号力华科谷C区508</w:t>
      </w:r>
    </w:p>
    <w:p w14:paraId="1538BA36"/>
    <w:p w14:paraId="5FB7743E"/>
    <w:p w14:paraId="5FA60EC0"/>
    <w:p w14:paraId="2EF97A07"/>
    <w:p w14:paraId="6213A4E2"/>
    <w:p w14:paraId="201E0365">
      <w:pPr>
        <w:snapToGrid w:val="0"/>
        <w:spacing w:line="440" w:lineRule="exact"/>
        <w:rPr>
          <w:rFonts w:hint="eastAsia" w:ascii="仿宋" w:hAnsi="仿宋" w:eastAsia="仿宋" w:cs="仿宋"/>
          <w:sz w:val="24"/>
          <w:szCs w:val="24"/>
        </w:rPr>
      </w:pPr>
      <w:r>
        <w:rPr>
          <w:rFonts w:hint="eastAsia" w:ascii="仿宋" w:hAnsi="仿宋" w:eastAsia="仿宋" w:cs="仿宋"/>
          <w:sz w:val="24"/>
          <w:szCs w:val="24"/>
        </w:rPr>
        <w:t>附表：重庆博咨项目管理有限公司采购文件发售登记表</w:t>
      </w:r>
    </w:p>
    <w:p w14:paraId="13895BE9">
      <w:pPr>
        <w:jc w:val="center"/>
        <w:rPr>
          <w:rFonts w:hint="eastAsia"/>
          <w:b/>
          <w:bCs/>
          <w:sz w:val="36"/>
          <w:szCs w:val="36"/>
        </w:rPr>
      </w:pPr>
    </w:p>
    <w:p w14:paraId="63B107AB">
      <w:pPr>
        <w:jc w:val="center"/>
        <w:outlineLvl w:val="1"/>
        <w:rPr>
          <w:rFonts w:hint="eastAsia"/>
          <w:b/>
          <w:bCs/>
          <w:sz w:val="36"/>
          <w:szCs w:val="36"/>
        </w:rPr>
      </w:pPr>
      <w:r>
        <w:rPr>
          <w:rFonts w:hint="eastAsia"/>
          <w:b/>
          <w:bCs/>
          <w:sz w:val="36"/>
          <w:szCs w:val="36"/>
        </w:rPr>
        <w:t>重庆博咨项目管理有限公司采购文件发售登记表</w:t>
      </w:r>
    </w:p>
    <w:p w14:paraId="685A4A45">
      <w:pPr>
        <w:ind w:firstLine="600" w:firstLineChars="200"/>
        <w:rPr>
          <w:rFonts w:hint="eastAsia"/>
          <w:sz w:val="30"/>
          <w:szCs w:val="30"/>
        </w:rPr>
      </w:pPr>
    </w:p>
    <w:tbl>
      <w:tblPr>
        <w:tblStyle w:val="6"/>
        <w:tblW w:w="0" w:type="auto"/>
        <w:tblInd w:w="27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1944"/>
        <w:gridCol w:w="1054"/>
        <w:gridCol w:w="3623"/>
      </w:tblGrid>
      <w:tr w14:paraId="44B69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079" w:type="dxa"/>
            <w:noWrap w:val="0"/>
            <w:vAlign w:val="center"/>
          </w:tcPr>
          <w:p w14:paraId="1976C107">
            <w:pPr>
              <w:jc w:val="center"/>
              <w:rPr>
                <w:rFonts w:hint="eastAsia"/>
                <w:sz w:val="30"/>
                <w:szCs w:val="30"/>
              </w:rPr>
            </w:pPr>
            <w:r>
              <w:rPr>
                <w:rFonts w:hint="eastAsia"/>
                <w:sz w:val="30"/>
                <w:szCs w:val="30"/>
              </w:rPr>
              <w:t>项目编号</w:t>
            </w:r>
          </w:p>
        </w:tc>
        <w:tc>
          <w:tcPr>
            <w:tcW w:w="6621" w:type="dxa"/>
            <w:gridSpan w:val="3"/>
            <w:noWrap w:val="0"/>
            <w:vAlign w:val="center"/>
          </w:tcPr>
          <w:p w14:paraId="38883572">
            <w:pPr>
              <w:jc w:val="center"/>
              <w:rPr>
                <w:rFonts w:hint="eastAsia"/>
                <w:sz w:val="30"/>
                <w:szCs w:val="30"/>
              </w:rPr>
            </w:pPr>
          </w:p>
        </w:tc>
      </w:tr>
      <w:tr w14:paraId="4DD22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079" w:type="dxa"/>
            <w:noWrap w:val="0"/>
            <w:vAlign w:val="center"/>
          </w:tcPr>
          <w:p w14:paraId="452B48B6">
            <w:pPr>
              <w:jc w:val="center"/>
              <w:rPr>
                <w:rFonts w:hint="eastAsia"/>
                <w:sz w:val="30"/>
                <w:szCs w:val="30"/>
              </w:rPr>
            </w:pPr>
            <w:r>
              <w:rPr>
                <w:rFonts w:hint="eastAsia"/>
                <w:sz w:val="30"/>
                <w:szCs w:val="30"/>
              </w:rPr>
              <w:t>项目名称</w:t>
            </w:r>
          </w:p>
        </w:tc>
        <w:tc>
          <w:tcPr>
            <w:tcW w:w="6621" w:type="dxa"/>
            <w:gridSpan w:val="3"/>
            <w:noWrap w:val="0"/>
            <w:vAlign w:val="center"/>
          </w:tcPr>
          <w:p w14:paraId="10242E27">
            <w:pPr>
              <w:jc w:val="center"/>
              <w:rPr>
                <w:rFonts w:hint="eastAsia"/>
                <w:sz w:val="30"/>
                <w:szCs w:val="30"/>
              </w:rPr>
            </w:pPr>
          </w:p>
        </w:tc>
      </w:tr>
      <w:tr w14:paraId="7680D2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079" w:type="dxa"/>
            <w:noWrap w:val="0"/>
            <w:vAlign w:val="center"/>
          </w:tcPr>
          <w:p w14:paraId="25FC35D1">
            <w:pPr>
              <w:jc w:val="center"/>
              <w:rPr>
                <w:rFonts w:hint="eastAsia"/>
                <w:sz w:val="30"/>
                <w:szCs w:val="30"/>
              </w:rPr>
            </w:pPr>
            <w:r>
              <w:rPr>
                <w:rFonts w:hint="eastAsia"/>
                <w:sz w:val="30"/>
                <w:szCs w:val="30"/>
              </w:rPr>
              <w:t>供应商名称</w:t>
            </w:r>
          </w:p>
        </w:tc>
        <w:tc>
          <w:tcPr>
            <w:tcW w:w="6621" w:type="dxa"/>
            <w:gridSpan w:val="3"/>
            <w:noWrap w:val="0"/>
            <w:vAlign w:val="bottom"/>
          </w:tcPr>
          <w:p w14:paraId="3AB84653">
            <w:pPr>
              <w:jc w:val="center"/>
              <w:rPr>
                <w:sz w:val="30"/>
                <w:szCs w:val="30"/>
              </w:rPr>
            </w:pPr>
          </w:p>
          <w:p w14:paraId="6E971601">
            <w:pPr>
              <w:jc w:val="right"/>
              <w:rPr>
                <w:sz w:val="30"/>
                <w:szCs w:val="30"/>
              </w:rPr>
            </w:pPr>
          </w:p>
          <w:p w14:paraId="13928065">
            <w:pPr>
              <w:jc w:val="right"/>
              <w:rPr>
                <w:sz w:val="30"/>
                <w:szCs w:val="30"/>
              </w:rPr>
            </w:pPr>
          </w:p>
          <w:p w14:paraId="1F45628B">
            <w:pPr>
              <w:jc w:val="right"/>
              <w:rPr>
                <w:sz w:val="30"/>
                <w:szCs w:val="30"/>
              </w:rPr>
            </w:pPr>
          </w:p>
          <w:p w14:paraId="6FDCD7D3">
            <w:pPr>
              <w:jc w:val="right"/>
              <w:rPr>
                <w:rFonts w:hint="eastAsia"/>
                <w:sz w:val="30"/>
                <w:szCs w:val="30"/>
              </w:rPr>
            </w:pPr>
            <w:r>
              <w:rPr>
                <w:rFonts w:hint="eastAsia"/>
                <w:sz w:val="30"/>
                <w:szCs w:val="30"/>
              </w:rPr>
              <w:t>（公章）</w:t>
            </w:r>
          </w:p>
        </w:tc>
      </w:tr>
      <w:tr w14:paraId="41C95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079" w:type="dxa"/>
            <w:noWrap w:val="0"/>
            <w:vAlign w:val="center"/>
          </w:tcPr>
          <w:p w14:paraId="5C83742C">
            <w:pPr>
              <w:jc w:val="center"/>
              <w:rPr>
                <w:rFonts w:hint="eastAsia"/>
                <w:sz w:val="30"/>
                <w:szCs w:val="30"/>
              </w:rPr>
            </w:pPr>
            <w:r>
              <w:rPr>
                <w:rFonts w:hint="eastAsia"/>
                <w:sz w:val="30"/>
                <w:szCs w:val="30"/>
              </w:rPr>
              <w:t>联系人</w:t>
            </w:r>
          </w:p>
        </w:tc>
        <w:tc>
          <w:tcPr>
            <w:tcW w:w="1944" w:type="dxa"/>
            <w:noWrap w:val="0"/>
            <w:vAlign w:val="center"/>
          </w:tcPr>
          <w:p w14:paraId="7FC98708">
            <w:pPr>
              <w:jc w:val="left"/>
              <w:rPr>
                <w:rFonts w:hint="eastAsia"/>
                <w:sz w:val="30"/>
                <w:szCs w:val="30"/>
              </w:rPr>
            </w:pPr>
          </w:p>
        </w:tc>
        <w:tc>
          <w:tcPr>
            <w:tcW w:w="1054" w:type="dxa"/>
            <w:noWrap w:val="0"/>
            <w:vAlign w:val="center"/>
          </w:tcPr>
          <w:p w14:paraId="276E20E4">
            <w:pPr>
              <w:jc w:val="center"/>
              <w:rPr>
                <w:rFonts w:hint="eastAsia"/>
                <w:sz w:val="30"/>
                <w:szCs w:val="30"/>
              </w:rPr>
            </w:pPr>
            <w:r>
              <w:rPr>
                <w:rFonts w:hint="eastAsia"/>
                <w:sz w:val="30"/>
                <w:szCs w:val="30"/>
              </w:rPr>
              <w:t>手机</w:t>
            </w:r>
          </w:p>
        </w:tc>
        <w:tc>
          <w:tcPr>
            <w:tcW w:w="3623" w:type="dxa"/>
            <w:noWrap w:val="0"/>
            <w:vAlign w:val="center"/>
          </w:tcPr>
          <w:p w14:paraId="18E77CAD">
            <w:pPr>
              <w:jc w:val="left"/>
              <w:rPr>
                <w:rFonts w:hint="eastAsia"/>
                <w:sz w:val="30"/>
                <w:szCs w:val="30"/>
              </w:rPr>
            </w:pPr>
          </w:p>
        </w:tc>
      </w:tr>
      <w:tr w14:paraId="72B7D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079" w:type="dxa"/>
            <w:noWrap w:val="0"/>
            <w:vAlign w:val="center"/>
          </w:tcPr>
          <w:p w14:paraId="621BC5BA">
            <w:pPr>
              <w:jc w:val="center"/>
              <w:rPr>
                <w:rFonts w:hint="eastAsia"/>
                <w:sz w:val="30"/>
                <w:szCs w:val="30"/>
              </w:rPr>
            </w:pPr>
            <w:r>
              <w:rPr>
                <w:rFonts w:hint="eastAsia"/>
                <w:sz w:val="30"/>
                <w:szCs w:val="30"/>
              </w:rPr>
              <w:t>办公电话</w:t>
            </w:r>
          </w:p>
        </w:tc>
        <w:tc>
          <w:tcPr>
            <w:tcW w:w="1944" w:type="dxa"/>
            <w:noWrap w:val="0"/>
            <w:vAlign w:val="center"/>
          </w:tcPr>
          <w:p w14:paraId="42A1F8EB">
            <w:pPr>
              <w:jc w:val="left"/>
              <w:rPr>
                <w:sz w:val="30"/>
                <w:szCs w:val="30"/>
              </w:rPr>
            </w:pPr>
          </w:p>
          <w:p w14:paraId="01AF440C">
            <w:pPr>
              <w:jc w:val="left"/>
              <w:rPr>
                <w:rFonts w:hint="eastAsia"/>
                <w:sz w:val="30"/>
                <w:szCs w:val="30"/>
              </w:rPr>
            </w:pPr>
          </w:p>
        </w:tc>
        <w:tc>
          <w:tcPr>
            <w:tcW w:w="1054" w:type="dxa"/>
            <w:noWrap w:val="0"/>
            <w:vAlign w:val="center"/>
          </w:tcPr>
          <w:p w14:paraId="44482186">
            <w:pPr>
              <w:jc w:val="center"/>
              <w:rPr>
                <w:rFonts w:hint="eastAsia"/>
                <w:sz w:val="30"/>
                <w:szCs w:val="30"/>
              </w:rPr>
            </w:pPr>
            <w:r>
              <w:rPr>
                <w:rFonts w:hint="eastAsia"/>
                <w:sz w:val="30"/>
                <w:szCs w:val="30"/>
              </w:rPr>
              <w:t>传真</w:t>
            </w:r>
          </w:p>
        </w:tc>
        <w:tc>
          <w:tcPr>
            <w:tcW w:w="3623" w:type="dxa"/>
            <w:noWrap w:val="0"/>
            <w:vAlign w:val="center"/>
          </w:tcPr>
          <w:p w14:paraId="779397B4">
            <w:pPr>
              <w:jc w:val="left"/>
              <w:rPr>
                <w:rFonts w:hint="eastAsia"/>
                <w:sz w:val="30"/>
                <w:szCs w:val="30"/>
              </w:rPr>
            </w:pPr>
          </w:p>
        </w:tc>
      </w:tr>
      <w:tr w14:paraId="63977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66" w:hRule="atLeast"/>
        </w:trPr>
        <w:tc>
          <w:tcPr>
            <w:tcW w:w="2079" w:type="dxa"/>
            <w:noWrap w:val="0"/>
            <w:vAlign w:val="center"/>
          </w:tcPr>
          <w:p w14:paraId="6BC0EE33">
            <w:pPr>
              <w:jc w:val="center"/>
              <w:rPr>
                <w:rFonts w:hint="eastAsia"/>
                <w:sz w:val="30"/>
                <w:szCs w:val="30"/>
              </w:rPr>
            </w:pPr>
            <w:r>
              <w:rPr>
                <w:rFonts w:hint="eastAsia"/>
                <w:sz w:val="30"/>
                <w:szCs w:val="30"/>
              </w:rPr>
              <w:t>E-mail</w:t>
            </w:r>
          </w:p>
        </w:tc>
        <w:tc>
          <w:tcPr>
            <w:tcW w:w="6621" w:type="dxa"/>
            <w:gridSpan w:val="3"/>
            <w:noWrap w:val="0"/>
            <w:vAlign w:val="center"/>
          </w:tcPr>
          <w:p w14:paraId="2770514F">
            <w:pPr>
              <w:jc w:val="left"/>
              <w:rPr>
                <w:sz w:val="30"/>
                <w:szCs w:val="30"/>
              </w:rPr>
            </w:pPr>
          </w:p>
          <w:p w14:paraId="044BADF6">
            <w:pPr>
              <w:jc w:val="left"/>
              <w:rPr>
                <w:sz w:val="30"/>
                <w:szCs w:val="30"/>
              </w:rPr>
            </w:pPr>
          </w:p>
          <w:p w14:paraId="5B723FF1">
            <w:pPr>
              <w:jc w:val="left"/>
              <w:rPr>
                <w:rFonts w:hint="eastAsia"/>
                <w:sz w:val="30"/>
                <w:szCs w:val="30"/>
              </w:rPr>
            </w:pPr>
          </w:p>
        </w:tc>
      </w:tr>
      <w:tr w14:paraId="4F799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79" w:type="dxa"/>
            <w:noWrap w:val="0"/>
            <w:vAlign w:val="center"/>
          </w:tcPr>
          <w:p w14:paraId="4DEB4D8F">
            <w:pPr>
              <w:jc w:val="center"/>
              <w:rPr>
                <w:rFonts w:hint="eastAsia"/>
                <w:sz w:val="30"/>
                <w:szCs w:val="30"/>
              </w:rPr>
            </w:pPr>
            <w:r>
              <w:rPr>
                <w:rFonts w:hint="eastAsia"/>
                <w:sz w:val="30"/>
                <w:szCs w:val="30"/>
              </w:rPr>
              <w:t>单位地址</w:t>
            </w:r>
          </w:p>
        </w:tc>
        <w:tc>
          <w:tcPr>
            <w:tcW w:w="6621" w:type="dxa"/>
            <w:gridSpan w:val="3"/>
            <w:noWrap w:val="0"/>
            <w:vAlign w:val="center"/>
          </w:tcPr>
          <w:p w14:paraId="710AAA31">
            <w:pPr>
              <w:jc w:val="left"/>
              <w:rPr>
                <w:sz w:val="30"/>
                <w:szCs w:val="30"/>
              </w:rPr>
            </w:pPr>
          </w:p>
          <w:p w14:paraId="53A8B387">
            <w:pPr>
              <w:jc w:val="left"/>
              <w:rPr>
                <w:sz w:val="30"/>
                <w:szCs w:val="30"/>
              </w:rPr>
            </w:pPr>
          </w:p>
          <w:p w14:paraId="72ED1843">
            <w:pPr>
              <w:jc w:val="left"/>
              <w:rPr>
                <w:sz w:val="30"/>
                <w:szCs w:val="30"/>
              </w:rPr>
            </w:pPr>
          </w:p>
          <w:p w14:paraId="69AB13ED">
            <w:pPr>
              <w:jc w:val="left"/>
              <w:rPr>
                <w:rFonts w:hint="eastAsia"/>
                <w:sz w:val="30"/>
                <w:szCs w:val="30"/>
              </w:rPr>
            </w:pPr>
          </w:p>
          <w:p w14:paraId="7D6CDF3D">
            <w:pPr>
              <w:jc w:val="left"/>
              <w:rPr>
                <w:rFonts w:hint="eastAsia"/>
                <w:sz w:val="30"/>
                <w:szCs w:val="30"/>
              </w:rPr>
            </w:pPr>
          </w:p>
        </w:tc>
      </w:tr>
      <w:tr w14:paraId="76776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079" w:type="dxa"/>
            <w:noWrap w:val="0"/>
            <w:vAlign w:val="center"/>
          </w:tcPr>
          <w:p w14:paraId="25F1360A">
            <w:pPr>
              <w:jc w:val="center"/>
              <w:rPr>
                <w:rFonts w:hint="eastAsia"/>
                <w:sz w:val="30"/>
                <w:szCs w:val="30"/>
              </w:rPr>
            </w:pPr>
            <w:r>
              <w:rPr>
                <w:rFonts w:hint="eastAsia"/>
                <w:sz w:val="30"/>
                <w:szCs w:val="30"/>
              </w:rPr>
              <w:t>时间</w:t>
            </w:r>
          </w:p>
        </w:tc>
        <w:tc>
          <w:tcPr>
            <w:tcW w:w="6621" w:type="dxa"/>
            <w:gridSpan w:val="3"/>
            <w:noWrap w:val="0"/>
            <w:vAlign w:val="center"/>
          </w:tcPr>
          <w:p w14:paraId="6E1984AE">
            <w:pPr>
              <w:jc w:val="right"/>
              <w:rPr>
                <w:rFonts w:hint="eastAsia"/>
                <w:sz w:val="30"/>
                <w:szCs w:val="30"/>
              </w:rPr>
            </w:pPr>
            <w:r>
              <w:rPr>
                <w:rFonts w:hint="eastAsia"/>
                <w:sz w:val="30"/>
                <w:szCs w:val="30"/>
              </w:rPr>
              <w:t>年   月   日</w:t>
            </w:r>
          </w:p>
        </w:tc>
      </w:tr>
      <w:tr w14:paraId="213DB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329" w:hRule="atLeast"/>
        </w:trPr>
        <w:tc>
          <w:tcPr>
            <w:tcW w:w="2079" w:type="dxa"/>
            <w:noWrap w:val="0"/>
            <w:vAlign w:val="center"/>
          </w:tcPr>
          <w:p w14:paraId="5CC75152">
            <w:pPr>
              <w:jc w:val="center"/>
              <w:rPr>
                <w:rFonts w:hint="eastAsia"/>
                <w:sz w:val="30"/>
                <w:szCs w:val="30"/>
              </w:rPr>
            </w:pPr>
            <w:r>
              <w:rPr>
                <w:rFonts w:hint="eastAsia"/>
                <w:sz w:val="30"/>
                <w:szCs w:val="30"/>
              </w:rPr>
              <w:t>备注</w:t>
            </w:r>
          </w:p>
        </w:tc>
        <w:tc>
          <w:tcPr>
            <w:tcW w:w="6621" w:type="dxa"/>
            <w:gridSpan w:val="3"/>
            <w:noWrap w:val="0"/>
            <w:vAlign w:val="center"/>
          </w:tcPr>
          <w:p w14:paraId="58F71F33">
            <w:pPr>
              <w:jc w:val="center"/>
              <w:rPr>
                <w:sz w:val="30"/>
                <w:szCs w:val="30"/>
              </w:rPr>
            </w:pPr>
          </w:p>
          <w:p w14:paraId="756A78C5">
            <w:pPr>
              <w:jc w:val="center"/>
              <w:rPr>
                <w:sz w:val="30"/>
                <w:szCs w:val="30"/>
              </w:rPr>
            </w:pPr>
          </w:p>
          <w:p w14:paraId="135FF03D">
            <w:pPr>
              <w:jc w:val="center"/>
              <w:rPr>
                <w:rFonts w:hint="eastAsia"/>
                <w:sz w:val="30"/>
                <w:szCs w:val="30"/>
              </w:rPr>
            </w:pPr>
          </w:p>
          <w:p w14:paraId="72B8DA91">
            <w:pPr>
              <w:jc w:val="center"/>
              <w:rPr>
                <w:sz w:val="30"/>
                <w:szCs w:val="30"/>
              </w:rPr>
            </w:pPr>
          </w:p>
          <w:p w14:paraId="738FFDE5">
            <w:pPr>
              <w:jc w:val="center"/>
              <w:rPr>
                <w:rFonts w:hint="eastAsia"/>
                <w:sz w:val="30"/>
                <w:szCs w:val="30"/>
              </w:rPr>
            </w:pPr>
          </w:p>
        </w:tc>
      </w:tr>
    </w:tbl>
    <w:p w14:paraId="21E921C2">
      <w:pPr>
        <w:snapToGrid w:val="0"/>
        <w:spacing w:line="360" w:lineRule="auto"/>
        <w:ind w:firstLine="480" w:firstLineChars="200"/>
        <w:rPr>
          <w:rFonts w:hint="eastAsia" w:ascii="仿宋" w:hAnsi="仿宋" w:eastAsia="仿宋"/>
          <w:sz w:val="24"/>
          <w:szCs w:val="24"/>
        </w:rPr>
      </w:pPr>
    </w:p>
    <w:p w14:paraId="4D000FAB">
      <w:pPr>
        <w:snapToGrid w:val="0"/>
        <w:spacing w:line="360" w:lineRule="auto"/>
        <w:ind w:firstLine="482" w:firstLineChars="200"/>
        <w:rPr>
          <w:rFonts w:hint="eastAsia" w:ascii="仿宋" w:hAnsi="仿宋" w:eastAsia="仿宋"/>
          <w:b/>
          <w:sz w:val="24"/>
          <w:szCs w:val="24"/>
        </w:rPr>
        <w:sectPr>
          <w:pgSz w:w="11907" w:h="16840"/>
          <w:pgMar w:top="1134" w:right="1418" w:bottom="1134" w:left="1418" w:header="964" w:footer="992" w:gutter="0"/>
          <w:pgNumType w:fmt="numberInDash"/>
          <w:cols w:space="720" w:num="1"/>
          <w:docGrid w:linePitch="312" w:charSpace="0"/>
        </w:sectPr>
      </w:pPr>
    </w:p>
    <w:p w14:paraId="31902A80">
      <w:r>
        <w:rPr>
          <w:rFonts w:hint="eastAsia" w:ascii="宋体" w:hAnsi="宋体" w:eastAsia="宋体" w:cs="宋体"/>
          <w:color w:val="auto"/>
          <w:sz w:val="24"/>
          <w:szCs w:val="24"/>
          <w:highlight w:val="none"/>
        </w:rPr>
        <w:t>竞争性磋商文件售价：人民币</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元/份（售后不退）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请支付至以下收款账号：</w:t>
      </w:r>
      <w:r>
        <w:rPr>
          <w:rFonts w:hint="eastAsia" w:ascii="宋体" w:hAnsi="宋体" w:eastAsia="宋体" w:cs="宋体"/>
          <w:color w:val="auto"/>
          <w:sz w:val="24"/>
          <w:szCs w:val="24"/>
          <w:highlight w:val="none"/>
          <w:lang w:val="en-US" w:eastAsia="zh-CN"/>
        </w:rPr>
        <w:br w:type="textWrapping"/>
      </w:r>
      <w:r>
        <w:drawing>
          <wp:inline distT="0" distB="0" distL="114300" distR="114300">
            <wp:extent cx="5268595" cy="7170420"/>
            <wp:effectExtent l="0" t="0" r="8255" b="11430"/>
            <wp:docPr id="1" name="图片 1" descr="da611fb9828165b91d6d0620acd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611fb9828165b91d6d0620acd3563"/>
                    <pic:cNvPicPr>
                      <a:picLocks noChangeAspect="1"/>
                    </pic:cNvPicPr>
                  </pic:nvPicPr>
                  <pic:blipFill>
                    <a:blip r:embed="rId4"/>
                    <a:stretch>
                      <a:fillRect/>
                    </a:stretch>
                  </pic:blipFill>
                  <pic:spPr>
                    <a:xfrm>
                      <a:off x="0" y="0"/>
                      <a:ext cx="5268595" cy="7170420"/>
                    </a:xfrm>
                    <a:prstGeom prst="rect">
                      <a:avLst/>
                    </a:prstGeom>
                  </pic:spPr>
                </pic:pic>
              </a:graphicData>
            </a:graphic>
          </wp:inline>
        </w:drawing>
      </w:r>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F023C"/>
    <w:rsid w:val="725B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1649</Words>
  <Characters>1788</Characters>
  <Lines>0</Lines>
  <Paragraphs>0</Paragraphs>
  <TotalTime>0</TotalTime>
  <ScaleCrop>false</ScaleCrop>
  <LinksUpToDate>false</LinksUpToDate>
  <CharactersWithSpaces>1803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2025-04-03T07:46:00Z</dcterms:created>
  <dc:creator>Administrator</dc:creator>
  <cp:lastModifiedBy>,</cp:lastModifiedBy>
  <dcterms:modified xsi:type="dcterms:W3CDTF">2025-04-03T07:49:46Z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eyJoZGlkIjoiYzQ0NjY1MzllN2FiNGNjNmEzYzQ3YWRlZjNjOTY0NzUiLCJ1c2VySWQiOiI1MzQyMjM5NDAifQ==</vt:lpwstr>
  </property>
  <property fmtid="{D5CDD505-2E9C-101B-9397-08002B2CF9AE}" pid="4" name="ICV">
    <vt:lpwstr>5DFE476BE1CF4AC397F7E2555875C33B_12</vt:lpwstr>
  </property>
</Properties>
</file>