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5E72E">
      <w:pPr>
        <w:shd w:val="clear"/>
        <w:spacing w:line="1600" w:lineRule="exact"/>
        <w:jc w:val="center"/>
        <w:outlineLvl w:val="0"/>
        <w:rPr>
          <w:rFonts w:hint="eastAsia" w:ascii="宋体" w:hAnsi="宋体" w:eastAsia="宋体" w:cs="宋体"/>
          <w:b/>
          <w:color w:val="auto"/>
          <w:sz w:val="100"/>
          <w:highlight w:val="none"/>
        </w:rPr>
      </w:pPr>
    </w:p>
    <w:p w14:paraId="508691B1">
      <w:pPr>
        <w:pStyle w:val="7"/>
        <w:shd w:val="clear"/>
        <w:jc w:val="center"/>
        <w:rPr>
          <w:rFonts w:hint="eastAsia" w:ascii="宋体" w:hAnsi="宋体" w:eastAsia="宋体" w:cs="宋体"/>
          <w:b/>
          <w:bCs w:val="0"/>
          <w:color w:val="auto"/>
          <w:sz w:val="84"/>
          <w:szCs w:val="84"/>
          <w:highlight w:val="none"/>
          <w:lang w:val="en-US" w:eastAsia="zh-CN"/>
        </w:rPr>
      </w:pPr>
      <w:r>
        <w:rPr>
          <w:rFonts w:hint="eastAsia" w:ascii="宋体" w:hAnsi="宋体" w:eastAsia="宋体" w:cs="宋体"/>
          <w:b/>
          <w:bCs w:val="0"/>
          <w:color w:val="auto"/>
          <w:sz w:val="84"/>
          <w:szCs w:val="84"/>
          <w:highlight w:val="none"/>
          <w:lang w:val="en-US" w:eastAsia="zh-CN"/>
        </w:rPr>
        <w:t>行采家-电子竞采</w:t>
      </w:r>
    </w:p>
    <w:p w14:paraId="5DA0FEA9">
      <w:pPr>
        <w:pStyle w:val="7"/>
        <w:shd w:val="clear"/>
        <w:jc w:val="center"/>
        <w:rPr>
          <w:rFonts w:hint="eastAsia" w:ascii="宋体" w:hAnsi="宋体" w:eastAsia="宋体" w:cs="宋体"/>
          <w:b/>
          <w:bCs w:val="0"/>
          <w:color w:val="auto"/>
          <w:sz w:val="84"/>
          <w:szCs w:val="84"/>
          <w:highlight w:val="none"/>
          <w:lang w:val="en-US" w:eastAsia="zh-CN"/>
        </w:rPr>
      </w:pPr>
      <w:r>
        <w:rPr>
          <w:rFonts w:hint="eastAsia" w:ascii="宋体" w:hAnsi="宋体" w:eastAsia="宋体" w:cs="宋体"/>
          <w:b/>
          <w:bCs w:val="0"/>
          <w:color w:val="auto"/>
          <w:sz w:val="84"/>
          <w:szCs w:val="84"/>
          <w:highlight w:val="none"/>
          <w:lang w:val="en-US" w:eastAsia="zh-CN"/>
        </w:rPr>
        <w:t>竞争性比选文件</w:t>
      </w:r>
    </w:p>
    <w:p w14:paraId="069ADCFD">
      <w:pPr>
        <w:pStyle w:val="7"/>
        <w:shd w:val="clear"/>
        <w:jc w:val="center"/>
        <w:rPr>
          <w:rFonts w:hint="eastAsia" w:ascii="宋体" w:hAnsi="宋体" w:eastAsia="宋体" w:cs="宋体"/>
          <w:b/>
          <w:color w:val="auto"/>
          <w:sz w:val="36"/>
          <w:szCs w:val="36"/>
          <w:highlight w:val="none"/>
        </w:rPr>
      </w:pPr>
    </w:p>
    <w:p w14:paraId="6B32B0E5">
      <w:pPr>
        <w:pStyle w:val="8"/>
        <w:shd w:val="clear"/>
        <w:spacing w:line="500" w:lineRule="exact"/>
        <w:ind w:left="0"/>
        <w:jc w:val="center"/>
        <w:rPr>
          <w:rFonts w:hint="default" w:ascii="宋体" w:hAnsi="宋体" w:eastAsia="宋体" w:cs="宋体"/>
          <w:color w:val="auto"/>
          <w:sz w:val="32"/>
          <w:highlight w:val="none"/>
          <w:lang w:val="en-US" w:eastAsia="zh-CN"/>
        </w:rPr>
      </w:pPr>
      <w:r>
        <w:rPr>
          <w:rFonts w:hint="eastAsia" w:ascii="宋体" w:hAnsi="宋体" w:cs="宋体"/>
          <w:color w:val="auto"/>
          <w:sz w:val="32"/>
          <w:highlight w:val="none"/>
          <w:lang w:eastAsia="zh-CN"/>
        </w:rPr>
        <w:t>（</w:t>
      </w:r>
      <w:r>
        <w:rPr>
          <w:rFonts w:hint="eastAsia" w:ascii="宋体" w:hAnsi="宋体" w:cs="宋体"/>
          <w:color w:val="auto"/>
          <w:sz w:val="32"/>
          <w:highlight w:val="none"/>
          <w:lang w:val="en-US" w:eastAsia="zh-CN"/>
        </w:rPr>
        <w:t>综合评分法）</w:t>
      </w:r>
    </w:p>
    <w:p w14:paraId="6A4AB2EC">
      <w:pPr>
        <w:pStyle w:val="8"/>
        <w:shd w:val="clear"/>
        <w:spacing w:line="500" w:lineRule="exact"/>
        <w:ind w:left="0"/>
        <w:rPr>
          <w:rFonts w:hint="eastAsia" w:ascii="宋体" w:hAnsi="宋体" w:eastAsia="宋体" w:cs="宋体"/>
          <w:color w:val="auto"/>
          <w:sz w:val="32"/>
          <w:highlight w:val="none"/>
        </w:rPr>
      </w:pPr>
    </w:p>
    <w:p w14:paraId="6EEA4AE4">
      <w:pPr>
        <w:pStyle w:val="8"/>
        <w:shd w:val="clear"/>
        <w:spacing w:line="500" w:lineRule="exact"/>
        <w:ind w:left="0"/>
        <w:rPr>
          <w:rFonts w:hint="eastAsia" w:ascii="宋体" w:hAnsi="宋体" w:eastAsia="宋体" w:cs="宋体"/>
          <w:color w:val="auto"/>
          <w:sz w:val="32"/>
          <w:highlight w:val="none"/>
        </w:rPr>
      </w:pPr>
    </w:p>
    <w:p w14:paraId="1F2524D1">
      <w:pPr>
        <w:pStyle w:val="9"/>
        <w:rPr>
          <w:rFonts w:hint="eastAsia" w:ascii="宋体" w:hAnsi="宋体" w:eastAsia="宋体" w:cs="宋体"/>
          <w:color w:val="auto"/>
          <w:highlight w:val="none"/>
        </w:rPr>
      </w:pPr>
    </w:p>
    <w:p w14:paraId="62589AD3">
      <w:pPr>
        <w:pStyle w:val="8"/>
        <w:shd w:val="clear"/>
        <w:spacing w:line="500" w:lineRule="exact"/>
        <w:ind w:left="0"/>
        <w:rPr>
          <w:rFonts w:hint="eastAsia" w:ascii="宋体" w:hAnsi="宋体" w:eastAsia="宋体" w:cs="宋体"/>
          <w:color w:val="auto"/>
          <w:sz w:val="32"/>
          <w:highlight w:val="none"/>
        </w:rPr>
      </w:pPr>
    </w:p>
    <w:p w14:paraId="06422B27">
      <w:pPr>
        <w:pStyle w:val="5"/>
        <w:shd w:val="clear"/>
        <w:spacing w:line="360" w:lineRule="auto"/>
        <w:jc w:val="both"/>
        <w:rPr>
          <w:rFonts w:hint="default"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项目编号：Z25C00052 </w:t>
      </w:r>
    </w:p>
    <w:p w14:paraId="7DE5C9CF">
      <w:pPr>
        <w:pStyle w:val="5"/>
        <w:shd w:val="clear"/>
        <w:spacing w:line="360" w:lineRule="auto"/>
        <w:jc w:val="both"/>
        <w:rPr>
          <w:rFonts w:hint="default"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采购执行编号：CQZXKD-HCJ-2025190504</w:t>
      </w:r>
    </w:p>
    <w:p w14:paraId="57E88949">
      <w:pPr>
        <w:pStyle w:val="5"/>
        <w:shd w:val="clear"/>
        <w:spacing w:line="360" w:lineRule="auto"/>
        <w:jc w:val="center"/>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rPr>
        <w:t>采购项目名称：</w:t>
      </w:r>
      <w:r>
        <w:rPr>
          <w:rFonts w:hint="eastAsia" w:ascii="宋体" w:hAnsi="宋体" w:eastAsia="宋体" w:cs="宋体"/>
          <w:color w:val="auto"/>
          <w:sz w:val="32"/>
          <w:highlight w:val="none"/>
          <w:lang w:val="en-US" w:eastAsia="zh-CN"/>
        </w:rPr>
        <w:t>重庆市第九十五初级中学校2024-2025年职工体检服务</w:t>
      </w:r>
    </w:p>
    <w:p w14:paraId="3F595E2A">
      <w:pPr>
        <w:shd w:val="clear"/>
        <w:spacing w:line="500" w:lineRule="exact"/>
        <w:ind w:firstLine="2080" w:firstLineChars="650"/>
        <w:outlineLvl w:val="0"/>
        <w:rPr>
          <w:rFonts w:hint="eastAsia" w:ascii="宋体" w:hAnsi="宋体" w:eastAsia="宋体" w:cs="宋体"/>
          <w:color w:val="auto"/>
          <w:sz w:val="32"/>
          <w:highlight w:val="none"/>
        </w:rPr>
      </w:pPr>
    </w:p>
    <w:p w14:paraId="447AEB74">
      <w:pPr>
        <w:pStyle w:val="8"/>
        <w:shd w:val="clear"/>
        <w:spacing w:line="500" w:lineRule="exact"/>
        <w:ind w:left="0"/>
        <w:jc w:val="center"/>
        <w:rPr>
          <w:rFonts w:hint="eastAsia" w:ascii="宋体" w:hAnsi="宋体" w:eastAsia="宋体" w:cs="宋体"/>
          <w:color w:val="auto"/>
          <w:sz w:val="32"/>
          <w:highlight w:val="none"/>
        </w:rPr>
      </w:pPr>
    </w:p>
    <w:p w14:paraId="6AEA3316">
      <w:pPr>
        <w:pStyle w:val="8"/>
        <w:shd w:val="clear"/>
        <w:spacing w:line="500" w:lineRule="exact"/>
        <w:ind w:left="0" w:leftChars="0" w:firstLine="0" w:firstLineChars="0"/>
        <w:jc w:val="left"/>
        <w:rPr>
          <w:rFonts w:hint="eastAsia" w:ascii="宋体" w:hAnsi="宋体" w:eastAsia="宋体" w:cs="宋体"/>
          <w:color w:val="auto"/>
          <w:sz w:val="32"/>
          <w:highlight w:val="none"/>
        </w:rPr>
      </w:pPr>
    </w:p>
    <w:p w14:paraId="13A7DF33">
      <w:pPr>
        <w:pStyle w:val="8"/>
        <w:shd w:val="clear"/>
        <w:spacing w:line="500" w:lineRule="exact"/>
        <w:ind w:left="0" w:firstLine="1280" w:firstLineChars="400"/>
        <w:jc w:val="left"/>
        <w:rPr>
          <w:rFonts w:hint="eastAsia" w:ascii="宋体" w:hAnsi="宋体" w:eastAsia="宋体" w:cs="宋体"/>
          <w:color w:val="auto"/>
          <w:sz w:val="32"/>
          <w:highlight w:val="none"/>
        </w:rPr>
      </w:pPr>
    </w:p>
    <w:p w14:paraId="7DAE0CF5">
      <w:pPr>
        <w:pStyle w:val="9"/>
        <w:rPr>
          <w:rFonts w:hint="eastAsia" w:ascii="宋体" w:hAnsi="宋体" w:eastAsia="宋体" w:cs="宋体"/>
          <w:color w:val="auto"/>
          <w:highlight w:val="none"/>
        </w:rPr>
      </w:pPr>
    </w:p>
    <w:p w14:paraId="75115C1E">
      <w:pPr>
        <w:pStyle w:val="8"/>
        <w:shd w:val="clear"/>
        <w:spacing w:line="500" w:lineRule="exact"/>
        <w:ind w:left="0" w:firstLine="1280" w:firstLineChars="400"/>
        <w:jc w:val="left"/>
        <w:rPr>
          <w:rFonts w:hint="eastAsia" w:ascii="宋体" w:hAnsi="宋体" w:eastAsia="宋体" w:cs="宋体"/>
          <w:color w:val="auto"/>
          <w:sz w:val="32"/>
          <w:szCs w:val="22"/>
          <w:highlight w:val="none"/>
          <w:lang w:val="en-US" w:eastAsia="zh-CN"/>
        </w:rPr>
      </w:pPr>
      <w:r>
        <w:rPr>
          <w:rFonts w:hint="eastAsia" w:ascii="宋体" w:hAnsi="宋体" w:eastAsia="宋体" w:cs="宋体"/>
          <w:color w:val="auto"/>
          <w:sz w:val="32"/>
          <w:highlight w:val="none"/>
        </w:rPr>
        <w:t>采</w:t>
      </w:r>
      <w:r>
        <w:rPr>
          <w:rFonts w:hint="eastAsia" w:ascii="宋体" w:hAnsi="宋体" w:eastAsia="宋体" w:cs="宋体"/>
          <w:color w:val="auto"/>
          <w:sz w:val="32"/>
          <w:highlight w:val="none"/>
          <w:lang w:val="en-US" w:eastAsia="zh-CN"/>
        </w:rPr>
        <w:t xml:space="preserve">   </w:t>
      </w:r>
      <w:r>
        <w:rPr>
          <w:rFonts w:hint="eastAsia" w:ascii="宋体" w:hAnsi="宋体" w:eastAsia="宋体" w:cs="宋体"/>
          <w:color w:val="auto"/>
          <w:sz w:val="32"/>
          <w:highlight w:val="none"/>
        </w:rPr>
        <w:t>购</w:t>
      </w:r>
      <w:r>
        <w:rPr>
          <w:rFonts w:hint="eastAsia" w:ascii="宋体" w:hAnsi="宋体" w:eastAsia="宋体" w:cs="宋体"/>
          <w:color w:val="auto"/>
          <w:sz w:val="32"/>
          <w:highlight w:val="none"/>
          <w:lang w:val="en-US" w:eastAsia="zh-CN"/>
        </w:rPr>
        <w:t xml:space="preserve">   </w:t>
      </w:r>
      <w:r>
        <w:rPr>
          <w:rFonts w:hint="eastAsia" w:ascii="宋体" w:hAnsi="宋体" w:eastAsia="宋体" w:cs="宋体"/>
          <w:color w:val="auto"/>
          <w:sz w:val="32"/>
          <w:highlight w:val="none"/>
        </w:rPr>
        <w:t>人：</w:t>
      </w:r>
      <w:r>
        <w:rPr>
          <w:rFonts w:hint="eastAsia" w:ascii="宋体" w:hAnsi="宋体" w:cs="宋体"/>
          <w:color w:val="auto"/>
          <w:sz w:val="32"/>
          <w:szCs w:val="22"/>
          <w:highlight w:val="none"/>
          <w:lang w:val="en-US" w:eastAsia="zh-CN"/>
        </w:rPr>
        <w:t>重庆市第九十五初级中学校</w:t>
      </w:r>
    </w:p>
    <w:p w14:paraId="1F947A11">
      <w:pPr>
        <w:pStyle w:val="9"/>
        <w:rPr>
          <w:rFonts w:hint="eastAsia" w:ascii="宋体" w:hAnsi="宋体" w:eastAsia="宋体" w:cs="宋体"/>
          <w:color w:val="auto"/>
          <w:highlight w:val="none"/>
          <w:lang w:val="en-US" w:eastAsia="zh-CN"/>
        </w:rPr>
      </w:pPr>
    </w:p>
    <w:p w14:paraId="79DDB44F">
      <w:pPr>
        <w:pStyle w:val="8"/>
        <w:shd w:val="clear"/>
        <w:spacing w:line="500" w:lineRule="exact"/>
        <w:ind w:left="0" w:firstLine="1280" w:firstLineChars="400"/>
        <w:jc w:val="left"/>
        <w:rPr>
          <w:rFonts w:hint="eastAsia" w:ascii="宋体" w:hAnsi="宋体" w:eastAsia="宋体" w:cs="宋体"/>
          <w:color w:val="auto"/>
          <w:sz w:val="32"/>
          <w:szCs w:val="22"/>
          <w:highlight w:val="none"/>
          <w:lang w:val="en-US" w:eastAsia="zh-CN"/>
        </w:rPr>
      </w:pPr>
      <w:r>
        <w:rPr>
          <w:rFonts w:hint="eastAsia" w:ascii="宋体" w:hAnsi="宋体" w:eastAsia="宋体" w:cs="宋体"/>
          <w:color w:val="auto"/>
          <w:sz w:val="32"/>
          <w:highlight w:val="none"/>
        </w:rPr>
        <w:t>采购代理机构</w:t>
      </w:r>
      <w:r>
        <w:rPr>
          <w:rFonts w:hint="eastAsia" w:ascii="宋体" w:hAnsi="宋体" w:eastAsia="宋体" w:cs="宋体"/>
          <w:color w:val="auto"/>
          <w:sz w:val="32"/>
          <w:szCs w:val="22"/>
          <w:highlight w:val="none"/>
          <w:lang w:val="en-US" w:eastAsia="zh-CN"/>
        </w:rPr>
        <w:t xml:space="preserve">：重庆中祥科达工程项目管理咨询有限公司 </w:t>
      </w:r>
    </w:p>
    <w:p w14:paraId="5F3F6BC7">
      <w:pPr>
        <w:pStyle w:val="7"/>
        <w:shd w:val="clear"/>
        <w:rPr>
          <w:rFonts w:hint="eastAsia" w:ascii="宋体" w:hAnsi="宋体" w:eastAsia="宋体" w:cs="宋体"/>
          <w:color w:val="auto"/>
          <w:highlight w:val="none"/>
        </w:rPr>
      </w:pPr>
    </w:p>
    <w:p w14:paraId="43795B33">
      <w:pPr>
        <w:shd w:val="clea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月</w:t>
      </w:r>
    </w:p>
    <w:p w14:paraId="1710E85C">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5E813BE6">
      <w:pPr>
        <w:shd w:val="clea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   录</w:t>
      </w:r>
    </w:p>
    <w:p w14:paraId="7A0D3395">
      <w:pPr>
        <w:pStyle w:val="16"/>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_Toc9232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第一篇  采购邀请书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_Toc9232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CA8DBBD">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_Toc19827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一、 </w:t>
      </w:r>
      <w:r>
        <w:rPr>
          <w:rFonts w:hint="eastAsia" w:ascii="宋体" w:hAnsi="宋体" w:eastAsia="宋体" w:cs="宋体"/>
          <w:color w:val="auto"/>
          <w:sz w:val="24"/>
          <w:szCs w:val="24"/>
          <w:highlight w:val="none"/>
        </w:rPr>
        <w:t>采购内容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_Toc19827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626BEF5">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_Toc25861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二、资金来源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_Toc25861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EBEBCF9">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_Toc24647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三、供应商资格条件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_Toc24647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4669686">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_Toc28941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四、采购有关说明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_Toc28941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CE20091">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_Toc7630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五、其它有关规定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_Toc7630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4D07E13">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、联系方式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_Toc1604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AE537A2">
      <w:pPr>
        <w:pStyle w:val="16"/>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 xml:space="preserve">第二篇 </w:t>
      </w:r>
      <w:r>
        <w:rPr>
          <w:rFonts w:hint="eastAsia" w:ascii="宋体" w:hAnsi="宋体" w:eastAsia="宋体" w:cs="宋体"/>
          <w:bCs w:val="0"/>
          <w:color w:val="auto"/>
          <w:sz w:val="24"/>
          <w:szCs w:val="24"/>
          <w:highlight w:val="none"/>
        </w:rPr>
        <w:t>项目</w:t>
      </w:r>
      <w:r>
        <w:rPr>
          <w:rFonts w:hint="eastAsia" w:ascii="宋体" w:hAnsi="宋体" w:eastAsia="宋体" w:cs="宋体"/>
          <w:bCs w:val="0"/>
          <w:color w:val="auto"/>
          <w:sz w:val="24"/>
          <w:szCs w:val="24"/>
          <w:highlight w:val="none"/>
          <w:lang w:val="en-US" w:eastAsia="zh-CN"/>
        </w:rPr>
        <w:t>服务</w:t>
      </w:r>
      <w:r>
        <w:rPr>
          <w:rFonts w:hint="eastAsia" w:ascii="宋体" w:hAnsi="宋体" w:eastAsia="宋体" w:cs="宋体"/>
          <w:bCs w:val="0"/>
          <w:color w:val="auto"/>
          <w:sz w:val="24"/>
          <w:szCs w:val="24"/>
          <w:highlight w:val="none"/>
        </w:rPr>
        <w:t>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_Toc7396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737AB89">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_Toc21607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一、采购项目一览表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_Toc21607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F7AE4D3">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_Toc14692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二、服务要求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_Toc14692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8D62CEE">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三、体检项目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_Toc11983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F10C8F2">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_Toc19611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四、体检相关要求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_Toc19611 \h </w:instrText>
      </w:r>
      <w:r>
        <w:rPr>
          <w:color w:val="auto"/>
          <w:sz w:val="24"/>
          <w:szCs w:val="24"/>
          <w:highlight w:val="none"/>
        </w:rPr>
        <w:fldChar w:fldCharType="separate"/>
      </w:r>
      <w:r>
        <w:rPr>
          <w:color w:val="auto"/>
          <w:sz w:val="24"/>
          <w:szCs w:val="24"/>
          <w:highlight w:val="none"/>
        </w:rPr>
        <w:t>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53A2064">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_Toc30593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五、其它要求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_Toc30593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412DAC8">
      <w:pPr>
        <w:pStyle w:val="16"/>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_Toc11938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val="0"/>
          <w:color w:val="auto"/>
          <w:sz w:val="24"/>
          <w:szCs w:val="24"/>
          <w:highlight w:val="none"/>
        </w:rPr>
        <w:t>第三篇  项目商务需求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_Toc11938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AE652CF">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_Toc21426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一、服务期、地点及验收方式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_Toc21426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D9EAB76">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_Toc28500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二、报价要求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_Toc28500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E26E409">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_Toc27623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三、付款方式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_Toc27623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267168">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_Toc25380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知识产权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_Toc25380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BDBBA2">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其他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_Toc20095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42FCDF">
      <w:pPr>
        <w:pStyle w:val="16"/>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_Toc3494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pacing w:val="-11"/>
          <w:sz w:val="24"/>
          <w:szCs w:val="24"/>
          <w:highlight w:val="none"/>
        </w:rPr>
        <w:t>第四篇  网上竞采程序及方法、评审标准、响应无效和采购终止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_Toc3494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B73039F">
      <w:pPr>
        <w:pStyle w:val="10"/>
        <w:tabs>
          <w:tab w:val="right" w:leader="dot" w:pos="9412"/>
        </w:tabs>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_Toc12086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一、网上竞采程序及方法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_Toc12086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1B9597D">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_Toc17767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_Toc17767 \h </w:instrText>
      </w:r>
      <w:r>
        <w:rPr>
          <w:color w:val="auto"/>
          <w:sz w:val="24"/>
          <w:szCs w:val="24"/>
          <w:highlight w:val="none"/>
        </w:rPr>
        <w:fldChar w:fldCharType="separate"/>
      </w:r>
      <w:r>
        <w:rPr>
          <w:color w:val="auto"/>
          <w:sz w:val="24"/>
          <w:szCs w:val="24"/>
          <w:highlight w:val="none"/>
        </w:rPr>
        <w:t>11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BE819B5">
      <w:pPr>
        <w:pStyle w:val="10"/>
        <w:tabs>
          <w:tab w:val="right" w:leader="dot" w:pos="9412"/>
        </w:tabs>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三、响应无效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_Toc2659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A691216">
      <w:pPr>
        <w:pStyle w:val="10"/>
        <w:tabs>
          <w:tab w:val="right" w:leader="dot" w:pos="9412"/>
        </w:tabs>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_Toc31794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四、采购终止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_Toc31794 \h </w:instrText>
      </w:r>
      <w:r>
        <w:rPr>
          <w:color w:val="auto"/>
          <w:sz w:val="24"/>
          <w:szCs w:val="24"/>
          <w:highlight w:val="none"/>
        </w:rPr>
        <w:fldChar w:fldCharType="separate"/>
      </w:r>
      <w:r>
        <w:rPr>
          <w:color w:val="auto"/>
          <w:sz w:val="24"/>
          <w:szCs w:val="24"/>
          <w:highlight w:val="none"/>
        </w:rPr>
        <w:t>14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0CBD740">
      <w:pPr>
        <w:pStyle w:val="16"/>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_Toc7727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第五篇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_Toc7727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7C677DB">
      <w:pPr>
        <w:pStyle w:val="10"/>
        <w:tabs>
          <w:tab w:val="right" w:leader="dot" w:pos="9412"/>
        </w:tabs>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_Toc25840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一、网上竞</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rPr>
        <w:t>费用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_Toc25840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4742F2">
      <w:pPr>
        <w:pStyle w:val="10"/>
        <w:tabs>
          <w:tab w:val="right" w:leader="dot" w:pos="9412"/>
        </w:tabs>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_Toc4531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网上竞采竞争性比选文件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_Toc4531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276473D">
      <w:pPr>
        <w:pStyle w:val="10"/>
        <w:tabs>
          <w:tab w:val="right" w:leader="dot" w:pos="9412"/>
        </w:tabs>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_Toc12994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三、网上竞采要求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_Toc12994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261168E">
      <w:pPr>
        <w:pStyle w:val="10"/>
        <w:tabs>
          <w:tab w:val="right" w:leader="dot" w:pos="9412"/>
        </w:tabs>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_Toc6717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四、成交供应商的确认和变更</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_Toc6717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F4C4129">
      <w:pPr>
        <w:pStyle w:val="10"/>
        <w:tabs>
          <w:tab w:val="right" w:leader="dot" w:pos="9412"/>
        </w:tabs>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五、成交通知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_Toc456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8281FEF">
      <w:pPr>
        <w:pStyle w:val="10"/>
        <w:tabs>
          <w:tab w:val="right" w:leader="dot" w:pos="9412"/>
        </w:tabs>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_Toc14179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六、采购代理服务费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_Toc14179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19ABD0">
      <w:pPr>
        <w:pStyle w:val="10"/>
        <w:tabs>
          <w:tab w:val="right" w:leader="dot" w:pos="9412"/>
        </w:tabs>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_Toc16205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七、关于质疑和投诉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_Toc16205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65C619E">
      <w:pPr>
        <w:pStyle w:val="10"/>
        <w:tabs>
          <w:tab w:val="right" w:leader="dot" w:pos="9412"/>
        </w:tabs>
        <w:ind w:left="0" w:leftChars="0" w:firstLine="480" w:firstLineChars="200"/>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_Toc9488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、签订合同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_Toc9488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5D24D1D">
      <w:pPr>
        <w:pStyle w:val="16"/>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_Toc21554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第六篇  合同草案条款和格式合同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_Toc21554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760A88E5">
      <w:pPr>
        <w:pStyle w:val="16"/>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_Toc23225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第七篇  响应文件编制要求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_Toc23225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3B87952">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_Toc11211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一、经济部分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_Toc11211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3620E039">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_Toc26958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_Toc26958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4C4A50CB">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_Toc17038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val="en-US" w:eastAsia="zh-CN"/>
        </w:rPr>
        <w:t>三、商务</w:t>
      </w:r>
      <w:r>
        <w:rPr>
          <w:rFonts w:hint="eastAsia" w:ascii="宋体" w:hAnsi="宋体" w:eastAsia="宋体" w:cs="宋体"/>
          <w:color w:val="auto"/>
          <w:sz w:val="24"/>
          <w:szCs w:val="24"/>
          <w:highlight w:val="none"/>
        </w:rPr>
        <w:t>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_Toc17038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F6C2888">
      <w:pPr>
        <w:pStyle w:val="17"/>
        <w:tabs>
          <w:tab w:val="right" w:leader="dot" w:pos="9412"/>
        </w:tabs>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_Toc21927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四、资格条件及其他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_Toc21927 \h </w:instrText>
      </w:r>
      <w:r>
        <w:rPr>
          <w:color w:val="auto"/>
          <w:sz w:val="24"/>
          <w:szCs w:val="24"/>
          <w:highlight w:val="none"/>
        </w:rPr>
        <w:fldChar w:fldCharType="separate"/>
      </w:r>
      <w:r>
        <w:rPr>
          <w:color w:val="auto"/>
          <w:sz w:val="24"/>
          <w:szCs w:val="24"/>
          <w:highlight w:val="none"/>
        </w:rPr>
        <w:t>30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609C96D">
      <w:pPr>
        <w:pStyle w:val="17"/>
        <w:tabs>
          <w:tab w:val="right" w:leader="dot" w:pos="9412"/>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五、其他应提供的资料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_Toc830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1C5EE0C">
      <w:pPr>
        <w:pStyle w:val="17"/>
        <w:keepNext w:val="0"/>
        <w:keepLines w:val="0"/>
        <w:pageBreakBefore w:val="0"/>
        <w:widowControl w:val="0"/>
        <w:shd w:val="clear"/>
        <w:tabs>
          <w:tab w:val="right" w:leader="dot" w:pos="9402"/>
        </w:tabs>
        <w:kinsoku/>
        <w:wordWrap/>
        <w:overflowPunct/>
        <w:topLinePunct w:val="0"/>
        <w:autoSpaceDE/>
        <w:autoSpaceDN/>
        <w:bidi w:val="0"/>
        <w:adjustRightInd/>
        <w:snapToGrid/>
        <w:spacing w:line="240" w:lineRule="auto"/>
        <w:ind w:left="560"/>
        <w:jc w:val="center"/>
        <w:textAlignment w:val="auto"/>
        <w:rPr>
          <w:rFonts w:hint="eastAsia" w:ascii="宋体" w:hAnsi="宋体" w:eastAsia="宋体" w:cs="宋体"/>
          <w:color w:val="auto"/>
          <w:sz w:val="24"/>
          <w:szCs w:val="24"/>
          <w:highlight w:val="none"/>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18970B4E">
      <w:pPr>
        <w:pStyle w:val="2"/>
        <w:pageBreakBefore w:val="0"/>
        <w:widowControl w:val="0"/>
        <w:shd w:val="clear"/>
        <w:kinsoku/>
        <w:wordWrap/>
        <w:overflowPunct/>
        <w:topLinePunct w:val="0"/>
        <w:autoSpaceDE/>
        <w:autoSpaceDN/>
        <w:bidi w:val="0"/>
        <w:adjustRightInd/>
        <w:spacing w:line="430" w:lineRule="exact"/>
        <w:jc w:val="center"/>
        <w:textAlignment w:val="auto"/>
        <w:outlineLvl w:val="0"/>
        <w:rPr>
          <w:rFonts w:hint="eastAsia" w:ascii="宋体" w:hAnsi="宋体" w:eastAsia="宋体" w:cs="宋体"/>
          <w:b/>
          <w:bCs/>
          <w:color w:val="auto"/>
          <w:szCs w:val="30"/>
          <w:highlight w:val="none"/>
        </w:rPr>
      </w:pPr>
      <w:bookmarkStart w:id="0" w:name="_Toc9232"/>
      <w:bookmarkStart w:id="1" w:name="_Toc12789052"/>
      <w:bookmarkStart w:id="2" w:name="_Toc11641050"/>
      <w:r>
        <w:rPr>
          <w:rFonts w:hint="eastAsia" w:ascii="宋体" w:hAnsi="宋体" w:eastAsia="宋体" w:cs="宋体"/>
          <w:b/>
          <w:bCs/>
          <w:color w:val="auto"/>
          <w:sz w:val="36"/>
          <w:szCs w:val="30"/>
          <w:highlight w:val="none"/>
        </w:rPr>
        <w:t>第一篇  采购邀请书</w:t>
      </w:r>
      <w:bookmarkEnd w:id="0"/>
      <w:bookmarkEnd w:id="1"/>
      <w:bookmarkEnd w:id="2"/>
    </w:p>
    <w:p w14:paraId="6BD28E67">
      <w:pPr>
        <w:pStyle w:val="5"/>
        <w:pageBreakBefore w:val="0"/>
        <w:widowControl w:val="0"/>
        <w:shd w:val="clear"/>
        <w:kinsoku/>
        <w:wordWrap/>
        <w:overflowPunct/>
        <w:topLinePunct w:val="0"/>
        <w:autoSpaceDE/>
        <w:autoSpaceDN/>
        <w:bidi w:val="0"/>
        <w:adjustRightInd/>
        <w:spacing w:line="43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重庆中祥科达工程项目管理咨询有限公司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lang w:val="en-US" w:eastAsia="zh-CN"/>
        </w:rPr>
        <w:t>重庆市第九十五初级中学校</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u w:val="single"/>
          <w:lang w:val="en-US" w:eastAsia="zh-CN"/>
        </w:rPr>
        <w:t>重庆市第九十五初级中学校2024-2025年职工体检服务</w:t>
      </w:r>
      <w:r>
        <w:rPr>
          <w:rFonts w:hint="eastAsia" w:ascii="宋体" w:hAnsi="宋体" w:eastAsia="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rPr>
        <w:t>进行网上竞争性比选采购。欢迎有资格的供应商前来参与网上竞</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rPr>
        <w:t>。</w:t>
      </w:r>
    </w:p>
    <w:p w14:paraId="2BBFE4EF">
      <w:pPr>
        <w:pStyle w:val="3"/>
        <w:pageBreakBefore w:val="0"/>
        <w:widowControl w:val="0"/>
        <w:numPr>
          <w:ilvl w:val="0"/>
          <w:numId w:val="1"/>
        </w:numPr>
        <w:shd w:val="clear"/>
        <w:kinsoku/>
        <w:wordWrap/>
        <w:overflowPunct/>
        <w:topLinePunct w:val="0"/>
        <w:autoSpaceDE/>
        <w:autoSpaceDN/>
        <w:bidi w:val="0"/>
        <w:adjustRightInd/>
        <w:spacing w:beforeLines="100" w:after="0" w:line="430" w:lineRule="exact"/>
        <w:textAlignment w:val="auto"/>
        <w:outlineLvl w:val="1"/>
        <w:rPr>
          <w:rFonts w:hint="eastAsia" w:ascii="宋体" w:hAnsi="宋体" w:eastAsia="宋体" w:cs="宋体"/>
          <w:color w:val="auto"/>
          <w:sz w:val="24"/>
          <w:szCs w:val="24"/>
          <w:highlight w:val="none"/>
        </w:rPr>
      </w:pPr>
      <w:bookmarkStart w:id="3" w:name="_Toc313893526"/>
      <w:bookmarkStart w:id="4" w:name="_Toc2406"/>
      <w:bookmarkStart w:id="5" w:name="_Toc317775175"/>
      <w:bookmarkStart w:id="6" w:name="_Toc19827"/>
      <w:bookmarkStart w:id="7" w:name="_Toc373860293"/>
      <w:bookmarkStart w:id="8" w:name="_Toc317775178"/>
      <w:r>
        <w:rPr>
          <w:rFonts w:hint="eastAsia" w:ascii="宋体" w:hAnsi="宋体" w:eastAsia="宋体" w:cs="宋体"/>
          <w:color w:val="auto"/>
          <w:sz w:val="24"/>
          <w:szCs w:val="24"/>
          <w:highlight w:val="none"/>
        </w:rPr>
        <w:t>采购内容</w:t>
      </w:r>
      <w:bookmarkEnd w:id="3"/>
      <w:bookmarkEnd w:id="4"/>
      <w:bookmarkEnd w:id="5"/>
      <w:bookmarkEnd w:id="6"/>
    </w:p>
    <w:tbl>
      <w:tblPr>
        <w:tblStyle w:val="22"/>
        <w:tblW w:w="9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9"/>
        <w:gridCol w:w="1524"/>
        <w:gridCol w:w="1596"/>
        <w:gridCol w:w="1601"/>
      </w:tblGrid>
      <w:tr w14:paraId="541EF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jc w:val="center"/>
        </w:trPr>
        <w:tc>
          <w:tcPr>
            <w:tcW w:w="4519" w:type="dxa"/>
            <w:tcBorders>
              <w:top w:val="single" w:color="000000" w:sz="4" w:space="0"/>
              <w:left w:val="single" w:color="000000" w:sz="4" w:space="0"/>
              <w:bottom w:val="single" w:color="000000" w:sz="4" w:space="0"/>
              <w:right w:val="single" w:color="000000" w:sz="4" w:space="0"/>
            </w:tcBorders>
            <w:vAlign w:val="center"/>
          </w:tcPr>
          <w:p w14:paraId="703854DD">
            <w:pPr>
              <w:pageBreakBefore w:val="0"/>
              <w:widowControl w:val="0"/>
              <w:shd w:val="clear"/>
              <w:kinsoku/>
              <w:wordWrap/>
              <w:overflowPunct/>
              <w:topLinePunct w:val="0"/>
              <w:autoSpaceDE/>
              <w:autoSpaceDN/>
              <w:bidi w:val="0"/>
              <w:adjustRightInd/>
              <w:snapToGrid w:val="0"/>
              <w:spacing w:line="240" w:lineRule="auto"/>
              <w:jc w:val="center"/>
              <w:textAlignment w:val="auto"/>
              <w:rPr>
                <w:rStyle w:val="30"/>
                <w:rFonts w:hint="eastAsia" w:ascii="宋体" w:hAnsi="宋体" w:eastAsia="宋体" w:cs="宋体"/>
                <w:b/>
                <w:bCs/>
                <w:color w:val="auto"/>
                <w:sz w:val="24"/>
                <w:szCs w:val="24"/>
                <w:highlight w:val="none"/>
              </w:rPr>
            </w:pPr>
            <w:r>
              <w:rPr>
                <w:rStyle w:val="30"/>
                <w:rFonts w:hint="eastAsia" w:ascii="宋体" w:hAnsi="宋体" w:eastAsia="宋体" w:cs="宋体"/>
                <w:b/>
                <w:bCs/>
                <w:color w:val="auto"/>
                <w:sz w:val="24"/>
                <w:szCs w:val="24"/>
                <w:highlight w:val="none"/>
              </w:rPr>
              <w:t>项目名称</w:t>
            </w:r>
          </w:p>
        </w:tc>
        <w:tc>
          <w:tcPr>
            <w:tcW w:w="1524" w:type="dxa"/>
            <w:tcBorders>
              <w:top w:val="single" w:color="000000" w:sz="4" w:space="0"/>
              <w:left w:val="single" w:color="000000" w:sz="4" w:space="0"/>
              <w:bottom w:val="single" w:color="000000" w:sz="4" w:space="0"/>
              <w:right w:val="single" w:color="000000" w:sz="4" w:space="0"/>
            </w:tcBorders>
            <w:vAlign w:val="center"/>
          </w:tcPr>
          <w:p w14:paraId="56EF0958">
            <w:pPr>
              <w:pageBreakBefore w:val="0"/>
              <w:widowControl w:val="0"/>
              <w:shd w:val="clear"/>
              <w:kinsoku/>
              <w:wordWrap/>
              <w:overflowPunct/>
              <w:topLinePunct w:val="0"/>
              <w:autoSpaceDE/>
              <w:autoSpaceDN/>
              <w:bidi w:val="0"/>
              <w:adjustRightInd/>
              <w:snapToGrid w:val="0"/>
              <w:spacing w:line="240" w:lineRule="auto"/>
              <w:jc w:val="center"/>
              <w:textAlignment w:val="auto"/>
              <w:rPr>
                <w:rStyle w:val="30"/>
                <w:rFonts w:hint="default" w:ascii="宋体" w:hAnsi="宋体" w:eastAsia="宋体" w:cs="宋体"/>
                <w:b/>
                <w:bCs/>
                <w:color w:val="auto"/>
                <w:sz w:val="24"/>
                <w:szCs w:val="24"/>
                <w:highlight w:val="none"/>
                <w:lang w:val="en-US" w:eastAsia="zh-CN"/>
              </w:rPr>
            </w:pPr>
            <w:r>
              <w:rPr>
                <w:rStyle w:val="30"/>
                <w:rFonts w:hint="eastAsia" w:ascii="宋体" w:hAnsi="宋体" w:cs="宋体"/>
                <w:b/>
                <w:bCs/>
                <w:color w:val="auto"/>
                <w:sz w:val="24"/>
                <w:szCs w:val="24"/>
                <w:highlight w:val="none"/>
                <w:lang w:val="en-US" w:eastAsia="zh-CN"/>
              </w:rPr>
              <w:t>单价最高限价（元/人）</w:t>
            </w:r>
          </w:p>
        </w:tc>
        <w:tc>
          <w:tcPr>
            <w:tcW w:w="1596" w:type="dxa"/>
            <w:tcBorders>
              <w:top w:val="single" w:color="000000" w:sz="4" w:space="0"/>
              <w:left w:val="single" w:color="000000" w:sz="4" w:space="0"/>
              <w:bottom w:val="single" w:color="000000" w:sz="4" w:space="0"/>
              <w:right w:val="single" w:color="000000" w:sz="4" w:space="0"/>
            </w:tcBorders>
            <w:vAlign w:val="center"/>
          </w:tcPr>
          <w:p w14:paraId="670EC5AA">
            <w:pPr>
              <w:pageBreakBefore w:val="0"/>
              <w:widowControl w:val="0"/>
              <w:shd w:val="clear"/>
              <w:kinsoku/>
              <w:wordWrap/>
              <w:overflowPunct/>
              <w:topLinePunct w:val="0"/>
              <w:autoSpaceDE/>
              <w:autoSpaceDN/>
              <w:bidi w:val="0"/>
              <w:adjustRightInd/>
              <w:snapToGrid w:val="0"/>
              <w:spacing w:line="240" w:lineRule="auto"/>
              <w:jc w:val="center"/>
              <w:textAlignment w:val="auto"/>
              <w:rPr>
                <w:rStyle w:val="30"/>
                <w:rFonts w:hint="eastAsia" w:ascii="宋体" w:hAnsi="宋体" w:eastAsia="宋体" w:cs="宋体"/>
                <w:b/>
                <w:bCs/>
                <w:color w:val="auto"/>
                <w:sz w:val="24"/>
                <w:szCs w:val="24"/>
                <w:highlight w:val="none"/>
              </w:rPr>
            </w:pPr>
            <w:r>
              <w:rPr>
                <w:rStyle w:val="30"/>
                <w:rFonts w:hint="eastAsia" w:ascii="宋体" w:hAnsi="宋体" w:cs="宋体"/>
                <w:b/>
                <w:bCs/>
                <w:color w:val="auto"/>
                <w:sz w:val="24"/>
                <w:szCs w:val="24"/>
                <w:highlight w:val="none"/>
                <w:lang w:val="en-US" w:eastAsia="zh-CN"/>
              </w:rPr>
              <w:t>总价</w:t>
            </w:r>
            <w:r>
              <w:rPr>
                <w:rStyle w:val="30"/>
                <w:rFonts w:hint="eastAsia" w:ascii="宋体" w:hAnsi="宋体" w:eastAsia="宋体" w:cs="宋体"/>
                <w:b/>
                <w:bCs/>
                <w:color w:val="auto"/>
                <w:sz w:val="24"/>
                <w:szCs w:val="24"/>
                <w:highlight w:val="none"/>
              </w:rPr>
              <w:t>最高限价</w:t>
            </w:r>
          </w:p>
          <w:p w14:paraId="02CB2F07">
            <w:pPr>
              <w:pageBreakBefore w:val="0"/>
              <w:widowControl w:val="0"/>
              <w:shd w:val="clear"/>
              <w:kinsoku/>
              <w:wordWrap/>
              <w:overflowPunct/>
              <w:topLinePunct w:val="0"/>
              <w:autoSpaceDE/>
              <w:autoSpaceDN/>
              <w:bidi w:val="0"/>
              <w:adjustRightInd/>
              <w:snapToGrid w:val="0"/>
              <w:spacing w:line="240" w:lineRule="auto"/>
              <w:jc w:val="center"/>
              <w:textAlignment w:val="auto"/>
              <w:rPr>
                <w:rStyle w:val="30"/>
                <w:rFonts w:hint="eastAsia" w:ascii="宋体" w:hAnsi="宋体" w:eastAsia="宋体" w:cs="宋体"/>
                <w:b/>
                <w:bCs/>
                <w:color w:val="auto"/>
                <w:sz w:val="24"/>
                <w:szCs w:val="24"/>
                <w:highlight w:val="none"/>
              </w:rPr>
            </w:pPr>
            <w:r>
              <w:rPr>
                <w:rStyle w:val="30"/>
                <w:rFonts w:hint="eastAsia" w:ascii="宋体" w:hAnsi="宋体" w:eastAsia="宋体" w:cs="宋体"/>
                <w:b/>
                <w:bCs/>
                <w:color w:val="auto"/>
                <w:sz w:val="24"/>
                <w:szCs w:val="24"/>
                <w:highlight w:val="none"/>
              </w:rPr>
              <w:t>（元）</w:t>
            </w:r>
          </w:p>
        </w:tc>
        <w:tc>
          <w:tcPr>
            <w:tcW w:w="1601" w:type="dxa"/>
            <w:tcBorders>
              <w:top w:val="single" w:color="000000" w:sz="4" w:space="0"/>
              <w:left w:val="single" w:color="000000" w:sz="4" w:space="0"/>
              <w:bottom w:val="single" w:color="000000" w:sz="4" w:space="0"/>
              <w:right w:val="single" w:color="000000" w:sz="4" w:space="0"/>
            </w:tcBorders>
            <w:vAlign w:val="center"/>
          </w:tcPr>
          <w:p w14:paraId="48024847">
            <w:pPr>
              <w:pageBreakBefore w:val="0"/>
              <w:widowControl w:val="0"/>
              <w:shd w:val="clear"/>
              <w:kinsoku/>
              <w:wordWrap/>
              <w:overflowPunct/>
              <w:topLinePunct w:val="0"/>
              <w:autoSpaceDE/>
              <w:autoSpaceDN/>
              <w:bidi w:val="0"/>
              <w:adjustRightInd/>
              <w:snapToGrid w:val="0"/>
              <w:spacing w:line="240" w:lineRule="auto"/>
              <w:jc w:val="center"/>
              <w:textAlignment w:val="auto"/>
              <w:rPr>
                <w:rStyle w:val="30"/>
                <w:rFonts w:hint="eastAsia" w:ascii="宋体" w:hAnsi="宋体" w:eastAsia="宋体" w:cs="宋体"/>
                <w:b/>
                <w:bCs/>
                <w:color w:val="auto"/>
                <w:sz w:val="24"/>
                <w:szCs w:val="24"/>
                <w:highlight w:val="none"/>
              </w:rPr>
            </w:pPr>
            <w:r>
              <w:rPr>
                <w:rStyle w:val="30"/>
                <w:rFonts w:hint="eastAsia" w:ascii="宋体" w:hAnsi="宋体" w:eastAsia="宋体" w:cs="宋体"/>
                <w:b/>
                <w:bCs/>
                <w:color w:val="auto"/>
                <w:sz w:val="24"/>
                <w:szCs w:val="24"/>
                <w:highlight w:val="none"/>
              </w:rPr>
              <w:t>成交供应商</w:t>
            </w:r>
          </w:p>
          <w:p w14:paraId="72626E3E">
            <w:pPr>
              <w:pageBreakBefore w:val="0"/>
              <w:widowControl w:val="0"/>
              <w:shd w:val="clear"/>
              <w:kinsoku/>
              <w:wordWrap/>
              <w:overflowPunct/>
              <w:topLinePunct w:val="0"/>
              <w:autoSpaceDE/>
              <w:autoSpaceDN/>
              <w:bidi w:val="0"/>
              <w:adjustRightInd/>
              <w:snapToGrid w:val="0"/>
              <w:spacing w:line="240" w:lineRule="auto"/>
              <w:jc w:val="center"/>
              <w:textAlignment w:val="auto"/>
              <w:rPr>
                <w:rStyle w:val="30"/>
                <w:rFonts w:hint="eastAsia" w:ascii="宋体" w:hAnsi="宋体" w:eastAsia="宋体" w:cs="宋体"/>
                <w:b/>
                <w:bCs/>
                <w:color w:val="auto"/>
                <w:sz w:val="24"/>
                <w:szCs w:val="24"/>
                <w:highlight w:val="none"/>
              </w:rPr>
            </w:pPr>
            <w:r>
              <w:rPr>
                <w:rStyle w:val="30"/>
                <w:rFonts w:hint="eastAsia" w:ascii="宋体" w:hAnsi="宋体" w:eastAsia="宋体" w:cs="宋体"/>
                <w:b/>
                <w:bCs/>
                <w:color w:val="auto"/>
                <w:sz w:val="24"/>
                <w:szCs w:val="24"/>
                <w:highlight w:val="none"/>
              </w:rPr>
              <w:t>数量（名）</w:t>
            </w:r>
          </w:p>
        </w:tc>
      </w:tr>
      <w:tr w14:paraId="7DD1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jc w:val="center"/>
        </w:trPr>
        <w:tc>
          <w:tcPr>
            <w:tcW w:w="4519" w:type="dxa"/>
            <w:tcBorders>
              <w:top w:val="single" w:color="000000" w:sz="4" w:space="0"/>
              <w:left w:val="single" w:color="000000" w:sz="4" w:space="0"/>
              <w:bottom w:val="single" w:color="000000" w:sz="4" w:space="0"/>
              <w:right w:val="single" w:color="000000" w:sz="4" w:space="0"/>
            </w:tcBorders>
            <w:vAlign w:val="center"/>
          </w:tcPr>
          <w:p w14:paraId="67C1FF89">
            <w:pPr>
              <w:pageBreakBefore w:val="0"/>
              <w:widowControl w:val="0"/>
              <w:shd w:val="clear"/>
              <w:kinsoku/>
              <w:wordWrap/>
              <w:overflowPunct/>
              <w:topLinePunct w:val="0"/>
              <w:autoSpaceDE/>
              <w:autoSpaceDN/>
              <w:bidi w:val="0"/>
              <w:adjustRightInd/>
              <w:snapToGrid w:val="0"/>
              <w:spacing w:line="430" w:lineRule="exact"/>
              <w:jc w:val="center"/>
              <w:textAlignment w:val="auto"/>
              <w:rPr>
                <w:rFonts w:hint="eastAsia"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重庆市第九十五初级中学校2024-2025年职工体检服务</w:t>
            </w:r>
          </w:p>
        </w:tc>
        <w:tc>
          <w:tcPr>
            <w:tcW w:w="1524" w:type="dxa"/>
            <w:tcBorders>
              <w:top w:val="single" w:color="000000" w:sz="4" w:space="0"/>
              <w:left w:val="single" w:color="000000" w:sz="4" w:space="0"/>
              <w:bottom w:val="single" w:color="000000" w:sz="4" w:space="0"/>
              <w:right w:val="single" w:color="000000" w:sz="4" w:space="0"/>
            </w:tcBorders>
            <w:vAlign w:val="center"/>
          </w:tcPr>
          <w:p w14:paraId="747B4BFA">
            <w:pPr>
              <w:pageBreakBefore w:val="0"/>
              <w:widowControl w:val="0"/>
              <w:shd w:val="clear"/>
              <w:kinsoku/>
              <w:wordWrap/>
              <w:overflowPunct/>
              <w:topLinePunct w:val="0"/>
              <w:autoSpaceDE/>
              <w:autoSpaceDN/>
              <w:bidi w:val="0"/>
              <w:adjustRightInd/>
              <w:snapToGrid w:val="0"/>
              <w:spacing w:line="430" w:lineRule="exact"/>
              <w:jc w:val="center"/>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600.00</w:t>
            </w:r>
          </w:p>
        </w:tc>
        <w:tc>
          <w:tcPr>
            <w:tcW w:w="1596" w:type="dxa"/>
            <w:tcBorders>
              <w:top w:val="single" w:color="000000" w:sz="4" w:space="0"/>
              <w:left w:val="single" w:color="000000" w:sz="4" w:space="0"/>
              <w:bottom w:val="single" w:color="000000" w:sz="4" w:space="0"/>
              <w:right w:val="single" w:color="000000" w:sz="4" w:space="0"/>
            </w:tcBorders>
            <w:vAlign w:val="center"/>
          </w:tcPr>
          <w:p w14:paraId="01361F4D">
            <w:pPr>
              <w:pageBreakBefore w:val="0"/>
              <w:widowControl w:val="0"/>
              <w:shd w:val="clear"/>
              <w:kinsoku/>
              <w:wordWrap/>
              <w:overflowPunct/>
              <w:topLinePunct w:val="0"/>
              <w:autoSpaceDE/>
              <w:autoSpaceDN/>
              <w:bidi w:val="0"/>
              <w:adjustRightInd/>
              <w:snapToGrid w:val="0"/>
              <w:spacing w:line="430" w:lineRule="exact"/>
              <w:jc w:val="center"/>
              <w:textAlignment w:val="auto"/>
              <w:rPr>
                <w:rFonts w:hint="default" w:ascii="宋体" w:hAnsi="宋体" w:eastAsia="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272400.00</w:t>
            </w:r>
          </w:p>
        </w:tc>
        <w:tc>
          <w:tcPr>
            <w:tcW w:w="1601" w:type="dxa"/>
            <w:tcBorders>
              <w:top w:val="single" w:color="000000" w:sz="4" w:space="0"/>
              <w:left w:val="single" w:color="000000" w:sz="4" w:space="0"/>
              <w:bottom w:val="single" w:color="000000" w:sz="4" w:space="0"/>
              <w:right w:val="single" w:color="000000" w:sz="4" w:space="0"/>
            </w:tcBorders>
            <w:vAlign w:val="center"/>
          </w:tcPr>
          <w:p w14:paraId="6B21802D">
            <w:pPr>
              <w:pageBreakBefore w:val="0"/>
              <w:widowControl w:val="0"/>
              <w:shd w:val="clear"/>
              <w:kinsoku/>
              <w:wordWrap/>
              <w:overflowPunct/>
              <w:topLinePunct w:val="0"/>
              <w:autoSpaceDE/>
              <w:autoSpaceDN/>
              <w:bidi w:val="0"/>
              <w:adjustRightInd/>
              <w:snapToGrid w:val="0"/>
              <w:spacing w:line="430" w:lineRule="exact"/>
              <w:jc w:val="center"/>
              <w:textAlignment w:val="auto"/>
              <w:rPr>
                <w:rStyle w:val="30"/>
                <w:rFonts w:hint="eastAsia" w:ascii="宋体" w:hAnsi="宋体" w:eastAsia="宋体" w:cs="宋体"/>
                <w:color w:val="auto"/>
                <w:sz w:val="24"/>
                <w:szCs w:val="24"/>
                <w:highlight w:val="none"/>
                <w:lang w:val="en-US" w:eastAsia="zh-CN"/>
              </w:rPr>
            </w:pPr>
            <w:r>
              <w:rPr>
                <w:rStyle w:val="30"/>
                <w:rFonts w:hint="eastAsia" w:ascii="宋体" w:hAnsi="宋体" w:eastAsia="宋体" w:cs="宋体"/>
                <w:color w:val="auto"/>
                <w:sz w:val="24"/>
                <w:szCs w:val="24"/>
                <w:highlight w:val="none"/>
                <w:lang w:val="en-US" w:eastAsia="zh-CN"/>
              </w:rPr>
              <w:t>1</w:t>
            </w:r>
          </w:p>
        </w:tc>
      </w:tr>
    </w:tbl>
    <w:p w14:paraId="5E354265">
      <w:pPr>
        <w:pStyle w:val="3"/>
        <w:pageBreakBefore w:val="0"/>
        <w:widowControl w:val="0"/>
        <w:shd w:val="clear"/>
        <w:kinsoku/>
        <w:wordWrap/>
        <w:overflowPunct/>
        <w:topLinePunct w:val="0"/>
        <w:autoSpaceDE/>
        <w:autoSpaceDN/>
        <w:bidi w:val="0"/>
        <w:adjustRightInd/>
        <w:spacing w:before="0" w:after="0" w:line="430" w:lineRule="exact"/>
        <w:textAlignment w:val="auto"/>
        <w:outlineLvl w:val="1"/>
        <w:rPr>
          <w:rFonts w:hint="eastAsia" w:ascii="宋体" w:hAnsi="宋体" w:eastAsia="宋体" w:cs="宋体"/>
          <w:color w:val="auto"/>
          <w:sz w:val="24"/>
          <w:szCs w:val="24"/>
          <w:highlight w:val="none"/>
        </w:rPr>
      </w:pPr>
      <w:bookmarkStart w:id="9" w:name="_Toc1752"/>
      <w:bookmarkStart w:id="10" w:name="_Toc25861"/>
      <w:r>
        <w:rPr>
          <w:rFonts w:hint="eastAsia" w:ascii="宋体" w:hAnsi="宋体" w:eastAsia="宋体" w:cs="宋体"/>
          <w:color w:val="auto"/>
          <w:sz w:val="24"/>
          <w:szCs w:val="24"/>
          <w:highlight w:val="none"/>
        </w:rPr>
        <w:t>二、资金来源</w:t>
      </w:r>
      <w:bookmarkEnd w:id="9"/>
      <w:bookmarkEnd w:id="10"/>
    </w:p>
    <w:p w14:paraId="17CC633E">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rPr>
      </w:pPr>
      <w:bookmarkStart w:id="11" w:name="_Toc8484"/>
      <w:bookmarkStart w:id="12" w:name="_Toc494"/>
      <w:bookmarkStart w:id="13" w:name="_Toc23776"/>
      <w:bookmarkStart w:id="14" w:name="_Toc29447"/>
      <w:bookmarkStart w:id="15" w:name="_Toc27801"/>
      <w:bookmarkStart w:id="16" w:name="_Toc26446"/>
      <w:bookmarkStart w:id="17" w:name="_Toc1996"/>
      <w:bookmarkStart w:id="18" w:name="_Toc29745"/>
      <w:bookmarkStart w:id="19" w:name="_Toc12915"/>
      <w:bookmarkStart w:id="20" w:name="_Toc16625"/>
      <w:bookmarkStart w:id="21" w:name="_Toc4768"/>
      <w:bookmarkStart w:id="22" w:name="_Toc4555"/>
      <w:bookmarkStart w:id="23" w:name="_Toc11934"/>
      <w:bookmarkStart w:id="24" w:name="_Toc23434"/>
      <w:bookmarkStart w:id="25" w:name="_Toc6630"/>
      <w:bookmarkStart w:id="26" w:name="_Toc30662"/>
      <w:bookmarkStart w:id="27" w:name="_Toc11839"/>
      <w:r>
        <w:rPr>
          <w:rFonts w:hint="eastAsia" w:ascii="宋体" w:hAnsi="宋体" w:eastAsia="宋体" w:cs="宋体"/>
          <w:color w:val="auto"/>
          <w:sz w:val="24"/>
          <w:szCs w:val="24"/>
          <w:highlight w:val="none"/>
        </w:rPr>
        <w:t>资金来源为单位行政福利经费，预算金额：</w:t>
      </w:r>
      <w:r>
        <w:rPr>
          <w:rFonts w:hint="eastAsia" w:ascii="宋体" w:hAnsi="宋体" w:cs="宋体"/>
          <w:color w:val="auto"/>
          <w:sz w:val="24"/>
          <w:szCs w:val="24"/>
          <w:highlight w:val="none"/>
          <w:u w:val="none"/>
          <w:lang w:val="en-US" w:eastAsia="zh-CN"/>
        </w:rPr>
        <w:t>272400.00</w:t>
      </w:r>
      <w:r>
        <w:rPr>
          <w:rFonts w:hint="eastAsia" w:ascii="宋体" w:hAnsi="宋体" w:eastAsia="宋体" w:cs="宋体"/>
          <w:color w:val="auto"/>
          <w:sz w:val="24"/>
          <w:szCs w:val="24"/>
          <w:highlight w:val="none"/>
        </w:rPr>
        <w:t>元。</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278F95D">
      <w:pPr>
        <w:pStyle w:val="3"/>
        <w:pageBreakBefore w:val="0"/>
        <w:widowControl w:val="0"/>
        <w:shd w:val="clear"/>
        <w:kinsoku/>
        <w:wordWrap/>
        <w:overflowPunct/>
        <w:topLinePunct w:val="0"/>
        <w:autoSpaceDE/>
        <w:autoSpaceDN/>
        <w:bidi w:val="0"/>
        <w:adjustRightInd/>
        <w:spacing w:beforeLines="100" w:after="0" w:line="430" w:lineRule="exact"/>
        <w:textAlignment w:val="auto"/>
        <w:outlineLvl w:val="1"/>
        <w:rPr>
          <w:rFonts w:hint="eastAsia" w:ascii="宋体" w:hAnsi="宋体" w:eastAsia="宋体" w:cs="宋体"/>
          <w:color w:val="auto"/>
          <w:sz w:val="24"/>
          <w:szCs w:val="24"/>
          <w:highlight w:val="none"/>
        </w:rPr>
      </w:pPr>
      <w:bookmarkStart w:id="28" w:name="_Toc18111"/>
      <w:bookmarkStart w:id="29" w:name="_Toc24647"/>
      <w:r>
        <w:rPr>
          <w:rFonts w:hint="eastAsia" w:ascii="宋体" w:hAnsi="宋体" w:eastAsia="宋体" w:cs="宋体"/>
          <w:color w:val="auto"/>
          <w:sz w:val="24"/>
          <w:szCs w:val="24"/>
          <w:highlight w:val="none"/>
        </w:rPr>
        <w:t>三、供应商资格条件</w:t>
      </w:r>
      <w:bookmarkEnd w:id="28"/>
      <w:bookmarkEnd w:id="29"/>
    </w:p>
    <w:p w14:paraId="6580C6C5">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供应商是指向采购人提供服务或者货物的法人、其他组织或者自然人。合格的供应商应首先符合《政府采购法》第二十二条规定的基本资格条件。</w:t>
      </w:r>
    </w:p>
    <w:p w14:paraId="7DEE1C16">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41535AC8">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1B00B800">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01A54D40">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11D99967">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096B19A">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5.参加采购活动前三年内，在经营活动中没有重大违法记录；</w:t>
      </w:r>
    </w:p>
    <w:p w14:paraId="24866672">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A6ABEBF">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（二）特定资格条件：</w:t>
      </w:r>
      <w:r>
        <w:rPr>
          <w:rFonts w:hint="eastAsia" w:ascii="宋体" w:hAnsi="宋体" w:cs="宋体"/>
          <w:color w:val="auto"/>
          <w:sz w:val="24"/>
          <w:szCs w:val="24"/>
          <w:highlight w:val="none"/>
          <w:lang w:val="en-US" w:eastAsia="zh-CN"/>
        </w:rPr>
        <w:t>无。</w:t>
      </w:r>
    </w:p>
    <w:p w14:paraId="018B4D2A">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（三）落实政府采购政策需满足的资格要求：</w:t>
      </w:r>
      <w:r>
        <w:rPr>
          <w:rFonts w:hint="eastAsia" w:ascii="宋体" w:hAnsi="宋体" w:cs="宋体"/>
          <w:color w:val="auto"/>
          <w:sz w:val="24"/>
          <w:szCs w:val="24"/>
          <w:highlight w:val="none"/>
          <w:lang w:val="en-US" w:eastAsia="zh-CN"/>
        </w:rPr>
        <w:t>无。</w:t>
      </w:r>
    </w:p>
    <w:p w14:paraId="31F48898">
      <w:pPr>
        <w:pStyle w:val="3"/>
        <w:pageBreakBefore w:val="0"/>
        <w:widowControl w:val="0"/>
        <w:shd w:val="clear"/>
        <w:kinsoku/>
        <w:wordWrap/>
        <w:overflowPunct/>
        <w:topLinePunct w:val="0"/>
        <w:autoSpaceDE/>
        <w:autoSpaceDN/>
        <w:bidi w:val="0"/>
        <w:adjustRightInd/>
        <w:spacing w:before="0" w:after="0" w:line="430" w:lineRule="exact"/>
        <w:textAlignment w:val="auto"/>
        <w:outlineLvl w:val="1"/>
        <w:rPr>
          <w:rFonts w:hint="eastAsia" w:ascii="宋体" w:hAnsi="宋体" w:eastAsia="宋体" w:cs="宋体"/>
          <w:color w:val="auto"/>
          <w:sz w:val="24"/>
          <w:szCs w:val="24"/>
          <w:highlight w:val="none"/>
        </w:rPr>
      </w:pPr>
      <w:bookmarkStart w:id="30" w:name="_Toc28941"/>
      <w:r>
        <w:rPr>
          <w:rFonts w:hint="eastAsia" w:ascii="宋体" w:hAnsi="宋体" w:eastAsia="宋体" w:cs="宋体"/>
          <w:color w:val="auto"/>
          <w:sz w:val="24"/>
          <w:szCs w:val="24"/>
          <w:highlight w:val="none"/>
        </w:rPr>
        <w:t>四、采购有关说明</w:t>
      </w:r>
      <w:bookmarkEnd w:id="7"/>
      <w:bookmarkEnd w:id="30"/>
    </w:p>
    <w:p w14:paraId="685FB800">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lang w:eastAsia="zh-CN"/>
        </w:rPr>
      </w:pPr>
      <w:bookmarkStart w:id="31" w:name="_Toc373860294"/>
      <w:r>
        <w:rPr>
          <w:rFonts w:hint="eastAsia" w:ascii="宋体" w:hAnsi="宋体" w:eastAsia="宋体" w:cs="宋体"/>
          <w:color w:val="auto"/>
          <w:sz w:val="24"/>
          <w:szCs w:val="24"/>
          <w:highlight w:val="none"/>
        </w:rPr>
        <w:t>（一）供应商应通过重庆市政府采购网（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"http://www.cqgp.gov.cn"</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t>www.ccgp-chongqing.gov.cn</w:t>
      </w:r>
      <w:r>
        <w:rPr>
          <w:rFonts w:hint="eastAsia" w:ascii="宋体" w:hAnsi="宋体" w:eastAsia="宋体" w:cs="宋体"/>
          <w:color w:val="auto"/>
          <w:highlight w:val="none"/>
        </w:rPr>
        <w:fldChar w:fldCharType="end"/>
      </w:r>
      <w:r>
        <w:rPr>
          <w:rFonts w:hint="eastAsia" w:ascii="宋体" w:hAnsi="宋体" w:eastAsia="宋体" w:cs="宋体"/>
          <w:color w:val="auto"/>
          <w:sz w:val="24"/>
          <w:szCs w:val="24"/>
          <w:highlight w:val="none"/>
        </w:rPr>
        <w:t>）登记加入“重庆市政府采购供应商库”</w:t>
      </w:r>
      <w:r>
        <w:rPr>
          <w:rFonts w:hint="eastAsia" w:ascii="宋体" w:hAnsi="宋体" w:eastAsia="宋体" w:cs="宋体"/>
          <w:color w:val="auto"/>
          <w:sz w:val="24"/>
          <w:szCs w:val="24"/>
          <w:highlight w:val="none"/>
          <w:lang w:val="en-US" w:eastAsia="zh-CN"/>
        </w:rPr>
        <w:t>或通过“行采家”（https://www.gec123.com）登记加入“供应商库”。</w:t>
      </w:r>
    </w:p>
    <w:p w14:paraId="789F923B">
      <w:pPr>
        <w:pageBreakBefore w:val="0"/>
        <w:widowControl w:val="0"/>
        <w:shd w:val="clear"/>
        <w:kinsoku/>
        <w:wordWrap/>
        <w:overflowPunct/>
        <w:topLinePunct w:val="0"/>
        <w:autoSpaceDE/>
        <w:autoSpaceDN/>
        <w:bidi w:val="0"/>
        <w:adjustRightInd/>
        <w:spacing w:line="430" w:lineRule="exact"/>
        <w:ind w:right="-168" w:rightChars="-6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凡有意参加竞采的供应商，请于公告发布之日起至提交首次响应文件截止时间之前，在行采家电子竞采平台（https://www.gec123.com/xe/）网上下载本项目竞争性比选文件以及补遗等比选前公布的所有项目资料，无论供应商下载与否，均视为已知晓所有比选实质性要求内容。</w:t>
      </w:r>
    </w:p>
    <w:p w14:paraId="669A7BB9">
      <w:pPr>
        <w:wordWrap w:val="0"/>
        <w:spacing w:line="520" w:lineRule="exac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报名方式：</w:t>
      </w:r>
    </w:p>
    <w:p w14:paraId="361F47B9">
      <w:pPr>
        <w:wordWrap w:val="0"/>
        <w:spacing w:line="52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1.报名和</w:t>
      </w:r>
      <w:r>
        <w:rPr>
          <w:rFonts w:hint="eastAsia" w:ascii="宋体" w:hAnsi="宋体" w:eastAsia="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发售期：</w:t>
      </w:r>
      <w:r>
        <w:rPr>
          <w:rFonts w:hint="eastAsia" w:ascii="宋体" w:hAnsi="宋体" w:cs="宋体"/>
          <w:color w:val="auto"/>
          <w:sz w:val="24"/>
          <w:szCs w:val="24"/>
          <w:highlight w:val="none"/>
          <w:lang w:val="en-US" w:eastAsia="zh-CN"/>
        </w:rPr>
        <w:t>从公告发布之日起至</w:t>
      </w:r>
      <w:r>
        <w:rPr>
          <w:rFonts w:hint="eastAsia" w:ascii="宋体" w:hAnsi="宋体" w:cs="宋体"/>
          <w:color w:val="auto"/>
          <w:sz w:val="24"/>
          <w:szCs w:val="24"/>
          <w:highlight w:val="none"/>
          <w:lang w:val="en-US" w:eastAsia="zh-CN"/>
        </w:rPr>
        <w:t>网上报价截止时间前一天止</w:t>
      </w:r>
      <w:r>
        <w:rPr>
          <w:rFonts w:hint="eastAsia" w:ascii="宋体" w:hAnsi="宋体" w:eastAsia="宋体" w:cs="宋体"/>
          <w:color w:val="auto"/>
          <w:sz w:val="24"/>
          <w:szCs w:val="24"/>
          <w:highlight w:val="none"/>
        </w:rPr>
        <w:t>。</w:t>
      </w:r>
    </w:p>
    <w:p w14:paraId="048A102D">
      <w:pPr>
        <w:wordWrap w:val="0"/>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文件售价：人民币</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00元/份（售后不退）。</w:t>
      </w:r>
    </w:p>
    <w:p w14:paraId="09E3CE8F">
      <w:pPr>
        <w:wordWrap w:val="0"/>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3.报名及</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val="en-US" w:eastAsia="zh-CN"/>
        </w:rPr>
        <w:t>发售</w:t>
      </w:r>
      <w:r>
        <w:rPr>
          <w:rFonts w:hint="eastAsia" w:ascii="宋体" w:hAnsi="宋体" w:eastAsia="宋体" w:cs="宋体"/>
          <w:color w:val="auto"/>
          <w:sz w:val="24"/>
          <w:szCs w:val="24"/>
          <w:highlight w:val="none"/>
        </w:rPr>
        <w:t>：</w:t>
      </w:r>
    </w:p>
    <w:p w14:paraId="722CD636">
      <w:pPr>
        <w:wordWrap w:val="0"/>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本项目采用汇款购买方式，在比选文件发售期内，供应商将比选文件购买费用汇至以下账户内进行购买（注明供应商名称）或采</w:t>
      </w:r>
      <w:r>
        <w:rPr>
          <w:rFonts w:hint="eastAsia" w:ascii="宋体" w:hAnsi="宋体" w:cs="宋体"/>
          <w:color w:val="auto"/>
          <w:sz w:val="24"/>
          <w:szCs w:val="24"/>
          <w:highlight w:val="none"/>
          <w:lang w:val="en-US" w:eastAsia="zh-CN"/>
        </w:rPr>
        <w:t>用</w:t>
      </w:r>
      <w:r>
        <w:rPr>
          <w:rFonts w:hint="eastAsia" w:ascii="宋体" w:hAnsi="宋体" w:eastAsia="宋体" w:cs="宋体"/>
          <w:color w:val="auto"/>
          <w:sz w:val="24"/>
          <w:szCs w:val="24"/>
          <w:highlight w:val="none"/>
        </w:rPr>
        <w:t>现金购买（现金购买前须联系采购代理机构询问具体缴款方式），并将《</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发售登记表》（见附件1，加盖供应商公章）扫描后发送至3248581@qq.com，否则不予受理。</w:t>
      </w:r>
    </w:p>
    <w:p w14:paraId="2F28484E">
      <w:pPr>
        <w:wordWrap w:val="0"/>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账户名称：重庆中祥科达工程项目管理咨询有限公司</w:t>
      </w:r>
    </w:p>
    <w:p w14:paraId="5105CADF">
      <w:pPr>
        <w:wordWrap w:val="0"/>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账户号码：651070638300015</w:t>
      </w:r>
    </w:p>
    <w:p w14:paraId="257178FA">
      <w:pPr>
        <w:wordWrap w:val="0"/>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开户银行：重庆渝北银座村镇银行有限责任公司人和支行</w:t>
      </w:r>
    </w:p>
    <w:p w14:paraId="2F9CAB22">
      <w:pPr>
        <w:pageBreakBefore w:val="0"/>
        <w:widowControl w:val="0"/>
        <w:shd w:val="clear"/>
        <w:kinsoku/>
        <w:wordWrap/>
        <w:overflowPunct/>
        <w:topLinePunct w:val="0"/>
        <w:autoSpaceDE/>
        <w:autoSpaceDN/>
        <w:bidi w:val="0"/>
        <w:adjustRightInd/>
        <w:spacing w:line="430" w:lineRule="exact"/>
        <w:ind w:right="-168" w:rightChars="-60"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注：在</w:t>
      </w:r>
      <w:r>
        <w:rPr>
          <w:rFonts w:hint="eastAsia" w:ascii="宋体" w:hAnsi="宋体" w:eastAsia="宋体" w:cs="宋体"/>
          <w:b/>
          <w:bCs/>
          <w:color w:val="auto"/>
          <w:sz w:val="24"/>
          <w:szCs w:val="24"/>
          <w:highlight w:val="none"/>
          <w:lang w:eastAsia="zh-CN"/>
        </w:rPr>
        <w:t>竞争性比选文件</w:t>
      </w:r>
      <w:r>
        <w:rPr>
          <w:rFonts w:hint="eastAsia" w:ascii="宋体" w:hAnsi="宋体" w:eastAsia="宋体" w:cs="宋体"/>
          <w:b/>
          <w:bCs/>
          <w:color w:val="auto"/>
          <w:sz w:val="24"/>
          <w:szCs w:val="24"/>
          <w:highlight w:val="none"/>
        </w:rPr>
        <w:t>发售期内，按时购买了</w:t>
      </w:r>
      <w:r>
        <w:rPr>
          <w:rFonts w:hint="eastAsia" w:ascii="宋体" w:hAnsi="宋体" w:eastAsia="宋体" w:cs="宋体"/>
          <w:b/>
          <w:bCs/>
          <w:color w:val="auto"/>
          <w:sz w:val="24"/>
          <w:szCs w:val="24"/>
          <w:highlight w:val="none"/>
          <w:lang w:eastAsia="zh-CN"/>
        </w:rPr>
        <w:t>竞争性比选文件</w:t>
      </w:r>
      <w:r>
        <w:rPr>
          <w:rFonts w:hint="eastAsia" w:ascii="宋体" w:hAnsi="宋体" w:eastAsia="宋体" w:cs="宋体"/>
          <w:b/>
          <w:bCs/>
          <w:color w:val="auto"/>
          <w:sz w:val="24"/>
          <w:szCs w:val="24"/>
          <w:highlight w:val="none"/>
        </w:rPr>
        <w:t>并将</w:t>
      </w:r>
      <w:r>
        <w:rPr>
          <w:rFonts w:hint="eastAsia" w:ascii="宋体" w:hAnsi="宋体" w:eastAsia="宋体" w:cs="宋体"/>
          <w:b/>
          <w:bCs/>
          <w:color w:val="auto"/>
          <w:sz w:val="24"/>
          <w:szCs w:val="24"/>
          <w:highlight w:val="none"/>
          <w:lang w:eastAsia="zh-CN"/>
        </w:rPr>
        <w:t>竞争性比选文件</w:t>
      </w:r>
      <w:r>
        <w:rPr>
          <w:rFonts w:hint="eastAsia" w:ascii="宋体" w:hAnsi="宋体" w:eastAsia="宋体" w:cs="宋体"/>
          <w:b/>
          <w:bCs/>
          <w:color w:val="auto"/>
          <w:sz w:val="24"/>
          <w:szCs w:val="24"/>
          <w:highlight w:val="none"/>
        </w:rPr>
        <w:t>发售登记表发送至指定邮箱的供应商，其报名和响应文件才能被接收。</w:t>
      </w:r>
    </w:p>
    <w:p w14:paraId="0458DF80">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）线上报价</w:t>
      </w:r>
    </w:p>
    <w:p w14:paraId="65FDA4C8">
      <w:pPr>
        <w:pageBreakBefore w:val="0"/>
        <w:widowControl w:val="0"/>
        <w:shd w:val="clear"/>
        <w:kinsoku/>
        <w:wordWrap/>
        <w:overflowPunct/>
        <w:topLinePunct w:val="0"/>
        <w:autoSpaceDE/>
        <w:autoSpaceDN/>
        <w:bidi w:val="0"/>
        <w:adjustRightInd/>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1.线上报价时间：按本项目网上公告规定的报价截止时间为准。</w:t>
      </w:r>
    </w:p>
    <w:p w14:paraId="477031A2">
      <w:pPr>
        <w:pageBreakBefore w:val="0"/>
        <w:widowControl w:val="0"/>
        <w:shd w:val="clear"/>
        <w:kinsoku/>
        <w:wordWrap/>
        <w:overflowPunct/>
        <w:topLinePunct w:val="0"/>
        <w:autoSpaceDE/>
        <w:autoSpaceDN/>
        <w:bidi w:val="0"/>
        <w:adjustRightInd/>
        <w:snapToGrid w:val="0"/>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行采家电子竞采平台（https://www.gec123.com/xe/）”进行网上报价，并在规定的时间内上传响应文件电子文档。未在规定时间内报价和上传响应文件电子文档的供应商不具备竞标资格。</w:t>
      </w:r>
    </w:p>
    <w:p w14:paraId="0F191FEA">
      <w:pPr>
        <w:pageBreakBefore w:val="0"/>
        <w:widowControl w:val="0"/>
        <w:shd w:val="clear"/>
        <w:kinsoku/>
        <w:wordWrap/>
        <w:overflowPunct/>
        <w:topLinePunct w:val="0"/>
        <w:autoSpaceDE/>
        <w:autoSpaceDN/>
        <w:bidi w:val="0"/>
        <w:adjustRightInd/>
        <w:snapToGrid w:val="0"/>
        <w:spacing w:line="43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）本项目不举行现场开标仪式，采购人将以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在线上平台上传的响应文件</w:t>
      </w:r>
      <w:r>
        <w:rPr>
          <w:rFonts w:hint="eastAsia" w:ascii="宋体" w:hAnsi="宋体" w:eastAsia="宋体" w:cs="宋体"/>
          <w:color w:val="auto"/>
          <w:sz w:val="24"/>
          <w:szCs w:val="24"/>
          <w:highlight w:val="none"/>
          <w:lang w:val="en-US" w:eastAsia="zh-CN"/>
        </w:rPr>
        <w:t>电子文档</w:t>
      </w:r>
      <w:r>
        <w:rPr>
          <w:rFonts w:hint="eastAsia" w:ascii="宋体" w:hAnsi="宋体" w:eastAsia="宋体" w:cs="宋体"/>
          <w:color w:val="auto"/>
          <w:sz w:val="24"/>
          <w:szCs w:val="24"/>
          <w:highlight w:val="none"/>
          <w:lang w:eastAsia="zh-CN"/>
        </w:rPr>
        <w:t>作为评审依据。</w:t>
      </w:r>
    </w:p>
    <w:p w14:paraId="35FA328F">
      <w:pPr>
        <w:pageBreakBefore w:val="0"/>
        <w:widowControl w:val="0"/>
        <w:shd w:val="clear"/>
        <w:kinsoku/>
        <w:wordWrap/>
        <w:overflowPunct/>
        <w:topLinePunct w:val="0"/>
        <w:autoSpaceDE/>
        <w:autoSpaceDN/>
        <w:bidi w:val="0"/>
        <w:adjustRightInd/>
        <w:snapToGrid w:val="0"/>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供应商制作的响应文件电子文档，须按照要求制作，规定签字、盖章的地方必须按其规定签字、盖章，未按要求制作响应文件的进行</w:t>
      </w:r>
      <w:r>
        <w:rPr>
          <w:rFonts w:hint="eastAsia" w:ascii="宋体" w:hAnsi="宋体" w:eastAsia="宋体" w:cs="宋体"/>
          <w:color w:val="auto"/>
          <w:sz w:val="24"/>
          <w:szCs w:val="24"/>
          <w:highlight w:val="none"/>
          <w:lang w:val="en-US" w:eastAsia="zh-CN"/>
        </w:rPr>
        <w:t>无效响应</w:t>
      </w:r>
      <w:r>
        <w:rPr>
          <w:rFonts w:hint="eastAsia" w:ascii="宋体" w:hAnsi="宋体" w:eastAsia="宋体" w:cs="宋体"/>
          <w:color w:val="auto"/>
          <w:sz w:val="24"/>
          <w:szCs w:val="24"/>
          <w:highlight w:val="none"/>
        </w:rPr>
        <w:t>处理。</w:t>
      </w:r>
    </w:p>
    <w:p w14:paraId="3809E0EE">
      <w:pPr>
        <w:pStyle w:val="3"/>
        <w:pageBreakBefore w:val="0"/>
        <w:widowControl w:val="0"/>
        <w:shd w:val="clear"/>
        <w:kinsoku/>
        <w:wordWrap/>
        <w:overflowPunct/>
        <w:topLinePunct w:val="0"/>
        <w:autoSpaceDE/>
        <w:autoSpaceDN/>
        <w:bidi w:val="0"/>
        <w:adjustRightInd/>
        <w:spacing w:before="0" w:after="0" w:line="430" w:lineRule="exact"/>
        <w:textAlignment w:val="auto"/>
        <w:outlineLvl w:val="1"/>
        <w:rPr>
          <w:rFonts w:hint="eastAsia" w:ascii="宋体" w:hAnsi="宋体" w:eastAsia="宋体" w:cs="宋体"/>
          <w:color w:val="auto"/>
          <w:sz w:val="24"/>
          <w:szCs w:val="24"/>
          <w:highlight w:val="none"/>
        </w:rPr>
      </w:pPr>
      <w:bookmarkStart w:id="32" w:name="_Toc7630"/>
      <w:r>
        <w:rPr>
          <w:rFonts w:hint="eastAsia" w:ascii="宋体" w:hAnsi="宋体" w:eastAsia="宋体" w:cs="宋体"/>
          <w:color w:val="auto"/>
          <w:sz w:val="24"/>
          <w:szCs w:val="24"/>
          <w:highlight w:val="none"/>
        </w:rPr>
        <w:t>五、</w:t>
      </w:r>
      <w:bookmarkEnd w:id="8"/>
      <w:bookmarkEnd w:id="31"/>
      <w:bookmarkStart w:id="33" w:name="_Toc480466699"/>
      <w:r>
        <w:rPr>
          <w:rFonts w:hint="eastAsia" w:ascii="宋体" w:hAnsi="宋体" w:eastAsia="宋体" w:cs="宋体"/>
          <w:color w:val="auto"/>
          <w:sz w:val="24"/>
          <w:szCs w:val="24"/>
          <w:highlight w:val="none"/>
        </w:rPr>
        <w:t>其它有关规定</w:t>
      </w:r>
      <w:bookmarkEnd w:id="32"/>
      <w:bookmarkEnd w:id="33"/>
    </w:p>
    <w:p w14:paraId="58C6BB3B">
      <w:pPr>
        <w:pageBreakBefore w:val="0"/>
        <w:widowControl w:val="0"/>
        <w:shd w:val="clear"/>
        <w:kinsoku/>
        <w:wordWrap/>
        <w:overflowPunct/>
        <w:topLinePunct w:val="0"/>
        <w:autoSpaceDE/>
        <w:autoSpaceDN/>
        <w:bidi w:val="0"/>
        <w:adjustRightInd/>
        <w:snapToGrid w:val="0"/>
        <w:spacing w:line="430" w:lineRule="exact"/>
        <w:ind w:firstLine="360" w:firstLineChars="150"/>
        <w:textAlignment w:val="auto"/>
        <w:rPr>
          <w:rFonts w:hint="eastAsia" w:ascii="宋体" w:hAnsi="宋体" w:eastAsia="宋体" w:cs="宋体"/>
          <w:color w:val="auto"/>
          <w:sz w:val="24"/>
          <w:szCs w:val="24"/>
          <w:highlight w:val="none"/>
        </w:rPr>
      </w:pPr>
      <w:bookmarkStart w:id="34" w:name="_Toc480466700"/>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70633ACB">
      <w:pPr>
        <w:pageBreakBefore w:val="0"/>
        <w:widowControl w:val="0"/>
        <w:shd w:val="clear"/>
        <w:kinsoku/>
        <w:wordWrap/>
        <w:overflowPunct/>
        <w:topLinePunct w:val="0"/>
        <w:autoSpaceDE/>
        <w:autoSpaceDN/>
        <w:bidi w:val="0"/>
        <w:adjustRightInd/>
        <w:snapToGrid w:val="0"/>
        <w:spacing w:line="43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（二）本项目的补遗文件（如果有）一律在</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1"/>
          <w:szCs w:val="21"/>
          <w:highlight w:val="none"/>
          <w:lang w:eastAsia="zh-CN"/>
        </w:rPr>
        <w:t>行采家电子竞采平台</w:t>
      </w:r>
      <w:r>
        <w:rPr>
          <w:rFonts w:hint="eastAsia" w:ascii="宋体" w:hAnsi="宋体" w:eastAsia="宋体" w:cs="宋体"/>
          <w:b/>
          <w:bCs/>
          <w:color w:val="auto"/>
          <w:sz w:val="21"/>
          <w:szCs w:val="21"/>
          <w:highlight w:val="none"/>
        </w:rPr>
        <w:t>（https://www.gec123.com/xe/）</w:t>
      </w:r>
      <w:r>
        <w:rPr>
          <w:rFonts w:hint="eastAsia" w:ascii="宋体" w:hAnsi="宋体" w:eastAsia="宋体" w:cs="宋体"/>
          <w:b/>
          <w:bCs/>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网</w:t>
      </w:r>
      <w:r>
        <w:rPr>
          <w:rFonts w:hint="eastAsia" w:ascii="宋体" w:hAnsi="宋体" w:eastAsia="宋体" w:cs="宋体"/>
          <w:color w:val="auto"/>
          <w:sz w:val="24"/>
          <w:szCs w:val="24"/>
          <w:highlight w:val="none"/>
        </w:rPr>
        <w:t>上发布，请各供应商注意下载；无论供应商下载与否，均视同供应商已知晓本项目补遗文件（如果有）的内容。</w:t>
      </w:r>
    </w:p>
    <w:p w14:paraId="34170EB2">
      <w:pPr>
        <w:pageBreakBefore w:val="0"/>
        <w:widowControl w:val="0"/>
        <w:shd w:val="clear"/>
        <w:kinsoku/>
        <w:wordWrap/>
        <w:overflowPunct/>
        <w:topLinePunct w:val="0"/>
        <w:autoSpaceDE/>
        <w:autoSpaceDN/>
        <w:bidi w:val="0"/>
        <w:adjustRightInd/>
        <w:snapToGrid w:val="0"/>
        <w:spacing w:line="43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（三）网上竞采费用：无论网上竞采结果如何，供应商参与本项目网上竞采的所有费用均应由供应商自行承担。</w:t>
      </w:r>
    </w:p>
    <w:p w14:paraId="7632F958">
      <w:pPr>
        <w:pageBreakBefore w:val="0"/>
        <w:widowControl w:val="0"/>
        <w:shd w:val="clear"/>
        <w:kinsoku/>
        <w:wordWrap/>
        <w:overflowPunct/>
        <w:topLinePunct w:val="0"/>
        <w:autoSpaceDE/>
        <w:autoSpaceDN/>
        <w:bidi w:val="0"/>
        <w:adjustRightInd/>
        <w:snapToGrid w:val="0"/>
        <w:spacing w:line="430" w:lineRule="exact"/>
        <w:ind w:firstLine="361" w:firstLineChars="15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（四）本项目不接受联合体参与网上竞采。</w:t>
      </w:r>
    </w:p>
    <w:p w14:paraId="705B9EB4">
      <w:pPr>
        <w:pageBreakBefore w:val="0"/>
        <w:widowControl w:val="0"/>
        <w:shd w:val="clear"/>
        <w:kinsoku/>
        <w:wordWrap/>
        <w:overflowPunct/>
        <w:topLinePunct w:val="0"/>
        <w:autoSpaceDE/>
        <w:autoSpaceDN/>
        <w:bidi w:val="0"/>
        <w:adjustRightInd/>
        <w:snapToGrid w:val="0"/>
        <w:spacing w:line="43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7191AB7">
      <w:pPr>
        <w:pStyle w:val="3"/>
        <w:pageBreakBefore w:val="0"/>
        <w:widowControl w:val="0"/>
        <w:shd w:val="clear"/>
        <w:kinsoku/>
        <w:wordWrap/>
        <w:overflowPunct/>
        <w:topLinePunct w:val="0"/>
        <w:autoSpaceDE/>
        <w:autoSpaceDN/>
        <w:bidi w:val="0"/>
        <w:adjustRightInd/>
        <w:spacing w:before="0" w:after="0" w:line="430" w:lineRule="exact"/>
        <w:textAlignment w:val="auto"/>
        <w:outlineLvl w:val="1"/>
        <w:rPr>
          <w:rFonts w:hint="eastAsia" w:ascii="宋体" w:hAnsi="宋体" w:eastAsia="宋体" w:cs="宋体"/>
          <w:color w:val="auto"/>
          <w:sz w:val="24"/>
          <w:szCs w:val="24"/>
          <w:highlight w:val="none"/>
        </w:rPr>
      </w:pPr>
      <w:bookmarkStart w:id="35" w:name="_Toc1604"/>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、联系方式</w:t>
      </w:r>
      <w:bookmarkEnd w:id="34"/>
      <w:bookmarkEnd w:id="35"/>
    </w:p>
    <w:p w14:paraId="7BAD6BD1">
      <w:pPr>
        <w:pageBreakBefore w:val="0"/>
        <w:widowControl w:val="0"/>
        <w:shd w:val="clear"/>
        <w:kinsoku/>
        <w:wordWrap/>
        <w:overflowPunct/>
        <w:topLinePunct w:val="0"/>
        <w:autoSpaceDE/>
        <w:autoSpaceDN/>
        <w:bidi w:val="0"/>
        <w:adjustRightInd/>
        <w:snapToGrid w:val="0"/>
        <w:spacing w:line="430" w:lineRule="exact"/>
        <w:ind w:firstLine="480" w:firstLineChars="200"/>
        <w:textAlignment w:val="auto"/>
        <w:rPr>
          <w:rFonts w:hint="eastAsia" w:ascii="宋体" w:hAnsi="宋体" w:eastAsia="宋体" w:cs="宋体"/>
          <w:color w:val="auto"/>
          <w:sz w:val="24"/>
          <w:szCs w:val="24"/>
          <w:highlight w:val="none"/>
          <w:lang w:eastAsia="zh-CN"/>
        </w:rPr>
      </w:pPr>
      <w:bookmarkStart w:id="36" w:name="_Toc18586"/>
      <w:bookmarkStart w:id="37" w:name="_Toc12789058"/>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重庆市第九十五初级中学校</w:t>
      </w:r>
    </w:p>
    <w:p w14:paraId="5F2A36D9">
      <w:pPr>
        <w:pageBreakBefore w:val="0"/>
        <w:widowControl w:val="0"/>
        <w:shd w:val="clear"/>
        <w:kinsoku/>
        <w:wordWrap/>
        <w:overflowPunct/>
        <w:topLinePunct w:val="0"/>
        <w:autoSpaceDE/>
        <w:autoSpaceDN/>
        <w:bidi w:val="0"/>
        <w:adjustRightInd/>
        <w:snapToGrid w:val="0"/>
        <w:spacing w:line="43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项目服务咨询：王老师</w:t>
      </w:r>
    </w:p>
    <w:p w14:paraId="2D276921">
      <w:pPr>
        <w:pageBreakBefore w:val="0"/>
        <w:widowControl w:val="0"/>
        <w:shd w:val="clear"/>
        <w:kinsoku/>
        <w:wordWrap/>
        <w:overflowPunct/>
        <w:topLinePunct w:val="0"/>
        <w:autoSpaceDE/>
        <w:autoSpaceDN/>
        <w:bidi w:val="0"/>
        <w:adjustRightInd/>
        <w:snapToGrid w:val="0"/>
        <w:spacing w:line="43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话：023-81152056 </w:t>
      </w:r>
    </w:p>
    <w:p w14:paraId="50C3F4DB">
      <w:pPr>
        <w:pageBreakBefore w:val="0"/>
        <w:widowControl w:val="0"/>
        <w:shd w:val="clear"/>
        <w:kinsoku/>
        <w:wordWrap/>
        <w:overflowPunct/>
        <w:topLinePunct w:val="0"/>
        <w:autoSpaceDE/>
        <w:autoSpaceDN/>
        <w:bidi w:val="0"/>
        <w:adjustRightInd/>
        <w:snapToGrid w:val="0"/>
        <w:spacing w:line="43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采购需求咨询：刘老师</w:t>
      </w:r>
    </w:p>
    <w:p w14:paraId="7A5A5449">
      <w:pPr>
        <w:pageBreakBefore w:val="0"/>
        <w:widowControl w:val="0"/>
        <w:shd w:val="clear"/>
        <w:kinsoku/>
        <w:wordWrap/>
        <w:overflowPunct/>
        <w:topLinePunct w:val="0"/>
        <w:autoSpaceDE/>
        <w:autoSpaceDN/>
        <w:bidi w:val="0"/>
        <w:adjustRightInd/>
        <w:snapToGrid w:val="0"/>
        <w:spacing w:line="43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18723203211</w:t>
      </w:r>
    </w:p>
    <w:p w14:paraId="45ABFDDC">
      <w:pPr>
        <w:pageBreakBefore w:val="0"/>
        <w:widowControl w:val="0"/>
        <w:shd w:val="clear"/>
        <w:kinsoku/>
        <w:wordWrap/>
        <w:overflowPunct/>
        <w:topLinePunct w:val="0"/>
        <w:autoSpaceDE/>
        <w:autoSpaceDN/>
        <w:bidi w:val="0"/>
        <w:adjustRightInd/>
        <w:snapToGrid w:val="0"/>
        <w:spacing w:line="430" w:lineRule="exact"/>
        <w:ind w:firstLine="1200" w:firstLineChars="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重庆市大渡口区钢花路250号</w:t>
      </w:r>
    </w:p>
    <w:p w14:paraId="138C4CE6">
      <w:pPr>
        <w:pageBreakBefore w:val="0"/>
        <w:widowControl w:val="0"/>
        <w:shd w:val="clear"/>
        <w:kinsoku/>
        <w:wordWrap/>
        <w:overflowPunct/>
        <w:topLinePunct w:val="0"/>
        <w:autoSpaceDE/>
        <w:autoSpaceDN/>
        <w:bidi w:val="0"/>
        <w:adjustRightInd/>
        <w:snapToGrid w:val="0"/>
        <w:spacing w:line="430" w:lineRule="exact"/>
        <w:textAlignment w:val="auto"/>
        <w:rPr>
          <w:rFonts w:hint="eastAsia" w:ascii="宋体" w:hAnsi="宋体" w:eastAsia="宋体" w:cs="宋体"/>
          <w:color w:val="auto"/>
          <w:sz w:val="24"/>
          <w:szCs w:val="24"/>
          <w:highlight w:val="none"/>
        </w:rPr>
      </w:pPr>
    </w:p>
    <w:p w14:paraId="11D6AC85">
      <w:pPr>
        <w:pageBreakBefore w:val="0"/>
        <w:widowControl w:val="0"/>
        <w:shd w:val="clear"/>
        <w:kinsoku/>
        <w:wordWrap/>
        <w:overflowPunct/>
        <w:topLinePunct w:val="0"/>
        <w:autoSpaceDE/>
        <w:autoSpaceDN/>
        <w:bidi w:val="0"/>
        <w:adjustRightInd/>
        <w:snapToGrid w:val="0"/>
        <w:spacing w:line="43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val="en-US" w:eastAsia="zh-CN"/>
        </w:rPr>
        <w:t>重庆中祥科达工程项目管理咨询有限公司</w:t>
      </w:r>
    </w:p>
    <w:p w14:paraId="4D7697C0">
      <w:pPr>
        <w:pageBreakBefore w:val="0"/>
        <w:widowControl w:val="0"/>
        <w:shd w:val="clear"/>
        <w:kinsoku/>
        <w:wordWrap/>
        <w:overflowPunct/>
        <w:topLinePunct w:val="0"/>
        <w:autoSpaceDE/>
        <w:autoSpaceDN/>
        <w:bidi w:val="0"/>
        <w:adjustRightInd/>
        <w:snapToGrid w:val="0"/>
        <w:spacing w:line="430" w:lineRule="exact"/>
        <w:ind w:firstLine="1200" w:firstLineChars="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邓老师</w:t>
      </w:r>
    </w:p>
    <w:p w14:paraId="1F8908FB">
      <w:pPr>
        <w:pageBreakBefore w:val="0"/>
        <w:widowControl w:val="0"/>
        <w:shd w:val="clear"/>
        <w:kinsoku/>
        <w:wordWrap/>
        <w:overflowPunct/>
        <w:topLinePunct w:val="0"/>
        <w:autoSpaceDE/>
        <w:autoSpaceDN/>
        <w:bidi w:val="0"/>
        <w:adjustRightInd/>
        <w:snapToGrid w:val="0"/>
        <w:spacing w:line="430" w:lineRule="exact"/>
        <w:ind w:firstLine="1200" w:firstLineChars="5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13883812832</w:t>
      </w:r>
    </w:p>
    <w:p w14:paraId="6D74840D">
      <w:pPr>
        <w:pageBreakBefore w:val="0"/>
        <w:widowControl w:val="0"/>
        <w:shd w:val="clear"/>
        <w:kinsoku/>
        <w:wordWrap/>
        <w:overflowPunct/>
        <w:topLinePunct w:val="0"/>
        <w:autoSpaceDE/>
        <w:autoSpaceDN/>
        <w:bidi w:val="0"/>
        <w:adjustRightInd/>
        <w:snapToGrid w:val="0"/>
        <w:spacing w:line="430" w:lineRule="exact"/>
        <w:ind w:firstLine="1200" w:firstLineChars="500"/>
        <w:textAlignment w:val="auto"/>
        <w:rPr>
          <w:rFonts w:hint="eastAsia" w:ascii="宋体" w:hAnsi="宋体" w:eastAsia="宋体" w:cs="宋体"/>
          <w:b/>
          <w:color w:val="auto"/>
          <w:sz w:val="24"/>
          <w:szCs w:val="24"/>
          <w:highlight w:val="none"/>
          <w:lang w:val="en-US"/>
        </w:rPr>
        <w:sectPr>
          <w:footerReference r:id="rId7" w:type="default"/>
          <w:pgSz w:w="11907" w:h="16840"/>
          <w:pgMar w:top="1134" w:right="1418" w:bottom="1134" w:left="1418" w:header="397" w:footer="992" w:gutter="0"/>
          <w:pgNumType w:fmt="decimal" w:start="1"/>
          <w:cols w:space="720" w:num="1"/>
          <w:docGrid w:linePitch="312" w:charSpace="0"/>
        </w:sectPr>
      </w:pPr>
      <w:r>
        <w:rPr>
          <w:rFonts w:hint="eastAsia" w:ascii="宋体" w:hAnsi="宋体" w:eastAsia="宋体" w:cs="宋体"/>
          <w:color w:val="auto"/>
          <w:sz w:val="24"/>
          <w:szCs w:val="24"/>
          <w:highlight w:val="none"/>
        </w:rPr>
        <w:t>地  址：重庆市大渡口春晖南路1号1-1</w:t>
      </w:r>
    </w:p>
    <w:p w14:paraId="29F9DA37">
      <w:pPr>
        <w:pStyle w:val="2"/>
        <w:numPr>
          <w:ilvl w:val="0"/>
          <w:numId w:val="2"/>
        </w:numPr>
        <w:shd w:val="clear"/>
        <w:spacing w:line="360" w:lineRule="auto"/>
        <w:jc w:val="center"/>
        <w:outlineLvl w:val="0"/>
        <w:rPr>
          <w:rFonts w:hint="eastAsia" w:ascii="宋体" w:hAnsi="宋体" w:eastAsia="宋体" w:cs="宋体"/>
          <w:b/>
          <w:bCs w:val="0"/>
          <w:color w:val="auto"/>
          <w:sz w:val="36"/>
          <w:szCs w:val="30"/>
          <w:highlight w:val="none"/>
        </w:rPr>
      </w:pPr>
      <w:r>
        <w:rPr>
          <w:rFonts w:hint="eastAsia" w:ascii="宋体" w:hAnsi="宋体" w:eastAsia="宋体" w:cs="宋体"/>
          <w:b/>
          <w:bCs w:val="0"/>
          <w:color w:val="auto"/>
          <w:sz w:val="36"/>
          <w:szCs w:val="30"/>
          <w:highlight w:val="none"/>
        </w:rPr>
        <w:t xml:space="preserve"> </w:t>
      </w:r>
      <w:bookmarkStart w:id="38" w:name="_Toc7396"/>
      <w:r>
        <w:rPr>
          <w:rFonts w:hint="eastAsia" w:ascii="宋体" w:hAnsi="宋体" w:eastAsia="宋体" w:cs="宋体"/>
          <w:b/>
          <w:bCs w:val="0"/>
          <w:color w:val="auto"/>
          <w:sz w:val="36"/>
          <w:szCs w:val="30"/>
          <w:highlight w:val="none"/>
        </w:rPr>
        <w:t>项目</w:t>
      </w:r>
      <w:r>
        <w:rPr>
          <w:rFonts w:hint="eastAsia" w:ascii="宋体" w:hAnsi="宋体" w:eastAsia="宋体" w:cs="宋体"/>
          <w:b/>
          <w:bCs w:val="0"/>
          <w:color w:val="auto"/>
          <w:sz w:val="36"/>
          <w:szCs w:val="30"/>
          <w:highlight w:val="none"/>
          <w:lang w:val="en-US" w:eastAsia="zh-CN"/>
        </w:rPr>
        <w:t>服务</w:t>
      </w:r>
      <w:r>
        <w:rPr>
          <w:rFonts w:hint="eastAsia" w:ascii="宋体" w:hAnsi="宋体" w:eastAsia="宋体" w:cs="宋体"/>
          <w:b/>
          <w:bCs w:val="0"/>
          <w:color w:val="auto"/>
          <w:sz w:val="36"/>
          <w:szCs w:val="30"/>
          <w:highlight w:val="none"/>
        </w:rPr>
        <w:t>需求</w:t>
      </w:r>
      <w:bookmarkEnd w:id="36"/>
      <w:bookmarkEnd w:id="38"/>
    </w:p>
    <w:p w14:paraId="3AC520AD">
      <w:pPr>
        <w:pStyle w:val="3"/>
        <w:adjustRightInd w:val="0"/>
        <w:snapToGrid w:val="0"/>
        <w:spacing w:before="0" w:after="0" w:line="360" w:lineRule="auto"/>
        <w:ind w:firstLine="482" w:firstLineChars="200"/>
        <w:rPr>
          <w:rFonts w:hint="eastAsia" w:ascii="宋体" w:hAnsi="宋体" w:eastAsia="宋体" w:cs="宋体"/>
          <w:b w:val="0"/>
          <w:color w:val="auto"/>
          <w:sz w:val="24"/>
          <w:highlight w:val="none"/>
        </w:rPr>
      </w:pPr>
      <w:bookmarkStart w:id="39" w:name="_Toc21607"/>
      <w:bookmarkStart w:id="40" w:name="_Toc7133"/>
      <w:bookmarkStart w:id="41" w:name="_Toc464637615"/>
      <w:bookmarkStart w:id="42" w:name="_Toc4570"/>
      <w:bookmarkStart w:id="43" w:name="_Toc8713"/>
      <w:bookmarkStart w:id="44" w:name="_Toc23236"/>
      <w:bookmarkStart w:id="45" w:name="_Toc2484"/>
      <w:bookmarkStart w:id="46" w:name="_Toc1342"/>
      <w:bookmarkStart w:id="47" w:name="_Toc15391"/>
      <w:bookmarkStart w:id="48" w:name="_Toc22268"/>
      <w:r>
        <w:rPr>
          <w:rFonts w:hint="eastAsia" w:ascii="宋体" w:hAnsi="宋体" w:eastAsia="宋体" w:cs="宋体"/>
          <w:color w:val="auto"/>
          <w:sz w:val="24"/>
          <w:highlight w:val="none"/>
        </w:rPr>
        <w:t>一、采购项目一览表</w:t>
      </w:r>
      <w:bookmarkEnd w:id="39"/>
      <w:bookmarkEnd w:id="40"/>
      <w:bookmarkEnd w:id="41"/>
      <w:bookmarkEnd w:id="42"/>
      <w:bookmarkStart w:id="49" w:name="_Toc464637616"/>
    </w:p>
    <w:tbl>
      <w:tblPr>
        <w:tblStyle w:val="22"/>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2271"/>
        <w:gridCol w:w="2056"/>
        <w:gridCol w:w="1295"/>
      </w:tblGrid>
      <w:tr w14:paraId="239C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4130" w:type="dxa"/>
            <w:tcBorders>
              <w:top w:val="single" w:color="auto" w:sz="4" w:space="0"/>
              <w:left w:val="single" w:color="auto" w:sz="4" w:space="0"/>
              <w:right w:val="single" w:color="auto" w:sz="4" w:space="0"/>
            </w:tcBorders>
            <w:noWrap w:val="0"/>
            <w:vAlign w:val="center"/>
          </w:tcPr>
          <w:p w14:paraId="1D6A085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271" w:type="dxa"/>
            <w:tcBorders>
              <w:top w:val="single" w:color="auto" w:sz="4" w:space="0"/>
              <w:left w:val="single" w:color="auto" w:sz="4" w:space="0"/>
              <w:right w:val="single" w:color="auto" w:sz="4" w:space="0"/>
            </w:tcBorders>
            <w:noWrap w:val="0"/>
            <w:vAlign w:val="center"/>
          </w:tcPr>
          <w:p w14:paraId="01BD9B17">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竞标总报价限价（元）</w:t>
            </w:r>
          </w:p>
        </w:tc>
        <w:tc>
          <w:tcPr>
            <w:tcW w:w="2056" w:type="dxa"/>
            <w:tcBorders>
              <w:top w:val="single" w:color="auto" w:sz="4" w:space="0"/>
              <w:left w:val="single" w:color="auto" w:sz="4" w:space="0"/>
              <w:right w:val="single" w:color="auto" w:sz="4" w:space="0"/>
            </w:tcBorders>
            <w:noWrap w:val="0"/>
            <w:vAlign w:val="center"/>
          </w:tcPr>
          <w:p w14:paraId="6019A358">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成交供应商数量（名）</w:t>
            </w:r>
          </w:p>
        </w:tc>
        <w:tc>
          <w:tcPr>
            <w:tcW w:w="1295" w:type="dxa"/>
            <w:tcBorders>
              <w:top w:val="single" w:color="auto" w:sz="4" w:space="0"/>
              <w:left w:val="single" w:color="auto" w:sz="4" w:space="0"/>
              <w:right w:val="single" w:color="auto" w:sz="4" w:space="0"/>
            </w:tcBorders>
            <w:noWrap w:val="0"/>
            <w:vAlign w:val="center"/>
          </w:tcPr>
          <w:p w14:paraId="17445C29">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9A7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130" w:type="dxa"/>
            <w:tcBorders>
              <w:top w:val="single" w:color="auto" w:sz="4" w:space="0"/>
              <w:left w:val="single" w:color="auto" w:sz="4" w:space="0"/>
              <w:right w:val="single" w:color="auto" w:sz="4" w:space="0"/>
            </w:tcBorders>
            <w:noWrap w:val="0"/>
            <w:vAlign w:val="center"/>
          </w:tcPr>
          <w:p w14:paraId="6C8368A1">
            <w:pPr>
              <w:spacing w:line="30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重庆市第九十五初级中学校2024-2025年职工体检服务</w:t>
            </w:r>
          </w:p>
        </w:tc>
        <w:tc>
          <w:tcPr>
            <w:tcW w:w="2271" w:type="dxa"/>
            <w:tcBorders>
              <w:top w:val="single" w:color="auto" w:sz="4" w:space="0"/>
              <w:left w:val="single" w:color="auto" w:sz="4" w:space="0"/>
              <w:right w:val="single" w:color="auto" w:sz="4" w:space="0"/>
            </w:tcBorders>
            <w:noWrap w:val="0"/>
            <w:vAlign w:val="center"/>
          </w:tcPr>
          <w:p w14:paraId="127BC836">
            <w:pPr>
              <w:spacing w:line="30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272400</w:t>
            </w:r>
            <w:r>
              <w:rPr>
                <w:rFonts w:hint="eastAsia" w:ascii="宋体" w:hAnsi="宋体" w:eastAsia="宋体" w:cs="宋体"/>
                <w:color w:val="auto"/>
                <w:sz w:val="24"/>
                <w:szCs w:val="24"/>
                <w:highlight w:val="none"/>
              </w:rPr>
              <w:t>.00</w:t>
            </w:r>
          </w:p>
        </w:tc>
        <w:tc>
          <w:tcPr>
            <w:tcW w:w="2056" w:type="dxa"/>
            <w:tcBorders>
              <w:top w:val="single" w:color="auto" w:sz="4" w:space="0"/>
              <w:left w:val="single" w:color="auto" w:sz="4" w:space="0"/>
              <w:right w:val="single" w:color="auto" w:sz="4" w:space="0"/>
            </w:tcBorders>
            <w:noWrap w:val="0"/>
            <w:vAlign w:val="center"/>
          </w:tcPr>
          <w:p w14:paraId="1BCECA97">
            <w:pPr>
              <w:spacing w:line="30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95" w:type="dxa"/>
            <w:tcBorders>
              <w:top w:val="single" w:color="auto" w:sz="4" w:space="0"/>
              <w:left w:val="single" w:color="auto" w:sz="4" w:space="0"/>
              <w:right w:val="single" w:color="auto" w:sz="4" w:space="0"/>
            </w:tcBorders>
            <w:shd w:val="clear" w:color="auto" w:fill="auto"/>
            <w:noWrap w:val="0"/>
            <w:vAlign w:val="center"/>
          </w:tcPr>
          <w:p w14:paraId="7FC889F9">
            <w:pPr>
              <w:widowControl/>
              <w:rPr>
                <w:rFonts w:hint="eastAsia" w:ascii="宋体" w:hAnsi="宋体" w:eastAsia="宋体" w:cs="宋体"/>
                <w:color w:val="auto"/>
                <w:kern w:val="2"/>
                <w:sz w:val="24"/>
                <w:szCs w:val="24"/>
                <w:highlight w:val="none"/>
                <w:lang w:val="en-US" w:eastAsia="zh-CN" w:bidi="ar-SA"/>
              </w:rPr>
            </w:pPr>
          </w:p>
        </w:tc>
      </w:tr>
    </w:tbl>
    <w:p w14:paraId="16D9C01D">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50" w:name="_Toc16048"/>
      <w:bookmarkStart w:id="51" w:name="_Toc16736"/>
      <w:bookmarkStart w:id="52" w:name="_Toc14692"/>
      <w:r>
        <w:rPr>
          <w:rFonts w:hint="eastAsia" w:ascii="宋体" w:hAnsi="宋体" w:eastAsia="宋体" w:cs="宋体"/>
          <w:color w:val="auto"/>
          <w:sz w:val="24"/>
          <w:highlight w:val="none"/>
        </w:rPr>
        <w:t>二、服务要求</w:t>
      </w:r>
      <w:bookmarkEnd w:id="49"/>
      <w:bookmarkEnd w:id="50"/>
      <w:bookmarkEnd w:id="51"/>
      <w:bookmarkEnd w:id="52"/>
    </w:p>
    <w:tbl>
      <w:tblPr>
        <w:tblStyle w:val="22"/>
        <w:tblpPr w:leftFromText="180" w:rightFromText="180" w:vertAnchor="text" w:horzAnchor="page" w:tblpX="1188" w:tblpY="457"/>
        <w:tblOverlap w:val="never"/>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898"/>
        <w:gridCol w:w="1278"/>
        <w:gridCol w:w="1896"/>
        <w:gridCol w:w="1920"/>
        <w:gridCol w:w="2873"/>
      </w:tblGrid>
      <w:tr w14:paraId="1D73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89" w:type="dxa"/>
            <w:vMerge w:val="restart"/>
            <w:noWrap w:val="0"/>
            <w:vAlign w:val="center"/>
          </w:tcPr>
          <w:p w14:paraId="71D69BC1">
            <w:pPr>
              <w:widowControl/>
              <w:jc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服务内容</w:t>
            </w:r>
          </w:p>
        </w:tc>
        <w:tc>
          <w:tcPr>
            <w:tcW w:w="898" w:type="dxa"/>
            <w:vMerge w:val="restart"/>
            <w:noWrap w:val="0"/>
            <w:vAlign w:val="center"/>
          </w:tcPr>
          <w:p w14:paraId="3F38F45A">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健</w:t>
            </w:r>
            <w:r>
              <w:rPr>
                <w:rFonts w:hint="eastAsia" w:ascii="宋体" w:hAnsi="宋体" w:eastAsia="宋体" w:cs="宋体"/>
                <w:color w:val="auto"/>
                <w:sz w:val="24"/>
                <w:szCs w:val="24"/>
                <w:highlight w:val="none"/>
              </w:rPr>
              <w:t>康体检</w:t>
            </w:r>
          </w:p>
        </w:tc>
        <w:tc>
          <w:tcPr>
            <w:tcW w:w="1278" w:type="dxa"/>
            <w:noWrap w:val="0"/>
            <w:vAlign w:val="center"/>
          </w:tcPr>
          <w:p w14:paraId="376190B6">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人数</w:t>
            </w:r>
          </w:p>
        </w:tc>
        <w:tc>
          <w:tcPr>
            <w:tcW w:w="1896" w:type="dxa"/>
            <w:noWrap w:val="0"/>
            <w:vAlign w:val="center"/>
          </w:tcPr>
          <w:p w14:paraId="41E5EE0C">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w:t>
            </w:r>
          </w:p>
        </w:tc>
        <w:tc>
          <w:tcPr>
            <w:tcW w:w="1920" w:type="dxa"/>
            <w:noWrap w:val="0"/>
            <w:vAlign w:val="center"/>
          </w:tcPr>
          <w:p w14:paraId="170F5B74">
            <w:pPr>
              <w:widowControl/>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单价最高限价</w:t>
            </w:r>
            <w:r>
              <w:rPr>
                <w:rFonts w:hint="eastAsia" w:ascii="宋体" w:hAnsi="宋体" w:eastAsia="宋体" w:cs="宋体"/>
                <w:b/>
                <w:bCs/>
                <w:color w:val="auto"/>
                <w:sz w:val="24"/>
                <w:szCs w:val="24"/>
                <w:highlight w:val="none"/>
              </w:rPr>
              <w:t>（元/每人）</w:t>
            </w:r>
          </w:p>
        </w:tc>
        <w:tc>
          <w:tcPr>
            <w:tcW w:w="2873" w:type="dxa"/>
            <w:noWrap w:val="0"/>
            <w:vAlign w:val="center"/>
          </w:tcPr>
          <w:p w14:paraId="2E4ADBF1">
            <w:pPr>
              <w:widowControl/>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备注</w:t>
            </w:r>
          </w:p>
        </w:tc>
      </w:tr>
      <w:tr w14:paraId="7D58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89" w:type="dxa"/>
            <w:vMerge w:val="continue"/>
            <w:noWrap w:val="0"/>
            <w:vAlign w:val="center"/>
          </w:tcPr>
          <w:p w14:paraId="19343174">
            <w:pPr>
              <w:widowControl/>
              <w:jc w:val="center"/>
              <w:rPr>
                <w:rFonts w:hint="eastAsia" w:ascii="宋体" w:hAnsi="宋体" w:eastAsia="宋体" w:cs="宋体"/>
                <w:color w:val="auto"/>
                <w:sz w:val="24"/>
                <w:szCs w:val="24"/>
                <w:highlight w:val="none"/>
              </w:rPr>
            </w:pPr>
          </w:p>
        </w:tc>
        <w:tc>
          <w:tcPr>
            <w:tcW w:w="898" w:type="dxa"/>
            <w:vMerge w:val="continue"/>
            <w:noWrap w:val="0"/>
            <w:vAlign w:val="center"/>
          </w:tcPr>
          <w:p w14:paraId="0B6B1DA2">
            <w:pPr>
              <w:widowControl/>
              <w:spacing w:line="320" w:lineRule="exact"/>
              <w:jc w:val="center"/>
              <w:rPr>
                <w:rFonts w:hint="eastAsia" w:ascii="宋体" w:hAnsi="宋体" w:eastAsia="宋体" w:cs="宋体"/>
                <w:color w:val="auto"/>
                <w:sz w:val="24"/>
                <w:szCs w:val="24"/>
                <w:highlight w:val="none"/>
              </w:rPr>
            </w:pPr>
          </w:p>
        </w:tc>
        <w:tc>
          <w:tcPr>
            <w:tcW w:w="1278" w:type="dxa"/>
            <w:noWrap w:val="0"/>
            <w:vAlign w:val="center"/>
          </w:tcPr>
          <w:p w14:paraId="2E780963">
            <w:pPr>
              <w:pStyle w:val="7"/>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454</w:t>
            </w:r>
          </w:p>
        </w:tc>
        <w:tc>
          <w:tcPr>
            <w:tcW w:w="1896" w:type="dxa"/>
            <w:noWrap w:val="0"/>
            <w:vAlign w:val="center"/>
          </w:tcPr>
          <w:p w14:paraId="3A39122C">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在编在岗</w:t>
            </w:r>
            <w:r>
              <w:rPr>
                <w:rFonts w:hint="eastAsia" w:ascii="宋体" w:hAnsi="宋体" w:eastAsia="宋体" w:cs="宋体"/>
                <w:color w:val="auto"/>
                <w:sz w:val="24"/>
                <w:szCs w:val="24"/>
                <w:highlight w:val="none"/>
              </w:rPr>
              <w:t>教职工</w:t>
            </w:r>
            <w:r>
              <w:rPr>
                <w:rFonts w:hint="eastAsia" w:ascii="宋体" w:hAnsi="宋体" w:eastAsia="宋体" w:cs="宋体"/>
                <w:color w:val="auto"/>
                <w:sz w:val="24"/>
                <w:szCs w:val="24"/>
                <w:highlight w:val="none"/>
                <w:lang w:eastAsia="zh-CN"/>
              </w:rPr>
              <w:t>体检</w:t>
            </w:r>
            <w:r>
              <w:rPr>
                <w:rFonts w:hint="eastAsia" w:ascii="宋体" w:hAnsi="宋体" w:eastAsia="宋体" w:cs="宋体"/>
                <w:color w:val="auto"/>
                <w:sz w:val="24"/>
                <w:szCs w:val="24"/>
                <w:highlight w:val="none"/>
              </w:rPr>
              <w:t>经费标准</w:t>
            </w:r>
          </w:p>
          <w:p w14:paraId="370C2E39">
            <w:pPr>
              <w:widowControl/>
              <w:jc w:val="center"/>
              <w:rPr>
                <w:rFonts w:hint="eastAsia" w:ascii="宋体" w:hAnsi="宋体" w:eastAsia="宋体" w:cs="宋体"/>
                <w:b/>
                <w:bCs/>
                <w:color w:val="auto"/>
                <w:sz w:val="24"/>
                <w:szCs w:val="24"/>
                <w:highlight w:val="none"/>
              </w:rPr>
            </w:pPr>
          </w:p>
        </w:tc>
        <w:tc>
          <w:tcPr>
            <w:tcW w:w="1920" w:type="dxa"/>
            <w:noWrap w:val="0"/>
            <w:vAlign w:val="center"/>
          </w:tcPr>
          <w:p w14:paraId="108456EF">
            <w:pPr>
              <w:widowControl/>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600</w:t>
            </w:r>
            <w:r>
              <w:rPr>
                <w:rFonts w:hint="eastAsia" w:ascii="宋体" w:hAnsi="宋体" w:eastAsia="宋体" w:cs="宋体"/>
                <w:color w:val="auto"/>
                <w:sz w:val="24"/>
                <w:szCs w:val="24"/>
                <w:highlight w:val="none"/>
                <w:lang w:val="en-US" w:eastAsia="zh-CN"/>
              </w:rPr>
              <w:t>元/人</w:t>
            </w:r>
          </w:p>
        </w:tc>
        <w:tc>
          <w:tcPr>
            <w:tcW w:w="2873" w:type="dxa"/>
            <w:vMerge w:val="restart"/>
            <w:noWrap w:val="0"/>
            <w:vAlign w:val="center"/>
          </w:tcPr>
          <w:p w14:paraId="04DF634C">
            <w:pPr>
              <w:widowControl/>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在编在岗</w:t>
            </w:r>
            <w:r>
              <w:rPr>
                <w:rFonts w:hint="eastAsia" w:ascii="宋体" w:hAnsi="宋体" w:eastAsia="宋体" w:cs="宋体"/>
                <w:color w:val="auto"/>
                <w:sz w:val="24"/>
                <w:szCs w:val="24"/>
                <w:highlight w:val="none"/>
              </w:rPr>
              <w:t>教职工</w:t>
            </w:r>
            <w:r>
              <w:rPr>
                <w:rFonts w:hint="eastAsia" w:ascii="宋体" w:hAnsi="宋体" w:eastAsia="宋体" w:cs="宋体"/>
                <w:color w:val="auto"/>
                <w:sz w:val="24"/>
                <w:szCs w:val="24"/>
                <w:highlight w:val="none"/>
                <w:lang w:eastAsia="zh-CN"/>
              </w:rPr>
              <w:t>体检</w:t>
            </w:r>
            <w:r>
              <w:rPr>
                <w:rFonts w:hint="eastAsia" w:ascii="宋体" w:hAnsi="宋体" w:eastAsia="宋体" w:cs="宋体"/>
                <w:color w:val="auto"/>
                <w:sz w:val="24"/>
                <w:szCs w:val="24"/>
                <w:highlight w:val="none"/>
              </w:rPr>
              <w:t>经费标准执行</w:t>
            </w:r>
            <w:r>
              <w:rPr>
                <w:rFonts w:hint="eastAsia" w:ascii="宋体" w:hAnsi="宋体" w:eastAsia="宋体" w:cs="宋体"/>
                <w:color w:val="auto"/>
                <w:sz w:val="24"/>
                <w:szCs w:val="24"/>
                <w:highlight w:val="none"/>
                <w:lang w:eastAsia="zh-CN"/>
              </w:rPr>
              <w:t>；</w:t>
            </w:r>
          </w:p>
          <w:p w14:paraId="62F107BA">
            <w:pPr>
              <w:widowControl/>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超过单价最高限价</w:t>
            </w:r>
            <w:r>
              <w:rPr>
                <w:rFonts w:hint="eastAsia" w:ascii="宋体" w:hAnsi="宋体" w:eastAsia="宋体" w:cs="宋体"/>
                <w:color w:val="auto"/>
                <w:sz w:val="24"/>
                <w:szCs w:val="24"/>
                <w:highlight w:val="none"/>
                <w:lang w:eastAsia="zh-CN"/>
              </w:rPr>
              <w:t>或总价最高限价</w:t>
            </w:r>
            <w:r>
              <w:rPr>
                <w:rFonts w:hint="eastAsia" w:ascii="宋体" w:hAnsi="宋体" w:eastAsia="宋体" w:cs="宋体"/>
                <w:color w:val="auto"/>
                <w:sz w:val="24"/>
                <w:szCs w:val="24"/>
                <w:highlight w:val="none"/>
              </w:rPr>
              <w:t>的将失去成为入围候选供应商的资格</w:t>
            </w:r>
            <w:r>
              <w:rPr>
                <w:rFonts w:hint="eastAsia" w:ascii="宋体" w:hAnsi="宋体" w:eastAsia="宋体" w:cs="宋体"/>
                <w:color w:val="auto"/>
                <w:sz w:val="24"/>
                <w:szCs w:val="24"/>
                <w:highlight w:val="none"/>
                <w:lang w:eastAsia="zh-CN"/>
              </w:rPr>
              <w:t>。</w:t>
            </w:r>
          </w:p>
          <w:p w14:paraId="3F677D45">
            <w:pPr>
              <w:widowControl/>
              <w:spacing w:line="320" w:lineRule="exact"/>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3.每年体检人数为227人，两年为227*2=454人。</w:t>
            </w:r>
          </w:p>
        </w:tc>
      </w:tr>
      <w:tr w14:paraId="55B7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061" w:type="dxa"/>
            <w:gridSpan w:val="4"/>
            <w:noWrap w:val="0"/>
            <w:vAlign w:val="center"/>
          </w:tcPr>
          <w:p w14:paraId="05CAEE59">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预算总金额（元）</w:t>
            </w:r>
          </w:p>
        </w:tc>
        <w:tc>
          <w:tcPr>
            <w:tcW w:w="1920" w:type="dxa"/>
            <w:noWrap w:val="0"/>
            <w:vAlign w:val="center"/>
          </w:tcPr>
          <w:p w14:paraId="49178502">
            <w:pPr>
              <w:widowControl/>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272400.00</w:t>
            </w:r>
          </w:p>
        </w:tc>
        <w:tc>
          <w:tcPr>
            <w:tcW w:w="2873" w:type="dxa"/>
            <w:vMerge w:val="continue"/>
            <w:noWrap w:val="0"/>
            <w:vAlign w:val="center"/>
          </w:tcPr>
          <w:p w14:paraId="6B7EE8BA">
            <w:pPr>
              <w:widowControl/>
              <w:spacing w:line="320" w:lineRule="exact"/>
              <w:jc w:val="left"/>
              <w:rPr>
                <w:rFonts w:hint="eastAsia" w:ascii="宋体" w:hAnsi="宋体" w:eastAsia="宋体" w:cs="宋体"/>
                <w:color w:val="auto"/>
                <w:sz w:val="24"/>
                <w:szCs w:val="24"/>
                <w:highlight w:val="none"/>
              </w:rPr>
            </w:pPr>
          </w:p>
        </w:tc>
      </w:tr>
    </w:tbl>
    <w:p w14:paraId="6473ED6C">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53" w:name="_Toc11983"/>
      <w:bookmarkStart w:id="54" w:name="_Toc14020"/>
      <w:r>
        <w:rPr>
          <w:rFonts w:hint="eastAsia" w:ascii="宋体" w:hAnsi="宋体" w:eastAsia="宋体" w:cs="宋体"/>
          <w:color w:val="auto"/>
          <w:sz w:val="24"/>
          <w:highlight w:val="none"/>
        </w:rPr>
        <w:t>三、体检项目</w:t>
      </w:r>
      <w:bookmarkEnd w:id="53"/>
      <w:bookmarkEnd w:id="54"/>
    </w:p>
    <w:tbl>
      <w:tblPr>
        <w:tblStyle w:val="22"/>
        <w:tblW w:w="9733" w:type="dxa"/>
        <w:tblInd w:w="-62" w:type="dxa"/>
        <w:tblLayout w:type="autofit"/>
        <w:tblCellMar>
          <w:top w:w="0" w:type="dxa"/>
          <w:left w:w="108" w:type="dxa"/>
          <w:bottom w:w="0" w:type="dxa"/>
          <w:right w:w="108" w:type="dxa"/>
        </w:tblCellMar>
      </w:tblPr>
      <w:tblGrid>
        <w:gridCol w:w="1756"/>
        <w:gridCol w:w="3497"/>
        <w:gridCol w:w="4480"/>
      </w:tblGrid>
      <w:tr w14:paraId="15C91BF5">
        <w:tblPrEx>
          <w:tblCellMar>
            <w:top w:w="0" w:type="dxa"/>
            <w:left w:w="108" w:type="dxa"/>
            <w:bottom w:w="0" w:type="dxa"/>
            <w:right w:w="108" w:type="dxa"/>
          </w:tblCellMar>
        </w:tblPrEx>
        <w:trPr>
          <w:trHeight w:val="439" w:hRule="atLeast"/>
        </w:trPr>
        <w:tc>
          <w:tcPr>
            <w:tcW w:w="9733" w:type="dxa"/>
            <w:gridSpan w:val="3"/>
            <w:tcBorders>
              <w:top w:val="single" w:color="auto" w:sz="4" w:space="0"/>
              <w:left w:val="single" w:color="000000" w:sz="4" w:space="0"/>
              <w:bottom w:val="single" w:color="000000" w:sz="4" w:space="0"/>
              <w:right w:val="single" w:color="000000" w:sz="4" w:space="0"/>
            </w:tcBorders>
            <w:noWrap w:val="0"/>
            <w:vAlign w:val="center"/>
          </w:tcPr>
          <w:p w14:paraId="7D15251B">
            <w:pPr>
              <w:spacing w:line="40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一、男性套餐</w:t>
            </w:r>
          </w:p>
        </w:tc>
      </w:tr>
      <w:tr w14:paraId="3AFF1E27">
        <w:tblPrEx>
          <w:tblCellMar>
            <w:top w:w="0" w:type="dxa"/>
            <w:left w:w="108" w:type="dxa"/>
            <w:bottom w:w="0" w:type="dxa"/>
            <w:right w:w="108" w:type="dxa"/>
          </w:tblCellMar>
        </w:tblPrEx>
        <w:trPr>
          <w:trHeight w:val="439" w:hRule="atLeast"/>
        </w:trPr>
        <w:tc>
          <w:tcPr>
            <w:tcW w:w="1756" w:type="dxa"/>
            <w:tcBorders>
              <w:top w:val="single" w:color="auto" w:sz="4" w:space="0"/>
              <w:left w:val="single" w:color="000000" w:sz="4" w:space="0"/>
              <w:bottom w:val="single" w:color="000000" w:sz="4" w:space="0"/>
              <w:right w:val="single" w:color="000000" w:sz="4" w:space="0"/>
            </w:tcBorders>
            <w:noWrap w:val="0"/>
            <w:vAlign w:val="center"/>
          </w:tcPr>
          <w:p w14:paraId="1E7F344F">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体检项目</w:t>
            </w:r>
          </w:p>
        </w:tc>
        <w:tc>
          <w:tcPr>
            <w:tcW w:w="3497" w:type="dxa"/>
            <w:tcBorders>
              <w:top w:val="single" w:color="auto" w:sz="4" w:space="0"/>
              <w:left w:val="single" w:color="000000" w:sz="4" w:space="0"/>
              <w:bottom w:val="single" w:color="000000" w:sz="4" w:space="0"/>
              <w:right w:val="single" w:color="000000" w:sz="4" w:space="0"/>
            </w:tcBorders>
            <w:noWrap w:val="0"/>
            <w:vAlign w:val="center"/>
          </w:tcPr>
          <w:p w14:paraId="1E89FFA0">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具体内容</w:t>
            </w:r>
          </w:p>
        </w:tc>
        <w:tc>
          <w:tcPr>
            <w:tcW w:w="4480" w:type="dxa"/>
            <w:tcBorders>
              <w:top w:val="single" w:color="auto" w:sz="4" w:space="0"/>
              <w:left w:val="single" w:color="000000" w:sz="4" w:space="0"/>
              <w:bottom w:val="single" w:color="000000" w:sz="4" w:space="0"/>
              <w:right w:val="single" w:color="000000" w:sz="4" w:space="0"/>
            </w:tcBorders>
            <w:noWrap w:val="0"/>
            <w:vAlign w:val="center"/>
          </w:tcPr>
          <w:p w14:paraId="03737BDA">
            <w:pPr>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项目意义</w:t>
            </w:r>
          </w:p>
        </w:tc>
      </w:tr>
      <w:tr w14:paraId="3F252035">
        <w:tblPrEx>
          <w:tblCellMar>
            <w:top w:w="0" w:type="dxa"/>
            <w:left w:w="108" w:type="dxa"/>
            <w:bottom w:w="0" w:type="dxa"/>
            <w:right w:w="108" w:type="dxa"/>
          </w:tblCellMar>
        </w:tblPrEx>
        <w:trPr>
          <w:trHeight w:val="642"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5C767684">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尿常规</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59F66B72">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白细胞、红细胞、葡萄糖、酮体、潜血等</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52603B8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检查有无泌尿系统感染及肾脏疾病的初步筛查</w:t>
            </w:r>
          </w:p>
        </w:tc>
      </w:tr>
      <w:tr w14:paraId="715B2C82">
        <w:tblPrEx>
          <w:tblCellMar>
            <w:top w:w="0" w:type="dxa"/>
            <w:left w:w="108" w:type="dxa"/>
            <w:bottom w:w="0" w:type="dxa"/>
            <w:right w:w="108" w:type="dxa"/>
          </w:tblCellMar>
        </w:tblPrEx>
        <w:trPr>
          <w:trHeight w:val="642"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466F79A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血常规</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72A2A03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白细胞、红细胞、血小板等血液常规检测</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35EC7761">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了解有无感染、贫血、炎症及血液病等疾病</w:t>
            </w:r>
          </w:p>
        </w:tc>
      </w:tr>
      <w:tr w14:paraId="4825282B">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0D6FDB2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肝功</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项</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4AF04DA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总胆红素、ALT/AST、总蛋白、球蛋白等12项检查</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75AB4130">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检查肝胆代谢功能有无异常</w:t>
            </w:r>
          </w:p>
        </w:tc>
      </w:tr>
      <w:tr w14:paraId="6C0DC7D5">
        <w:tblPrEx>
          <w:tblCellMar>
            <w:top w:w="0" w:type="dxa"/>
            <w:left w:w="108" w:type="dxa"/>
            <w:bottom w:w="0" w:type="dxa"/>
            <w:right w:w="108" w:type="dxa"/>
          </w:tblCellMar>
        </w:tblPrEx>
        <w:trPr>
          <w:trHeight w:val="582"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6257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肾功4项</w:t>
            </w:r>
          </w:p>
        </w:tc>
        <w:tc>
          <w:tcPr>
            <w:tcW w:w="34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D1372">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尿素氮、肌酐、尿酸</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0636A37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检查有无肾功能异常及尿酸增高</w:t>
            </w:r>
          </w:p>
        </w:tc>
      </w:tr>
      <w:tr w14:paraId="6AA4A028">
        <w:tblPrEx>
          <w:tblCellMar>
            <w:top w:w="0" w:type="dxa"/>
            <w:left w:w="108" w:type="dxa"/>
            <w:bottom w:w="0" w:type="dxa"/>
            <w:right w:w="108" w:type="dxa"/>
          </w:tblCellMar>
        </w:tblPrEx>
        <w:trPr>
          <w:trHeight w:val="55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204B3EC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血脂5项</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3067037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甘油三酯、胆固醇、高密度脂蛋白、低密度脂蛋白</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2E4C6EEB">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评价血脂代谢是否紊乱及动脉粥样硬化性疾 病危险度预测</w:t>
            </w:r>
          </w:p>
        </w:tc>
      </w:tr>
      <w:tr w14:paraId="25AE1F31">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4C2712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血糖</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41872D3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空腹血糖水平</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7C886EEE">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判断有无糖尿病</w:t>
            </w:r>
          </w:p>
        </w:tc>
      </w:tr>
      <w:tr w14:paraId="78710B1C">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597749D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C-13呼气试验（幽门螺旋杆菌）</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1B1D1F5A">
            <w:pPr>
              <w:widowControl/>
              <w:jc w:val="left"/>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幽门螺旋杆菌</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59703FEC">
            <w:pPr>
              <w:widowControl/>
              <w:jc w:val="left"/>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胃部幽门螺旋杆菌的筛查</w:t>
            </w:r>
          </w:p>
        </w:tc>
      </w:tr>
      <w:tr w14:paraId="637DDE54">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2A16F5EE">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FT3、FT3、T3、T4、TSH甲功全套(内分泌)</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704D76C8">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FT3、FT3、T3、T4、TSH</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3A592612">
            <w:pPr>
              <w:widowControl/>
              <w:jc w:val="left"/>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检查甲状腺内分泌，甲亢、甲减的筛查</w:t>
            </w:r>
          </w:p>
        </w:tc>
      </w:tr>
      <w:tr w14:paraId="5D1F5F0B">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3762C68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血流变学</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1A654BAF">
            <w:pPr>
              <w:widowControl/>
              <w:jc w:val="left"/>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血液粘稠度</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7FF2D98F">
            <w:pPr>
              <w:widowControl/>
              <w:jc w:val="left"/>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检查血液粘稠度</w:t>
            </w:r>
          </w:p>
        </w:tc>
      </w:tr>
      <w:tr w14:paraId="30D16D87">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0A4CA09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肿瘤标志物6项</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38A29974">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AFP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CEA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CA1</w:t>
            </w:r>
            <w:r>
              <w:rPr>
                <w:rFonts w:hint="eastAsia" w:ascii="宋体" w:hAnsi="宋体" w:cs="宋体"/>
                <w:color w:val="auto"/>
                <w:sz w:val="24"/>
                <w:szCs w:val="24"/>
                <w:highlight w:val="none"/>
                <w:lang w:val="en-US" w:eastAsia="zh-CN"/>
              </w:rPr>
              <w:t>99</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TPSA</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FPSA</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CYFRA21-1</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3C08667D">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用于原发性肝癌早期筛查，胰腺癌、胆管癌、消化道、前列腺、卵巢有无肿瘤的辅助诊断</w:t>
            </w:r>
          </w:p>
        </w:tc>
      </w:tr>
      <w:tr w14:paraId="6C378DDF">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DEA2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十二导心电图</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0B96A">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心率、12心电图波形</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0C85A">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判断有无心律失常、心肌病变等</w:t>
            </w:r>
          </w:p>
        </w:tc>
      </w:tr>
      <w:tr w14:paraId="4BACF7B1">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B7B29">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腹部彩超</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86B1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肝胆胰脾肾</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74B30">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筛查有无占位性病变，脂肪肝，肝胆结石等疾病</w:t>
            </w:r>
          </w:p>
        </w:tc>
      </w:tr>
      <w:tr w14:paraId="220A8F12">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96B1A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泌尿系彩超</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A3152">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膀胱、前列腺、输尿管</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8C1EF">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检查前列腺有无增生、肥大及占位性病变</w:t>
            </w:r>
          </w:p>
        </w:tc>
      </w:tr>
      <w:tr w14:paraId="38AEEE7A">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344D56">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甲状腺彩超</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911CB">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甲状腺大小、形态、血流情况</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B63E1">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检查甲状腺有无结节、肿瘤、囊肿等</w:t>
            </w:r>
          </w:p>
        </w:tc>
      </w:tr>
      <w:tr w14:paraId="3644F232">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D31FF">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胸部CT</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6325B">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肺部解剖结构、组织形态</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5960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检查肺部有无炎症、结核及肺癌等</w:t>
            </w:r>
          </w:p>
        </w:tc>
      </w:tr>
      <w:tr w14:paraId="3AF82DCC">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CEDE6B">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TCD（脑血流图）</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4C387">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颅外血管狭窄、血流、痉挛</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0B6DDE">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检查脑血管的血流情况</w:t>
            </w:r>
          </w:p>
        </w:tc>
      </w:tr>
      <w:tr w14:paraId="54524327">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13AE5">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动脉硬化检查</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B32CE">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血管狭窄、硬化、血流情况</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05F822">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评估血管弹性、斑块、血流情况及相关风险因素</w:t>
            </w:r>
          </w:p>
        </w:tc>
      </w:tr>
      <w:tr w14:paraId="48AB2246">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E5B40">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一般体检</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AFE3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身高、体重、血压、腰围、臀围</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1BEB1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身高、体重、血压、腰围、臀围</w:t>
            </w:r>
          </w:p>
        </w:tc>
      </w:tr>
      <w:tr w14:paraId="5D232D0D">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76CB0">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AE393">
            <w:pPr>
              <w:widowControl/>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采血费、耗材费等</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0321C">
            <w:pPr>
              <w:widowControl/>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采血费、耗材费等</w:t>
            </w:r>
          </w:p>
        </w:tc>
      </w:tr>
      <w:tr w14:paraId="06777847">
        <w:tblPrEx>
          <w:tblCellMar>
            <w:top w:w="0" w:type="dxa"/>
            <w:left w:w="108" w:type="dxa"/>
            <w:bottom w:w="0" w:type="dxa"/>
            <w:right w:w="108" w:type="dxa"/>
          </w:tblCellMar>
        </w:tblPrEx>
        <w:trPr>
          <w:trHeight w:val="821" w:hRule="atLeast"/>
        </w:trPr>
        <w:tc>
          <w:tcPr>
            <w:tcW w:w="1756" w:type="dxa"/>
            <w:vMerge w:val="restart"/>
            <w:tcBorders>
              <w:top w:val="single" w:color="000000" w:sz="4" w:space="0"/>
              <w:left w:val="single" w:color="000000" w:sz="4" w:space="0"/>
              <w:right w:val="single" w:color="000000" w:sz="4" w:space="0"/>
            </w:tcBorders>
            <w:noWrap w:val="0"/>
            <w:vAlign w:val="center"/>
          </w:tcPr>
          <w:p w14:paraId="1D52D826">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服务内容</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1CF09E5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专家结论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14E48F17">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提供咨询,健康跟踪评估，指导，做好饮食，运动、生活习惯的方案与指导</w:t>
            </w:r>
          </w:p>
        </w:tc>
      </w:tr>
      <w:tr w14:paraId="6E65F518">
        <w:tblPrEx>
          <w:tblCellMar>
            <w:top w:w="0" w:type="dxa"/>
            <w:left w:w="108" w:type="dxa"/>
            <w:bottom w:w="0" w:type="dxa"/>
            <w:right w:w="108" w:type="dxa"/>
          </w:tblCellMar>
        </w:tblPrEx>
        <w:trPr>
          <w:trHeight w:val="439" w:hRule="atLeast"/>
        </w:trPr>
        <w:tc>
          <w:tcPr>
            <w:tcW w:w="1756" w:type="dxa"/>
            <w:vMerge w:val="continue"/>
            <w:tcBorders>
              <w:left w:val="single" w:color="000000" w:sz="4" w:space="0"/>
              <w:bottom w:val="single" w:color="000000" w:sz="4" w:space="0"/>
              <w:right w:val="single" w:color="000000" w:sz="4" w:space="0"/>
            </w:tcBorders>
            <w:noWrap w:val="0"/>
            <w:vAlign w:val="center"/>
          </w:tcPr>
          <w:p w14:paraId="19E79931">
            <w:pPr>
              <w:widowControl/>
              <w:jc w:val="center"/>
              <w:textAlignment w:val="center"/>
              <w:rPr>
                <w:rFonts w:hint="eastAsia" w:ascii="宋体" w:hAnsi="宋体" w:eastAsia="宋体" w:cs="宋体"/>
                <w:color w:val="auto"/>
                <w:sz w:val="24"/>
                <w:szCs w:val="24"/>
                <w:highlight w:val="none"/>
              </w:rPr>
            </w:pP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3EA8D4FA">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营养早餐</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086C79DB">
            <w:pPr>
              <w:widowControl/>
              <w:jc w:val="left"/>
              <w:textAlignment w:val="center"/>
              <w:rPr>
                <w:rFonts w:hint="eastAsia" w:ascii="宋体" w:hAnsi="宋体" w:eastAsia="宋体" w:cs="宋体"/>
                <w:color w:val="auto"/>
                <w:sz w:val="24"/>
                <w:szCs w:val="24"/>
                <w:highlight w:val="none"/>
              </w:rPr>
            </w:pPr>
          </w:p>
        </w:tc>
      </w:tr>
      <w:tr w14:paraId="7E4E8CD6">
        <w:tblPrEx>
          <w:tblCellMar>
            <w:top w:w="0" w:type="dxa"/>
            <w:left w:w="108" w:type="dxa"/>
            <w:bottom w:w="0" w:type="dxa"/>
            <w:right w:w="108" w:type="dxa"/>
          </w:tblCellMar>
        </w:tblPrEx>
        <w:trPr>
          <w:trHeight w:val="540" w:hRule="atLeast"/>
        </w:trPr>
        <w:tc>
          <w:tcPr>
            <w:tcW w:w="9733" w:type="dxa"/>
            <w:gridSpan w:val="3"/>
            <w:tcBorders>
              <w:top w:val="single" w:color="000000" w:sz="4" w:space="0"/>
              <w:left w:val="single" w:color="000000" w:sz="4" w:space="0"/>
              <w:bottom w:val="single" w:color="000000" w:sz="4" w:space="0"/>
              <w:right w:val="single" w:color="000000" w:sz="4" w:space="0"/>
            </w:tcBorders>
            <w:noWrap w:val="0"/>
            <w:vAlign w:val="center"/>
          </w:tcPr>
          <w:p w14:paraId="526C852B">
            <w:pPr>
              <w:widowControl/>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二、女性套餐</w:t>
            </w:r>
          </w:p>
        </w:tc>
      </w:tr>
      <w:tr w14:paraId="61597F8E">
        <w:tblPrEx>
          <w:tblCellMar>
            <w:top w:w="0" w:type="dxa"/>
            <w:left w:w="108" w:type="dxa"/>
            <w:bottom w:w="0" w:type="dxa"/>
            <w:right w:w="108" w:type="dxa"/>
          </w:tblCellMar>
        </w:tblPrEx>
        <w:trPr>
          <w:trHeight w:val="582"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06F0A9DF">
            <w:pPr>
              <w:spacing w:line="4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体检项目</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67324746">
            <w:pPr>
              <w:spacing w:line="4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具体内容</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6CF217FF">
            <w:pPr>
              <w:spacing w:line="40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项目意义</w:t>
            </w:r>
          </w:p>
        </w:tc>
      </w:tr>
      <w:tr w14:paraId="161837A2">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2AB486F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尿常规</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10E054CD">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白细胞、红细胞、葡萄糖、酮体、潜血等</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6B0A5374">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检查有无泌尿系统感染及肾脏疾病的初步筛查</w:t>
            </w:r>
          </w:p>
        </w:tc>
      </w:tr>
      <w:tr w14:paraId="36A10C2D">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5F6091C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血常规</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3BAF3378">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白细胞、红细胞、血小板等血液常规检测</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38140F28">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了解有无感染、贫血、炎症及血液病等疾病</w:t>
            </w:r>
          </w:p>
        </w:tc>
      </w:tr>
      <w:tr w14:paraId="2A23FF6B">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6E98E6DA">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肝功</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项</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455A6F5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总胆红素、ALT/AST、总蛋白、球蛋白等12项检查</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2402474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检查肝胆代谢功能有无异常</w:t>
            </w:r>
          </w:p>
        </w:tc>
      </w:tr>
      <w:tr w14:paraId="1C1E8033">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57D4698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肾功4项</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62E3789B">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尿素氮、肌酐、尿酸</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3266F6A0">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检查有无肾功能异常及尿酸增高</w:t>
            </w:r>
          </w:p>
        </w:tc>
      </w:tr>
      <w:tr w14:paraId="3DA80E85">
        <w:tblPrEx>
          <w:tblCellMar>
            <w:top w:w="0" w:type="dxa"/>
            <w:left w:w="108" w:type="dxa"/>
            <w:bottom w:w="0" w:type="dxa"/>
            <w:right w:w="108" w:type="dxa"/>
          </w:tblCellMar>
        </w:tblPrEx>
        <w:trPr>
          <w:trHeight w:val="660"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3EE4ABEE">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血脂5项</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7D34B4C8">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甘油三酯、胆固醇、高密度脂蛋白、低密度脂蛋白</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53EEF586">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评价血脂代谢是否紊乱及动脉粥样硬化性疾 病危险度预测</w:t>
            </w:r>
          </w:p>
        </w:tc>
      </w:tr>
      <w:tr w14:paraId="221E94A1">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5339930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血糖</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5234A0AB">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空腹血糖水平</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0B986082">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判断有无糖尿病</w:t>
            </w:r>
          </w:p>
        </w:tc>
      </w:tr>
      <w:tr w14:paraId="4EB115D7">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5BE3F24D">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C-13呼气试验（幽门螺旋杆菌）</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7B8D7B">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幽门螺旋杆菌</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FE2EF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胃部幽门螺旋杆菌的筛查</w:t>
            </w:r>
          </w:p>
        </w:tc>
      </w:tr>
      <w:tr w14:paraId="4BDB9A24">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7017A30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FT3、FT3、T3、T4、TSH甲功全套(内分泌)</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A0602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FT3、FT3、T3、T4、TSH</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04577">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检查甲状腺内分泌，甲亢、甲减的筛查</w:t>
            </w:r>
          </w:p>
        </w:tc>
      </w:tr>
      <w:tr w14:paraId="398E2F55">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023402BC">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血流变学</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AA2F3">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血液粘稠度</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81463">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检查血液粘稠度</w:t>
            </w:r>
          </w:p>
        </w:tc>
      </w:tr>
      <w:tr w14:paraId="3B20DF6C">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276D84B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肿瘤标志物6项</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4BBBD">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AFP</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CEA</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CA125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CA153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HE4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SCC</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15FA6">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用于原发性肝癌早期筛查，胰腺癌、胆管癌、消化道、前列腺、卵巢有无肿瘤的辅助诊断</w:t>
            </w:r>
          </w:p>
        </w:tc>
      </w:tr>
      <w:tr w14:paraId="7FA22E3C">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459E23A6">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十二导心电图</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87ED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心率、12心电图波形</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C4A69">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判断有无心律失常、心肌病变等</w:t>
            </w:r>
          </w:p>
        </w:tc>
      </w:tr>
      <w:tr w14:paraId="4E1A583F">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0D6D7">
            <w:pPr>
              <w:widowControl/>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color w:val="auto"/>
                <w:sz w:val="24"/>
                <w:szCs w:val="24"/>
                <w:highlight w:val="none"/>
              </w:rPr>
              <w:t>腹部彩超</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621425">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肝胆胰脾肾</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6D7B8B">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筛查有无占位性病变，脂肪肝，肝胆结石等疾病</w:t>
            </w:r>
          </w:p>
        </w:tc>
      </w:tr>
      <w:tr w14:paraId="0250F390">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40CFBA31">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阴道彩超</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2DB16">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盆腔、子宫、卵巢等</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E366A">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了解子宫及附件有无肌瘤、囊肿等</w:t>
            </w:r>
          </w:p>
        </w:tc>
      </w:tr>
      <w:tr w14:paraId="0BA3C882">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19A7A663">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乳腺彩超</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3C1A6">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乳腺结构、组织形态</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B954B">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乳腺癌的初步筛查</w:t>
            </w:r>
          </w:p>
        </w:tc>
      </w:tr>
      <w:tr w14:paraId="48648E6F">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noWrap w:val="0"/>
            <w:vAlign w:val="center"/>
          </w:tcPr>
          <w:p w14:paraId="6E4FE748">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甲状腺彩超</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443C7">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甲状腺大小、形态、血流情况</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CDD3A">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检查甲状腺有无结节、肿瘤、囊肿等</w:t>
            </w:r>
          </w:p>
        </w:tc>
      </w:tr>
      <w:tr w14:paraId="7571E726">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8F5249">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胸部CT</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16DC2">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肺部解剖结构、组织形态</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95442">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检查肺部有无炎症、结核及肺癌等</w:t>
            </w:r>
          </w:p>
        </w:tc>
      </w:tr>
      <w:tr w14:paraId="023D44C0">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E196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TCD（脑血流图）</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2182D">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颅外血管狭窄、血流、痉挛</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EF9D8">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检查脑血管的血流情况</w:t>
            </w:r>
          </w:p>
        </w:tc>
      </w:tr>
      <w:tr w14:paraId="534AA5D1">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33A9C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妇科+TCT（未婚不查）</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CA5D7">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宫颈、阴道壁</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320D2">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宫颈癌的初步筛查</w:t>
            </w:r>
          </w:p>
        </w:tc>
      </w:tr>
      <w:tr w14:paraId="4C9DBAFB">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08487">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一般体检</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199E1">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身高、体重、血压、腰围、臀围</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4C745">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身高、体重、血压、腰围、臀围</w:t>
            </w:r>
          </w:p>
        </w:tc>
      </w:tr>
      <w:tr w14:paraId="0B95B0A8">
        <w:tblPrEx>
          <w:tblCellMar>
            <w:top w:w="0" w:type="dxa"/>
            <w:left w:w="108" w:type="dxa"/>
            <w:bottom w:w="0" w:type="dxa"/>
            <w:right w:w="108" w:type="dxa"/>
          </w:tblCellMar>
        </w:tblPrEx>
        <w:trPr>
          <w:trHeight w:val="439" w:hRule="atLeast"/>
        </w:trPr>
        <w:tc>
          <w:tcPr>
            <w:tcW w:w="17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0771A">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34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A746B">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采血费、耗材费等</w:t>
            </w:r>
          </w:p>
        </w:tc>
        <w:tc>
          <w:tcPr>
            <w:tcW w:w="4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D9BB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采血费、耗材费等</w:t>
            </w:r>
          </w:p>
        </w:tc>
      </w:tr>
      <w:tr w14:paraId="1C00B413">
        <w:tblPrEx>
          <w:tblCellMar>
            <w:top w:w="0" w:type="dxa"/>
            <w:left w:w="108" w:type="dxa"/>
            <w:bottom w:w="0" w:type="dxa"/>
            <w:right w:w="108" w:type="dxa"/>
          </w:tblCellMar>
        </w:tblPrEx>
        <w:trPr>
          <w:trHeight w:val="540" w:hRule="atLeast"/>
        </w:trPr>
        <w:tc>
          <w:tcPr>
            <w:tcW w:w="1756" w:type="dxa"/>
            <w:vMerge w:val="restart"/>
            <w:tcBorders>
              <w:top w:val="single" w:color="000000" w:sz="4" w:space="0"/>
              <w:left w:val="single" w:color="000000" w:sz="4" w:space="0"/>
              <w:bottom w:val="single" w:color="000000" w:sz="4" w:space="0"/>
              <w:right w:val="single" w:color="000000" w:sz="4" w:space="0"/>
            </w:tcBorders>
            <w:noWrap w:val="0"/>
            <w:vAlign w:val="center"/>
          </w:tcPr>
          <w:p w14:paraId="04810B28">
            <w:pPr>
              <w:widowControl/>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服务内容</w:t>
            </w: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63DFFB20">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专家结论</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6BB39B4C">
            <w:pPr>
              <w:widowControl/>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提供咨询,健康跟踪评估，指导，做好饮食，运动、生活习惯的方案与指导</w:t>
            </w:r>
          </w:p>
        </w:tc>
      </w:tr>
      <w:tr w14:paraId="266AD455">
        <w:tblPrEx>
          <w:tblCellMar>
            <w:top w:w="0" w:type="dxa"/>
            <w:left w:w="108" w:type="dxa"/>
            <w:bottom w:w="0" w:type="dxa"/>
            <w:right w:w="108" w:type="dxa"/>
          </w:tblCellMar>
        </w:tblPrEx>
        <w:trPr>
          <w:trHeight w:val="540" w:hRule="atLeast"/>
        </w:trPr>
        <w:tc>
          <w:tcPr>
            <w:tcW w:w="17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6FC602">
            <w:pPr>
              <w:widowControl/>
              <w:jc w:val="center"/>
              <w:textAlignment w:val="center"/>
              <w:rPr>
                <w:rFonts w:hint="eastAsia" w:ascii="宋体" w:hAnsi="宋体" w:eastAsia="宋体" w:cs="宋体"/>
                <w:color w:val="auto"/>
                <w:sz w:val="24"/>
                <w:szCs w:val="24"/>
                <w:highlight w:val="none"/>
              </w:rPr>
            </w:pPr>
          </w:p>
        </w:tc>
        <w:tc>
          <w:tcPr>
            <w:tcW w:w="3497" w:type="dxa"/>
            <w:tcBorders>
              <w:top w:val="single" w:color="000000" w:sz="4" w:space="0"/>
              <w:left w:val="single" w:color="000000" w:sz="4" w:space="0"/>
              <w:bottom w:val="single" w:color="000000" w:sz="4" w:space="0"/>
              <w:right w:val="single" w:color="000000" w:sz="4" w:space="0"/>
            </w:tcBorders>
            <w:noWrap w:val="0"/>
            <w:vAlign w:val="center"/>
          </w:tcPr>
          <w:p w14:paraId="5DF367C9">
            <w:pPr>
              <w:widowControl/>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营养早餐</w:t>
            </w:r>
          </w:p>
        </w:tc>
        <w:tc>
          <w:tcPr>
            <w:tcW w:w="4480" w:type="dxa"/>
            <w:tcBorders>
              <w:top w:val="single" w:color="000000" w:sz="4" w:space="0"/>
              <w:left w:val="single" w:color="000000" w:sz="4" w:space="0"/>
              <w:bottom w:val="single" w:color="000000" w:sz="4" w:space="0"/>
              <w:right w:val="single" w:color="000000" w:sz="4" w:space="0"/>
            </w:tcBorders>
            <w:noWrap w:val="0"/>
            <w:vAlign w:val="center"/>
          </w:tcPr>
          <w:p w14:paraId="67AB6602">
            <w:pPr>
              <w:widowControl/>
              <w:jc w:val="left"/>
              <w:textAlignment w:val="center"/>
              <w:rPr>
                <w:rFonts w:hint="eastAsia" w:ascii="宋体" w:hAnsi="宋体" w:eastAsia="宋体" w:cs="宋体"/>
                <w:color w:val="auto"/>
                <w:sz w:val="24"/>
                <w:szCs w:val="24"/>
                <w:highlight w:val="none"/>
              </w:rPr>
            </w:pPr>
          </w:p>
        </w:tc>
      </w:tr>
    </w:tbl>
    <w:p w14:paraId="02A86DCD">
      <w:pPr>
        <w:spacing w:line="360" w:lineRule="auto"/>
        <w:ind w:firstLine="482" w:firstLineChars="200"/>
        <w:rPr>
          <w:rFonts w:hint="eastAsia" w:ascii="宋体" w:hAnsi="宋体" w:eastAsia="宋体" w:cs="宋体"/>
          <w:b/>
          <w:bCs/>
          <w:color w:val="auto"/>
          <w:sz w:val="24"/>
          <w:szCs w:val="24"/>
          <w:highlight w:val="none"/>
        </w:rPr>
      </w:pPr>
    </w:p>
    <w:p w14:paraId="3E05A472">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注：（1）※供应商按以上体检内容提供体检服务，</w:t>
      </w:r>
      <w:r>
        <w:rPr>
          <w:rFonts w:hint="eastAsia" w:ascii="宋体" w:hAnsi="宋体" w:eastAsia="宋体" w:cs="宋体"/>
          <w:b/>
          <w:bCs/>
          <w:color w:val="auto"/>
          <w:sz w:val="24"/>
          <w:szCs w:val="24"/>
          <w:highlight w:val="none"/>
          <w:lang w:eastAsia="zh-CN"/>
        </w:rPr>
        <w:t>必须为本人体检，体检服务不得转让不得由其他人员替代，否则体检费用不计入实际人数</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且须完成体检项目清单内的所有项目，</w:t>
      </w:r>
      <w:r>
        <w:rPr>
          <w:rFonts w:hint="eastAsia" w:ascii="宋体" w:hAnsi="宋体" w:eastAsia="宋体" w:cs="宋体"/>
          <w:b/>
          <w:bCs/>
          <w:color w:val="auto"/>
          <w:sz w:val="24"/>
          <w:szCs w:val="24"/>
          <w:highlight w:val="none"/>
        </w:rPr>
        <w:t>体检有效期</w:t>
      </w:r>
      <w:r>
        <w:rPr>
          <w:rFonts w:hint="eastAsia" w:ascii="宋体" w:hAnsi="宋体" w:eastAsia="宋体" w:cs="宋体"/>
          <w:b/>
          <w:bCs/>
          <w:color w:val="auto"/>
          <w:sz w:val="24"/>
          <w:szCs w:val="24"/>
          <w:highlight w:val="none"/>
          <w:lang w:eastAsia="zh-CN"/>
        </w:rPr>
        <w:t>须为合同期内</w:t>
      </w:r>
      <w:r>
        <w:rPr>
          <w:rFonts w:hint="eastAsia" w:ascii="宋体" w:hAnsi="宋体" w:eastAsia="宋体" w:cs="宋体"/>
          <w:b/>
          <w:bCs/>
          <w:color w:val="auto"/>
          <w:sz w:val="24"/>
          <w:szCs w:val="24"/>
          <w:highlight w:val="none"/>
        </w:rPr>
        <w:t>。体检结束后按照实际体检人数进行结算</w:t>
      </w:r>
      <w:r>
        <w:rPr>
          <w:rFonts w:hint="eastAsia" w:ascii="宋体" w:hAnsi="宋体" w:eastAsia="宋体" w:cs="宋体"/>
          <w:b/>
          <w:bCs/>
          <w:color w:val="auto"/>
          <w:sz w:val="24"/>
          <w:szCs w:val="24"/>
          <w:highlight w:val="none"/>
          <w:lang w:eastAsia="zh-CN"/>
        </w:rPr>
        <w:t>。</w:t>
      </w:r>
    </w:p>
    <w:p w14:paraId="415290D7">
      <w:pPr>
        <w:spacing w:line="36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2）项目成交后，若采购人对体检项目提出变更或增减部分项目，成交供应商应予以同意，体检项目可根据体检者的实际需求在有效金额内进行置换，成交供应商不得另行增加费用。</w:t>
      </w:r>
    </w:p>
    <w:p w14:paraId="5B68762C">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55" w:name="_Toc19611"/>
      <w:bookmarkStart w:id="56" w:name="_Toc27794"/>
      <w:r>
        <w:rPr>
          <w:rFonts w:hint="eastAsia" w:ascii="宋体" w:hAnsi="宋体" w:eastAsia="宋体" w:cs="宋体"/>
          <w:color w:val="auto"/>
          <w:sz w:val="24"/>
          <w:highlight w:val="none"/>
        </w:rPr>
        <w:t>四、体检相关要求</w:t>
      </w:r>
      <w:bookmarkEnd w:id="55"/>
      <w:bookmarkEnd w:id="56"/>
    </w:p>
    <w:p w14:paraId="5B85AB6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体检中心确定基础项目，参检</w:t>
      </w:r>
      <w:r>
        <w:rPr>
          <w:rFonts w:hint="eastAsia" w:ascii="宋体" w:hAnsi="宋体" w:eastAsia="宋体" w:cs="宋体"/>
          <w:color w:val="auto"/>
          <w:sz w:val="24"/>
          <w:szCs w:val="24"/>
          <w:highlight w:val="none"/>
          <w:lang w:eastAsia="zh-CN"/>
        </w:rPr>
        <w:t>教职工</w:t>
      </w:r>
      <w:r>
        <w:rPr>
          <w:rFonts w:hint="eastAsia" w:ascii="宋体" w:hAnsi="宋体" w:eastAsia="宋体" w:cs="宋体"/>
          <w:color w:val="auto"/>
          <w:sz w:val="24"/>
          <w:szCs w:val="24"/>
          <w:highlight w:val="none"/>
        </w:rPr>
        <w:t>可根据自身身体情况向主检医生确定体检项目，体检费用超出部分由</w:t>
      </w:r>
      <w:r>
        <w:rPr>
          <w:rFonts w:hint="eastAsia" w:ascii="宋体" w:hAnsi="宋体" w:eastAsia="宋体" w:cs="宋体"/>
          <w:color w:val="auto"/>
          <w:sz w:val="24"/>
          <w:szCs w:val="24"/>
          <w:highlight w:val="none"/>
          <w:lang w:eastAsia="zh-CN"/>
        </w:rPr>
        <w:t>教职工</w:t>
      </w:r>
      <w:r>
        <w:rPr>
          <w:rFonts w:hint="eastAsia" w:ascii="宋体" w:hAnsi="宋体" w:eastAsia="宋体" w:cs="宋体"/>
          <w:color w:val="auto"/>
          <w:sz w:val="24"/>
          <w:szCs w:val="24"/>
          <w:highlight w:val="none"/>
        </w:rPr>
        <w:t>自行承担。</w:t>
      </w:r>
    </w:p>
    <w:p w14:paraId="74F2D7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要认真做好服务工作，确保体检结果客观、真实，做好体检资料的备份并送军休中心存档。集中体检时间段不安排其他人员进行体检，分散体检优先安排军休干部体检。</w:t>
      </w:r>
    </w:p>
    <w:p w14:paraId="147A2E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树立严格的保密意识，不得泄露健康档案中的任何个人信息和涉及健康的隐私信息。</w:t>
      </w:r>
    </w:p>
    <w:p w14:paraId="1592F2E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安排专人通知领取体检报告。检后适时安排医疗人员开展体检报告解读工作。</w:t>
      </w:r>
    </w:p>
    <w:p w14:paraId="1C69BA3B">
      <w:pPr>
        <w:pStyle w:val="3"/>
        <w:adjustRightInd w:val="0"/>
        <w:snapToGrid w:val="0"/>
        <w:spacing w:before="0" w:after="0" w:line="360" w:lineRule="auto"/>
        <w:ind w:firstLine="482" w:firstLineChars="200"/>
        <w:rPr>
          <w:rFonts w:hint="eastAsia" w:ascii="宋体" w:hAnsi="宋体" w:eastAsia="宋体" w:cs="宋体"/>
          <w:color w:val="auto"/>
          <w:sz w:val="24"/>
          <w:highlight w:val="none"/>
        </w:rPr>
      </w:pPr>
      <w:bookmarkStart w:id="57" w:name="_Toc30593"/>
      <w:bookmarkStart w:id="58" w:name="_Toc29175"/>
      <w:r>
        <w:rPr>
          <w:rFonts w:hint="eastAsia" w:ascii="宋体" w:hAnsi="宋体" w:eastAsia="宋体" w:cs="宋体"/>
          <w:color w:val="auto"/>
          <w:sz w:val="24"/>
          <w:highlight w:val="none"/>
        </w:rPr>
        <w:t>五、其它要求</w:t>
      </w:r>
      <w:bookmarkEnd w:id="57"/>
      <w:bookmarkEnd w:id="58"/>
    </w:p>
    <w:p w14:paraId="3B5325F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1、承检机构按</w:t>
      </w:r>
      <w:r>
        <w:rPr>
          <w:rFonts w:hint="eastAsia" w:ascii="宋体" w:hAnsi="宋体" w:eastAsia="宋体" w:cs="宋体"/>
          <w:color w:val="auto"/>
          <w:sz w:val="24"/>
          <w:szCs w:val="24"/>
          <w:highlight w:val="none"/>
          <w:lang w:eastAsia="zh-CN"/>
        </w:rPr>
        <w:t>重庆市第九十五初级中学校2024-2025年职工体检服务</w:t>
      </w:r>
      <w:r>
        <w:rPr>
          <w:rFonts w:hint="eastAsia" w:ascii="宋体" w:hAnsi="宋体" w:eastAsia="宋体" w:cs="宋体"/>
          <w:color w:val="auto"/>
          <w:sz w:val="24"/>
          <w:szCs w:val="24"/>
          <w:highlight w:val="none"/>
        </w:rPr>
        <w:t>提供的花名册、体检编号，认真填写体检表及各种检验检查单，严格执行保密制度，不得向任何无关人员泄露有关体检情况。</w:t>
      </w:r>
    </w:p>
    <w:p w14:paraId="06BF40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2、承检机构为体检人员提供导医护士，为体检者提供营养体检餐。</w:t>
      </w:r>
    </w:p>
    <w:p w14:paraId="1190F1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3、采购单位安排固定时间体检，机构须提前做好体检相关准备工作，如工作人员、设备等，专门用于本项目的体检服务。</w:t>
      </w:r>
    </w:p>
    <w:p w14:paraId="14D1B10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4、在体检工作中，必须严格执行医疗常规，避免或减少差错，杜绝医疗事故，全面保证体检质量。在体检过程中，造成的一切医疗责任事故均由</w:t>
      </w:r>
      <w:r>
        <w:rPr>
          <w:rFonts w:hint="eastAsia" w:ascii="宋体" w:hAnsi="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负责。</w:t>
      </w:r>
    </w:p>
    <w:p w14:paraId="21EC81A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5、对单项检测花费时间较长的体检项目，应增加相应的设备或合理分流，保证体检人员当日完成全套体检项目。</w:t>
      </w:r>
    </w:p>
    <w:p w14:paraId="4E3BC3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6、各种检查单，检验单应规范整齐贴在体检表中相应的位置，不得随意放置。体检中若出现体检表，检验单，报告单丢失，应由承检机构免费再检。</w:t>
      </w:r>
    </w:p>
    <w:p w14:paraId="23209E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检机构认真履行职责和承诺，如因在体检中有不负责任（如混淆男女性别等错误；多数体检人员反应态度不好、排队太久、拥挤等），产生不良影响，导致严重后果，立即取消承检机构的承检资格，并在已体检总经费中扣除10%。</w:t>
      </w:r>
    </w:p>
    <w:p w14:paraId="662A45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8、在个人体检结束后六个月之内体检项目所针对的组织器官出现六个月之内不该出现的慢性重大疾病，应由机构负责直接向被检者解释。</w:t>
      </w:r>
    </w:p>
    <w:p w14:paraId="71AF89EA">
      <w:pPr>
        <w:spacing w:line="360"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964" w:footer="992" w:gutter="0"/>
          <w:cols w:space="720" w:num="1"/>
          <w:docGrid w:linePitch="312" w:charSpace="0"/>
        </w:sectPr>
      </w:pPr>
      <w:r>
        <w:rPr>
          <w:rFonts w:hint="eastAsia" w:ascii="宋体" w:hAnsi="宋体" w:eastAsia="宋体" w:cs="宋体"/>
          <w:color w:val="auto"/>
          <w:sz w:val="24"/>
          <w:szCs w:val="24"/>
          <w:highlight w:val="none"/>
        </w:rPr>
        <w:t>9、体检结论每人一份，一律电脑打印，以总检医生签字，体检单位盖章为准；并用大信封分装密封，并加盖体检机构体检专用章或机构公章，防止个人资料泄密。体检结论电子档，应在体检完成后统一交付采购人存档备案。</w:t>
      </w:r>
    </w:p>
    <w:bookmarkEnd w:id="37"/>
    <w:bookmarkEnd w:id="43"/>
    <w:bookmarkEnd w:id="44"/>
    <w:bookmarkEnd w:id="45"/>
    <w:bookmarkEnd w:id="46"/>
    <w:bookmarkEnd w:id="47"/>
    <w:bookmarkEnd w:id="48"/>
    <w:p w14:paraId="0CC18683">
      <w:pPr>
        <w:pStyle w:val="2"/>
        <w:shd w:val="clear"/>
        <w:spacing w:before="0" w:after="0" w:line="360" w:lineRule="auto"/>
        <w:jc w:val="center"/>
        <w:outlineLvl w:val="0"/>
        <w:rPr>
          <w:rFonts w:hint="eastAsia" w:ascii="宋体" w:hAnsi="宋体" w:eastAsia="宋体" w:cs="宋体"/>
          <w:b/>
          <w:bCs w:val="0"/>
          <w:color w:val="auto"/>
          <w:sz w:val="36"/>
          <w:szCs w:val="30"/>
          <w:highlight w:val="none"/>
        </w:rPr>
      </w:pPr>
      <w:bookmarkStart w:id="59" w:name="_Toc11938"/>
      <w:r>
        <w:rPr>
          <w:rFonts w:hint="eastAsia" w:ascii="宋体" w:hAnsi="宋体" w:eastAsia="宋体" w:cs="宋体"/>
          <w:b/>
          <w:bCs w:val="0"/>
          <w:color w:val="auto"/>
          <w:sz w:val="36"/>
          <w:szCs w:val="30"/>
          <w:highlight w:val="none"/>
        </w:rPr>
        <w:t>第三篇  项目商务需求</w:t>
      </w:r>
      <w:bookmarkEnd w:id="59"/>
    </w:p>
    <w:p w14:paraId="7D9E96BA">
      <w:pPr>
        <w:pStyle w:val="3"/>
        <w:pageBreakBefore w:val="0"/>
        <w:widowControl w:val="0"/>
        <w:shd w:val="clear"/>
        <w:kinsoku/>
        <w:wordWrap/>
        <w:overflowPunct/>
        <w:topLinePunct w:val="0"/>
        <w:autoSpaceDE/>
        <w:autoSpaceDN/>
        <w:bidi w:val="0"/>
        <w:adjustRightInd/>
        <w:spacing w:beforeLines="100" w:after="0" w:line="360" w:lineRule="auto"/>
        <w:textAlignment w:val="auto"/>
        <w:outlineLvl w:val="1"/>
        <w:rPr>
          <w:rFonts w:hint="eastAsia" w:ascii="宋体" w:hAnsi="宋体" w:eastAsia="宋体" w:cs="宋体"/>
          <w:color w:val="auto"/>
          <w:sz w:val="24"/>
          <w:szCs w:val="24"/>
          <w:highlight w:val="none"/>
          <w:lang w:val="en-US" w:eastAsia="zh-CN"/>
        </w:rPr>
      </w:pPr>
      <w:bookmarkStart w:id="60" w:name="_Toc21426"/>
      <w:bookmarkStart w:id="61" w:name="_Toc9339"/>
      <w:bookmarkStart w:id="62" w:name="_Toc344475123"/>
      <w:bookmarkStart w:id="63" w:name="_Toc16683570"/>
      <w:bookmarkStart w:id="64" w:name="_Toc414610283"/>
      <w:bookmarkStart w:id="65" w:name="_Toc43125367"/>
      <w:bookmarkStart w:id="66" w:name="_Toc513145917"/>
      <w:bookmarkStart w:id="67" w:name="_Toc43195294"/>
      <w:r>
        <w:rPr>
          <w:rFonts w:hint="eastAsia" w:ascii="宋体" w:hAnsi="宋体" w:eastAsia="宋体" w:cs="宋体"/>
          <w:color w:val="auto"/>
          <w:sz w:val="24"/>
          <w:szCs w:val="24"/>
          <w:highlight w:val="none"/>
          <w:lang w:val="en-US" w:eastAsia="zh-CN"/>
        </w:rPr>
        <w:t>一、服务期、地点及验收方式</w:t>
      </w:r>
      <w:bookmarkEnd w:id="60"/>
    </w:p>
    <w:p w14:paraId="540C5025">
      <w:pPr>
        <w:shd w:val="clear"/>
        <w:snapToGrid w:val="0"/>
        <w:spacing w:line="360" w:lineRule="auto"/>
        <w:ind w:firstLine="420"/>
        <w:rPr>
          <w:rStyle w:val="30"/>
          <w:rFonts w:hint="eastAsia" w:ascii="宋体" w:hAnsi="宋体" w:eastAsia="宋体" w:cs="宋体"/>
          <w:color w:val="auto"/>
          <w:szCs w:val="24"/>
          <w:highlight w:val="none"/>
          <w:lang w:eastAsia="zh-CN"/>
        </w:rPr>
      </w:pPr>
      <w:r>
        <w:rPr>
          <w:rStyle w:val="30"/>
          <w:rFonts w:hint="eastAsia" w:ascii="宋体" w:hAnsi="宋体" w:eastAsia="宋体" w:cs="宋体"/>
          <w:color w:val="auto"/>
          <w:szCs w:val="24"/>
          <w:highlight w:val="none"/>
          <w:lang w:eastAsia="zh-CN"/>
        </w:rPr>
        <w:t>1、服务时间：采购人与成交供应商合同签订后2年内完成。</w:t>
      </w:r>
    </w:p>
    <w:p w14:paraId="63E5058F">
      <w:pPr>
        <w:shd w:val="clear"/>
        <w:snapToGrid w:val="0"/>
        <w:spacing w:line="360" w:lineRule="auto"/>
        <w:ind w:firstLine="420"/>
        <w:rPr>
          <w:rStyle w:val="30"/>
          <w:rFonts w:hint="eastAsia" w:ascii="宋体" w:hAnsi="宋体" w:eastAsia="宋体" w:cs="宋体"/>
          <w:color w:val="auto"/>
          <w:szCs w:val="24"/>
          <w:highlight w:val="none"/>
          <w:lang w:eastAsia="zh-CN"/>
        </w:rPr>
      </w:pPr>
      <w:r>
        <w:rPr>
          <w:rStyle w:val="30"/>
          <w:rFonts w:hint="eastAsia" w:ascii="宋体" w:hAnsi="宋体" w:eastAsia="宋体" w:cs="宋体"/>
          <w:color w:val="auto"/>
          <w:szCs w:val="24"/>
          <w:highlight w:val="none"/>
          <w:lang w:eastAsia="zh-CN"/>
        </w:rPr>
        <w:t>2、服务地点：采购人指定地点</w:t>
      </w:r>
      <w:r>
        <w:rPr>
          <w:rStyle w:val="30"/>
          <w:rFonts w:hint="eastAsia" w:ascii="宋体" w:hAnsi="宋体" w:cs="宋体"/>
          <w:color w:val="auto"/>
          <w:szCs w:val="24"/>
          <w:highlight w:val="none"/>
          <w:lang w:eastAsia="zh-CN"/>
        </w:rPr>
        <w:t>。</w:t>
      </w:r>
    </w:p>
    <w:p w14:paraId="6465496E">
      <w:pPr>
        <w:shd w:val="clear"/>
        <w:snapToGrid w:val="0"/>
        <w:spacing w:line="360" w:lineRule="auto"/>
        <w:ind w:firstLine="420"/>
        <w:rPr>
          <w:rStyle w:val="30"/>
          <w:rFonts w:hint="eastAsia" w:ascii="宋体" w:hAnsi="宋体" w:eastAsia="宋体" w:cs="宋体"/>
          <w:color w:val="auto"/>
          <w:szCs w:val="24"/>
          <w:highlight w:val="none"/>
          <w:lang w:eastAsia="zh-CN"/>
        </w:rPr>
      </w:pPr>
      <w:r>
        <w:rPr>
          <w:rStyle w:val="30"/>
          <w:rFonts w:hint="eastAsia" w:ascii="宋体" w:hAnsi="宋体" w:eastAsia="宋体" w:cs="宋体"/>
          <w:color w:val="auto"/>
          <w:szCs w:val="24"/>
          <w:highlight w:val="none"/>
          <w:lang w:eastAsia="zh-CN"/>
        </w:rPr>
        <w:t>3、验收方式：由采购人自行组织验收。</w:t>
      </w:r>
    </w:p>
    <w:p w14:paraId="6AF84093">
      <w:pPr>
        <w:pStyle w:val="3"/>
        <w:pageBreakBefore w:val="0"/>
        <w:widowControl w:val="0"/>
        <w:shd w:val="clear"/>
        <w:kinsoku/>
        <w:wordWrap/>
        <w:overflowPunct/>
        <w:topLinePunct w:val="0"/>
        <w:autoSpaceDE/>
        <w:autoSpaceDN/>
        <w:bidi w:val="0"/>
        <w:adjustRightInd/>
        <w:spacing w:beforeLines="100" w:after="0" w:line="360" w:lineRule="auto"/>
        <w:textAlignment w:val="auto"/>
        <w:outlineLvl w:val="1"/>
        <w:rPr>
          <w:rFonts w:hint="eastAsia" w:ascii="宋体" w:hAnsi="宋体" w:eastAsia="宋体" w:cs="宋体"/>
          <w:color w:val="auto"/>
          <w:sz w:val="24"/>
          <w:szCs w:val="24"/>
          <w:highlight w:val="none"/>
          <w:lang w:val="en-US" w:eastAsia="zh-CN"/>
        </w:rPr>
      </w:pPr>
      <w:bookmarkStart w:id="68" w:name="_Toc28500"/>
      <w:r>
        <w:rPr>
          <w:rFonts w:hint="eastAsia" w:ascii="宋体" w:hAnsi="宋体" w:eastAsia="宋体" w:cs="宋体"/>
          <w:color w:val="auto"/>
          <w:sz w:val="24"/>
          <w:szCs w:val="24"/>
          <w:highlight w:val="none"/>
          <w:lang w:val="en-US" w:eastAsia="zh-CN"/>
        </w:rPr>
        <w:t>二、报价要求</w:t>
      </w:r>
      <w:bookmarkEnd w:id="68"/>
    </w:p>
    <w:p w14:paraId="1DE9DAFC">
      <w:pPr>
        <w:bidi w:val="0"/>
        <w:spacing w:line="360" w:lineRule="auto"/>
        <w:ind w:firstLine="480" w:firstLineChars="200"/>
        <w:rPr>
          <w:rFonts w:hint="eastAsia" w:ascii="宋体" w:hAnsi="宋体" w:eastAsia="宋体" w:cs="宋体"/>
          <w:color w:val="auto"/>
          <w:sz w:val="24"/>
          <w:szCs w:val="24"/>
          <w:highlight w:val="none"/>
          <w:lang w:val="en-US" w:eastAsia="zh-CN"/>
        </w:rPr>
      </w:pPr>
      <w:bookmarkStart w:id="69" w:name="_Toc32106"/>
      <w:bookmarkStart w:id="70" w:name="_Toc1765"/>
      <w:bookmarkStart w:id="71" w:name="_Toc4595"/>
      <w:bookmarkStart w:id="72" w:name="_Toc12648"/>
      <w:bookmarkStart w:id="73" w:name="_Toc466546915"/>
      <w:bookmarkStart w:id="74" w:name="_Toc23872"/>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lang w:val="zh-CN" w:eastAsia="zh-CN"/>
        </w:rPr>
        <w:t>次报价为人民币报价，且为综合单价报价，即供应商在单价最高限价内填综合报单价报价，综合单价报价包含：接送车辆运费、营养费（体检早餐）、保险、体检费（须含体检项目清单内的所有项目）、专家评估、一次性耗材、采购代理服务费、税费等所有费用。实际结算费用=对应综合单价报价*体检实际总人数。因成交供应商自身原</w:t>
      </w:r>
      <w:r>
        <w:rPr>
          <w:rFonts w:hint="eastAsia" w:ascii="宋体" w:hAnsi="宋体" w:eastAsia="宋体" w:cs="宋体"/>
          <w:color w:val="auto"/>
          <w:sz w:val="24"/>
          <w:szCs w:val="24"/>
          <w:highlight w:val="none"/>
          <w:lang w:val="en-US" w:eastAsia="zh-CN"/>
        </w:rPr>
        <w:t>因造成漏报、少报皆由其自行承担责任，采购人不再补偿。</w:t>
      </w:r>
      <w:bookmarkEnd w:id="69"/>
      <w:bookmarkEnd w:id="70"/>
    </w:p>
    <w:bookmarkEnd w:id="71"/>
    <w:bookmarkEnd w:id="72"/>
    <w:bookmarkEnd w:id="73"/>
    <w:bookmarkEnd w:id="74"/>
    <w:p w14:paraId="18763D0E">
      <w:pPr>
        <w:pStyle w:val="3"/>
        <w:pageBreakBefore w:val="0"/>
        <w:widowControl w:val="0"/>
        <w:shd w:val="clear"/>
        <w:kinsoku/>
        <w:wordWrap/>
        <w:overflowPunct/>
        <w:topLinePunct w:val="0"/>
        <w:autoSpaceDE/>
        <w:autoSpaceDN/>
        <w:bidi w:val="0"/>
        <w:adjustRightInd/>
        <w:spacing w:beforeLines="100" w:after="0" w:line="360" w:lineRule="auto"/>
        <w:textAlignment w:val="auto"/>
        <w:outlineLvl w:val="1"/>
        <w:rPr>
          <w:rFonts w:hint="eastAsia" w:ascii="宋体" w:hAnsi="宋体" w:eastAsia="宋体" w:cs="宋体"/>
          <w:color w:val="auto"/>
          <w:sz w:val="24"/>
          <w:szCs w:val="24"/>
          <w:highlight w:val="none"/>
          <w:lang w:val="en-US" w:eastAsia="zh-CN"/>
        </w:rPr>
      </w:pPr>
      <w:bookmarkStart w:id="75" w:name="_Toc27623"/>
      <w:r>
        <w:rPr>
          <w:rFonts w:hint="eastAsia" w:ascii="宋体" w:hAnsi="宋体" w:eastAsia="宋体" w:cs="宋体"/>
          <w:color w:val="auto"/>
          <w:sz w:val="24"/>
          <w:szCs w:val="24"/>
          <w:highlight w:val="none"/>
          <w:lang w:val="en-US" w:eastAsia="zh-CN"/>
        </w:rPr>
        <w:t>三、付款方式</w:t>
      </w:r>
      <w:bookmarkEnd w:id="75"/>
    </w:p>
    <w:p w14:paraId="2BB612E4">
      <w:pPr>
        <w:bidi w:val="0"/>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对公转帐，</w:t>
      </w:r>
      <w:r>
        <w:rPr>
          <w:rFonts w:hint="eastAsia" w:ascii="宋体" w:hAnsi="宋体" w:eastAsia="宋体" w:cs="宋体"/>
          <w:color w:val="auto"/>
          <w:sz w:val="24"/>
          <w:szCs w:val="24"/>
          <w:highlight w:val="none"/>
          <w:lang w:val="en-US" w:eastAsia="zh-CN"/>
        </w:rPr>
        <w:t>具体付款方式</w:t>
      </w:r>
      <w:r>
        <w:rPr>
          <w:rFonts w:hint="eastAsia" w:ascii="宋体" w:hAnsi="宋体" w:cs="宋体"/>
          <w:color w:val="auto"/>
          <w:sz w:val="24"/>
          <w:szCs w:val="24"/>
          <w:highlight w:val="none"/>
          <w:lang w:val="en-US" w:eastAsia="zh-CN"/>
        </w:rPr>
        <w:t>以</w:t>
      </w:r>
      <w:r>
        <w:rPr>
          <w:rFonts w:hint="eastAsia" w:ascii="宋体" w:hAnsi="宋体" w:eastAsia="宋体" w:cs="宋体"/>
          <w:color w:val="auto"/>
          <w:sz w:val="24"/>
          <w:szCs w:val="24"/>
          <w:highlight w:val="none"/>
          <w:lang w:val="en-US" w:eastAsia="zh-CN"/>
        </w:rPr>
        <w:t>合同签订为准</w:t>
      </w:r>
      <w:r>
        <w:rPr>
          <w:rFonts w:hint="eastAsia" w:ascii="宋体" w:hAnsi="宋体" w:eastAsia="宋体" w:cs="宋体"/>
          <w:color w:val="auto"/>
          <w:sz w:val="24"/>
          <w:szCs w:val="24"/>
          <w:highlight w:val="none"/>
          <w:lang w:val="zh-CN" w:eastAsia="zh-CN"/>
        </w:rPr>
        <w:t>。</w:t>
      </w:r>
    </w:p>
    <w:p w14:paraId="37252305">
      <w:pPr>
        <w:pStyle w:val="3"/>
        <w:pageBreakBefore w:val="0"/>
        <w:widowControl w:val="0"/>
        <w:shd w:val="clear"/>
        <w:kinsoku/>
        <w:wordWrap/>
        <w:overflowPunct/>
        <w:topLinePunct w:val="0"/>
        <w:autoSpaceDE/>
        <w:autoSpaceDN/>
        <w:bidi w:val="0"/>
        <w:adjustRightInd/>
        <w:spacing w:beforeLines="100" w:after="0" w:line="360" w:lineRule="auto"/>
        <w:textAlignment w:val="auto"/>
        <w:outlineLvl w:val="1"/>
        <w:rPr>
          <w:rFonts w:hint="eastAsia" w:ascii="宋体" w:hAnsi="宋体" w:eastAsia="宋体" w:cs="宋体"/>
          <w:color w:val="auto"/>
          <w:sz w:val="24"/>
          <w:szCs w:val="24"/>
          <w:highlight w:val="none"/>
        </w:rPr>
      </w:pPr>
      <w:bookmarkStart w:id="76" w:name="_Toc25380"/>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知识产权</w:t>
      </w:r>
      <w:bookmarkEnd w:id="61"/>
      <w:bookmarkEnd w:id="62"/>
      <w:bookmarkEnd w:id="63"/>
      <w:bookmarkEnd w:id="64"/>
      <w:bookmarkEnd w:id="65"/>
      <w:bookmarkEnd w:id="66"/>
      <w:bookmarkEnd w:id="67"/>
      <w:bookmarkEnd w:id="76"/>
      <w:bookmarkStart w:id="236" w:name="_GoBack"/>
      <w:bookmarkEnd w:id="236"/>
    </w:p>
    <w:p w14:paraId="103EF836">
      <w:pPr>
        <w:pStyle w:val="13"/>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7C8A8391">
      <w:pPr>
        <w:pStyle w:val="3"/>
        <w:pageBreakBefore w:val="0"/>
        <w:widowControl w:val="0"/>
        <w:shd w:val="clear"/>
        <w:kinsoku/>
        <w:wordWrap/>
        <w:overflowPunct/>
        <w:topLinePunct w:val="0"/>
        <w:autoSpaceDE/>
        <w:autoSpaceDN/>
        <w:bidi w:val="0"/>
        <w:adjustRightInd/>
        <w:spacing w:beforeLines="100" w:after="0" w:line="360" w:lineRule="auto"/>
        <w:textAlignment w:val="auto"/>
        <w:outlineLvl w:val="1"/>
        <w:rPr>
          <w:rFonts w:hint="eastAsia" w:ascii="宋体" w:hAnsi="宋体" w:eastAsia="宋体" w:cs="宋体"/>
          <w:color w:val="auto"/>
          <w:sz w:val="24"/>
          <w:szCs w:val="24"/>
          <w:highlight w:val="none"/>
        </w:rPr>
      </w:pPr>
      <w:bookmarkStart w:id="77" w:name="_Toc20095"/>
      <w:bookmarkStart w:id="78" w:name="_Toc43125368"/>
      <w:bookmarkStart w:id="79" w:name="_Toc16683571"/>
      <w:bookmarkStart w:id="80" w:name="_Toc43195295"/>
      <w:bookmarkStart w:id="81" w:name="_Toc513145918"/>
      <w:bookmarkStart w:id="82" w:name="_Toc414610285"/>
      <w:bookmarkStart w:id="83" w:name="_Toc4222"/>
      <w:bookmarkStart w:id="84" w:name="_Toc344475125"/>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其他</w:t>
      </w:r>
      <w:bookmarkEnd w:id="77"/>
      <w:bookmarkEnd w:id="78"/>
      <w:bookmarkEnd w:id="79"/>
      <w:bookmarkEnd w:id="80"/>
      <w:bookmarkEnd w:id="81"/>
      <w:bookmarkEnd w:id="82"/>
      <w:bookmarkEnd w:id="83"/>
    </w:p>
    <w:bookmarkEnd w:id="84"/>
    <w:p w14:paraId="35AE4719">
      <w:pPr>
        <w:shd w:val="clea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1、供应商必须对以上条款和服务承诺明确列出，承诺内容必须达到要求。</w:t>
      </w:r>
    </w:p>
    <w:p w14:paraId="014291A7">
      <w:pPr>
        <w:shd w:val="clear"/>
        <w:snapToGrid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2、成交供应商确定后，由采购人和成交供应商按照相关规定和程序办理有关手续，签订合同。</w:t>
      </w:r>
    </w:p>
    <w:p w14:paraId="3C439548">
      <w:pPr>
        <w:shd w:val="clea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、其他未尽事宜由供需双方在采购合同中详细约定。</w:t>
      </w:r>
    </w:p>
    <w:p w14:paraId="4A5CB915">
      <w:pPr>
        <w:pStyle w:val="2"/>
        <w:pageBreakBefore/>
        <w:shd w:val="clear"/>
        <w:spacing w:before="0" w:after="0" w:line="360" w:lineRule="auto"/>
        <w:jc w:val="center"/>
        <w:outlineLvl w:val="0"/>
        <w:rPr>
          <w:rFonts w:hint="eastAsia" w:ascii="宋体" w:hAnsi="宋体" w:eastAsia="宋体" w:cs="宋体"/>
          <w:b/>
          <w:bCs/>
          <w:color w:val="auto"/>
          <w:spacing w:val="-11"/>
          <w:sz w:val="36"/>
          <w:szCs w:val="30"/>
          <w:highlight w:val="none"/>
          <w:lang w:val="en-US" w:eastAsia="zh-CN"/>
        </w:rPr>
      </w:pPr>
      <w:bookmarkStart w:id="85" w:name="_Toc3494"/>
      <w:r>
        <w:rPr>
          <w:rFonts w:hint="eastAsia" w:ascii="宋体" w:hAnsi="宋体" w:eastAsia="宋体" w:cs="宋体"/>
          <w:b/>
          <w:bCs/>
          <w:color w:val="auto"/>
          <w:spacing w:val="-11"/>
          <w:sz w:val="36"/>
          <w:szCs w:val="30"/>
          <w:highlight w:val="none"/>
        </w:rPr>
        <w:t>第四篇  网上竞采程序及方法、评审标准、响应无效和采购终止</w:t>
      </w:r>
      <w:bookmarkEnd w:id="85"/>
    </w:p>
    <w:p w14:paraId="5A8AF36E">
      <w:pPr>
        <w:pStyle w:val="4"/>
        <w:spacing w:before="0" w:after="0" w:line="360" w:lineRule="auto"/>
        <w:rPr>
          <w:rFonts w:hint="eastAsia" w:ascii="宋体" w:hAnsi="宋体" w:eastAsia="宋体" w:cs="宋体"/>
          <w:color w:val="auto"/>
          <w:sz w:val="24"/>
          <w:szCs w:val="24"/>
          <w:highlight w:val="none"/>
        </w:rPr>
      </w:pPr>
      <w:bookmarkStart w:id="86" w:name="_Toc2238"/>
      <w:bookmarkStart w:id="87" w:name="_Toc27196"/>
      <w:bookmarkStart w:id="88" w:name="_Toc13797"/>
      <w:bookmarkStart w:id="89" w:name="_Toc11079"/>
      <w:bookmarkStart w:id="90" w:name="_Toc154"/>
      <w:bookmarkStart w:id="91" w:name="_Toc12086"/>
      <w:r>
        <w:rPr>
          <w:rFonts w:hint="eastAsia" w:ascii="宋体" w:hAnsi="宋体" w:eastAsia="宋体" w:cs="宋体"/>
          <w:color w:val="auto"/>
          <w:sz w:val="24"/>
          <w:szCs w:val="24"/>
          <w:highlight w:val="none"/>
        </w:rPr>
        <w:t>一、网上竞采程序及方法</w:t>
      </w:r>
      <w:bookmarkEnd w:id="86"/>
      <w:bookmarkEnd w:id="87"/>
      <w:bookmarkEnd w:id="88"/>
      <w:bookmarkEnd w:id="89"/>
      <w:bookmarkEnd w:id="90"/>
      <w:bookmarkEnd w:id="91"/>
    </w:p>
    <w:p w14:paraId="1DC5068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（一）网上竞采按</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规定的</w:t>
      </w:r>
      <w:r>
        <w:rPr>
          <w:rFonts w:hint="eastAsia" w:ascii="宋体" w:hAnsi="宋体" w:eastAsia="宋体" w:cs="宋体"/>
          <w:color w:val="auto"/>
          <w:sz w:val="24"/>
          <w:szCs w:val="24"/>
          <w:highlight w:val="none"/>
          <w:lang w:eastAsia="zh-CN"/>
        </w:rPr>
        <w:t>网上报价</w:t>
      </w:r>
      <w:r>
        <w:rPr>
          <w:rFonts w:hint="eastAsia" w:ascii="宋体" w:hAnsi="宋体" w:eastAsia="宋体" w:cs="宋体"/>
          <w:color w:val="auto"/>
          <w:sz w:val="24"/>
          <w:szCs w:val="24"/>
          <w:highlight w:val="none"/>
        </w:rPr>
        <w:t>时间进行，供应商须有法定代表人或其授权代表参加并签到。</w:t>
      </w:r>
    </w:p>
    <w:p w14:paraId="0743C6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（二）评审小组对各供应商的资格条件、响应文件的有效性、完整性和响应程度进行审查。各供应商只有在完全符合要求的前提下，才能参与正式网上竞采。</w:t>
      </w:r>
    </w:p>
    <w:p w14:paraId="3ED7E3B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w:t>
      </w:r>
      <w:r>
        <w:rPr>
          <w:rFonts w:hint="eastAsia" w:ascii="宋体" w:hAnsi="宋体" w:cs="宋体"/>
          <w:color w:val="auto"/>
          <w:kern w:val="0"/>
          <w:sz w:val="24"/>
          <w:szCs w:val="24"/>
          <w:highlight w:val="none"/>
          <w:lang w:val="en-US"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kern w:val="0"/>
          <w:sz w:val="24"/>
          <w:szCs w:val="24"/>
          <w:highlight w:val="none"/>
        </w:rPr>
        <w:t>的规定，对响应文件中的资格证明、进行审查，以确定供应商是否具备网上竞采资格。资格性检查资料表如下：</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593"/>
        <w:gridCol w:w="3685"/>
        <w:gridCol w:w="4558"/>
      </w:tblGrid>
      <w:tr w14:paraId="599A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92" w:type="dxa"/>
            <w:vAlign w:val="center"/>
          </w:tcPr>
          <w:p w14:paraId="2229F673">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278" w:type="dxa"/>
            <w:gridSpan w:val="2"/>
            <w:vAlign w:val="center"/>
          </w:tcPr>
          <w:p w14:paraId="77DC4FAF">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558" w:type="dxa"/>
            <w:vAlign w:val="center"/>
          </w:tcPr>
          <w:p w14:paraId="6F0BB238">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4FA2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restart"/>
            <w:vAlign w:val="center"/>
          </w:tcPr>
          <w:p w14:paraId="069558CA">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93" w:type="dxa"/>
            <w:vMerge w:val="restart"/>
            <w:vAlign w:val="center"/>
          </w:tcPr>
          <w:p w14:paraId="6932108E">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zh-CN"/>
              </w:rPr>
              <w:t>应符合的基本资格条件</w:t>
            </w:r>
          </w:p>
        </w:tc>
        <w:tc>
          <w:tcPr>
            <w:tcW w:w="3685" w:type="dxa"/>
            <w:vAlign w:val="center"/>
          </w:tcPr>
          <w:p w14:paraId="24004D74">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558" w:type="dxa"/>
            <w:vAlign w:val="center"/>
          </w:tcPr>
          <w:p w14:paraId="2A917A5B">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供应商法人营业执照（副本）或事业单位法人证书（副本）或个体工商户营业执照或有效的自然人身份证明、组织机构代码证复印件（注</w:t>
            </w:r>
            <w:r>
              <w:rPr>
                <w:rFonts w:hint="eastAsia" w:ascii="宋体" w:hAnsi="宋体" w:eastAsia="宋体" w:cs="宋体"/>
                <w:color w:val="auto"/>
                <w:kern w:val="0"/>
                <w:sz w:val="24"/>
                <w:szCs w:val="24"/>
                <w:highlight w:val="none"/>
              </w:rPr>
              <w:sym w:font="Wingdings" w:char="F081"/>
            </w:r>
            <w:r>
              <w:rPr>
                <w:rFonts w:hint="eastAsia" w:ascii="宋体" w:hAnsi="宋体" w:eastAsia="宋体" w:cs="宋体"/>
                <w:color w:val="auto"/>
                <w:sz w:val="24"/>
                <w:szCs w:val="24"/>
                <w:highlight w:val="none"/>
              </w:rPr>
              <w:t xml:space="preserve">）； </w:t>
            </w:r>
          </w:p>
          <w:p w14:paraId="42F332ED">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供应商法定代表人身份证明和法定代表人授权代表委托书。</w:t>
            </w:r>
          </w:p>
        </w:tc>
      </w:tr>
      <w:tr w14:paraId="0530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vAlign w:val="center"/>
          </w:tcPr>
          <w:p w14:paraId="6E95CA01">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593" w:type="dxa"/>
            <w:vMerge w:val="continue"/>
            <w:vAlign w:val="center"/>
          </w:tcPr>
          <w:p w14:paraId="4C688B86">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zh-CN"/>
              </w:rPr>
            </w:pPr>
          </w:p>
        </w:tc>
        <w:tc>
          <w:tcPr>
            <w:tcW w:w="3685" w:type="dxa"/>
            <w:vAlign w:val="center"/>
          </w:tcPr>
          <w:p w14:paraId="75689F1D">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558" w:type="dxa"/>
            <w:vMerge w:val="restart"/>
            <w:vAlign w:val="center"/>
          </w:tcPr>
          <w:p w14:paraId="106F2C6C">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供应商提供“基本资格条件承诺函”（详见</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文件格式）</w:t>
            </w:r>
          </w:p>
        </w:tc>
      </w:tr>
      <w:tr w14:paraId="44AC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92" w:type="dxa"/>
            <w:vMerge w:val="continue"/>
            <w:vAlign w:val="center"/>
          </w:tcPr>
          <w:p w14:paraId="131C3DF1">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593" w:type="dxa"/>
            <w:vMerge w:val="continue"/>
            <w:vAlign w:val="center"/>
          </w:tcPr>
          <w:p w14:paraId="485FA00B">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zh-CN"/>
              </w:rPr>
            </w:pPr>
          </w:p>
        </w:tc>
        <w:tc>
          <w:tcPr>
            <w:tcW w:w="3685" w:type="dxa"/>
            <w:vAlign w:val="center"/>
          </w:tcPr>
          <w:p w14:paraId="11170B0D">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558" w:type="dxa"/>
            <w:vMerge w:val="continue"/>
            <w:vAlign w:val="center"/>
          </w:tcPr>
          <w:p w14:paraId="4154366B">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r>
      <w:tr w14:paraId="7A54E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2" w:type="dxa"/>
            <w:vMerge w:val="continue"/>
            <w:vAlign w:val="center"/>
          </w:tcPr>
          <w:p w14:paraId="3123A30E">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593" w:type="dxa"/>
            <w:vMerge w:val="continue"/>
            <w:vAlign w:val="center"/>
          </w:tcPr>
          <w:p w14:paraId="0E8E3140">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zh-CN"/>
              </w:rPr>
            </w:pPr>
          </w:p>
        </w:tc>
        <w:tc>
          <w:tcPr>
            <w:tcW w:w="3685" w:type="dxa"/>
            <w:vAlign w:val="center"/>
          </w:tcPr>
          <w:p w14:paraId="76C4FB65">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558" w:type="dxa"/>
            <w:vMerge w:val="continue"/>
            <w:vAlign w:val="center"/>
          </w:tcPr>
          <w:p w14:paraId="447139A5">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r>
      <w:tr w14:paraId="171D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Merge w:val="continue"/>
            <w:vAlign w:val="center"/>
          </w:tcPr>
          <w:p w14:paraId="0DCC047C">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593" w:type="dxa"/>
            <w:vMerge w:val="continue"/>
            <w:vAlign w:val="center"/>
          </w:tcPr>
          <w:p w14:paraId="1B2BE498">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zh-CN"/>
              </w:rPr>
            </w:pPr>
          </w:p>
        </w:tc>
        <w:tc>
          <w:tcPr>
            <w:tcW w:w="3685" w:type="dxa"/>
            <w:vAlign w:val="center"/>
          </w:tcPr>
          <w:p w14:paraId="15E7E1F8">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kern w:val="0"/>
                <w:sz w:val="24"/>
                <w:szCs w:val="24"/>
                <w:highlight w:val="none"/>
              </w:rPr>
              <w:sym w:font="Wingdings" w:char="F082"/>
            </w:r>
            <w:r>
              <w:rPr>
                <w:rFonts w:hint="eastAsia" w:ascii="宋体" w:hAnsi="宋体" w:eastAsia="宋体" w:cs="宋体"/>
                <w:color w:val="auto"/>
                <w:sz w:val="24"/>
                <w:szCs w:val="24"/>
                <w:highlight w:val="none"/>
              </w:rPr>
              <w:t>）</w:t>
            </w:r>
          </w:p>
        </w:tc>
        <w:tc>
          <w:tcPr>
            <w:tcW w:w="4558" w:type="dxa"/>
            <w:vMerge w:val="continue"/>
            <w:vAlign w:val="center"/>
          </w:tcPr>
          <w:p w14:paraId="3FFF9EF3">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r>
      <w:tr w14:paraId="092F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2" w:type="dxa"/>
            <w:vMerge w:val="continue"/>
            <w:vAlign w:val="center"/>
          </w:tcPr>
          <w:p w14:paraId="60F53532">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p>
        </w:tc>
        <w:tc>
          <w:tcPr>
            <w:tcW w:w="593" w:type="dxa"/>
            <w:vMerge w:val="continue"/>
            <w:vAlign w:val="center"/>
          </w:tcPr>
          <w:p w14:paraId="495C8261">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lang w:val="zh-CN"/>
              </w:rPr>
            </w:pPr>
          </w:p>
        </w:tc>
        <w:tc>
          <w:tcPr>
            <w:tcW w:w="3685" w:type="dxa"/>
            <w:vAlign w:val="center"/>
          </w:tcPr>
          <w:p w14:paraId="6E6F1869">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558" w:type="dxa"/>
            <w:vMerge w:val="continue"/>
            <w:vAlign w:val="center"/>
          </w:tcPr>
          <w:p w14:paraId="67E4260E">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p>
        </w:tc>
      </w:tr>
      <w:tr w14:paraId="359F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2" w:type="dxa"/>
            <w:vAlign w:val="center"/>
          </w:tcPr>
          <w:p w14:paraId="55E1C7D0">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278" w:type="dxa"/>
            <w:gridSpan w:val="2"/>
            <w:vAlign w:val="center"/>
          </w:tcPr>
          <w:p w14:paraId="6458BB29">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c>
          <w:tcPr>
            <w:tcW w:w="4558" w:type="dxa"/>
            <w:vAlign w:val="center"/>
          </w:tcPr>
          <w:p w14:paraId="4C37C19F">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文件规定的特定资格条件要求提供（如有）。</w:t>
            </w:r>
          </w:p>
        </w:tc>
      </w:tr>
      <w:tr w14:paraId="19D3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92" w:type="dxa"/>
            <w:vAlign w:val="center"/>
          </w:tcPr>
          <w:p w14:paraId="7E7004D9">
            <w:pPr>
              <w:keepNext w:val="0"/>
              <w:keepLines w:val="0"/>
              <w:pageBreakBefore w:val="0"/>
              <w:widowControl w:val="0"/>
              <w:shd w:val="clear"/>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278" w:type="dxa"/>
            <w:gridSpan w:val="2"/>
            <w:vAlign w:val="center"/>
          </w:tcPr>
          <w:p w14:paraId="20B782CA">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落实政府采购政策需满足的资格要求</w:t>
            </w:r>
          </w:p>
        </w:tc>
        <w:tc>
          <w:tcPr>
            <w:tcW w:w="4558" w:type="dxa"/>
            <w:vAlign w:val="center"/>
          </w:tcPr>
          <w:p w14:paraId="42482856">
            <w:pPr>
              <w:keepNext w:val="0"/>
              <w:keepLines w:val="0"/>
              <w:pageBreakBefore w:val="0"/>
              <w:widowControl w:val="0"/>
              <w:shd w:val="clear"/>
              <w:kinsoku/>
              <w:wordWrap/>
              <w:overflowPunct/>
              <w:topLinePunct w:val="0"/>
              <w:autoSpaceDE/>
              <w:autoSpaceDN/>
              <w:bidi w:val="0"/>
              <w:adjustRightInd/>
              <w:snapToGrid/>
              <w:spacing w:line="288"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rPr>
              <w:t>文件规定的</w:t>
            </w:r>
            <w:r>
              <w:rPr>
                <w:rFonts w:hint="eastAsia" w:ascii="宋体" w:hAnsi="宋体" w:eastAsia="宋体" w:cs="宋体"/>
                <w:color w:val="auto"/>
                <w:sz w:val="24"/>
                <w:szCs w:val="24"/>
                <w:highlight w:val="none"/>
                <w:lang w:val="en-US" w:eastAsia="zh-CN"/>
              </w:rPr>
              <w:t>落实政府采购政策需满足的资格要求</w:t>
            </w:r>
            <w:r>
              <w:rPr>
                <w:rFonts w:hint="eastAsia" w:ascii="宋体" w:hAnsi="宋体" w:eastAsia="宋体" w:cs="宋体"/>
                <w:color w:val="auto"/>
                <w:sz w:val="24"/>
                <w:szCs w:val="24"/>
                <w:highlight w:val="none"/>
              </w:rPr>
              <w:t>提供（如有）。</w:t>
            </w:r>
          </w:p>
        </w:tc>
      </w:tr>
    </w:tbl>
    <w:p w14:paraId="214D9555">
      <w:pPr>
        <w:keepNext w:val="0"/>
        <w:keepLines w:val="0"/>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0ED89823">
      <w:pPr>
        <w:keepNext w:val="0"/>
        <w:keepLines w:val="0"/>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F081"/>
      </w:r>
      <w:r>
        <w:rPr>
          <w:rFonts w:hint="eastAsia" w:ascii="宋体" w:hAnsi="宋体" w:eastAsia="宋体" w:cs="宋体"/>
          <w:color w:val="auto"/>
          <w:kern w:val="0"/>
          <w:sz w:val="24"/>
          <w:szCs w:val="24"/>
          <w:highlight w:val="none"/>
        </w:rPr>
        <w:t>供应商按“多证合一”登记制度办理营业执照的，组织机构代码证、税务登记证（副本）和社会保险登记证以供应商所提供的营业执照（副本）复印件为准。</w:t>
      </w:r>
    </w:p>
    <w:p w14:paraId="40CFB8C2">
      <w:pPr>
        <w:keepNext w:val="0"/>
        <w:keepLines w:val="0"/>
        <w:pageBreakBefore w:val="0"/>
        <w:widowControl w:val="0"/>
        <w:shd w:val="clear"/>
        <w:kinsoku/>
        <w:wordWrap/>
        <w:overflowPunct/>
        <w:topLinePunct w:val="0"/>
        <w:autoSpaceDE/>
        <w:autoSpaceDN/>
        <w:bidi w:val="0"/>
        <w:adjustRightInd/>
        <w:snapToGrid w:val="0"/>
        <w:spacing w:line="312"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F082"/>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2022〕3号《关于〈中华人民共和国政府采购法实施条例〉第十九条第一款“较大数额罚款”具体适用问题的意见》执行。</w:t>
      </w:r>
    </w:p>
    <w:p w14:paraId="256FD7E5">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w:t>
      </w:r>
      <w:r>
        <w:rPr>
          <w:rFonts w:hint="eastAsia" w:ascii="宋体" w:hAnsi="宋体" w:eastAsia="宋体" w:cs="宋体"/>
          <w:color w:val="auto"/>
          <w:kern w:val="0"/>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kern w:val="0"/>
          <w:sz w:val="24"/>
          <w:szCs w:val="24"/>
          <w:highlight w:val="none"/>
        </w:rPr>
        <w:t>的规定，从响应文件的有效性、完整性和对</w:t>
      </w:r>
      <w:r>
        <w:rPr>
          <w:rFonts w:hint="eastAsia" w:ascii="宋体" w:hAnsi="宋体" w:cs="宋体"/>
          <w:color w:val="auto"/>
          <w:kern w:val="0"/>
          <w:sz w:val="24"/>
          <w:szCs w:val="24"/>
          <w:highlight w:val="none"/>
          <w:lang w:val="en-US"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kern w:val="0"/>
          <w:sz w:val="24"/>
          <w:szCs w:val="24"/>
          <w:highlight w:val="none"/>
        </w:rPr>
        <w:t>的响应程度进行审查，以确定是否对</w:t>
      </w:r>
      <w:r>
        <w:rPr>
          <w:rFonts w:hint="eastAsia" w:ascii="宋体" w:hAnsi="宋体" w:cs="宋体"/>
          <w:color w:val="auto"/>
          <w:kern w:val="0"/>
          <w:sz w:val="24"/>
          <w:szCs w:val="24"/>
          <w:highlight w:val="none"/>
          <w:lang w:val="en-US"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kern w:val="0"/>
          <w:sz w:val="24"/>
          <w:szCs w:val="24"/>
          <w:highlight w:val="none"/>
        </w:rPr>
        <w:t>的实质性要求作出响应。符合性检查资料表如下：</w:t>
      </w:r>
    </w:p>
    <w:tbl>
      <w:tblPr>
        <w:tblStyle w:val="22"/>
        <w:tblW w:w="10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55"/>
        <w:gridCol w:w="1905"/>
        <w:gridCol w:w="6043"/>
      </w:tblGrid>
      <w:tr w14:paraId="29EF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37635D2E">
            <w:pPr>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404E1622">
            <w:pPr>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6043" w:type="dxa"/>
            <w:tcBorders>
              <w:top w:val="single" w:color="auto" w:sz="4" w:space="0"/>
              <w:left w:val="single" w:color="auto" w:sz="4" w:space="0"/>
              <w:bottom w:val="single" w:color="auto" w:sz="4" w:space="0"/>
              <w:right w:val="single" w:color="auto" w:sz="4" w:space="0"/>
            </w:tcBorders>
            <w:vAlign w:val="center"/>
          </w:tcPr>
          <w:p w14:paraId="6491B770">
            <w:pPr>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767B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18" w:type="dxa"/>
            <w:vMerge w:val="restart"/>
            <w:tcBorders>
              <w:top w:val="single" w:color="auto" w:sz="4" w:space="0"/>
              <w:left w:val="single" w:color="auto" w:sz="4" w:space="0"/>
              <w:bottom w:val="single" w:color="auto" w:sz="4" w:space="0"/>
              <w:right w:val="single" w:color="auto" w:sz="4" w:space="0"/>
            </w:tcBorders>
            <w:vAlign w:val="center"/>
          </w:tcPr>
          <w:p w14:paraId="6988C94F">
            <w:pPr>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2D24B8BF">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77CC0620">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6043" w:type="dxa"/>
            <w:tcBorders>
              <w:top w:val="single" w:color="auto" w:sz="4" w:space="0"/>
              <w:left w:val="single" w:color="auto" w:sz="4" w:space="0"/>
              <w:bottom w:val="single" w:color="auto" w:sz="4" w:space="0"/>
              <w:right w:val="single" w:color="auto" w:sz="4" w:space="0"/>
            </w:tcBorders>
            <w:vAlign w:val="center"/>
          </w:tcPr>
          <w:p w14:paraId="6EF87EE2">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响应文件上法定代表人或其授权代表人的签字齐全。</w:t>
            </w:r>
          </w:p>
        </w:tc>
      </w:tr>
      <w:tr w14:paraId="0DB8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163847EF">
            <w:pPr>
              <w:keepNext/>
              <w:keepLines/>
              <w:pageBreakBefore w:val="0"/>
              <w:widowControl/>
              <w:shd w:val="clear"/>
              <w:kinsoku/>
              <w:wordWrap/>
              <w:overflowPunct/>
              <w:topLinePunct w:val="0"/>
              <w:autoSpaceDE/>
              <w:autoSpaceDN/>
              <w:bidi w:val="0"/>
              <w:adjustRightInd/>
              <w:spacing w:before="260" w:after="260" w:line="360" w:lineRule="auto"/>
              <w:jc w:val="left"/>
              <w:textAlignment w:val="auto"/>
              <w:outlineLvl w:val="2"/>
              <w:rPr>
                <w:rFonts w:hint="eastAsia" w:ascii="宋体" w:hAnsi="宋体" w:eastAsia="宋体" w:cs="宋体"/>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5CD297E">
            <w:pPr>
              <w:keepNext/>
              <w:keepLines/>
              <w:pageBreakBefore w:val="0"/>
              <w:widowControl/>
              <w:shd w:val="clear"/>
              <w:kinsoku/>
              <w:wordWrap/>
              <w:overflowPunct/>
              <w:topLinePunct w:val="0"/>
              <w:autoSpaceDE/>
              <w:autoSpaceDN/>
              <w:bidi w:val="0"/>
              <w:adjustRightInd/>
              <w:spacing w:before="260" w:after="260" w:line="360" w:lineRule="auto"/>
              <w:jc w:val="left"/>
              <w:textAlignment w:val="auto"/>
              <w:outlineLvl w:val="2"/>
              <w:rPr>
                <w:rFonts w:hint="eastAsia" w:ascii="宋体" w:hAnsi="宋体" w:eastAsia="宋体" w:cs="宋体"/>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78E61D88">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6043" w:type="dxa"/>
            <w:tcBorders>
              <w:top w:val="single" w:color="auto" w:sz="4" w:space="0"/>
              <w:left w:val="single" w:color="auto" w:sz="4" w:space="0"/>
              <w:bottom w:val="single" w:color="auto" w:sz="4" w:space="0"/>
              <w:right w:val="single" w:color="auto" w:sz="4" w:space="0"/>
            </w:tcBorders>
            <w:vAlign w:val="center"/>
          </w:tcPr>
          <w:p w14:paraId="7B5DA288">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w:t>
            </w:r>
            <w:r>
              <w:rPr>
                <w:rFonts w:hint="eastAsia" w:ascii="宋体" w:hAnsi="宋体" w:eastAsia="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规定的格式，签字或盖章齐全。</w:t>
            </w:r>
          </w:p>
        </w:tc>
      </w:tr>
      <w:tr w14:paraId="261B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4F699AE2">
            <w:pPr>
              <w:keepNext/>
              <w:keepLines/>
              <w:pageBreakBefore w:val="0"/>
              <w:widowControl/>
              <w:shd w:val="clear"/>
              <w:kinsoku/>
              <w:wordWrap/>
              <w:overflowPunct/>
              <w:topLinePunct w:val="0"/>
              <w:autoSpaceDE/>
              <w:autoSpaceDN/>
              <w:bidi w:val="0"/>
              <w:adjustRightInd/>
              <w:spacing w:before="260" w:after="260" w:line="360" w:lineRule="auto"/>
              <w:jc w:val="left"/>
              <w:textAlignment w:val="auto"/>
              <w:outlineLvl w:val="2"/>
              <w:rPr>
                <w:rFonts w:hint="eastAsia" w:ascii="宋体" w:hAnsi="宋体" w:eastAsia="宋体" w:cs="宋体"/>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77619A8">
            <w:pPr>
              <w:keepNext/>
              <w:keepLines/>
              <w:pageBreakBefore w:val="0"/>
              <w:widowControl/>
              <w:shd w:val="clear"/>
              <w:kinsoku/>
              <w:wordWrap/>
              <w:overflowPunct/>
              <w:topLinePunct w:val="0"/>
              <w:autoSpaceDE/>
              <w:autoSpaceDN/>
              <w:bidi w:val="0"/>
              <w:adjustRightInd/>
              <w:spacing w:before="260" w:after="260" w:line="360" w:lineRule="auto"/>
              <w:jc w:val="left"/>
              <w:textAlignment w:val="auto"/>
              <w:outlineLvl w:val="2"/>
              <w:rPr>
                <w:rFonts w:hint="eastAsia" w:ascii="宋体" w:hAnsi="宋体" w:eastAsia="宋体" w:cs="宋体"/>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2DA8F57F">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6043" w:type="dxa"/>
            <w:tcBorders>
              <w:top w:val="single" w:color="auto" w:sz="4" w:space="0"/>
              <w:left w:val="single" w:color="auto" w:sz="4" w:space="0"/>
              <w:bottom w:val="single" w:color="auto" w:sz="4" w:space="0"/>
              <w:right w:val="single" w:color="auto" w:sz="4" w:space="0"/>
            </w:tcBorders>
            <w:vAlign w:val="center"/>
          </w:tcPr>
          <w:p w14:paraId="0DC8D4DF">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1E62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0B7AAB8E">
            <w:pPr>
              <w:keepNext/>
              <w:keepLines/>
              <w:pageBreakBefore w:val="0"/>
              <w:widowControl/>
              <w:shd w:val="clear"/>
              <w:kinsoku/>
              <w:wordWrap/>
              <w:overflowPunct/>
              <w:topLinePunct w:val="0"/>
              <w:autoSpaceDE/>
              <w:autoSpaceDN/>
              <w:bidi w:val="0"/>
              <w:adjustRightInd/>
              <w:spacing w:before="260" w:after="260" w:line="360" w:lineRule="auto"/>
              <w:jc w:val="left"/>
              <w:textAlignment w:val="auto"/>
              <w:outlineLvl w:val="2"/>
              <w:rPr>
                <w:rFonts w:hint="eastAsia" w:ascii="宋体" w:hAnsi="宋体" w:eastAsia="宋体" w:cs="宋体"/>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FBA61E7">
            <w:pPr>
              <w:keepNext/>
              <w:keepLines/>
              <w:pageBreakBefore w:val="0"/>
              <w:widowControl/>
              <w:shd w:val="clear"/>
              <w:kinsoku/>
              <w:wordWrap/>
              <w:overflowPunct/>
              <w:topLinePunct w:val="0"/>
              <w:autoSpaceDE/>
              <w:autoSpaceDN/>
              <w:bidi w:val="0"/>
              <w:adjustRightInd/>
              <w:spacing w:before="260" w:after="260" w:line="360" w:lineRule="auto"/>
              <w:jc w:val="left"/>
              <w:textAlignment w:val="auto"/>
              <w:outlineLvl w:val="2"/>
              <w:rPr>
                <w:rFonts w:hint="eastAsia" w:ascii="宋体" w:hAnsi="宋体" w:eastAsia="宋体" w:cs="宋体"/>
                <w:color w:val="auto"/>
                <w:kern w:val="0"/>
                <w:sz w:val="24"/>
                <w:szCs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276EBCB">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6043" w:type="dxa"/>
            <w:tcBorders>
              <w:top w:val="single" w:color="auto" w:sz="4" w:space="0"/>
              <w:left w:val="single" w:color="auto" w:sz="4" w:space="0"/>
              <w:bottom w:val="single" w:color="auto" w:sz="4" w:space="0"/>
              <w:right w:val="single" w:color="auto" w:sz="4" w:space="0"/>
            </w:tcBorders>
            <w:vAlign w:val="center"/>
          </w:tcPr>
          <w:p w14:paraId="068C2CA7">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w:t>
            </w:r>
            <w:r>
              <w:rPr>
                <w:rFonts w:hint="eastAsia" w:ascii="宋体" w:hAnsi="宋体" w:eastAsia="宋体" w:cs="宋体"/>
                <w:color w:val="auto"/>
                <w:sz w:val="24"/>
                <w:szCs w:val="24"/>
                <w:highlight w:val="none"/>
                <w:lang w:val="en-US" w:eastAsia="zh-CN"/>
              </w:rPr>
              <w:t>最高限价</w:t>
            </w:r>
            <w:r>
              <w:rPr>
                <w:rFonts w:hint="eastAsia" w:ascii="宋体" w:hAnsi="宋体" w:eastAsia="宋体" w:cs="宋体"/>
                <w:color w:val="auto"/>
                <w:sz w:val="24"/>
                <w:szCs w:val="24"/>
                <w:highlight w:val="none"/>
                <w:lang w:val="zh-CN"/>
              </w:rPr>
              <w:t>范围内报价，</w:t>
            </w:r>
            <w:r>
              <w:rPr>
                <w:rFonts w:hint="eastAsia" w:ascii="宋体" w:hAnsi="宋体" w:eastAsia="宋体" w:cs="宋体"/>
                <w:color w:val="auto"/>
                <w:sz w:val="24"/>
                <w:szCs w:val="24"/>
                <w:highlight w:val="none"/>
              </w:rPr>
              <w:t>只能有一个有效报价，不得提交选择性报价。</w:t>
            </w:r>
          </w:p>
        </w:tc>
      </w:tr>
      <w:tr w14:paraId="3DE3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5F2F3EB2">
            <w:pPr>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455" w:type="dxa"/>
            <w:tcBorders>
              <w:top w:val="single" w:color="auto" w:sz="4" w:space="0"/>
              <w:left w:val="single" w:color="auto" w:sz="4" w:space="0"/>
              <w:bottom w:val="single" w:color="auto" w:sz="4" w:space="0"/>
              <w:right w:val="single" w:color="auto" w:sz="4" w:space="0"/>
            </w:tcBorders>
            <w:vAlign w:val="center"/>
          </w:tcPr>
          <w:p w14:paraId="253154A3">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1E46E87D">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6043" w:type="dxa"/>
            <w:tcBorders>
              <w:top w:val="single" w:color="auto" w:sz="4" w:space="0"/>
              <w:left w:val="single" w:color="auto" w:sz="4" w:space="0"/>
              <w:bottom w:val="single" w:color="auto" w:sz="4" w:space="0"/>
              <w:right w:val="single" w:color="auto" w:sz="4" w:space="0"/>
            </w:tcBorders>
            <w:vAlign w:val="center"/>
          </w:tcPr>
          <w:p w14:paraId="02F375B0">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文件数量符合</w:t>
            </w:r>
            <w:r>
              <w:rPr>
                <w:rFonts w:hint="eastAsia" w:ascii="宋体" w:hAnsi="宋体" w:eastAsia="宋体" w:cs="宋体"/>
                <w:color w:val="auto"/>
                <w:sz w:val="24"/>
                <w:szCs w:val="24"/>
                <w:highlight w:val="none"/>
                <w:lang w:eastAsia="zh-CN"/>
              </w:rPr>
              <w:t>竞争性比选文件</w:t>
            </w:r>
            <w:r>
              <w:rPr>
                <w:rFonts w:hint="eastAsia" w:ascii="宋体" w:hAnsi="宋体" w:eastAsia="宋体" w:cs="宋体"/>
                <w:color w:val="auto"/>
                <w:sz w:val="24"/>
                <w:szCs w:val="24"/>
                <w:highlight w:val="none"/>
                <w:lang w:val="zh-CN"/>
              </w:rPr>
              <w:t>要求。</w:t>
            </w:r>
          </w:p>
        </w:tc>
      </w:tr>
      <w:tr w14:paraId="68A3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restart"/>
            <w:tcBorders>
              <w:top w:val="single" w:color="auto" w:sz="4" w:space="0"/>
              <w:left w:val="single" w:color="auto" w:sz="4" w:space="0"/>
              <w:bottom w:val="single" w:color="auto" w:sz="4" w:space="0"/>
              <w:right w:val="single" w:color="auto" w:sz="4" w:space="0"/>
            </w:tcBorders>
            <w:vAlign w:val="center"/>
          </w:tcPr>
          <w:p w14:paraId="3DE630C3">
            <w:pPr>
              <w:pageBreakBefore w:val="0"/>
              <w:shd w:val="clear"/>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481A023A">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lang w:eastAsia="zh-CN"/>
              </w:rPr>
              <w:t>竞争性比选文件</w:t>
            </w:r>
            <w:r>
              <w:rPr>
                <w:rFonts w:hint="eastAsia" w:ascii="宋体" w:hAnsi="宋体" w:eastAsia="宋体" w:cs="宋体"/>
                <w:color w:val="auto"/>
                <w:kern w:val="0"/>
                <w:sz w:val="24"/>
                <w:szCs w:val="24"/>
                <w:highlight w:val="none"/>
              </w:rPr>
              <w:t>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2E93B1DC">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6043" w:type="dxa"/>
            <w:tcBorders>
              <w:top w:val="single" w:color="auto" w:sz="4" w:space="0"/>
              <w:left w:val="single" w:color="auto" w:sz="4" w:space="0"/>
              <w:bottom w:val="single" w:color="auto" w:sz="4" w:space="0"/>
              <w:right w:val="single" w:color="auto" w:sz="4" w:space="0"/>
            </w:tcBorders>
            <w:vAlign w:val="center"/>
          </w:tcPr>
          <w:p w14:paraId="22BCD081">
            <w:pPr>
              <w:pStyle w:val="12"/>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篇、第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篇规定的内容作出响应。</w:t>
            </w:r>
          </w:p>
        </w:tc>
      </w:tr>
      <w:tr w14:paraId="3FF3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Merge w:val="continue"/>
            <w:tcBorders>
              <w:top w:val="single" w:color="auto" w:sz="4" w:space="0"/>
              <w:left w:val="single" w:color="auto" w:sz="4" w:space="0"/>
              <w:bottom w:val="single" w:color="auto" w:sz="4" w:space="0"/>
              <w:right w:val="single" w:color="auto" w:sz="4" w:space="0"/>
            </w:tcBorders>
            <w:vAlign w:val="center"/>
          </w:tcPr>
          <w:p w14:paraId="2196229D">
            <w:pPr>
              <w:keepNext/>
              <w:keepLines/>
              <w:pageBreakBefore w:val="0"/>
              <w:widowControl/>
              <w:shd w:val="clear"/>
              <w:kinsoku/>
              <w:wordWrap/>
              <w:overflowPunct/>
              <w:topLinePunct w:val="0"/>
              <w:autoSpaceDE/>
              <w:autoSpaceDN/>
              <w:bidi w:val="0"/>
              <w:adjustRightInd/>
              <w:spacing w:before="260" w:after="260" w:line="360" w:lineRule="auto"/>
              <w:jc w:val="left"/>
              <w:textAlignment w:val="auto"/>
              <w:outlineLvl w:val="2"/>
              <w:rPr>
                <w:rFonts w:hint="eastAsia" w:ascii="宋体" w:hAnsi="宋体" w:eastAsia="宋体" w:cs="宋体"/>
                <w:color w:val="auto"/>
                <w:kern w:val="0"/>
                <w:sz w:val="24"/>
                <w:szCs w:val="24"/>
                <w:highlight w:val="none"/>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5F8912EA">
            <w:pPr>
              <w:keepNext/>
              <w:keepLines/>
              <w:pageBreakBefore w:val="0"/>
              <w:widowControl/>
              <w:shd w:val="clear"/>
              <w:kinsoku/>
              <w:wordWrap/>
              <w:overflowPunct/>
              <w:topLinePunct w:val="0"/>
              <w:autoSpaceDE/>
              <w:autoSpaceDN/>
              <w:bidi w:val="0"/>
              <w:adjustRightInd/>
              <w:spacing w:before="260" w:after="260" w:line="360" w:lineRule="auto"/>
              <w:jc w:val="left"/>
              <w:textAlignment w:val="auto"/>
              <w:outlineLvl w:val="2"/>
              <w:rPr>
                <w:rFonts w:hint="eastAsia" w:ascii="宋体" w:hAnsi="宋体" w:eastAsia="宋体" w:cs="宋体"/>
                <w:color w:val="auto"/>
                <w:sz w:val="24"/>
                <w:szCs w:val="24"/>
                <w:highlight w:val="none"/>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14:paraId="12ED0578">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竞采</w:t>
            </w:r>
            <w:r>
              <w:rPr>
                <w:rFonts w:hint="eastAsia" w:ascii="宋体" w:hAnsi="宋体" w:eastAsia="宋体" w:cs="宋体"/>
                <w:color w:val="auto"/>
                <w:kern w:val="0"/>
                <w:sz w:val="24"/>
                <w:szCs w:val="24"/>
                <w:highlight w:val="none"/>
              </w:rPr>
              <w:t>有效期</w:t>
            </w:r>
          </w:p>
        </w:tc>
        <w:tc>
          <w:tcPr>
            <w:tcW w:w="6043" w:type="dxa"/>
            <w:tcBorders>
              <w:top w:val="single" w:color="auto" w:sz="4" w:space="0"/>
              <w:left w:val="single" w:color="auto" w:sz="4" w:space="0"/>
              <w:bottom w:val="single" w:color="auto" w:sz="4" w:space="0"/>
              <w:right w:val="single" w:color="auto" w:sz="4" w:space="0"/>
            </w:tcBorders>
            <w:vAlign w:val="center"/>
          </w:tcPr>
          <w:p w14:paraId="7466FC99">
            <w:pPr>
              <w:pageBreakBefore w:val="0"/>
              <w:shd w:val="clear"/>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响应文件及有关承诺文件有效期为提交响应文件截止时间起90天。</w:t>
            </w:r>
          </w:p>
        </w:tc>
      </w:tr>
    </w:tbl>
    <w:p w14:paraId="4592F3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54C3C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FE6817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（五）在网上竞采过程中网上竞采的任何一方不得向他人透露与网上竞采有关的服务资料、价格或其他信息。</w:t>
      </w:r>
    </w:p>
    <w:p w14:paraId="14202E4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（六）在网上竞采过程中，网上竞采小组可以根据竞争性比选文件和网上竞采情况实质性变动采购需求中的技术、商务要求以及合同草案条款，但不得变动</w:t>
      </w:r>
      <w:r>
        <w:rPr>
          <w:rFonts w:hint="eastAsia" w:ascii="宋体" w:hAnsi="宋体" w:cs="宋体"/>
          <w:color w:val="auto"/>
          <w:kern w:val="0"/>
          <w:sz w:val="24"/>
          <w:szCs w:val="24"/>
          <w:highlight w:val="none"/>
          <w:lang w:val="en-US"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中的其他内容。实质性变动的内容，须经采购人代表确认。对</w:t>
      </w:r>
      <w:r>
        <w:rPr>
          <w:rFonts w:hint="eastAsia" w:ascii="宋体" w:hAnsi="宋体" w:cs="宋体"/>
          <w:color w:val="auto"/>
          <w:kern w:val="0"/>
          <w:sz w:val="24"/>
          <w:szCs w:val="24"/>
          <w:highlight w:val="none"/>
          <w:lang w:val="en-US"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作出的实质性变动是</w:t>
      </w:r>
      <w:r>
        <w:rPr>
          <w:rFonts w:hint="eastAsia" w:ascii="宋体" w:hAnsi="宋体" w:cs="宋体"/>
          <w:color w:val="auto"/>
          <w:kern w:val="0"/>
          <w:sz w:val="24"/>
          <w:szCs w:val="24"/>
          <w:highlight w:val="none"/>
          <w:lang w:val="en-US"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的有效组成部分，网上竞采小组应当及时以书面形式同时通知所有参加网上竞采的供应商。</w:t>
      </w:r>
    </w:p>
    <w:p w14:paraId="7BDDC1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eastAsia="宋体" w:cs="宋体"/>
          <w:color w:val="auto"/>
          <w:sz w:val="24"/>
          <w:szCs w:val="24"/>
          <w:highlight w:val="none"/>
        </w:rPr>
        <w:t>）评审小组采用综合评分法对合格的供应商的响应文件进行综合评分。</w:t>
      </w:r>
      <w:r>
        <w:rPr>
          <w:rFonts w:hint="eastAsia" w:ascii="宋体" w:hAnsi="宋体" w:eastAsia="宋体" w:cs="宋体"/>
          <w:color w:val="auto"/>
          <w:kern w:val="0"/>
          <w:sz w:val="24"/>
          <w:szCs w:val="24"/>
          <w:highlight w:val="none"/>
        </w:rPr>
        <w:t>综合评分法，是指响应文件满足</w:t>
      </w:r>
      <w:r>
        <w:rPr>
          <w:rFonts w:hint="eastAsia" w:ascii="宋体" w:hAnsi="宋体" w:cs="宋体"/>
          <w:color w:val="auto"/>
          <w:kern w:val="0"/>
          <w:sz w:val="24"/>
          <w:szCs w:val="24"/>
          <w:highlight w:val="none"/>
          <w:lang w:val="en-US"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kern w:val="0"/>
          <w:sz w:val="24"/>
          <w:szCs w:val="24"/>
          <w:highlight w:val="none"/>
        </w:rPr>
        <w:t>全部实质性要求且按照评审因素的量化指标评审得分最高的供应商为成交候选供应商的评审方法。供应商总得分为价格、</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、商务等评定因素分别按照相应权重值计算分项得分后相加，满分为100分</w:t>
      </w:r>
      <w:r>
        <w:rPr>
          <w:rFonts w:hint="eastAsia" w:ascii="宋体" w:hAnsi="宋体" w:eastAsia="宋体" w:cs="宋体"/>
          <w:color w:val="auto"/>
          <w:sz w:val="24"/>
          <w:szCs w:val="24"/>
          <w:highlight w:val="none"/>
        </w:rPr>
        <w:t>。</w:t>
      </w:r>
    </w:p>
    <w:p w14:paraId="07BD9378">
      <w:pPr>
        <w:pageBreakBefore w:val="0"/>
        <w:widowControl w:val="0"/>
        <w:shd w:val="clear"/>
        <w:kinsoku/>
        <w:wordWrap/>
        <w:overflowPunct/>
        <w:topLinePunct w:val="0"/>
        <w:autoSpaceDE/>
        <w:autoSpaceDN/>
        <w:bidi w:val="0"/>
        <w:adjustRightInd/>
        <w:snapToGrid w:val="0"/>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）评审小组各成员独立对每个有效响应（通过资格性检查、</w:t>
      </w:r>
      <w:r>
        <w:rPr>
          <w:rFonts w:hint="eastAsia" w:ascii="宋体" w:hAnsi="宋体" w:eastAsia="宋体" w:cs="宋体"/>
          <w:color w:val="auto"/>
          <w:kern w:val="0"/>
          <w:sz w:val="24"/>
          <w:szCs w:val="24"/>
          <w:highlight w:val="none"/>
        </w:rPr>
        <w:t>符合性检查的供应商</w:t>
      </w:r>
      <w:r>
        <w:rPr>
          <w:rFonts w:hint="eastAsia" w:ascii="宋体" w:hAnsi="宋体" w:eastAsia="宋体" w:cs="宋体"/>
          <w:color w:val="auto"/>
          <w:sz w:val="24"/>
          <w:szCs w:val="24"/>
          <w:highlight w:val="none"/>
        </w:rPr>
        <w:t>）的文件进行评价、打分，然后汇总每个供应商每项评分因素的得分，并根据综合评分情况按照评审得分由高到低顺序推荐</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名</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以上成交候选供应商，并编写评审报告。若供应商的评审得分相同的，按照竞采报价由低到高的顺序排列推荐。评审得分且竞采报价相同的，按照</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部分得分高低顺序排列推荐。以上都相同的，</w:t>
      </w:r>
      <w:r>
        <w:rPr>
          <w:rFonts w:hint="eastAsia" w:ascii="宋体" w:hAnsi="宋体" w:eastAsia="宋体" w:cs="宋体"/>
          <w:color w:val="auto"/>
          <w:sz w:val="24"/>
          <w:szCs w:val="24"/>
          <w:highlight w:val="none"/>
          <w:lang w:val="en-US" w:eastAsia="zh-CN"/>
        </w:rPr>
        <w:t>按随机抽取</w:t>
      </w:r>
      <w:r>
        <w:rPr>
          <w:rFonts w:hint="eastAsia" w:ascii="宋体" w:hAnsi="宋体" w:eastAsia="宋体" w:cs="宋体"/>
          <w:color w:val="auto"/>
          <w:sz w:val="24"/>
          <w:szCs w:val="24"/>
          <w:highlight w:val="none"/>
        </w:rPr>
        <w:t>排列推荐。</w:t>
      </w:r>
    </w:p>
    <w:p w14:paraId="1ABFFF70">
      <w:pPr>
        <w:pStyle w:val="3"/>
        <w:pageBreakBefore w:val="0"/>
        <w:widowControl w:val="0"/>
        <w:numPr>
          <w:ilvl w:val="0"/>
          <w:numId w:val="0"/>
        </w:numPr>
        <w:shd w:val="clear"/>
        <w:kinsoku/>
        <w:wordWrap/>
        <w:overflowPunct/>
        <w:topLinePunct w:val="0"/>
        <w:autoSpaceDE/>
        <w:autoSpaceDN/>
        <w:bidi w:val="0"/>
        <w:adjustRightInd/>
        <w:spacing w:before="0" w:after="0" w:line="520" w:lineRule="exact"/>
        <w:textAlignment w:val="auto"/>
        <w:outlineLvl w:val="1"/>
        <w:rPr>
          <w:rFonts w:hint="eastAsia" w:ascii="宋体" w:hAnsi="宋体" w:eastAsia="宋体" w:cs="宋体"/>
          <w:color w:val="auto"/>
          <w:sz w:val="24"/>
          <w:szCs w:val="24"/>
          <w:highlight w:val="none"/>
        </w:rPr>
      </w:pPr>
      <w:bookmarkStart w:id="92" w:name="_Toc17767"/>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评审标准</w:t>
      </w:r>
      <w:bookmarkEnd w:id="92"/>
    </w:p>
    <w:tbl>
      <w:tblPr>
        <w:tblStyle w:val="22"/>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77"/>
        <w:gridCol w:w="1196"/>
        <w:gridCol w:w="327"/>
        <w:gridCol w:w="321"/>
        <w:gridCol w:w="4440"/>
        <w:gridCol w:w="1720"/>
      </w:tblGrid>
      <w:tr w14:paraId="0894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noWrap w:val="0"/>
            <w:vAlign w:val="center"/>
          </w:tcPr>
          <w:p w14:paraId="3DA04A41">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77" w:type="dxa"/>
            <w:noWrap w:val="0"/>
            <w:vAlign w:val="center"/>
          </w:tcPr>
          <w:p w14:paraId="009CC1B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评分因素</w:t>
            </w:r>
          </w:p>
        </w:tc>
        <w:tc>
          <w:tcPr>
            <w:tcW w:w="1523" w:type="dxa"/>
            <w:gridSpan w:val="2"/>
            <w:noWrap w:val="0"/>
            <w:vAlign w:val="center"/>
          </w:tcPr>
          <w:p w14:paraId="00A9289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4761" w:type="dxa"/>
            <w:gridSpan w:val="2"/>
            <w:noWrap w:val="0"/>
            <w:vAlign w:val="center"/>
          </w:tcPr>
          <w:p w14:paraId="0400B1D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评分标准                        </w:t>
            </w:r>
          </w:p>
        </w:tc>
        <w:tc>
          <w:tcPr>
            <w:tcW w:w="1720" w:type="dxa"/>
            <w:noWrap w:val="0"/>
            <w:vAlign w:val="center"/>
          </w:tcPr>
          <w:p w14:paraId="32BB4A38">
            <w:pPr>
              <w:pStyle w:val="44"/>
              <w:keepNext w:val="0"/>
              <w:keepLines w:val="0"/>
              <w:pageBreakBefore w:val="0"/>
              <w:widowControl w:val="0"/>
              <w:kinsoku/>
              <w:wordWrap/>
              <w:overflowPunct/>
              <w:topLinePunct w:val="0"/>
              <w:autoSpaceDE/>
              <w:autoSpaceDN/>
              <w:bidi w:val="0"/>
              <w:adjustRightInd/>
              <w:spacing w:before="0"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14:paraId="7BE3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noWrap w:val="0"/>
            <w:vAlign w:val="center"/>
          </w:tcPr>
          <w:p w14:paraId="5432FC0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77" w:type="dxa"/>
            <w:noWrap w:val="0"/>
            <w:vAlign w:val="center"/>
          </w:tcPr>
          <w:p w14:paraId="2A8C20B7">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竞采</w:t>
            </w:r>
            <w:r>
              <w:rPr>
                <w:rFonts w:hint="eastAsia" w:ascii="宋体" w:hAnsi="宋体" w:eastAsia="宋体" w:cs="宋体"/>
                <w:b/>
                <w:color w:val="auto"/>
                <w:sz w:val="21"/>
                <w:szCs w:val="21"/>
                <w:highlight w:val="none"/>
              </w:rPr>
              <w:t>报价</w:t>
            </w:r>
          </w:p>
          <w:p w14:paraId="38A5901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（20%）</w:t>
            </w:r>
          </w:p>
        </w:tc>
        <w:tc>
          <w:tcPr>
            <w:tcW w:w="1523" w:type="dxa"/>
            <w:gridSpan w:val="2"/>
            <w:noWrap w:val="0"/>
            <w:vAlign w:val="center"/>
          </w:tcPr>
          <w:p w14:paraId="5A85129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4761" w:type="dxa"/>
            <w:gridSpan w:val="2"/>
            <w:noWrap w:val="0"/>
            <w:vAlign w:val="center"/>
          </w:tcPr>
          <w:p w14:paraId="47FF03D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w:t>
            </w:r>
            <w:r>
              <w:rPr>
                <w:rFonts w:hint="eastAsia" w:ascii="宋体" w:hAnsi="宋体" w:cs="宋体"/>
                <w:color w:val="auto"/>
                <w:sz w:val="21"/>
                <w:szCs w:val="21"/>
                <w:highlight w:val="none"/>
                <w:lang w:val="en-US" w:eastAsia="zh-CN"/>
              </w:rPr>
              <w:t>竞采</w:t>
            </w:r>
            <w:r>
              <w:rPr>
                <w:rFonts w:hint="eastAsia" w:ascii="宋体" w:hAnsi="宋体" w:eastAsia="宋体" w:cs="宋体"/>
                <w:color w:val="auto"/>
                <w:sz w:val="21"/>
                <w:szCs w:val="21"/>
                <w:highlight w:val="none"/>
              </w:rPr>
              <w:t>报价中的最低价（各项单价报价之和）为评审基准价，按照下列公式计算每个响应供应商的</w:t>
            </w:r>
            <w:r>
              <w:rPr>
                <w:rFonts w:hint="eastAsia" w:ascii="宋体" w:hAnsi="宋体" w:cs="宋体"/>
                <w:color w:val="auto"/>
                <w:sz w:val="21"/>
                <w:szCs w:val="21"/>
                <w:highlight w:val="none"/>
                <w:lang w:val="en-US" w:eastAsia="zh-CN"/>
              </w:rPr>
              <w:t>竞采</w:t>
            </w:r>
            <w:r>
              <w:rPr>
                <w:rFonts w:hint="eastAsia" w:ascii="宋体" w:hAnsi="宋体" w:eastAsia="宋体" w:cs="宋体"/>
                <w:color w:val="auto"/>
                <w:sz w:val="21"/>
                <w:szCs w:val="21"/>
                <w:highlight w:val="none"/>
              </w:rPr>
              <w:t>价格得分。</w:t>
            </w:r>
          </w:p>
          <w:p w14:paraId="525EA2B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竞采</w:t>
            </w:r>
            <w:r>
              <w:rPr>
                <w:rFonts w:hint="eastAsia" w:ascii="宋体" w:hAnsi="宋体" w:eastAsia="宋体" w:cs="宋体"/>
                <w:color w:val="auto"/>
                <w:sz w:val="21"/>
                <w:szCs w:val="21"/>
                <w:highlight w:val="none"/>
              </w:rPr>
              <w:t>报价得分＝（评审基准价/</w:t>
            </w:r>
            <w:r>
              <w:rPr>
                <w:rFonts w:hint="eastAsia" w:ascii="宋体" w:hAnsi="宋体" w:cs="宋体"/>
                <w:color w:val="auto"/>
                <w:sz w:val="21"/>
                <w:szCs w:val="21"/>
                <w:highlight w:val="none"/>
                <w:lang w:val="en-US" w:eastAsia="zh-CN"/>
              </w:rPr>
              <w:t>竞采</w:t>
            </w:r>
            <w:r>
              <w:rPr>
                <w:rFonts w:hint="eastAsia" w:ascii="宋体" w:hAnsi="宋体" w:eastAsia="宋体" w:cs="宋体"/>
                <w:color w:val="auto"/>
                <w:sz w:val="21"/>
                <w:szCs w:val="21"/>
                <w:highlight w:val="none"/>
              </w:rPr>
              <w:t>报价）×价格权重×100。保留小数点后两位，第三位四舍五入。</w:t>
            </w:r>
          </w:p>
        </w:tc>
        <w:tc>
          <w:tcPr>
            <w:tcW w:w="1720" w:type="dxa"/>
            <w:noWrap w:val="0"/>
            <w:vAlign w:val="center"/>
          </w:tcPr>
          <w:p w14:paraId="4826015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高于最高限价为无效报价。</w:t>
            </w:r>
          </w:p>
        </w:tc>
      </w:tr>
      <w:tr w14:paraId="461E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Merge w:val="restart"/>
            <w:noWrap w:val="0"/>
            <w:vAlign w:val="center"/>
          </w:tcPr>
          <w:p w14:paraId="22AEFA0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77" w:type="dxa"/>
            <w:vMerge w:val="restart"/>
            <w:noWrap w:val="0"/>
            <w:vAlign w:val="center"/>
          </w:tcPr>
          <w:p w14:paraId="3CC9512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服务部分</w:t>
            </w:r>
          </w:p>
          <w:p w14:paraId="4207CF4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（运营方案）</w:t>
            </w:r>
          </w:p>
          <w:p w14:paraId="1AC713D4">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（30%）</w:t>
            </w:r>
          </w:p>
        </w:tc>
        <w:tc>
          <w:tcPr>
            <w:tcW w:w="8004" w:type="dxa"/>
            <w:gridSpan w:val="5"/>
            <w:noWrap w:val="0"/>
            <w:vAlign w:val="center"/>
          </w:tcPr>
          <w:p w14:paraId="0ADAD2FE">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响应供应商的应答应满足采购文件第二篇“项目技术需求”，有一条不满足的，服务方案部分得分为0分，不再进入服务部分的评审。</w:t>
            </w:r>
          </w:p>
        </w:tc>
      </w:tr>
      <w:tr w14:paraId="2359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Merge w:val="continue"/>
            <w:noWrap w:val="0"/>
            <w:vAlign w:val="center"/>
          </w:tcPr>
          <w:p w14:paraId="2C01FFC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277" w:type="dxa"/>
            <w:vMerge w:val="continue"/>
            <w:noWrap w:val="0"/>
            <w:vAlign w:val="center"/>
          </w:tcPr>
          <w:p w14:paraId="14F683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523" w:type="dxa"/>
            <w:gridSpan w:val="2"/>
            <w:noWrap w:val="0"/>
            <w:vAlign w:val="center"/>
          </w:tcPr>
          <w:p w14:paraId="3C8B59E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r>
              <w:rPr>
                <w:rFonts w:hint="eastAsia" w:ascii="宋体"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文件的响应5分</w:t>
            </w:r>
          </w:p>
        </w:tc>
        <w:tc>
          <w:tcPr>
            <w:tcW w:w="4761" w:type="dxa"/>
            <w:gridSpan w:val="2"/>
            <w:noWrap w:val="0"/>
            <w:vAlign w:val="top"/>
          </w:tcPr>
          <w:p w14:paraId="29B9280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应对</w:t>
            </w:r>
            <w:r>
              <w:rPr>
                <w:rFonts w:hint="eastAsia" w:ascii="宋体" w:hAnsi="宋体" w:cs="宋体"/>
                <w:color w:val="auto"/>
                <w:sz w:val="21"/>
                <w:szCs w:val="21"/>
                <w:highlight w:val="none"/>
                <w:lang w:val="en-US" w:eastAsia="zh-CN"/>
              </w:rPr>
              <w:t>竞争性比选</w:t>
            </w:r>
            <w:r>
              <w:rPr>
                <w:rFonts w:hint="eastAsia" w:ascii="宋体" w:hAnsi="宋体" w:eastAsia="宋体" w:cs="宋体"/>
                <w:color w:val="auto"/>
                <w:sz w:val="21"/>
                <w:szCs w:val="21"/>
                <w:highlight w:val="none"/>
              </w:rPr>
              <w:t>文件第二篇各项要求进行逐项响应和承诺。若非“※”条款一条不能满足的，扣2分，扣完为止。如本项为0分，则服务部分得0分。</w:t>
            </w:r>
          </w:p>
        </w:tc>
        <w:tc>
          <w:tcPr>
            <w:tcW w:w="1720" w:type="dxa"/>
            <w:vMerge w:val="restart"/>
            <w:noWrap w:val="0"/>
            <w:vAlign w:val="center"/>
          </w:tcPr>
          <w:p w14:paraId="7A1F9EE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提供项目服务方案，打分取算术平均值为该供应商服务部分得分。</w:t>
            </w:r>
          </w:p>
          <w:p w14:paraId="5D8EB67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服务部分内容中所称的“瑕疵”指方案内容缺项、内容表述不完整中任意一项内容的针对性分析，方案内容表述前后矛盾、无连贯性，内容存在逻辑漏洞、常识错误并不适用本项目特性或非专门针对本项目特征制定或方案中提出的措施不利于本项目目标的实现情形、不可能实现的夸大情形、与项目无关的内容或与项目名称不一致等任意一种情形。</w:t>
            </w:r>
          </w:p>
          <w:p w14:paraId="1F180C8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p w14:paraId="2BF4830C">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r>
      <w:tr w14:paraId="5711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Merge w:val="continue"/>
            <w:noWrap w:val="0"/>
            <w:vAlign w:val="center"/>
          </w:tcPr>
          <w:p w14:paraId="25BBF3B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277" w:type="dxa"/>
            <w:vMerge w:val="continue"/>
            <w:noWrap w:val="0"/>
            <w:vAlign w:val="center"/>
          </w:tcPr>
          <w:p w14:paraId="54FFE626">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523" w:type="dxa"/>
            <w:gridSpan w:val="2"/>
            <w:noWrap w:val="0"/>
            <w:vAlign w:val="center"/>
          </w:tcPr>
          <w:p w14:paraId="0A1E4B6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4761" w:type="dxa"/>
            <w:gridSpan w:val="2"/>
            <w:noWrap w:val="0"/>
            <w:vAlign w:val="center"/>
          </w:tcPr>
          <w:p w14:paraId="4A7D0A8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机构及体检设备介绍：</w:t>
            </w:r>
          </w:p>
          <w:p w14:paraId="48BD13B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提供针对本项目的体检设备介绍，包含但不限于体检机构现常用检验设备的品牌、产地、型号、数量及检验试剂耗材等情况的书面介绍，根据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文件提供的体检设备介绍的专业性和完整程度评分</w:t>
            </w:r>
            <w:r>
              <w:rPr>
                <w:rFonts w:hint="eastAsia" w:ascii="宋体" w:hAnsi="宋体" w:cs="宋体"/>
                <w:color w:val="auto"/>
                <w:sz w:val="21"/>
                <w:szCs w:val="21"/>
                <w:highlight w:val="none"/>
                <w:lang w:eastAsia="zh-CN"/>
              </w:rPr>
              <w:t>。</w:t>
            </w:r>
          </w:p>
          <w:p w14:paraId="0F38769D">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方案包含上述所有内容，且对各项内容均进行描述的基础上，内容不存在瑕疵得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分；方案内容存在1处瑕疵，得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分；存在2处瑕疵，得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分；存在3处瑕疵，得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分；存在3处以上瑕疵或未提供方案得0分。</w:t>
            </w:r>
          </w:p>
        </w:tc>
        <w:tc>
          <w:tcPr>
            <w:tcW w:w="1720" w:type="dxa"/>
            <w:vMerge w:val="continue"/>
            <w:noWrap w:val="0"/>
            <w:vAlign w:val="center"/>
          </w:tcPr>
          <w:p w14:paraId="67642F49">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r>
      <w:tr w14:paraId="0310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Merge w:val="continue"/>
            <w:noWrap w:val="0"/>
            <w:vAlign w:val="center"/>
          </w:tcPr>
          <w:p w14:paraId="363EBBD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277" w:type="dxa"/>
            <w:vMerge w:val="continue"/>
            <w:noWrap w:val="0"/>
            <w:vAlign w:val="center"/>
          </w:tcPr>
          <w:p w14:paraId="491C45C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523" w:type="dxa"/>
            <w:gridSpan w:val="2"/>
            <w:tcBorders>
              <w:bottom w:val="single" w:color="auto" w:sz="4" w:space="0"/>
            </w:tcBorders>
            <w:noWrap w:val="0"/>
            <w:vAlign w:val="center"/>
          </w:tcPr>
          <w:p w14:paraId="7B827B54">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4761" w:type="dxa"/>
            <w:gridSpan w:val="2"/>
            <w:tcBorders>
              <w:bottom w:val="single" w:color="auto" w:sz="4" w:space="0"/>
            </w:tcBorders>
            <w:noWrap w:val="0"/>
            <w:vAlign w:val="center"/>
          </w:tcPr>
          <w:p w14:paraId="616703C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检查手段：</w:t>
            </w:r>
          </w:p>
          <w:p w14:paraId="5E33C75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提供检查手段介绍，包含但不限于重大慢性疾病、特殊项目具有的相关检查手段的书面介绍，根据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文件提供的检查手段的丰富多样性、有效性等评分。</w:t>
            </w:r>
          </w:p>
          <w:p w14:paraId="465A733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方案包含上述所有内容，且对各项内容均进行描述的基础上，内容不存在瑕疵得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分；方案内容存在1处瑕疵，得</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分；存在2处瑕疵，得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分；存在3处瑕疵，得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分；存在3处以上瑕疵或未提供方案得0分。</w:t>
            </w:r>
          </w:p>
        </w:tc>
        <w:tc>
          <w:tcPr>
            <w:tcW w:w="1720" w:type="dxa"/>
            <w:vMerge w:val="continue"/>
            <w:noWrap w:val="0"/>
            <w:vAlign w:val="center"/>
          </w:tcPr>
          <w:p w14:paraId="0ADC3CF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r>
      <w:tr w14:paraId="0139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Merge w:val="continue"/>
            <w:tcBorders>
              <w:bottom w:val="single" w:color="auto" w:sz="4" w:space="0"/>
            </w:tcBorders>
            <w:noWrap w:val="0"/>
            <w:vAlign w:val="center"/>
          </w:tcPr>
          <w:p w14:paraId="5C4139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277" w:type="dxa"/>
            <w:vMerge w:val="continue"/>
            <w:tcBorders>
              <w:bottom w:val="single" w:color="auto" w:sz="4" w:space="0"/>
            </w:tcBorders>
            <w:noWrap w:val="0"/>
            <w:vAlign w:val="center"/>
          </w:tcPr>
          <w:p w14:paraId="4DFFF0E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523" w:type="dxa"/>
            <w:gridSpan w:val="2"/>
            <w:tcBorders>
              <w:bottom w:val="single" w:color="auto" w:sz="4" w:space="0"/>
            </w:tcBorders>
            <w:noWrap w:val="0"/>
            <w:vAlign w:val="center"/>
          </w:tcPr>
          <w:p w14:paraId="7CDCC09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4761" w:type="dxa"/>
            <w:gridSpan w:val="2"/>
            <w:tcBorders>
              <w:bottom w:val="single" w:color="auto" w:sz="4" w:space="0"/>
            </w:tcBorders>
            <w:noWrap w:val="0"/>
            <w:vAlign w:val="center"/>
          </w:tcPr>
          <w:p w14:paraId="397A1796">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体检组织服务方案 ：</w:t>
            </w:r>
          </w:p>
          <w:p w14:paraId="0ADA748D">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提供体检组织服务方案，包含机构医务人员组织、场地安排、体检人员接送、现场组织、应急保障等内容。根据</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文件提供的体检组织服务方案的合理性和完整程度评分。</w:t>
            </w:r>
          </w:p>
          <w:p w14:paraId="3E5E43B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方案包含上述所有内容，且对各项内容均进行描述的基础上，内容不存在瑕疵得</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分；方案内容存在1处瑕疵，得</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分；存在2处瑕疵，得</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分；存在3处瑕疵，得</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分；存在3处以上瑕疵或未提供方案得0分。</w:t>
            </w:r>
          </w:p>
        </w:tc>
        <w:tc>
          <w:tcPr>
            <w:tcW w:w="1720" w:type="dxa"/>
            <w:vMerge w:val="continue"/>
            <w:tcBorders>
              <w:bottom w:val="single" w:color="auto" w:sz="4" w:space="0"/>
            </w:tcBorders>
            <w:noWrap w:val="0"/>
            <w:vAlign w:val="center"/>
          </w:tcPr>
          <w:p w14:paraId="1E39516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r>
      <w:tr w14:paraId="636B6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Merge w:val="restart"/>
            <w:noWrap w:val="0"/>
            <w:vAlign w:val="center"/>
          </w:tcPr>
          <w:p w14:paraId="689A019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77" w:type="dxa"/>
            <w:vMerge w:val="restart"/>
            <w:noWrap w:val="0"/>
            <w:vAlign w:val="center"/>
          </w:tcPr>
          <w:p w14:paraId="6268FD7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z w:val="21"/>
                <w:szCs w:val="21"/>
                <w:highlight w:val="none"/>
              </w:rPr>
            </w:pPr>
          </w:p>
          <w:p w14:paraId="175EB57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商务部分（50%）</w:t>
            </w:r>
          </w:p>
          <w:p w14:paraId="5F36A28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8004" w:type="dxa"/>
            <w:gridSpan w:val="5"/>
            <w:tcBorders>
              <w:bottom w:val="single" w:color="auto" w:sz="4" w:space="0"/>
            </w:tcBorders>
            <w:noWrap w:val="0"/>
            <w:vAlign w:val="center"/>
          </w:tcPr>
          <w:p w14:paraId="24AE3683">
            <w:pPr>
              <w:keepNext w:val="0"/>
              <w:keepLines w:val="0"/>
              <w:pageBreakBefore w:val="0"/>
              <w:widowControl w:val="0"/>
              <w:kinsoku/>
              <w:wordWrap/>
              <w:overflowPunct/>
              <w:topLinePunct w:val="0"/>
              <w:autoSpaceDE/>
              <w:autoSpaceDN/>
              <w:bidi w:val="0"/>
              <w:adjustRightInd/>
              <w:snapToGrid w:val="0"/>
              <w:spacing w:line="360" w:lineRule="auto"/>
              <w:ind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供应商的应答应满足</w:t>
            </w:r>
            <w:r>
              <w:rPr>
                <w:rFonts w:hint="eastAsia" w:ascii="宋体" w:hAnsi="宋体" w:cs="宋体"/>
                <w:b/>
                <w:color w:val="auto"/>
                <w:sz w:val="21"/>
                <w:szCs w:val="21"/>
                <w:highlight w:val="none"/>
                <w:lang w:val="en-US" w:eastAsia="zh-CN"/>
              </w:rPr>
              <w:t>竞争性比选</w:t>
            </w:r>
            <w:r>
              <w:rPr>
                <w:rFonts w:hint="eastAsia" w:ascii="宋体" w:hAnsi="宋体" w:eastAsia="宋体" w:cs="宋体"/>
                <w:b/>
                <w:color w:val="auto"/>
                <w:sz w:val="21"/>
                <w:szCs w:val="21"/>
                <w:highlight w:val="none"/>
              </w:rPr>
              <w:t>文件第三篇“项目商务需求”，有一条不满足的，商务部分得分为0分，不再进入商务部分的评审。</w:t>
            </w:r>
          </w:p>
        </w:tc>
      </w:tr>
      <w:tr w14:paraId="403B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Merge w:val="continue"/>
            <w:noWrap w:val="0"/>
            <w:vAlign w:val="center"/>
          </w:tcPr>
          <w:p w14:paraId="524E18D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277" w:type="dxa"/>
            <w:vMerge w:val="continue"/>
            <w:noWrap w:val="0"/>
            <w:vAlign w:val="center"/>
          </w:tcPr>
          <w:p w14:paraId="2DCBEFF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p>
        </w:tc>
        <w:tc>
          <w:tcPr>
            <w:tcW w:w="1196" w:type="dxa"/>
            <w:tcBorders>
              <w:bottom w:val="single" w:color="auto" w:sz="4" w:space="0"/>
            </w:tcBorders>
            <w:noWrap w:val="0"/>
            <w:vAlign w:val="center"/>
          </w:tcPr>
          <w:p w14:paraId="106C6CB7">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主检医生职称（</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5%）</w:t>
            </w:r>
          </w:p>
        </w:tc>
        <w:tc>
          <w:tcPr>
            <w:tcW w:w="648" w:type="dxa"/>
            <w:gridSpan w:val="2"/>
            <w:tcBorders>
              <w:bottom w:val="single" w:color="auto" w:sz="4" w:space="0"/>
            </w:tcBorders>
            <w:noWrap w:val="0"/>
            <w:vAlign w:val="center"/>
          </w:tcPr>
          <w:p w14:paraId="3D711D23">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4440" w:type="dxa"/>
            <w:tcBorders>
              <w:bottom w:val="single" w:color="auto" w:sz="4" w:space="0"/>
            </w:tcBorders>
            <w:noWrap w:val="0"/>
            <w:vAlign w:val="center"/>
          </w:tcPr>
          <w:p w14:paraId="1B37EB6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主检医生中有1名持有副高级及以上职称的得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分，每增加1名得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分，未提供的不得分。</w:t>
            </w:r>
          </w:p>
        </w:tc>
        <w:tc>
          <w:tcPr>
            <w:tcW w:w="1720" w:type="dxa"/>
            <w:tcBorders>
              <w:bottom w:val="single" w:color="auto" w:sz="4" w:space="0"/>
            </w:tcBorders>
            <w:noWrap w:val="0"/>
            <w:vAlign w:val="center"/>
          </w:tcPr>
          <w:p w14:paraId="11B953C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提供主检医生专业技术职务的相关证明材料复印件并加盖</w:t>
            </w:r>
            <w:r>
              <w:rPr>
                <w:rFonts w:hint="eastAsia" w:ascii="宋体" w:hAnsi="宋体" w:cs="宋体"/>
                <w:color w:val="auto"/>
                <w:sz w:val="21"/>
                <w:szCs w:val="21"/>
                <w:highlight w:val="none"/>
                <w:lang w:val="en-US" w:eastAsia="zh-CN"/>
              </w:rPr>
              <w:t>供应商公章</w:t>
            </w:r>
            <w:r>
              <w:rPr>
                <w:rFonts w:hint="eastAsia" w:ascii="宋体" w:hAnsi="宋体" w:eastAsia="宋体" w:cs="宋体"/>
                <w:color w:val="auto"/>
                <w:sz w:val="21"/>
                <w:szCs w:val="21"/>
                <w:highlight w:val="none"/>
              </w:rPr>
              <w:t>。</w:t>
            </w:r>
          </w:p>
        </w:tc>
      </w:tr>
      <w:tr w14:paraId="57E7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Merge w:val="continue"/>
            <w:noWrap w:val="0"/>
            <w:vAlign w:val="center"/>
          </w:tcPr>
          <w:p w14:paraId="3448229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p>
        </w:tc>
        <w:tc>
          <w:tcPr>
            <w:tcW w:w="1277" w:type="dxa"/>
            <w:vMerge w:val="continue"/>
            <w:noWrap w:val="0"/>
            <w:vAlign w:val="center"/>
          </w:tcPr>
          <w:p w14:paraId="2369865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p>
        </w:tc>
        <w:tc>
          <w:tcPr>
            <w:tcW w:w="1196" w:type="dxa"/>
            <w:noWrap w:val="0"/>
            <w:vAlign w:val="center"/>
          </w:tcPr>
          <w:p w14:paraId="598076E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组织实力（</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w:t>
            </w:r>
          </w:p>
        </w:tc>
        <w:tc>
          <w:tcPr>
            <w:tcW w:w="648" w:type="dxa"/>
            <w:gridSpan w:val="2"/>
            <w:noWrap w:val="0"/>
            <w:vAlign w:val="center"/>
          </w:tcPr>
          <w:p w14:paraId="250F03E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4440" w:type="dxa"/>
            <w:tcBorders>
              <w:bottom w:val="single" w:color="auto" w:sz="4" w:space="0"/>
            </w:tcBorders>
            <w:noWrap w:val="0"/>
            <w:vAlign w:val="center"/>
          </w:tcPr>
          <w:p w14:paraId="6A22A88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机构有独立体检中心</w:t>
            </w:r>
          </w:p>
          <w:p w14:paraId="465159C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有（</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 b、临设体检场所（0分）</w:t>
            </w:r>
          </w:p>
          <w:p w14:paraId="43BE16D7">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对花时间长的体检项目，能否分流</w:t>
            </w:r>
          </w:p>
          <w:p w14:paraId="4263D499">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rPr>
              <w:t>能合理分流（</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 b、不能合理分流（0分）</w:t>
            </w:r>
          </w:p>
          <w:p w14:paraId="4407B93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单项目排队时间是否低于15分钟</w:t>
            </w:r>
          </w:p>
          <w:p w14:paraId="3AC1C1B2">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 b、不能（0分）</w:t>
            </w:r>
          </w:p>
          <w:p w14:paraId="0725899E">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承诺能在本项目报价范围内男士套餐和女士套餐中提供心机酶谱或乙肝五项或四肢动脉硬化检测的，每提供一项1分，本项最多得5分。</w:t>
            </w:r>
          </w:p>
        </w:tc>
        <w:tc>
          <w:tcPr>
            <w:tcW w:w="1720" w:type="dxa"/>
            <w:tcBorders>
              <w:bottom w:val="single" w:color="auto" w:sz="4" w:space="0"/>
            </w:tcBorders>
            <w:noWrap w:val="0"/>
            <w:vAlign w:val="center"/>
          </w:tcPr>
          <w:p w14:paraId="59A723C8">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提供相关证明材料及承诺书加盖</w:t>
            </w:r>
            <w:r>
              <w:rPr>
                <w:rFonts w:hint="eastAsia" w:ascii="宋体" w:hAnsi="宋体" w:cs="宋体"/>
                <w:color w:val="auto"/>
                <w:sz w:val="21"/>
                <w:szCs w:val="21"/>
                <w:highlight w:val="none"/>
                <w:lang w:val="en-US" w:eastAsia="zh-CN"/>
              </w:rPr>
              <w:t>供应商公章</w:t>
            </w:r>
            <w:r>
              <w:rPr>
                <w:rFonts w:hint="eastAsia" w:ascii="宋体" w:hAnsi="宋体" w:eastAsia="宋体" w:cs="宋体"/>
                <w:color w:val="auto"/>
                <w:sz w:val="21"/>
                <w:szCs w:val="21"/>
                <w:highlight w:val="none"/>
                <w:lang w:eastAsia="zh-CN"/>
              </w:rPr>
              <w:t>。</w:t>
            </w:r>
          </w:p>
        </w:tc>
      </w:tr>
      <w:tr w14:paraId="5149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Merge w:val="continue"/>
            <w:noWrap w:val="0"/>
            <w:vAlign w:val="center"/>
          </w:tcPr>
          <w:p w14:paraId="2D5E45AA">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p>
        </w:tc>
        <w:tc>
          <w:tcPr>
            <w:tcW w:w="1277" w:type="dxa"/>
            <w:vMerge w:val="continue"/>
            <w:noWrap w:val="0"/>
            <w:vAlign w:val="center"/>
          </w:tcPr>
          <w:p w14:paraId="385265EF">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p>
        </w:tc>
        <w:tc>
          <w:tcPr>
            <w:tcW w:w="1196" w:type="dxa"/>
            <w:tcBorders>
              <w:bottom w:val="single" w:color="auto" w:sz="4" w:space="0"/>
            </w:tcBorders>
            <w:noWrap w:val="0"/>
            <w:vAlign w:val="center"/>
          </w:tcPr>
          <w:p w14:paraId="36ABA834">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业绩（</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p>
        </w:tc>
        <w:tc>
          <w:tcPr>
            <w:tcW w:w="648" w:type="dxa"/>
            <w:gridSpan w:val="2"/>
            <w:tcBorders>
              <w:bottom w:val="single" w:color="auto" w:sz="4" w:space="0"/>
            </w:tcBorders>
            <w:noWrap w:val="0"/>
            <w:vAlign w:val="center"/>
          </w:tcPr>
          <w:p w14:paraId="0904814A">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4440" w:type="dxa"/>
            <w:tcBorders>
              <w:top w:val="single" w:color="auto" w:sz="4" w:space="0"/>
              <w:left w:val="single" w:color="auto" w:sz="4" w:space="0"/>
              <w:bottom w:val="single" w:color="auto" w:sz="4" w:space="0"/>
              <w:right w:val="single" w:color="auto" w:sz="4" w:space="0"/>
            </w:tcBorders>
            <w:noWrap w:val="0"/>
            <w:vAlign w:val="center"/>
          </w:tcPr>
          <w:p w14:paraId="4A0720A5">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年至今，承接过类似项目的体检工作业绩，有一个合同得2分，本项最高得10分。</w:t>
            </w:r>
          </w:p>
        </w:tc>
        <w:tc>
          <w:tcPr>
            <w:tcW w:w="1720" w:type="dxa"/>
            <w:tcBorders>
              <w:top w:val="single" w:color="auto" w:sz="4" w:space="0"/>
              <w:left w:val="single" w:color="auto" w:sz="4" w:space="0"/>
              <w:bottom w:val="single" w:color="auto" w:sz="4" w:space="0"/>
              <w:right w:val="single" w:color="auto" w:sz="4" w:space="0"/>
            </w:tcBorders>
            <w:noWrap w:val="0"/>
            <w:vAlign w:val="center"/>
          </w:tcPr>
          <w:p w14:paraId="2467C65D">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提供类似项目业绩合同复印件加盖</w:t>
            </w:r>
            <w:r>
              <w:rPr>
                <w:rFonts w:hint="eastAsia" w:ascii="宋体" w:hAnsi="宋体" w:cs="宋体"/>
                <w:color w:val="auto"/>
                <w:sz w:val="21"/>
                <w:szCs w:val="21"/>
                <w:highlight w:val="none"/>
                <w:lang w:val="en-US" w:eastAsia="zh-CN"/>
              </w:rPr>
              <w:t>供应商公章</w:t>
            </w:r>
            <w:r>
              <w:rPr>
                <w:rFonts w:hint="eastAsia" w:ascii="宋体" w:hAnsi="宋体" w:eastAsia="宋体" w:cs="宋体"/>
                <w:color w:val="auto"/>
                <w:sz w:val="21"/>
                <w:szCs w:val="21"/>
                <w:highlight w:val="none"/>
                <w:lang w:eastAsia="zh-CN"/>
              </w:rPr>
              <w:t>。</w:t>
            </w:r>
          </w:p>
        </w:tc>
      </w:tr>
    </w:tbl>
    <w:p w14:paraId="4C6B439F">
      <w:pPr>
        <w:rPr>
          <w:rFonts w:hint="eastAsia" w:ascii="宋体" w:hAnsi="宋体" w:eastAsia="宋体" w:cs="宋体"/>
          <w:color w:val="auto"/>
          <w:sz w:val="24"/>
          <w:szCs w:val="24"/>
          <w:highlight w:val="none"/>
        </w:rPr>
      </w:pPr>
    </w:p>
    <w:p w14:paraId="0ED0A587">
      <w:pPr>
        <w:pageBreakBefore w:val="0"/>
        <w:widowControl w:val="0"/>
        <w:kinsoku/>
        <w:wordWrap/>
        <w:overflowPunct/>
        <w:topLinePunct w:val="0"/>
        <w:autoSpaceDE/>
        <w:autoSpaceDN/>
        <w:bidi w:val="0"/>
        <w:snapToGrid w:val="0"/>
        <w:spacing w:line="360" w:lineRule="auto"/>
        <w:ind w:firstLine="465"/>
        <w:textAlignment w:val="auto"/>
        <w:outlineLvl w:val="9"/>
        <w:rPr>
          <w:rFonts w:hint="eastAsia" w:ascii="宋体" w:hAnsi="宋体" w:eastAsia="宋体" w:cs="宋体"/>
          <w:color w:val="auto"/>
          <w:sz w:val="24"/>
          <w:szCs w:val="24"/>
          <w:highlight w:val="none"/>
        </w:rPr>
      </w:pPr>
      <w:bookmarkStart w:id="93" w:name="_Toc426965635"/>
      <w:bookmarkStart w:id="94" w:name="_Toc102227320"/>
      <w:bookmarkStart w:id="95" w:name="_Toc487204784"/>
      <w:bookmarkStart w:id="96" w:name="_Toc342913394"/>
      <w:r>
        <w:rPr>
          <w:rFonts w:hint="eastAsia" w:ascii="宋体" w:hAnsi="宋体" w:eastAsia="宋体" w:cs="宋体"/>
          <w:color w:val="auto"/>
          <w:sz w:val="24"/>
          <w:szCs w:val="24"/>
          <w:highlight w:val="none"/>
        </w:rPr>
        <w:t>说明：评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委员会认为</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的报价，有可能影响产品质量或者不能诚信履约的，应当要求其在评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现场合理的时间内提供书面说明，必要时提交相关证明材料；</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不能证明其报价合理性的，评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委员会应当将其作为无效投标处理。</w:t>
      </w:r>
    </w:p>
    <w:p w14:paraId="13FAC04D">
      <w:pPr>
        <w:pStyle w:val="4"/>
        <w:spacing w:before="0" w:after="0" w:line="440" w:lineRule="exact"/>
        <w:rPr>
          <w:rFonts w:hint="eastAsia" w:ascii="宋体" w:hAnsi="宋体" w:eastAsia="宋体" w:cs="宋体"/>
          <w:color w:val="auto"/>
          <w:sz w:val="24"/>
          <w:szCs w:val="24"/>
          <w:highlight w:val="none"/>
        </w:rPr>
      </w:pPr>
      <w:bookmarkStart w:id="97" w:name="_Toc2335"/>
      <w:bookmarkStart w:id="98" w:name="_Toc16032"/>
      <w:bookmarkStart w:id="99" w:name="_Toc23952"/>
      <w:bookmarkStart w:id="100" w:name="_Toc2659"/>
      <w:bookmarkStart w:id="101" w:name="_Toc32110"/>
      <w:bookmarkStart w:id="102" w:name="_Toc14657"/>
      <w:r>
        <w:rPr>
          <w:rFonts w:hint="eastAsia" w:ascii="宋体" w:hAnsi="宋体" w:eastAsia="宋体" w:cs="宋体"/>
          <w:color w:val="auto"/>
          <w:sz w:val="24"/>
          <w:szCs w:val="24"/>
          <w:highlight w:val="none"/>
        </w:rPr>
        <w:t>三、响应无效</w:t>
      </w:r>
      <w:bookmarkEnd w:id="97"/>
      <w:bookmarkEnd w:id="98"/>
      <w:bookmarkEnd w:id="99"/>
      <w:bookmarkEnd w:id="100"/>
      <w:bookmarkEnd w:id="101"/>
      <w:bookmarkEnd w:id="102"/>
    </w:p>
    <w:p w14:paraId="2BCF29C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供应商发生以下条款情况之一者，视为响应无效，其响应文件将被拒绝：</w:t>
      </w:r>
    </w:p>
    <w:p w14:paraId="0A99E532">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（一）供应商不符合规定的基本资格条件或特定资格条件的。</w:t>
      </w:r>
    </w:p>
    <w:p w14:paraId="6076B5A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（二）供应商的法定代表人或其授权代表未参加网上</w:t>
      </w:r>
      <w:r>
        <w:rPr>
          <w:rFonts w:hint="eastAsia" w:ascii="宋体" w:hAnsi="宋体" w:eastAsia="宋体" w:cs="宋体"/>
          <w:color w:val="auto"/>
          <w:spacing w:val="-6"/>
          <w:sz w:val="24"/>
          <w:szCs w:val="24"/>
          <w:highlight w:val="none"/>
          <w:lang w:val="en-US" w:eastAsia="zh-CN"/>
        </w:rPr>
        <w:t>竞采</w:t>
      </w:r>
      <w:r>
        <w:rPr>
          <w:rFonts w:hint="eastAsia" w:ascii="宋体" w:hAnsi="宋体" w:eastAsia="宋体" w:cs="宋体"/>
          <w:color w:val="auto"/>
          <w:sz w:val="24"/>
          <w:szCs w:val="24"/>
          <w:highlight w:val="none"/>
        </w:rPr>
        <w:t>。</w:t>
      </w:r>
    </w:p>
    <w:p w14:paraId="6698532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（三）供应商所提交的响应文件不按第七篇“响应文件编制要求”规定签字、盖章。</w:t>
      </w:r>
    </w:p>
    <w:p w14:paraId="4D7C95D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（四）供应商的报价超过采购预算金额或</w:t>
      </w:r>
      <w:r>
        <w:rPr>
          <w:rFonts w:hint="eastAsia" w:ascii="宋体" w:hAnsi="宋体" w:cs="宋体"/>
          <w:color w:val="auto"/>
          <w:sz w:val="24"/>
          <w:szCs w:val="24"/>
          <w:highlight w:val="none"/>
          <w:lang w:val="en-US" w:eastAsia="zh-CN"/>
        </w:rPr>
        <w:t>总价</w:t>
      </w: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或单价</w:t>
      </w:r>
      <w:r>
        <w:rPr>
          <w:rFonts w:hint="eastAsia" w:ascii="宋体" w:hAnsi="宋体" w:cs="宋体"/>
          <w:color w:val="auto"/>
          <w:sz w:val="24"/>
          <w:szCs w:val="24"/>
          <w:highlight w:val="none"/>
          <w:lang w:val="en-US" w:eastAsia="zh-CN"/>
        </w:rPr>
        <w:t>最高</w:t>
      </w:r>
      <w:r>
        <w:rPr>
          <w:rFonts w:hint="eastAsia" w:ascii="宋体" w:hAnsi="宋体" w:eastAsia="宋体" w:cs="宋体"/>
          <w:color w:val="auto"/>
          <w:sz w:val="24"/>
          <w:szCs w:val="24"/>
          <w:highlight w:val="none"/>
          <w:lang w:val="en-US" w:eastAsia="zh-CN"/>
        </w:rPr>
        <w:t>限价</w:t>
      </w:r>
      <w:r>
        <w:rPr>
          <w:rFonts w:hint="eastAsia" w:ascii="宋体" w:hAnsi="宋体" w:eastAsia="宋体" w:cs="宋体"/>
          <w:color w:val="auto"/>
          <w:sz w:val="24"/>
          <w:szCs w:val="24"/>
          <w:highlight w:val="none"/>
        </w:rPr>
        <w:t>的。</w:t>
      </w:r>
    </w:p>
    <w:p w14:paraId="09F8E6F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（五）供应商的平台报价与网上电子文档网上</w:t>
      </w:r>
      <w:r>
        <w:rPr>
          <w:rFonts w:hint="eastAsia" w:ascii="宋体" w:hAnsi="宋体" w:eastAsia="宋体" w:cs="宋体"/>
          <w:color w:val="auto"/>
          <w:spacing w:val="-6"/>
          <w:sz w:val="24"/>
          <w:szCs w:val="24"/>
          <w:highlight w:val="none"/>
          <w:lang w:val="en-US" w:eastAsia="zh-CN"/>
        </w:rPr>
        <w:t>竞采</w:t>
      </w:r>
      <w:r>
        <w:rPr>
          <w:rFonts w:hint="eastAsia" w:ascii="宋体" w:hAnsi="宋体" w:eastAsia="宋体" w:cs="宋体"/>
          <w:color w:val="auto"/>
          <w:sz w:val="24"/>
          <w:szCs w:val="24"/>
          <w:highlight w:val="none"/>
        </w:rPr>
        <w:t>报价函中的报价不一致的。</w:t>
      </w:r>
    </w:p>
    <w:p w14:paraId="41564DDF">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（六）法定代表人为同一个人的两个及两个以上法人，母公司、全资子公司及其控股公司，在同一分包采购中同时参与网上</w:t>
      </w:r>
      <w:r>
        <w:rPr>
          <w:rFonts w:hint="eastAsia" w:ascii="宋体" w:hAnsi="宋体" w:eastAsia="宋体" w:cs="宋体"/>
          <w:color w:val="auto"/>
          <w:spacing w:val="-6"/>
          <w:sz w:val="24"/>
          <w:szCs w:val="24"/>
          <w:highlight w:val="none"/>
          <w:lang w:val="en-US" w:eastAsia="zh-CN"/>
        </w:rPr>
        <w:t>竞采</w:t>
      </w:r>
      <w:r>
        <w:rPr>
          <w:rFonts w:hint="eastAsia" w:ascii="宋体" w:hAnsi="宋体" w:eastAsia="宋体" w:cs="宋体"/>
          <w:color w:val="auto"/>
          <w:sz w:val="24"/>
          <w:szCs w:val="24"/>
          <w:highlight w:val="none"/>
        </w:rPr>
        <w:t>。</w:t>
      </w:r>
    </w:p>
    <w:p w14:paraId="7D795FF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（七）单位负责人为同一人或者存在直接控股、管理关系的不同供应商，参加同一合同项下的采购活动的。</w:t>
      </w:r>
    </w:p>
    <w:p w14:paraId="0B60C6E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（八）为采购项目提供整体设计、规范编制或者项目管理、监理、检测等服务的供应商，再参加该采购项目的其他采购活动。</w:t>
      </w:r>
    </w:p>
    <w:p w14:paraId="7987E34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（九）供应商的服务期、质量保证期及网上</w:t>
      </w:r>
      <w:r>
        <w:rPr>
          <w:rFonts w:hint="eastAsia" w:ascii="宋体" w:hAnsi="宋体" w:eastAsia="宋体" w:cs="宋体"/>
          <w:color w:val="auto"/>
          <w:spacing w:val="-6"/>
          <w:sz w:val="24"/>
          <w:szCs w:val="24"/>
          <w:highlight w:val="none"/>
          <w:lang w:val="en-US" w:eastAsia="zh-CN"/>
        </w:rPr>
        <w:t>竞采</w:t>
      </w:r>
      <w:r>
        <w:rPr>
          <w:rFonts w:hint="eastAsia" w:ascii="宋体" w:hAnsi="宋体" w:eastAsia="宋体" w:cs="宋体"/>
          <w:color w:val="auto"/>
          <w:sz w:val="24"/>
          <w:szCs w:val="24"/>
          <w:highlight w:val="none"/>
        </w:rPr>
        <w:t>有效期不满足</w:t>
      </w:r>
      <w:r>
        <w:rPr>
          <w:rFonts w:hint="eastAsia" w:ascii="宋体" w:hAnsi="宋体" w:cs="宋体"/>
          <w:color w:val="auto"/>
          <w:kern w:val="0"/>
          <w:sz w:val="24"/>
          <w:szCs w:val="24"/>
          <w:highlight w:val="none"/>
          <w:lang w:val="en-US" w:eastAsia="zh-CN"/>
        </w:rPr>
        <w:t>网上竞采</w:t>
      </w:r>
      <w:r>
        <w:rPr>
          <w:rFonts w:hint="eastAsia" w:ascii="宋体" w:hAnsi="宋体" w:eastAsia="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要求的。</w:t>
      </w:r>
    </w:p>
    <w:p w14:paraId="600D19E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（十）供应商响应文件内容有与国家现行法律法规相违背的内容，或附有采购人无法接受的条件。</w:t>
      </w:r>
    </w:p>
    <w:p w14:paraId="509433D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（十一）供应商被列入失信被执行人、重大税收违法案件当事人名单、政府采购严重违法失信行为记录名单及其他不符合《中华人民共和国政府采购法》第二十二条规定条件的。</w:t>
      </w:r>
    </w:p>
    <w:p w14:paraId="694A050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34FFAB6E">
      <w:pPr>
        <w:pStyle w:val="4"/>
        <w:spacing w:before="0" w:after="0" w:line="360" w:lineRule="auto"/>
        <w:rPr>
          <w:rFonts w:hint="eastAsia" w:ascii="宋体" w:hAnsi="宋体" w:eastAsia="宋体" w:cs="宋体"/>
          <w:color w:val="auto"/>
          <w:sz w:val="24"/>
          <w:szCs w:val="24"/>
          <w:highlight w:val="none"/>
        </w:rPr>
      </w:pPr>
      <w:bookmarkStart w:id="103" w:name="_Toc18788"/>
      <w:bookmarkStart w:id="104" w:name="_Toc14884"/>
      <w:bookmarkStart w:id="105" w:name="_Toc31794"/>
      <w:bookmarkStart w:id="106" w:name="_Toc24475"/>
      <w:bookmarkStart w:id="107" w:name="_Toc20202"/>
      <w:bookmarkStart w:id="108" w:name="_Toc27024"/>
      <w:r>
        <w:rPr>
          <w:rFonts w:hint="eastAsia" w:ascii="宋体" w:hAnsi="宋体" w:eastAsia="宋体" w:cs="宋体"/>
          <w:color w:val="auto"/>
          <w:sz w:val="24"/>
          <w:szCs w:val="24"/>
          <w:highlight w:val="none"/>
        </w:rPr>
        <w:t>四、采购终止</w:t>
      </w:r>
      <w:bookmarkEnd w:id="103"/>
      <w:bookmarkEnd w:id="104"/>
      <w:bookmarkEnd w:id="105"/>
      <w:bookmarkEnd w:id="106"/>
      <w:bookmarkEnd w:id="107"/>
      <w:bookmarkEnd w:id="108"/>
    </w:p>
    <w:p w14:paraId="5866C2B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出现下列情形之一的，采购人或者采购代理机构应当终止网上</w:t>
      </w:r>
      <w:r>
        <w:rPr>
          <w:rFonts w:hint="eastAsia" w:ascii="宋体" w:hAnsi="宋体" w:eastAsia="宋体" w:cs="宋体"/>
          <w:color w:val="auto"/>
          <w:spacing w:val="-6"/>
          <w:sz w:val="24"/>
          <w:szCs w:val="24"/>
          <w:highlight w:val="none"/>
          <w:lang w:val="en-US" w:eastAsia="zh-CN"/>
        </w:rPr>
        <w:t>竞采</w:t>
      </w:r>
      <w:r>
        <w:rPr>
          <w:rFonts w:hint="eastAsia" w:ascii="宋体" w:hAnsi="宋体" w:eastAsia="宋体" w:cs="宋体"/>
          <w:color w:val="auto"/>
          <w:sz w:val="24"/>
          <w:szCs w:val="24"/>
          <w:highlight w:val="none"/>
        </w:rPr>
        <w:t>活动，发布项目终止公告并说明原因，重新开展采购活动：</w:t>
      </w:r>
    </w:p>
    <w:p w14:paraId="2B621786">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（一）因情况变化，不再符合规定的网上</w:t>
      </w:r>
      <w:r>
        <w:rPr>
          <w:rFonts w:hint="eastAsia" w:ascii="宋体" w:hAnsi="宋体" w:eastAsia="宋体" w:cs="宋体"/>
          <w:color w:val="auto"/>
          <w:spacing w:val="-6"/>
          <w:sz w:val="24"/>
          <w:szCs w:val="24"/>
          <w:highlight w:val="none"/>
          <w:lang w:val="en-US" w:eastAsia="zh-CN"/>
        </w:rPr>
        <w:t>竞采</w:t>
      </w:r>
      <w:r>
        <w:rPr>
          <w:rFonts w:hint="eastAsia" w:ascii="宋体" w:hAnsi="宋体" w:eastAsia="宋体" w:cs="宋体"/>
          <w:color w:val="auto"/>
          <w:sz w:val="24"/>
          <w:szCs w:val="24"/>
          <w:highlight w:val="none"/>
        </w:rPr>
        <w:t>采购方式适用情形的。</w:t>
      </w:r>
    </w:p>
    <w:p w14:paraId="5BF42BD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6BAF0269">
      <w:pPr>
        <w:snapToGrid w:val="0"/>
        <w:spacing w:line="360" w:lineRule="auto"/>
        <w:ind w:firstLine="465"/>
        <w:rPr>
          <w:rFonts w:hint="eastAsia" w:ascii="宋体" w:hAnsi="宋体" w:eastAsia="宋体" w:cs="宋体"/>
          <w:color w:val="auto"/>
          <w:highlight w:val="none"/>
        </w:rPr>
      </w:pPr>
      <w:r>
        <w:rPr>
          <w:rFonts w:hint="eastAsia" w:ascii="宋体" w:hAnsi="宋体" w:eastAsia="宋体" w:cs="宋体"/>
          <w:color w:val="auto"/>
          <w:sz w:val="24"/>
          <w:szCs w:val="24"/>
          <w:highlight w:val="none"/>
        </w:rPr>
        <w:t>（三）通过资格性审查</w:t>
      </w:r>
      <w:r>
        <w:rPr>
          <w:rFonts w:hint="eastAsia" w:ascii="宋体" w:hAnsi="宋体" w:eastAsia="宋体" w:cs="宋体"/>
          <w:color w:val="auto"/>
          <w:sz w:val="24"/>
          <w:szCs w:val="24"/>
          <w:highlight w:val="none"/>
          <w:lang w:val="en-US" w:eastAsia="zh-CN"/>
        </w:rPr>
        <w:t>和符合性审查</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有效</w:t>
      </w:r>
      <w:r>
        <w:rPr>
          <w:rFonts w:hint="eastAsia" w:ascii="宋体" w:hAnsi="宋体" w:eastAsia="宋体" w:cs="宋体"/>
          <w:color w:val="auto"/>
          <w:sz w:val="24"/>
          <w:szCs w:val="24"/>
          <w:highlight w:val="none"/>
        </w:rPr>
        <w:t>供应商不足</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家的，终止本次采购活动，并发布终止采购活动公告。</w:t>
      </w:r>
    </w:p>
    <w:bookmarkEnd w:id="93"/>
    <w:bookmarkEnd w:id="94"/>
    <w:bookmarkEnd w:id="95"/>
    <w:bookmarkEnd w:id="96"/>
    <w:p w14:paraId="2F462E01">
      <w:pPr>
        <w:pageBreakBefore w:val="0"/>
        <w:widowControl w:val="0"/>
        <w:shd w:val="clear"/>
        <w:kinsoku/>
        <w:wordWrap/>
        <w:overflowPunct/>
        <w:topLinePunct w:val="0"/>
        <w:autoSpaceDE/>
        <w:autoSpaceDN/>
        <w:bidi w:val="0"/>
        <w:adjustRightInd/>
        <w:snapToGrid w:val="0"/>
        <w:spacing w:line="410" w:lineRule="exact"/>
        <w:ind w:left="0" w:leftChars="0" w:firstLine="560" w:firstLineChars="200"/>
        <w:jc w:val="both"/>
        <w:textAlignment w:val="auto"/>
        <w:outlineLvl w:val="0"/>
        <w:rPr>
          <w:rFonts w:hint="eastAsia" w:ascii="宋体" w:hAnsi="宋体" w:eastAsia="宋体" w:cs="宋体"/>
          <w:color w:val="auto"/>
          <w:highlight w:val="none"/>
        </w:rPr>
      </w:pPr>
      <w:bookmarkStart w:id="109" w:name="_Toc102227313"/>
      <w:r>
        <w:rPr>
          <w:rFonts w:hint="eastAsia" w:ascii="宋体" w:hAnsi="宋体" w:eastAsia="宋体" w:cs="宋体"/>
          <w:color w:val="auto"/>
          <w:highlight w:val="none"/>
        </w:rPr>
        <w:br w:type="page"/>
      </w:r>
    </w:p>
    <w:p w14:paraId="56F8E278">
      <w:pPr>
        <w:pStyle w:val="2"/>
        <w:keepLines w:val="0"/>
        <w:pageBreakBefore w:val="0"/>
        <w:widowControl w:val="0"/>
        <w:shd w:val="clear"/>
        <w:kinsoku/>
        <w:wordWrap/>
        <w:overflowPunct/>
        <w:topLinePunct w:val="0"/>
        <w:autoSpaceDE/>
        <w:autoSpaceDN/>
        <w:bidi w:val="0"/>
        <w:adjustRightInd/>
        <w:spacing w:line="348" w:lineRule="auto"/>
        <w:jc w:val="center"/>
        <w:textAlignment w:val="auto"/>
        <w:outlineLvl w:val="0"/>
        <w:rPr>
          <w:rFonts w:hint="eastAsia" w:ascii="宋体" w:hAnsi="宋体" w:eastAsia="宋体" w:cs="宋体"/>
          <w:b/>
          <w:bCs/>
          <w:color w:val="auto"/>
          <w:sz w:val="36"/>
          <w:szCs w:val="30"/>
          <w:highlight w:val="none"/>
        </w:rPr>
      </w:pPr>
      <w:bookmarkStart w:id="110" w:name="_Toc7727"/>
      <w:r>
        <w:rPr>
          <w:rFonts w:hint="eastAsia" w:ascii="宋体" w:hAnsi="宋体" w:eastAsia="宋体" w:cs="宋体"/>
          <w:b/>
          <w:bCs/>
          <w:color w:val="auto"/>
          <w:sz w:val="36"/>
          <w:szCs w:val="30"/>
          <w:highlight w:val="none"/>
          <w:lang w:val="en-US" w:eastAsia="zh-CN"/>
        </w:rPr>
        <w:t>第五篇  供应商须知</w:t>
      </w:r>
      <w:bookmarkEnd w:id="109"/>
      <w:bookmarkEnd w:id="110"/>
    </w:p>
    <w:p w14:paraId="60FB9A0E">
      <w:pPr>
        <w:pStyle w:val="4"/>
        <w:spacing w:before="0" w:after="0" w:line="360" w:lineRule="auto"/>
        <w:rPr>
          <w:rFonts w:hint="eastAsia" w:ascii="宋体" w:hAnsi="宋体" w:eastAsia="宋体" w:cs="宋体"/>
          <w:color w:val="auto"/>
          <w:sz w:val="24"/>
          <w:szCs w:val="24"/>
          <w:highlight w:val="none"/>
        </w:rPr>
      </w:pPr>
      <w:bookmarkStart w:id="111" w:name="_Toc25840"/>
      <w:bookmarkStart w:id="112" w:name="_Toc25240"/>
      <w:bookmarkStart w:id="113" w:name="_Toc16046"/>
      <w:bookmarkStart w:id="114" w:name="_Toc9127"/>
      <w:bookmarkStart w:id="115" w:name="_Toc23568"/>
      <w:bookmarkStart w:id="116" w:name="_Toc22786"/>
      <w:bookmarkStart w:id="117" w:name="_Toc13652"/>
      <w:bookmarkStart w:id="118" w:name="_Toc426965630"/>
      <w:bookmarkStart w:id="119" w:name="_Toc487204779"/>
      <w:bookmarkStart w:id="120" w:name="_Toc20643"/>
      <w:bookmarkStart w:id="121" w:name="_Toc27139866"/>
      <w:bookmarkStart w:id="122" w:name="_Toc32059"/>
      <w:bookmarkStart w:id="123" w:name="_Toc13443"/>
      <w:bookmarkStart w:id="124" w:name="_Toc342913389"/>
      <w:r>
        <w:rPr>
          <w:rFonts w:hint="eastAsia" w:ascii="宋体" w:hAnsi="宋体" w:eastAsia="宋体" w:cs="宋体"/>
          <w:color w:val="auto"/>
          <w:sz w:val="24"/>
          <w:szCs w:val="24"/>
          <w:highlight w:val="none"/>
        </w:rPr>
        <w:t>一、网上竞</w:t>
      </w:r>
      <w:r>
        <w:rPr>
          <w:rFonts w:hint="eastAsia" w:ascii="宋体" w:hAnsi="宋体" w:eastAsia="宋体" w:cs="宋体"/>
          <w:color w:val="auto"/>
          <w:sz w:val="24"/>
          <w:szCs w:val="24"/>
          <w:highlight w:val="none"/>
          <w:lang w:val="en-US" w:eastAsia="zh-CN"/>
        </w:rPr>
        <w:t>采</w:t>
      </w:r>
      <w:r>
        <w:rPr>
          <w:rFonts w:hint="eastAsia" w:ascii="宋体" w:hAnsi="宋体" w:eastAsia="宋体" w:cs="宋体"/>
          <w:color w:val="auto"/>
          <w:sz w:val="24"/>
          <w:szCs w:val="24"/>
          <w:highlight w:val="none"/>
        </w:rPr>
        <w:t>费用</w:t>
      </w:r>
      <w:bookmarkEnd w:id="111"/>
      <w:bookmarkEnd w:id="112"/>
      <w:bookmarkEnd w:id="113"/>
      <w:bookmarkEnd w:id="114"/>
      <w:bookmarkEnd w:id="115"/>
    </w:p>
    <w:p w14:paraId="3D5BFFE4">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w:t>
      </w:r>
      <w:r>
        <w:rPr>
          <w:rFonts w:hint="eastAsia" w:ascii="宋体" w:hAnsi="宋体" w:eastAsia="宋体" w:cs="宋体"/>
          <w:color w:val="auto"/>
          <w:spacing w:val="-6"/>
          <w:sz w:val="24"/>
          <w:szCs w:val="24"/>
          <w:highlight w:val="none"/>
          <w:lang w:val="en-US" w:eastAsia="zh-CN"/>
        </w:rPr>
        <w:t>竞采</w:t>
      </w:r>
      <w:r>
        <w:rPr>
          <w:rFonts w:hint="eastAsia" w:ascii="宋体" w:hAnsi="宋体" w:eastAsia="宋体" w:cs="宋体"/>
          <w:color w:val="auto"/>
          <w:sz w:val="24"/>
          <w:szCs w:val="24"/>
          <w:highlight w:val="none"/>
        </w:rPr>
        <w:t>的供应商应承担其编制响应文件与递交响应文件所涉及的一切费用，不论网上</w:t>
      </w:r>
      <w:r>
        <w:rPr>
          <w:rFonts w:hint="eastAsia" w:ascii="宋体" w:hAnsi="宋体" w:eastAsia="宋体" w:cs="宋体"/>
          <w:color w:val="auto"/>
          <w:spacing w:val="-6"/>
          <w:sz w:val="24"/>
          <w:szCs w:val="24"/>
          <w:highlight w:val="none"/>
          <w:lang w:val="en-US" w:eastAsia="zh-CN"/>
        </w:rPr>
        <w:t>竞采</w:t>
      </w:r>
      <w:r>
        <w:rPr>
          <w:rFonts w:hint="eastAsia" w:ascii="宋体" w:hAnsi="宋体" w:eastAsia="宋体" w:cs="宋体"/>
          <w:color w:val="auto"/>
          <w:sz w:val="24"/>
          <w:szCs w:val="24"/>
          <w:highlight w:val="none"/>
        </w:rPr>
        <w:t>结果如何，采购人和采购代理机构在任何情况下无义务也无责任承担这些费用。</w:t>
      </w:r>
    </w:p>
    <w:p w14:paraId="6C08DC97">
      <w:pPr>
        <w:pStyle w:val="4"/>
        <w:tabs>
          <w:tab w:val="left" w:pos="2640"/>
        </w:tabs>
        <w:spacing w:before="0" w:after="0" w:line="360" w:lineRule="auto"/>
        <w:rPr>
          <w:rFonts w:hint="eastAsia" w:ascii="宋体" w:hAnsi="宋体" w:eastAsia="宋体" w:cs="宋体"/>
          <w:color w:val="auto"/>
          <w:sz w:val="24"/>
          <w:szCs w:val="24"/>
          <w:highlight w:val="none"/>
          <w:lang w:eastAsia="zh-CN"/>
        </w:rPr>
      </w:pPr>
      <w:bookmarkStart w:id="125" w:name="_Toc25299"/>
      <w:bookmarkStart w:id="126" w:name="_Toc29031"/>
      <w:bookmarkStart w:id="127" w:name="_Toc6349"/>
      <w:bookmarkStart w:id="128" w:name="_Toc26298"/>
      <w:bookmarkStart w:id="129" w:name="_Toc23088"/>
      <w:bookmarkStart w:id="130" w:name="_Toc4531"/>
      <w:r>
        <w:rPr>
          <w:rFonts w:hint="eastAsia" w:ascii="宋体" w:hAnsi="宋体" w:eastAsia="宋体" w:cs="宋体"/>
          <w:color w:val="auto"/>
          <w:sz w:val="24"/>
          <w:szCs w:val="24"/>
          <w:highlight w:val="none"/>
        </w:rPr>
        <w:t>二、</w:t>
      </w:r>
      <w:bookmarkEnd w:id="125"/>
      <w:r>
        <w:rPr>
          <w:rFonts w:hint="eastAsia" w:ascii="宋体" w:hAnsi="宋体" w:eastAsia="宋体" w:cs="宋体"/>
          <w:color w:val="auto"/>
          <w:sz w:val="24"/>
          <w:szCs w:val="24"/>
          <w:highlight w:val="none"/>
          <w:lang w:eastAsia="zh-CN"/>
        </w:rPr>
        <w:t>网上竞采</w:t>
      </w:r>
      <w:bookmarkEnd w:id="126"/>
      <w:bookmarkEnd w:id="127"/>
      <w:bookmarkEnd w:id="128"/>
      <w:bookmarkEnd w:id="129"/>
      <w:r>
        <w:rPr>
          <w:rFonts w:hint="eastAsia" w:ascii="宋体" w:hAnsi="宋体" w:eastAsia="宋体" w:cs="宋体"/>
          <w:color w:val="auto"/>
          <w:sz w:val="24"/>
          <w:szCs w:val="24"/>
          <w:highlight w:val="none"/>
          <w:lang w:eastAsia="zh-CN"/>
        </w:rPr>
        <w:t>竞争性比选文件</w:t>
      </w:r>
      <w:bookmarkEnd w:id="130"/>
    </w:p>
    <w:p w14:paraId="649E01A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由采购邀请书、项目</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需求、项目商务需求、网上竞采程序及方法、评审标准、响应无效和采购终止、供应商须知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434E731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不可分割的部分。</w:t>
      </w:r>
    </w:p>
    <w:p w14:paraId="201EF40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的解释</w:t>
      </w:r>
    </w:p>
    <w:p w14:paraId="75D70BF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有疑问，必须以书面形式在提交响应文件截止时间2个工作日前向采购人（或采购代理机构）要求澄清，采购人（或采购代理机构）可视具体情况做出处理或答复。如供应商未提出疑问，视为完全理解并同意本</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。一经进入网上竞采程序，即视为供应商已详细阅读全部文件资料，完全理解</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所有条款内容并同意放弃对这方面有不明白及误解的权利。</w:t>
      </w:r>
    </w:p>
    <w:p w14:paraId="7843DB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中，网上竞采小组根据与供应商进行网上竞采可能实质性变动的内容为</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第二、三、四篇全部内容。</w:t>
      </w:r>
    </w:p>
    <w:p w14:paraId="23F8833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和响应文件（含有效的书面承诺）。评审小组判断响应文件对</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的响应，仅基于响应文件本身而不靠外部证据。</w:t>
      </w:r>
    </w:p>
    <w:p w14:paraId="58635299">
      <w:pPr>
        <w:pStyle w:val="4"/>
        <w:spacing w:before="0" w:after="0" w:line="360" w:lineRule="auto"/>
        <w:rPr>
          <w:rFonts w:hint="eastAsia" w:ascii="宋体" w:hAnsi="宋体" w:eastAsia="宋体" w:cs="宋体"/>
          <w:color w:val="auto"/>
          <w:sz w:val="24"/>
          <w:szCs w:val="24"/>
          <w:highlight w:val="none"/>
        </w:rPr>
      </w:pPr>
      <w:bookmarkStart w:id="131" w:name="_Toc23921"/>
      <w:bookmarkStart w:id="132" w:name="_Toc28209"/>
      <w:bookmarkStart w:id="133" w:name="_Toc13364"/>
      <w:bookmarkStart w:id="134" w:name="_Toc12994"/>
      <w:bookmarkStart w:id="135" w:name="_Toc10355"/>
      <w:bookmarkStart w:id="136" w:name="_Toc3365"/>
      <w:r>
        <w:rPr>
          <w:rFonts w:hint="eastAsia" w:ascii="宋体" w:hAnsi="宋体" w:eastAsia="宋体" w:cs="宋体"/>
          <w:color w:val="auto"/>
          <w:sz w:val="24"/>
          <w:szCs w:val="24"/>
          <w:highlight w:val="none"/>
        </w:rPr>
        <w:t>三、网上竞采要求</w:t>
      </w:r>
      <w:bookmarkEnd w:id="131"/>
      <w:bookmarkEnd w:id="132"/>
      <w:bookmarkEnd w:id="133"/>
      <w:bookmarkEnd w:id="134"/>
      <w:bookmarkEnd w:id="135"/>
      <w:bookmarkEnd w:id="136"/>
    </w:p>
    <w:p w14:paraId="6F1743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2D6737C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的要求编制响应文件，并对</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提出的要求和条件作出实质性响应，响应文件应编制完整的页码、目录。</w:t>
      </w:r>
    </w:p>
    <w:p w14:paraId="614746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45C5199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4E0BF4E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r>
        <w:rPr>
          <w:rFonts w:hint="eastAsia" w:ascii="宋体" w:hAnsi="宋体" w:eastAsia="宋体" w:cs="宋体"/>
          <w:b/>
          <w:bCs/>
          <w:color w:val="auto"/>
          <w:sz w:val="24"/>
          <w:szCs w:val="24"/>
          <w:highlight w:val="none"/>
          <w:lang w:eastAsia="zh-CN"/>
        </w:rPr>
        <w:t>（本项目</w:t>
      </w:r>
      <w:r>
        <w:rPr>
          <w:rFonts w:hint="eastAsia" w:ascii="宋体" w:hAnsi="宋体" w:eastAsia="宋体" w:cs="宋体"/>
          <w:b/>
          <w:bCs/>
          <w:color w:val="auto"/>
          <w:sz w:val="24"/>
          <w:szCs w:val="24"/>
          <w:highlight w:val="none"/>
          <w:lang w:val="en-US" w:eastAsia="zh-CN"/>
        </w:rPr>
        <w:t>不</w:t>
      </w:r>
      <w:r>
        <w:rPr>
          <w:rFonts w:hint="eastAsia" w:ascii="宋体" w:hAnsi="宋体" w:eastAsia="宋体" w:cs="宋体"/>
          <w:b/>
          <w:bCs/>
          <w:color w:val="auto"/>
          <w:sz w:val="24"/>
          <w:szCs w:val="24"/>
          <w:highlight w:val="none"/>
        </w:rPr>
        <w:t>接受联合体参与投标</w:t>
      </w:r>
      <w:r>
        <w:rPr>
          <w:rFonts w:hint="eastAsia" w:ascii="宋体" w:hAnsi="宋体" w:eastAsia="宋体" w:cs="宋体"/>
          <w:b/>
          <w:bCs/>
          <w:color w:val="auto"/>
          <w:sz w:val="24"/>
          <w:szCs w:val="24"/>
          <w:highlight w:val="none"/>
          <w:lang w:eastAsia="zh-CN"/>
        </w:rPr>
        <w:t>）</w:t>
      </w:r>
    </w:p>
    <w:p w14:paraId="368F42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62EF9D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（四）修正错误</w:t>
      </w:r>
    </w:p>
    <w:p w14:paraId="63D3B24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1.若供应商所递交的响应文件中的价格出现大写金额和小写金额不一致的错误，以大写金额修正为准。</w:t>
      </w:r>
    </w:p>
    <w:p w14:paraId="142B5E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2.评审小组按上述修正错误的原则及方法修正供应商的报价，供应商同意并签字确认后，修正后的报价对供应商具有约束作用。如果供应商不接受修正后的价格，将失去成为供应商的资格。</w:t>
      </w:r>
    </w:p>
    <w:p w14:paraId="6DC19DA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（五）提交响应文件的份数和签署</w:t>
      </w:r>
    </w:p>
    <w:p w14:paraId="4D6F8AA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1.供应商须在平台报价并上传盖章后的响应文件电子文档一份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PDF格式）</w:t>
      </w:r>
      <w:r>
        <w:rPr>
          <w:rFonts w:hint="eastAsia" w:ascii="宋体" w:hAnsi="宋体" w:eastAsia="宋体" w:cs="宋体"/>
          <w:color w:val="auto"/>
          <w:sz w:val="24"/>
          <w:szCs w:val="24"/>
          <w:highlight w:val="none"/>
          <w:lang w:eastAsia="zh-CN"/>
        </w:rPr>
        <w:t>。</w:t>
      </w:r>
    </w:p>
    <w:p w14:paraId="04EF4F45">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注：若供应商的平台报价与网上电子文档网上竞采报价函中的报价不一致，按响应无效处理。</w:t>
      </w:r>
    </w:p>
    <w:p w14:paraId="59A1C41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highlight w:val="none"/>
        </w:rPr>
        <w:t>在网上响应文件电子文档及中，</w:t>
      </w:r>
      <w:r>
        <w:rPr>
          <w:rFonts w:hint="eastAsia" w:ascii="宋体" w:hAnsi="宋体" w:eastAsia="宋体" w:cs="宋体"/>
          <w:color w:val="auto"/>
          <w:sz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highlight w:val="none"/>
        </w:rPr>
        <w:t>第七篇响应文件编制要求中规定签字、盖章的地方必须按其规定签字、盖章。</w:t>
      </w:r>
    </w:p>
    <w:p w14:paraId="642DA51F">
      <w:pPr>
        <w:pStyle w:val="4"/>
        <w:spacing w:before="0" w:after="0" w:line="360" w:lineRule="auto"/>
        <w:rPr>
          <w:rFonts w:hint="eastAsia" w:ascii="宋体" w:hAnsi="宋体" w:eastAsia="宋体" w:cs="宋体"/>
          <w:color w:val="auto"/>
          <w:sz w:val="24"/>
          <w:szCs w:val="24"/>
          <w:highlight w:val="none"/>
        </w:rPr>
      </w:pPr>
      <w:bookmarkStart w:id="137" w:name="_Toc22553"/>
      <w:bookmarkStart w:id="138" w:name="_Toc19176"/>
      <w:bookmarkStart w:id="139" w:name="_Toc6717"/>
      <w:bookmarkStart w:id="140" w:name="_Toc29140"/>
      <w:bookmarkStart w:id="141" w:name="_Toc20400"/>
      <w:bookmarkStart w:id="142" w:name="_Toc6847"/>
      <w:r>
        <w:rPr>
          <w:rFonts w:hint="eastAsia" w:ascii="宋体" w:hAnsi="宋体" w:eastAsia="宋体" w:cs="宋体"/>
          <w:color w:val="auto"/>
          <w:sz w:val="24"/>
          <w:szCs w:val="24"/>
          <w:highlight w:val="none"/>
        </w:rPr>
        <w:t>四、成交供应商的确认和变更</w:t>
      </w:r>
      <w:bookmarkEnd w:id="137"/>
      <w:bookmarkEnd w:id="138"/>
      <w:bookmarkEnd w:id="139"/>
      <w:bookmarkEnd w:id="140"/>
      <w:bookmarkEnd w:id="141"/>
      <w:bookmarkEnd w:id="142"/>
    </w:p>
    <w:p w14:paraId="162FC91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2465D49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w:t>
      </w:r>
      <w:r>
        <w:rPr>
          <w:rFonts w:hint="eastAsia" w:ascii="宋体" w:hAnsi="宋体" w:eastAsia="宋体" w:cs="宋体"/>
          <w:color w:val="auto"/>
          <w:sz w:val="24"/>
          <w:szCs w:val="24"/>
          <w:highlight w:val="none"/>
          <w:lang w:val="en-US" w:eastAsia="zh-CN"/>
        </w:rPr>
        <w:t>名和第二名</w:t>
      </w:r>
      <w:r>
        <w:rPr>
          <w:rFonts w:hint="eastAsia" w:ascii="宋体" w:hAnsi="宋体" w:eastAsia="宋体" w:cs="宋体"/>
          <w:color w:val="auto"/>
          <w:sz w:val="24"/>
          <w:szCs w:val="24"/>
          <w:highlight w:val="none"/>
        </w:rPr>
        <w:t>的供应商为成交供应商。</w:t>
      </w:r>
    </w:p>
    <w:p w14:paraId="02DB625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71348B06">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2B3D9CFF">
      <w:pPr>
        <w:pStyle w:val="4"/>
        <w:spacing w:before="0" w:after="0" w:line="360" w:lineRule="auto"/>
        <w:rPr>
          <w:rFonts w:hint="eastAsia" w:ascii="宋体" w:hAnsi="宋体" w:eastAsia="宋体" w:cs="宋体"/>
          <w:color w:val="auto"/>
          <w:sz w:val="24"/>
          <w:szCs w:val="24"/>
          <w:highlight w:val="none"/>
        </w:rPr>
      </w:pPr>
      <w:bookmarkStart w:id="143" w:name="_Toc11854"/>
      <w:bookmarkStart w:id="144" w:name="_Toc8128"/>
      <w:bookmarkStart w:id="145" w:name="_Toc3936"/>
      <w:bookmarkStart w:id="146" w:name="_Toc342913395"/>
      <w:bookmarkStart w:id="147" w:name="_Toc456"/>
      <w:bookmarkStart w:id="148" w:name="_Toc21783"/>
      <w:bookmarkStart w:id="149" w:name="_Toc6282"/>
      <w:bookmarkStart w:id="150" w:name="_Toc102227321"/>
      <w:r>
        <w:rPr>
          <w:rFonts w:hint="eastAsia" w:ascii="宋体" w:hAnsi="宋体" w:eastAsia="宋体" w:cs="宋体"/>
          <w:color w:val="auto"/>
          <w:sz w:val="24"/>
          <w:szCs w:val="24"/>
          <w:highlight w:val="none"/>
        </w:rPr>
        <w:t>五、成交通知</w:t>
      </w:r>
      <w:bookmarkEnd w:id="143"/>
      <w:bookmarkEnd w:id="144"/>
      <w:bookmarkEnd w:id="145"/>
      <w:bookmarkEnd w:id="146"/>
      <w:bookmarkEnd w:id="147"/>
      <w:bookmarkEnd w:id="148"/>
      <w:bookmarkEnd w:id="149"/>
      <w:bookmarkEnd w:id="150"/>
    </w:p>
    <w:p w14:paraId="2D4E6D1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w:t>
      </w:r>
      <w:r>
        <w:rPr>
          <w:rFonts w:hint="eastAsia" w:ascii="宋体" w:hAnsi="宋体" w:eastAsia="宋体" w:cs="宋体"/>
          <w:b/>
          <w:bCs/>
          <w:color w:val="auto"/>
          <w:sz w:val="21"/>
          <w:szCs w:val="21"/>
          <w:highlight w:val="none"/>
          <w:lang w:eastAsia="zh-CN"/>
        </w:rPr>
        <w:t>行采家电子竞采平台</w:t>
      </w:r>
      <w:r>
        <w:rPr>
          <w:rFonts w:hint="eastAsia" w:ascii="宋体" w:hAnsi="宋体" w:eastAsia="宋体" w:cs="宋体"/>
          <w:b/>
          <w:bCs/>
          <w:color w:val="auto"/>
          <w:sz w:val="21"/>
          <w:szCs w:val="21"/>
          <w:highlight w:val="none"/>
        </w:rPr>
        <w:t>（https://www.gec123.com/xe/）</w:t>
      </w:r>
      <w:r>
        <w:rPr>
          <w:rFonts w:hint="eastAsia" w:ascii="宋体" w:hAnsi="宋体" w:eastAsia="宋体" w:cs="宋体"/>
          <w:color w:val="auto"/>
          <w:sz w:val="24"/>
          <w:szCs w:val="24"/>
          <w:highlight w:val="none"/>
        </w:rPr>
        <w:t>上发布成交结果公告。</w:t>
      </w:r>
    </w:p>
    <w:p w14:paraId="69030A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27EAE5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4FA01EC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（四）如有供应商对成交结果提出质疑的，在质疑处理完毕后发出成交通知书。</w:t>
      </w:r>
    </w:p>
    <w:p w14:paraId="2687C583">
      <w:pPr>
        <w:pStyle w:val="4"/>
        <w:spacing w:before="0" w:after="0" w:line="360" w:lineRule="auto"/>
        <w:rPr>
          <w:rFonts w:hint="eastAsia" w:ascii="宋体" w:hAnsi="宋体" w:eastAsia="宋体" w:cs="宋体"/>
          <w:color w:val="auto"/>
          <w:sz w:val="24"/>
          <w:szCs w:val="24"/>
          <w:highlight w:val="none"/>
        </w:rPr>
      </w:pPr>
      <w:bookmarkStart w:id="151" w:name="_Toc32511"/>
      <w:bookmarkStart w:id="152" w:name="_Toc3134"/>
      <w:bookmarkStart w:id="153" w:name="_Toc28475"/>
      <w:bookmarkStart w:id="154" w:name="_Toc31861"/>
      <w:bookmarkStart w:id="155" w:name="_Toc14179"/>
      <w:bookmarkStart w:id="156" w:name="_Toc22102"/>
      <w:bookmarkStart w:id="157" w:name="_Toc7210"/>
      <w:r>
        <w:rPr>
          <w:rFonts w:hint="eastAsia" w:ascii="宋体" w:hAnsi="宋体" w:eastAsia="宋体" w:cs="宋体"/>
          <w:color w:val="auto"/>
          <w:sz w:val="24"/>
          <w:szCs w:val="24"/>
          <w:highlight w:val="none"/>
        </w:rPr>
        <w:t>六、采购代理服务费</w:t>
      </w:r>
      <w:bookmarkEnd w:id="151"/>
      <w:bookmarkEnd w:id="152"/>
      <w:bookmarkEnd w:id="153"/>
      <w:bookmarkEnd w:id="154"/>
      <w:bookmarkEnd w:id="155"/>
      <w:bookmarkEnd w:id="156"/>
      <w:bookmarkEnd w:id="157"/>
    </w:p>
    <w:p w14:paraId="5ED41142">
      <w:pPr>
        <w:keepNext w:val="0"/>
        <w:keepLines w:val="0"/>
        <w:pageBreakBefore w:val="0"/>
        <w:widowControl/>
        <w:kinsoku/>
        <w:wordWrap/>
        <w:overflowPunct/>
        <w:topLinePunct w:val="0"/>
        <w:autoSpaceDE/>
        <w:autoSpaceDN/>
        <w:bidi w:val="0"/>
        <w:adjustRightInd/>
        <w:snapToGrid/>
        <w:spacing w:line="360" w:lineRule="auto"/>
        <w:ind w:right="12" w:firstLine="480" w:firstLineChars="0"/>
        <w:textAlignment w:val="auto"/>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4"/>
          <w:highlight w:val="none"/>
          <w:lang w:eastAsia="zh-CN"/>
        </w:rPr>
        <w:t>本项目采购代理服务费为</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000.00元，</w:t>
      </w:r>
      <w:r>
        <w:rPr>
          <w:rFonts w:hint="eastAsia" w:ascii="宋体" w:hAnsi="宋体" w:eastAsia="宋体" w:cs="宋体"/>
          <w:color w:val="auto"/>
          <w:sz w:val="24"/>
          <w:szCs w:val="24"/>
          <w:highlight w:val="none"/>
          <w:lang w:eastAsia="zh-CN"/>
        </w:rPr>
        <w:t>由成交供应商在领取成交通知书前向采购代理机构一次性支付</w:t>
      </w:r>
      <w:r>
        <w:rPr>
          <w:rFonts w:hint="eastAsia" w:ascii="宋体" w:hAnsi="宋体" w:eastAsia="宋体" w:cs="宋体"/>
          <w:color w:val="auto"/>
          <w:sz w:val="24"/>
          <w:szCs w:val="20"/>
          <w:highlight w:val="none"/>
          <w:lang w:val="en-US" w:eastAsia="zh-CN"/>
        </w:rPr>
        <w:t>。</w:t>
      </w:r>
    </w:p>
    <w:p w14:paraId="045D0B83">
      <w:pPr>
        <w:spacing w:line="360" w:lineRule="auto"/>
        <w:ind w:right="12" w:firstLine="480" w:firstLineChars="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成交供应商如未按上述规定缴纳采购代理服务费，成交通知书不予发放。</w:t>
      </w:r>
    </w:p>
    <w:p w14:paraId="272FEB9C">
      <w:pPr>
        <w:wordWrap w:val="0"/>
        <w:spacing w:line="360" w:lineRule="auto"/>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采购代理服务费转帐信息如下：</w:t>
      </w:r>
    </w:p>
    <w:p w14:paraId="26C9E97C">
      <w:pPr>
        <w:wordWrap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账户名称：重庆中祥科达工程项目管理咨询有限公司</w:t>
      </w:r>
    </w:p>
    <w:p w14:paraId="7893F282">
      <w:pPr>
        <w:wordWrap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账户号码：651070638300015</w:t>
      </w:r>
    </w:p>
    <w:p w14:paraId="7DA3744D">
      <w:pPr>
        <w:wordWrap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开户银行：重庆渝北银座村镇银行有限责任公司人和支行</w:t>
      </w:r>
    </w:p>
    <w:p w14:paraId="44E0586E">
      <w:pPr>
        <w:pStyle w:val="4"/>
        <w:spacing w:before="0" w:after="0" w:line="360" w:lineRule="auto"/>
        <w:rPr>
          <w:rFonts w:hint="eastAsia" w:ascii="宋体" w:hAnsi="宋体" w:eastAsia="宋体" w:cs="宋体"/>
          <w:color w:val="auto"/>
          <w:sz w:val="24"/>
          <w:szCs w:val="24"/>
          <w:highlight w:val="none"/>
        </w:rPr>
      </w:pPr>
      <w:bookmarkStart w:id="158" w:name="_Toc8778"/>
      <w:bookmarkStart w:id="159" w:name="_Toc15722"/>
      <w:bookmarkStart w:id="160" w:name="_Toc16205"/>
      <w:bookmarkStart w:id="161" w:name="_Toc28999"/>
      <w:bookmarkStart w:id="162" w:name="_Toc18647"/>
      <w:bookmarkStart w:id="163" w:name="_Toc6088"/>
      <w:r>
        <w:rPr>
          <w:rFonts w:hint="eastAsia" w:ascii="宋体" w:hAnsi="宋体" w:eastAsia="宋体" w:cs="宋体"/>
          <w:color w:val="auto"/>
          <w:sz w:val="24"/>
          <w:szCs w:val="24"/>
          <w:highlight w:val="none"/>
        </w:rPr>
        <w:t>七、关于质疑和投诉</w:t>
      </w:r>
      <w:bookmarkEnd w:id="158"/>
      <w:bookmarkEnd w:id="159"/>
      <w:bookmarkEnd w:id="160"/>
      <w:bookmarkEnd w:id="161"/>
      <w:bookmarkEnd w:id="162"/>
      <w:bookmarkEnd w:id="163"/>
    </w:p>
    <w:p w14:paraId="60D829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1CC0713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highlight w:val="none"/>
        </w:rPr>
        <w:t>、采购过程和成交结果使自己的权益受到伤害的，可向采购人或采购代理机构以书面形式提出质疑。</w:t>
      </w:r>
    </w:p>
    <w:p w14:paraId="2D0F395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提出质疑的应当是参与所质疑项目采购活动的供应商。 </w:t>
      </w:r>
    </w:p>
    <w:p w14:paraId="717D3E8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46AA132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1.1供应商认为</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highlight w:val="none"/>
        </w:rPr>
        <w:t>、采购过程、成交结果使自己的权益受到损害的，可以在知道或者应知其权益受到损害之日起7个工作日内，以书面形式向采购人、采购代理机构提出质疑。</w:t>
      </w:r>
    </w:p>
    <w:p w14:paraId="09171E7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 供应商对采购过程提出质疑的，应在各采购程序环节结束之日起七个工作日内提出。</w:t>
      </w:r>
    </w:p>
    <w:p w14:paraId="0E529AD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1.3供应商对成交结果提出质疑的，应当在成交结果公告期限届满之日起七个工作日内提出。</w:t>
      </w:r>
    </w:p>
    <w:p w14:paraId="775EDF2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1.4供应商提出质疑应当提交质疑函和必要的证明材料，质疑函应当包括下列内容：</w:t>
      </w:r>
    </w:p>
    <w:p w14:paraId="58F98192">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1.4.1供应商的姓名或者名称、地址、邮编、联系人及联系电话；</w:t>
      </w:r>
    </w:p>
    <w:p w14:paraId="2099970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1.4.2质疑项目的名称、项目号以及采购项目编号；</w:t>
      </w:r>
    </w:p>
    <w:p w14:paraId="19D34312">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1C56D430">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15027768">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5D2FF8A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61123C6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1.4.7</w:t>
      </w:r>
      <w:r>
        <w:rPr>
          <w:rFonts w:hint="eastAsia" w:ascii="宋体" w:hAnsi="宋体" w:eastAsia="宋体" w:cs="宋体"/>
          <w:color w:val="auto"/>
          <w:sz w:val="24"/>
          <w:szCs w:val="24"/>
          <w:highlight w:val="none"/>
        </w:rPr>
        <w:t>供应商法人营业执照（副本）或事业单位法人证书（副本）或个体工商户营业执照或有效的自然人身份证明或社会团体法人登记证书</w:t>
      </w:r>
      <w:r>
        <w:rPr>
          <w:rFonts w:hint="eastAsia" w:ascii="宋体" w:hAnsi="宋体" w:eastAsia="宋体" w:cs="宋体"/>
          <w:color w:val="auto"/>
          <w:sz w:val="24"/>
          <w:highlight w:val="none"/>
        </w:rPr>
        <w:t>复印件；</w:t>
      </w:r>
    </w:p>
    <w:p w14:paraId="09749D12">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1.4.8法定代表人授权委托书原件、法定代表人身份证复印件和其授权代表的身份证复印件（供应商为自然人的提供自然人身份证复印件）；</w:t>
      </w:r>
    </w:p>
    <w:p w14:paraId="71C5B70C">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1.5供应商为自然人的，质疑函应当由本人签字；供应商为法人或者其他组织的，质疑函应当由法定代表人、主要负责人，或者其授权代表签字或者盖章，并加盖公章。</w:t>
      </w:r>
    </w:p>
    <w:p w14:paraId="66EDF65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78CBF5D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采购人、采购代理机构应当在收到供应商的书面质疑后七个工作日内作出答复，并以书面形式通知质疑供应商和其他有关供应商。</w:t>
      </w:r>
    </w:p>
    <w:p w14:paraId="582DF26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2B982010">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3.1供应商应按照《政府采购质疑和投诉办法》（财政部令第94号）及相关法律法规要求，在法定质疑期内一次性提出针对同一采购程序环节的质疑。</w:t>
      </w:r>
    </w:p>
    <w:p w14:paraId="12AD685D">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70672C4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4F7F2985">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308215F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16F8F00C">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5F9363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31E7C26F">
      <w:pPr>
        <w:pStyle w:val="4"/>
        <w:spacing w:before="0" w:after="0" w:line="360" w:lineRule="auto"/>
        <w:rPr>
          <w:rFonts w:hint="eastAsia" w:ascii="宋体" w:hAnsi="宋体" w:eastAsia="宋体" w:cs="宋体"/>
          <w:color w:val="auto"/>
          <w:sz w:val="24"/>
          <w:szCs w:val="24"/>
          <w:highlight w:val="none"/>
        </w:rPr>
      </w:pPr>
      <w:bookmarkStart w:id="164" w:name="_Toc102227322"/>
      <w:bookmarkStart w:id="165" w:name="_Toc342913396"/>
      <w:bookmarkStart w:id="166" w:name="_Toc22048"/>
      <w:bookmarkStart w:id="167" w:name="_Toc9488"/>
      <w:bookmarkStart w:id="168" w:name="_Toc31053"/>
      <w:bookmarkStart w:id="169" w:name="_Toc14365"/>
      <w:bookmarkStart w:id="170" w:name="_Toc12132"/>
      <w:bookmarkStart w:id="171" w:name="_Toc31154"/>
      <w:bookmarkStart w:id="172" w:name="_Toc12789059"/>
      <w:bookmarkStart w:id="173" w:name="_Toc11641055"/>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、签订</w:t>
      </w:r>
      <w:bookmarkEnd w:id="164"/>
      <w:r>
        <w:rPr>
          <w:rFonts w:hint="eastAsia" w:ascii="宋体" w:hAnsi="宋体" w:eastAsia="宋体" w:cs="宋体"/>
          <w:color w:val="auto"/>
          <w:sz w:val="24"/>
          <w:szCs w:val="24"/>
          <w:highlight w:val="none"/>
        </w:rPr>
        <w:t>合同</w:t>
      </w:r>
      <w:bookmarkEnd w:id="165"/>
      <w:bookmarkEnd w:id="166"/>
      <w:bookmarkEnd w:id="167"/>
      <w:bookmarkEnd w:id="168"/>
      <w:bookmarkEnd w:id="169"/>
      <w:bookmarkEnd w:id="170"/>
      <w:bookmarkEnd w:id="171"/>
    </w:p>
    <w:p w14:paraId="373B5AC1">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十日内，按照</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和成交供应商响应文件的约定，与成交供应商签订书面合同。所签订的合同不得对</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和供应商的响应文件作实质性修改。</w:t>
      </w:r>
    </w:p>
    <w:p w14:paraId="42423F88">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、供应商的响应文件及澄清文件等，均为签订采购合同的依据。</w:t>
      </w:r>
    </w:p>
    <w:p w14:paraId="07D2268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6AEF28C3">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p w14:paraId="28CB8864">
      <w:pPr>
        <w:spacing w:line="360" w:lineRule="auto"/>
        <w:ind w:firstLine="360" w:firstLineChars="150"/>
        <w:rPr>
          <w:rFonts w:hint="eastAsia" w:ascii="宋体" w:hAnsi="宋体" w:eastAsia="宋体" w:cs="宋体"/>
          <w:color w:val="auto"/>
          <w:sz w:val="24"/>
          <w:szCs w:val="24"/>
          <w:highlight w:val="none"/>
        </w:rPr>
      </w:pPr>
      <w:bookmarkStart w:id="174" w:name="_Toc15359"/>
      <w:r>
        <w:rPr>
          <w:rFonts w:hint="eastAsia" w:ascii="宋体" w:hAnsi="宋体" w:eastAsia="宋体" w:cs="宋体"/>
          <w:color w:val="auto"/>
          <w:sz w:val="24"/>
          <w:szCs w:val="24"/>
          <w:highlight w:val="none"/>
        </w:rPr>
        <w:t>（五）采购人要求成交供应商提供履约保证金的，应当在</w:t>
      </w:r>
      <w:r>
        <w:rPr>
          <w:rFonts w:hint="eastAsia" w:ascii="宋体" w:hAnsi="宋体" w:eastAsia="宋体" w:cs="宋体"/>
          <w:color w:val="auto"/>
          <w:sz w:val="24"/>
          <w:szCs w:val="24"/>
          <w:highlight w:val="none"/>
          <w:lang w:eastAsia="zh-CN"/>
        </w:rPr>
        <w:t>网上竞采</w:t>
      </w:r>
      <w:r>
        <w:rPr>
          <w:rFonts w:hint="eastAsia" w:ascii="宋体" w:hAnsi="宋体" w:cs="宋体"/>
          <w:color w:val="auto"/>
          <w:sz w:val="24"/>
          <w:szCs w:val="24"/>
          <w:highlight w:val="none"/>
          <w:lang w:val="en-US" w:eastAsia="zh-CN"/>
        </w:rPr>
        <w:t>竞争性比选</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中予以约定。成交供应商履约完毕后，采购人应于五日内无息退还其履约保证金。</w:t>
      </w:r>
      <w:bookmarkEnd w:id="172"/>
      <w:bookmarkEnd w:id="17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bookmarkEnd w:id="174"/>
    </w:p>
    <w:p w14:paraId="6B8022F5">
      <w:pPr>
        <w:pStyle w:val="3"/>
        <w:pageBreakBefore w:val="0"/>
        <w:widowControl w:val="0"/>
        <w:shd w:val="clear"/>
        <w:kinsoku/>
        <w:wordWrap/>
        <w:overflowPunct/>
        <w:topLinePunct w:val="0"/>
        <w:autoSpaceDE/>
        <w:autoSpaceDN/>
        <w:bidi w:val="0"/>
        <w:adjustRightInd/>
        <w:spacing w:beforeLines="100" w:after="0" w:line="430" w:lineRule="exact"/>
        <w:textAlignment w:val="auto"/>
        <w:outlineLvl w:val="1"/>
        <w:rPr>
          <w:rFonts w:hint="eastAsia" w:ascii="宋体" w:hAnsi="宋体" w:eastAsia="宋体" w:cs="宋体"/>
          <w:color w:val="auto"/>
          <w:sz w:val="24"/>
          <w:szCs w:val="24"/>
          <w:highlight w:val="none"/>
        </w:rPr>
      </w:pPr>
    </w:p>
    <w:p w14:paraId="77A43AB5">
      <w:pPr>
        <w:rPr>
          <w:rFonts w:hint="eastAsia" w:ascii="宋体" w:hAnsi="宋体" w:eastAsia="宋体" w:cs="宋体"/>
          <w:color w:val="auto"/>
          <w:sz w:val="24"/>
          <w:szCs w:val="24"/>
          <w:highlight w:val="none"/>
        </w:rPr>
      </w:pPr>
    </w:p>
    <w:p w14:paraId="2F596BE6">
      <w:pPr>
        <w:pStyle w:val="16"/>
        <w:rPr>
          <w:rFonts w:hint="eastAsia" w:ascii="宋体" w:hAnsi="宋体" w:eastAsia="宋体" w:cs="宋体"/>
          <w:color w:val="auto"/>
          <w:sz w:val="24"/>
          <w:szCs w:val="24"/>
          <w:highlight w:val="none"/>
        </w:rPr>
      </w:pPr>
    </w:p>
    <w:p w14:paraId="0AA4BC6A">
      <w:pPr>
        <w:rPr>
          <w:rFonts w:hint="eastAsia" w:ascii="宋体" w:hAnsi="宋体" w:eastAsia="宋体" w:cs="宋体"/>
          <w:color w:val="auto"/>
          <w:sz w:val="24"/>
          <w:szCs w:val="24"/>
          <w:highlight w:val="none"/>
        </w:rPr>
      </w:pPr>
    </w:p>
    <w:p w14:paraId="62D58353">
      <w:pPr>
        <w:pStyle w:val="16"/>
        <w:rPr>
          <w:rFonts w:hint="eastAsia" w:ascii="宋体" w:hAnsi="宋体" w:eastAsia="宋体" w:cs="宋体"/>
          <w:color w:val="auto"/>
          <w:sz w:val="24"/>
          <w:szCs w:val="24"/>
          <w:highlight w:val="none"/>
        </w:rPr>
      </w:pPr>
    </w:p>
    <w:p w14:paraId="1E1D058D">
      <w:pPr>
        <w:rPr>
          <w:rFonts w:hint="eastAsia" w:ascii="宋体" w:hAnsi="宋体" w:eastAsia="宋体" w:cs="宋体"/>
          <w:color w:val="auto"/>
          <w:sz w:val="24"/>
          <w:szCs w:val="24"/>
          <w:highlight w:val="none"/>
        </w:rPr>
      </w:pPr>
    </w:p>
    <w:p w14:paraId="13DC6EAB">
      <w:pPr>
        <w:pStyle w:val="16"/>
        <w:rPr>
          <w:rFonts w:hint="eastAsia" w:ascii="宋体" w:hAnsi="宋体" w:eastAsia="宋体" w:cs="宋体"/>
          <w:color w:val="auto"/>
          <w:sz w:val="24"/>
          <w:szCs w:val="24"/>
          <w:highlight w:val="none"/>
        </w:rPr>
      </w:pPr>
    </w:p>
    <w:p w14:paraId="4B7BC23B">
      <w:pPr>
        <w:rPr>
          <w:rFonts w:hint="eastAsia" w:ascii="宋体" w:hAnsi="宋体" w:eastAsia="宋体" w:cs="宋体"/>
          <w:color w:val="auto"/>
          <w:sz w:val="24"/>
          <w:szCs w:val="24"/>
          <w:highlight w:val="none"/>
        </w:rPr>
      </w:pPr>
    </w:p>
    <w:p w14:paraId="181F3A44">
      <w:pPr>
        <w:pStyle w:val="16"/>
        <w:rPr>
          <w:rFonts w:hint="eastAsia" w:ascii="宋体" w:hAnsi="宋体" w:eastAsia="宋体" w:cs="宋体"/>
          <w:color w:val="auto"/>
          <w:sz w:val="24"/>
          <w:szCs w:val="24"/>
          <w:highlight w:val="none"/>
        </w:rPr>
      </w:pPr>
    </w:p>
    <w:p w14:paraId="6226DC25">
      <w:pPr>
        <w:rPr>
          <w:rFonts w:hint="eastAsia" w:ascii="宋体" w:hAnsi="宋体" w:eastAsia="宋体" w:cs="宋体"/>
          <w:color w:val="auto"/>
          <w:sz w:val="24"/>
          <w:szCs w:val="24"/>
          <w:highlight w:val="none"/>
        </w:rPr>
      </w:pPr>
    </w:p>
    <w:p w14:paraId="1DCE010B">
      <w:pPr>
        <w:pStyle w:val="16"/>
        <w:rPr>
          <w:rFonts w:hint="eastAsia" w:ascii="宋体" w:hAnsi="宋体" w:eastAsia="宋体" w:cs="宋体"/>
          <w:color w:val="auto"/>
          <w:sz w:val="24"/>
          <w:szCs w:val="24"/>
          <w:highlight w:val="none"/>
        </w:rPr>
      </w:pPr>
    </w:p>
    <w:p w14:paraId="251AD160">
      <w:pPr>
        <w:rPr>
          <w:rFonts w:hint="eastAsia" w:ascii="宋体" w:hAnsi="宋体" w:eastAsia="宋体" w:cs="宋体"/>
          <w:color w:val="auto"/>
          <w:sz w:val="24"/>
          <w:szCs w:val="24"/>
          <w:highlight w:val="none"/>
        </w:rPr>
      </w:pPr>
    </w:p>
    <w:p w14:paraId="276CDCAD">
      <w:pPr>
        <w:pStyle w:val="16"/>
        <w:rPr>
          <w:rFonts w:hint="eastAsia" w:ascii="宋体" w:hAnsi="宋体" w:eastAsia="宋体" w:cs="宋体"/>
          <w:color w:val="auto"/>
          <w:sz w:val="24"/>
          <w:szCs w:val="24"/>
          <w:highlight w:val="none"/>
        </w:rPr>
      </w:pPr>
    </w:p>
    <w:p w14:paraId="7F2DC85C">
      <w:pPr>
        <w:rPr>
          <w:rFonts w:hint="eastAsia" w:ascii="宋体" w:hAnsi="宋体" w:eastAsia="宋体" w:cs="宋体"/>
          <w:color w:val="auto"/>
          <w:sz w:val="24"/>
          <w:szCs w:val="24"/>
          <w:highlight w:val="none"/>
        </w:rPr>
      </w:pPr>
    </w:p>
    <w:p w14:paraId="03C046FC">
      <w:pPr>
        <w:pStyle w:val="16"/>
        <w:rPr>
          <w:rFonts w:hint="eastAsia" w:ascii="宋体" w:hAnsi="宋体" w:eastAsia="宋体" w:cs="宋体"/>
          <w:color w:val="auto"/>
          <w:sz w:val="24"/>
          <w:szCs w:val="24"/>
          <w:highlight w:val="none"/>
        </w:rPr>
      </w:pPr>
    </w:p>
    <w:p w14:paraId="712016F0">
      <w:pPr>
        <w:rPr>
          <w:rFonts w:hint="eastAsia" w:ascii="宋体" w:hAnsi="宋体" w:eastAsia="宋体" w:cs="宋体"/>
          <w:color w:val="auto"/>
          <w:sz w:val="24"/>
          <w:szCs w:val="24"/>
          <w:highlight w:val="none"/>
        </w:rPr>
      </w:pPr>
    </w:p>
    <w:p w14:paraId="4DBA1EEA">
      <w:pPr>
        <w:pStyle w:val="16"/>
        <w:rPr>
          <w:rFonts w:hint="eastAsia" w:ascii="宋体" w:hAnsi="宋体" w:eastAsia="宋体" w:cs="宋体"/>
          <w:color w:val="auto"/>
          <w:sz w:val="24"/>
          <w:szCs w:val="24"/>
          <w:highlight w:val="none"/>
        </w:rPr>
      </w:pPr>
    </w:p>
    <w:p w14:paraId="37413BBE">
      <w:pPr>
        <w:rPr>
          <w:rFonts w:hint="eastAsia" w:ascii="宋体" w:hAnsi="宋体" w:eastAsia="宋体" w:cs="宋体"/>
          <w:color w:val="auto"/>
          <w:sz w:val="24"/>
          <w:szCs w:val="24"/>
          <w:highlight w:val="none"/>
        </w:rPr>
      </w:pPr>
    </w:p>
    <w:p w14:paraId="6AD54A80">
      <w:pPr>
        <w:pStyle w:val="16"/>
        <w:rPr>
          <w:rFonts w:hint="eastAsia" w:ascii="宋体" w:hAnsi="宋体" w:eastAsia="宋体" w:cs="宋体"/>
          <w:color w:val="auto"/>
          <w:sz w:val="24"/>
          <w:szCs w:val="24"/>
          <w:highlight w:val="none"/>
        </w:rPr>
      </w:pPr>
    </w:p>
    <w:p w14:paraId="1541ACD2">
      <w:pPr>
        <w:rPr>
          <w:rFonts w:hint="eastAsia" w:ascii="宋体" w:hAnsi="宋体" w:eastAsia="宋体" w:cs="宋体"/>
          <w:color w:val="auto"/>
          <w:sz w:val="24"/>
          <w:szCs w:val="24"/>
          <w:highlight w:val="none"/>
        </w:rPr>
      </w:pPr>
    </w:p>
    <w:p w14:paraId="74AC6E9A">
      <w:pPr>
        <w:pStyle w:val="16"/>
        <w:rPr>
          <w:rFonts w:hint="eastAsia" w:ascii="宋体" w:hAnsi="宋体" w:eastAsia="宋体" w:cs="宋体"/>
          <w:color w:val="auto"/>
          <w:sz w:val="24"/>
          <w:szCs w:val="24"/>
          <w:highlight w:val="none"/>
        </w:rPr>
      </w:pPr>
    </w:p>
    <w:p w14:paraId="7401CA15">
      <w:pPr>
        <w:rPr>
          <w:rFonts w:hint="eastAsia" w:ascii="宋体" w:hAnsi="宋体" w:eastAsia="宋体" w:cs="宋体"/>
          <w:color w:val="auto"/>
          <w:sz w:val="24"/>
          <w:szCs w:val="24"/>
          <w:highlight w:val="none"/>
        </w:rPr>
      </w:pPr>
    </w:p>
    <w:p w14:paraId="4348F33A">
      <w:pPr>
        <w:pStyle w:val="16"/>
        <w:rPr>
          <w:rFonts w:hint="eastAsia" w:ascii="宋体" w:hAnsi="宋体" w:eastAsia="宋体" w:cs="宋体"/>
          <w:color w:val="auto"/>
          <w:sz w:val="24"/>
          <w:szCs w:val="24"/>
          <w:highlight w:val="none"/>
        </w:rPr>
      </w:pPr>
    </w:p>
    <w:p w14:paraId="08CA3CFE">
      <w:pPr>
        <w:rPr>
          <w:rFonts w:hint="eastAsia" w:ascii="宋体" w:hAnsi="宋体" w:eastAsia="宋体" w:cs="宋体"/>
          <w:color w:val="auto"/>
          <w:sz w:val="24"/>
          <w:szCs w:val="24"/>
          <w:highlight w:val="none"/>
        </w:rPr>
      </w:pPr>
    </w:p>
    <w:p w14:paraId="59822B02">
      <w:pPr>
        <w:pStyle w:val="16"/>
        <w:rPr>
          <w:rFonts w:hint="eastAsia" w:ascii="宋体" w:hAnsi="宋体" w:eastAsia="宋体" w:cs="宋体"/>
          <w:color w:val="auto"/>
          <w:sz w:val="24"/>
          <w:szCs w:val="24"/>
          <w:highlight w:val="none"/>
        </w:rPr>
      </w:pPr>
    </w:p>
    <w:p w14:paraId="64AF56B4">
      <w:pPr>
        <w:rPr>
          <w:rFonts w:hint="eastAsia" w:ascii="宋体" w:hAnsi="宋体" w:eastAsia="宋体" w:cs="宋体"/>
          <w:color w:val="auto"/>
          <w:sz w:val="24"/>
          <w:szCs w:val="24"/>
          <w:highlight w:val="none"/>
        </w:rPr>
      </w:pPr>
    </w:p>
    <w:p w14:paraId="112164CF">
      <w:pPr>
        <w:pStyle w:val="16"/>
        <w:rPr>
          <w:rFonts w:hint="eastAsia" w:ascii="宋体" w:hAnsi="宋体" w:eastAsia="宋体" w:cs="宋体"/>
          <w:color w:val="auto"/>
          <w:sz w:val="24"/>
          <w:szCs w:val="24"/>
          <w:highlight w:val="none"/>
        </w:rPr>
      </w:pPr>
    </w:p>
    <w:p w14:paraId="0EF03E57">
      <w:pPr>
        <w:rPr>
          <w:rFonts w:hint="eastAsia" w:ascii="宋体" w:hAnsi="宋体" w:eastAsia="宋体" w:cs="宋体"/>
          <w:color w:val="auto"/>
          <w:sz w:val="24"/>
          <w:szCs w:val="24"/>
          <w:highlight w:val="none"/>
        </w:rPr>
      </w:pPr>
    </w:p>
    <w:p w14:paraId="1ECE8862">
      <w:pPr>
        <w:pStyle w:val="16"/>
        <w:rPr>
          <w:rFonts w:hint="eastAsia" w:ascii="宋体" w:hAnsi="宋体" w:eastAsia="宋体" w:cs="宋体"/>
          <w:color w:val="auto"/>
          <w:sz w:val="24"/>
          <w:szCs w:val="24"/>
          <w:highlight w:val="none"/>
        </w:rPr>
      </w:pPr>
    </w:p>
    <w:p w14:paraId="2FB75291">
      <w:pPr>
        <w:rPr>
          <w:rFonts w:hint="eastAsia" w:ascii="宋体" w:hAnsi="宋体" w:eastAsia="宋体" w:cs="宋体"/>
          <w:color w:val="auto"/>
          <w:sz w:val="24"/>
          <w:szCs w:val="24"/>
          <w:highlight w:val="none"/>
        </w:rPr>
      </w:pPr>
    </w:p>
    <w:p w14:paraId="2A4BF8DA">
      <w:pPr>
        <w:pStyle w:val="16"/>
        <w:rPr>
          <w:rFonts w:hint="eastAsia" w:ascii="宋体" w:hAnsi="宋体" w:eastAsia="宋体" w:cs="宋体"/>
          <w:color w:val="auto"/>
          <w:sz w:val="24"/>
          <w:szCs w:val="24"/>
          <w:highlight w:val="none"/>
        </w:rPr>
      </w:pPr>
    </w:p>
    <w:p w14:paraId="05CBD400">
      <w:pPr>
        <w:rPr>
          <w:rFonts w:hint="eastAsia" w:ascii="宋体" w:hAnsi="宋体" w:eastAsia="宋体" w:cs="宋体"/>
          <w:color w:val="auto"/>
          <w:sz w:val="24"/>
          <w:szCs w:val="24"/>
          <w:highlight w:val="none"/>
        </w:rPr>
      </w:pPr>
    </w:p>
    <w:p w14:paraId="13DEDBA7">
      <w:pPr>
        <w:pStyle w:val="16"/>
        <w:rPr>
          <w:rFonts w:hint="eastAsia" w:ascii="宋体" w:hAnsi="宋体" w:eastAsia="宋体" w:cs="宋体"/>
          <w:color w:val="auto"/>
          <w:sz w:val="24"/>
          <w:szCs w:val="24"/>
          <w:highlight w:val="none"/>
        </w:rPr>
      </w:pPr>
    </w:p>
    <w:p w14:paraId="30EB4778">
      <w:pPr>
        <w:rPr>
          <w:rFonts w:hint="eastAsia" w:ascii="宋体" w:hAnsi="宋体" w:eastAsia="宋体" w:cs="宋体"/>
          <w:color w:val="auto"/>
          <w:sz w:val="24"/>
          <w:szCs w:val="24"/>
          <w:highlight w:val="none"/>
        </w:rPr>
      </w:pPr>
    </w:p>
    <w:p w14:paraId="145405FD">
      <w:pPr>
        <w:pStyle w:val="16"/>
        <w:rPr>
          <w:rFonts w:hint="eastAsia" w:ascii="宋体" w:hAnsi="宋体" w:eastAsia="宋体" w:cs="宋体"/>
          <w:color w:val="auto"/>
          <w:sz w:val="24"/>
          <w:szCs w:val="24"/>
          <w:highlight w:val="none"/>
        </w:rPr>
      </w:pPr>
    </w:p>
    <w:bookmarkEnd w:id="116"/>
    <w:bookmarkEnd w:id="117"/>
    <w:bookmarkEnd w:id="118"/>
    <w:bookmarkEnd w:id="119"/>
    <w:bookmarkEnd w:id="120"/>
    <w:bookmarkEnd w:id="121"/>
    <w:bookmarkEnd w:id="122"/>
    <w:bookmarkEnd w:id="123"/>
    <w:bookmarkEnd w:id="124"/>
    <w:p w14:paraId="0A00AD36">
      <w:pPr>
        <w:pStyle w:val="2"/>
        <w:keepLines w:val="0"/>
        <w:pageBreakBefore w:val="0"/>
        <w:widowControl w:val="0"/>
        <w:shd w:val="clear"/>
        <w:kinsoku/>
        <w:wordWrap/>
        <w:overflowPunct/>
        <w:topLinePunct w:val="0"/>
        <w:autoSpaceDE/>
        <w:autoSpaceDN/>
        <w:bidi w:val="0"/>
        <w:adjustRightInd/>
        <w:spacing w:line="348" w:lineRule="auto"/>
        <w:jc w:val="center"/>
        <w:textAlignment w:val="auto"/>
        <w:outlineLvl w:val="0"/>
        <w:rPr>
          <w:rFonts w:hint="eastAsia" w:ascii="宋体" w:hAnsi="宋体" w:eastAsia="宋体" w:cs="宋体"/>
          <w:b/>
          <w:bCs/>
          <w:color w:val="auto"/>
          <w:sz w:val="44"/>
          <w:highlight w:val="none"/>
        </w:rPr>
      </w:pPr>
      <w:bookmarkStart w:id="175" w:name="_Toc19849"/>
      <w:bookmarkStart w:id="176" w:name="_Toc21554"/>
      <w:r>
        <w:rPr>
          <w:rFonts w:hint="eastAsia" w:ascii="宋体" w:hAnsi="宋体" w:eastAsia="宋体" w:cs="宋体"/>
          <w:b/>
          <w:bCs/>
          <w:color w:val="auto"/>
          <w:sz w:val="36"/>
          <w:szCs w:val="30"/>
          <w:highlight w:val="none"/>
        </w:rPr>
        <w:t>第六篇  合同草案条款和格式合同</w:t>
      </w:r>
      <w:bookmarkEnd w:id="175"/>
      <w:bookmarkEnd w:id="176"/>
    </w:p>
    <w:p w14:paraId="43860601">
      <w:pPr>
        <w:keepLines w:val="0"/>
        <w:pageBreakBefore w:val="0"/>
        <w:widowControl w:val="0"/>
        <w:shd w:val="clear"/>
        <w:kinsoku/>
        <w:wordWrap/>
        <w:overflowPunct/>
        <w:topLinePunct w:val="0"/>
        <w:autoSpaceDE/>
        <w:autoSpaceDN/>
        <w:bidi w:val="0"/>
        <w:adjustRightInd/>
        <w:snapToGrid w:val="0"/>
        <w:spacing w:line="348" w:lineRule="auto"/>
        <w:ind w:firstLine="600" w:firstLineChars="250"/>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一、定义</w:t>
      </w:r>
    </w:p>
    <w:p w14:paraId="469F194E">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（一）甲方（需方）即采购人，是指通过网上竞采，接受合同货物和服务的各级国家机关、事业单位和团体组织。</w:t>
      </w:r>
    </w:p>
    <w:p w14:paraId="03933152">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（二）乙方（供方）即成交供应商，是指成交后提供合同货物和服务的自然人、法人及其他组织。</w:t>
      </w:r>
    </w:p>
    <w:p w14:paraId="3B72695D">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（三）合同是指由甲乙双方按照</w:t>
      </w:r>
      <w:r>
        <w:rPr>
          <w:rFonts w:hint="eastAsia" w:ascii="宋体" w:hAnsi="宋体" w:eastAsia="宋体" w:cs="宋体"/>
          <w:bCs/>
          <w:color w:val="auto"/>
          <w:sz w:val="24"/>
          <w:highlight w:val="none"/>
          <w:lang w:eastAsia="zh-CN"/>
        </w:rPr>
        <w:t>竞争性比选文件</w:t>
      </w:r>
      <w:r>
        <w:rPr>
          <w:rFonts w:hint="eastAsia" w:ascii="宋体" w:hAnsi="宋体" w:eastAsia="宋体" w:cs="宋体"/>
          <w:bCs/>
          <w:color w:val="auto"/>
          <w:sz w:val="24"/>
          <w:highlight w:val="none"/>
        </w:rPr>
        <w:t>和响应文件的实质性内容，通过协商一致达成的书面协议。</w:t>
      </w:r>
    </w:p>
    <w:p w14:paraId="38754B4D">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（四）合同价格指以成交价格为依据，在供方全面履行合同义务后，需方（或财政部门）应支付给供方的金额。</w:t>
      </w:r>
    </w:p>
    <w:p w14:paraId="5447DE36">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二、服务内容</w:t>
      </w:r>
    </w:p>
    <w:p w14:paraId="02DC0064">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合同包括以下内容</w:t>
      </w:r>
      <w:r>
        <w:rPr>
          <w:rFonts w:hint="eastAsia" w:ascii="宋体" w:hAnsi="宋体" w:eastAsia="宋体" w:cs="宋体"/>
          <w:bCs/>
          <w:color w:val="auto"/>
          <w:sz w:val="24"/>
          <w:szCs w:val="22"/>
          <w:highlight w:val="none"/>
        </w:rPr>
        <w:t>：服务名称、服务时间、服务地点、质量要求、服务要求等内容。</w:t>
      </w:r>
    </w:p>
    <w:p w14:paraId="3DCFD0BA">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三、合同价格</w:t>
      </w:r>
    </w:p>
    <w:p w14:paraId="704110BB">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（一）合同价格即合同总价。</w:t>
      </w:r>
    </w:p>
    <w:p w14:paraId="39AAE8E2">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szCs w:val="22"/>
          <w:highlight w:val="none"/>
        </w:rPr>
        <w:t>（二）合同价格包括提供服务所需提供的所有人、财、物、税费等一切费用，所有税费由乙方负担。</w:t>
      </w:r>
    </w:p>
    <w:p w14:paraId="4D8E9862">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（三）合同价格为不变价。</w:t>
      </w:r>
    </w:p>
    <w:p w14:paraId="38D94C63">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四、转包或分包</w:t>
      </w:r>
    </w:p>
    <w:p w14:paraId="1E09C3CA">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（一）本合同范围的服务，应由乙方直接供应，不得转让他人供应；</w:t>
      </w:r>
    </w:p>
    <w:p w14:paraId="6261F8EF">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（二）非经甲方书面同意，乙方不得将本合同范围的服务全部或部分分包给他人供应；</w:t>
      </w:r>
    </w:p>
    <w:p w14:paraId="4201CA4C">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（三）如有转让和未经甲方同意的分包行为，甲方有权解除合同，没收履约保证金并追究乙方的违约责任。</w:t>
      </w:r>
    </w:p>
    <w:p w14:paraId="660CD0F9">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五、质量保证及售后服务</w:t>
      </w:r>
    </w:p>
    <w:p w14:paraId="5BF4D899">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（一）乙方应按</w:t>
      </w:r>
      <w:r>
        <w:rPr>
          <w:rFonts w:hint="eastAsia" w:ascii="宋体" w:hAnsi="宋体" w:eastAsia="宋体" w:cs="宋体"/>
          <w:bCs/>
          <w:color w:val="auto"/>
          <w:sz w:val="24"/>
          <w:szCs w:val="22"/>
          <w:highlight w:val="none"/>
          <w:lang w:eastAsia="zh-CN"/>
        </w:rPr>
        <w:t>竞争性比选文件</w:t>
      </w:r>
      <w:r>
        <w:rPr>
          <w:rFonts w:hint="eastAsia" w:ascii="宋体" w:hAnsi="宋体" w:eastAsia="宋体" w:cs="宋体"/>
          <w:bCs/>
          <w:color w:val="auto"/>
          <w:sz w:val="24"/>
          <w:szCs w:val="22"/>
          <w:highlight w:val="none"/>
        </w:rPr>
        <w:t>规定的服务要求、质量标准向甲方保质保量的提供服务。</w:t>
      </w:r>
    </w:p>
    <w:p w14:paraId="6A8E91C5">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（二）乙方提供的服务如果存在质量问题，乙方应负责更正。对达不到服务要求者，根据实际情况，经双方协商，可按以下办法处理：</w:t>
      </w:r>
    </w:p>
    <w:p w14:paraId="46AC8E6C">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1.重做：由乙方承担所发生的全部费用。</w:t>
      </w:r>
    </w:p>
    <w:p w14:paraId="1ACEF41B">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2.乙方应对服务过程中出现的安全问题负责处理解决并承担一切费用。</w:t>
      </w:r>
    </w:p>
    <w:p w14:paraId="2068618C">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（三）如在使用过程中发生质量问题，乙方应同本项目“第三篇 采购项目商务需求”对</w:t>
      </w:r>
      <w:r>
        <w:rPr>
          <w:rFonts w:hint="eastAsia" w:ascii="宋体" w:hAnsi="宋体" w:eastAsia="宋体" w:cs="宋体"/>
          <w:color w:val="auto"/>
          <w:sz w:val="24"/>
          <w:szCs w:val="24"/>
          <w:highlight w:val="none"/>
        </w:rPr>
        <w:t>质量保证期及售后服务</w:t>
      </w:r>
      <w:r>
        <w:rPr>
          <w:rFonts w:hint="eastAsia" w:ascii="宋体" w:hAnsi="宋体" w:eastAsia="宋体" w:cs="宋体"/>
          <w:bCs/>
          <w:color w:val="auto"/>
          <w:sz w:val="24"/>
          <w:highlight w:val="none"/>
        </w:rPr>
        <w:t>内容的约定。</w:t>
      </w:r>
    </w:p>
    <w:p w14:paraId="3B81DE17">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（四）在质保期内，乙方应对货物或服务出现的质量及安全问题负责处理解决并承担一切费用。</w:t>
      </w:r>
    </w:p>
    <w:p w14:paraId="19B1FB02">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六、付款</w:t>
      </w:r>
    </w:p>
    <w:p w14:paraId="6ED4A58E">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（一）本合同使用货币币制如未作特别说明均为人民币。</w:t>
      </w:r>
    </w:p>
    <w:p w14:paraId="59825300">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（二）付款方式：银行转账、现金支票。</w:t>
      </w:r>
    </w:p>
    <w:p w14:paraId="5FE33A96">
      <w:pPr>
        <w:keepLines w:val="0"/>
        <w:pageBreakBefore w:val="0"/>
        <w:widowControl w:val="0"/>
        <w:shd w:val="clear"/>
        <w:kinsoku/>
        <w:wordWrap/>
        <w:overflowPunct/>
        <w:topLinePunct w:val="0"/>
        <w:autoSpaceDE/>
        <w:autoSpaceDN/>
        <w:bidi w:val="0"/>
        <w:adjustRightInd/>
        <w:snapToGrid w:val="0"/>
        <w:spacing w:line="348" w:lineRule="auto"/>
        <w:ind w:firstLine="360" w:firstLineChars="150"/>
        <w:jc w:val="left"/>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（三）付款方法：同本项目“第三篇 项目商务需求”中关于付款方式的约定。</w:t>
      </w:r>
    </w:p>
    <w:p w14:paraId="61B83843">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七、检查验收</w:t>
      </w:r>
    </w:p>
    <w:p w14:paraId="7D314159">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（一）供方所供服务的各种指标不得低于</w:t>
      </w:r>
      <w:r>
        <w:rPr>
          <w:rFonts w:hint="eastAsia" w:ascii="宋体" w:hAnsi="宋体" w:eastAsia="宋体" w:cs="宋体"/>
          <w:bCs/>
          <w:color w:val="auto"/>
          <w:sz w:val="24"/>
          <w:szCs w:val="22"/>
          <w:highlight w:val="none"/>
          <w:lang w:eastAsia="zh-CN"/>
        </w:rPr>
        <w:t>竞争性比选文件</w:t>
      </w:r>
      <w:r>
        <w:rPr>
          <w:rFonts w:hint="eastAsia" w:ascii="宋体" w:hAnsi="宋体" w:eastAsia="宋体" w:cs="宋体"/>
          <w:bCs/>
          <w:color w:val="auto"/>
          <w:sz w:val="24"/>
          <w:szCs w:val="22"/>
          <w:highlight w:val="none"/>
        </w:rPr>
        <w:t>和响应文件的约定，服务质量要求按照</w:t>
      </w:r>
      <w:r>
        <w:rPr>
          <w:rFonts w:hint="eastAsia" w:ascii="宋体" w:hAnsi="宋体" w:eastAsia="宋体" w:cs="宋体"/>
          <w:bCs/>
          <w:color w:val="auto"/>
          <w:sz w:val="24"/>
          <w:szCs w:val="22"/>
          <w:highlight w:val="none"/>
          <w:lang w:eastAsia="zh-CN"/>
        </w:rPr>
        <w:t>竞争性比选文件</w:t>
      </w:r>
      <w:r>
        <w:rPr>
          <w:rFonts w:hint="eastAsia" w:ascii="宋体" w:hAnsi="宋体" w:eastAsia="宋体" w:cs="宋体"/>
          <w:bCs/>
          <w:color w:val="auto"/>
          <w:sz w:val="24"/>
          <w:szCs w:val="22"/>
          <w:highlight w:val="none"/>
        </w:rPr>
        <w:t>和响应文件的内容执行。</w:t>
      </w:r>
    </w:p>
    <w:p w14:paraId="46E30408">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（二）验收报告应由需方、供方经办人签字，并加盖双方公章，以此作为支付凭据。</w:t>
      </w:r>
    </w:p>
    <w:p w14:paraId="16F998B7">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八、索赔</w:t>
      </w:r>
    </w:p>
    <w:p w14:paraId="38092930">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供方对所提供服务与合同要求不符负有责任，并且需方提出索赔，供方应按需方同意的下述一种或多种方法解决索赔事宜。</w:t>
      </w:r>
    </w:p>
    <w:p w14:paraId="1276B0CC">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（一）供方同意需方拒绝服务并把拒绝部分的金额以合同规定的同类货币付给需方，供方负担发生的一切损失和费用。</w:t>
      </w:r>
    </w:p>
    <w:p w14:paraId="1D77513F">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（二）根据服务的疵劣和受损程度以及需方遭受损失的金额，经双方同意降低服务价格。</w:t>
      </w:r>
    </w:p>
    <w:p w14:paraId="2574B695">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1"/>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九、知识产权</w:t>
      </w:r>
    </w:p>
    <w:p w14:paraId="7F092CDD">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szCs w:val="22"/>
          <w:highlight w:val="none"/>
        </w:rPr>
        <w:t>（一）甲方在中华人民共和国境内使用</w:t>
      </w:r>
      <w:r>
        <w:rPr>
          <w:rFonts w:hint="eastAsia" w:ascii="宋体" w:hAnsi="宋体" w:eastAsia="宋体" w:cs="宋体"/>
          <w:bCs/>
          <w:color w:val="auto"/>
          <w:sz w:val="24"/>
          <w:highlight w:val="none"/>
        </w:rPr>
        <w:t>乙方提供的货物及服务时免受第三方提出的侵犯其专利权或其它知识产权的起诉。如果第三方提出侵权指控，乙方承担由此而引起的一切法律责任和费用。</w:t>
      </w:r>
    </w:p>
    <w:p w14:paraId="19DBF89F">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（二）若涉及软件开发等服务类项目知识产权的，知识产权归采购人所有。</w:t>
      </w:r>
    </w:p>
    <w:p w14:paraId="2F1495D3">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十、合同争议的解决</w:t>
      </w:r>
    </w:p>
    <w:p w14:paraId="6104713C">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（一）当事人友好协商达成一致</w:t>
      </w:r>
    </w:p>
    <w:p w14:paraId="389B7F5A">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（二）在60天内当事人协商不能达成协议的，可提请采购人当地仲裁机构仲裁。</w:t>
      </w:r>
    </w:p>
    <w:p w14:paraId="6CB065B6">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十一、违约责任</w:t>
      </w:r>
    </w:p>
    <w:p w14:paraId="0DA7DC93">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按《中华人民共和国民法典》、《中华人民共和国政府采购法》有关条款，或由供需双方约定。</w:t>
      </w:r>
    </w:p>
    <w:p w14:paraId="484F3B2C">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1"/>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十二、合同生效及其它</w:t>
      </w:r>
    </w:p>
    <w:p w14:paraId="726A6C3F">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（一）合同生效及其效力应符合《中华人民共和国民法典》有关规定。</w:t>
      </w:r>
    </w:p>
    <w:p w14:paraId="15DA8F3B">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（二）合同应经当事人法定代表人或委托代理人签字，加盖双方合同专用章或公章。</w:t>
      </w:r>
    </w:p>
    <w:p w14:paraId="318ED9A8">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（三）合同所包括附件，是合同不可分割的一部分，具有同等法法律效力。</w:t>
      </w:r>
    </w:p>
    <w:p w14:paraId="29AFFD52">
      <w:pPr>
        <w:keepLines w:val="0"/>
        <w:pageBreakBefore w:val="0"/>
        <w:widowControl w:val="0"/>
        <w:shd w:val="clear"/>
        <w:kinsoku/>
        <w:wordWrap/>
        <w:overflowPunct/>
        <w:topLinePunct w:val="0"/>
        <w:autoSpaceDE/>
        <w:autoSpaceDN/>
        <w:bidi w:val="0"/>
        <w:adjustRightInd/>
        <w:snapToGrid w:val="0"/>
        <w:spacing w:line="348" w:lineRule="auto"/>
        <w:ind w:firstLine="360" w:firstLineChars="15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（四）合同需提供担保的，按《中华人民共和国担保法》规定执行。</w:t>
      </w:r>
    </w:p>
    <w:p w14:paraId="0C7081A5">
      <w:pPr>
        <w:keepLines w:val="0"/>
        <w:pageBreakBefore w:val="0"/>
        <w:widowControl w:val="0"/>
        <w:shd w:val="clear"/>
        <w:kinsoku/>
        <w:wordWrap/>
        <w:overflowPunct/>
        <w:topLinePunct w:val="0"/>
        <w:autoSpaceDE/>
        <w:autoSpaceDN/>
        <w:bidi w:val="0"/>
        <w:adjustRightInd/>
        <w:spacing w:line="348" w:lineRule="auto"/>
        <w:jc w:val="center"/>
        <w:textAlignment w:val="auto"/>
        <w:outlineLvl w:val="9"/>
        <w:rPr>
          <w:rFonts w:hint="eastAsia" w:ascii="宋体" w:hAnsi="宋体" w:eastAsia="宋体" w:cs="宋体"/>
          <w:b w:val="0"/>
          <w:color w:val="auto"/>
          <w:szCs w:val="32"/>
          <w:highlight w:val="none"/>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（五）本合同条件未尽事宜依照《中华人民共和国民法典》，由供需双方共同协商确定。</w:t>
      </w:r>
    </w:p>
    <w:p w14:paraId="5A04D8D3">
      <w:pPr>
        <w:shd w:val="clear"/>
        <w:rPr>
          <w:rFonts w:hint="eastAsia" w:ascii="宋体" w:hAnsi="宋体" w:eastAsia="宋体" w:cs="宋体"/>
          <w:color w:val="auto"/>
          <w:highlight w:val="none"/>
        </w:rPr>
      </w:pPr>
      <w:bookmarkStart w:id="177" w:name="_Toc303945820"/>
      <w:bookmarkStart w:id="178" w:name="_Toc148265480"/>
      <w:r>
        <w:rPr>
          <w:rFonts w:hint="eastAsia" w:ascii="宋体" w:hAnsi="宋体" w:eastAsia="宋体" w:cs="宋体"/>
          <w:color w:val="auto"/>
          <w:sz w:val="24"/>
          <w:highlight w:val="none"/>
        </w:rPr>
        <w:t>附页：合同格式</w:t>
      </w:r>
      <w:bookmarkEnd w:id="177"/>
      <w:bookmarkEnd w:id="178"/>
    </w:p>
    <w:p w14:paraId="1256159B">
      <w:pPr>
        <w:shd w:val="clear"/>
        <w:spacing w:line="500" w:lineRule="exact"/>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服务</w:t>
      </w:r>
      <w:r>
        <w:rPr>
          <w:rFonts w:hint="eastAsia" w:ascii="宋体" w:hAnsi="宋体" w:eastAsia="宋体" w:cs="宋体"/>
          <w:b/>
          <w:color w:val="auto"/>
          <w:sz w:val="32"/>
          <w:szCs w:val="32"/>
          <w:highlight w:val="none"/>
        </w:rPr>
        <w:t>合同</w:t>
      </w:r>
    </w:p>
    <w:p w14:paraId="0A793068">
      <w:pPr>
        <w:shd w:val="clear"/>
        <w:spacing w:line="500" w:lineRule="exact"/>
        <w:rPr>
          <w:rFonts w:hint="eastAsia" w:ascii="宋体" w:hAnsi="宋体" w:eastAsia="宋体" w:cs="宋体"/>
          <w:color w:val="auto"/>
          <w:sz w:val="24"/>
          <w:highlight w:val="none"/>
        </w:rPr>
      </w:pPr>
    </w:p>
    <w:p w14:paraId="09F8A049">
      <w:pPr>
        <w:shd w:val="clea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6B00FE69">
      <w:pPr>
        <w:shd w:val="clea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22F270BD">
      <w:pPr>
        <w:shd w:val="clear"/>
        <w:spacing w:line="500" w:lineRule="exact"/>
        <w:rPr>
          <w:rFonts w:hint="eastAsia" w:ascii="宋体" w:hAnsi="宋体" w:eastAsia="宋体" w:cs="宋体"/>
          <w:color w:val="auto"/>
          <w:sz w:val="24"/>
          <w:highlight w:val="none"/>
        </w:rPr>
      </w:pPr>
    </w:p>
    <w:p w14:paraId="11720307">
      <w:pPr>
        <w:shd w:val="clea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00AA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vAlign w:val="center"/>
          </w:tcPr>
          <w:p w14:paraId="2DBD3441">
            <w:pPr>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2529" w:type="dxa"/>
            <w:vAlign w:val="center"/>
          </w:tcPr>
          <w:p w14:paraId="1DA62188">
            <w:pPr>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98" w:type="dxa"/>
            <w:gridSpan w:val="2"/>
            <w:vAlign w:val="center"/>
          </w:tcPr>
          <w:p w14:paraId="6F304DD6">
            <w:pPr>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tc>
        <w:tc>
          <w:tcPr>
            <w:tcW w:w="1134" w:type="dxa"/>
            <w:vAlign w:val="center"/>
          </w:tcPr>
          <w:p w14:paraId="71DA4DC4">
            <w:pPr>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559" w:type="dxa"/>
            <w:vAlign w:val="center"/>
          </w:tcPr>
          <w:p w14:paraId="57260047">
            <w:pPr>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服务时间</w:t>
            </w:r>
          </w:p>
        </w:tc>
        <w:tc>
          <w:tcPr>
            <w:tcW w:w="1567" w:type="dxa"/>
            <w:vAlign w:val="center"/>
          </w:tcPr>
          <w:p w14:paraId="6E1A9775">
            <w:pPr>
              <w:shd w:val="clear"/>
              <w:spacing w:line="24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p>
        </w:tc>
      </w:tr>
      <w:tr w14:paraId="50A40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F7B7DF2">
            <w:pPr>
              <w:shd w:val="clear"/>
              <w:spacing w:line="240" w:lineRule="atLeast"/>
              <w:jc w:val="center"/>
              <w:rPr>
                <w:rFonts w:hint="eastAsia" w:ascii="宋体" w:hAnsi="宋体" w:eastAsia="宋体" w:cs="宋体"/>
                <w:color w:val="auto"/>
                <w:sz w:val="24"/>
                <w:szCs w:val="24"/>
                <w:highlight w:val="none"/>
              </w:rPr>
            </w:pPr>
          </w:p>
        </w:tc>
        <w:tc>
          <w:tcPr>
            <w:tcW w:w="2529" w:type="dxa"/>
            <w:vAlign w:val="center"/>
          </w:tcPr>
          <w:p w14:paraId="39769A63">
            <w:pPr>
              <w:shd w:val="clea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39C86231">
            <w:pPr>
              <w:shd w:val="clear"/>
              <w:spacing w:line="240" w:lineRule="atLeast"/>
              <w:jc w:val="center"/>
              <w:rPr>
                <w:rFonts w:hint="eastAsia" w:ascii="宋体" w:hAnsi="宋体" w:eastAsia="宋体" w:cs="宋体"/>
                <w:color w:val="auto"/>
                <w:sz w:val="24"/>
                <w:szCs w:val="24"/>
                <w:highlight w:val="none"/>
              </w:rPr>
            </w:pPr>
          </w:p>
        </w:tc>
        <w:tc>
          <w:tcPr>
            <w:tcW w:w="1134" w:type="dxa"/>
            <w:vAlign w:val="center"/>
          </w:tcPr>
          <w:p w14:paraId="06EF4CD4">
            <w:pPr>
              <w:shd w:val="clear"/>
              <w:spacing w:line="240" w:lineRule="atLeast"/>
              <w:jc w:val="center"/>
              <w:rPr>
                <w:rFonts w:hint="eastAsia" w:ascii="宋体" w:hAnsi="宋体" w:eastAsia="宋体" w:cs="宋体"/>
                <w:color w:val="auto"/>
                <w:sz w:val="24"/>
                <w:szCs w:val="24"/>
                <w:highlight w:val="none"/>
              </w:rPr>
            </w:pPr>
          </w:p>
        </w:tc>
        <w:tc>
          <w:tcPr>
            <w:tcW w:w="1559" w:type="dxa"/>
            <w:vAlign w:val="center"/>
          </w:tcPr>
          <w:p w14:paraId="6B8B797C">
            <w:pPr>
              <w:shd w:val="clear"/>
              <w:spacing w:line="240" w:lineRule="atLeast"/>
              <w:jc w:val="center"/>
              <w:rPr>
                <w:rFonts w:hint="eastAsia" w:ascii="宋体" w:hAnsi="宋体" w:eastAsia="宋体" w:cs="宋体"/>
                <w:color w:val="auto"/>
                <w:sz w:val="24"/>
                <w:szCs w:val="24"/>
                <w:highlight w:val="none"/>
              </w:rPr>
            </w:pPr>
          </w:p>
        </w:tc>
        <w:tc>
          <w:tcPr>
            <w:tcW w:w="1567" w:type="dxa"/>
            <w:vAlign w:val="center"/>
          </w:tcPr>
          <w:p w14:paraId="3D89BE14">
            <w:pPr>
              <w:shd w:val="clear"/>
              <w:spacing w:line="240" w:lineRule="atLeast"/>
              <w:jc w:val="center"/>
              <w:rPr>
                <w:rFonts w:hint="eastAsia" w:ascii="宋体" w:hAnsi="宋体" w:eastAsia="宋体" w:cs="宋体"/>
                <w:color w:val="auto"/>
                <w:sz w:val="24"/>
                <w:szCs w:val="24"/>
                <w:highlight w:val="none"/>
              </w:rPr>
            </w:pPr>
          </w:p>
        </w:tc>
      </w:tr>
      <w:tr w14:paraId="0C16D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9D1C2A4">
            <w:pPr>
              <w:shd w:val="clear"/>
              <w:spacing w:line="240" w:lineRule="atLeast"/>
              <w:jc w:val="center"/>
              <w:rPr>
                <w:rFonts w:hint="eastAsia" w:ascii="宋体" w:hAnsi="宋体" w:eastAsia="宋体" w:cs="宋体"/>
                <w:color w:val="auto"/>
                <w:sz w:val="24"/>
                <w:szCs w:val="24"/>
                <w:highlight w:val="none"/>
              </w:rPr>
            </w:pPr>
          </w:p>
        </w:tc>
        <w:tc>
          <w:tcPr>
            <w:tcW w:w="2529" w:type="dxa"/>
            <w:vAlign w:val="center"/>
          </w:tcPr>
          <w:p w14:paraId="42A6B953">
            <w:pPr>
              <w:shd w:val="clea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00081493">
            <w:pPr>
              <w:shd w:val="clear"/>
              <w:spacing w:line="240" w:lineRule="atLeast"/>
              <w:jc w:val="center"/>
              <w:rPr>
                <w:rFonts w:hint="eastAsia" w:ascii="宋体" w:hAnsi="宋体" w:eastAsia="宋体" w:cs="宋体"/>
                <w:color w:val="auto"/>
                <w:sz w:val="24"/>
                <w:szCs w:val="24"/>
                <w:highlight w:val="none"/>
              </w:rPr>
            </w:pPr>
          </w:p>
        </w:tc>
        <w:tc>
          <w:tcPr>
            <w:tcW w:w="1134" w:type="dxa"/>
            <w:vAlign w:val="center"/>
          </w:tcPr>
          <w:p w14:paraId="30977332">
            <w:pPr>
              <w:shd w:val="clear"/>
              <w:spacing w:line="240" w:lineRule="atLeast"/>
              <w:jc w:val="center"/>
              <w:rPr>
                <w:rFonts w:hint="eastAsia" w:ascii="宋体" w:hAnsi="宋体" w:eastAsia="宋体" w:cs="宋体"/>
                <w:color w:val="auto"/>
                <w:sz w:val="24"/>
                <w:szCs w:val="24"/>
                <w:highlight w:val="none"/>
              </w:rPr>
            </w:pPr>
          </w:p>
        </w:tc>
        <w:tc>
          <w:tcPr>
            <w:tcW w:w="1559" w:type="dxa"/>
            <w:vAlign w:val="center"/>
          </w:tcPr>
          <w:p w14:paraId="0057CAEB">
            <w:pPr>
              <w:shd w:val="clear"/>
              <w:spacing w:line="240" w:lineRule="atLeast"/>
              <w:jc w:val="center"/>
              <w:rPr>
                <w:rFonts w:hint="eastAsia" w:ascii="宋体" w:hAnsi="宋体" w:eastAsia="宋体" w:cs="宋体"/>
                <w:color w:val="auto"/>
                <w:sz w:val="24"/>
                <w:szCs w:val="24"/>
                <w:highlight w:val="none"/>
              </w:rPr>
            </w:pPr>
          </w:p>
        </w:tc>
        <w:tc>
          <w:tcPr>
            <w:tcW w:w="1567" w:type="dxa"/>
            <w:vAlign w:val="center"/>
          </w:tcPr>
          <w:p w14:paraId="323D9DCC">
            <w:pPr>
              <w:shd w:val="clear"/>
              <w:spacing w:line="240" w:lineRule="atLeast"/>
              <w:jc w:val="center"/>
              <w:rPr>
                <w:rFonts w:hint="eastAsia" w:ascii="宋体" w:hAnsi="宋体" w:eastAsia="宋体" w:cs="宋体"/>
                <w:color w:val="auto"/>
                <w:sz w:val="24"/>
                <w:szCs w:val="24"/>
                <w:highlight w:val="none"/>
              </w:rPr>
            </w:pPr>
          </w:p>
        </w:tc>
      </w:tr>
      <w:tr w14:paraId="7BA9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563746D3">
            <w:pPr>
              <w:shd w:val="clear"/>
              <w:spacing w:line="240" w:lineRule="atLeast"/>
              <w:jc w:val="center"/>
              <w:rPr>
                <w:rFonts w:hint="eastAsia" w:ascii="宋体" w:hAnsi="宋体" w:eastAsia="宋体" w:cs="宋体"/>
                <w:color w:val="auto"/>
                <w:sz w:val="24"/>
                <w:szCs w:val="24"/>
                <w:highlight w:val="none"/>
              </w:rPr>
            </w:pPr>
          </w:p>
        </w:tc>
        <w:tc>
          <w:tcPr>
            <w:tcW w:w="2529" w:type="dxa"/>
            <w:vAlign w:val="center"/>
          </w:tcPr>
          <w:p w14:paraId="26AF934F">
            <w:pPr>
              <w:shd w:val="clea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17B71C17">
            <w:pPr>
              <w:shd w:val="clear"/>
              <w:spacing w:line="240" w:lineRule="atLeast"/>
              <w:jc w:val="center"/>
              <w:rPr>
                <w:rFonts w:hint="eastAsia" w:ascii="宋体" w:hAnsi="宋体" w:eastAsia="宋体" w:cs="宋体"/>
                <w:color w:val="auto"/>
                <w:sz w:val="24"/>
                <w:szCs w:val="24"/>
                <w:highlight w:val="none"/>
              </w:rPr>
            </w:pPr>
          </w:p>
        </w:tc>
        <w:tc>
          <w:tcPr>
            <w:tcW w:w="1134" w:type="dxa"/>
            <w:vAlign w:val="center"/>
          </w:tcPr>
          <w:p w14:paraId="6F23BDEA">
            <w:pPr>
              <w:shd w:val="clear"/>
              <w:spacing w:line="240" w:lineRule="atLeast"/>
              <w:jc w:val="center"/>
              <w:rPr>
                <w:rFonts w:hint="eastAsia" w:ascii="宋体" w:hAnsi="宋体" w:eastAsia="宋体" w:cs="宋体"/>
                <w:color w:val="auto"/>
                <w:sz w:val="24"/>
                <w:szCs w:val="24"/>
                <w:highlight w:val="none"/>
              </w:rPr>
            </w:pPr>
          </w:p>
        </w:tc>
        <w:tc>
          <w:tcPr>
            <w:tcW w:w="1559" w:type="dxa"/>
            <w:vAlign w:val="center"/>
          </w:tcPr>
          <w:p w14:paraId="42AD8A78">
            <w:pPr>
              <w:shd w:val="clear"/>
              <w:spacing w:line="240" w:lineRule="atLeast"/>
              <w:jc w:val="center"/>
              <w:rPr>
                <w:rFonts w:hint="eastAsia" w:ascii="宋体" w:hAnsi="宋体" w:eastAsia="宋体" w:cs="宋体"/>
                <w:color w:val="auto"/>
                <w:sz w:val="24"/>
                <w:szCs w:val="24"/>
                <w:highlight w:val="none"/>
              </w:rPr>
            </w:pPr>
          </w:p>
        </w:tc>
        <w:tc>
          <w:tcPr>
            <w:tcW w:w="1567" w:type="dxa"/>
            <w:vAlign w:val="center"/>
          </w:tcPr>
          <w:p w14:paraId="78AA4F1F">
            <w:pPr>
              <w:shd w:val="clear"/>
              <w:spacing w:line="240" w:lineRule="atLeast"/>
              <w:jc w:val="center"/>
              <w:rPr>
                <w:rFonts w:hint="eastAsia" w:ascii="宋体" w:hAnsi="宋体" w:eastAsia="宋体" w:cs="宋体"/>
                <w:color w:val="auto"/>
                <w:sz w:val="24"/>
                <w:szCs w:val="24"/>
                <w:highlight w:val="none"/>
              </w:rPr>
            </w:pPr>
          </w:p>
        </w:tc>
      </w:tr>
      <w:tr w14:paraId="72BE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7FFBD90D">
            <w:pPr>
              <w:shd w:val="clear"/>
              <w:spacing w:line="240" w:lineRule="atLeast"/>
              <w:jc w:val="center"/>
              <w:rPr>
                <w:rFonts w:hint="eastAsia" w:ascii="宋体" w:hAnsi="宋体" w:eastAsia="宋体" w:cs="宋体"/>
                <w:color w:val="auto"/>
                <w:sz w:val="24"/>
                <w:szCs w:val="24"/>
                <w:highlight w:val="none"/>
              </w:rPr>
            </w:pPr>
          </w:p>
        </w:tc>
        <w:tc>
          <w:tcPr>
            <w:tcW w:w="2529" w:type="dxa"/>
            <w:vAlign w:val="center"/>
          </w:tcPr>
          <w:p w14:paraId="52528D5C">
            <w:pPr>
              <w:shd w:val="clea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232E55B0">
            <w:pPr>
              <w:shd w:val="clear"/>
              <w:spacing w:line="240" w:lineRule="atLeast"/>
              <w:jc w:val="center"/>
              <w:rPr>
                <w:rFonts w:hint="eastAsia" w:ascii="宋体" w:hAnsi="宋体" w:eastAsia="宋体" w:cs="宋体"/>
                <w:color w:val="auto"/>
                <w:sz w:val="24"/>
                <w:szCs w:val="24"/>
                <w:highlight w:val="none"/>
              </w:rPr>
            </w:pPr>
          </w:p>
        </w:tc>
        <w:tc>
          <w:tcPr>
            <w:tcW w:w="1134" w:type="dxa"/>
            <w:vAlign w:val="center"/>
          </w:tcPr>
          <w:p w14:paraId="53529738">
            <w:pPr>
              <w:shd w:val="clear"/>
              <w:spacing w:line="240" w:lineRule="atLeast"/>
              <w:jc w:val="center"/>
              <w:rPr>
                <w:rFonts w:hint="eastAsia" w:ascii="宋体" w:hAnsi="宋体" w:eastAsia="宋体" w:cs="宋体"/>
                <w:color w:val="auto"/>
                <w:sz w:val="24"/>
                <w:szCs w:val="24"/>
                <w:highlight w:val="none"/>
              </w:rPr>
            </w:pPr>
          </w:p>
        </w:tc>
        <w:tc>
          <w:tcPr>
            <w:tcW w:w="1559" w:type="dxa"/>
            <w:vAlign w:val="center"/>
          </w:tcPr>
          <w:p w14:paraId="055C0ED7">
            <w:pPr>
              <w:shd w:val="clear"/>
              <w:spacing w:line="240" w:lineRule="atLeast"/>
              <w:jc w:val="center"/>
              <w:rPr>
                <w:rFonts w:hint="eastAsia" w:ascii="宋体" w:hAnsi="宋体" w:eastAsia="宋体" w:cs="宋体"/>
                <w:color w:val="auto"/>
                <w:sz w:val="24"/>
                <w:szCs w:val="24"/>
                <w:highlight w:val="none"/>
              </w:rPr>
            </w:pPr>
          </w:p>
        </w:tc>
        <w:tc>
          <w:tcPr>
            <w:tcW w:w="1567" w:type="dxa"/>
            <w:vAlign w:val="center"/>
          </w:tcPr>
          <w:p w14:paraId="32BE1C90">
            <w:pPr>
              <w:shd w:val="clear"/>
              <w:spacing w:line="240" w:lineRule="atLeast"/>
              <w:jc w:val="center"/>
              <w:rPr>
                <w:rFonts w:hint="eastAsia" w:ascii="宋体" w:hAnsi="宋体" w:eastAsia="宋体" w:cs="宋体"/>
                <w:color w:val="auto"/>
                <w:sz w:val="24"/>
                <w:szCs w:val="24"/>
                <w:highlight w:val="none"/>
              </w:rPr>
            </w:pPr>
          </w:p>
        </w:tc>
      </w:tr>
      <w:tr w14:paraId="21CD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3ABEE006">
            <w:pPr>
              <w:shd w:val="clear"/>
              <w:spacing w:line="240" w:lineRule="atLeast"/>
              <w:jc w:val="center"/>
              <w:rPr>
                <w:rFonts w:hint="eastAsia" w:ascii="宋体" w:hAnsi="宋体" w:eastAsia="宋体" w:cs="宋体"/>
                <w:color w:val="auto"/>
                <w:sz w:val="24"/>
                <w:szCs w:val="24"/>
                <w:highlight w:val="none"/>
              </w:rPr>
            </w:pPr>
          </w:p>
        </w:tc>
        <w:tc>
          <w:tcPr>
            <w:tcW w:w="2529" w:type="dxa"/>
            <w:vAlign w:val="center"/>
          </w:tcPr>
          <w:p w14:paraId="7B0BB3B8">
            <w:pPr>
              <w:shd w:val="clea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045437BA">
            <w:pPr>
              <w:shd w:val="clear"/>
              <w:spacing w:line="240" w:lineRule="atLeast"/>
              <w:jc w:val="center"/>
              <w:rPr>
                <w:rFonts w:hint="eastAsia" w:ascii="宋体" w:hAnsi="宋体" w:eastAsia="宋体" w:cs="宋体"/>
                <w:color w:val="auto"/>
                <w:sz w:val="24"/>
                <w:szCs w:val="24"/>
                <w:highlight w:val="none"/>
              </w:rPr>
            </w:pPr>
          </w:p>
        </w:tc>
        <w:tc>
          <w:tcPr>
            <w:tcW w:w="1134" w:type="dxa"/>
            <w:vAlign w:val="center"/>
          </w:tcPr>
          <w:p w14:paraId="1A65CD78">
            <w:pPr>
              <w:shd w:val="clear"/>
              <w:spacing w:line="240" w:lineRule="atLeast"/>
              <w:jc w:val="center"/>
              <w:rPr>
                <w:rFonts w:hint="eastAsia" w:ascii="宋体" w:hAnsi="宋体" w:eastAsia="宋体" w:cs="宋体"/>
                <w:color w:val="auto"/>
                <w:sz w:val="24"/>
                <w:szCs w:val="24"/>
                <w:highlight w:val="none"/>
              </w:rPr>
            </w:pPr>
          </w:p>
        </w:tc>
        <w:tc>
          <w:tcPr>
            <w:tcW w:w="1559" w:type="dxa"/>
            <w:vAlign w:val="center"/>
          </w:tcPr>
          <w:p w14:paraId="4EEF07B0">
            <w:pPr>
              <w:shd w:val="clear"/>
              <w:spacing w:line="240" w:lineRule="atLeast"/>
              <w:jc w:val="center"/>
              <w:rPr>
                <w:rFonts w:hint="eastAsia" w:ascii="宋体" w:hAnsi="宋体" w:eastAsia="宋体" w:cs="宋体"/>
                <w:color w:val="auto"/>
                <w:sz w:val="24"/>
                <w:szCs w:val="24"/>
                <w:highlight w:val="none"/>
              </w:rPr>
            </w:pPr>
          </w:p>
        </w:tc>
        <w:tc>
          <w:tcPr>
            <w:tcW w:w="1567" w:type="dxa"/>
            <w:vAlign w:val="center"/>
          </w:tcPr>
          <w:p w14:paraId="4D708B6E">
            <w:pPr>
              <w:shd w:val="clear"/>
              <w:spacing w:line="240" w:lineRule="atLeast"/>
              <w:jc w:val="center"/>
              <w:rPr>
                <w:rFonts w:hint="eastAsia" w:ascii="宋体" w:hAnsi="宋体" w:eastAsia="宋体" w:cs="宋体"/>
                <w:color w:val="auto"/>
                <w:sz w:val="24"/>
                <w:szCs w:val="24"/>
                <w:highlight w:val="none"/>
              </w:rPr>
            </w:pPr>
          </w:p>
        </w:tc>
      </w:tr>
      <w:tr w14:paraId="1ACC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0F4B526B">
            <w:pPr>
              <w:shd w:val="clear"/>
              <w:spacing w:line="240" w:lineRule="atLeast"/>
              <w:jc w:val="center"/>
              <w:rPr>
                <w:rFonts w:hint="eastAsia" w:ascii="宋体" w:hAnsi="宋体" w:eastAsia="宋体" w:cs="宋体"/>
                <w:color w:val="auto"/>
                <w:sz w:val="24"/>
                <w:szCs w:val="24"/>
                <w:highlight w:val="none"/>
              </w:rPr>
            </w:pPr>
          </w:p>
        </w:tc>
        <w:tc>
          <w:tcPr>
            <w:tcW w:w="2529" w:type="dxa"/>
            <w:vAlign w:val="center"/>
          </w:tcPr>
          <w:p w14:paraId="3E535B94">
            <w:pPr>
              <w:shd w:val="clea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324A2172">
            <w:pPr>
              <w:shd w:val="clear"/>
              <w:spacing w:line="240" w:lineRule="atLeast"/>
              <w:jc w:val="center"/>
              <w:rPr>
                <w:rFonts w:hint="eastAsia" w:ascii="宋体" w:hAnsi="宋体" w:eastAsia="宋体" w:cs="宋体"/>
                <w:color w:val="auto"/>
                <w:sz w:val="24"/>
                <w:szCs w:val="24"/>
                <w:highlight w:val="none"/>
              </w:rPr>
            </w:pPr>
          </w:p>
        </w:tc>
        <w:tc>
          <w:tcPr>
            <w:tcW w:w="1134" w:type="dxa"/>
            <w:vAlign w:val="center"/>
          </w:tcPr>
          <w:p w14:paraId="4DF189F2">
            <w:pPr>
              <w:shd w:val="clear"/>
              <w:spacing w:line="240" w:lineRule="atLeast"/>
              <w:jc w:val="center"/>
              <w:rPr>
                <w:rFonts w:hint="eastAsia" w:ascii="宋体" w:hAnsi="宋体" w:eastAsia="宋体" w:cs="宋体"/>
                <w:color w:val="auto"/>
                <w:sz w:val="24"/>
                <w:szCs w:val="24"/>
                <w:highlight w:val="none"/>
              </w:rPr>
            </w:pPr>
          </w:p>
        </w:tc>
        <w:tc>
          <w:tcPr>
            <w:tcW w:w="1559" w:type="dxa"/>
            <w:vAlign w:val="center"/>
          </w:tcPr>
          <w:p w14:paraId="6C95D780">
            <w:pPr>
              <w:shd w:val="clear"/>
              <w:spacing w:line="240" w:lineRule="atLeast"/>
              <w:jc w:val="center"/>
              <w:rPr>
                <w:rFonts w:hint="eastAsia" w:ascii="宋体" w:hAnsi="宋体" w:eastAsia="宋体" w:cs="宋体"/>
                <w:color w:val="auto"/>
                <w:sz w:val="24"/>
                <w:szCs w:val="24"/>
                <w:highlight w:val="none"/>
              </w:rPr>
            </w:pPr>
          </w:p>
        </w:tc>
        <w:tc>
          <w:tcPr>
            <w:tcW w:w="1567" w:type="dxa"/>
            <w:vAlign w:val="center"/>
          </w:tcPr>
          <w:p w14:paraId="0BF209C4">
            <w:pPr>
              <w:shd w:val="clear"/>
              <w:spacing w:line="240" w:lineRule="atLeast"/>
              <w:jc w:val="center"/>
              <w:rPr>
                <w:rFonts w:hint="eastAsia" w:ascii="宋体" w:hAnsi="宋体" w:eastAsia="宋体" w:cs="宋体"/>
                <w:color w:val="auto"/>
                <w:sz w:val="24"/>
                <w:szCs w:val="24"/>
                <w:highlight w:val="none"/>
              </w:rPr>
            </w:pPr>
          </w:p>
        </w:tc>
      </w:tr>
      <w:tr w14:paraId="3745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601307F2">
            <w:pPr>
              <w:shd w:val="clear"/>
              <w:spacing w:line="240" w:lineRule="atLeast"/>
              <w:jc w:val="center"/>
              <w:rPr>
                <w:rFonts w:hint="eastAsia" w:ascii="宋体" w:hAnsi="宋体" w:eastAsia="宋体" w:cs="宋体"/>
                <w:color w:val="auto"/>
                <w:sz w:val="24"/>
                <w:szCs w:val="24"/>
                <w:highlight w:val="none"/>
              </w:rPr>
            </w:pPr>
          </w:p>
        </w:tc>
        <w:tc>
          <w:tcPr>
            <w:tcW w:w="2529" w:type="dxa"/>
            <w:vAlign w:val="center"/>
          </w:tcPr>
          <w:p w14:paraId="65CB1487">
            <w:pPr>
              <w:shd w:val="clea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6E6927A5">
            <w:pPr>
              <w:shd w:val="clear"/>
              <w:spacing w:line="240" w:lineRule="atLeast"/>
              <w:jc w:val="center"/>
              <w:rPr>
                <w:rFonts w:hint="eastAsia" w:ascii="宋体" w:hAnsi="宋体" w:eastAsia="宋体" w:cs="宋体"/>
                <w:color w:val="auto"/>
                <w:sz w:val="24"/>
                <w:szCs w:val="24"/>
                <w:highlight w:val="none"/>
              </w:rPr>
            </w:pPr>
          </w:p>
        </w:tc>
        <w:tc>
          <w:tcPr>
            <w:tcW w:w="1134" w:type="dxa"/>
            <w:vAlign w:val="center"/>
          </w:tcPr>
          <w:p w14:paraId="468CCB37">
            <w:pPr>
              <w:shd w:val="clear"/>
              <w:spacing w:line="240" w:lineRule="atLeast"/>
              <w:jc w:val="center"/>
              <w:rPr>
                <w:rFonts w:hint="eastAsia" w:ascii="宋体" w:hAnsi="宋体" w:eastAsia="宋体" w:cs="宋体"/>
                <w:color w:val="auto"/>
                <w:sz w:val="24"/>
                <w:szCs w:val="24"/>
                <w:highlight w:val="none"/>
              </w:rPr>
            </w:pPr>
          </w:p>
        </w:tc>
        <w:tc>
          <w:tcPr>
            <w:tcW w:w="1559" w:type="dxa"/>
            <w:vAlign w:val="center"/>
          </w:tcPr>
          <w:p w14:paraId="37A25BB8">
            <w:pPr>
              <w:shd w:val="clear"/>
              <w:spacing w:line="240" w:lineRule="atLeast"/>
              <w:jc w:val="center"/>
              <w:rPr>
                <w:rFonts w:hint="eastAsia" w:ascii="宋体" w:hAnsi="宋体" w:eastAsia="宋体" w:cs="宋体"/>
                <w:color w:val="auto"/>
                <w:sz w:val="24"/>
                <w:szCs w:val="24"/>
                <w:highlight w:val="none"/>
              </w:rPr>
            </w:pPr>
          </w:p>
        </w:tc>
        <w:tc>
          <w:tcPr>
            <w:tcW w:w="1567" w:type="dxa"/>
            <w:vAlign w:val="center"/>
          </w:tcPr>
          <w:p w14:paraId="6CCB0F2F">
            <w:pPr>
              <w:shd w:val="clear"/>
              <w:spacing w:line="240" w:lineRule="atLeast"/>
              <w:jc w:val="center"/>
              <w:rPr>
                <w:rFonts w:hint="eastAsia" w:ascii="宋体" w:hAnsi="宋体" w:eastAsia="宋体" w:cs="宋体"/>
                <w:color w:val="auto"/>
                <w:sz w:val="24"/>
                <w:szCs w:val="24"/>
                <w:highlight w:val="none"/>
              </w:rPr>
            </w:pPr>
          </w:p>
        </w:tc>
      </w:tr>
      <w:tr w14:paraId="326B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vAlign w:val="center"/>
          </w:tcPr>
          <w:p w14:paraId="15E91AC8">
            <w:pPr>
              <w:shd w:val="clear"/>
              <w:spacing w:line="240" w:lineRule="atLeast"/>
              <w:jc w:val="center"/>
              <w:rPr>
                <w:rFonts w:hint="eastAsia" w:ascii="宋体" w:hAnsi="宋体" w:eastAsia="宋体" w:cs="宋体"/>
                <w:color w:val="auto"/>
                <w:sz w:val="24"/>
                <w:szCs w:val="24"/>
                <w:highlight w:val="none"/>
              </w:rPr>
            </w:pPr>
          </w:p>
        </w:tc>
        <w:tc>
          <w:tcPr>
            <w:tcW w:w="2529" w:type="dxa"/>
            <w:vAlign w:val="center"/>
          </w:tcPr>
          <w:p w14:paraId="7BFBE687">
            <w:pPr>
              <w:shd w:val="clear"/>
              <w:spacing w:line="240" w:lineRule="atLeast"/>
              <w:jc w:val="center"/>
              <w:rPr>
                <w:rFonts w:hint="eastAsia" w:ascii="宋体" w:hAnsi="宋体" w:eastAsia="宋体" w:cs="宋体"/>
                <w:color w:val="auto"/>
                <w:sz w:val="24"/>
                <w:szCs w:val="24"/>
                <w:highlight w:val="none"/>
              </w:rPr>
            </w:pPr>
          </w:p>
        </w:tc>
        <w:tc>
          <w:tcPr>
            <w:tcW w:w="1298" w:type="dxa"/>
            <w:gridSpan w:val="2"/>
            <w:vAlign w:val="center"/>
          </w:tcPr>
          <w:p w14:paraId="0DB19099">
            <w:pPr>
              <w:shd w:val="clear"/>
              <w:spacing w:line="240" w:lineRule="atLeast"/>
              <w:jc w:val="center"/>
              <w:rPr>
                <w:rFonts w:hint="eastAsia" w:ascii="宋体" w:hAnsi="宋体" w:eastAsia="宋体" w:cs="宋体"/>
                <w:color w:val="auto"/>
                <w:sz w:val="24"/>
                <w:szCs w:val="24"/>
                <w:highlight w:val="none"/>
              </w:rPr>
            </w:pPr>
          </w:p>
        </w:tc>
        <w:tc>
          <w:tcPr>
            <w:tcW w:w="1134" w:type="dxa"/>
            <w:vAlign w:val="center"/>
          </w:tcPr>
          <w:p w14:paraId="3252162F">
            <w:pPr>
              <w:shd w:val="clear"/>
              <w:spacing w:line="240" w:lineRule="atLeast"/>
              <w:jc w:val="center"/>
              <w:rPr>
                <w:rFonts w:hint="eastAsia" w:ascii="宋体" w:hAnsi="宋体" w:eastAsia="宋体" w:cs="宋体"/>
                <w:color w:val="auto"/>
                <w:sz w:val="24"/>
                <w:szCs w:val="24"/>
                <w:highlight w:val="none"/>
              </w:rPr>
            </w:pPr>
          </w:p>
        </w:tc>
        <w:tc>
          <w:tcPr>
            <w:tcW w:w="1559" w:type="dxa"/>
            <w:vAlign w:val="center"/>
          </w:tcPr>
          <w:p w14:paraId="211DE388">
            <w:pPr>
              <w:shd w:val="clear"/>
              <w:spacing w:line="240" w:lineRule="atLeast"/>
              <w:jc w:val="center"/>
              <w:rPr>
                <w:rFonts w:hint="eastAsia" w:ascii="宋体" w:hAnsi="宋体" w:eastAsia="宋体" w:cs="宋体"/>
                <w:color w:val="auto"/>
                <w:sz w:val="24"/>
                <w:szCs w:val="24"/>
                <w:highlight w:val="none"/>
              </w:rPr>
            </w:pPr>
          </w:p>
        </w:tc>
        <w:tc>
          <w:tcPr>
            <w:tcW w:w="1567" w:type="dxa"/>
            <w:vAlign w:val="center"/>
          </w:tcPr>
          <w:p w14:paraId="4338FC1B">
            <w:pPr>
              <w:shd w:val="clear"/>
              <w:spacing w:line="240" w:lineRule="atLeast"/>
              <w:jc w:val="center"/>
              <w:rPr>
                <w:rFonts w:hint="eastAsia" w:ascii="宋体" w:hAnsi="宋体" w:eastAsia="宋体" w:cs="宋体"/>
                <w:color w:val="auto"/>
                <w:sz w:val="24"/>
                <w:szCs w:val="24"/>
                <w:highlight w:val="none"/>
              </w:rPr>
            </w:pPr>
          </w:p>
        </w:tc>
      </w:tr>
      <w:tr w14:paraId="00AF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F1BD401">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合计人民币（小写）：</w:t>
            </w:r>
          </w:p>
        </w:tc>
      </w:tr>
      <w:tr w14:paraId="052E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BB362F8">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合计人民币（大写）：</w:t>
            </w:r>
          </w:p>
        </w:tc>
      </w:tr>
      <w:tr w14:paraId="5E5F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48CEEDF">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一、质量要求和技术标准。供方须根据需方要求及本招标文件规定的国家相关标准进行服务，服务承诺如下：</w:t>
            </w:r>
          </w:p>
          <w:p w14:paraId="4810C151">
            <w:pPr>
              <w:shd w:val="clea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（一）质量要求</w:t>
            </w:r>
          </w:p>
          <w:p w14:paraId="42F3512B">
            <w:pPr>
              <w:shd w:val="clear"/>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（二）服务要求</w:t>
            </w:r>
          </w:p>
        </w:tc>
      </w:tr>
      <w:tr w14:paraId="1D16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14:paraId="1FB81146">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二、执行标准：</w:t>
            </w:r>
          </w:p>
          <w:p w14:paraId="52B57C35">
            <w:pPr>
              <w:shd w:val="clear"/>
              <w:spacing w:line="240" w:lineRule="atLeast"/>
              <w:rPr>
                <w:rFonts w:hint="eastAsia" w:ascii="宋体" w:hAnsi="宋体" w:eastAsia="宋体" w:cs="宋体"/>
                <w:color w:val="auto"/>
                <w:sz w:val="24"/>
                <w:szCs w:val="24"/>
                <w:highlight w:val="none"/>
              </w:rPr>
            </w:pPr>
          </w:p>
        </w:tc>
      </w:tr>
      <w:tr w14:paraId="3DCA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69D15942">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三、验收标准、方法：</w:t>
            </w:r>
          </w:p>
          <w:p w14:paraId="48FE2B1D">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如有异议，请于      日内提出。</w:t>
            </w:r>
          </w:p>
        </w:tc>
      </w:tr>
      <w:tr w14:paraId="591F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8D2DDBD">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四、付款方式：</w:t>
            </w:r>
          </w:p>
          <w:p w14:paraId="34E178D7">
            <w:pPr>
              <w:pStyle w:val="12"/>
              <w:shd w:val="clear"/>
              <w:spacing w:line="240" w:lineRule="atLeast"/>
              <w:rPr>
                <w:rFonts w:hint="eastAsia" w:ascii="宋体" w:hAnsi="宋体" w:eastAsia="宋体" w:cs="宋体"/>
                <w:color w:val="auto"/>
                <w:sz w:val="24"/>
                <w:szCs w:val="24"/>
                <w:highlight w:val="none"/>
              </w:rPr>
            </w:pPr>
          </w:p>
        </w:tc>
      </w:tr>
      <w:tr w14:paraId="75A1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EF269E1">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五、违约责任：</w:t>
            </w:r>
          </w:p>
          <w:p w14:paraId="12FE1EC7">
            <w:pPr>
              <w:shd w:val="clear"/>
              <w:spacing w:line="240" w:lineRule="atLeast"/>
              <w:rPr>
                <w:rFonts w:hint="eastAsia" w:ascii="宋体" w:hAnsi="宋体" w:eastAsia="宋体" w:cs="宋体"/>
                <w:color w:val="auto"/>
                <w:sz w:val="24"/>
                <w:szCs w:val="24"/>
                <w:highlight w:val="none"/>
              </w:rPr>
            </w:pPr>
          </w:p>
        </w:tc>
      </w:tr>
      <w:tr w14:paraId="4EF5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0EF1F25F">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六、其他约定事项：</w:t>
            </w:r>
          </w:p>
          <w:p w14:paraId="4EE657C3">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竞争性比选文件</w:t>
            </w:r>
            <w:r>
              <w:rPr>
                <w:rFonts w:hint="eastAsia" w:ascii="宋体" w:hAnsi="宋体" w:eastAsia="宋体" w:cs="宋体"/>
                <w:color w:val="auto"/>
                <w:sz w:val="24"/>
                <w:szCs w:val="24"/>
                <w:highlight w:val="none"/>
              </w:rPr>
              <w:t>及其补遗文件、响应文件和承诺是本合同不可分割的部分。</w:t>
            </w:r>
          </w:p>
          <w:p w14:paraId="27EA8666">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2.本合同如发生争议由双方协商解决，协商不成向需方所在人民法院提请诉讼。</w:t>
            </w:r>
          </w:p>
          <w:p w14:paraId="5C40880F">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3.本合同一式__份， 需方__份，供方__份，具备同等法律效力。</w:t>
            </w:r>
          </w:p>
          <w:p w14:paraId="4D7F7822">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w:t>
            </w:r>
          </w:p>
        </w:tc>
      </w:tr>
      <w:tr w14:paraId="6C9E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16776738">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需方：</w:t>
            </w:r>
          </w:p>
          <w:p w14:paraId="2AFE226D">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E6AF097">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3B914304">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tc>
        <w:tc>
          <w:tcPr>
            <w:tcW w:w="5125" w:type="dxa"/>
            <w:gridSpan w:val="5"/>
          </w:tcPr>
          <w:p w14:paraId="069A031C">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供方：</w:t>
            </w:r>
          </w:p>
          <w:p w14:paraId="1671F852">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50CAB8DB">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5F5D6FEB">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3AFED122">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4B3BF0F2">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7381085E">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p>
          <w:p w14:paraId="61B613FF">
            <w:pPr>
              <w:widowControl/>
              <w:shd w:val="clear"/>
              <w:spacing w:line="24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（本栏请用计算机打印以便于准确付款）</w:t>
            </w:r>
          </w:p>
        </w:tc>
      </w:tr>
      <w:tr w14:paraId="6AC2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035B6C76">
            <w:pPr>
              <w:shd w:val="clear"/>
              <w:spacing w:line="24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07A1D03F">
            <w:pPr>
              <w:shd w:val="clear"/>
              <w:spacing w:line="240" w:lineRule="atLeast"/>
              <w:rPr>
                <w:rFonts w:hint="eastAsia" w:ascii="宋体" w:hAnsi="宋体" w:eastAsia="宋体" w:cs="宋体"/>
                <w:color w:val="auto"/>
                <w:sz w:val="24"/>
                <w:szCs w:val="24"/>
                <w:highlight w:val="none"/>
              </w:rPr>
            </w:pPr>
          </w:p>
          <w:p w14:paraId="05D047C3">
            <w:pPr>
              <w:shd w:val="clear"/>
              <w:spacing w:line="240" w:lineRule="atLeast"/>
              <w:rPr>
                <w:rFonts w:hint="eastAsia" w:ascii="宋体" w:hAnsi="宋体" w:eastAsia="宋体" w:cs="宋体"/>
                <w:color w:val="auto"/>
                <w:sz w:val="24"/>
                <w:szCs w:val="24"/>
                <w:highlight w:val="none"/>
              </w:rPr>
            </w:pPr>
          </w:p>
        </w:tc>
      </w:tr>
    </w:tbl>
    <w:p w14:paraId="650C44C6">
      <w:pPr>
        <w:shd w:val="clear"/>
        <w:spacing w:line="500" w:lineRule="exact"/>
        <w:ind w:firstLine="480" w:firstLineChars="200"/>
        <w:rPr>
          <w:rFonts w:hint="eastAsia" w:ascii="宋体" w:hAnsi="宋体" w:eastAsia="宋体" w:cs="宋体"/>
          <w:color w:val="auto"/>
          <w:highlight w:val="none"/>
        </w:rPr>
        <w:sectPr>
          <w:headerReference r:id="rId8" w:type="default"/>
          <w:footerReference r:id="rId9" w:type="default"/>
          <w:pgSz w:w="11907" w:h="16840"/>
          <w:pgMar w:top="1134" w:right="1191" w:bottom="1134" w:left="1304" w:header="964" w:footer="992" w:gutter="0"/>
          <w:pgNumType w:fmt="decimal"/>
          <w:cols w:space="720" w:num="1"/>
          <w:docGrid w:linePitch="312" w:charSpace="0"/>
        </w:sectPr>
      </w:pPr>
      <w:r>
        <w:rPr>
          <w:rFonts w:hint="eastAsia" w:ascii="宋体" w:hAnsi="宋体" w:eastAsia="宋体" w:cs="宋体"/>
          <w:color w:val="auto"/>
          <w:sz w:val="24"/>
          <w:highlight w:val="none"/>
        </w:rPr>
        <w:t>签约时间：           年   月   日      签约地点：</w:t>
      </w:r>
    </w:p>
    <w:p w14:paraId="73C053D2">
      <w:pPr>
        <w:pStyle w:val="2"/>
        <w:shd w:val="clear"/>
        <w:spacing w:before="0" w:after="0" w:line="360" w:lineRule="auto"/>
        <w:jc w:val="center"/>
        <w:outlineLvl w:val="0"/>
        <w:rPr>
          <w:rFonts w:hint="eastAsia" w:ascii="宋体" w:hAnsi="宋体" w:eastAsia="宋体" w:cs="宋体"/>
          <w:b/>
          <w:bCs/>
          <w:color w:val="auto"/>
          <w:sz w:val="36"/>
          <w:szCs w:val="30"/>
          <w:highlight w:val="none"/>
        </w:rPr>
      </w:pPr>
      <w:bookmarkStart w:id="179" w:name="_Toc23225"/>
      <w:r>
        <w:rPr>
          <w:rFonts w:hint="eastAsia" w:ascii="宋体" w:hAnsi="宋体" w:eastAsia="宋体" w:cs="宋体"/>
          <w:b/>
          <w:bCs/>
          <w:color w:val="auto"/>
          <w:sz w:val="36"/>
          <w:szCs w:val="30"/>
          <w:highlight w:val="none"/>
        </w:rPr>
        <w:t>第七篇  响应文件编制要求</w:t>
      </w:r>
      <w:bookmarkEnd w:id="179"/>
    </w:p>
    <w:p w14:paraId="604E2B08">
      <w:pPr>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14:paraId="0E79AE45">
      <w:pPr>
        <w:shd w:val="clea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w:t>
      </w:r>
      <w:r>
        <w:rPr>
          <w:rFonts w:hint="eastAsia" w:ascii="宋体" w:hAnsi="宋体" w:eastAsia="宋体" w:cs="宋体"/>
          <w:bCs/>
          <w:color w:val="auto"/>
          <w:sz w:val="24"/>
          <w:szCs w:val="24"/>
          <w:highlight w:val="none"/>
          <w:lang w:val="en-US" w:eastAsia="zh-CN"/>
        </w:rPr>
        <w:t>竞采</w:t>
      </w:r>
      <w:r>
        <w:rPr>
          <w:rFonts w:hint="eastAsia" w:ascii="宋体" w:hAnsi="宋体" w:eastAsia="宋体" w:cs="宋体"/>
          <w:color w:val="auto"/>
          <w:sz w:val="24"/>
          <w:szCs w:val="24"/>
          <w:highlight w:val="none"/>
        </w:rPr>
        <w:t>报价函</w:t>
      </w:r>
    </w:p>
    <w:p w14:paraId="107E48FB">
      <w:pPr>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p>
    <w:p w14:paraId="26BF60CD">
      <w:pPr>
        <w:shd w:val="clea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响应偏离表</w:t>
      </w:r>
    </w:p>
    <w:p w14:paraId="0D1F0A56">
      <w:pPr>
        <w:shd w:val="clea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w:t>
      </w:r>
    </w:p>
    <w:p w14:paraId="0DF77901">
      <w:pPr>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4CB4C608">
      <w:pPr>
        <w:shd w:val="clea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）商务响应偏离表</w:t>
      </w:r>
    </w:p>
    <w:p w14:paraId="00652E46">
      <w:pPr>
        <w:shd w:val="clear"/>
        <w:spacing w:line="440" w:lineRule="exact"/>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商务部分相关证明材料</w:t>
      </w:r>
    </w:p>
    <w:p w14:paraId="47AB0B50">
      <w:pPr>
        <w:shd w:val="clea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（三）其它优惠服务承诺</w:t>
      </w:r>
    </w:p>
    <w:p w14:paraId="1B7D4D54">
      <w:pPr>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2A1BB612">
      <w:pPr>
        <w:shd w:val="clea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4930FA1C">
      <w:pPr>
        <w:shd w:val="clea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（二）组织机构代码证复印件</w:t>
      </w:r>
    </w:p>
    <w:p w14:paraId="157BE2A0">
      <w:pPr>
        <w:shd w:val="clea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（三）法定代表人身份证明书（格式）</w:t>
      </w:r>
    </w:p>
    <w:p w14:paraId="1A7DAB45">
      <w:pPr>
        <w:shd w:val="clea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（四）法定代表人授权委托书（格式）</w:t>
      </w:r>
    </w:p>
    <w:p w14:paraId="0BA4EEDE">
      <w:pPr>
        <w:shd w:val="clea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（五）基本资格条件承诺函</w:t>
      </w:r>
    </w:p>
    <w:p w14:paraId="23A15F4F">
      <w:pPr>
        <w:shd w:val="clear"/>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（六）特定资格条件证明文件</w:t>
      </w:r>
    </w:p>
    <w:p w14:paraId="02F31CF4">
      <w:pPr>
        <w:shd w:val="clea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000464F5">
      <w:pPr>
        <w:shd w:val="clear"/>
        <w:spacing w:line="440" w:lineRule="exact"/>
        <w:ind w:firstLine="720" w:firstLineChars="300"/>
        <w:rPr>
          <w:rFonts w:hint="eastAsia" w:ascii="宋体" w:hAnsi="宋体" w:eastAsia="宋体" w:cs="宋体"/>
          <w:color w:val="auto"/>
          <w:sz w:val="24"/>
          <w:szCs w:val="24"/>
          <w:highlight w:val="none"/>
        </w:rPr>
      </w:pPr>
      <w:bookmarkStart w:id="180" w:name="_Toc313888360"/>
      <w:bookmarkStart w:id="181" w:name="_Toc313008356"/>
      <w:bookmarkStart w:id="182" w:name="_Toc342913419"/>
      <w:bookmarkStart w:id="183" w:name="_Toc283382454"/>
      <w:bookmarkStart w:id="184" w:name="_Toc12789073"/>
      <w:r>
        <w:rPr>
          <w:rFonts w:hint="eastAsia" w:ascii="宋体" w:hAnsi="宋体" w:eastAsia="宋体" w:cs="宋体"/>
          <w:color w:val="auto"/>
          <w:sz w:val="24"/>
          <w:szCs w:val="24"/>
          <w:highlight w:val="none"/>
        </w:rPr>
        <w:t>（一）其他与项目有关的资料（自附）</w:t>
      </w:r>
    </w:p>
    <w:p w14:paraId="6C9A6A2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98DDE83">
      <w:pPr>
        <w:pStyle w:val="3"/>
        <w:shd w:val="clear"/>
        <w:spacing w:before="0" w:after="0" w:line="360" w:lineRule="auto"/>
        <w:outlineLvl w:val="1"/>
        <w:rPr>
          <w:rFonts w:hint="eastAsia" w:ascii="宋体" w:hAnsi="宋体" w:eastAsia="宋体" w:cs="宋体"/>
          <w:color w:val="auto"/>
          <w:sz w:val="24"/>
          <w:szCs w:val="24"/>
          <w:highlight w:val="none"/>
        </w:rPr>
      </w:pPr>
      <w:bookmarkStart w:id="185" w:name="_Toc10678"/>
      <w:bookmarkStart w:id="186" w:name="_Toc12227"/>
      <w:bookmarkStart w:id="187" w:name="_Toc4095"/>
      <w:bookmarkStart w:id="188" w:name="_Toc22975"/>
      <w:bookmarkStart w:id="189" w:name="_Toc11037"/>
      <w:bookmarkStart w:id="190" w:name="_Toc11211"/>
      <w:r>
        <w:rPr>
          <w:rFonts w:hint="eastAsia" w:ascii="宋体" w:hAnsi="宋体" w:eastAsia="宋体" w:cs="宋体"/>
          <w:color w:val="auto"/>
          <w:sz w:val="24"/>
          <w:szCs w:val="24"/>
          <w:highlight w:val="none"/>
        </w:rPr>
        <w:t>一、经济部分</w:t>
      </w:r>
      <w:bookmarkEnd w:id="180"/>
      <w:bookmarkEnd w:id="181"/>
      <w:bookmarkEnd w:id="182"/>
      <w:bookmarkEnd w:id="185"/>
      <w:bookmarkEnd w:id="186"/>
      <w:bookmarkEnd w:id="187"/>
      <w:bookmarkEnd w:id="188"/>
      <w:bookmarkEnd w:id="189"/>
      <w:bookmarkEnd w:id="190"/>
    </w:p>
    <w:bookmarkEnd w:id="183"/>
    <w:bookmarkEnd w:id="184"/>
    <w:p w14:paraId="7C91DCB1">
      <w:pPr>
        <w:shd w:val="clear"/>
        <w:tabs>
          <w:tab w:val="left" w:pos="6300"/>
        </w:tabs>
        <w:snapToGrid w:val="0"/>
        <w:spacing w:line="312" w:lineRule="auto"/>
        <w:jc w:val="left"/>
        <w:outlineLvl w:val="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（一）网上</w:t>
      </w:r>
      <w:r>
        <w:rPr>
          <w:rFonts w:hint="eastAsia" w:ascii="宋体" w:hAnsi="宋体" w:eastAsia="宋体" w:cs="宋体"/>
          <w:bCs/>
          <w:color w:val="auto"/>
          <w:sz w:val="24"/>
          <w:szCs w:val="24"/>
          <w:highlight w:val="none"/>
          <w:lang w:val="en-US" w:eastAsia="zh-CN"/>
        </w:rPr>
        <w:t>竞采</w:t>
      </w:r>
      <w:r>
        <w:rPr>
          <w:rFonts w:hint="eastAsia" w:ascii="宋体" w:hAnsi="宋体" w:eastAsia="宋体" w:cs="宋体"/>
          <w:bCs/>
          <w:color w:val="auto"/>
          <w:sz w:val="24"/>
          <w:szCs w:val="24"/>
          <w:highlight w:val="none"/>
        </w:rPr>
        <w:t>报价函</w:t>
      </w:r>
    </w:p>
    <w:p w14:paraId="6D273044">
      <w:pPr>
        <w:shd w:val="clear"/>
        <w:tabs>
          <w:tab w:val="left" w:pos="6300"/>
        </w:tabs>
        <w:snapToGrid w:val="0"/>
        <w:spacing w:line="312" w:lineRule="auto"/>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网上竞采</w:t>
      </w:r>
      <w:r>
        <w:rPr>
          <w:rFonts w:hint="eastAsia" w:ascii="宋体" w:hAnsi="宋体" w:eastAsia="宋体" w:cs="宋体"/>
          <w:bCs/>
          <w:color w:val="auto"/>
          <w:sz w:val="24"/>
          <w:szCs w:val="24"/>
          <w:highlight w:val="none"/>
        </w:rPr>
        <w:t>报价函</w:t>
      </w:r>
    </w:p>
    <w:p w14:paraId="1F9C0E0A">
      <w:pPr>
        <w:snapToGrid w:val="0"/>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项目编号：</w:t>
      </w:r>
    </w:p>
    <w:p w14:paraId="50143146">
      <w:pPr>
        <w:snapToGrid w:val="0"/>
        <w:spacing w:line="4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磋商项目名称：                      </w:t>
      </w:r>
    </w:p>
    <w:tbl>
      <w:tblPr>
        <w:tblStyle w:val="22"/>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677"/>
        <w:gridCol w:w="1981"/>
        <w:gridCol w:w="1485"/>
        <w:gridCol w:w="1534"/>
        <w:gridCol w:w="2157"/>
      </w:tblGrid>
      <w:tr w14:paraId="6FD0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trPr>
        <w:tc>
          <w:tcPr>
            <w:tcW w:w="1785" w:type="dxa"/>
            <w:noWrap w:val="0"/>
            <w:vAlign w:val="center"/>
          </w:tcPr>
          <w:p w14:paraId="1A74307D">
            <w:pPr>
              <w:spacing w:line="500" w:lineRule="exact"/>
              <w:jc w:val="center"/>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供应商名称</w:t>
            </w:r>
          </w:p>
        </w:tc>
        <w:tc>
          <w:tcPr>
            <w:tcW w:w="7834" w:type="dxa"/>
            <w:gridSpan w:val="5"/>
            <w:noWrap w:val="0"/>
            <w:vAlign w:val="center"/>
          </w:tcPr>
          <w:p w14:paraId="3A0E6ED5">
            <w:pPr>
              <w:spacing w:line="500" w:lineRule="exact"/>
              <w:jc w:val="center"/>
              <w:rPr>
                <w:rFonts w:hint="eastAsia" w:ascii="宋体" w:hAnsi="宋体" w:eastAsia="宋体" w:cs="宋体"/>
                <w:color w:val="auto"/>
                <w:sz w:val="21"/>
                <w:szCs w:val="28"/>
                <w:highlight w:val="none"/>
              </w:rPr>
            </w:pPr>
          </w:p>
        </w:tc>
      </w:tr>
      <w:tr w14:paraId="18F5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2462" w:type="dxa"/>
            <w:gridSpan w:val="2"/>
            <w:noWrap w:val="0"/>
            <w:vAlign w:val="center"/>
          </w:tcPr>
          <w:p w14:paraId="3659E1D2">
            <w:pPr>
              <w:spacing w:line="500" w:lineRule="exact"/>
              <w:jc w:val="center"/>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项目名称</w:t>
            </w:r>
          </w:p>
        </w:tc>
        <w:tc>
          <w:tcPr>
            <w:tcW w:w="1981" w:type="dxa"/>
            <w:noWrap w:val="0"/>
            <w:vAlign w:val="center"/>
          </w:tcPr>
          <w:p w14:paraId="58DFFEBB">
            <w:pPr>
              <w:spacing w:line="500" w:lineRule="exact"/>
              <w:jc w:val="center"/>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服务期（日历天）</w:t>
            </w:r>
          </w:p>
        </w:tc>
        <w:tc>
          <w:tcPr>
            <w:tcW w:w="1485" w:type="dxa"/>
            <w:noWrap w:val="0"/>
            <w:vAlign w:val="center"/>
          </w:tcPr>
          <w:p w14:paraId="3BAA4FF2">
            <w:pPr>
              <w:spacing w:line="500" w:lineRule="exact"/>
              <w:jc w:val="center"/>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lang w:eastAsia="zh-CN"/>
              </w:rPr>
              <w:t>暂定总人数（人）</w:t>
            </w:r>
          </w:p>
        </w:tc>
        <w:tc>
          <w:tcPr>
            <w:tcW w:w="1534" w:type="dxa"/>
            <w:noWrap w:val="0"/>
            <w:vAlign w:val="center"/>
          </w:tcPr>
          <w:p w14:paraId="40FC4C0E">
            <w:pPr>
              <w:spacing w:line="500" w:lineRule="exact"/>
              <w:jc w:val="center"/>
              <w:rPr>
                <w:rFonts w:hint="eastAsia" w:ascii="宋体" w:hAnsi="宋体" w:eastAsia="宋体" w:cs="宋体"/>
                <w:color w:val="auto"/>
                <w:sz w:val="21"/>
                <w:szCs w:val="28"/>
                <w:highlight w:val="none"/>
                <w:lang w:eastAsia="zh-CN"/>
              </w:rPr>
            </w:pPr>
            <w:r>
              <w:rPr>
                <w:rFonts w:hint="eastAsia" w:ascii="宋体" w:hAnsi="宋体" w:eastAsia="宋体" w:cs="宋体"/>
                <w:color w:val="auto"/>
                <w:sz w:val="21"/>
                <w:szCs w:val="28"/>
                <w:highlight w:val="none"/>
                <w:lang w:eastAsia="zh-CN"/>
              </w:rPr>
              <w:t>综合单价报价（元）</w:t>
            </w:r>
          </w:p>
        </w:tc>
        <w:tc>
          <w:tcPr>
            <w:tcW w:w="2157" w:type="dxa"/>
            <w:noWrap w:val="0"/>
            <w:vAlign w:val="center"/>
          </w:tcPr>
          <w:p w14:paraId="679F0E79">
            <w:pPr>
              <w:spacing w:line="500" w:lineRule="exact"/>
              <w:jc w:val="center"/>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eastAsia="zh-CN"/>
              </w:rPr>
              <w:t>竞标总</w:t>
            </w:r>
            <w:r>
              <w:rPr>
                <w:rFonts w:hint="eastAsia" w:ascii="宋体" w:hAnsi="宋体" w:eastAsia="宋体" w:cs="宋体"/>
                <w:color w:val="auto"/>
                <w:sz w:val="21"/>
                <w:szCs w:val="28"/>
                <w:highlight w:val="none"/>
              </w:rPr>
              <w:t>报价</w:t>
            </w:r>
          </w:p>
          <w:p w14:paraId="5F737B21">
            <w:pPr>
              <w:spacing w:line="500" w:lineRule="exact"/>
              <w:jc w:val="center"/>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rPr>
              <w:t>（小写）</w:t>
            </w:r>
          </w:p>
        </w:tc>
      </w:tr>
      <w:tr w14:paraId="60D7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2462" w:type="dxa"/>
            <w:gridSpan w:val="2"/>
            <w:tcBorders>
              <w:bottom w:val="single" w:color="auto" w:sz="4" w:space="0"/>
            </w:tcBorders>
            <w:noWrap w:val="0"/>
            <w:vAlign w:val="center"/>
          </w:tcPr>
          <w:p w14:paraId="77D9C081">
            <w:pPr>
              <w:spacing w:line="500" w:lineRule="exact"/>
              <w:jc w:val="center"/>
              <w:rPr>
                <w:rFonts w:hint="eastAsia" w:ascii="宋体" w:hAnsi="宋体" w:eastAsia="宋体" w:cs="宋体"/>
                <w:color w:val="auto"/>
                <w:sz w:val="21"/>
                <w:szCs w:val="28"/>
                <w:highlight w:val="none"/>
              </w:rPr>
            </w:pPr>
          </w:p>
        </w:tc>
        <w:tc>
          <w:tcPr>
            <w:tcW w:w="1981" w:type="dxa"/>
            <w:tcBorders>
              <w:bottom w:val="single" w:color="auto" w:sz="4" w:space="0"/>
            </w:tcBorders>
            <w:noWrap w:val="0"/>
            <w:vAlign w:val="top"/>
          </w:tcPr>
          <w:p w14:paraId="3CED787E">
            <w:pPr>
              <w:spacing w:line="500" w:lineRule="exact"/>
              <w:jc w:val="center"/>
              <w:rPr>
                <w:rFonts w:hint="eastAsia" w:ascii="宋体" w:hAnsi="宋体" w:eastAsia="宋体" w:cs="宋体"/>
                <w:color w:val="auto"/>
                <w:sz w:val="21"/>
                <w:szCs w:val="28"/>
                <w:highlight w:val="none"/>
              </w:rPr>
            </w:pPr>
          </w:p>
        </w:tc>
        <w:tc>
          <w:tcPr>
            <w:tcW w:w="1485" w:type="dxa"/>
            <w:tcBorders>
              <w:bottom w:val="single" w:color="auto" w:sz="4" w:space="0"/>
            </w:tcBorders>
            <w:noWrap w:val="0"/>
            <w:vAlign w:val="top"/>
          </w:tcPr>
          <w:p w14:paraId="54FC7161">
            <w:pPr>
              <w:spacing w:line="500" w:lineRule="exact"/>
              <w:jc w:val="center"/>
              <w:rPr>
                <w:rFonts w:hint="eastAsia" w:ascii="宋体" w:hAnsi="宋体" w:eastAsia="宋体" w:cs="宋体"/>
                <w:color w:val="auto"/>
                <w:sz w:val="21"/>
                <w:szCs w:val="28"/>
                <w:highlight w:val="none"/>
                <w:lang w:val="en-US" w:eastAsia="zh-CN"/>
              </w:rPr>
            </w:pPr>
            <w:r>
              <w:rPr>
                <w:rFonts w:hint="eastAsia" w:ascii="宋体" w:hAnsi="宋体" w:cs="宋体"/>
                <w:color w:val="auto"/>
                <w:sz w:val="21"/>
                <w:szCs w:val="28"/>
                <w:highlight w:val="none"/>
                <w:lang w:val="en-US" w:eastAsia="zh-CN"/>
              </w:rPr>
              <w:t xml:space="preserve"> </w:t>
            </w:r>
          </w:p>
        </w:tc>
        <w:tc>
          <w:tcPr>
            <w:tcW w:w="1534" w:type="dxa"/>
            <w:tcBorders>
              <w:bottom w:val="single" w:color="auto" w:sz="4" w:space="0"/>
            </w:tcBorders>
            <w:noWrap w:val="0"/>
            <w:vAlign w:val="top"/>
          </w:tcPr>
          <w:p w14:paraId="5DD8DD52">
            <w:pPr>
              <w:spacing w:line="500" w:lineRule="exact"/>
              <w:jc w:val="center"/>
              <w:rPr>
                <w:rFonts w:hint="eastAsia" w:ascii="宋体" w:hAnsi="宋体" w:eastAsia="宋体" w:cs="宋体"/>
                <w:color w:val="auto"/>
                <w:sz w:val="21"/>
                <w:szCs w:val="28"/>
                <w:highlight w:val="none"/>
              </w:rPr>
            </w:pPr>
          </w:p>
        </w:tc>
        <w:tc>
          <w:tcPr>
            <w:tcW w:w="2157" w:type="dxa"/>
            <w:tcBorders>
              <w:bottom w:val="single" w:color="auto" w:sz="4" w:space="0"/>
            </w:tcBorders>
            <w:noWrap w:val="0"/>
            <w:vAlign w:val="top"/>
          </w:tcPr>
          <w:p w14:paraId="2AE8790A">
            <w:pPr>
              <w:spacing w:line="500" w:lineRule="exact"/>
              <w:jc w:val="center"/>
              <w:rPr>
                <w:rFonts w:hint="eastAsia" w:ascii="宋体" w:hAnsi="宋体" w:eastAsia="宋体" w:cs="宋体"/>
                <w:color w:val="auto"/>
                <w:sz w:val="21"/>
                <w:szCs w:val="28"/>
                <w:highlight w:val="none"/>
              </w:rPr>
            </w:pPr>
          </w:p>
        </w:tc>
      </w:tr>
      <w:tr w14:paraId="760D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9619" w:type="dxa"/>
            <w:gridSpan w:val="6"/>
            <w:tcBorders>
              <w:bottom w:val="single" w:color="auto" w:sz="4" w:space="0"/>
            </w:tcBorders>
            <w:noWrap w:val="0"/>
            <w:vAlign w:val="center"/>
          </w:tcPr>
          <w:p w14:paraId="2B987B9E">
            <w:pPr>
              <w:spacing w:line="560" w:lineRule="exact"/>
              <w:rPr>
                <w:rFonts w:hint="eastAsia" w:ascii="宋体" w:hAnsi="宋体" w:eastAsia="宋体" w:cs="宋体"/>
                <w:color w:val="auto"/>
                <w:sz w:val="21"/>
                <w:szCs w:val="28"/>
                <w:highlight w:val="none"/>
              </w:rPr>
            </w:pPr>
            <w:r>
              <w:rPr>
                <w:rFonts w:hint="eastAsia" w:ascii="宋体" w:hAnsi="宋体" w:eastAsia="宋体" w:cs="宋体"/>
                <w:color w:val="auto"/>
                <w:sz w:val="21"/>
                <w:szCs w:val="28"/>
                <w:highlight w:val="none"/>
                <w:lang w:eastAsia="zh-CN"/>
              </w:rPr>
              <w:t>竞标总</w:t>
            </w:r>
            <w:r>
              <w:rPr>
                <w:rFonts w:hint="eastAsia" w:ascii="宋体" w:hAnsi="宋体" w:eastAsia="宋体" w:cs="宋体"/>
                <w:color w:val="auto"/>
                <w:sz w:val="21"/>
                <w:szCs w:val="28"/>
                <w:highlight w:val="none"/>
              </w:rPr>
              <w:t xml:space="preserve">报价（大写）：                           </w:t>
            </w:r>
          </w:p>
        </w:tc>
      </w:tr>
      <w:tr w14:paraId="6BFD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9619" w:type="dxa"/>
            <w:gridSpan w:val="6"/>
            <w:noWrap w:val="0"/>
            <w:vAlign w:val="center"/>
          </w:tcPr>
          <w:p w14:paraId="1BC71681">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备注：本项目采购单价最高限价为600.00元/人，总价最高限价为272400.00元，供应商的单价和总价均不得超过采购人发布的最高限价，否则将作</w:t>
            </w:r>
            <w:r>
              <w:rPr>
                <w:rFonts w:hint="eastAsia" w:ascii="宋体" w:hAnsi="宋体" w:cs="宋体"/>
                <w:color w:val="auto"/>
                <w:kern w:val="2"/>
                <w:sz w:val="21"/>
                <w:szCs w:val="28"/>
                <w:highlight w:val="none"/>
                <w:lang w:val="en-US" w:eastAsia="zh-CN" w:bidi="ar-SA"/>
              </w:rPr>
              <w:t>无效</w:t>
            </w:r>
            <w:r>
              <w:rPr>
                <w:rFonts w:hint="eastAsia" w:ascii="宋体" w:hAnsi="宋体" w:eastAsia="宋体" w:cs="宋体"/>
                <w:color w:val="auto"/>
                <w:kern w:val="2"/>
                <w:sz w:val="21"/>
                <w:szCs w:val="28"/>
                <w:highlight w:val="none"/>
                <w:lang w:val="en-US" w:eastAsia="zh-CN" w:bidi="ar-SA"/>
              </w:rPr>
              <w:t>竞标处理。竞标总报价=综合单价报价*暂定总人数，供应商应充分考虑完成本项目服务的所有风险及费用，结合自身实力进行报价。</w:t>
            </w:r>
          </w:p>
          <w:p w14:paraId="3F9B6654">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综合单价</w:t>
            </w:r>
            <w:r>
              <w:rPr>
                <w:rFonts w:hint="eastAsia" w:ascii="宋体" w:hAnsi="宋体" w:eastAsia="宋体" w:cs="宋体"/>
                <w:color w:val="auto"/>
                <w:kern w:val="2"/>
                <w:sz w:val="21"/>
                <w:szCs w:val="28"/>
                <w:highlight w:val="none"/>
                <w:lang w:val="zh-CN" w:eastAsia="zh-CN" w:bidi="ar-SA"/>
              </w:rPr>
              <w:t>报价包含：完成该项目所需的接送车辆运费、营养费（体检早餐）、保险、体检费（须含体检项目清单内的所有项目）、专家评估、一次性耗材、采购代理服务费、税费等所有费用。</w:t>
            </w:r>
            <w:r>
              <w:rPr>
                <w:rFonts w:hint="eastAsia" w:ascii="宋体" w:hAnsi="宋体" w:eastAsia="宋体" w:cs="宋体"/>
                <w:color w:val="auto"/>
                <w:kern w:val="2"/>
                <w:sz w:val="21"/>
                <w:szCs w:val="28"/>
                <w:highlight w:val="none"/>
                <w:lang w:val="en-US" w:eastAsia="zh-CN" w:bidi="ar-SA"/>
              </w:rPr>
              <w:t>因成交供应商自身原因造成漏报、少报皆由其自行承担责任，采购人不再补偿。</w:t>
            </w:r>
          </w:p>
          <w:p w14:paraId="3357B002">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8"/>
                <w:highlight w:val="none"/>
                <w:lang w:val="en-US" w:eastAsia="zh-CN" w:bidi="ar-SA"/>
              </w:rPr>
            </w:pPr>
            <w:r>
              <w:rPr>
                <w:rFonts w:hint="eastAsia" w:ascii="宋体" w:hAnsi="宋体" w:eastAsia="宋体" w:cs="宋体"/>
                <w:color w:val="auto"/>
                <w:kern w:val="2"/>
                <w:sz w:val="21"/>
                <w:szCs w:val="28"/>
                <w:highlight w:val="none"/>
                <w:lang w:val="en-US" w:eastAsia="zh-CN" w:bidi="ar-SA"/>
              </w:rPr>
              <w:t>实际结算价格=综合单价报价*实际体检人数。</w:t>
            </w:r>
          </w:p>
          <w:p w14:paraId="30FA18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8"/>
                <w:highlight w:val="none"/>
                <w:lang w:val="en-US" w:eastAsia="zh-CN" w:bidi="ar-SA"/>
              </w:rPr>
              <w:t>以上报价均为含税价格，除此以外采购人不再支付其他任何费用。</w:t>
            </w:r>
          </w:p>
        </w:tc>
      </w:tr>
    </w:tbl>
    <w:p w14:paraId="36126664">
      <w:pPr>
        <w:spacing w:line="500" w:lineRule="exact"/>
        <w:rPr>
          <w:rFonts w:hint="eastAsia" w:ascii="宋体" w:hAnsi="宋体" w:eastAsia="宋体" w:cs="宋体"/>
          <w:color w:val="auto"/>
          <w:sz w:val="24"/>
          <w:szCs w:val="28"/>
          <w:highlight w:val="none"/>
        </w:rPr>
      </w:pPr>
    </w:p>
    <w:p w14:paraId="1236F600">
      <w:pPr>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法定代表人（或法定代表人授权代表）或自然人：</w:t>
      </w:r>
    </w:p>
    <w:p w14:paraId="47C92734">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（供应商公章）                               （签署或盖章）</w:t>
      </w:r>
    </w:p>
    <w:p w14:paraId="39DD16FB">
      <w:pPr>
        <w:spacing w:line="500" w:lineRule="exact"/>
        <w:rPr>
          <w:rFonts w:hint="eastAsia" w:ascii="宋体" w:hAnsi="宋体" w:eastAsia="宋体" w:cs="宋体"/>
          <w:color w:val="auto"/>
          <w:sz w:val="24"/>
          <w:szCs w:val="28"/>
          <w:highlight w:val="none"/>
        </w:rPr>
      </w:pPr>
    </w:p>
    <w:p w14:paraId="06EF3476">
      <w:pPr>
        <w:spacing w:line="500" w:lineRule="exact"/>
        <w:rPr>
          <w:rFonts w:hint="eastAsia" w:ascii="宋体" w:hAnsi="宋体" w:eastAsia="宋体" w:cs="宋体"/>
          <w:color w:val="auto"/>
          <w:sz w:val="24"/>
          <w:szCs w:val="28"/>
          <w:highlight w:val="none"/>
        </w:rPr>
      </w:pPr>
    </w:p>
    <w:p w14:paraId="6A6FB37A">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年     月     日</w:t>
      </w:r>
    </w:p>
    <w:p w14:paraId="074A1DDF">
      <w:pPr>
        <w:snapToGrid w:val="0"/>
        <w:spacing w:line="500" w:lineRule="exact"/>
        <w:rPr>
          <w:rFonts w:hint="eastAsia" w:ascii="宋体" w:hAnsi="宋体" w:eastAsia="宋体" w:cs="宋体"/>
          <w:color w:val="auto"/>
          <w:sz w:val="24"/>
          <w:szCs w:val="28"/>
          <w:highlight w:val="none"/>
        </w:rPr>
      </w:pPr>
    </w:p>
    <w:p w14:paraId="1918F6A4">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说明：</w:t>
      </w:r>
    </w:p>
    <w:p w14:paraId="7056BF24">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1.报价函按格式填列；</w:t>
      </w:r>
    </w:p>
    <w:p w14:paraId="566C61F7">
      <w:pPr>
        <w:shd w:val="clear"/>
        <w:tabs>
          <w:tab w:val="left" w:pos="6300"/>
        </w:tabs>
        <w:snapToGrid w:val="0"/>
        <w:spacing w:line="312" w:lineRule="auto"/>
        <w:outlineLvl w:val="9"/>
        <w:rPr>
          <w:rFonts w:hint="eastAsia" w:ascii="宋体" w:hAnsi="宋体" w:eastAsia="宋体" w:cs="宋体"/>
          <w:color w:val="auto"/>
          <w:sz w:val="24"/>
          <w:szCs w:val="24"/>
          <w:highlight w:val="none"/>
          <w:u w:val="single"/>
        </w:rPr>
      </w:pPr>
    </w:p>
    <w:p w14:paraId="61AC2F9F">
      <w:pPr>
        <w:shd w:val="clear"/>
        <w:tabs>
          <w:tab w:val="left" w:pos="6300"/>
        </w:tabs>
        <w:snapToGrid w:val="0"/>
        <w:spacing w:line="312" w:lineRule="auto"/>
        <w:outlineLvl w:val="9"/>
        <w:rPr>
          <w:rFonts w:hint="eastAsia" w:ascii="宋体" w:hAnsi="宋体" w:eastAsia="宋体" w:cs="宋体"/>
          <w:color w:val="auto"/>
          <w:sz w:val="24"/>
          <w:szCs w:val="24"/>
          <w:highlight w:val="none"/>
          <w:u w:val="single"/>
        </w:rPr>
      </w:pPr>
    </w:p>
    <w:p w14:paraId="7A84B2EE">
      <w:pPr>
        <w:pStyle w:val="3"/>
        <w:shd w:val="clear"/>
        <w:spacing w:before="0" w:after="0" w:line="360" w:lineRule="auto"/>
        <w:outlineLvl w:val="1"/>
        <w:rPr>
          <w:rFonts w:hint="eastAsia" w:ascii="宋体" w:hAnsi="宋体" w:eastAsia="宋体" w:cs="宋体"/>
          <w:color w:val="auto"/>
          <w:sz w:val="24"/>
          <w:szCs w:val="24"/>
          <w:highlight w:val="none"/>
        </w:rPr>
      </w:pPr>
      <w:bookmarkStart w:id="191" w:name="_Toc31257"/>
      <w:bookmarkStart w:id="192" w:name="_Toc342913420"/>
      <w:bookmarkStart w:id="193" w:name="_Toc313888361"/>
      <w:bookmarkStart w:id="194" w:name="_Toc31549"/>
      <w:bookmarkStart w:id="195" w:name="_Toc13112"/>
      <w:bookmarkStart w:id="196" w:name="_Toc20216"/>
      <w:bookmarkStart w:id="197" w:name="_Toc11802"/>
      <w:bookmarkStart w:id="198" w:name="_Toc313008357"/>
      <w:bookmarkStart w:id="199" w:name="_Toc6965"/>
      <w:bookmarkStart w:id="200" w:name="_Toc26958"/>
      <w:bookmarkStart w:id="201" w:name="_Toc27044"/>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bookmarkEnd w:id="191"/>
      <w:bookmarkEnd w:id="192"/>
      <w:bookmarkEnd w:id="193"/>
      <w:bookmarkEnd w:id="194"/>
      <w:bookmarkEnd w:id="195"/>
      <w:bookmarkEnd w:id="196"/>
      <w:bookmarkEnd w:id="197"/>
      <w:bookmarkEnd w:id="198"/>
      <w:bookmarkEnd w:id="199"/>
      <w:bookmarkEnd w:id="200"/>
      <w:bookmarkEnd w:id="201"/>
    </w:p>
    <w:p w14:paraId="5247D604">
      <w:pPr>
        <w:shd w:val="clear"/>
        <w:snapToGrid w:val="0"/>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响应偏离表</w:t>
      </w:r>
    </w:p>
    <w:p w14:paraId="674B9FE1">
      <w:pPr>
        <w:shd w:val="clea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lang w:val="en-US" w:eastAsia="zh-CN"/>
        </w:rPr>
        <w:t>服务</w:t>
      </w:r>
      <w:r>
        <w:rPr>
          <w:rFonts w:hint="eastAsia" w:ascii="宋体" w:hAnsi="宋体" w:eastAsia="宋体" w:cs="宋体"/>
          <w:b/>
          <w:color w:val="auto"/>
          <w:szCs w:val="28"/>
          <w:highlight w:val="none"/>
        </w:rPr>
        <w:t>响应偏离表</w:t>
      </w:r>
    </w:p>
    <w:p w14:paraId="2EB96D23">
      <w:pPr>
        <w:shd w:val="clea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w:t>
      </w:r>
      <w:r>
        <w:rPr>
          <w:rFonts w:hint="eastAsia" w:ascii="宋体" w:hAnsi="宋体" w:eastAsia="宋体" w:cs="宋体"/>
          <w:color w:val="auto"/>
          <w:sz w:val="24"/>
          <w:szCs w:val="24"/>
          <w:highlight w:val="none"/>
          <w:lang w:val="en-US" w:eastAsia="zh-CN"/>
        </w:rPr>
        <w:t>竞争性比选文件</w:t>
      </w:r>
      <w:r>
        <w:rPr>
          <w:rFonts w:hint="eastAsia" w:ascii="宋体" w:hAnsi="宋体" w:eastAsia="宋体" w:cs="宋体"/>
          <w:color w:val="auto"/>
          <w:sz w:val="24"/>
          <w:szCs w:val="24"/>
          <w:highlight w:val="none"/>
        </w:rPr>
        <w:t>的技术服务要求，如有任何偏离请如实填写下表：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6E0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A4228EE">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4A5FA976">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4340207C">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4DC6BCA5">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1822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9BCEE26">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C70CAF8">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EB21080">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9E1DB96">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8DF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5B3314">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B8C3B01">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940273B">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9DBA4A3">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E12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F3BE87D">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FCC68BE">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6564206">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20FE982">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E35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57FA5AA">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A0C2F4C">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2902DBF">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A74A847">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913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740D123">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2451702">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1FDB379">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FA42F81">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927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240928B">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201718F">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F9086CA">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FC2A7F6">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1682A68D">
      <w:pPr>
        <w:shd w:val="clear"/>
        <w:snapToGrid w:val="0"/>
        <w:spacing w:line="360" w:lineRule="auto"/>
        <w:ind w:firstLine="465"/>
        <w:rPr>
          <w:rFonts w:hint="eastAsia" w:ascii="宋体" w:hAnsi="宋体" w:eastAsia="宋体" w:cs="宋体"/>
          <w:color w:val="auto"/>
          <w:sz w:val="24"/>
          <w:szCs w:val="24"/>
          <w:highlight w:val="none"/>
        </w:rPr>
      </w:pPr>
    </w:p>
    <w:p w14:paraId="40CD2FF1">
      <w:pPr>
        <w:shd w:val="clea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61329C2E">
      <w:pPr>
        <w:shd w:val="clear"/>
        <w:spacing w:line="500" w:lineRule="exact"/>
        <w:rPr>
          <w:rFonts w:hint="eastAsia" w:ascii="宋体" w:hAnsi="宋体" w:eastAsia="宋体" w:cs="宋体"/>
          <w:color w:val="auto"/>
          <w:sz w:val="24"/>
          <w:szCs w:val="28"/>
          <w:highlight w:val="none"/>
        </w:rPr>
      </w:pPr>
    </w:p>
    <w:p w14:paraId="4D87F0A0">
      <w:pPr>
        <w:shd w:val="clea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660F3B08">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415EF8A2">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8127929">
      <w:pPr>
        <w:shd w:val="clea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项目服务需求”中所列要求进行比较和响应；</w:t>
      </w:r>
    </w:p>
    <w:p w14:paraId="36B49598">
      <w:pPr>
        <w:shd w:val="clea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2.该表必须按照网上</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rPr>
        <w:t xml:space="preserve">要求逐条如实填写，“采购项目需求”填写本文件“第二篇 </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服务需求”中所列要求的内容，“响应情况”填写竞标响应的内容，根据响应情况在“差异说明”项填写正偏离或负偏离及原因，完全符合的填写“无差异”；</w:t>
      </w:r>
    </w:p>
    <w:p w14:paraId="33051081">
      <w:pPr>
        <w:shd w:val="clea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3.该表可扩展，并逐页签字或加盖供应商公章。</w:t>
      </w:r>
    </w:p>
    <w:p w14:paraId="77E819FD">
      <w:pPr>
        <w:shd w:val="clear"/>
        <w:rPr>
          <w:rStyle w:val="40"/>
          <w:rFonts w:hint="eastAsia" w:ascii="宋体" w:hAnsi="宋体" w:eastAsia="宋体" w:cs="宋体"/>
          <w:b w:val="0"/>
          <w:bCs/>
          <w:color w:val="auto"/>
          <w:sz w:val="24"/>
          <w:szCs w:val="24"/>
          <w:highlight w:val="none"/>
          <w:lang w:eastAsia="zh-CN"/>
        </w:rPr>
      </w:pPr>
      <w:bookmarkStart w:id="202" w:name="_Toc10058"/>
      <w:bookmarkStart w:id="203" w:name="_Toc13821"/>
      <w:bookmarkStart w:id="204" w:name="_Toc1175"/>
      <w:bookmarkStart w:id="205" w:name="_Toc16952"/>
      <w:bookmarkStart w:id="206" w:name="_Toc27142"/>
    </w:p>
    <w:p w14:paraId="08F492B1">
      <w:pPr>
        <w:shd w:val="clear"/>
        <w:rPr>
          <w:rStyle w:val="40"/>
          <w:rFonts w:hint="eastAsia" w:ascii="宋体" w:hAnsi="宋体" w:eastAsia="宋体" w:cs="宋体"/>
          <w:b w:val="0"/>
          <w:bCs/>
          <w:color w:val="auto"/>
          <w:sz w:val="24"/>
          <w:szCs w:val="24"/>
          <w:highlight w:val="none"/>
          <w:lang w:eastAsia="zh-CN"/>
        </w:rPr>
      </w:pPr>
    </w:p>
    <w:p w14:paraId="5FB4A9B5">
      <w:pPr>
        <w:pStyle w:val="3"/>
        <w:shd w:val="clear"/>
        <w:spacing w:before="0" w:after="0" w:line="360" w:lineRule="auto"/>
        <w:outlineLvl w:val="1"/>
        <w:rPr>
          <w:rStyle w:val="40"/>
          <w:rFonts w:hint="eastAsia" w:ascii="宋体" w:hAnsi="宋体" w:eastAsia="宋体" w:cs="宋体"/>
          <w:b w:val="0"/>
          <w:bCs/>
          <w:color w:val="auto"/>
          <w:sz w:val="24"/>
          <w:szCs w:val="24"/>
          <w:highlight w:val="none"/>
          <w:lang w:eastAsia="zh-CN"/>
        </w:rPr>
      </w:pPr>
    </w:p>
    <w:p w14:paraId="5F182D2C">
      <w:pPr>
        <w:rPr>
          <w:rStyle w:val="40"/>
          <w:rFonts w:hint="eastAsia" w:ascii="宋体" w:hAnsi="宋体" w:eastAsia="宋体" w:cs="宋体"/>
          <w:b w:val="0"/>
          <w:bCs/>
          <w:color w:val="auto"/>
          <w:sz w:val="24"/>
          <w:szCs w:val="24"/>
          <w:highlight w:val="none"/>
          <w:lang w:eastAsia="zh-CN"/>
        </w:rPr>
      </w:pPr>
    </w:p>
    <w:p w14:paraId="40938D7B">
      <w:pPr>
        <w:pStyle w:val="16"/>
        <w:rPr>
          <w:rFonts w:hint="eastAsia" w:ascii="宋体" w:hAnsi="宋体" w:eastAsia="宋体" w:cs="宋体"/>
          <w:color w:val="auto"/>
          <w:highlight w:val="none"/>
          <w:lang w:eastAsia="zh-CN"/>
        </w:rPr>
      </w:pPr>
    </w:p>
    <w:p w14:paraId="382FFD47">
      <w:pPr>
        <w:pStyle w:val="3"/>
        <w:shd w:val="clear"/>
        <w:spacing w:before="0" w:after="0" w:line="360" w:lineRule="auto"/>
        <w:outlineLvl w:val="1"/>
        <w:rPr>
          <w:rFonts w:hint="eastAsia" w:ascii="宋体" w:hAnsi="宋体" w:eastAsia="宋体" w:cs="宋体"/>
          <w:color w:val="auto"/>
          <w:sz w:val="24"/>
          <w:szCs w:val="24"/>
          <w:highlight w:val="none"/>
        </w:rPr>
      </w:pPr>
      <w:bookmarkStart w:id="207" w:name="_Toc17038"/>
      <w:r>
        <w:rPr>
          <w:rStyle w:val="40"/>
          <w:rFonts w:hint="eastAsia" w:ascii="宋体" w:hAnsi="宋体" w:eastAsia="宋体" w:cs="宋体"/>
          <w:b w:val="0"/>
          <w:bCs/>
          <w:color w:val="auto"/>
          <w:sz w:val="24"/>
          <w:szCs w:val="24"/>
          <w:highlight w:val="none"/>
          <w:lang w:eastAsia="zh-CN"/>
        </w:rPr>
        <w:t>（</w:t>
      </w:r>
      <w:r>
        <w:rPr>
          <w:rStyle w:val="40"/>
          <w:rFonts w:hint="eastAsia" w:ascii="宋体" w:hAnsi="宋体" w:eastAsia="宋体" w:cs="宋体"/>
          <w:b w:val="0"/>
          <w:bCs/>
          <w:color w:val="auto"/>
          <w:sz w:val="24"/>
          <w:szCs w:val="24"/>
          <w:highlight w:val="none"/>
          <w:lang w:val="en-US" w:eastAsia="zh-CN"/>
        </w:rPr>
        <w:t>二</w:t>
      </w:r>
      <w:r>
        <w:rPr>
          <w:rStyle w:val="40"/>
          <w:rFonts w:hint="eastAsia" w:ascii="宋体" w:hAnsi="宋体" w:eastAsia="宋体" w:cs="宋体"/>
          <w:b w:val="0"/>
          <w:bCs/>
          <w:color w:val="auto"/>
          <w:sz w:val="24"/>
          <w:szCs w:val="24"/>
          <w:highlight w:val="none"/>
          <w:lang w:eastAsia="zh-CN"/>
        </w:rPr>
        <w:t>）</w:t>
      </w:r>
      <w:r>
        <w:rPr>
          <w:rStyle w:val="40"/>
          <w:rFonts w:hint="eastAsia" w:ascii="宋体" w:hAnsi="宋体" w:eastAsia="宋体" w:cs="宋体"/>
          <w:b w:val="0"/>
          <w:bCs/>
          <w:color w:val="auto"/>
          <w:sz w:val="24"/>
          <w:szCs w:val="24"/>
          <w:highlight w:val="none"/>
          <w:lang w:val="en-US" w:eastAsia="zh-CN"/>
        </w:rPr>
        <w:t>服务</w:t>
      </w:r>
      <w:r>
        <w:rPr>
          <w:rStyle w:val="40"/>
          <w:rFonts w:hint="eastAsia" w:ascii="宋体" w:hAnsi="宋体" w:eastAsia="宋体" w:cs="宋体"/>
          <w:b w:val="0"/>
          <w:bCs/>
          <w:color w:val="auto"/>
          <w:sz w:val="24"/>
          <w:szCs w:val="24"/>
          <w:highlight w:val="none"/>
        </w:rPr>
        <w:t>方案（格式自定，建议按照评审标准</w:t>
      </w:r>
      <w:r>
        <w:rPr>
          <w:rStyle w:val="40"/>
          <w:rFonts w:hint="eastAsia" w:ascii="宋体" w:hAnsi="宋体" w:eastAsia="宋体" w:cs="宋体"/>
          <w:b w:val="0"/>
          <w:bCs/>
          <w:color w:val="auto"/>
          <w:sz w:val="24"/>
          <w:szCs w:val="24"/>
          <w:highlight w:val="none"/>
          <w:lang w:val="en-US" w:eastAsia="zh-CN"/>
        </w:rPr>
        <w:t>服务</w:t>
      </w:r>
      <w:r>
        <w:rPr>
          <w:rStyle w:val="40"/>
          <w:rFonts w:hint="eastAsia" w:ascii="宋体" w:hAnsi="宋体" w:eastAsia="宋体" w:cs="宋体"/>
          <w:b w:val="0"/>
          <w:bCs/>
          <w:color w:val="auto"/>
          <w:sz w:val="24"/>
          <w:szCs w:val="24"/>
          <w:highlight w:val="none"/>
        </w:rPr>
        <w:t>部分编写）</w:t>
      </w:r>
      <w:r>
        <w:rPr>
          <w:rFonts w:hint="eastAsia" w:ascii="宋体" w:hAnsi="宋体" w:eastAsia="宋体" w:cs="宋体"/>
          <w:color w:val="auto"/>
          <w:highlight w:val="none"/>
        </w:rPr>
        <w:br w:type="page"/>
      </w:r>
      <w:bookmarkStart w:id="208" w:name="_Toc313888362"/>
      <w:bookmarkStart w:id="209" w:name="_Toc30551"/>
      <w:bookmarkStart w:id="210" w:name="_Toc313008358"/>
      <w:bookmarkStart w:id="211" w:name="_Toc342913421"/>
      <w:bookmarkStart w:id="212" w:name="_Toc18617"/>
      <w:r>
        <w:rPr>
          <w:rFonts w:hint="eastAsia" w:ascii="宋体" w:hAnsi="宋体" w:eastAsia="宋体" w:cs="宋体"/>
          <w:color w:val="auto"/>
          <w:sz w:val="24"/>
          <w:szCs w:val="24"/>
          <w:highlight w:val="none"/>
          <w:lang w:val="en-US" w:eastAsia="zh-CN"/>
        </w:rPr>
        <w:t>三、商务</w:t>
      </w:r>
      <w:r>
        <w:rPr>
          <w:rFonts w:hint="eastAsia" w:ascii="宋体" w:hAnsi="宋体" w:eastAsia="宋体" w:cs="宋体"/>
          <w:color w:val="auto"/>
          <w:sz w:val="24"/>
          <w:szCs w:val="24"/>
          <w:highlight w:val="none"/>
        </w:rPr>
        <w:t>部分</w:t>
      </w:r>
      <w:bookmarkEnd w:id="207"/>
    </w:p>
    <w:bookmarkEnd w:id="202"/>
    <w:bookmarkEnd w:id="203"/>
    <w:bookmarkEnd w:id="204"/>
    <w:bookmarkEnd w:id="205"/>
    <w:bookmarkEnd w:id="206"/>
    <w:bookmarkEnd w:id="208"/>
    <w:bookmarkEnd w:id="209"/>
    <w:bookmarkEnd w:id="210"/>
    <w:bookmarkEnd w:id="211"/>
    <w:bookmarkEnd w:id="212"/>
    <w:p w14:paraId="629A5477">
      <w:pPr>
        <w:shd w:val="clear"/>
        <w:snapToGrid w:val="0"/>
        <w:spacing w:line="360" w:lineRule="auto"/>
        <w:outlineLvl w:val="2"/>
        <w:rPr>
          <w:rFonts w:hint="eastAsia" w:ascii="宋体" w:hAnsi="宋体" w:eastAsia="宋体" w:cs="宋体"/>
          <w:color w:val="auto"/>
          <w:sz w:val="24"/>
          <w:szCs w:val="24"/>
          <w:highlight w:val="none"/>
        </w:rPr>
      </w:pPr>
      <w:bookmarkStart w:id="213" w:name="_Toc30359"/>
      <w:r>
        <w:rPr>
          <w:rFonts w:hint="eastAsia" w:ascii="宋体" w:hAnsi="宋体" w:eastAsia="宋体" w:cs="宋体"/>
          <w:color w:val="auto"/>
          <w:sz w:val="24"/>
          <w:szCs w:val="24"/>
          <w:highlight w:val="none"/>
        </w:rPr>
        <w:t>（一）</w:t>
      </w:r>
      <w:bookmarkEnd w:id="213"/>
      <w:bookmarkStart w:id="214" w:name="_Toc283382459"/>
      <w:r>
        <w:rPr>
          <w:rFonts w:hint="eastAsia" w:ascii="宋体" w:hAnsi="宋体" w:eastAsia="宋体" w:cs="宋体"/>
          <w:color w:val="auto"/>
          <w:sz w:val="24"/>
          <w:szCs w:val="24"/>
          <w:highlight w:val="none"/>
        </w:rPr>
        <w:t>商务响应偏离表</w:t>
      </w:r>
    </w:p>
    <w:p w14:paraId="3BB62EBA">
      <w:pPr>
        <w:shd w:val="clea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6D3B0000">
      <w:pPr>
        <w:shd w:val="clea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w:t>
      </w:r>
      <w:r>
        <w:rPr>
          <w:rFonts w:hint="eastAsia" w:ascii="宋体" w:hAnsi="宋体" w:eastAsia="宋体" w:cs="宋体"/>
          <w:color w:val="auto"/>
          <w:sz w:val="24"/>
          <w:szCs w:val="24"/>
          <w:highlight w:val="none"/>
          <w:lang w:val="en-US" w:eastAsia="zh-CN"/>
        </w:rPr>
        <w:t>竞争性比选文件</w:t>
      </w:r>
      <w:r>
        <w:rPr>
          <w:rFonts w:hint="eastAsia" w:ascii="宋体" w:hAnsi="宋体" w:eastAsia="宋体" w:cs="宋体"/>
          <w:color w:val="auto"/>
          <w:sz w:val="24"/>
          <w:szCs w:val="24"/>
          <w:highlight w:val="none"/>
        </w:rPr>
        <w:t>的商务要求，如有任何偏离请如实填写下表：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CC1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0BAB6F4">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171768B5">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0E28EF37">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7F49264C">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3F98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5D0A1E">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92A2DB1">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613B423">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A901997">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74A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7BC2EA">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6139558">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4BFF5E8">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43D6AFA">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542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F7C617A">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E05E3F4">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96886D1">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EC2FF26">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DA3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481A08">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81B675F">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55A8E05">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D67B655">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48F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5CA47F9">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6F844A2">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2D8226C">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CBF7667">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C8F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FBE7C96">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25A4B0A">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3AE840D">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DC09C09">
            <w:pPr>
              <w:shd w:val="clea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45B557C5">
      <w:pPr>
        <w:shd w:val="clear"/>
        <w:snapToGrid w:val="0"/>
        <w:spacing w:line="360" w:lineRule="auto"/>
        <w:ind w:firstLine="465"/>
        <w:rPr>
          <w:rFonts w:hint="eastAsia" w:ascii="宋体" w:hAnsi="宋体" w:eastAsia="宋体" w:cs="宋体"/>
          <w:color w:val="auto"/>
          <w:sz w:val="24"/>
          <w:szCs w:val="24"/>
          <w:highlight w:val="none"/>
        </w:rPr>
      </w:pPr>
    </w:p>
    <w:p w14:paraId="340BCFF4">
      <w:pPr>
        <w:shd w:val="clea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30A98529">
      <w:pPr>
        <w:shd w:val="clear"/>
        <w:spacing w:line="500" w:lineRule="exact"/>
        <w:rPr>
          <w:rFonts w:hint="eastAsia" w:ascii="宋体" w:hAnsi="宋体" w:eastAsia="宋体" w:cs="宋体"/>
          <w:color w:val="auto"/>
          <w:sz w:val="24"/>
          <w:szCs w:val="28"/>
          <w:highlight w:val="none"/>
        </w:rPr>
      </w:pPr>
    </w:p>
    <w:p w14:paraId="4C776E8A">
      <w:pPr>
        <w:shd w:val="clear"/>
        <w:spacing w:line="500" w:lineRule="exact"/>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7E87D623">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 xml:space="preserve">                                            年     月     日</w:t>
      </w:r>
    </w:p>
    <w:p w14:paraId="14426669">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573FF7F6">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.本表即为对本项目“第三篇 项目商务需求”中所列要求进行比较和响应；</w:t>
      </w:r>
    </w:p>
    <w:p w14:paraId="3C509538">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2.该表必须按照网上</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highlight w:val="none"/>
        </w:rPr>
        <w:t>要求逐条如实填写，</w:t>
      </w:r>
      <w:r>
        <w:rPr>
          <w:rFonts w:hint="eastAsia" w:ascii="宋体" w:hAnsi="宋体" w:eastAsia="宋体" w:cs="宋体"/>
          <w:color w:val="auto"/>
          <w:sz w:val="24"/>
          <w:szCs w:val="24"/>
          <w:highlight w:val="none"/>
        </w:rPr>
        <w:t>“采购项目需求”填写本文件</w:t>
      </w:r>
      <w:r>
        <w:rPr>
          <w:rFonts w:hint="eastAsia" w:ascii="宋体" w:hAnsi="宋体" w:eastAsia="宋体" w:cs="宋体"/>
          <w:color w:val="auto"/>
          <w:sz w:val="24"/>
          <w:highlight w:val="none"/>
        </w:rPr>
        <w:t>“第三篇 项目商务需求”</w:t>
      </w:r>
      <w:r>
        <w:rPr>
          <w:rFonts w:hint="eastAsia" w:ascii="宋体" w:hAnsi="宋体" w:eastAsia="宋体" w:cs="宋体"/>
          <w:color w:val="auto"/>
          <w:sz w:val="24"/>
          <w:szCs w:val="24"/>
          <w:highlight w:val="none"/>
        </w:rPr>
        <w:t>中所列要求的内容，“响应情况”填写竞标响应的内容，</w:t>
      </w:r>
      <w:r>
        <w:rPr>
          <w:rFonts w:hint="eastAsia" w:ascii="宋体" w:hAnsi="宋体" w:eastAsia="宋体" w:cs="宋体"/>
          <w:color w:val="auto"/>
          <w:sz w:val="24"/>
          <w:highlight w:val="none"/>
        </w:rPr>
        <w:t>根据响应情况在“差异说明”项填写正偏离或负偏离及原因，完全符合的填写“无差异”；</w:t>
      </w:r>
    </w:p>
    <w:p w14:paraId="2D7C8A57">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3.该表可扩展</w:t>
      </w:r>
      <w:r>
        <w:rPr>
          <w:rFonts w:hint="eastAsia" w:ascii="宋体" w:hAnsi="宋体" w:eastAsia="宋体" w:cs="宋体"/>
          <w:color w:val="auto"/>
          <w:sz w:val="24"/>
          <w:szCs w:val="28"/>
          <w:highlight w:val="none"/>
        </w:rPr>
        <w:t>，并逐页签字或加盖供应商公章</w:t>
      </w:r>
      <w:r>
        <w:rPr>
          <w:rFonts w:hint="eastAsia" w:ascii="宋体" w:hAnsi="宋体" w:eastAsia="宋体" w:cs="宋体"/>
          <w:color w:val="auto"/>
          <w:sz w:val="24"/>
          <w:highlight w:val="none"/>
        </w:rPr>
        <w:t>。</w:t>
      </w:r>
    </w:p>
    <w:p w14:paraId="2B145A8C">
      <w:pPr>
        <w:pStyle w:val="21"/>
        <w:shd w:val="clear"/>
        <w:ind w:left="560" w:firstLine="880"/>
        <w:rPr>
          <w:rFonts w:hint="eastAsia" w:ascii="宋体" w:hAnsi="宋体" w:eastAsia="宋体" w:cs="宋体"/>
          <w:color w:val="auto"/>
          <w:highlight w:val="none"/>
        </w:rPr>
      </w:pPr>
    </w:p>
    <w:p w14:paraId="35E81B41">
      <w:pPr>
        <w:shd w:val="clea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86A9231">
      <w:pPr>
        <w:shd w:val="clear"/>
        <w:spacing w:line="360" w:lineRule="auto"/>
        <w:outlineLvl w:val="2"/>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商务部分相关证明材料</w:t>
      </w:r>
      <w:r>
        <w:rPr>
          <w:rFonts w:hint="eastAsia" w:ascii="宋体" w:hAnsi="宋体" w:eastAsia="宋体" w:cs="宋体"/>
          <w:color w:val="auto"/>
          <w:sz w:val="24"/>
          <w:szCs w:val="24"/>
          <w:highlight w:val="none"/>
        </w:rPr>
        <w:t>（格式自定，建议按照评审标准</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部分编写）</w:t>
      </w:r>
    </w:p>
    <w:p w14:paraId="7D13895A">
      <w:pPr>
        <w:shd w:val="clear"/>
        <w:spacing w:line="360" w:lineRule="auto"/>
        <w:outlineLvl w:val="2"/>
        <w:rPr>
          <w:rFonts w:hint="eastAsia" w:ascii="宋体" w:hAnsi="宋体" w:eastAsia="宋体" w:cs="宋体"/>
          <w:color w:val="auto"/>
          <w:sz w:val="24"/>
          <w:szCs w:val="24"/>
          <w:highlight w:val="none"/>
        </w:rPr>
      </w:pPr>
    </w:p>
    <w:p w14:paraId="69EC3478">
      <w:pPr>
        <w:shd w:val="clear"/>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（三）其它优惠服务承诺（格式自定）</w:t>
      </w:r>
    </w:p>
    <w:p w14:paraId="113B3EB5">
      <w:pPr>
        <w:shd w:val="clear"/>
        <w:spacing w:line="360" w:lineRule="auto"/>
        <w:rPr>
          <w:rFonts w:hint="eastAsia" w:ascii="宋体" w:hAnsi="宋体" w:eastAsia="宋体" w:cs="宋体"/>
          <w:color w:val="auto"/>
          <w:sz w:val="24"/>
          <w:szCs w:val="24"/>
          <w:highlight w:val="none"/>
        </w:rPr>
      </w:pPr>
    </w:p>
    <w:p w14:paraId="4CB54E30">
      <w:pPr>
        <w:pStyle w:val="3"/>
        <w:shd w:val="clear"/>
        <w:spacing w:before="0" w:after="0" w:line="360" w:lineRule="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214"/>
      <w:bookmarkStart w:id="215" w:name="_Toc342913422"/>
      <w:bookmarkStart w:id="216" w:name="_Toc21927"/>
      <w:bookmarkStart w:id="217" w:name="_Toc313008359"/>
      <w:bookmarkStart w:id="218" w:name="_Toc6690"/>
      <w:bookmarkStart w:id="219" w:name="_Toc16819"/>
      <w:bookmarkStart w:id="220" w:name="_Toc27025"/>
      <w:bookmarkStart w:id="221" w:name="_Toc8587"/>
      <w:bookmarkStart w:id="222" w:name="_Toc313888363"/>
      <w:bookmarkStart w:id="223" w:name="_Toc2366"/>
      <w:bookmarkStart w:id="224" w:name="_Toc12744"/>
      <w:bookmarkStart w:id="225" w:name="_Toc26076"/>
      <w:r>
        <w:rPr>
          <w:rFonts w:hint="eastAsia" w:ascii="宋体" w:hAnsi="宋体" w:eastAsia="宋体" w:cs="宋体"/>
          <w:color w:val="auto"/>
          <w:sz w:val="24"/>
          <w:szCs w:val="24"/>
          <w:highlight w:val="none"/>
        </w:rPr>
        <w:t>四、资格条件及其他</w:t>
      </w:r>
      <w:bookmarkEnd w:id="215"/>
      <w:bookmarkEnd w:id="216"/>
      <w:bookmarkEnd w:id="217"/>
      <w:bookmarkEnd w:id="218"/>
      <w:bookmarkEnd w:id="219"/>
      <w:bookmarkEnd w:id="220"/>
      <w:bookmarkEnd w:id="221"/>
      <w:bookmarkEnd w:id="222"/>
      <w:bookmarkEnd w:id="223"/>
      <w:bookmarkEnd w:id="224"/>
      <w:bookmarkEnd w:id="225"/>
    </w:p>
    <w:p w14:paraId="062D3DD4">
      <w:pPr>
        <w:shd w:val="clear"/>
        <w:snapToGrid w:val="0"/>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6EBA97A3">
      <w:pPr>
        <w:shd w:val="clear"/>
        <w:snapToGrid w:val="0"/>
        <w:spacing w:line="360" w:lineRule="auto"/>
        <w:rPr>
          <w:rFonts w:hint="eastAsia" w:ascii="宋体" w:hAnsi="宋体" w:eastAsia="宋体" w:cs="宋体"/>
          <w:color w:val="auto"/>
          <w:sz w:val="24"/>
          <w:szCs w:val="24"/>
          <w:highlight w:val="none"/>
        </w:rPr>
      </w:pPr>
    </w:p>
    <w:p w14:paraId="6F5A2065">
      <w:pPr>
        <w:numPr>
          <w:ilvl w:val="0"/>
          <w:numId w:val="3"/>
        </w:numPr>
        <w:shd w:val="clear"/>
        <w:snapToGrid w:val="0"/>
        <w:spacing w:line="360" w:lineRule="auto"/>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组织机构代码证复印件</w:t>
      </w:r>
    </w:p>
    <w:p w14:paraId="4ED781C7">
      <w:pPr>
        <w:pStyle w:val="7"/>
        <w:numPr>
          <w:ilvl w:val="0"/>
          <w:numId w:val="0"/>
        </w:numPr>
        <w:shd w:val="clear"/>
        <w:rPr>
          <w:rFonts w:hint="eastAsia" w:ascii="宋体" w:hAnsi="宋体" w:eastAsia="宋体" w:cs="宋体"/>
          <w:color w:val="auto"/>
          <w:highlight w:val="none"/>
        </w:rPr>
      </w:pPr>
    </w:p>
    <w:p w14:paraId="694F7F7A">
      <w:pPr>
        <w:widowControl/>
        <w:shd w:val="clear"/>
        <w:jc w:val="left"/>
        <w:outlineLvl w:val="2"/>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（三）法定代表人身份证明书（格式）</w:t>
      </w:r>
    </w:p>
    <w:p w14:paraId="47AED5AF">
      <w:pPr>
        <w:shd w:val="clear"/>
        <w:tabs>
          <w:tab w:val="left" w:pos="6300"/>
        </w:tabs>
        <w:snapToGrid w:val="0"/>
        <w:spacing w:line="500" w:lineRule="exact"/>
        <w:ind w:firstLine="570"/>
        <w:rPr>
          <w:rFonts w:hint="eastAsia" w:ascii="宋体" w:hAnsi="宋体" w:eastAsia="宋体" w:cs="宋体"/>
          <w:color w:val="auto"/>
          <w:sz w:val="24"/>
          <w:highlight w:val="none"/>
        </w:rPr>
      </w:pPr>
    </w:p>
    <w:p w14:paraId="30266B09">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14:paraId="1C939D44">
      <w:pPr>
        <w:shd w:val="clear"/>
        <w:tabs>
          <w:tab w:val="left" w:pos="6300"/>
        </w:tabs>
        <w:snapToGrid w:val="0"/>
        <w:spacing w:line="500" w:lineRule="exact"/>
        <w:ind w:firstLine="570"/>
        <w:rPr>
          <w:rFonts w:hint="eastAsia" w:ascii="宋体" w:hAnsi="宋体" w:eastAsia="宋体" w:cs="宋体"/>
          <w:color w:val="auto"/>
          <w:sz w:val="24"/>
          <w:highlight w:val="none"/>
        </w:rPr>
      </w:pPr>
    </w:p>
    <w:p w14:paraId="00332951">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名称）：</w:t>
      </w:r>
    </w:p>
    <w:p w14:paraId="533B19C6">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（供应商名称）的法定代表人。</w:t>
      </w:r>
    </w:p>
    <w:p w14:paraId="1E566B4E">
      <w:pPr>
        <w:shd w:val="clear"/>
        <w:tabs>
          <w:tab w:val="left" w:pos="6300"/>
        </w:tabs>
        <w:snapToGrid w:val="0"/>
        <w:spacing w:line="500" w:lineRule="exact"/>
        <w:ind w:firstLine="570"/>
        <w:rPr>
          <w:rFonts w:hint="eastAsia" w:ascii="宋体" w:hAnsi="宋体" w:eastAsia="宋体" w:cs="宋体"/>
          <w:color w:val="auto"/>
          <w:sz w:val="24"/>
          <w:highlight w:val="none"/>
        </w:rPr>
      </w:pPr>
    </w:p>
    <w:p w14:paraId="44CA8B1D">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3588E2B">
      <w:pPr>
        <w:shd w:val="clear"/>
        <w:tabs>
          <w:tab w:val="left" w:pos="6300"/>
        </w:tabs>
        <w:snapToGrid w:val="0"/>
        <w:spacing w:line="500" w:lineRule="exact"/>
        <w:ind w:firstLine="570"/>
        <w:rPr>
          <w:rFonts w:hint="eastAsia" w:ascii="宋体" w:hAnsi="宋体" w:eastAsia="宋体" w:cs="宋体"/>
          <w:color w:val="auto"/>
          <w:sz w:val="24"/>
          <w:highlight w:val="none"/>
        </w:rPr>
      </w:pPr>
    </w:p>
    <w:p w14:paraId="046C9A3E">
      <w:pPr>
        <w:shd w:val="clear"/>
        <w:tabs>
          <w:tab w:val="left" w:pos="6300"/>
        </w:tabs>
        <w:snapToGrid w:val="0"/>
        <w:spacing w:line="500" w:lineRule="exact"/>
        <w:ind w:firstLine="570"/>
        <w:rPr>
          <w:rFonts w:hint="eastAsia" w:ascii="宋体" w:hAnsi="宋体" w:eastAsia="宋体" w:cs="宋体"/>
          <w:color w:val="auto"/>
          <w:sz w:val="24"/>
          <w:highlight w:val="none"/>
        </w:rPr>
      </w:pPr>
    </w:p>
    <w:p w14:paraId="4B611CED">
      <w:pPr>
        <w:shd w:val="clear"/>
        <w:tabs>
          <w:tab w:val="left" w:pos="6300"/>
        </w:tabs>
        <w:snapToGrid w:val="0"/>
        <w:spacing w:line="500" w:lineRule="exact"/>
        <w:ind w:firstLine="570"/>
        <w:rPr>
          <w:rFonts w:hint="eastAsia" w:ascii="宋体" w:hAnsi="宋体" w:eastAsia="宋体" w:cs="宋体"/>
          <w:color w:val="auto"/>
          <w:sz w:val="24"/>
          <w:highlight w:val="none"/>
        </w:rPr>
      </w:pPr>
    </w:p>
    <w:p w14:paraId="58909DD7">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0A7C6B78">
      <w:pPr>
        <w:shd w:val="clear"/>
        <w:tabs>
          <w:tab w:val="left" w:pos="6300"/>
        </w:tabs>
        <w:snapToGrid w:val="0"/>
        <w:spacing w:line="500" w:lineRule="exact"/>
        <w:ind w:firstLine="570"/>
        <w:rPr>
          <w:rFonts w:hint="eastAsia" w:ascii="宋体" w:hAnsi="宋体" w:eastAsia="宋体" w:cs="宋体"/>
          <w:color w:val="auto"/>
          <w:sz w:val="24"/>
          <w:highlight w:val="none"/>
        </w:rPr>
      </w:pPr>
    </w:p>
    <w:p w14:paraId="74059D42">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737B7FB">
      <w:pPr>
        <w:shd w:val="clear"/>
        <w:tabs>
          <w:tab w:val="left" w:pos="6300"/>
        </w:tabs>
        <w:snapToGrid w:val="0"/>
        <w:spacing w:line="500" w:lineRule="exact"/>
        <w:ind w:firstLine="570"/>
        <w:rPr>
          <w:rFonts w:hint="eastAsia" w:ascii="宋体" w:hAnsi="宋体" w:eastAsia="宋体" w:cs="宋体"/>
          <w:color w:val="auto"/>
          <w:sz w:val="24"/>
          <w:highlight w:val="none"/>
        </w:rPr>
      </w:pPr>
    </w:p>
    <w:p w14:paraId="1162ECA2">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38A9A5A9">
      <w:pPr>
        <w:shd w:val="clear"/>
        <w:tabs>
          <w:tab w:val="left" w:pos="6300"/>
        </w:tabs>
        <w:snapToGrid w:val="0"/>
        <w:spacing w:line="500" w:lineRule="exact"/>
        <w:ind w:firstLine="570"/>
        <w:rPr>
          <w:rFonts w:hint="eastAsia" w:ascii="宋体" w:hAnsi="宋体" w:eastAsia="宋体" w:cs="宋体"/>
          <w:color w:val="auto"/>
          <w:sz w:val="24"/>
          <w:highlight w:val="none"/>
        </w:rPr>
      </w:pPr>
    </w:p>
    <w:p w14:paraId="4FC5710F">
      <w:pPr>
        <w:shd w:val="clear"/>
        <w:tabs>
          <w:tab w:val="left" w:pos="6300"/>
        </w:tabs>
        <w:snapToGrid w:val="0"/>
        <w:spacing w:line="500" w:lineRule="exact"/>
        <w:ind w:firstLine="570"/>
        <w:rPr>
          <w:rFonts w:hint="eastAsia" w:ascii="宋体" w:hAnsi="宋体" w:eastAsia="宋体" w:cs="宋体"/>
          <w:color w:val="auto"/>
          <w:sz w:val="24"/>
          <w:highlight w:val="none"/>
        </w:rPr>
      </w:pPr>
    </w:p>
    <w:p w14:paraId="1313458C">
      <w:pPr>
        <w:shd w:val="clear"/>
        <w:tabs>
          <w:tab w:val="left" w:pos="6300"/>
        </w:tabs>
        <w:snapToGrid w:val="0"/>
        <w:spacing w:line="500" w:lineRule="exact"/>
        <w:ind w:firstLine="570"/>
        <w:rPr>
          <w:rFonts w:hint="eastAsia" w:ascii="宋体" w:hAnsi="宋体" w:eastAsia="宋体" w:cs="宋体"/>
          <w:color w:val="auto"/>
          <w:sz w:val="24"/>
          <w:highlight w:val="none"/>
        </w:rPr>
      </w:pPr>
    </w:p>
    <w:p w14:paraId="316B7D9D">
      <w:pPr>
        <w:shd w:val="clear"/>
        <w:tabs>
          <w:tab w:val="left" w:pos="6300"/>
        </w:tabs>
        <w:snapToGrid w:val="0"/>
        <w:spacing w:line="500" w:lineRule="exact"/>
        <w:ind w:firstLine="570"/>
        <w:rPr>
          <w:rFonts w:hint="eastAsia" w:ascii="宋体" w:hAnsi="宋体" w:eastAsia="宋体" w:cs="宋体"/>
          <w:color w:val="auto"/>
          <w:sz w:val="24"/>
          <w:highlight w:val="none"/>
        </w:rPr>
      </w:pPr>
    </w:p>
    <w:p w14:paraId="684274FC">
      <w:pPr>
        <w:shd w:val="clear"/>
        <w:tabs>
          <w:tab w:val="left" w:pos="6300"/>
        </w:tabs>
        <w:snapToGrid w:val="0"/>
        <w:spacing w:line="500" w:lineRule="exact"/>
        <w:ind w:firstLine="570"/>
        <w:rPr>
          <w:rFonts w:hint="eastAsia" w:ascii="宋体" w:hAnsi="宋体" w:eastAsia="宋体" w:cs="宋体"/>
          <w:color w:val="auto"/>
          <w:sz w:val="24"/>
          <w:highlight w:val="none"/>
        </w:rPr>
      </w:pPr>
    </w:p>
    <w:p w14:paraId="74CF0200">
      <w:pPr>
        <w:shd w:val="clear"/>
        <w:tabs>
          <w:tab w:val="left" w:pos="6300"/>
        </w:tabs>
        <w:snapToGrid w:val="0"/>
        <w:spacing w:line="500" w:lineRule="exact"/>
        <w:ind w:firstLine="570"/>
        <w:rPr>
          <w:rFonts w:hint="eastAsia" w:ascii="宋体" w:hAnsi="宋体" w:eastAsia="宋体" w:cs="宋体"/>
          <w:color w:val="auto"/>
          <w:sz w:val="24"/>
          <w:highlight w:val="none"/>
        </w:rPr>
      </w:pPr>
    </w:p>
    <w:p w14:paraId="0BB9D83F">
      <w:pPr>
        <w:shd w:val="clear"/>
        <w:tabs>
          <w:tab w:val="left" w:pos="6300"/>
        </w:tabs>
        <w:snapToGrid w:val="0"/>
        <w:spacing w:line="500" w:lineRule="exact"/>
        <w:ind w:firstLine="570"/>
        <w:outlineLvl w:val="2"/>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18"/>
          <w:highlight w:val="none"/>
        </w:rPr>
        <w:t>（四）法定代表人授权委托书（格式）</w:t>
      </w:r>
    </w:p>
    <w:p w14:paraId="7451004E">
      <w:pPr>
        <w:shd w:val="clear"/>
        <w:tabs>
          <w:tab w:val="left" w:pos="6300"/>
        </w:tabs>
        <w:snapToGrid w:val="0"/>
        <w:spacing w:line="500" w:lineRule="exact"/>
        <w:ind w:firstLine="570"/>
        <w:rPr>
          <w:rFonts w:hint="eastAsia" w:ascii="宋体" w:hAnsi="宋体" w:eastAsia="宋体" w:cs="宋体"/>
          <w:color w:val="auto"/>
          <w:sz w:val="24"/>
          <w:highlight w:val="none"/>
        </w:rPr>
      </w:pPr>
    </w:p>
    <w:p w14:paraId="6F10B572">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p>
    <w:p w14:paraId="496ED02E">
      <w:pPr>
        <w:shd w:val="clear"/>
        <w:tabs>
          <w:tab w:val="left" w:pos="6300"/>
        </w:tabs>
        <w:snapToGrid w:val="0"/>
        <w:spacing w:line="500" w:lineRule="exact"/>
        <w:ind w:firstLine="570"/>
        <w:rPr>
          <w:rFonts w:hint="eastAsia" w:ascii="宋体" w:hAnsi="宋体" w:eastAsia="宋体" w:cs="宋体"/>
          <w:color w:val="auto"/>
          <w:sz w:val="24"/>
          <w:highlight w:val="none"/>
        </w:rPr>
      </w:pPr>
    </w:p>
    <w:p w14:paraId="75234794">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名称）：</w:t>
      </w:r>
    </w:p>
    <w:p w14:paraId="20E9C468">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（被授权人姓名及身份证号码）代表我单位全权办理上述项目的网上竞采、签约等具体工作，并签署全部有关文件、协议及合同。</w:t>
      </w:r>
    </w:p>
    <w:p w14:paraId="40C30B97">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456D6C29">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7F8FCD85">
      <w:pPr>
        <w:shd w:val="clear"/>
        <w:tabs>
          <w:tab w:val="left" w:pos="6300"/>
        </w:tabs>
        <w:snapToGrid w:val="0"/>
        <w:spacing w:line="500" w:lineRule="exact"/>
        <w:ind w:firstLine="570"/>
        <w:rPr>
          <w:rFonts w:hint="eastAsia" w:ascii="宋体" w:hAnsi="宋体" w:eastAsia="宋体" w:cs="宋体"/>
          <w:color w:val="auto"/>
          <w:sz w:val="24"/>
          <w:highlight w:val="none"/>
        </w:rPr>
      </w:pPr>
    </w:p>
    <w:p w14:paraId="7A6A3CE9">
      <w:pPr>
        <w:shd w:val="clear"/>
        <w:tabs>
          <w:tab w:val="left" w:pos="6300"/>
        </w:tabs>
        <w:snapToGrid w:val="0"/>
        <w:spacing w:line="500" w:lineRule="exact"/>
        <w:ind w:firstLine="570"/>
        <w:rPr>
          <w:rFonts w:hint="eastAsia" w:ascii="宋体" w:hAnsi="宋体" w:eastAsia="宋体" w:cs="宋体"/>
          <w:color w:val="auto"/>
          <w:sz w:val="24"/>
          <w:highlight w:val="none"/>
        </w:rPr>
      </w:pPr>
    </w:p>
    <w:p w14:paraId="5517209C">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76DD7C1F">
      <w:pPr>
        <w:shd w:val="clea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635ABC03">
      <w:pPr>
        <w:shd w:val="clear"/>
        <w:tabs>
          <w:tab w:val="left" w:pos="6300"/>
        </w:tabs>
        <w:snapToGrid w:val="0"/>
        <w:spacing w:line="500" w:lineRule="exact"/>
        <w:ind w:firstLine="570"/>
        <w:rPr>
          <w:rFonts w:hint="eastAsia" w:ascii="宋体" w:hAnsi="宋体" w:eastAsia="宋体" w:cs="宋体"/>
          <w:color w:val="auto"/>
          <w:sz w:val="24"/>
          <w:szCs w:val="28"/>
          <w:highlight w:val="none"/>
        </w:rPr>
      </w:pPr>
    </w:p>
    <w:p w14:paraId="451EC72F">
      <w:pPr>
        <w:shd w:val="clear"/>
        <w:tabs>
          <w:tab w:val="left" w:pos="6300"/>
        </w:tabs>
        <w:snapToGrid w:val="0"/>
        <w:spacing w:line="500" w:lineRule="exact"/>
        <w:ind w:firstLine="570"/>
        <w:rPr>
          <w:rFonts w:hint="eastAsia" w:ascii="宋体" w:hAnsi="宋体" w:eastAsia="宋体" w:cs="宋体"/>
          <w:color w:val="auto"/>
          <w:sz w:val="24"/>
          <w:highlight w:val="none"/>
        </w:rPr>
      </w:pPr>
    </w:p>
    <w:p w14:paraId="43C6ED61">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3A854F15">
      <w:pPr>
        <w:shd w:val="clear"/>
        <w:tabs>
          <w:tab w:val="left" w:pos="6300"/>
        </w:tabs>
        <w:snapToGrid w:val="0"/>
        <w:spacing w:line="500" w:lineRule="exact"/>
        <w:ind w:firstLine="570"/>
        <w:rPr>
          <w:rFonts w:hint="eastAsia" w:ascii="宋体" w:hAnsi="宋体" w:eastAsia="宋体" w:cs="宋体"/>
          <w:color w:val="auto"/>
          <w:sz w:val="24"/>
          <w:highlight w:val="none"/>
        </w:rPr>
      </w:pPr>
    </w:p>
    <w:p w14:paraId="1BF84AB1">
      <w:pPr>
        <w:shd w:val="clear"/>
        <w:tabs>
          <w:tab w:val="left" w:pos="6300"/>
        </w:tabs>
        <w:snapToGrid w:val="0"/>
        <w:spacing w:line="500" w:lineRule="exact"/>
        <w:ind w:firstLine="570"/>
        <w:rPr>
          <w:rFonts w:hint="eastAsia" w:ascii="宋体" w:hAnsi="宋体" w:eastAsia="宋体" w:cs="宋体"/>
          <w:color w:val="auto"/>
          <w:sz w:val="24"/>
          <w:highlight w:val="none"/>
        </w:rPr>
      </w:pPr>
    </w:p>
    <w:p w14:paraId="67215375">
      <w:pPr>
        <w:shd w:val="clear"/>
        <w:tabs>
          <w:tab w:val="left" w:pos="6300"/>
        </w:tabs>
        <w:snapToGrid w:val="0"/>
        <w:spacing w:line="500" w:lineRule="exact"/>
        <w:ind w:firstLine="570"/>
        <w:rPr>
          <w:rFonts w:hint="eastAsia" w:ascii="宋体" w:hAnsi="宋体" w:eastAsia="宋体" w:cs="宋体"/>
          <w:color w:val="auto"/>
          <w:sz w:val="24"/>
          <w:highlight w:val="none"/>
        </w:rPr>
      </w:pPr>
    </w:p>
    <w:p w14:paraId="1E58CD2C">
      <w:pPr>
        <w:shd w:val="clea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57B8A0A0">
      <w:pPr>
        <w:shd w:val="clea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6F7930A">
      <w:pPr>
        <w:shd w:val="clea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012D066D">
      <w:pPr>
        <w:shd w:val="clea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7890B476">
      <w:pPr>
        <w:shd w:val="clea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0B1022D5">
      <w:pPr>
        <w:shd w:val="clea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6F3E1277">
      <w:pPr>
        <w:shd w:val="clea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1DC695D1">
      <w:pPr>
        <w:shd w:val="clear"/>
        <w:tabs>
          <w:tab w:val="left" w:pos="6300"/>
        </w:tabs>
        <w:snapToGrid w:val="0"/>
        <w:spacing w:line="500" w:lineRule="exact"/>
        <w:ind w:firstLine="480" w:firstLineChars="200"/>
        <w:jc w:val="center"/>
        <w:outlineLvl w:val="2"/>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（五）基本资格条件承诺函</w:t>
      </w:r>
    </w:p>
    <w:p w14:paraId="3B26EFA4">
      <w:pPr>
        <w:shd w:val="clear"/>
        <w:tabs>
          <w:tab w:val="left" w:pos="6300"/>
        </w:tabs>
        <w:snapToGrid w:val="0"/>
        <w:spacing w:line="500" w:lineRule="exact"/>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p>
    <w:p w14:paraId="473998EC">
      <w:pPr>
        <w:shd w:val="clea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w:t>
      </w:r>
      <w:r>
        <w:rPr>
          <w:rFonts w:hint="eastAsia" w:ascii="宋体" w:hAnsi="宋体" w:eastAsia="宋体" w:cs="宋体"/>
          <w:color w:val="auto"/>
          <w:sz w:val="24"/>
          <w:highlight w:val="none"/>
          <w:u w:val="single"/>
          <w:lang w:eastAsia="zh-CN"/>
        </w:rPr>
        <w:t>人</w:t>
      </w:r>
      <w:r>
        <w:rPr>
          <w:rFonts w:hint="eastAsia" w:ascii="宋体" w:hAnsi="宋体" w:eastAsia="宋体" w:cs="宋体"/>
          <w:color w:val="auto"/>
          <w:sz w:val="24"/>
          <w:highlight w:val="none"/>
          <w:u w:val="single"/>
        </w:rPr>
        <w:t>名称）</w:t>
      </w:r>
      <w:r>
        <w:rPr>
          <w:rFonts w:hint="eastAsia" w:ascii="宋体" w:hAnsi="宋体" w:eastAsia="宋体" w:cs="宋体"/>
          <w:color w:val="auto"/>
          <w:sz w:val="24"/>
          <w:highlight w:val="none"/>
        </w:rPr>
        <w:t>：</w:t>
      </w:r>
    </w:p>
    <w:p w14:paraId="0ECAEB86">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郑重承诺，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承诺未列入在信用中国网站（www.creditchina.gov.cn）“失信被执行人”、“税收违法黑名单”中，也未列入中国政府采购网（www.ccgp.gov.cn）“政府采购严重违法失信行为记录名单”中，并随时接受采购人、采购代理机构的检查验证，符合《中华人民共和国政府采购法》规定的供应商资格条件。我方对以上承诺负全部法律责任。</w:t>
      </w:r>
    </w:p>
    <w:p w14:paraId="247B2255">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B630C8A">
      <w:pPr>
        <w:shd w:val="clear"/>
        <w:snapToGrid w:val="0"/>
        <w:spacing w:line="400" w:lineRule="exact"/>
        <w:rPr>
          <w:rFonts w:hint="eastAsia" w:ascii="宋体" w:hAnsi="宋体" w:eastAsia="宋体" w:cs="宋体"/>
          <w:color w:val="auto"/>
          <w:sz w:val="24"/>
          <w:szCs w:val="24"/>
          <w:highlight w:val="none"/>
        </w:rPr>
      </w:pPr>
    </w:p>
    <w:p w14:paraId="4F25F434">
      <w:pPr>
        <w:shd w:val="clear"/>
        <w:tabs>
          <w:tab w:val="left" w:pos="6300"/>
        </w:tabs>
        <w:snapToGrid w:val="0"/>
        <w:spacing w:line="500" w:lineRule="exact"/>
        <w:rPr>
          <w:rFonts w:hint="eastAsia" w:ascii="宋体" w:hAnsi="宋体" w:eastAsia="宋体" w:cs="宋体"/>
          <w:color w:val="auto"/>
          <w:sz w:val="24"/>
          <w:highlight w:val="none"/>
        </w:rPr>
      </w:pPr>
    </w:p>
    <w:p w14:paraId="00EBAD57">
      <w:pPr>
        <w:shd w:val="clear"/>
        <w:tabs>
          <w:tab w:val="left" w:pos="6300"/>
        </w:tabs>
        <w:snapToGrid w:val="0"/>
        <w:spacing w:line="500" w:lineRule="exact"/>
        <w:ind w:firstLine="570"/>
        <w:rPr>
          <w:rFonts w:hint="eastAsia" w:ascii="宋体" w:hAnsi="宋体" w:eastAsia="宋体" w:cs="宋体"/>
          <w:color w:val="auto"/>
          <w:sz w:val="24"/>
          <w:highlight w:val="none"/>
        </w:rPr>
      </w:pPr>
    </w:p>
    <w:p w14:paraId="52D1D440">
      <w:pPr>
        <w:shd w:val="clear"/>
        <w:tabs>
          <w:tab w:val="left" w:pos="6300"/>
        </w:tabs>
        <w:snapToGrid w:val="0"/>
        <w:spacing w:line="500" w:lineRule="exact"/>
        <w:ind w:right="424"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C9E4235">
      <w:pPr>
        <w:shd w:val="clea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CB8E96D">
      <w:pPr>
        <w:shd w:val="clear"/>
        <w:tabs>
          <w:tab w:val="left" w:pos="6300"/>
        </w:tabs>
        <w:snapToGrid w:val="0"/>
        <w:spacing w:line="500" w:lineRule="exact"/>
        <w:ind w:right="1680"/>
        <w:rPr>
          <w:rFonts w:hint="eastAsia" w:ascii="宋体" w:hAnsi="宋体" w:eastAsia="宋体" w:cs="宋体"/>
          <w:color w:val="auto"/>
          <w:sz w:val="24"/>
          <w:highlight w:val="none"/>
        </w:rPr>
      </w:pPr>
    </w:p>
    <w:p w14:paraId="150061B8">
      <w:pPr>
        <w:shd w:val="clear"/>
        <w:snapToGrid w:val="0"/>
        <w:spacing w:line="360" w:lineRule="auto"/>
        <w:jc w:val="center"/>
        <w:outlineLvl w:val="2"/>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（六）特定资格条件证明材料（如果有）</w:t>
      </w:r>
    </w:p>
    <w:p w14:paraId="19D49357">
      <w:pPr>
        <w:pStyle w:val="21"/>
        <w:shd w:val="clear"/>
        <w:ind w:left="560" w:firstLine="880"/>
        <w:rPr>
          <w:rFonts w:hint="eastAsia" w:ascii="宋体" w:hAnsi="宋体" w:eastAsia="宋体" w:cs="宋体"/>
          <w:color w:val="auto"/>
          <w:highlight w:val="none"/>
        </w:rPr>
      </w:pPr>
    </w:p>
    <w:p w14:paraId="5F52514C">
      <w:pPr>
        <w:pStyle w:val="21"/>
        <w:shd w:val="clear"/>
        <w:ind w:left="560" w:firstLine="880"/>
        <w:rPr>
          <w:rFonts w:hint="eastAsia" w:ascii="宋体" w:hAnsi="宋体" w:eastAsia="宋体" w:cs="宋体"/>
          <w:color w:val="auto"/>
          <w:highlight w:val="none"/>
        </w:rPr>
      </w:pPr>
    </w:p>
    <w:p w14:paraId="33621A42">
      <w:pPr>
        <w:pStyle w:val="21"/>
        <w:shd w:val="clear"/>
        <w:ind w:left="560" w:firstLine="880"/>
        <w:rPr>
          <w:rFonts w:hint="eastAsia" w:ascii="宋体" w:hAnsi="宋体" w:eastAsia="宋体" w:cs="宋体"/>
          <w:color w:val="auto"/>
          <w:highlight w:val="none"/>
        </w:rPr>
      </w:pPr>
    </w:p>
    <w:p w14:paraId="002D32F2">
      <w:pPr>
        <w:pStyle w:val="3"/>
        <w:shd w:val="clear"/>
        <w:spacing w:before="0" w:after="0" w:line="360" w:lineRule="auto"/>
        <w:outlineLvl w:val="1"/>
        <w:rPr>
          <w:rFonts w:hint="eastAsia" w:ascii="宋体" w:hAnsi="宋体" w:eastAsia="宋体" w:cs="宋体"/>
          <w:color w:val="auto"/>
          <w:sz w:val="24"/>
          <w:szCs w:val="24"/>
          <w:highlight w:val="none"/>
        </w:rPr>
      </w:pPr>
      <w:bookmarkStart w:id="226" w:name="_Toc14422"/>
      <w:r>
        <w:rPr>
          <w:rFonts w:hint="eastAsia" w:ascii="宋体" w:hAnsi="宋体" w:eastAsia="宋体" w:cs="宋体"/>
          <w:b w:val="0"/>
          <w:color w:val="auto"/>
          <w:highlight w:val="none"/>
        </w:rPr>
        <w:br w:type="page"/>
      </w:r>
      <w:bookmarkEnd w:id="226"/>
      <w:bookmarkStart w:id="227" w:name="_Toc14273"/>
      <w:bookmarkStart w:id="228" w:name="_Toc7818"/>
      <w:bookmarkStart w:id="229" w:name="_Toc2794"/>
      <w:bookmarkStart w:id="230" w:name="_Toc830"/>
      <w:bookmarkStart w:id="231" w:name="_Toc22455"/>
      <w:bookmarkStart w:id="232" w:name="_Toc22071"/>
      <w:bookmarkStart w:id="233" w:name="_Toc22425"/>
      <w:bookmarkStart w:id="234" w:name="_Toc9583"/>
      <w:bookmarkStart w:id="235" w:name="_Toc17116"/>
      <w:r>
        <w:rPr>
          <w:rFonts w:hint="eastAsia" w:ascii="宋体" w:hAnsi="宋体" w:eastAsia="宋体" w:cs="宋体"/>
          <w:color w:val="auto"/>
          <w:sz w:val="24"/>
          <w:szCs w:val="24"/>
          <w:highlight w:val="none"/>
        </w:rPr>
        <w:t>五、其他应提供的资料</w:t>
      </w:r>
      <w:bookmarkEnd w:id="227"/>
      <w:bookmarkEnd w:id="228"/>
      <w:bookmarkEnd w:id="229"/>
      <w:bookmarkEnd w:id="230"/>
      <w:bookmarkEnd w:id="231"/>
      <w:bookmarkEnd w:id="232"/>
      <w:bookmarkEnd w:id="233"/>
      <w:bookmarkEnd w:id="234"/>
      <w:bookmarkEnd w:id="235"/>
    </w:p>
    <w:p w14:paraId="4010CD3D">
      <w:pPr>
        <w:shd w:val="clear"/>
        <w:tabs>
          <w:tab w:val="left" w:pos="6300"/>
        </w:tabs>
        <w:snapToGrid w:val="0"/>
        <w:spacing w:line="50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rPr>
        <w:t>）其他与项目有关的资料</w:t>
      </w:r>
    </w:p>
    <w:p w14:paraId="58E63801">
      <w:pPr>
        <w:rPr>
          <w:rFonts w:hint="eastAsia" w:ascii="宋体" w:hAnsi="宋体" w:eastAsia="宋体" w:cs="宋体"/>
          <w:color w:val="auto"/>
          <w:sz w:val="24"/>
          <w:szCs w:val="24"/>
          <w:highlight w:val="none"/>
        </w:rPr>
      </w:pPr>
    </w:p>
    <w:p w14:paraId="6714AE1E">
      <w:pPr>
        <w:pStyle w:val="20"/>
        <w:rPr>
          <w:rFonts w:hint="eastAsia" w:ascii="宋体" w:hAnsi="宋体" w:eastAsia="宋体" w:cs="宋体"/>
          <w:color w:val="auto"/>
          <w:sz w:val="24"/>
          <w:szCs w:val="24"/>
          <w:highlight w:val="none"/>
        </w:rPr>
      </w:pPr>
    </w:p>
    <w:p w14:paraId="5C46AA6A">
      <w:pPr>
        <w:rPr>
          <w:rFonts w:hint="eastAsia" w:ascii="宋体" w:hAnsi="宋体" w:eastAsia="宋体" w:cs="宋体"/>
          <w:color w:val="auto"/>
          <w:sz w:val="24"/>
          <w:szCs w:val="24"/>
          <w:highlight w:val="none"/>
        </w:rPr>
      </w:pPr>
    </w:p>
    <w:p w14:paraId="0DCDD2F8">
      <w:pPr>
        <w:pStyle w:val="20"/>
        <w:rPr>
          <w:rFonts w:hint="eastAsia" w:ascii="宋体" w:hAnsi="宋体" w:eastAsia="宋体" w:cs="宋体"/>
          <w:color w:val="auto"/>
          <w:sz w:val="24"/>
          <w:szCs w:val="24"/>
          <w:highlight w:val="none"/>
        </w:rPr>
      </w:pPr>
    </w:p>
    <w:p w14:paraId="71C29A90">
      <w:pPr>
        <w:rPr>
          <w:rFonts w:hint="eastAsia" w:ascii="宋体" w:hAnsi="宋体" w:eastAsia="宋体" w:cs="宋体"/>
          <w:color w:val="auto"/>
          <w:sz w:val="24"/>
          <w:szCs w:val="24"/>
          <w:highlight w:val="none"/>
        </w:rPr>
      </w:pPr>
    </w:p>
    <w:p w14:paraId="541F9A3E">
      <w:pPr>
        <w:pStyle w:val="20"/>
        <w:rPr>
          <w:rFonts w:hint="eastAsia" w:ascii="宋体" w:hAnsi="宋体" w:eastAsia="宋体" w:cs="宋体"/>
          <w:color w:val="auto"/>
          <w:highlight w:val="none"/>
        </w:rPr>
      </w:pPr>
    </w:p>
    <w:p w14:paraId="4AEB7898">
      <w:pPr>
        <w:shd w:val="clear"/>
        <w:spacing w:line="360" w:lineRule="auto"/>
        <w:ind w:firstLine="480" w:firstLineChars="200"/>
        <w:jc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（结束）</w:t>
      </w:r>
    </w:p>
    <w:p w14:paraId="38565A7B">
      <w:pPr>
        <w:pStyle w:val="28"/>
        <w:shd w:val="clear"/>
        <w:spacing w:line="20" w:lineRule="atLeast"/>
        <w:rPr>
          <w:rFonts w:hint="eastAsia" w:ascii="宋体" w:hAnsi="宋体" w:eastAsia="宋体" w:cs="宋体"/>
          <w:color w:val="auto"/>
          <w:highlight w:val="none"/>
        </w:rPr>
      </w:pPr>
    </w:p>
    <w:p w14:paraId="75DA040F">
      <w:pPr>
        <w:pStyle w:val="28"/>
        <w:shd w:val="clear"/>
        <w:spacing w:line="20" w:lineRule="atLeast"/>
        <w:jc w:val="center"/>
        <w:rPr>
          <w:rFonts w:hint="eastAsia" w:ascii="宋体" w:hAnsi="宋体" w:eastAsia="宋体" w:cs="宋体"/>
          <w:color w:val="auto"/>
          <w:highlight w:val="none"/>
        </w:rPr>
      </w:pPr>
    </w:p>
    <w:p w14:paraId="7F357C0E">
      <w:pPr>
        <w:shd w:val="clear"/>
        <w:rPr>
          <w:rFonts w:hint="eastAsia" w:ascii="宋体" w:hAnsi="宋体" w:eastAsia="宋体" w:cs="宋体"/>
          <w:color w:val="auto"/>
          <w:highlight w:val="none"/>
        </w:rPr>
      </w:pPr>
    </w:p>
    <w:sectPr>
      <w:headerReference r:id="rId10" w:type="default"/>
      <w:footerReference r:id="rId11" w:type="default"/>
      <w:pgSz w:w="11907" w:h="16840"/>
      <w:pgMar w:top="1134" w:right="1191" w:bottom="1134" w:left="1304" w:header="624"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F5DD6E1-6EC4-43E8-A3DC-905D29E1CDA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A46D1B66-BCEB-4638-A458-ACAFC368697A}"/>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embedRegular r:id="rId3" w:fontKey="{E6D9E8B7-F87C-4008-B98D-C36291434F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5CC7B">
    <w:pPr>
      <w:pStyle w:val="14"/>
      <w:framePr w:wrap="around" w:vAnchor="text" w:hAnchor="margin" w:xAlign="center" w:y="1"/>
      <w:rPr>
        <w:rStyle w:val="25"/>
      </w:rPr>
    </w:pPr>
    <w:r>
      <w:fldChar w:fldCharType="begin"/>
    </w:r>
    <w:r>
      <w:rPr>
        <w:rStyle w:val="25"/>
      </w:rPr>
      <w:instrText xml:space="preserve">PAGE  </w:instrText>
    </w:r>
    <w:r>
      <w:fldChar w:fldCharType="end"/>
    </w:r>
  </w:p>
  <w:p w14:paraId="5078D3A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12B05">
    <w:pPr>
      <w:pStyle w:val="14"/>
      <w:framePr w:wrap="around" w:vAnchor="text" w:hAnchor="margin" w:xAlign="center" w:y="1"/>
      <w:rPr>
        <w:rStyle w:val="25"/>
      </w:rPr>
    </w:pPr>
  </w:p>
  <w:p w14:paraId="13FACAAC">
    <w:pPr>
      <w:pStyle w:val="14"/>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F774">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19D499">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B19D499">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0DF5">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29AFC5">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mtqcsBAACc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05ranLAQAAnAMAAA4AAAAAAAAAAQAgAAAAHgEAAGRycy9lMm9E&#10;b2MueG1sUEsFBgAAAAAGAAYAWQEAAFsFAAAAAA==&#10;">
              <v:fill on="f" focussize="0,0"/>
              <v:stroke on="f"/>
              <v:imagedata o:title=""/>
              <o:lock v:ext="edit" aspectratio="f"/>
              <v:textbox inset="0mm,0mm,0mm,0mm" style="mso-fit-shape-to-text:t;">
                <w:txbxContent>
                  <w:p w14:paraId="0D29AFC5">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2A38F">
    <w:pPr>
      <w:pStyle w:val="14"/>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A1D00">
                          <w:pPr>
                            <w:pStyle w:val="14"/>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A8A1D00">
                    <w:pPr>
                      <w:pStyle w:val="14"/>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10437">
    <w:pPr>
      <w:pStyle w:val="15"/>
      <w:pBdr>
        <w:bottom w:val="none" w:color="auto" w:sz="0" w:space="1"/>
      </w:pBdr>
      <w:jc w:val="both"/>
      <w:rPr>
        <w:rFonts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6ED1F">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7B4E">
    <w:pPr>
      <w:pStyle w:val="15"/>
      <w:pBdr>
        <w:bottom w:val="none" w:color="auto" w:sz="0" w:space="1"/>
      </w:pBdr>
      <w:jc w:val="both"/>
      <w:rPr>
        <w:rFonts w:ascii="仿宋" w:hAnsi="仿宋" w:eastAsia="仿宋" w:cs="仿宋"/>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CC4E5">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D5F6F758"/>
    <w:multiLevelType w:val="singleLevel"/>
    <w:tmpl w:val="D5F6F758"/>
    <w:lvl w:ilvl="0" w:tentative="0">
      <w:start w:val="2"/>
      <w:numFmt w:val="chineseCounting"/>
      <w:suff w:val="space"/>
      <w:lvlText w:val="第%1篇"/>
      <w:lvlJc w:val="left"/>
      <w:rPr>
        <w:rFonts w:hint="eastAsia"/>
      </w:rPr>
    </w:lvl>
  </w:abstractNum>
  <w:abstractNum w:abstractNumId="2">
    <w:nsid w:val="E403EF40"/>
    <w:multiLevelType w:val="singleLevel"/>
    <w:tmpl w:val="E403EF40"/>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MmE3NDJmYjI1NDBjMzc4ZGU2MTc3N2YzODRjMWYifQ=="/>
  </w:docVars>
  <w:rsids>
    <w:rsidRoot w:val="00000000"/>
    <w:rsid w:val="00920750"/>
    <w:rsid w:val="018E617A"/>
    <w:rsid w:val="02881C13"/>
    <w:rsid w:val="03190CB5"/>
    <w:rsid w:val="03344627"/>
    <w:rsid w:val="05147335"/>
    <w:rsid w:val="060C16AE"/>
    <w:rsid w:val="06294DC7"/>
    <w:rsid w:val="067331BA"/>
    <w:rsid w:val="06FC6BE8"/>
    <w:rsid w:val="09037080"/>
    <w:rsid w:val="09426B26"/>
    <w:rsid w:val="0A014251"/>
    <w:rsid w:val="0A14066F"/>
    <w:rsid w:val="0BF00A21"/>
    <w:rsid w:val="0C28222D"/>
    <w:rsid w:val="0CA35A93"/>
    <w:rsid w:val="0D696CDD"/>
    <w:rsid w:val="0DAE37C1"/>
    <w:rsid w:val="0DC75411"/>
    <w:rsid w:val="0E2F5830"/>
    <w:rsid w:val="0F221070"/>
    <w:rsid w:val="10475FF9"/>
    <w:rsid w:val="109C3821"/>
    <w:rsid w:val="10B57BB7"/>
    <w:rsid w:val="11971B71"/>
    <w:rsid w:val="12F3490D"/>
    <w:rsid w:val="138A253A"/>
    <w:rsid w:val="146E13F6"/>
    <w:rsid w:val="153E413B"/>
    <w:rsid w:val="15A23B4A"/>
    <w:rsid w:val="15F8723D"/>
    <w:rsid w:val="1625359E"/>
    <w:rsid w:val="18E45B15"/>
    <w:rsid w:val="18E57286"/>
    <w:rsid w:val="18E87DE5"/>
    <w:rsid w:val="19217B1F"/>
    <w:rsid w:val="19A93DCF"/>
    <w:rsid w:val="1A4E2A41"/>
    <w:rsid w:val="1BD27ACB"/>
    <w:rsid w:val="1E2D5254"/>
    <w:rsid w:val="1E805C34"/>
    <w:rsid w:val="1F3D2387"/>
    <w:rsid w:val="1F4331E5"/>
    <w:rsid w:val="1FAC450E"/>
    <w:rsid w:val="1FE46379"/>
    <w:rsid w:val="20436F19"/>
    <w:rsid w:val="20515F94"/>
    <w:rsid w:val="207B108F"/>
    <w:rsid w:val="20B909BF"/>
    <w:rsid w:val="211E1ABF"/>
    <w:rsid w:val="215D6CD5"/>
    <w:rsid w:val="2181453C"/>
    <w:rsid w:val="21EE7E9D"/>
    <w:rsid w:val="234714D6"/>
    <w:rsid w:val="23AB5501"/>
    <w:rsid w:val="23EB01E2"/>
    <w:rsid w:val="261238DA"/>
    <w:rsid w:val="28544D6C"/>
    <w:rsid w:val="28A16AA1"/>
    <w:rsid w:val="28C31422"/>
    <w:rsid w:val="28C568E8"/>
    <w:rsid w:val="29E1362C"/>
    <w:rsid w:val="2B297614"/>
    <w:rsid w:val="2B6B20C1"/>
    <w:rsid w:val="2D141CC8"/>
    <w:rsid w:val="2D28136F"/>
    <w:rsid w:val="2E192A71"/>
    <w:rsid w:val="2E683B0A"/>
    <w:rsid w:val="2F0C405C"/>
    <w:rsid w:val="307F5D4C"/>
    <w:rsid w:val="30B952BD"/>
    <w:rsid w:val="31377457"/>
    <w:rsid w:val="316224BA"/>
    <w:rsid w:val="324C4745"/>
    <w:rsid w:val="332629FB"/>
    <w:rsid w:val="33352B9B"/>
    <w:rsid w:val="3369429F"/>
    <w:rsid w:val="33775479"/>
    <w:rsid w:val="348A10E1"/>
    <w:rsid w:val="35586C4D"/>
    <w:rsid w:val="35B90078"/>
    <w:rsid w:val="36316DC0"/>
    <w:rsid w:val="36AA5AEC"/>
    <w:rsid w:val="36EA4B0D"/>
    <w:rsid w:val="37A43417"/>
    <w:rsid w:val="382364A3"/>
    <w:rsid w:val="38C1076E"/>
    <w:rsid w:val="38C61A80"/>
    <w:rsid w:val="38CD2EBC"/>
    <w:rsid w:val="396A2E4C"/>
    <w:rsid w:val="39D0290C"/>
    <w:rsid w:val="39DC5EDD"/>
    <w:rsid w:val="39EA2B7D"/>
    <w:rsid w:val="3A0C6125"/>
    <w:rsid w:val="3BAC26AF"/>
    <w:rsid w:val="3C9E635C"/>
    <w:rsid w:val="3D045191"/>
    <w:rsid w:val="3D3C2396"/>
    <w:rsid w:val="3D7E68FE"/>
    <w:rsid w:val="3DAA1C2C"/>
    <w:rsid w:val="3E0A4AF0"/>
    <w:rsid w:val="3E5A6CB4"/>
    <w:rsid w:val="3E706050"/>
    <w:rsid w:val="3EC535FD"/>
    <w:rsid w:val="3F502FD2"/>
    <w:rsid w:val="3F5D3D26"/>
    <w:rsid w:val="40686F65"/>
    <w:rsid w:val="40F8389B"/>
    <w:rsid w:val="4263628B"/>
    <w:rsid w:val="459205C1"/>
    <w:rsid w:val="4692654C"/>
    <w:rsid w:val="4A0114A9"/>
    <w:rsid w:val="4AFC1A79"/>
    <w:rsid w:val="4B005883"/>
    <w:rsid w:val="4B3C7911"/>
    <w:rsid w:val="4B532798"/>
    <w:rsid w:val="4BAF420A"/>
    <w:rsid w:val="4C5E0B5B"/>
    <w:rsid w:val="4FE34983"/>
    <w:rsid w:val="501C0230"/>
    <w:rsid w:val="50647627"/>
    <w:rsid w:val="517E35DD"/>
    <w:rsid w:val="519D73D6"/>
    <w:rsid w:val="51B573C7"/>
    <w:rsid w:val="51F111F0"/>
    <w:rsid w:val="527B5B83"/>
    <w:rsid w:val="53B33E09"/>
    <w:rsid w:val="542D76E9"/>
    <w:rsid w:val="54755107"/>
    <w:rsid w:val="55E04FFA"/>
    <w:rsid w:val="56666D13"/>
    <w:rsid w:val="5797131D"/>
    <w:rsid w:val="579E5EB8"/>
    <w:rsid w:val="59E420DD"/>
    <w:rsid w:val="5D0504ED"/>
    <w:rsid w:val="5D25175A"/>
    <w:rsid w:val="5D567639"/>
    <w:rsid w:val="5EC6648E"/>
    <w:rsid w:val="5FFC28F8"/>
    <w:rsid w:val="613F3EE8"/>
    <w:rsid w:val="61CD6067"/>
    <w:rsid w:val="631C03D6"/>
    <w:rsid w:val="63325BB0"/>
    <w:rsid w:val="63AC0320"/>
    <w:rsid w:val="63FC70D8"/>
    <w:rsid w:val="641A130C"/>
    <w:rsid w:val="65AD68DC"/>
    <w:rsid w:val="65DB0EF1"/>
    <w:rsid w:val="66220E02"/>
    <w:rsid w:val="674343B1"/>
    <w:rsid w:val="67CC6818"/>
    <w:rsid w:val="681B4BEC"/>
    <w:rsid w:val="687E630D"/>
    <w:rsid w:val="688B63F0"/>
    <w:rsid w:val="69A520D3"/>
    <w:rsid w:val="69DA7390"/>
    <w:rsid w:val="6A62243A"/>
    <w:rsid w:val="6B723851"/>
    <w:rsid w:val="6BB52E30"/>
    <w:rsid w:val="6E095129"/>
    <w:rsid w:val="6E0B0F58"/>
    <w:rsid w:val="7035617E"/>
    <w:rsid w:val="70C5641B"/>
    <w:rsid w:val="70C9482A"/>
    <w:rsid w:val="712D267F"/>
    <w:rsid w:val="71745A0C"/>
    <w:rsid w:val="718F165D"/>
    <w:rsid w:val="719D4EA2"/>
    <w:rsid w:val="71E511AB"/>
    <w:rsid w:val="727F0F06"/>
    <w:rsid w:val="72A15827"/>
    <w:rsid w:val="72DD0E99"/>
    <w:rsid w:val="72F34243"/>
    <w:rsid w:val="74747504"/>
    <w:rsid w:val="7575028C"/>
    <w:rsid w:val="7671300D"/>
    <w:rsid w:val="774153F4"/>
    <w:rsid w:val="7797574F"/>
    <w:rsid w:val="77AB6054"/>
    <w:rsid w:val="77CC44E4"/>
    <w:rsid w:val="78F64746"/>
    <w:rsid w:val="7A1F2296"/>
    <w:rsid w:val="7B7D4699"/>
    <w:rsid w:val="7C7E55E8"/>
    <w:rsid w:val="7CCB2E87"/>
    <w:rsid w:val="7D161168"/>
    <w:rsid w:val="7D92366A"/>
    <w:rsid w:val="7E175C69"/>
    <w:rsid w:val="7E28502A"/>
    <w:rsid w:val="7FF6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link w:val="39"/>
    <w:qFormat/>
    <w:uiPriority w:val="0"/>
    <w:pPr>
      <w:keepNext/>
      <w:snapToGrid w:val="0"/>
      <w:spacing w:line="360" w:lineRule="atLeast"/>
      <w:outlineLvl w:val="0"/>
    </w:pPr>
    <w:rPr>
      <w:rFonts w:ascii="宋体"/>
    </w:rPr>
  </w:style>
  <w:style w:type="paragraph" w:styleId="3">
    <w:name w:val="heading 2"/>
    <w:basedOn w:val="1"/>
    <w:next w:val="1"/>
    <w:link w:val="36"/>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1"/>
    <w:qFormat/>
    <w:uiPriority w:val="0"/>
    <w:pPr>
      <w:keepNext/>
      <w:keepLines/>
      <w:spacing w:before="260" w:after="260" w:line="413" w:lineRule="auto"/>
      <w:outlineLvl w:val="2"/>
    </w:pPr>
    <w:rPr>
      <w:b/>
      <w:sz w:val="32"/>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qFormat/>
    <w:uiPriority w:val="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594" w:lineRule="exact"/>
      <w:ind w:left="200" w:leftChars="200" w:right="0" w:firstLine="0"/>
      <w:jc w:val="both"/>
      <w:textAlignment w:val="auto"/>
      <w:outlineLvl w:val="9"/>
    </w:pPr>
    <w:rPr>
      <w:rFonts w:ascii="Times New Roman" w:hAnsi="Times New Roman" w:eastAsia="方正仿宋_GBK"/>
      <w:color w:val="auto"/>
      <w:spacing w:val="0"/>
      <w:w w:val="100"/>
      <w:kern w:val="2"/>
      <w:position w:val="0"/>
      <w:sz w:val="32"/>
      <w:szCs w:val="22"/>
      <w:u w:val="none" w:color="auto"/>
      <w:vertAlign w:val="baseline"/>
      <w:lang w:val="en-US" w:eastAsia="zh-CN"/>
    </w:rPr>
  </w:style>
  <w:style w:type="paragraph" w:styleId="6">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7">
    <w:name w:val="Body Text"/>
    <w:basedOn w:val="1"/>
    <w:next w:val="1"/>
    <w:link w:val="40"/>
    <w:qFormat/>
    <w:uiPriority w:val="0"/>
    <w:rPr>
      <w:rFonts w:ascii="仿宋_GB2312" w:eastAsia="仿宋_GB2312"/>
      <w:sz w:val="32"/>
    </w:rPr>
  </w:style>
  <w:style w:type="paragraph" w:styleId="8">
    <w:name w:val="Body Text Indent"/>
    <w:basedOn w:val="1"/>
    <w:next w:val="9"/>
    <w:qFormat/>
    <w:uiPriority w:val="0"/>
    <w:pPr>
      <w:spacing w:line="700" w:lineRule="exact"/>
      <w:ind w:left="960"/>
    </w:pPr>
    <w:rPr>
      <w:sz w:val="44"/>
    </w:rPr>
  </w:style>
  <w:style w:type="paragraph" w:styleId="9">
    <w:name w:val="envelope return"/>
    <w:basedOn w:val="1"/>
    <w:qFormat/>
    <w:uiPriority w:val="0"/>
    <w:pPr>
      <w:snapToGrid w:val="0"/>
    </w:pPr>
    <w:rPr>
      <w:rFonts w:ascii="Arial" w:hAnsi="Arial"/>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toc 2"/>
    <w:basedOn w:val="1"/>
    <w:next w:val="1"/>
    <w:qFormat/>
    <w:uiPriority w:val="39"/>
    <w:pPr>
      <w:ind w:left="420" w:leftChars="200"/>
    </w:pPr>
  </w:style>
  <w:style w:type="paragraph" w:styleId="18">
    <w:name w:val="Body Text 2"/>
    <w:basedOn w:val="1"/>
    <w:qFormat/>
    <w:uiPriority w:val="0"/>
    <w:pPr>
      <w:adjustRightInd w:val="0"/>
      <w:snapToGrid w:val="0"/>
      <w:spacing w:after="120" w:afterLines="0" w:afterAutospacing="0" w:line="480" w:lineRule="auto"/>
    </w:pPr>
    <w:rPr>
      <w:sz w:val="24"/>
    </w:rPr>
  </w:style>
  <w:style w:type="paragraph" w:styleId="19">
    <w:name w:val="Normal (Web)"/>
    <w:basedOn w:val="1"/>
    <w:qFormat/>
    <w:uiPriority w:val="0"/>
    <w:rPr>
      <w:sz w:val="24"/>
    </w:rPr>
  </w:style>
  <w:style w:type="paragraph" w:styleId="20">
    <w:name w:val="Body Text First Indent"/>
    <w:basedOn w:val="7"/>
    <w:next w:val="1"/>
    <w:qFormat/>
    <w:uiPriority w:val="0"/>
    <w:pPr>
      <w:adjustRightInd w:val="0"/>
      <w:spacing w:line="275" w:lineRule="atLeast"/>
      <w:ind w:firstLine="420"/>
      <w:textAlignment w:val="baseline"/>
    </w:pPr>
    <w:rPr>
      <w:rFonts w:ascii="宋体" w:eastAsia="楷体_GB2312"/>
      <w:sz w:val="24"/>
      <w:szCs w:val="20"/>
    </w:rPr>
  </w:style>
  <w:style w:type="paragraph" w:styleId="21">
    <w:name w:val="Body Text First Indent 2"/>
    <w:basedOn w:val="8"/>
    <w:next w:val="20"/>
    <w:qFormat/>
    <w:uiPriority w:val="0"/>
    <w:pPr>
      <w:spacing w:after="120" w:line="240" w:lineRule="auto"/>
      <w:ind w:left="420" w:leftChars="200" w:firstLine="420" w:firstLineChars="200"/>
    </w:pPr>
  </w:style>
  <w:style w:type="character" w:styleId="24">
    <w:name w:val="Strong"/>
    <w:qFormat/>
    <w:uiPriority w:val="0"/>
    <w:rPr>
      <w:b/>
    </w:rPr>
  </w:style>
  <w:style w:type="character" w:styleId="25">
    <w:name w:val="page number"/>
    <w:basedOn w:val="23"/>
    <w:qFormat/>
    <w:uiPriority w:val="0"/>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paragraph" w:customStyle="1" w:styleId="28">
    <w:name w:val="无间隔1"/>
    <w:qFormat/>
    <w:uiPriority w:val="1"/>
    <w:pPr>
      <w:jc w:val="both"/>
    </w:pPr>
    <w:rPr>
      <w:rFonts w:ascii="Calibri" w:hAnsi="Calibri" w:eastAsia="Times New Roman" w:cs="Times New Roman"/>
      <w:lang w:val="en-US" w:eastAsia="zh-CN" w:bidi="ar-SA"/>
    </w:rPr>
  </w:style>
  <w:style w:type="paragraph" w:customStyle="1" w:styleId="29">
    <w:name w:val="样式 宋体 五号 行距: 单倍行距"/>
    <w:basedOn w:val="1"/>
    <w:qFormat/>
    <w:uiPriority w:val="0"/>
    <w:pPr>
      <w:adjustRightInd w:val="0"/>
      <w:jc w:val="left"/>
    </w:pPr>
    <w:rPr>
      <w:rFonts w:ascii="宋体" w:hAnsi="宋体"/>
      <w:kern w:val="0"/>
      <w:sz w:val="21"/>
    </w:rPr>
  </w:style>
  <w:style w:type="character" w:customStyle="1" w:styleId="30">
    <w:name w:val="NormalCharacter"/>
    <w:semiHidden/>
    <w:qFormat/>
    <w:uiPriority w:val="0"/>
    <w:rPr>
      <w:rFonts w:ascii="Verdana" w:hAnsi="Verdana" w:eastAsia="仿宋_GB2312"/>
      <w:sz w:val="24"/>
      <w:lang w:val="en-US" w:eastAsia="en-US" w:bidi="ar-SA"/>
    </w:rPr>
  </w:style>
  <w:style w:type="paragraph" w:customStyle="1" w:styleId="31">
    <w:name w:val="NormalIndent"/>
    <w:basedOn w:val="1"/>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32">
    <w:name w:val="UserStyle_225"/>
    <w:semiHidden/>
    <w:qFormat/>
    <w:uiPriority w:val="0"/>
    <w:pPr>
      <w:ind w:firstLine="200" w:firstLineChars="200"/>
      <w:jc w:val="both"/>
      <w:textAlignment w:val="baseline"/>
    </w:pPr>
    <w:rPr>
      <w:rFonts w:ascii="宋体" w:hAnsi="Times New Roman" w:eastAsia="宋体" w:cstheme="minorBidi"/>
      <w:sz w:val="21"/>
      <w:lang w:val="en-US" w:eastAsia="zh-CN" w:bidi="ar-SA"/>
    </w:rPr>
  </w:style>
  <w:style w:type="paragraph" w:customStyle="1" w:styleId="33">
    <w:name w:val="UserStyle_358"/>
    <w:basedOn w:val="1"/>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paragraph" w:customStyle="1" w:styleId="34">
    <w:name w:val="1"/>
    <w:basedOn w:val="1"/>
    <w:next w:val="11"/>
    <w:qFormat/>
    <w:uiPriority w:val="0"/>
    <w:rPr>
      <w:rFonts w:ascii="宋体" w:hAnsi="Courier New"/>
      <w:sz w:val="21"/>
    </w:rPr>
  </w:style>
  <w:style w:type="paragraph" w:customStyle="1" w:styleId="3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36">
    <w:name w:val="标题 2 Char"/>
    <w:link w:val="3"/>
    <w:qFormat/>
    <w:uiPriority w:val="0"/>
    <w:rPr>
      <w:rFonts w:ascii="Arial" w:hAnsi="Arial" w:eastAsia="黑体"/>
      <w:b/>
      <w:sz w:val="32"/>
    </w:rPr>
  </w:style>
  <w:style w:type="character" w:customStyle="1" w:styleId="37">
    <w:name w:val="font21"/>
    <w:basedOn w:val="23"/>
    <w:qFormat/>
    <w:uiPriority w:val="0"/>
    <w:rPr>
      <w:rFonts w:hint="eastAsia" w:ascii="黑体" w:hAnsi="宋体" w:eastAsia="黑体" w:cs="黑体"/>
      <w:color w:val="000000"/>
      <w:sz w:val="22"/>
      <w:szCs w:val="22"/>
      <w:u w:val="none"/>
    </w:rPr>
  </w:style>
  <w:style w:type="paragraph" w:customStyle="1" w:styleId="38">
    <w:name w:val="标书正文1"/>
    <w:basedOn w:val="1"/>
    <w:qFormat/>
    <w:uiPriority w:val="0"/>
    <w:pPr>
      <w:spacing w:line="520" w:lineRule="exact"/>
    </w:pPr>
  </w:style>
  <w:style w:type="character" w:customStyle="1" w:styleId="39">
    <w:name w:val="标题 1 Char"/>
    <w:link w:val="2"/>
    <w:qFormat/>
    <w:uiPriority w:val="0"/>
    <w:rPr>
      <w:rFonts w:ascii="宋体"/>
    </w:rPr>
  </w:style>
  <w:style w:type="character" w:customStyle="1" w:styleId="40">
    <w:name w:val="正文文本 Char"/>
    <w:link w:val="7"/>
    <w:qFormat/>
    <w:uiPriority w:val="0"/>
    <w:rPr>
      <w:rFonts w:ascii="仿宋_GB2312" w:eastAsia="仿宋_GB2312"/>
      <w:sz w:val="32"/>
    </w:rPr>
  </w:style>
  <w:style w:type="character" w:customStyle="1" w:styleId="41">
    <w:name w:val="标题 3 Char"/>
    <w:link w:val="4"/>
    <w:qFormat/>
    <w:uiPriority w:val="0"/>
    <w:rPr>
      <w:b/>
      <w:sz w:val="32"/>
    </w:rPr>
  </w:style>
  <w:style w:type="paragraph" w:customStyle="1" w:styleId="42">
    <w:name w:val="正文 + 首行缩进:  2 字符 段后: 7.8 磅"/>
    <w:basedOn w:val="1"/>
    <w:qFormat/>
    <w:uiPriority w:val="0"/>
    <w:pPr>
      <w:spacing w:after="156"/>
      <w:ind w:firstLine="480"/>
      <w:jc w:val="left"/>
    </w:pPr>
    <w:rPr>
      <w:rFonts w:cs="宋体"/>
    </w:rPr>
  </w:style>
  <w:style w:type="table" w:customStyle="1" w:styleId="43">
    <w:name w:val="网格型1"/>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4">
    <w:name w:val="图例"/>
    <w:basedOn w:val="1"/>
    <w:qFormat/>
    <w:uiPriority w:val="0"/>
    <w:pPr>
      <w:spacing w:before="120" w:after="120" w:line="360" w:lineRule="auto"/>
      <w:jc w:val="center"/>
    </w:pPr>
    <w:rPr>
      <w:rFonts w:ascii="Calibri" w:hAnsi="Calibri" w:eastAsia="仿宋_GB2312" w:cs="黑体"/>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2378</Words>
  <Characters>2717</Characters>
  <Lines>0</Lines>
  <Paragraphs>0</Paragraphs>
  <TotalTime>0</TotalTime>
  <ScaleCrop>false</ScaleCrop>
  <LinksUpToDate>false</LinksUpToDate>
  <CharactersWithSpaces>2798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2022-08-18T22:14:00Z</dcterms:created>
  <dc:creator>小小小朋友o∩_∩o</dc:creator>
  <cp:lastModifiedBy>熊</cp:lastModifiedBy>
  <cp:lastPrinted>2023-05-08T09:14:00Z</cp:lastPrinted>
  <dcterms:modified xsi:type="dcterms:W3CDTF">2025-05-08T08:55:23Z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BFACF066E66A47708F3E841FFF273335_13</vt:lpwstr>
  </property>
  <property fmtid="{D5CDD505-2E9C-101B-9397-08002B2CF9AE}" pid="4" name="KSOTemplateDocerSaveRecord">
    <vt:lpwstr>eyJoZGlkIjoiNjFiMzJiMDMyYTcwNjQ2YjBhMGM0OTBiOGVkZDEyNzMiLCJ1c2VySWQiOiI1NDY2NjExMTcifQ==</vt:lpwstr>
  </property>
</Properties>
</file>