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6"/>
          <w:szCs w:val="36"/>
          <w:highlight w:val="none"/>
        </w:rPr>
      </w:pPr>
    </w:p>
    <w:p>
      <w:pPr>
        <w:spacing w:line="360" w:lineRule="auto"/>
        <w:rPr>
          <w:rFonts w:hint="eastAsia" w:ascii="仿宋" w:hAnsi="仿宋" w:eastAsia="仿宋" w:cs="仿宋"/>
          <w:b/>
          <w:bCs/>
          <w:color w:val="auto"/>
          <w:sz w:val="72"/>
          <w:szCs w:val="72"/>
          <w:highlight w:val="none"/>
        </w:rPr>
      </w:pPr>
    </w:p>
    <w:p>
      <w:pPr>
        <w:pStyle w:val="2"/>
        <w:spacing w:line="360" w:lineRule="auto"/>
        <w:jc w:val="center"/>
        <w:rPr>
          <w:rFonts w:hint="eastAsia" w:ascii="仿宋" w:hAnsi="仿宋" w:eastAsia="仿宋" w:cs="仿宋"/>
          <w:b/>
          <w:color w:val="auto"/>
          <w:sz w:val="64"/>
          <w:szCs w:val="64"/>
          <w:highlight w:val="none"/>
        </w:rPr>
      </w:pPr>
    </w:p>
    <w:p>
      <w:pPr>
        <w:pStyle w:val="2"/>
        <w:spacing w:line="360" w:lineRule="auto"/>
        <w:jc w:val="center"/>
        <w:rPr>
          <w:rFonts w:hint="eastAsia" w:ascii="仿宋" w:hAnsi="仿宋" w:eastAsia="仿宋" w:cs="仿宋"/>
          <w:b/>
          <w:color w:val="auto"/>
          <w:sz w:val="96"/>
          <w:szCs w:val="96"/>
          <w:highlight w:val="none"/>
        </w:rPr>
      </w:pPr>
      <w:r>
        <w:rPr>
          <w:rFonts w:hint="eastAsia" w:ascii="仿宋" w:hAnsi="仿宋" w:eastAsia="仿宋" w:cs="仿宋"/>
          <w:b/>
          <w:color w:val="auto"/>
          <w:sz w:val="96"/>
          <w:szCs w:val="96"/>
          <w:highlight w:val="none"/>
        </w:rPr>
        <w:t>采购文件</w:t>
      </w:r>
    </w:p>
    <w:p>
      <w:pPr>
        <w:pStyle w:val="2"/>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（综 合 评 分 法）</w:t>
      </w:r>
    </w:p>
    <w:p>
      <w:pPr>
        <w:spacing w:line="360" w:lineRule="auto"/>
        <w:jc w:val="center"/>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项目名称：</w:t>
      </w:r>
      <w:r>
        <w:rPr>
          <w:rFonts w:hint="eastAsia" w:ascii="仿宋" w:hAnsi="仿宋" w:eastAsia="仿宋" w:cs="仿宋"/>
          <w:b/>
          <w:color w:val="auto"/>
          <w:sz w:val="32"/>
          <w:szCs w:val="32"/>
          <w:highlight w:val="none"/>
          <w:lang w:eastAsia="zh-CN"/>
        </w:rPr>
        <w:t>2023-2024学年度下期竹笛校本课程采购项目</w:t>
      </w:r>
    </w:p>
    <w:p>
      <w:pPr>
        <w:pStyle w:val="2"/>
        <w:spacing w:line="360" w:lineRule="auto"/>
        <w:rPr>
          <w:rFonts w:hint="eastAsia" w:ascii="仿宋" w:hAnsi="仿宋" w:eastAsia="仿宋" w:cs="仿宋"/>
          <w:b/>
          <w:color w:val="auto"/>
          <w:sz w:val="36"/>
          <w:szCs w:val="36"/>
          <w:highlight w:val="none"/>
        </w:rPr>
      </w:pPr>
    </w:p>
    <w:p>
      <w:pPr>
        <w:spacing w:line="360" w:lineRule="auto"/>
        <w:rPr>
          <w:rFonts w:hint="eastAsia" w:ascii="仿宋" w:hAnsi="仿宋" w:eastAsia="仿宋" w:cs="仿宋"/>
          <w:b/>
          <w:color w:val="auto"/>
          <w:sz w:val="36"/>
          <w:szCs w:val="36"/>
          <w:highlight w:val="none"/>
        </w:rPr>
      </w:pPr>
    </w:p>
    <w:p>
      <w:pPr>
        <w:spacing w:line="360" w:lineRule="auto"/>
        <w:rPr>
          <w:rFonts w:hint="eastAsia" w:ascii="仿宋" w:hAnsi="仿宋" w:eastAsia="仿宋" w:cs="仿宋"/>
          <w:b/>
          <w:color w:val="auto"/>
          <w:sz w:val="36"/>
          <w:szCs w:val="36"/>
          <w:highlight w:val="none"/>
        </w:rPr>
      </w:pPr>
    </w:p>
    <w:p>
      <w:pPr>
        <w:pStyle w:val="2"/>
        <w:spacing w:line="360" w:lineRule="auto"/>
        <w:rPr>
          <w:rFonts w:hint="eastAsia" w:ascii="仿宋" w:hAnsi="仿宋" w:eastAsia="仿宋" w:cs="仿宋"/>
          <w:b/>
          <w:color w:val="auto"/>
          <w:sz w:val="36"/>
          <w:szCs w:val="36"/>
          <w:highlight w:val="none"/>
        </w:rPr>
      </w:pPr>
    </w:p>
    <w:p>
      <w:pPr>
        <w:spacing w:line="360" w:lineRule="auto"/>
        <w:rPr>
          <w:rFonts w:hint="eastAsia" w:ascii="仿宋" w:hAnsi="仿宋" w:eastAsia="仿宋" w:cs="仿宋"/>
          <w:b/>
          <w:color w:val="auto"/>
          <w:sz w:val="36"/>
          <w:szCs w:val="36"/>
          <w:highlight w:val="none"/>
        </w:rPr>
      </w:pPr>
    </w:p>
    <w:p>
      <w:pPr>
        <w:spacing w:line="360" w:lineRule="auto"/>
        <w:rPr>
          <w:rFonts w:hint="eastAsia" w:ascii="仿宋" w:hAnsi="仿宋" w:eastAsia="仿宋" w:cs="仿宋"/>
          <w:color w:val="auto"/>
          <w:highlight w:val="none"/>
        </w:rPr>
      </w:pPr>
    </w:p>
    <w:p>
      <w:pPr>
        <w:spacing w:line="360" w:lineRule="auto"/>
        <w:ind w:firstLine="964" w:firstLineChars="300"/>
        <w:jc w:val="center"/>
        <w:rPr>
          <w:rFonts w:hint="eastAsia" w:ascii="仿宋" w:hAnsi="仿宋" w:eastAsia="仿宋" w:cs="仿宋"/>
          <w:b/>
          <w:color w:val="auto"/>
          <w:sz w:val="32"/>
          <w:szCs w:val="32"/>
          <w:highlight w:val="none"/>
        </w:rPr>
      </w:pPr>
    </w:p>
    <w:p>
      <w:pPr>
        <w:spacing w:line="360" w:lineRule="auto"/>
        <w:ind w:firstLine="964" w:firstLineChars="300"/>
        <w:jc w:val="center"/>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采   购   人：</w:t>
      </w:r>
      <w:r>
        <w:rPr>
          <w:rFonts w:hint="eastAsia" w:ascii="仿宋" w:hAnsi="仿宋" w:eastAsia="仿宋" w:cs="仿宋"/>
          <w:b/>
          <w:color w:val="auto"/>
          <w:sz w:val="32"/>
          <w:szCs w:val="32"/>
          <w:highlight w:val="none"/>
          <w:lang w:eastAsia="zh-CN"/>
        </w:rPr>
        <w:t>重庆市南岸区珊瑚实验小学校</w:t>
      </w:r>
    </w:p>
    <w:p>
      <w:pPr>
        <w:spacing w:line="360" w:lineRule="auto"/>
        <w:ind w:firstLine="964" w:firstLineChars="300"/>
        <w:jc w:val="center"/>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采购代理机构：</w:t>
      </w:r>
      <w:r>
        <w:rPr>
          <w:rFonts w:hint="eastAsia" w:ascii="仿宋" w:hAnsi="仿宋" w:eastAsia="仿宋" w:cs="仿宋"/>
          <w:b/>
          <w:color w:val="auto"/>
          <w:sz w:val="32"/>
          <w:szCs w:val="32"/>
          <w:highlight w:val="none"/>
          <w:lang w:eastAsia="zh-CN"/>
        </w:rPr>
        <w:t>重庆兆恩工程咨询有限公司</w:t>
      </w:r>
    </w:p>
    <w:p>
      <w:pPr>
        <w:spacing w:line="360" w:lineRule="auto"/>
        <w:jc w:val="center"/>
        <w:rPr>
          <w:rFonts w:hint="eastAsia" w:ascii="仿宋" w:hAnsi="仿宋" w:eastAsia="仿宋" w:cs="仿宋"/>
          <w:color w:val="auto"/>
          <w:highlight w:val="none"/>
        </w:rPr>
        <w:sectPr>
          <w:headerReference r:id="rId3" w:type="default"/>
          <w:pgSz w:w="11907" w:h="16840"/>
          <w:pgMar w:top="1134" w:right="1247" w:bottom="1134" w:left="1247" w:header="851" w:footer="992" w:gutter="0"/>
          <w:pgNumType w:start="1"/>
          <w:cols w:space="720" w:num="1"/>
          <w:docGrid w:linePitch="381" w:charSpace="-5735"/>
        </w:sectPr>
      </w:pPr>
      <w:r>
        <w:rPr>
          <w:rFonts w:hint="eastAsia" w:ascii="仿宋" w:hAnsi="仿宋" w:eastAsia="仿宋" w:cs="仿宋"/>
          <w:b/>
          <w:color w:val="auto"/>
          <w:sz w:val="32"/>
          <w:szCs w:val="32"/>
          <w:highlight w:val="none"/>
        </w:rPr>
        <w:t>二〇二</w:t>
      </w: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年</w:t>
      </w:r>
      <w:r>
        <w:rPr>
          <w:rFonts w:hint="eastAsia" w:ascii="仿宋" w:hAnsi="仿宋" w:eastAsia="仿宋" w:cs="仿宋"/>
          <w:b/>
          <w:color w:val="auto"/>
          <w:sz w:val="32"/>
          <w:szCs w:val="32"/>
          <w:highlight w:val="none"/>
          <w:lang w:val="en-US" w:eastAsia="zh-CN"/>
        </w:rPr>
        <w:t>三</w:t>
      </w:r>
      <w:r>
        <w:rPr>
          <w:rFonts w:hint="eastAsia" w:ascii="仿宋" w:hAnsi="仿宋" w:eastAsia="仿宋" w:cs="仿宋"/>
          <w:b/>
          <w:color w:val="auto"/>
          <w:sz w:val="32"/>
          <w:szCs w:val="32"/>
          <w:highlight w:val="none"/>
        </w:rPr>
        <w:t>月</w:t>
      </w:r>
    </w:p>
    <w:p>
      <w:pPr>
        <w:spacing w:line="360" w:lineRule="auto"/>
        <w:rPr>
          <w:rFonts w:hint="eastAsia" w:ascii="仿宋" w:hAnsi="仿宋" w:eastAsia="仿宋" w:cs="仿宋"/>
          <w:b/>
          <w:bCs/>
          <w:color w:val="auto"/>
          <w:sz w:val="40"/>
          <w:szCs w:val="40"/>
          <w:highlight w:val="none"/>
        </w:rPr>
      </w:pPr>
      <w:r>
        <w:rPr>
          <w:rFonts w:hint="eastAsia" w:ascii="仿宋" w:hAnsi="仿宋" w:eastAsia="仿宋" w:cs="仿宋"/>
          <w:b/>
          <w:bCs/>
          <w:color w:val="auto"/>
          <w:sz w:val="40"/>
          <w:szCs w:val="40"/>
          <w:highlight w:val="none"/>
        </w:rPr>
        <w:br w:type="page"/>
      </w:r>
    </w:p>
    <w:p>
      <w:pPr>
        <w:tabs>
          <w:tab w:val="left" w:pos="1185"/>
          <w:tab w:val="center" w:pos="4156"/>
          <w:tab w:val="left" w:pos="7095"/>
        </w:tabs>
        <w:spacing w:line="360" w:lineRule="auto"/>
        <w:jc w:val="center"/>
        <w:rPr>
          <w:rFonts w:hint="eastAsia" w:ascii="仿宋" w:hAnsi="仿宋" w:eastAsia="仿宋" w:cs="仿宋"/>
          <w:b/>
          <w:bCs/>
          <w:color w:val="auto"/>
          <w:sz w:val="40"/>
          <w:szCs w:val="40"/>
          <w:highlight w:val="none"/>
        </w:rPr>
      </w:pPr>
      <w:r>
        <w:rPr>
          <w:rFonts w:hint="eastAsia" w:ascii="仿宋" w:hAnsi="仿宋" w:eastAsia="仿宋" w:cs="仿宋"/>
          <w:b/>
          <w:bCs/>
          <w:color w:val="auto"/>
          <w:sz w:val="40"/>
          <w:szCs w:val="40"/>
          <w:highlight w:val="none"/>
        </w:rPr>
        <w:t>目  录</w:t>
      </w:r>
    </w:p>
    <w:p>
      <w:pPr>
        <w:pStyle w:val="21"/>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TOC \o "1-3" \h \z \u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"_Toc11097" </w:instrText>
      </w:r>
      <w:r>
        <w:rPr>
          <w:rFonts w:hint="eastAsia" w:ascii="仿宋" w:hAnsi="仿宋" w:eastAsia="仿宋" w:cs="仿宋"/>
          <w:color w:val="auto"/>
          <w:highlight w:val="none"/>
        </w:rPr>
        <w:fldChar w:fldCharType="separate"/>
      </w:r>
      <w:r>
        <w:rPr>
          <w:rFonts w:hint="eastAsia" w:ascii="仿宋" w:hAnsi="仿宋" w:eastAsia="仿宋" w:cs="仿宋"/>
          <w:bCs/>
          <w:color w:val="auto"/>
          <w:szCs w:val="32"/>
          <w:highlight w:val="none"/>
        </w:rPr>
        <w:t>第一篇  采购公告</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_Toc11097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21"/>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"_Toc25630" </w:instrText>
      </w:r>
      <w:r>
        <w:rPr>
          <w:rFonts w:hint="eastAsia" w:ascii="仿宋" w:hAnsi="仿宋" w:eastAsia="仿宋" w:cs="仿宋"/>
          <w:color w:val="auto"/>
          <w:highlight w:val="none"/>
        </w:rPr>
        <w:fldChar w:fldCharType="separate"/>
      </w:r>
      <w:r>
        <w:rPr>
          <w:rFonts w:hint="eastAsia" w:ascii="仿宋" w:hAnsi="仿宋" w:eastAsia="仿宋" w:cs="仿宋"/>
          <w:bCs/>
          <w:color w:val="auto"/>
          <w:szCs w:val="32"/>
          <w:highlight w:val="none"/>
        </w:rPr>
        <w:t>第二篇  项目服务需求</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_Toc25630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21"/>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"_Toc412" </w:instrText>
      </w:r>
      <w:r>
        <w:rPr>
          <w:rFonts w:hint="eastAsia" w:ascii="仿宋" w:hAnsi="仿宋" w:eastAsia="仿宋" w:cs="仿宋"/>
          <w:color w:val="auto"/>
          <w:highlight w:val="none"/>
        </w:rPr>
        <w:fldChar w:fldCharType="separate"/>
      </w:r>
      <w:r>
        <w:rPr>
          <w:rFonts w:hint="eastAsia" w:ascii="仿宋" w:hAnsi="仿宋" w:eastAsia="仿宋" w:cs="仿宋"/>
          <w:bCs/>
          <w:color w:val="auto"/>
          <w:szCs w:val="32"/>
          <w:highlight w:val="none"/>
        </w:rPr>
        <w:t>第三篇  项目商务要求</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_Toc412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21"/>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"_Toc27973" </w:instrText>
      </w:r>
      <w:r>
        <w:rPr>
          <w:rFonts w:hint="eastAsia" w:ascii="仿宋" w:hAnsi="仿宋" w:eastAsia="仿宋" w:cs="仿宋"/>
          <w:color w:val="auto"/>
          <w:highlight w:val="none"/>
        </w:rPr>
        <w:fldChar w:fldCharType="separate"/>
      </w:r>
      <w:r>
        <w:rPr>
          <w:rFonts w:hint="eastAsia" w:ascii="仿宋" w:hAnsi="仿宋" w:eastAsia="仿宋" w:cs="仿宋"/>
          <w:bCs/>
          <w:color w:val="auto"/>
          <w:szCs w:val="32"/>
          <w:highlight w:val="none"/>
        </w:rPr>
        <w:t>第四篇  资格审查及评标办法</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_Toc27973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7</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21"/>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"_Toc27619" </w:instrText>
      </w:r>
      <w:r>
        <w:rPr>
          <w:rFonts w:hint="eastAsia" w:ascii="仿宋" w:hAnsi="仿宋" w:eastAsia="仿宋" w:cs="仿宋"/>
          <w:color w:val="auto"/>
          <w:highlight w:val="none"/>
        </w:rPr>
        <w:fldChar w:fldCharType="separate"/>
      </w:r>
      <w:r>
        <w:rPr>
          <w:rFonts w:hint="eastAsia" w:ascii="仿宋" w:hAnsi="仿宋" w:eastAsia="仿宋" w:cs="仿宋"/>
          <w:bCs/>
          <w:color w:val="auto"/>
          <w:szCs w:val="32"/>
          <w:highlight w:val="none"/>
        </w:rPr>
        <w:t>第五篇  供应商须知</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_Toc27619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 xml:space="preserve"> 14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21"/>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"_Toc26968" </w:instrText>
      </w:r>
      <w:r>
        <w:rPr>
          <w:rFonts w:hint="eastAsia" w:ascii="仿宋" w:hAnsi="仿宋" w:eastAsia="仿宋" w:cs="仿宋"/>
          <w:color w:val="auto"/>
          <w:highlight w:val="none"/>
        </w:rPr>
        <w:fldChar w:fldCharType="separate"/>
      </w:r>
      <w:r>
        <w:rPr>
          <w:rFonts w:hint="eastAsia" w:ascii="仿宋" w:hAnsi="仿宋" w:eastAsia="仿宋" w:cs="仿宋"/>
          <w:bCs/>
          <w:color w:val="auto"/>
          <w:szCs w:val="32"/>
          <w:highlight w:val="none"/>
        </w:rPr>
        <w:t>第六篇  合同主要条款和格式合同（样本）</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_Toc26968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17</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21"/>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"_Toc11628" </w:instrText>
      </w:r>
      <w:r>
        <w:rPr>
          <w:rFonts w:hint="eastAsia" w:ascii="仿宋" w:hAnsi="仿宋" w:eastAsia="仿宋" w:cs="仿宋"/>
          <w:color w:val="auto"/>
          <w:highlight w:val="none"/>
        </w:rPr>
        <w:fldChar w:fldCharType="separate"/>
      </w:r>
      <w:r>
        <w:rPr>
          <w:rFonts w:hint="eastAsia" w:ascii="仿宋" w:hAnsi="仿宋" w:eastAsia="仿宋" w:cs="仿宋"/>
          <w:bCs/>
          <w:color w:val="auto"/>
          <w:szCs w:val="32"/>
          <w:highlight w:val="none"/>
        </w:rPr>
        <w:t>第七篇  响应文件格式要求</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_Toc11628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20</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3"/>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"_Toc9358"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一、经济部分</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_Toc9358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21</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3"/>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"_Toc24658"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二、技术部分</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_Toc24658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22</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3"/>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"_Toc7672"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三、商务部分</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_Toc7672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25</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3"/>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"_Toc21733"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四、资格条件及其他</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_Toc21733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27</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3"/>
        <w:tabs>
          <w:tab w:val="right" w:leader="dot" w:pos="8313"/>
          <w:tab w:val="clear" w:pos="83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"_Toc22647"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五、其他应提供的资料</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_Toc22647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32</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spacing w:line="360" w:lineRule="auto"/>
        <w:rPr>
          <w:rFonts w:hint="eastAsia" w:ascii="仿宋" w:hAnsi="仿宋" w:eastAsia="仿宋" w:cs="仿宋"/>
          <w:color w:val="auto"/>
          <w:sz w:val="24"/>
          <w:szCs w:val="24"/>
          <w:highlight w:val="none"/>
        </w:rPr>
        <w:sectPr>
          <w:headerReference r:id="rId5" w:type="first"/>
          <w:footerReference r:id="rId7" w:type="first"/>
          <w:headerReference r:id="rId4" w:type="default"/>
          <w:footerReference r:id="rId6" w:type="default"/>
          <w:pgSz w:w="11907" w:h="16840"/>
          <w:pgMar w:top="1440" w:right="1797" w:bottom="1440" w:left="1797" w:header="851" w:footer="992" w:gutter="0"/>
          <w:pgNumType w:fmt="numberInDash" w:start="1"/>
          <w:cols w:space="720" w:num="1"/>
          <w:titlePg/>
          <w:docGrid w:type="lines" w:linePitch="380" w:charSpace="-5735"/>
        </w:sectPr>
      </w:pPr>
      <w:r>
        <w:rPr>
          <w:rFonts w:hint="eastAsia" w:ascii="仿宋" w:hAnsi="仿宋" w:eastAsia="仿宋" w:cs="仿宋"/>
          <w:bCs/>
          <w:color w:val="auto"/>
          <w:szCs w:val="24"/>
          <w:highlight w:val="none"/>
        </w:rPr>
        <w:fldChar w:fldCharType="end"/>
      </w:r>
    </w:p>
    <w:p>
      <w:pPr>
        <w:pStyle w:val="4"/>
        <w:spacing w:line="360" w:lineRule="auto"/>
        <w:jc w:val="center"/>
        <w:rPr>
          <w:rFonts w:hint="eastAsia" w:ascii="仿宋" w:hAnsi="仿宋" w:eastAsia="仿宋" w:cs="仿宋"/>
          <w:color w:val="auto"/>
          <w:highlight w:val="none"/>
        </w:rPr>
      </w:pPr>
      <w:bookmarkStart w:id="0" w:name="_Toc152480139"/>
      <w:bookmarkStart w:id="1" w:name="_Toc11097"/>
      <w:bookmarkStart w:id="2" w:name="_Toc11641050"/>
      <w:bookmarkStart w:id="3" w:name="_Toc12789052"/>
      <w:bookmarkStart w:id="4" w:name="_Toc128744981"/>
      <w:r>
        <w:rPr>
          <w:rStyle w:val="36"/>
          <w:rFonts w:hint="eastAsia" w:ascii="仿宋" w:hAnsi="仿宋" w:eastAsia="仿宋" w:cs="仿宋"/>
          <w:b/>
          <w:bCs/>
          <w:color w:val="auto"/>
          <w:highlight w:val="none"/>
        </w:rPr>
        <w:t xml:space="preserve">第一篇  </w:t>
      </w:r>
      <w:bookmarkEnd w:id="0"/>
      <w:r>
        <w:rPr>
          <w:rStyle w:val="36"/>
          <w:rFonts w:hint="eastAsia" w:ascii="仿宋" w:hAnsi="仿宋" w:eastAsia="仿宋" w:cs="仿宋"/>
          <w:b/>
          <w:bCs/>
          <w:color w:val="auto"/>
          <w:highlight w:val="none"/>
        </w:rPr>
        <w:t>采购公告</w:t>
      </w:r>
      <w:bookmarkEnd w:id="1"/>
    </w:p>
    <w:p>
      <w:pPr>
        <w:snapToGrid w:val="0"/>
        <w:spacing w:line="360" w:lineRule="auto"/>
        <w:ind w:firstLine="480" w:firstLineChars="200"/>
        <w:rPr>
          <w:rFonts w:hint="eastAsia" w:ascii="仿宋" w:hAnsi="仿宋" w:eastAsia="仿宋" w:cs="仿宋"/>
          <w:color w:val="auto"/>
          <w:sz w:val="24"/>
          <w:szCs w:val="24"/>
          <w:highlight w:val="none"/>
        </w:rPr>
      </w:pPr>
      <w:bookmarkStart w:id="5" w:name="_Toc379619850"/>
      <w:r>
        <w:rPr>
          <w:rFonts w:hint="eastAsia" w:ascii="仿宋" w:hAnsi="仿宋" w:eastAsia="仿宋" w:cs="仿宋"/>
          <w:color w:val="auto"/>
          <w:sz w:val="24"/>
          <w:szCs w:val="24"/>
          <w:highlight w:val="none"/>
          <w:u w:val="single"/>
          <w:lang w:eastAsia="zh-CN"/>
        </w:rPr>
        <w:t>重庆兆恩工程咨询有限公司</w:t>
      </w:r>
      <w:r>
        <w:rPr>
          <w:rFonts w:hint="eastAsia" w:ascii="仿宋" w:hAnsi="仿宋" w:eastAsia="仿宋" w:cs="仿宋"/>
          <w:color w:val="auto"/>
          <w:sz w:val="24"/>
          <w:szCs w:val="24"/>
          <w:highlight w:val="none"/>
        </w:rPr>
        <w:t>受</w:t>
      </w:r>
      <w:r>
        <w:rPr>
          <w:rFonts w:hint="eastAsia" w:ascii="仿宋" w:hAnsi="仿宋" w:eastAsia="仿宋" w:cs="仿宋"/>
          <w:color w:val="auto"/>
          <w:sz w:val="24"/>
          <w:szCs w:val="24"/>
          <w:highlight w:val="none"/>
          <w:u w:val="single"/>
          <w:lang w:eastAsia="zh-CN"/>
        </w:rPr>
        <w:t>重庆市南岸区珊瑚实验小学校</w:t>
      </w:r>
      <w:r>
        <w:rPr>
          <w:rFonts w:hint="eastAsia" w:ascii="仿宋" w:hAnsi="仿宋" w:eastAsia="仿宋" w:cs="仿宋"/>
          <w:color w:val="auto"/>
          <w:sz w:val="24"/>
          <w:szCs w:val="24"/>
          <w:highlight w:val="none"/>
        </w:rPr>
        <w:t>的委托，对</w:t>
      </w:r>
      <w:r>
        <w:rPr>
          <w:rFonts w:hint="eastAsia" w:ascii="仿宋" w:hAnsi="仿宋" w:eastAsia="仿宋" w:cs="仿宋"/>
          <w:color w:val="auto"/>
          <w:sz w:val="24"/>
          <w:szCs w:val="24"/>
          <w:highlight w:val="none"/>
          <w:u w:val="single"/>
          <w:lang w:eastAsia="zh-CN"/>
        </w:rPr>
        <w:t>2023-2024学年度下期竹笛校本课程采购项目</w:t>
      </w:r>
      <w:r>
        <w:rPr>
          <w:rFonts w:hint="eastAsia" w:ascii="仿宋" w:hAnsi="仿宋" w:eastAsia="仿宋" w:cs="仿宋"/>
          <w:color w:val="auto"/>
          <w:sz w:val="24"/>
          <w:szCs w:val="24"/>
          <w:highlight w:val="none"/>
        </w:rPr>
        <w:t>项目进行采购。欢迎具备相关资质的供应商参加采购。</w:t>
      </w:r>
    </w:p>
    <w:p>
      <w:pPr>
        <w:pStyle w:val="5"/>
        <w:spacing w:before="0" w:after="0" w:line="360" w:lineRule="auto"/>
        <w:jc w:val="left"/>
        <w:rPr>
          <w:rFonts w:hint="eastAsia" w:ascii="仿宋" w:hAnsi="仿宋" w:eastAsia="仿宋" w:cs="仿宋"/>
          <w:color w:val="auto"/>
          <w:sz w:val="24"/>
          <w:szCs w:val="24"/>
          <w:highlight w:val="none"/>
        </w:rPr>
      </w:pPr>
      <w:bookmarkStart w:id="6" w:name="_Toc24133"/>
      <w:r>
        <w:rPr>
          <w:rFonts w:hint="eastAsia" w:ascii="仿宋" w:hAnsi="仿宋" w:eastAsia="仿宋" w:cs="仿宋"/>
          <w:color w:val="auto"/>
          <w:sz w:val="24"/>
          <w:szCs w:val="24"/>
          <w:highlight w:val="none"/>
        </w:rPr>
        <w:t>一、采购项目内容</w:t>
      </w:r>
      <w:bookmarkEnd w:id="5"/>
      <w:bookmarkEnd w:id="6"/>
    </w:p>
    <w:tbl>
      <w:tblPr>
        <w:tblStyle w:val="25"/>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3079"/>
        <w:gridCol w:w="1853"/>
        <w:gridCol w:w="1734"/>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03" w:type="dxa"/>
            <w:vAlign w:val="center"/>
          </w:tcPr>
          <w:p>
            <w:pPr>
              <w:widowControl/>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3079" w:type="dxa"/>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项目名称</w:t>
            </w:r>
          </w:p>
        </w:tc>
        <w:tc>
          <w:tcPr>
            <w:tcW w:w="1853" w:type="dxa"/>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采购预算</w:t>
            </w:r>
          </w:p>
        </w:tc>
        <w:tc>
          <w:tcPr>
            <w:tcW w:w="1734" w:type="dxa"/>
            <w:vAlign w:val="center"/>
          </w:tcPr>
          <w:p>
            <w:pPr>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成交供应商</w:t>
            </w:r>
          </w:p>
          <w:p>
            <w:pPr>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数量（名）</w:t>
            </w:r>
          </w:p>
        </w:tc>
        <w:tc>
          <w:tcPr>
            <w:tcW w:w="2569" w:type="dxa"/>
            <w:vAlign w:val="center"/>
          </w:tcPr>
          <w:p>
            <w:pPr>
              <w:pStyle w:val="11"/>
              <w:spacing w:line="240" w:lineRule="auto"/>
              <w:ind w:left="0"/>
              <w:jc w:val="center"/>
              <w:outlineLvl w:val="0"/>
              <w:rPr>
                <w:rFonts w:hint="eastAsia" w:ascii="仿宋" w:hAnsi="仿宋" w:eastAsia="仿宋" w:cs="仿宋"/>
                <w:b/>
                <w:color w:val="auto"/>
                <w:sz w:val="24"/>
                <w:szCs w:val="24"/>
                <w:highlight w:val="none"/>
              </w:rPr>
            </w:pPr>
            <w:r>
              <w:rPr>
                <w:rFonts w:hint="eastAsia" w:ascii="仿宋" w:hAnsi="仿宋" w:eastAsia="仿宋" w:cs="仿宋"/>
                <w:b/>
                <w:bCs/>
                <w:color w:val="auto"/>
                <w:kern w:val="0"/>
                <w:sz w:val="24"/>
                <w:szCs w:val="24"/>
                <w:highlight w:val="none"/>
                <w:lang w:val="en-US" w:eastAsia="zh-CN" w:bidi="ar-SA"/>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803" w:type="dxa"/>
            <w:vAlign w:val="center"/>
          </w:tcPr>
          <w:p>
            <w:pPr>
              <w:pStyle w:val="37"/>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079" w:type="dxa"/>
            <w:vAlign w:val="center"/>
          </w:tcPr>
          <w:p>
            <w:pPr>
              <w:widowControl/>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2023-2024学年度下期竹笛校本课程采购项目</w:t>
            </w:r>
          </w:p>
        </w:tc>
        <w:tc>
          <w:tcPr>
            <w:tcW w:w="1853" w:type="dxa"/>
            <w:vAlign w:val="center"/>
          </w:tcPr>
          <w:p>
            <w:pPr>
              <w:widowControl/>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7.8万</w:t>
            </w:r>
            <w:r>
              <w:rPr>
                <w:rFonts w:hint="eastAsia" w:ascii="仿宋" w:hAnsi="仿宋" w:eastAsia="仿宋" w:cs="仿宋"/>
                <w:color w:val="auto"/>
                <w:sz w:val="24"/>
                <w:szCs w:val="24"/>
                <w:highlight w:val="none"/>
              </w:rPr>
              <w:t>元</w:t>
            </w:r>
          </w:p>
        </w:tc>
        <w:tc>
          <w:tcPr>
            <w:tcW w:w="1734" w:type="dxa"/>
            <w:vAlign w:val="center"/>
          </w:tcPr>
          <w:p>
            <w:pPr>
              <w:widowControl/>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569" w:type="dxa"/>
            <w:vAlign w:val="center"/>
          </w:tcPr>
          <w:p>
            <w:pPr>
              <w:widowControl/>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租赁和商务服务业</w:t>
            </w:r>
          </w:p>
        </w:tc>
      </w:tr>
    </w:tbl>
    <w:p>
      <w:pPr>
        <w:pStyle w:val="5"/>
        <w:numPr>
          <w:ilvl w:val="0"/>
          <w:numId w:val="2"/>
        </w:numPr>
        <w:spacing w:before="0" w:after="0" w:line="360" w:lineRule="auto"/>
        <w:rPr>
          <w:rFonts w:hint="eastAsia" w:ascii="仿宋" w:hAnsi="仿宋" w:eastAsia="仿宋" w:cs="仿宋"/>
          <w:color w:val="auto"/>
          <w:sz w:val="24"/>
          <w:szCs w:val="24"/>
          <w:highlight w:val="none"/>
        </w:rPr>
      </w:pPr>
      <w:bookmarkStart w:id="7" w:name="_Toc27485"/>
      <w:bookmarkStart w:id="8" w:name="_Toc152480140"/>
      <w:r>
        <w:rPr>
          <w:rFonts w:hint="eastAsia" w:ascii="仿宋" w:hAnsi="仿宋" w:eastAsia="仿宋" w:cs="仿宋"/>
          <w:color w:val="auto"/>
          <w:sz w:val="24"/>
          <w:szCs w:val="24"/>
          <w:highlight w:val="none"/>
        </w:rPr>
        <w:t>采购预算金额</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预算金额为人民币</w:t>
      </w:r>
      <w:r>
        <w:rPr>
          <w:rFonts w:hint="eastAsia" w:ascii="仿宋" w:hAnsi="仿宋" w:eastAsia="仿宋" w:cs="仿宋"/>
          <w:color w:val="auto"/>
          <w:sz w:val="24"/>
          <w:szCs w:val="24"/>
          <w:highlight w:val="none"/>
          <w:lang w:val="en-US" w:eastAsia="zh-CN"/>
        </w:rPr>
        <w:t>7.8万</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资金来源为财政资金</w:t>
      </w:r>
      <w:r>
        <w:rPr>
          <w:rFonts w:hint="eastAsia" w:ascii="仿宋" w:hAnsi="仿宋" w:eastAsia="仿宋" w:cs="仿宋"/>
          <w:color w:val="auto"/>
          <w:sz w:val="24"/>
          <w:szCs w:val="24"/>
          <w:highlight w:val="none"/>
        </w:rPr>
        <w:t>。</w:t>
      </w:r>
    </w:p>
    <w:p>
      <w:pPr>
        <w:pStyle w:val="5"/>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三、资格要求</w:t>
      </w:r>
      <w:bookmarkEnd w:id="7"/>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供应商是指向采购人提供服务或者货物的法人、其他组织或者自然人。合格的供应商应符合政府采购法第二十二条规定的基本资格条件和采购方设置的特定资格条件。</w:t>
      </w:r>
    </w:p>
    <w:p>
      <w:pPr>
        <w:snapToGrid w:val="0"/>
        <w:spacing w:line="360" w:lineRule="auto"/>
        <w:ind w:firstLine="480" w:firstLineChars="200"/>
        <w:rPr>
          <w:rFonts w:hint="eastAsia" w:ascii="仿宋" w:hAnsi="仿宋" w:eastAsia="仿宋" w:cs="仿宋"/>
          <w:color w:val="auto"/>
          <w:sz w:val="24"/>
          <w:szCs w:val="24"/>
          <w:highlight w:val="none"/>
        </w:rPr>
      </w:pPr>
      <w:bookmarkStart w:id="9" w:name="_Toc1359"/>
      <w:bookmarkStart w:id="10" w:name="_Toc487204774"/>
      <w:r>
        <w:rPr>
          <w:rFonts w:hint="eastAsia" w:ascii="仿宋" w:hAnsi="仿宋" w:eastAsia="仿宋" w:cs="仿宋"/>
          <w:color w:val="auto"/>
          <w:sz w:val="24"/>
          <w:szCs w:val="24"/>
          <w:highlight w:val="none"/>
        </w:rPr>
        <w:t>（一）基本资格条件</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2、具有良好的商业信誉和健全的财务会计制度；</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6、法律、行政法规规定的其他条件。</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（二）特定资格条件</w:t>
      </w:r>
    </w:p>
    <w:p>
      <w:pPr>
        <w:pStyle w:val="5"/>
        <w:spacing w:before="0" w:after="0"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bookmarkStart w:id="11" w:name="_Toc5901"/>
      <w:bookmarkStart w:id="12" w:name="_Toc7308"/>
      <w:r>
        <w:rPr>
          <w:rFonts w:hint="eastAsia" w:ascii="仿宋" w:hAnsi="仿宋" w:eastAsia="仿宋"/>
          <w:b w:val="0"/>
          <w:sz w:val="24"/>
          <w:szCs w:val="24"/>
          <w:highlight w:val="none"/>
          <w:lang w:val="en-US" w:eastAsia="zh-CN"/>
        </w:rPr>
        <w:t>无</w:t>
      </w:r>
      <w:r>
        <w:rPr>
          <w:rFonts w:hint="eastAsia" w:ascii="仿宋" w:hAnsi="仿宋" w:eastAsia="仿宋"/>
          <w:b w:val="0"/>
          <w:sz w:val="24"/>
          <w:szCs w:val="24"/>
          <w:highlight w:val="none"/>
        </w:rPr>
        <w:t>。</w:t>
      </w:r>
      <w:bookmarkEnd w:id="11"/>
    </w:p>
    <w:p>
      <w:pPr>
        <w:pStyle w:val="5"/>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四、采购有关说明</w:t>
      </w:r>
      <w:bookmarkEnd w:id="9"/>
      <w:bookmarkEnd w:id="10"/>
      <w:bookmarkEnd w:id="12"/>
    </w:p>
    <w:p>
      <w:pPr>
        <w:spacing w:line="360" w:lineRule="auto"/>
        <w:ind w:firstLine="480" w:firstLineChars="200"/>
        <w:rPr>
          <w:rFonts w:ascii="仿宋" w:hAnsi="仿宋" w:eastAsia="仿宋"/>
          <w:sz w:val="24"/>
          <w:szCs w:val="24"/>
        </w:rPr>
      </w:pPr>
      <w:r>
        <w:rPr>
          <w:rFonts w:hint="eastAsia" w:ascii="仿宋" w:hAnsi="仿宋" w:eastAsia="仿宋" w:cs="Times New Roman"/>
          <w:sz w:val="24"/>
          <w:szCs w:val="24"/>
        </w:rPr>
        <w:t>（一）供应商应通过行采家 （https://www.gec123.com）登记加入“行采家供应商库”。</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（二）凡有意参加采购的供应商，请在</w:t>
      </w:r>
      <w:r>
        <w:rPr>
          <w:rFonts w:hint="eastAsia" w:ascii="仿宋" w:hAnsi="仿宋" w:eastAsia="仿宋" w:cs="Times New Roman"/>
          <w:sz w:val="24"/>
          <w:szCs w:val="24"/>
        </w:rPr>
        <w:t>行采家 （https://www.gec123.com）</w:t>
      </w:r>
      <w:r>
        <w:rPr>
          <w:rFonts w:hint="eastAsia" w:ascii="仿宋" w:hAnsi="仿宋" w:eastAsia="仿宋"/>
          <w:sz w:val="24"/>
          <w:szCs w:val="24"/>
        </w:rPr>
        <w:t>网上下载本项目网上竞采文件以及补遗等采购前公布的所有项目资料，无论供应商下载与否，均视为已知晓所有采购实质性要求内容。</w:t>
      </w:r>
    </w:p>
    <w:p>
      <w:pPr>
        <w:spacing w:line="360" w:lineRule="auto"/>
        <w:ind w:firstLine="480" w:firstLineChars="200"/>
        <w:rPr>
          <w:rFonts w:hint="eastAsia" w:ascii="仿宋" w:hAnsi="仿宋" w:eastAsia="仿宋" w:cs="仿宋"/>
          <w:color w:val="auto"/>
          <w:sz w:val="24"/>
          <w:szCs w:val="24"/>
          <w:highlight w:val="none"/>
          <w:lang w:val="en-US" w:eastAsia="zh-CN"/>
        </w:rPr>
      </w:pPr>
      <w:bookmarkStart w:id="13" w:name="_Toc6388114"/>
      <w:bookmarkStart w:id="14" w:name="_Toc10761"/>
      <w:bookmarkStart w:id="15" w:name="_Toc8911"/>
      <w:bookmarkStart w:id="16" w:name="_Toc24666"/>
      <w:bookmarkStart w:id="17" w:name="_Toc487204776"/>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三</w:t>
      </w:r>
      <w:r>
        <w:rPr>
          <w:rFonts w:hint="eastAsia" w:ascii="仿宋" w:hAnsi="仿宋" w:eastAsia="仿宋" w:cs="Times New Roman"/>
          <w:sz w:val="24"/>
          <w:szCs w:val="24"/>
        </w:rPr>
        <w:t>）竞</w:t>
      </w:r>
      <w:r>
        <w:rPr>
          <w:rFonts w:hint="eastAsia" w:ascii="仿宋" w:hAnsi="仿宋" w:eastAsia="仿宋" w:cs="Times New Roman"/>
          <w:sz w:val="24"/>
          <w:szCs w:val="24"/>
          <w:lang w:val="en-US" w:eastAsia="zh-CN"/>
        </w:rPr>
        <w:t>采</w:t>
      </w:r>
      <w:r>
        <w:rPr>
          <w:rFonts w:hint="eastAsia" w:ascii="仿宋" w:hAnsi="仿宋" w:eastAsia="仿宋" w:cs="Times New Roman"/>
          <w:sz w:val="24"/>
          <w:szCs w:val="24"/>
        </w:rPr>
        <w:t>地点：</w:t>
      </w:r>
      <w:r>
        <w:rPr>
          <w:rFonts w:hint="eastAsia" w:ascii="仿宋" w:hAnsi="仿宋" w:eastAsia="仿宋" w:cs="仿宋"/>
          <w:color w:val="auto"/>
          <w:sz w:val="24"/>
          <w:szCs w:val="24"/>
          <w:highlight w:val="none"/>
          <w:lang w:eastAsia="zh-CN"/>
        </w:rPr>
        <w:t>重庆市南岸区珊瑚实验小学校</w:t>
      </w:r>
      <w:r>
        <w:rPr>
          <w:rFonts w:hint="eastAsia" w:ascii="仿宋" w:hAnsi="仿宋" w:eastAsia="仿宋" w:cs="仿宋"/>
          <w:color w:val="auto"/>
          <w:sz w:val="24"/>
          <w:szCs w:val="24"/>
          <w:highlight w:val="none"/>
          <w:lang w:val="en-US" w:eastAsia="zh-CN"/>
        </w:rPr>
        <w:t>会议室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重庆市南岸区金山路160号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具体会议室地点竞采当日询问校门安保人员</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w:t>
      </w:r>
    </w:p>
    <w:p>
      <w:pPr>
        <w:spacing w:line="420" w:lineRule="exact"/>
        <w:ind w:firstLine="559" w:firstLineChars="233"/>
        <w:rPr>
          <w:rFonts w:hint="eastAsia" w:ascii="仿宋" w:hAnsi="仿宋" w:eastAsia="仿宋" w:cs="Times New Roman"/>
          <w:sz w:val="24"/>
          <w:szCs w:val="24"/>
        </w:rPr>
      </w:pPr>
      <w:r>
        <w:rPr>
          <w:rFonts w:hint="eastAsia" w:ascii="仿宋" w:hAnsi="仿宋" w:eastAsia="仿宋" w:cs="仿宋"/>
          <w:color w:val="auto"/>
          <w:sz w:val="24"/>
          <w:szCs w:val="24"/>
          <w:highlight w:val="none"/>
          <w:lang w:val="en-US" w:eastAsia="zh-CN"/>
        </w:rPr>
        <w:t>（四）采购文件</w:t>
      </w:r>
      <w:r>
        <w:rPr>
          <w:rFonts w:hint="eastAsia" w:ascii="仿宋" w:hAnsi="仿宋" w:eastAsia="仿宋" w:cs="仿宋"/>
          <w:color w:val="auto"/>
          <w:sz w:val="24"/>
          <w:szCs w:val="24"/>
          <w:highlight w:val="none"/>
          <w:lang w:eastAsia="zh-CN"/>
        </w:rPr>
        <w:t>售价为：300.00元/份（售后不退），</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lang w:eastAsia="zh-CN"/>
        </w:rPr>
        <w:t>在</w:t>
      </w:r>
      <w:r>
        <w:rPr>
          <w:rFonts w:hint="eastAsia" w:ascii="仿宋" w:hAnsi="仿宋" w:eastAsia="仿宋" w:cs="仿宋"/>
          <w:color w:val="auto"/>
          <w:sz w:val="24"/>
          <w:szCs w:val="24"/>
          <w:highlight w:val="none"/>
          <w:lang w:val="en-US" w:eastAsia="zh-CN"/>
        </w:rPr>
        <w:t>递交响应文件</w:t>
      </w:r>
      <w:r>
        <w:rPr>
          <w:rFonts w:hint="eastAsia" w:ascii="仿宋" w:hAnsi="仿宋" w:eastAsia="仿宋" w:cs="仿宋"/>
          <w:color w:val="auto"/>
          <w:sz w:val="24"/>
          <w:szCs w:val="24"/>
          <w:highlight w:val="none"/>
          <w:lang w:eastAsia="zh-CN"/>
        </w:rPr>
        <w:t>时向</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lang w:eastAsia="zh-CN"/>
        </w:rPr>
        <w:t>代理机构缴纳。</w:t>
      </w:r>
      <w:r>
        <w:rPr>
          <w:rFonts w:hint="eastAsia" w:ascii="仿宋" w:hAnsi="仿宋" w:eastAsia="仿宋" w:cs="Times New Roman"/>
          <w:sz w:val="24"/>
          <w:szCs w:val="24"/>
        </w:rPr>
        <w:t xml:space="preserve">         </w:t>
      </w:r>
    </w:p>
    <w:p>
      <w:pPr>
        <w:spacing w:line="360" w:lineRule="auto"/>
        <w:ind w:firstLine="480" w:firstLineChars="200"/>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rPr>
        <w:t>（</w:t>
      </w:r>
      <w:r>
        <w:rPr>
          <w:rFonts w:hint="eastAsia" w:ascii="仿宋" w:hAnsi="仿宋" w:eastAsia="仿宋" w:cs="Times New Roman"/>
          <w:sz w:val="24"/>
          <w:szCs w:val="24"/>
          <w:highlight w:val="none"/>
          <w:lang w:val="en-US" w:eastAsia="zh-CN"/>
        </w:rPr>
        <w:t>五</w:t>
      </w:r>
      <w:r>
        <w:rPr>
          <w:rFonts w:hint="eastAsia" w:ascii="仿宋" w:hAnsi="仿宋" w:eastAsia="仿宋" w:cs="Times New Roman"/>
          <w:sz w:val="24"/>
          <w:szCs w:val="24"/>
          <w:highlight w:val="none"/>
        </w:rPr>
        <w:t>）响应文件递交时间：202</w:t>
      </w:r>
      <w:r>
        <w:rPr>
          <w:rFonts w:hint="eastAsia" w:ascii="仿宋" w:hAnsi="仿宋" w:eastAsia="仿宋" w:cs="Times New Roman"/>
          <w:sz w:val="24"/>
          <w:szCs w:val="24"/>
          <w:highlight w:val="none"/>
          <w:lang w:val="en-US" w:eastAsia="zh-CN"/>
        </w:rPr>
        <w:t>4</w:t>
      </w:r>
      <w:r>
        <w:rPr>
          <w:rFonts w:hint="eastAsia" w:ascii="仿宋" w:hAnsi="仿宋" w:eastAsia="仿宋" w:cs="Times New Roman"/>
          <w:sz w:val="24"/>
          <w:szCs w:val="24"/>
          <w:highlight w:val="none"/>
        </w:rPr>
        <w:t>年</w:t>
      </w:r>
      <w:r>
        <w:rPr>
          <w:rFonts w:hint="eastAsia" w:ascii="仿宋" w:hAnsi="仿宋" w:eastAsia="仿宋" w:cs="Times New Roman"/>
          <w:sz w:val="24"/>
          <w:szCs w:val="24"/>
          <w:highlight w:val="none"/>
          <w:lang w:val="en-US" w:eastAsia="zh-CN"/>
        </w:rPr>
        <w:t>3</w:t>
      </w:r>
      <w:r>
        <w:rPr>
          <w:rFonts w:hint="eastAsia" w:ascii="仿宋" w:hAnsi="仿宋" w:eastAsia="仿宋" w:cs="Times New Roman"/>
          <w:sz w:val="24"/>
          <w:szCs w:val="24"/>
          <w:highlight w:val="none"/>
        </w:rPr>
        <w:t>月</w:t>
      </w:r>
      <w:r>
        <w:rPr>
          <w:rFonts w:hint="eastAsia" w:ascii="仿宋" w:hAnsi="仿宋" w:eastAsia="仿宋" w:cs="Times New Roman"/>
          <w:sz w:val="24"/>
          <w:szCs w:val="24"/>
          <w:highlight w:val="none"/>
          <w:lang w:val="en-US" w:eastAsia="zh-CN"/>
        </w:rPr>
        <w:t>25</w:t>
      </w:r>
      <w:r>
        <w:rPr>
          <w:rFonts w:hint="eastAsia" w:ascii="仿宋" w:hAnsi="仿宋" w:eastAsia="仿宋" w:cs="Times New Roman"/>
          <w:sz w:val="24"/>
          <w:szCs w:val="24"/>
          <w:highlight w:val="none"/>
        </w:rPr>
        <w:t>日北京时间</w:t>
      </w:r>
      <w:r>
        <w:rPr>
          <w:rFonts w:hint="eastAsia" w:ascii="仿宋" w:hAnsi="仿宋" w:eastAsia="仿宋" w:cs="Times New Roman"/>
          <w:sz w:val="24"/>
          <w:szCs w:val="24"/>
          <w:highlight w:val="none"/>
          <w:lang w:val="en-US" w:eastAsia="zh-CN"/>
        </w:rPr>
        <w:t>14：30-15</w:t>
      </w:r>
      <w:r>
        <w:rPr>
          <w:rFonts w:hint="eastAsia" w:ascii="仿宋" w:hAnsi="仿宋" w:eastAsia="仿宋" w:cs="Times New Roman"/>
          <w:sz w:val="24"/>
          <w:szCs w:val="24"/>
          <w:highlight w:val="none"/>
        </w:rPr>
        <w:t>:00</w:t>
      </w:r>
      <w:r>
        <w:rPr>
          <w:rFonts w:hint="eastAsia" w:ascii="仿宋" w:hAnsi="仿宋" w:eastAsia="仿宋" w:cs="Times New Roman"/>
          <w:sz w:val="24"/>
          <w:szCs w:val="24"/>
          <w:highlight w:val="none"/>
          <w:lang w:eastAsia="zh-CN"/>
        </w:rPr>
        <w:t>。</w:t>
      </w:r>
    </w:p>
    <w:p>
      <w:pPr>
        <w:spacing w:line="360" w:lineRule="auto"/>
        <w:ind w:firstLine="480" w:firstLineChars="200"/>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rPr>
        <w:t>（</w:t>
      </w:r>
      <w:r>
        <w:rPr>
          <w:rFonts w:hint="eastAsia" w:ascii="仿宋" w:hAnsi="仿宋" w:eastAsia="仿宋" w:cs="Times New Roman"/>
          <w:sz w:val="24"/>
          <w:szCs w:val="24"/>
          <w:highlight w:val="none"/>
          <w:lang w:val="en-US" w:eastAsia="zh-CN"/>
        </w:rPr>
        <w:t>六</w:t>
      </w:r>
      <w:r>
        <w:rPr>
          <w:rFonts w:hint="eastAsia" w:ascii="仿宋" w:hAnsi="仿宋" w:eastAsia="仿宋" w:cs="Times New Roman"/>
          <w:sz w:val="24"/>
          <w:szCs w:val="24"/>
          <w:highlight w:val="none"/>
        </w:rPr>
        <w:t>）竞</w:t>
      </w:r>
      <w:r>
        <w:rPr>
          <w:rFonts w:hint="eastAsia" w:ascii="仿宋" w:hAnsi="仿宋" w:eastAsia="仿宋" w:cs="Times New Roman"/>
          <w:sz w:val="24"/>
          <w:szCs w:val="24"/>
          <w:highlight w:val="none"/>
          <w:lang w:val="en-US" w:eastAsia="zh-CN"/>
        </w:rPr>
        <w:t>采</w:t>
      </w:r>
      <w:r>
        <w:rPr>
          <w:rFonts w:hint="eastAsia" w:ascii="仿宋" w:hAnsi="仿宋" w:eastAsia="仿宋" w:cs="Times New Roman"/>
          <w:sz w:val="24"/>
          <w:szCs w:val="24"/>
          <w:highlight w:val="none"/>
        </w:rPr>
        <w:t>开始时间：202</w:t>
      </w:r>
      <w:r>
        <w:rPr>
          <w:rFonts w:hint="eastAsia" w:ascii="仿宋" w:hAnsi="仿宋" w:eastAsia="仿宋" w:cs="Times New Roman"/>
          <w:sz w:val="24"/>
          <w:szCs w:val="24"/>
          <w:highlight w:val="none"/>
          <w:lang w:val="en-US" w:eastAsia="zh-CN"/>
        </w:rPr>
        <w:t>4</w:t>
      </w:r>
      <w:r>
        <w:rPr>
          <w:rFonts w:hint="eastAsia" w:ascii="仿宋" w:hAnsi="仿宋" w:eastAsia="仿宋" w:cs="Times New Roman"/>
          <w:sz w:val="24"/>
          <w:szCs w:val="24"/>
          <w:highlight w:val="none"/>
        </w:rPr>
        <w:t>年</w:t>
      </w:r>
      <w:r>
        <w:rPr>
          <w:rFonts w:hint="eastAsia" w:ascii="仿宋" w:hAnsi="仿宋" w:eastAsia="仿宋" w:cs="Times New Roman"/>
          <w:sz w:val="24"/>
          <w:szCs w:val="24"/>
          <w:highlight w:val="none"/>
          <w:lang w:val="en-US" w:eastAsia="zh-CN"/>
        </w:rPr>
        <w:t>3</w:t>
      </w:r>
      <w:r>
        <w:rPr>
          <w:rFonts w:hint="eastAsia" w:ascii="仿宋" w:hAnsi="仿宋" w:eastAsia="仿宋" w:cs="Times New Roman"/>
          <w:sz w:val="24"/>
          <w:szCs w:val="24"/>
          <w:highlight w:val="none"/>
        </w:rPr>
        <w:t>月</w:t>
      </w:r>
      <w:r>
        <w:rPr>
          <w:rFonts w:hint="eastAsia" w:ascii="仿宋" w:hAnsi="仿宋" w:eastAsia="仿宋" w:cs="Times New Roman"/>
          <w:sz w:val="24"/>
          <w:szCs w:val="24"/>
          <w:highlight w:val="none"/>
          <w:lang w:val="en-US" w:eastAsia="zh-CN"/>
        </w:rPr>
        <w:t>25</w:t>
      </w:r>
      <w:r>
        <w:rPr>
          <w:rFonts w:hint="eastAsia" w:ascii="仿宋" w:hAnsi="仿宋" w:eastAsia="仿宋" w:cs="Times New Roman"/>
          <w:sz w:val="24"/>
          <w:szCs w:val="24"/>
          <w:highlight w:val="none"/>
        </w:rPr>
        <w:t>日北京时间</w:t>
      </w:r>
      <w:r>
        <w:rPr>
          <w:rFonts w:hint="eastAsia" w:ascii="仿宋" w:hAnsi="仿宋" w:eastAsia="仿宋" w:cs="Times New Roman"/>
          <w:sz w:val="24"/>
          <w:szCs w:val="24"/>
          <w:highlight w:val="none"/>
          <w:lang w:val="en-US" w:eastAsia="zh-CN"/>
        </w:rPr>
        <w:t>15</w:t>
      </w:r>
      <w:r>
        <w:rPr>
          <w:rFonts w:hint="eastAsia" w:ascii="仿宋" w:hAnsi="仿宋" w:eastAsia="仿宋" w:cs="Times New Roman"/>
          <w:sz w:val="24"/>
          <w:szCs w:val="24"/>
          <w:highlight w:val="none"/>
        </w:rPr>
        <w:t>:00</w:t>
      </w:r>
      <w:r>
        <w:rPr>
          <w:rFonts w:hint="eastAsia" w:ascii="仿宋" w:hAnsi="仿宋" w:eastAsia="仿宋" w:cs="Times New Roman"/>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Times New Roman"/>
          <w:sz w:val="24"/>
          <w:szCs w:val="24"/>
          <w:highlight w:val="none"/>
        </w:rPr>
        <w:t>（</w:t>
      </w:r>
      <w:r>
        <w:rPr>
          <w:rFonts w:hint="eastAsia" w:ascii="仿宋" w:hAnsi="仿宋" w:eastAsia="仿宋" w:cs="Times New Roman"/>
          <w:sz w:val="24"/>
          <w:szCs w:val="24"/>
          <w:highlight w:val="none"/>
          <w:lang w:val="en-US" w:eastAsia="zh-CN"/>
        </w:rPr>
        <w:t>七</w:t>
      </w:r>
      <w:r>
        <w:rPr>
          <w:rFonts w:hint="eastAsia" w:ascii="仿宋" w:hAnsi="仿宋" w:eastAsia="仿宋" w:cs="Times New Roman"/>
          <w:sz w:val="24"/>
          <w:szCs w:val="24"/>
          <w:highlight w:val="none"/>
        </w:rPr>
        <w:t>）评审地点：同竞</w:t>
      </w:r>
      <w:r>
        <w:rPr>
          <w:rFonts w:hint="eastAsia" w:ascii="仿宋" w:hAnsi="仿宋" w:eastAsia="仿宋" w:cs="Times New Roman"/>
          <w:sz w:val="24"/>
          <w:szCs w:val="24"/>
          <w:highlight w:val="none"/>
          <w:lang w:val="en-US" w:eastAsia="zh-CN"/>
        </w:rPr>
        <w:t>采</w:t>
      </w:r>
      <w:r>
        <w:rPr>
          <w:rFonts w:hint="eastAsia" w:ascii="仿宋" w:hAnsi="仿宋" w:eastAsia="仿宋" w:cs="Times New Roman"/>
          <w:sz w:val="24"/>
          <w:szCs w:val="24"/>
          <w:highlight w:val="none"/>
        </w:rPr>
        <w:t xml:space="preserve">地点 </w:t>
      </w:r>
      <w:bookmarkEnd w:id="13"/>
      <w:bookmarkEnd w:id="14"/>
      <w:r>
        <w:rPr>
          <w:rFonts w:hint="eastAsia" w:ascii="仿宋" w:hAnsi="仿宋" w:eastAsia="仿宋" w:cs="Times New Roman"/>
          <w:sz w:val="24"/>
          <w:szCs w:val="24"/>
          <w:highlight w:val="none"/>
          <w:lang w:eastAsia="zh-CN"/>
        </w:rPr>
        <w:t>。</w:t>
      </w:r>
    </w:p>
    <w:p>
      <w:pPr>
        <w:pStyle w:val="5"/>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五、采购有关规定</w:t>
      </w:r>
      <w:bookmarkEnd w:id="15"/>
      <w:bookmarkEnd w:id="16"/>
      <w:bookmarkEnd w:id="17"/>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（一）单位负责人为同一人或者存在直接控股、管理关系的不同供应商，不得参加同一合同项下的政府采购活动，否则均为无效响应。</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（二）为采购项目提供整体设计、规范编制或者项目管理、监理、检测等服务的供应商，不得再参加该采购项目的其他采购活动，否则均为无效响应。</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（三）本项目的补遗文件（如果有）一律在</w:t>
      </w:r>
      <w:r>
        <w:rPr>
          <w:rFonts w:hint="eastAsia" w:ascii="仿宋" w:hAnsi="仿宋" w:eastAsia="仿宋" w:cs="Times New Roman"/>
          <w:sz w:val="24"/>
          <w:szCs w:val="24"/>
        </w:rPr>
        <w:t>行采家 （https://www.gec123.com）</w:t>
      </w:r>
      <w:r>
        <w:rPr>
          <w:rFonts w:hint="eastAsia" w:ascii="仿宋" w:hAnsi="仿宋" w:eastAsia="仿宋" w:cs="仿宋"/>
          <w:color w:val="auto"/>
          <w:sz w:val="24"/>
          <w:szCs w:val="24"/>
          <w:highlight w:val="none"/>
        </w:rPr>
        <w:t>上发布，请各供应商注意下载；无论供应商下载与否，均视同供应商已知晓本项目补遗文件（如果有）的内容。</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（四）供应商未在规定的时间</w:t>
      </w:r>
      <w:r>
        <w:rPr>
          <w:rFonts w:hint="eastAsia" w:ascii="仿宋" w:hAnsi="仿宋" w:eastAsia="仿宋" w:cs="仿宋"/>
          <w:color w:val="auto"/>
          <w:sz w:val="24"/>
          <w:szCs w:val="24"/>
          <w:highlight w:val="none"/>
          <w:lang w:val="en-US" w:eastAsia="zh-CN"/>
        </w:rPr>
        <w:t>递交响应文件</w:t>
      </w:r>
      <w:r>
        <w:rPr>
          <w:rFonts w:hint="eastAsia" w:ascii="仿宋" w:hAnsi="仿宋" w:eastAsia="仿宋" w:cs="仿宋"/>
          <w:color w:val="auto"/>
          <w:sz w:val="24"/>
          <w:szCs w:val="24"/>
          <w:highlight w:val="none"/>
        </w:rPr>
        <w:t>，视为弃权。</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w:t>
      </w:r>
      <w:r>
        <w:rPr>
          <w:rFonts w:hint="eastAsia" w:ascii="仿宋" w:hAnsi="仿宋" w:eastAsia="仿宋" w:cs="仿宋"/>
          <w:color w:val="auto"/>
          <w:sz w:val="24"/>
          <w:szCs w:val="24"/>
          <w:highlight w:val="none"/>
          <w:lang w:val="en-US" w:eastAsia="zh-CN"/>
        </w:rPr>
        <w:t>竞采</w:t>
      </w:r>
      <w:r>
        <w:rPr>
          <w:rFonts w:hint="eastAsia" w:ascii="仿宋" w:hAnsi="仿宋" w:eastAsia="仿宋" w:cs="仿宋"/>
          <w:color w:val="auto"/>
          <w:sz w:val="24"/>
          <w:szCs w:val="24"/>
          <w:highlight w:val="none"/>
        </w:rPr>
        <w:t>费用：无论采购结果如何，供应商参与本项目</w:t>
      </w:r>
      <w:r>
        <w:rPr>
          <w:rFonts w:hint="eastAsia" w:ascii="仿宋" w:hAnsi="仿宋" w:eastAsia="仿宋" w:cs="仿宋"/>
          <w:color w:val="auto"/>
          <w:sz w:val="24"/>
          <w:szCs w:val="24"/>
          <w:highlight w:val="none"/>
          <w:lang w:val="en-US" w:eastAsia="zh-CN"/>
        </w:rPr>
        <w:t>竞采</w:t>
      </w:r>
      <w:r>
        <w:rPr>
          <w:rFonts w:hint="eastAsia" w:ascii="仿宋" w:hAnsi="仿宋" w:eastAsia="仿宋" w:cs="仿宋"/>
          <w:color w:val="auto"/>
          <w:sz w:val="24"/>
          <w:szCs w:val="24"/>
          <w:highlight w:val="none"/>
        </w:rPr>
        <w:t>的所有费用均应由供应商自行承担。</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（六）供应商有下列情况之一的，将拒绝其参与政府采购活动：在本项目</w:t>
      </w:r>
      <w:r>
        <w:rPr>
          <w:rFonts w:hint="eastAsia" w:ascii="仿宋" w:hAnsi="仿宋" w:eastAsia="仿宋" w:cs="仿宋"/>
          <w:color w:val="auto"/>
          <w:sz w:val="24"/>
          <w:szCs w:val="24"/>
          <w:highlight w:val="none"/>
          <w:lang w:val="en-US" w:eastAsia="zh-CN"/>
        </w:rPr>
        <w:t>竞采</w:t>
      </w:r>
      <w:r>
        <w:rPr>
          <w:rFonts w:hint="eastAsia" w:ascii="仿宋" w:hAnsi="仿宋" w:eastAsia="仿宋" w:cs="仿宋"/>
          <w:color w:val="auto"/>
          <w:sz w:val="24"/>
          <w:szCs w:val="24"/>
          <w:highlight w:val="none"/>
        </w:rPr>
        <w:t>截止日前三年内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pStyle w:val="5"/>
        <w:spacing w:before="0" w:after="0" w:line="360" w:lineRule="auto"/>
        <w:rPr>
          <w:rFonts w:hint="eastAsia" w:ascii="仿宋" w:hAnsi="仿宋" w:eastAsia="仿宋" w:cs="仿宋"/>
          <w:color w:val="auto"/>
          <w:sz w:val="24"/>
          <w:szCs w:val="24"/>
          <w:highlight w:val="none"/>
        </w:rPr>
      </w:pPr>
      <w:bookmarkStart w:id="18" w:name="_Toc6018"/>
    </w:p>
    <w:p>
      <w:pPr>
        <w:spacing w:line="360" w:lineRule="auto"/>
        <w:rPr>
          <w:rFonts w:hint="eastAsia"/>
        </w:rPr>
      </w:pPr>
    </w:p>
    <w:p>
      <w:pPr>
        <w:pStyle w:val="5"/>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、联系方式</w:t>
      </w:r>
      <w:bookmarkEnd w:id="18"/>
    </w:p>
    <w:p>
      <w:pPr>
        <w:snapToGrid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（一）采购人：</w:t>
      </w:r>
      <w:r>
        <w:rPr>
          <w:rFonts w:hint="eastAsia" w:ascii="仿宋" w:hAnsi="仿宋" w:eastAsia="仿宋" w:cs="仿宋"/>
          <w:color w:val="auto"/>
          <w:sz w:val="24"/>
          <w:szCs w:val="24"/>
          <w:highlight w:val="none"/>
          <w:lang w:eastAsia="zh-CN"/>
        </w:rPr>
        <w:t>重庆市南岸区珊瑚实验小学校</w:t>
      </w:r>
    </w:p>
    <w:p>
      <w:pPr>
        <w:snapToGrid w:val="0"/>
        <w:spacing w:line="360" w:lineRule="auto"/>
        <w:ind w:firstLine="1200" w:firstLineChars="5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联系人： </w:t>
      </w:r>
      <w:r>
        <w:rPr>
          <w:rFonts w:hint="eastAsia" w:ascii="仿宋" w:hAnsi="仿宋" w:eastAsia="仿宋" w:cs="仿宋"/>
          <w:color w:val="auto"/>
          <w:sz w:val="24"/>
          <w:szCs w:val="24"/>
          <w:highlight w:val="none"/>
          <w:lang w:val="en-US" w:eastAsia="zh-CN"/>
        </w:rPr>
        <w:t>谢</w:t>
      </w:r>
      <w:r>
        <w:rPr>
          <w:rFonts w:hint="eastAsia" w:ascii="仿宋" w:hAnsi="仿宋" w:eastAsia="仿宋" w:cs="仿宋"/>
          <w:color w:val="auto"/>
          <w:sz w:val="24"/>
          <w:szCs w:val="24"/>
          <w:highlight w:val="none"/>
        </w:rPr>
        <w:t>老师</w:t>
      </w:r>
    </w:p>
    <w:p>
      <w:pPr>
        <w:snapToGrid w:val="0"/>
        <w:spacing w:line="360" w:lineRule="auto"/>
        <w:ind w:firstLine="1200" w:firstLineChars="500"/>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电  话：</w:t>
      </w:r>
      <w:r>
        <w:rPr>
          <w:rFonts w:hint="eastAsia" w:ascii="仿宋" w:hAnsi="仿宋" w:eastAsia="仿宋" w:cs="仿宋"/>
          <w:color w:val="auto"/>
          <w:sz w:val="24"/>
          <w:szCs w:val="24"/>
          <w:highlight w:val="none"/>
          <w:lang w:val="en-US" w:eastAsia="zh-CN"/>
        </w:rPr>
        <w:t>023-62801715</w:t>
      </w:r>
    </w:p>
    <w:p>
      <w:pPr>
        <w:snapToGrid w:val="0"/>
        <w:spacing w:line="360" w:lineRule="auto"/>
        <w:ind w:firstLine="1200" w:firstLineChars="5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址：重庆市南岸区</w:t>
      </w:r>
      <w:r>
        <w:rPr>
          <w:rFonts w:hint="eastAsia" w:ascii="仿宋" w:hAnsi="仿宋" w:eastAsia="仿宋" w:cs="仿宋"/>
          <w:color w:val="auto"/>
          <w:sz w:val="24"/>
          <w:szCs w:val="24"/>
          <w:highlight w:val="none"/>
          <w:lang w:val="en-US" w:eastAsia="zh-CN"/>
        </w:rPr>
        <w:t>金山路160号</w:t>
      </w:r>
      <w:r>
        <w:rPr>
          <w:rFonts w:hint="eastAsia" w:ascii="仿宋" w:hAnsi="仿宋" w:eastAsia="仿宋" w:cs="仿宋"/>
          <w:color w:val="auto"/>
          <w:sz w:val="24"/>
          <w:szCs w:val="24"/>
          <w:highlight w:val="none"/>
        </w:rPr>
        <w:t xml:space="preserve"> </w:t>
      </w: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（二）采购代理机构：</w:t>
      </w:r>
      <w:r>
        <w:rPr>
          <w:rFonts w:hint="eastAsia" w:ascii="仿宋" w:hAnsi="仿宋" w:eastAsia="仿宋" w:cs="仿宋"/>
          <w:color w:val="auto"/>
          <w:sz w:val="24"/>
          <w:szCs w:val="24"/>
          <w:highlight w:val="none"/>
          <w:lang w:eastAsia="zh-CN"/>
        </w:rPr>
        <w:t>重庆兆恩工程咨询有限公司</w:t>
      </w:r>
    </w:p>
    <w:p>
      <w:pPr>
        <w:snapToGrid w:val="0"/>
        <w:spacing w:line="360" w:lineRule="auto"/>
        <w:ind w:firstLine="1200" w:firstLineChars="5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联系人： </w:t>
      </w:r>
      <w:r>
        <w:rPr>
          <w:rFonts w:hint="eastAsia" w:ascii="仿宋" w:hAnsi="仿宋" w:eastAsia="仿宋" w:cs="仿宋"/>
          <w:color w:val="auto"/>
          <w:sz w:val="24"/>
          <w:szCs w:val="24"/>
          <w:highlight w:val="none"/>
          <w:lang w:val="en-US" w:eastAsia="zh-CN"/>
        </w:rPr>
        <w:t>赵</w:t>
      </w:r>
      <w:r>
        <w:rPr>
          <w:rFonts w:hint="eastAsia" w:ascii="仿宋" w:hAnsi="仿宋" w:eastAsia="仿宋" w:cs="仿宋"/>
          <w:color w:val="auto"/>
          <w:sz w:val="24"/>
          <w:szCs w:val="24"/>
          <w:highlight w:val="none"/>
        </w:rPr>
        <w:t>老师</w:t>
      </w:r>
    </w:p>
    <w:p>
      <w:pPr>
        <w:snapToGrid w:val="0"/>
        <w:spacing w:line="360" w:lineRule="auto"/>
        <w:ind w:firstLine="1200" w:firstLineChars="5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  话： 023-</w:t>
      </w:r>
      <w:r>
        <w:rPr>
          <w:rFonts w:ascii="宋体" w:hAnsi="宋体" w:eastAsia="宋体" w:cs="宋体"/>
          <w:sz w:val="24"/>
          <w:szCs w:val="24"/>
        </w:rPr>
        <w:t>62620660</w:t>
      </w:r>
    </w:p>
    <w:p>
      <w:pPr>
        <w:snapToGrid w:val="0"/>
        <w:spacing w:line="360" w:lineRule="auto"/>
        <w:ind w:firstLine="1200" w:firstLineChars="500"/>
        <w:rPr>
          <w:rFonts w:hint="eastAsia" w:ascii="仿宋" w:hAnsi="仿宋" w:eastAsia="仿宋" w:cs="仿宋"/>
          <w:color w:val="auto"/>
          <w:sz w:val="24"/>
          <w:szCs w:val="24"/>
          <w:highlight w:val="none"/>
        </w:rPr>
        <w:sectPr>
          <w:footerReference r:id="rId8" w:type="default"/>
          <w:pgSz w:w="11907" w:h="16840"/>
          <w:pgMar w:top="1440" w:right="1423" w:bottom="1440" w:left="1423" w:header="964" w:footer="992" w:gutter="0"/>
          <w:pgNumType w:start="1"/>
          <w:cols w:space="720" w:num="1"/>
          <w:docGrid w:type="linesAndChars" w:linePitch="312" w:charSpace="0"/>
        </w:sectPr>
      </w:pPr>
      <w:r>
        <w:rPr>
          <w:rFonts w:hint="eastAsia" w:ascii="仿宋" w:hAnsi="仿宋" w:eastAsia="仿宋" w:cs="仿宋"/>
          <w:color w:val="auto"/>
          <w:sz w:val="24"/>
          <w:szCs w:val="24"/>
          <w:highlight w:val="none"/>
        </w:rPr>
        <w:t xml:space="preserve">地  址： </w:t>
      </w:r>
      <w:bookmarkEnd w:id="8"/>
      <w:bookmarkStart w:id="19" w:name="_Toc102227313"/>
      <w:bookmarkStart w:id="20" w:name="_Toc376349875"/>
      <w:bookmarkStart w:id="21" w:name="_Toc152480141"/>
      <w:r>
        <w:rPr>
          <w:rFonts w:hint="eastAsia" w:ascii="仿宋" w:hAnsi="仿宋" w:eastAsia="仿宋" w:cs="仿宋"/>
          <w:color w:val="auto"/>
          <w:sz w:val="24"/>
          <w:szCs w:val="24"/>
          <w:highlight w:val="none"/>
        </w:rPr>
        <w:t>重庆市南岸区正联大厦17-1号</w:t>
      </w:r>
    </w:p>
    <w:bookmarkEnd w:id="2"/>
    <w:bookmarkEnd w:id="3"/>
    <w:bookmarkEnd w:id="4"/>
    <w:bookmarkEnd w:id="19"/>
    <w:bookmarkEnd w:id="20"/>
    <w:bookmarkEnd w:id="21"/>
    <w:p>
      <w:pPr>
        <w:pStyle w:val="4"/>
        <w:spacing w:before="0" w:after="0" w:line="360" w:lineRule="auto"/>
        <w:jc w:val="center"/>
        <w:rPr>
          <w:rStyle w:val="36"/>
          <w:rFonts w:hint="eastAsia" w:ascii="仿宋" w:hAnsi="仿宋" w:eastAsia="仿宋" w:cs="仿宋"/>
          <w:b/>
          <w:bCs/>
          <w:color w:val="auto"/>
          <w:highlight w:val="none"/>
        </w:rPr>
      </w:pPr>
      <w:bookmarkStart w:id="22" w:name="_Toc25630"/>
      <w:bookmarkStart w:id="23" w:name="_Toc6453"/>
      <w:bookmarkStart w:id="24" w:name="_Toc487204778"/>
      <w:bookmarkStart w:id="25" w:name="_Toc128744991"/>
      <w:r>
        <w:rPr>
          <w:rStyle w:val="36"/>
          <w:rFonts w:hint="eastAsia" w:ascii="仿宋" w:hAnsi="仿宋" w:eastAsia="仿宋" w:cs="仿宋"/>
          <w:b/>
          <w:bCs/>
          <w:color w:val="auto"/>
          <w:highlight w:val="none"/>
        </w:rPr>
        <w:t>第二篇  项目服务需求</w:t>
      </w:r>
      <w:bookmarkEnd w:id="22"/>
    </w:p>
    <w:p>
      <w:pPr>
        <w:pStyle w:val="5"/>
        <w:spacing w:before="0" w:after="0" w:line="360" w:lineRule="auto"/>
        <w:rPr>
          <w:rStyle w:val="36"/>
          <w:rFonts w:hint="eastAsia" w:ascii="仿宋" w:hAnsi="仿宋" w:eastAsia="仿宋" w:cs="仿宋"/>
          <w:b/>
          <w:bCs/>
          <w:color w:val="auto"/>
          <w:sz w:val="24"/>
          <w:szCs w:val="24"/>
          <w:highlight w:val="none"/>
        </w:rPr>
      </w:pPr>
      <w:bookmarkStart w:id="26" w:name="_Toc472518517"/>
      <w:bookmarkStart w:id="27" w:name="_Toc513627035"/>
      <w:bookmarkStart w:id="28" w:name="_Toc31391"/>
      <w:r>
        <w:rPr>
          <w:rFonts w:hint="eastAsia" w:ascii="仿宋" w:hAnsi="仿宋" w:eastAsia="仿宋" w:cs="仿宋"/>
          <w:color w:val="auto"/>
          <w:sz w:val="24"/>
          <w:szCs w:val="24"/>
          <w:highlight w:val="none"/>
        </w:rPr>
        <w:t>一、采购项目一览表</w:t>
      </w:r>
      <w:bookmarkEnd w:id="26"/>
      <w:bookmarkEnd w:id="27"/>
      <w:bookmarkEnd w:id="28"/>
      <w:bookmarkStart w:id="29" w:name="_Toc313536013"/>
      <w:bookmarkStart w:id="30" w:name="_Toc513627036"/>
      <w:bookmarkStart w:id="31" w:name="_Toc344475116"/>
    </w:p>
    <w:tbl>
      <w:tblPr>
        <w:tblStyle w:val="25"/>
        <w:tblW w:w="51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2183"/>
        <w:gridCol w:w="1419"/>
        <w:gridCol w:w="1263"/>
        <w:gridCol w:w="1738"/>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02" w:type="pct"/>
            <w:vAlign w:val="center"/>
          </w:tcPr>
          <w:p>
            <w:pPr>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163" w:type="pct"/>
            <w:vAlign w:val="center"/>
          </w:tcPr>
          <w:p>
            <w:pPr>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项目名称</w:t>
            </w:r>
          </w:p>
        </w:tc>
        <w:tc>
          <w:tcPr>
            <w:tcW w:w="756" w:type="pct"/>
            <w:vAlign w:val="center"/>
          </w:tcPr>
          <w:p>
            <w:pPr>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bCs/>
                <w:color w:val="auto"/>
                <w:kern w:val="0"/>
                <w:sz w:val="24"/>
                <w:szCs w:val="24"/>
                <w:highlight w:val="none"/>
              </w:rPr>
              <w:t>采购预算</w:t>
            </w:r>
          </w:p>
        </w:tc>
        <w:tc>
          <w:tcPr>
            <w:tcW w:w="673" w:type="pct"/>
            <w:vAlign w:val="center"/>
          </w:tcPr>
          <w:p>
            <w:pPr>
              <w:spacing w:line="240" w:lineRule="auto"/>
              <w:jc w:val="center"/>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单节课程预算金额</w:t>
            </w:r>
          </w:p>
        </w:tc>
        <w:tc>
          <w:tcPr>
            <w:tcW w:w="926" w:type="pct"/>
            <w:vAlign w:val="center"/>
          </w:tcPr>
          <w:p>
            <w:pPr>
              <w:spacing w:line="24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数量（课程数）</w:t>
            </w:r>
          </w:p>
        </w:tc>
        <w:tc>
          <w:tcPr>
            <w:tcW w:w="977" w:type="pct"/>
            <w:vAlign w:val="center"/>
          </w:tcPr>
          <w:p>
            <w:pPr>
              <w:spacing w:line="240" w:lineRule="auto"/>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502" w:type="pct"/>
            <w:vAlign w:val="center"/>
          </w:tcPr>
          <w:p>
            <w:pPr>
              <w:pStyle w:val="11"/>
              <w:spacing w:line="240" w:lineRule="auto"/>
              <w:ind w:left="0"/>
              <w:jc w:val="center"/>
              <w:outlineLvl w:val="0"/>
              <w:rPr>
                <w:rFonts w:hint="eastAsia" w:ascii="仿宋" w:hAnsi="仿宋" w:eastAsia="仿宋" w:cs="仿宋"/>
                <w:color w:val="auto"/>
                <w:sz w:val="24"/>
                <w:szCs w:val="24"/>
                <w:highlight w:val="none"/>
              </w:rPr>
            </w:pPr>
            <w:bookmarkStart w:id="32" w:name="_Toc19779"/>
            <w:bookmarkStart w:id="33" w:name="_Toc15213"/>
            <w:bookmarkStart w:id="34" w:name="_Toc3842"/>
            <w:bookmarkStart w:id="35" w:name="_Toc3283"/>
            <w:r>
              <w:rPr>
                <w:rFonts w:hint="eastAsia" w:ascii="仿宋" w:hAnsi="仿宋" w:eastAsia="仿宋" w:cs="仿宋"/>
                <w:color w:val="auto"/>
                <w:sz w:val="24"/>
                <w:szCs w:val="24"/>
                <w:highlight w:val="none"/>
              </w:rPr>
              <w:t>1</w:t>
            </w:r>
            <w:bookmarkEnd w:id="32"/>
            <w:bookmarkEnd w:id="33"/>
            <w:bookmarkEnd w:id="34"/>
            <w:bookmarkEnd w:id="35"/>
          </w:p>
        </w:tc>
        <w:tc>
          <w:tcPr>
            <w:tcW w:w="1163" w:type="pct"/>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2023-2024学年度下期竹笛校本课程采购项目</w:t>
            </w:r>
          </w:p>
        </w:tc>
        <w:tc>
          <w:tcPr>
            <w:tcW w:w="756" w:type="pct"/>
            <w:vAlign w:val="center"/>
          </w:tcPr>
          <w:p>
            <w:pPr>
              <w:spacing w:line="24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7.8万元</w:t>
            </w:r>
          </w:p>
        </w:tc>
        <w:tc>
          <w:tcPr>
            <w:tcW w:w="673" w:type="pct"/>
            <w:vAlign w:val="center"/>
          </w:tcPr>
          <w:p>
            <w:pPr>
              <w:spacing w:line="24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650元/节</w:t>
            </w:r>
          </w:p>
        </w:tc>
        <w:tc>
          <w:tcPr>
            <w:tcW w:w="926" w:type="pct"/>
            <w:vAlign w:val="center"/>
          </w:tcPr>
          <w:p>
            <w:pPr>
              <w:spacing w:line="24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120</w:t>
            </w:r>
          </w:p>
        </w:tc>
        <w:tc>
          <w:tcPr>
            <w:tcW w:w="977" w:type="pct"/>
            <w:vAlign w:val="center"/>
          </w:tcPr>
          <w:p>
            <w:pPr>
              <w:spacing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注：供应商报价不得超过最高限价</w:t>
            </w:r>
            <w:r>
              <w:rPr>
                <w:rFonts w:hint="eastAsia" w:ascii="仿宋" w:hAnsi="仿宋" w:eastAsia="仿宋" w:cs="仿宋"/>
                <w:color w:val="auto"/>
                <w:sz w:val="24"/>
                <w:szCs w:val="24"/>
                <w:highlight w:val="none"/>
                <w:lang w:val="en-US" w:eastAsia="zh-CN"/>
              </w:rPr>
              <w:t>与最高单价限价</w:t>
            </w:r>
            <w:r>
              <w:rPr>
                <w:rFonts w:hint="eastAsia" w:ascii="仿宋" w:hAnsi="仿宋" w:eastAsia="仿宋" w:cs="仿宋"/>
                <w:color w:val="auto"/>
                <w:sz w:val="24"/>
                <w:szCs w:val="24"/>
                <w:highlight w:val="none"/>
              </w:rPr>
              <w:t>。</w:t>
            </w:r>
          </w:p>
        </w:tc>
      </w:tr>
      <w:bookmarkEnd w:id="29"/>
      <w:bookmarkEnd w:id="30"/>
      <w:bookmarkEnd w:id="31"/>
    </w:tbl>
    <w:p>
      <w:pPr>
        <w:pStyle w:val="5"/>
        <w:numPr>
          <w:ilvl w:val="0"/>
          <w:numId w:val="3"/>
        </w:numPr>
        <w:spacing w:before="0" w:after="0" w:line="360" w:lineRule="auto"/>
        <w:ind w:left="14" w:hanging="14" w:hangingChars="6"/>
        <w:rPr>
          <w:rFonts w:hint="eastAsia" w:ascii="仿宋" w:hAnsi="仿宋" w:eastAsia="仿宋" w:cs="仿宋"/>
          <w:color w:val="auto"/>
          <w:sz w:val="24"/>
          <w:szCs w:val="24"/>
          <w:highlight w:val="none"/>
        </w:rPr>
      </w:pPr>
      <w:bookmarkStart w:id="36" w:name="_Toc16893"/>
      <w:bookmarkStart w:id="37" w:name="_Toc13570"/>
      <w:r>
        <w:rPr>
          <w:rFonts w:hint="eastAsia" w:ascii="仿宋" w:hAnsi="仿宋" w:eastAsia="仿宋" w:cs="仿宋"/>
          <w:color w:val="auto"/>
          <w:sz w:val="24"/>
          <w:szCs w:val="24"/>
          <w:highlight w:val="none"/>
        </w:rPr>
        <w:t>服务</w:t>
      </w:r>
      <w:bookmarkEnd w:id="36"/>
      <w:r>
        <w:rPr>
          <w:rFonts w:hint="eastAsia" w:ascii="仿宋" w:hAnsi="仿宋" w:eastAsia="仿宋" w:cs="仿宋"/>
          <w:color w:val="auto"/>
          <w:sz w:val="24"/>
          <w:szCs w:val="24"/>
          <w:highlight w:val="none"/>
        </w:rPr>
        <w:t>内容</w:t>
      </w:r>
      <w:bookmarkEnd w:id="37"/>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（一）项目概况</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对重庆市南岸区珊瑚实验小学校</w:t>
      </w:r>
      <w:r>
        <w:rPr>
          <w:rFonts w:hint="eastAsia" w:ascii="仿宋" w:hAnsi="仿宋" w:eastAsia="仿宋" w:cs="仿宋"/>
          <w:color w:val="auto"/>
          <w:sz w:val="24"/>
          <w:szCs w:val="24"/>
          <w:highlight w:val="none"/>
          <w:lang w:eastAsia="zh-CN"/>
        </w:rPr>
        <w:t>2023-2024学年度下期竹笛校本课程</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 xml:space="preserve">   </w:t>
      </w:r>
    </w:p>
    <w:p>
      <w:pPr>
        <w:snapToGrid w:val="0"/>
        <w:spacing w:line="360" w:lineRule="auto"/>
        <w:ind w:firstLine="480"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（二）服务时间</w:t>
      </w:r>
    </w:p>
    <w:p>
      <w:pPr>
        <w:snapToGrid w:val="0"/>
        <w:spacing w:line="360" w:lineRule="auto"/>
        <w:ind w:firstLine="960" w:firstLineChars="4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一学期</w:t>
      </w:r>
      <w:r>
        <w:rPr>
          <w:rFonts w:hint="eastAsia" w:ascii="仿宋" w:hAnsi="仿宋" w:eastAsia="仿宋" w:cs="仿宋"/>
          <w:color w:val="auto"/>
          <w:sz w:val="24"/>
          <w:szCs w:val="24"/>
          <w:highlight w:val="none"/>
        </w:rPr>
        <w:t>。</w:t>
      </w:r>
    </w:p>
    <w:p>
      <w:pPr>
        <w:snapToGrid w:val="0"/>
        <w:spacing w:line="360" w:lineRule="auto"/>
        <w:ind w:firstLine="480"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（三）服务内容</w:t>
      </w:r>
    </w:p>
    <w:p>
      <w:pPr>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bookmarkStart w:id="38" w:name="_Toc1346"/>
      <w:bookmarkStart w:id="39" w:name="_Toc20231"/>
      <w:bookmarkStart w:id="40" w:name="_Toc412"/>
      <w:r>
        <w:rPr>
          <w:rFonts w:hint="eastAsia" w:ascii="仿宋" w:hAnsi="仿宋" w:eastAsia="仿宋" w:cs="仿宋"/>
          <w:color w:val="auto"/>
          <w:kern w:val="0"/>
          <w:sz w:val="24"/>
          <w:szCs w:val="24"/>
          <w:highlight w:val="none"/>
          <w:lang w:val="en-US" w:eastAsia="zh-CN"/>
        </w:rPr>
        <w:t>1、按采购人安排需要接受普及培训的自然班级进行授课</w:t>
      </w:r>
      <w:bookmarkEnd w:id="38"/>
      <w:bookmarkEnd w:id="39"/>
      <w:r>
        <w:rPr>
          <w:rFonts w:hint="eastAsia" w:ascii="仿宋" w:hAnsi="仿宋" w:eastAsia="仿宋" w:cs="仿宋"/>
          <w:color w:val="auto"/>
          <w:kern w:val="0"/>
          <w:sz w:val="24"/>
          <w:szCs w:val="24"/>
          <w:highlight w:val="none"/>
          <w:lang w:val="en-US" w:eastAsia="zh-CN"/>
        </w:rPr>
        <w:t>；</w:t>
      </w:r>
    </w:p>
    <w:p>
      <w:pPr>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bookmarkStart w:id="41" w:name="_Toc8993"/>
      <w:bookmarkStart w:id="42" w:name="_Toc27041"/>
      <w:r>
        <w:rPr>
          <w:rFonts w:hint="eastAsia" w:ascii="仿宋" w:hAnsi="仿宋" w:eastAsia="仿宋" w:cs="仿宋"/>
          <w:color w:val="auto"/>
          <w:kern w:val="0"/>
          <w:sz w:val="24"/>
          <w:szCs w:val="24"/>
          <w:highlight w:val="none"/>
          <w:lang w:val="en-US" w:eastAsia="zh-CN"/>
        </w:rPr>
        <w:t>2、按双方确认的上课时间、课程安排，按时到校进行培训并保证教学质量</w:t>
      </w:r>
      <w:bookmarkEnd w:id="41"/>
      <w:bookmarkEnd w:id="42"/>
      <w:r>
        <w:rPr>
          <w:rFonts w:hint="eastAsia" w:ascii="仿宋" w:hAnsi="仿宋" w:eastAsia="仿宋" w:cs="仿宋"/>
          <w:color w:val="auto"/>
          <w:kern w:val="0"/>
          <w:sz w:val="24"/>
          <w:szCs w:val="24"/>
          <w:highlight w:val="none"/>
          <w:lang w:val="en-US" w:eastAsia="zh-CN"/>
        </w:rPr>
        <w:t>；</w:t>
      </w:r>
    </w:p>
    <w:p>
      <w:pPr>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bookmarkStart w:id="43" w:name="_Toc9218"/>
      <w:bookmarkStart w:id="44" w:name="_Toc22840"/>
      <w:r>
        <w:rPr>
          <w:rFonts w:hint="eastAsia" w:ascii="仿宋" w:hAnsi="仿宋" w:eastAsia="仿宋" w:cs="仿宋"/>
          <w:color w:val="auto"/>
          <w:kern w:val="0"/>
          <w:sz w:val="24"/>
          <w:szCs w:val="24"/>
          <w:highlight w:val="none"/>
          <w:lang w:val="en-US" w:eastAsia="zh-CN"/>
        </w:rPr>
        <w:t>3、每班每课1名专业主讲老师，并应具备相关专业的从业经验及资质</w:t>
      </w:r>
      <w:bookmarkEnd w:id="43"/>
      <w:bookmarkEnd w:id="44"/>
      <w:r>
        <w:rPr>
          <w:rFonts w:hint="eastAsia" w:ascii="仿宋" w:hAnsi="仿宋" w:eastAsia="仿宋" w:cs="仿宋"/>
          <w:color w:val="auto"/>
          <w:kern w:val="0"/>
          <w:sz w:val="24"/>
          <w:szCs w:val="24"/>
          <w:highlight w:val="none"/>
          <w:lang w:val="en-US" w:eastAsia="zh-CN"/>
        </w:rPr>
        <w:t>；</w:t>
      </w:r>
    </w:p>
    <w:p>
      <w:pPr>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bookmarkStart w:id="45" w:name="_Toc2989"/>
      <w:bookmarkStart w:id="46" w:name="_Toc14031"/>
      <w:r>
        <w:rPr>
          <w:rFonts w:hint="eastAsia" w:ascii="仿宋" w:hAnsi="仿宋" w:eastAsia="仿宋" w:cs="仿宋"/>
          <w:color w:val="auto"/>
          <w:kern w:val="0"/>
          <w:sz w:val="24"/>
          <w:szCs w:val="24"/>
          <w:highlight w:val="none"/>
          <w:lang w:val="en-US" w:eastAsia="zh-CN"/>
        </w:rPr>
        <w:t>4、有专业的教务管理能力</w:t>
      </w:r>
      <w:bookmarkEnd w:id="45"/>
      <w:bookmarkEnd w:id="46"/>
      <w:r>
        <w:rPr>
          <w:rFonts w:hint="eastAsia" w:ascii="仿宋" w:hAnsi="仿宋" w:eastAsia="仿宋" w:cs="仿宋"/>
          <w:color w:val="auto"/>
          <w:kern w:val="0"/>
          <w:sz w:val="24"/>
          <w:szCs w:val="24"/>
          <w:highlight w:val="none"/>
          <w:lang w:val="en-US" w:eastAsia="zh-CN"/>
        </w:rPr>
        <w:t>；</w:t>
      </w:r>
    </w:p>
    <w:p>
      <w:pPr>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bookmarkStart w:id="47" w:name="_Toc15297"/>
      <w:bookmarkStart w:id="48" w:name="_Toc30676"/>
      <w:r>
        <w:rPr>
          <w:rFonts w:hint="eastAsia" w:ascii="仿宋" w:hAnsi="仿宋" w:eastAsia="仿宋" w:cs="仿宋"/>
          <w:color w:val="auto"/>
          <w:kern w:val="0"/>
          <w:sz w:val="24"/>
          <w:szCs w:val="24"/>
          <w:highlight w:val="none"/>
          <w:lang w:val="en-US" w:eastAsia="zh-CN"/>
        </w:rPr>
        <w:t>5、有教学方案、计划和目标</w:t>
      </w:r>
      <w:bookmarkEnd w:id="47"/>
      <w:bookmarkEnd w:id="48"/>
      <w:r>
        <w:rPr>
          <w:rFonts w:hint="eastAsia" w:ascii="仿宋" w:hAnsi="仿宋" w:eastAsia="仿宋" w:cs="仿宋"/>
          <w:color w:val="auto"/>
          <w:kern w:val="0"/>
          <w:sz w:val="24"/>
          <w:szCs w:val="24"/>
          <w:highlight w:val="none"/>
          <w:lang w:val="en-US" w:eastAsia="zh-CN"/>
        </w:rPr>
        <w:t>；</w:t>
      </w:r>
    </w:p>
    <w:p>
      <w:pPr>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6、组织开展相关教研会议；</w:t>
      </w:r>
    </w:p>
    <w:p>
      <w:pPr>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bookmarkStart w:id="49" w:name="_Toc19700"/>
      <w:bookmarkStart w:id="50" w:name="_Toc4524"/>
      <w:r>
        <w:rPr>
          <w:rFonts w:hint="eastAsia" w:ascii="仿宋" w:hAnsi="仿宋" w:eastAsia="仿宋" w:cs="仿宋"/>
          <w:color w:val="auto"/>
          <w:kern w:val="0"/>
          <w:sz w:val="24"/>
          <w:szCs w:val="24"/>
          <w:highlight w:val="none"/>
          <w:lang w:val="en-US" w:eastAsia="zh-CN"/>
        </w:rPr>
        <w:t>7、每学期结束后提交培训总结报告</w:t>
      </w:r>
      <w:bookmarkEnd w:id="49"/>
      <w:bookmarkEnd w:id="50"/>
      <w:r>
        <w:rPr>
          <w:rFonts w:hint="eastAsia" w:ascii="仿宋" w:hAnsi="仿宋" w:eastAsia="仿宋" w:cs="仿宋"/>
          <w:color w:val="auto"/>
          <w:kern w:val="0"/>
          <w:sz w:val="24"/>
          <w:szCs w:val="24"/>
          <w:highlight w:val="none"/>
          <w:lang w:val="en-US" w:eastAsia="zh-CN"/>
        </w:rPr>
        <w:t>。</w:t>
      </w:r>
    </w:p>
    <w:p>
      <w:pPr>
        <w:snapToGrid w:val="0"/>
        <w:spacing w:line="360" w:lineRule="auto"/>
        <w:jc w:val="both"/>
        <w:rPr>
          <w:rStyle w:val="36"/>
          <w:rFonts w:hint="eastAsia" w:ascii="仿宋" w:hAnsi="仿宋" w:eastAsia="仿宋" w:cs="仿宋"/>
          <w:color w:val="auto"/>
          <w:highlight w:val="none"/>
        </w:rPr>
      </w:pPr>
      <w:r>
        <w:rPr>
          <w:rFonts w:hint="eastAsia" w:ascii="方正仿宋_GBK" w:hAnsi="宋体" w:eastAsia="方正仿宋_GBK"/>
          <w:b/>
          <w:bCs/>
          <w:sz w:val="24"/>
          <w:szCs w:val="24"/>
          <w:lang w:val="en-US" w:eastAsia="zh-CN"/>
        </w:rPr>
        <w:t>以上服务内容供应商须自行承诺并加盖供应商公章</w:t>
      </w:r>
      <w:r>
        <w:rPr>
          <w:rFonts w:hint="eastAsia" w:ascii="方正仿宋_GBK" w:hAnsi="宋体" w:eastAsia="方正仿宋_GBK"/>
          <w:b/>
          <w:bCs/>
          <w:sz w:val="24"/>
          <w:szCs w:val="24"/>
          <w:lang w:eastAsia="zh-CN"/>
        </w:rPr>
        <w:t>，</w:t>
      </w:r>
      <w:r>
        <w:rPr>
          <w:rFonts w:hint="eastAsia" w:ascii="方正仿宋_GBK" w:hAnsi="宋体" w:eastAsia="方正仿宋_GBK"/>
          <w:b/>
          <w:bCs/>
          <w:sz w:val="24"/>
          <w:szCs w:val="24"/>
          <w:lang w:val="en-US" w:eastAsia="zh-CN"/>
        </w:rPr>
        <w:t>承诺格式自拟。</w:t>
      </w:r>
    </w:p>
    <w:p>
      <w:pPr>
        <w:snapToGrid w:val="0"/>
        <w:spacing w:line="360" w:lineRule="auto"/>
        <w:jc w:val="center"/>
        <w:rPr>
          <w:rStyle w:val="36"/>
          <w:rFonts w:hint="eastAsia" w:ascii="仿宋" w:hAnsi="仿宋" w:eastAsia="仿宋" w:cs="仿宋"/>
          <w:color w:val="auto"/>
          <w:highlight w:val="none"/>
        </w:rPr>
      </w:pPr>
    </w:p>
    <w:p>
      <w:pPr>
        <w:snapToGrid w:val="0"/>
        <w:spacing w:line="360" w:lineRule="auto"/>
        <w:jc w:val="center"/>
        <w:rPr>
          <w:rStyle w:val="36"/>
          <w:rFonts w:hint="eastAsia" w:ascii="仿宋" w:hAnsi="仿宋" w:eastAsia="仿宋" w:cs="仿宋"/>
          <w:color w:val="auto"/>
          <w:highlight w:val="none"/>
        </w:rPr>
      </w:pPr>
    </w:p>
    <w:p>
      <w:pPr>
        <w:snapToGrid w:val="0"/>
        <w:spacing w:line="360" w:lineRule="auto"/>
        <w:jc w:val="center"/>
        <w:rPr>
          <w:rStyle w:val="36"/>
          <w:rFonts w:hint="eastAsia" w:ascii="仿宋" w:hAnsi="仿宋" w:eastAsia="仿宋" w:cs="仿宋"/>
          <w:color w:val="auto"/>
          <w:highlight w:val="none"/>
        </w:rPr>
      </w:pPr>
    </w:p>
    <w:p>
      <w:pPr>
        <w:snapToGrid w:val="0"/>
        <w:spacing w:line="360" w:lineRule="auto"/>
        <w:jc w:val="center"/>
        <w:rPr>
          <w:rStyle w:val="36"/>
          <w:rFonts w:hint="eastAsia" w:ascii="仿宋" w:hAnsi="仿宋" w:eastAsia="仿宋" w:cs="仿宋"/>
          <w:color w:val="auto"/>
          <w:highlight w:val="none"/>
        </w:rPr>
      </w:pPr>
    </w:p>
    <w:p>
      <w:pPr>
        <w:snapToGrid w:val="0"/>
        <w:spacing w:line="360" w:lineRule="auto"/>
        <w:jc w:val="center"/>
        <w:rPr>
          <w:rStyle w:val="36"/>
          <w:rFonts w:hint="eastAsia" w:ascii="仿宋" w:hAnsi="仿宋" w:eastAsia="仿宋" w:cs="仿宋"/>
          <w:color w:val="auto"/>
          <w:highlight w:val="none"/>
        </w:rPr>
      </w:pPr>
    </w:p>
    <w:p>
      <w:pPr>
        <w:snapToGrid w:val="0"/>
        <w:spacing w:line="360" w:lineRule="auto"/>
        <w:jc w:val="center"/>
        <w:rPr>
          <w:rStyle w:val="36"/>
          <w:rFonts w:hint="eastAsia" w:ascii="仿宋" w:hAnsi="仿宋" w:eastAsia="仿宋" w:cs="仿宋"/>
          <w:color w:val="auto"/>
          <w:highlight w:val="none"/>
        </w:rPr>
      </w:pPr>
      <w:r>
        <w:rPr>
          <w:rStyle w:val="36"/>
          <w:rFonts w:hint="eastAsia" w:ascii="仿宋" w:hAnsi="仿宋" w:eastAsia="仿宋" w:cs="仿宋"/>
          <w:color w:val="auto"/>
          <w:highlight w:val="none"/>
        </w:rPr>
        <w:t>第三篇  项目商务要求</w:t>
      </w:r>
      <w:bookmarkEnd w:id="40"/>
    </w:p>
    <w:p>
      <w:pPr>
        <w:pStyle w:val="5"/>
        <w:spacing w:before="0" w:after="0" w:line="360" w:lineRule="auto"/>
        <w:rPr>
          <w:rFonts w:hint="eastAsia" w:ascii="仿宋" w:hAnsi="仿宋" w:eastAsia="仿宋" w:cs="仿宋"/>
          <w:color w:val="auto"/>
          <w:sz w:val="24"/>
          <w:szCs w:val="24"/>
          <w:highlight w:val="none"/>
        </w:rPr>
      </w:pPr>
      <w:bookmarkStart w:id="51" w:name="_Toc344475120"/>
      <w:bookmarkStart w:id="52" w:name="_Toc29474"/>
      <w:bookmarkStart w:id="53" w:name="_Toc487204789"/>
      <w:bookmarkStart w:id="54" w:name="_Toc15856"/>
      <w:r>
        <w:rPr>
          <w:rFonts w:hint="eastAsia" w:ascii="仿宋" w:hAnsi="仿宋" w:eastAsia="仿宋" w:cs="仿宋"/>
          <w:color w:val="auto"/>
          <w:sz w:val="24"/>
          <w:szCs w:val="24"/>
          <w:highlight w:val="none"/>
        </w:rPr>
        <w:t>一、服务期、服务地点及验收方式</w:t>
      </w:r>
      <w:bookmarkEnd w:id="51"/>
      <w:bookmarkEnd w:id="52"/>
      <w:bookmarkEnd w:id="53"/>
      <w:bookmarkEnd w:id="54"/>
      <w:bookmarkStart w:id="55" w:name="_Toc16020"/>
      <w:bookmarkStart w:id="56" w:name="_Toc12056"/>
    </w:p>
    <w:p>
      <w:pPr>
        <w:snapToGrid w:val="0"/>
        <w:spacing w:line="360" w:lineRule="auto"/>
        <w:ind w:firstLine="480" w:firstLineChars="200"/>
        <w:rPr>
          <w:rFonts w:hint="eastAsia" w:ascii="仿宋" w:hAnsi="仿宋" w:eastAsia="仿宋" w:cs="仿宋"/>
          <w:color w:val="auto"/>
          <w:kern w:val="0"/>
          <w:sz w:val="24"/>
          <w:szCs w:val="24"/>
          <w:highlight w:val="none"/>
        </w:rPr>
      </w:pPr>
      <w:bookmarkStart w:id="57" w:name="_Toc31453"/>
      <w:r>
        <w:rPr>
          <w:rFonts w:hint="eastAsia" w:ascii="仿宋" w:hAnsi="仿宋" w:eastAsia="仿宋" w:cs="仿宋"/>
          <w:color w:val="auto"/>
          <w:kern w:val="0"/>
          <w:sz w:val="24"/>
          <w:szCs w:val="24"/>
          <w:highlight w:val="none"/>
        </w:rPr>
        <w:t>（一）服务期：</w:t>
      </w:r>
      <w:bookmarkEnd w:id="57"/>
      <w:r>
        <w:rPr>
          <w:rFonts w:hint="eastAsia" w:ascii="仿宋" w:hAnsi="仿宋" w:eastAsia="仿宋" w:cs="仿宋"/>
          <w:color w:val="auto"/>
          <w:kern w:val="0"/>
          <w:sz w:val="24"/>
          <w:szCs w:val="24"/>
          <w:highlight w:val="none"/>
          <w:lang w:val="en-US" w:eastAsia="zh-CN"/>
        </w:rPr>
        <w:t>签订合同起一学期</w:t>
      </w:r>
      <w:r>
        <w:rPr>
          <w:rFonts w:hint="eastAsia" w:ascii="仿宋" w:hAnsi="仿宋" w:eastAsia="仿宋" w:cs="仿宋"/>
          <w:color w:val="auto"/>
          <w:kern w:val="0"/>
          <w:sz w:val="24"/>
          <w:szCs w:val="24"/>
          <w:highlight w:val="none"/>
        </w:rPr>
        <w:t>。</w:t>
      </w:r>
    </w:p>
    <w:p>
      <w:pPr>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（二）服务地点：</w:t>
      </w:r>
      <w:r>
        <w:rPr>
          <w:rFonts w:hint="eastAsia" w:ascii="仿宋" w:hAnsi="仿宋" w:eastAsia="仿宋" w:cs="仿宋"/>
          <w:color w:val="auto"/>
          <w:sz w:val="24"/>
          <w:szCs w:val="24"/>
          <w:highlight w:val="none"/>
          <w:lang w:eastAsia="zh-CN"/>
        </w:rPr>
        <w:t>重庆市南岸区珊瑚实验小学校</w:t>
      </w:r>
      <w:r>
        <w:rPr>
          <w:rFonts w:hint="eastAsia" w:ascii="仿宋" w:hAnsi="仿宋" w:eastAsia="仿宋" w:cs="仿宋"/>
          <w:color w:val="auto"/>
          <w:kern w:val="0"/>
          <w:sz w:val="24"/>
          <w:szCs w:val="24"/>
          <w:highlight w:val="none"/>
        </w:rPr>
        <w:t>。</w:t>
      </w:r>
    </w:p>
    <w:p>
      <w:pPr>
        <w:snapToGrid w:val="0"/>
        <w:spacing w:line="360" w:lineRule="auto"/>
        <w:ind w:firstLine="480" w:firstLineChars="200"/>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（三）验收方式</w:t>
      </w:r>
      <w:r>
        <w:rPr>
          <w:rFonts w:hint="eastAsia" w:ascii="仿宋" w:hAnsi="仿宋" w:eastAsia="仿宋" w:cs="仿宋"/>
          <w:color w:val="auto"/>
          <w:kern w:val="0"/>
          <w:sz w:val="24"/>
          <w:szCs w:val="24"/>
          <w:highlight w:val="none"/>
          <w:lang w:eastAsia="zh-CN"/>
        </w:rPr>
        <w:t>：</w:t>
      </w:r>
    </w:p>
    <w:p>
      <w:pPr>
        <w:snapToGrid w:val="0"/>
        <w:spacing w:line="360" w:lineRule="auto"/>
        <w:ind w:firstLine="480" w:firstLineChars="200"/>
        <w:rPr>
          <w:rFonts w:hint="default" w:ascii="仿宋" w:hAnsi="仿宋" w:eastAsia="仿宋" w:cs="仿宋"/>
          <w:color w:val="auto"/>
          <w:sz w:val="24"/>
          <w:szCs w:val="24"/>
          <w:highlight w:val="none"/>
          <w:lang w:eastAsia="zh-CN"/>
        </w:rPr>
      </w:pPr>
      <w:bookmarkStart w:id="58" w:name="_Toc8393"/>
      <w:r>
        <w:rPr>
          <w:rFonts w:hint="eastAsia" w:ascii="仿宋" w:hAnsi="仿宋" w:eastAsia="仿宋" w:cs="仿宋"/>
          <w:color w:val="auto"/>
          <w:sz w:val="24"/>
          <w:szCs w:val="24"/>
          <w:highlight w:val="none"/>
          <w:lang w:eastAsia="zh-CN"/>
        </w:rPr>
        <w:t>由采购单位按培训合同约定对中标单位培训计划、培训课程、培训目标完成情况组织考核，出具考核验收报告。</w:t>
      </w:r>
    </w:p>
    <w:p>
      <w:pPr>
        <w:pStyle w:val="5"/>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二、报价要求</w:t>
      </w:r>
      <w:bookmarkEnd w:id="55"/>
      <w:bookmarkEnd w:id="56"/>
      <w:bookmarkEnd w:id="58"/>
    </w:p>
    <w:p>
      <w:pPr>
        <w:snapToGrid w:val="0"/>
        <w:spacing w:line="360" w:lineRule="auto"/>
        <w:ind w:firstLine="480" w:firstLineChars="0"/>
        <w:outlineLvl w:val="1"/>
        <w:rPr>
          <w:rFonts w:hint="eastAsia" w:ascii="仿宋" w:hAnsi="仿宋" w:eastAsia="仿宋" w:cs="仿宋"/>
          <w:sz w:val="24"/>
          <w:szCs w:val="24"/>
        </w:rPr>
      </w:pPr>
      <w:bookmarkStart w:id="59" w:name="_Toc24490"/>
      <w:bookmarkStart w:id="60" w:name="_Toc16798"/>
      <w:r>
        <w:rPr>
          <w:rFonts w:hint="eastAsia" w:ascii="仿宋" w:hAnsi="仿宋" w:eastAsia="仿宋" w:cs="仿宋"/>
          <w:sz w:val="24"/>
          <w:szCs w:val="24"/>
        </w:rPr>
        <w:t>（一）报价不得超过采购</w:t>
      </w:r>
      <w:r>
        <w:rPr>
          <w:rFonts w:hint="eastAsia" w:ascii="仿宋" w:hAnsi="仿宋" w:eastAsia="仿宋" w:cs="仿宋"/>
          <w:sz w:val="24"/>
          <w:szCs w:val="24"/>
          <w:lang w:val="en-US" w:eastAsia="zh-CN"/>
        </w:rPr>
        <w:t>总价</w:t>
      </w:r>
      <w:r>
        <w:rPr>
          <w:rFonts w:hint="eastAsia" w:ascii="仿宋" w:hAnsi="仿宋" w:eastAsia="仿宋" w:cs="仿宋"/>
          <w:sz w:val="24"/>
          <w:szCs w:val="24"/>
        </w:rPr>
        <w:t>限价</w:t>
      </w:r>
      <w:r>
        <w:rPr>
          <w:rFonts w:hint="eastAsia" w:ascii="仿宋" w:hAnsi="仿宋" w:eastAsia="仿宋" w:cs="仿宋"/>
          <w:sz w:val="24"/>
          <w:szCs w:val="24"/>
          <w:lang w:val="en-US" w:eastAsia="zh-CN"/>
        </w:rPr>
        <w:t>与采购单价限价</w:t>
      </w:r>
      <w:r>
        <w:rPr>
          <w:rFonts w:hint="eastAsia" w:ascii="仿宋" w:hAnsi="仿宋" w:eastAsia="仿宋" w:cs="仿宋"/>
          <w:sz w:val="24"/>
          <w:szCs w:val="24"/>
        </w:rPr>
        <w:t>。</w:t>
      </w:r>
    </w:p>
    <w:p>
      <w:pPr>
        <w:snapToGrid w:val="0"/>
        <w:spacing w:line="360" w:lineRule="auto"/>
        <w:ind w:firstLine="480" w:firstLineChars="0"/>
        <w:outlineLvl w:val="1"/>
        <w:rPr>
          <w:rFonts w:hint="eastAsia" w:ascii="方正仿宋_GBK" w:hAnsi="宋体" w:eastAsia="方正仿宋_GBK" w:cs="Times New Roman"/>
          <w:b w:val="0"/>
          <w:sz w:val="24"/>
          <w:szCs w:val="24"/>
        </w:rPr>
      </w:pPr>
      <w:r>
        <w:rPr>
          <w:rFonts w:hint="eastAsia" w:ascii="仿宋" w:hAnsi="仿宋" w:eastAsia="仿宋" w:cs="仿宋"/>
          <w:sz w:val="24"/>
          <w:szCs w:val="24"/>
        </w:rPr>
        <w:t>（二）</w:t>
      </w:r>
      <w:bookmarkStart w:id="61" w:name="_Toc24569666"/>
      <w:bookmarkStart w:id="62" w:name="_Toc31674"/>
      <w:bookmarkStart w:id="63" w:name="_Toc344475121"/>
      <w:bookmarkStart w:id="64" w:name="_Toc403569791"/>
      <w:r>
        <w:rPr>
          <w:rFonts w:hint="eastAsia" w:ascii="仿宋" w:hAnsi="仿宋" w:eastAsia="仿宋" w:cs="仿宋"/>
          <w:b w:val="0"/>
          <w:sz w:val="24"/>
          <w:szCs w:val="24"/>
          <w:lang w:eastAsia="zh-CN"/>
        </w:rPr>
        <w:t>本项目为</w:t>
      </w:r>
      <w:r>
        <w:rPr>
          <w:rFonts w:hint="eastAsia" w:ascii="仿宋" w:hAnsi="仿宋" w:eastAsia="仿宋" w:cs="仿宋"/>
          <w:b w:val="0"/>
          <w:sz w:val="24"/>
          <w:szCs w:val="24"/>
          <w:lang w:val="en-US" w:eastAsia="zh-CN"/>
        </w:rPr>
        <w:t>单价</w:t>
      </w:r>
      <w:r>
        <w:rPr>
          <w:rFonts w:hint="eastAsia" w:ascii="仿宋" w:hAnsi="仿宋" w:eastAsia="仿宋" w:cs="仿宋"/>
          <w:b w:val="0"/>
          <w:sz w:val="24"/>
          <w:szCs w:val="24"/>
          <w:lang w:eastAsia="zh-CN"/>
        </w:rPr>
        <w:t>包干</w:t>
      </w:r>
      <w:r>
        <w:rPr>
          <w:rFonts w:hint="eastAsia" w:ascii="仿宋" w:hAnsi="仿宋" w:eastAsia="仿宋" w:cs="仿宋"/>
          <w:sz w:val="24"/>
          <w:szCs w:val="24"/>
          <w:lang w:eastAsia="zh-CN"/>
        </w:rPr>
        <w:t>，</w:t>
      </w:r>
      <w:r>
        <w:rPr>
          <w:rFonts w:hint="eastAsia" w:ascii="仿宋" w:hAnsi="仿宋" w:eastAsia="仿宋" w:cs="仿宋"/>
          <w:b w:val="0"/>
          <w:sz w:val="24"/>
          <w:szCs w:val="24"/>
          <w:lang w:eastAsia="zh-CN"/>
        </w:rPr>
        <w:t>报价为人民币报价，包括完成本项目所需的服务费、人工费、及提供服务所需的材料费、策划费、场地费、授课费</w:t>
      </w:r>
      <w:r>
        <w:rPr>
          <w:rFonts w:hint="eastAsia" w:ascii="仿宋" w:hAnsi="仿宋" w:eastAsia="仿宋" w:cs="仿宋"/>
          <w:b w:val="0"/>
          <w:sz w:val="24"/>
          <w:szCs w:val="24"/>
          <w:lang w:val="en-US" w:eastAsia="zh-CN"/>
        </w:rPr>
        <w:t>及税费</w:t>
      </w:r>
      <w:r>
        <w:rPr>
          <w:rFonts w:hint="eastAsia" w:ascii="仿宋" w:hAnsi="仿宋" w:eastAsia="仿宋" w:cs="仿宋"/>
          <w:b w:val="0"/>
          <w:sz w:val="24"/>
          <w:szCs w:val="24"/>
          <w:lang w:eastAsia="zh-CN"/>
        </w:rPr>
        <w:t>等一切保证本项目实施完成的所有费用。因成交供应商自身原因造成漏报、少报皆</w:t>
      </w:r>
      <w:r>
        <w:rPr>
          <w:rFonts w:hint="eastAsia" w:ascii="仿宋" w:hAnsi="仿宋" w:eastAsia="仿宋" w:cs="仿宋"/>
          <w:sz w:val="24"/>
          <w:szCs w:val="24"/>
          <w:lang w:eastAsia="zh-CN"/>
        </w:rPr>
        <w:t>由其自行承担责任，采购人不再补偿。</w:t>
      </w:r>
      <w:bookmarkEnd w:id="61"/>
      <w:bookmarkEnd w:id="62"/>
      <w:bookmarkEnd w:id="63"/>
      <w:bookmarkEnd w:id="64"/>
    </w:p>
    <w:p>
      <w:pPr>
        <w:pStyle w:val="5"/>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三、付款方式</w:t>
      </w:r>
      <w:bookmarkEnd w:id="59"/>
      <w:bookmarkEnd w:id="60"/>
    </w:p>
    <w:p>
      <w:pPr>
        <w:adjustRightInd w:val="0"/>
        <w:snapToGrid w:val="0"/>
        <w:spacing w:line="360" w:lineRule="auto"/>
        <w:ind w:firstLine="480" w:firstLineChars="200"/>
        <w:jc w:val="left"/>
        <w:rPr>
          <w:rFonts w:hint="eastAsia" w:ascii="仿宋" w:hAnsi="仿宋" w:eastAsia="仿宋" w:cs="仿宋"/>
          <w:kern w:val="0"/>
          <w:sz w:val="24"/>
          <w:szCs w:val="24"/>
          <w:highlight w:val="none"/>
        </w:rPr>
      </w:pPr>
      <w:bookmarkStart w:id="65" w:name="_Toc1416"/>
      <w:bookmarkStart w:id="66" w:name="_Toc25777"/>
      <w:bookmarkStart w:id="67" w:name="_Toc20665"/>
      <w:r>
        <w:rPr>
          <w:rFonts w:hint="eastAsia" w:ascii="仿宋" w:hAnsi="仿宋" w:eastAsia="仿宋" w:cs="仿宋"/>
          <w:kern w:val="0"/>
          <w:sz w:val="24"/>
          <w:szCs w:val="24"/>
          <w:highlight w:val="none"/>
        </w:rPr>
        <w:t>1</w:t>
      </w:r>
      <w:r>
        <w:rPr>
          <w:rFonts w:hint="eastAsia" w:ascii="仿宋" w:hAnsi="仿宋" w:eastAsia="仿宋" w:cs="仿宋"/>
          <w:kern w:val="0"/>
          <w:sz w:val="24"/>
          <w:szCs w:val="24"/>
          <w:highlight w:val="none"/>
          <w:lang w:val="en-US" w:eastAsia="zh-CN"/>
        </w:rPr>
        <w:t>.</w:t>
      </w:r>
      <w:r>
        <w:rPr>
          <w:rFonts w:hint="eastAsia" w:ascii="仿宋" w:hAnsi="仿宋" w:eastAsia="仿宋" w:cs="仿宋"/>
          <w:kern w:val="0"/>
          <w:sz w:val="24"/>
          <w:szCs w:val="24"/>
          <w:highlight w:val="none"/>
        </w:rPr>
        <w:t>付款方式</w:t>
      </w:r>
    </w:p>
    <w:p>
      <w:pPr>
        <w:adjustRightInd w:val="0"/>
        <w:snapToGrid w:val="0"/>
        <w:spacing w:line="360" w:lineRule="auto"/>
        <w:ind w:firstLine="480" w:firstLineChars="200"/>
        <w:jc w:val="left"/>
        <w:rPr>
          <w:rFonts w:hint="eastAsia"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（1）本次中标金额采用固定单价模式，</w:t>
      </w:r>
      <w:r>
        <w:rPr>
          <w:rFonts w:hint="eastAsia" w:ascii="仿宋" w:hAnsi="仿宋" w:eastAsia="仿宋" w:cs="仿宋"/>
          <w:kern w:val="0"/>
          <w:sz w:val="24"/>
          <w:szCs w:val="24"/>
          <w:highlight w:val="none"/>
          <w:lang w:val="en-US" w:eastAsia="zh-CN"/>
        </w:rPr>
        <w:t>最终</w:t>
      </w:r>
      <w:r>
        <w:rPr>
          <w:rFonts w:hint="eastAsia" w:ascii="仿宋" w:hAnsi="仿宋" w:eastAsia="仿宋" w:cs="仿宋"/>
          <w:kern w:val="0"/>
          <w:sz w:val="24"/>
          <w:szCs w:val="24"/>
          <w:highlight w:val="none"/>
          <w:lang w:val="zh-CN"/>
        </w:rPr>
        <w:t>结算</w:t>
      </w:r>
      <w:r>
        <w:rPr>
          <w:rFonts w:hint="eastAsia" w:ascii="仿宋" w:hAnsi="仿宋" w:eastAsia="仿宋" w:cs="仿宋"/>
          <w:kern w:val="0"/>
          <w:sz w:val="24"/>
          <w:szCs w:val="24"/>
          <w:highlight w:val="none"/>
          <w:lang w:val="en-US" w:eastAsia="zh-CN"/>
        </w:rPr>
        <w:t>总</w:t>
      </w:r>
      <w:r>
        <w:rPr>
          <w:rFonts w:hint="eastAsia" w:ascii="仿宋" w:hAnsi="仿宋" w:eastAsia="仿宋" w:cs="仿宋"/>
          <w:kern w:val="0"/>
          <w:sz w:val="24"/>
          <w:szCs w:val="24"/>
          <w:highlight w:val="none"/>
          <w:lang w:val="zh-CN"/>
        </w:rPr>
        <w:t>价=实际开课数量×中标单价</w:t>
      </w:r>
    </w:p>
    <w:p>
      <w:pPr>
        <w:adjustRightInd w:val="0"/>
        <w:snapToGrid w:val="0"/>
        <w:spacing w:line="360" w:lineRule="auto"/>
        <w:ind w:firstLine="480" w:firstLineChars="200"/>
        <w:jc w:val="left"/>
        <w:rPr>
          <w:rFonts w:hint="eastAsia"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（2）单价包干，</w:t>
      </w:r>
      <w:r>
        <w:rPr>
          <w:rFonts w:hint="eastAsia" w:ascii="仿宋" w:hAnsi="仿宋" w:eastAsia="仿宋" w:cs="仿宋"/>
          <w:kern w:val="0"/>
          <w:sz w:val="24"/>
          <w:szCs w:val="24"/>
          <w:highlight w:val="none"/>
          <w:lang w:val="en-US" w:eastAsia="zh-CN"/>
        </w:rPr>
        <w:t>及时申报，</w:t>
      </w:r>
      <w:r>
        <w:rPr>
          <w:rFonts w:hint="eastAsia" w:ascii="仿宋" w:hAnsi="仿宋" w:eastAsia="仿宋" w:cs="仿宋"/>
          <w:kern w:val="0"/>
          <w:sz w:val="24"/>
          <w:szCs w:val="24"/>
          <w:highlight w:val="none"/>
          <w:lang w:val="zh-CN"/>
        </w:rPr>
        <w:t>成交供应商垫资不计息</w:t>
      </w:r>
      <w:r>
        <w:rPr>
          <w:rFonts w:hint="eastAsia" w:ascii="仿宋" w:hAnsi="仿宋" w:eastAsia="仿宋" w:cs="仿宋"/>
          <w:kern w:val="0"/>
          <w:sz w:val="24"/>
          <w:szCs w:val="24"/>
          <w:highlight w:val="none"/>
          <w:lang w:val="en-US" w:eastAsia="zh-CN"/>
        </w:rPr>
        <w:t>的方式</w:t>
      </w:r>
      <w:r>
        <w:rPr>
          <w:rFonts w:hint="eastAsia" w:ascii="仿宋" w:hAnsi="仿宋" w:eastAsia="仿宋" w:cs="仿宋"/>
          <w:kern w:val="0"/>
          <w:sz w:val="24"/>
          <w:szCs w:val="24"/>
          <w:highlight w:val="none"/>
          <w:lang w:val="zh-CN"/>
        </w:rPr>
        <w:t>。</w:t>
      </w:r>
    </w:p>
    <w:p>
      <w:pPr>
        <w:adjustRightInd w:val="0"/>
        <w:snapToGrid w:val="0"/>
        <w:spacing w:line="360" w:lineRule="auto"/>
        <w:ind w:firstLine="480" w:firstLineChars="20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r>
        <w:rPr>
          <w:rFonts w:hint="eastAsia" w:ascii="仿宋" w:hAnsi="仿宋" w:eastAsia="仿宋" w:cs="仿宋"/>
          <w:kern w:val="0"/>
          <w:sz w:val="24"/>
          <w:szCs w:val="24"/>
          <w:highlight w:val="none"/>
          <w:lang w:val="en-US" w:eastAsia="zh-CN"/>
        </w:rPr>
        <w:t>.</w:t>
      </w:r>
      <w:r>
        <w:rPr>
          <w:rFonts w:hint="eastAsia" w:ascii="仿宋" w:hAnsi="仿宋" w:eastAsia="仿宋" w:cs="仿宋"/>
          <w:kern w:val="0"/>
          <w:sz w:val="24"/>
          <w:szCs w:val="24"/>
          <w:highlight w:val="none"/>
        </w:rPr>
        <w:t>付款程序</w:t>
      </w:r>
    </w:p>
    <w:p>
      <w:pPr>
        <w:adjustRightInd w:val="0"/>
        <w:snapToGrid w:val="0"/>
        <w:spacing w:line="360" w:lineRule="auto"/>
        <w:ind w:firstLine="480" w:firstLineChars="200"/>
        <w:jc w:val="left"/>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rPr>
        <w:t>（1）</w:t>
      </w:r>
      <w:r>
        <w:rPr>
          <w:rFonts w:hint="eastAsia" w:ascii="仿宋" w:hAnsi="仿宋" w:eastAsia="仿宋" w:cs="仿宋"/>
          <w:kern w:val="0"/>
          <w:sz w:val="24"/>
          <w:szCs w:val="24"/>
          <w:highlight w:val="none"/>
          <w:lang w:val="en-US" w:eastAsia="zh-CN"/>
        </w:rPr>
        <w:t>签订合同后，采购人支付中选成交总价的30%；</w:t>
      </w:r>
    </w:p>
    <w:p>
      <w:pPr>
        <w:adjustRightInd w:val="0"/>
        <w:snapToGrid w:val="0"/>
        <w:spacing w:line="360" w:lineRule="auto"/>
        <w:ind w:firstLine="480" w:firstLineChars="20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lang w:eastAsia="zh-CN"/>
        </w:rPr>
        <w:t>）成交供应商</w:t>
      </w:r>
      <w:r>
        <w:rPr>
          <w:rFonts w:hint="eastAsia" w:ascii="仿宋" w:hAnsi="仿宋" w:eastAsia="仿宋" w:cs="仿宋"/>
          <w:kern w:val="0"/>
          <w:sz w:val="24"/>
          <w:szCs w:val="24"/>
          <w:highlight w:val="none"/>
        </w:rPr>
        <w:t>履行</w:t>
      </w:r>
      <w:r>
        <w:rPr>
          <w:rFonts w:hint="eastAsia" w:ascii="仿宋" w:hAnsi="仿宋" w:eastAsia="仿宋" w:cs="仿宋"/>
          <w:kern w:val="0"/>
          <w:sz w:val="24"/>
          <w:szCs w:val="24"/>
          <w:highlight w:val="none"/>
          <w:lang w:val="en-US" w:eastAsia="zh-CN"/>
        </w:rPr>
        <w:t>合同内容</w:t>
      </w:r>
      <w:r>
        <w:rPr>
          <w:rFonts w:hint="eastAsia" w:ascii="仿宋" w:hAnsi="仿宋" w:eastAsia="仿宋" w:cs="仿宋"/>
          <w:kern w:val="0"/>
          <w:sz w:val="24"/>
          <w:szCs w:val="24"/>
          <w:highlight w:val="none"/>
        </w:rPr>
        <w:t>后，</w:t>
      </w:r>
      <w:r>
        <w:rPr>
          <w:rFonts w:hint="eastAsia" w:ascii="仿宋" w:hAnsi="仿宋" w:eastAsia="仿宋" w:cs="仿宋"/>
          <w:kern w:val="0"/>
          <w:sz w:val="24"/>
          <w:szCs w:val="24"/>
          <w:highlight w:val="none"/>
          <w:lang w:val="en-US" w:eastAsia="zh-CN"/>
        </w:rPr>
        <w:t>支付至最终结算总价的100%</w:t>
      </w:r>
      <w:r>
        <w:rPr>
          <w:rFonts w:hint="eastAsia" w:ascii="仿宋" w:hAnsi="仿宋" w:eastAsia="仿宋" w:cs="仿宋"/>
          <w:kern w:val="0"/>
          <w:sz w:val="24"/>
          <w:szCs w:val="24"/>
          <w:highlight w:val="none"/>
        </w:rPr>
        <w:t>。</w:t>
      </w:r>
    </w:p>
    <w:p>
      <w:pPr>
        <w:adjustRightInd w:val="0"/>
        <w:snapToGrid w:val="0"/>
        <w:spacing w:line="360" w:lineRule="auto"/>
        <w:ind w:firstLine="480" w:firstLineChars="20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rPr>
        <w:t>）费用结算时，</w:t>
      </w:r>
      <w:r>
        <w:rPr>
          <w:rFonts w:hint="eastAsia" w:ascii="仿宋" w:hAnsi="仿宋" w:eastAsia="仿宋" w:cs="仿宋"/>
          <w:kern w:val="0"/>
          <w:sz w:val="24"/>
          <w:szCs w:val="24"/>
          <w:highlight w:val="none"/>
          <w:lang w:eastAsia="zh-CN"/>
        </w:rPr>
        <w:t>成交供应商</w:t>
      </w:r>
      <w:r>
        <w:rPr>
          <w:rFonts w:hint="eastAsia" w:ascii="仿宋" w:hAnsi="仿宋" w:eastAsia="仿宋" w:cs="仿宋"/>
          <w:kern w:val="0"/>
          <w:sz w:val="24"/>
          <w:szCs w:val="24"/>
          <w:highlight w:val="none"/>
        </w:rPr>
        <w:t>向采购人开具正规发票，并提供采购人需要的付款资料</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每节课的课程签到表、培训照片</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4</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对</w:t>
      </w:r>
      <w:r>
        <w:rPr>
          <w:rFonts w:hint="eastAsia" w:ascii="仿宋" w:hAnsi="仿宋" w:eastAsia="仿宋" w:cs="仿宋"/>
          <w:kern w:val="0"/>
          <w:sz w:val="24"/>
          <w:szCs w:val="24"/>
          <w:highlight w:val="none"/>
          <w:lang w:eastAsia="zh-CN"/>
        </w:rPr>
        <w:t>成交供应商</w:t>
      </w:r>
      <w:r>
        <w:rPr>
          <w:rFonts w:hint="eastAsia" w:ascii="仿宋" w:hAnsi="仿宋" w:eastAsia="仿宋" w:cs="仿宋"/>
          <w:kern w:val="0"/>
          <w:sz w:val="24"/>
          <w:szCs w:val="24"/>
          <w:highlight w:val="none"/>
        </w:rPr>
        <w:t>提交的付款资料审核通过后，以转账方式向</w:t>
      </w:r>
      <w:r>
        <w:rPr>
          <w:rFonts w:hint="eastAsia" w:ascii="仿宋" w:hAnsi="仿宋" w:eastAsia="仿宋" w:cs="仿宋"/>
          <w:kern w:val="0"/>
          <w:sz w:val="24"/>
          <w:szCs w:val="24"/>
          <w:highlight w:val="none"/>
          <w:lang w:eastAsia="zh-CN"/>
        </w:rPr>
        <w:t>成交供应商</w:t>
      </w:r>
      <w:r>
        <w:rPr>
          <w:rFonts w:hint="eastAsia" w:ascii="仿宋" w:hAnsi="仿宋" w:eastAsia="仿宋" w:cs="仿宋"/>
          <w:kern w:val="0"/>
          <w:sz w:val="24"/>
          <w:szCs w:val="24"/>
          <w:highlight w:val="none"/>
        </w:rPr>
        <w:t>支付结算费用。</w:t>
      </w:r>
    </w:p>
    <w:p>
      <w:pPr>
        <w:pStyle w:val="5"/>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四、转包、分包</w:t>
      </w:r>
      <w:bookmarkEnd w:id="65"/>
    </w:p>
    <w:p>
      <w:pPr>
        <w:snapToGrid w:val="0"/>
        <w:spacing w:line="360" w:lineRule="auto"/>
        <w:ind w:firstLine="480" w:firstLineChars="200"/>
        <w:rPr>
          <w:rFonts w:hint="eastAsia" w:ascii="仿宋" w:hAnsi="仿宋" w:eastAsia="仿宋" w:cs="Times New Roman"/>
          <w:color w:val="auto"/>
          <w:sz w:val="24"/>
          <w:szCs w:val="24"/>
          <w:highlight w:val="none"/>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一</w:t>
      </w:r>
      <w:r>
        <w:rPr>
          <w:rFonts w:hint="eastAsia" w:ascii="仿宋" w:hAnsi="仿宋" w:eastAsia="仿宋" w:cs="仿宋"/>
          <w:sz w:val="24"/>
          <w:szCs w:val="24"/>
        </w:rPr>
        <w:t>）</w:t>
      </w:r>
      <w:r>
        <w:rPr>
          <w:rFonts w:hint="eastAsia" w:ascii="仿宋" w:hAnsi="仿宋" w:eastAsia="仿宋" w:cs="Times New Roman"/>
          <w:color w:val="auto"/>
          <w:sz w:val="24"/>
          <w:szCs w:val="24"/>
          <w:highlight w:val="none"/>
          <w:lang w:val="en-US" w:eastAsia="zh-CN"/>
        </w:rPr>
        <w:t>成交供应商未经采购人书面同意，不得将项目转包、分包给第三方，如成交供应商将本项目转包、分包给第三方的，采购人有权解除合同，并不支付任何费用，同时采购人有权要求成交供应商按合同总金额的10 %支付违约金，因此给采购人造成的损失应由成交供应商承担赔偿责任。</w:t>
      </w:r>
    </w:p>
    <w:p>
      <w:pPr>
        <w:snapToGrid w:val="0"/>
        <w:spacing w:line="360" w:lineRule="auto"/>
        <w:ind w:firstLine="480" w:firstLineChars="200"/>
        <w:rPr>
          <w:rFonts w:hint="eastAsia" w:ascii="仿宋" w:hAnsi="仿宋" w:eastAsia="仿宋" w:cs="Times New Roman"/>
          <w:b/>
          <w:bCs/>
          <w:color w:val="auto"/>
          <w:sz w:val="24"/>
          <w:szCs w:val="24"/>
          <w:highlight w:val="none"/>
          <w:lang w:val="en-US" w:eastAsia="zh-CN"/>
        </w:rPr>
      </w:pPr>
      <w:r>
        <w:rPr>
          <w:rFonts w:hint="eastAsia" w:ascii="仿宋" w:hAnsi="仿宋" w:eastAsia="仿宋" w:cs="Times New Roman"/>
          <w:b/>
          <w:bCs/>
          <w:color w:val="auto"/>
          <w:sz w:val="24"/>
          <w:szCs w:val="24"/>
          <w:highlight w:val="none"/>
          <w:lang w:val="en-US" w:eastAsia="zh-CN"/>
        </w:rPr>
        <w:t>（二）供应商参与本项目竞采时，须提供不得转包、分包的承诺函（提供加盖供应商公章的承诺函原件，格式自定）。</w:t>
      </w:r>
    </w:p>
    <w:p>
      <w:pPr>
        <w:pStyle w:val="5"/>
        <w:spacing w:before="0" w:after="0" w:line="360" w:lineRule="auto"/>
        <w:rPr>
          <w:rFonts w:hint="eastAsia" w:ascii="仿宋" w:hAnsi="仿宋" w:eastAsia="仿宋" w:cs="仿宋"/>
          <w:color w:val="auto"/>
          <w:sz w:val="24"/>
          <w:szCs w:val="24"/>
          <w:highlight w:val="none"/>
        </w:rPr>
      </w:pPr>
      <w:bookmarkStart w:id="68" w:name="_Toc11026"/>
      <w:bookmarkStart w:id="69" w:name="_Toc21740"/>
      <w:bookmarkStart w:id="70" w:name="_Toc4714"/>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、知识产权</w:t>
      </w:r>
      <w:bookmarkEnd w:id="68"/>
      <w:bookmarkEnd w:id="69"/>
      <w:bookmarkEnd w:id="70"/>
    </w:p>
    <w:p>
      <w:pPr>
        <w:snapToGrid w:val="0"/>
        <w:spacing w:line="360" w:lineRule="auto"/>
        <w:ind w:firstLine="480" w:firstLineChars="0"/>
        <w:outlineLvl w:val="1"/>
        <w:rPr>
          <w:rFonts w:hint="eastAsia" w:ascii="仿宋" w:hAnsi="仿宋" w:eastAsia="仿宋" w:cs="仿宋"/>
          <w:sz w:val="24"/>
          <w:szCs w:val="24"/>
        </w:rPr>
      </w:pPr>
      <w:r>
        <w:rPr>
          <w:rFonts w:hint="eastAsia" w:ascii="仿宋" w:hAnsi="仿宋" w:eastAsia="仿宋" w:cs="仿宋"/>
          <w:sz w:val="24"/>
          <w:szCs w:val="24"/>
        </w:rPr>
        <w:t>采购人在中华人民共和国境内使用成交供应商提供的项目内容及服务时免受第三方提出的侵犯其专利权或其它知识产权的起诉。如果第三方提出侵权指控，成交供应商应承担由此而引起的一切法律责任和费用。</w:t>
      </w:r>
    </w:p>
    <w:p>
      <w:pPr>
        <w:snapToGrid w:val="0"/>
        <w:spacing w:line="360" w:lineRule="auto"/>
        <w:ind w:firstLine="480" w:firstLineChars="0"/>
        <w:outlineLvl w:val="1"/>
        <w:rPr>
          <w:rFonts w:hint="eastAsia" w:ascii="仿宋" w:hAnsi="仿宋" w:eastAsia="仿宋" w:cs="Times New Roman"/>
          <w:b/>
          <w:bCs/>
          <w:color w:val="auto"/>
          <w:sz w:val="24"/>
          <w:szCs w:val="24"/>
          <w:highlight w:val="none"/>
          <w:lang w:val="en-US" w:eastAsia="zh-CN"/>
        </w:rPr>
      </w:pPr>
      <w:r>
        <w:rPr>
          <w:rFonts w:hint="eastAsia" w:ascii="仿宋" w:hAnsi="仿宋" w:eastAsia="仿宋" w:cs="仿宋"/>
          <w:sz w:val="24"/>
          <w:szCs w:val="24"/>
        </w:rPr>
        <w:t>（注：若涉及软件开发等服务类项目知识产权的，知识产权归采购人所有）。</w:t>
      </w:r>
    </w:p>
    <w:bookmarkEnd w:id="66"/>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、其他</w:t>
      </w:r>
      <w:bookmarkEnd w:id="67"/>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（一）供应商必须在响应文件中对以上条款和服务承诺明确列出，承诺内容必须达到本篇及招标文件其他条款的要求。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（二）其他未尽事宜由供需双方在采购合同中详细约定。</w:t>
      </w:r>
    </w:p>
    <w:p>
      <w:pPr>
        <w:pStyle w:val="3"/>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pStyle w:val="3"/>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pStyle w:val="3"/>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pStyle w:val="3"/>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pStyle w:val="3"/>
        <w:spacing w:line="360" w:lineRule="auto"/>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rPr>
      </w:pPr>
    </w:p>
    <w:p>
      <w:pPr>
        <w:spacing w:line="360" w:lineRule="auto"/>
        <w:rPr>
          <w:rFonts w:hint="eastAsia" w:ascii="仿宋" w:hAnsi="仿宋" w:eastAsia="仿宋" w:cs="仿宋"/>
          <w:color w:val="auto"/>
          <w:sz w:val="24"/>
          <w:szCs w:val="24"/>
          <w:highlight w:val="none"/>
        </w:rPr>
      </w:pPr>
    </w:p>
    <w:p>
      <w:pPr>
        <w:pStyle w:val="4"/>
        <w:numPr>
          <w:ilvl w:val="0"/>
          <w:numId w:val="4"/>
        </w:numPr>
        <w:spacing w:line="360" w:lineRule="auto"/>
        <w:ind w:left="-280" w:leftChars="-100" w:firstLine="560" w:firstLineChars="175"/>
        <w:jc w:val="center"/>
        <w:rPr>
          <w:rStyle w:val="36"/>
          <w:rFonts w:hint="eastAsia" w:ascii="仿宋" w:hAnsi="仿宋" w:eastAsia="仿宋" w:cs="仿宋"/>
          <w:b/>
          <w:bCs/>
          <w:color w:val="auto"/>
          <w:highlight w:val="none"/>
        </w:rPr>
      </w:pPr>
      <w:bookmarkStart w:id="71" w:name="_Toc27973"/>
      <w:r>
        <w:rPr>
          <w:rStyle w:val="36"/>
          <w:rFonts w:hint="eastAsia" w:ascii="仿宋" w:hAnsi="仿宋" w:eastAsia="仿宋" w:cs="仿宋"/>
          <w:b/>
          <w:bCs/>
          <w:color w:val="auto"/>
          <w:highlight w:val="none"/>
        </w:rPr>
        <w:t>资格审查及评标办法</w:t>
      </w:r>
      <w:bookmarkEnd w:id="71"/>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一、资格性符合性检查</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（一）资格性检查。依据法律法规和采购文件的规定，对响应文件中的资格证明等进行审查，以确定供应商是否具备</w:t>
      </w:r>
      <w:r>
        <w:rPr>
          <w:rFonts w:hint="eastAsia" w:ascii="仿宋" w:hAnsi="仿宋" w:eastAsia="仿宋" w:cs="仿宋"/>
          <w:color w:val="auto"/>
          <w:sz w:val="24"/>
          <w:szCs w:val="24"/>
          <w:highlight w:val="none"/>
          <w:lang w:val="en-US" w:eastAsia="zh-CN"/>
        </w:rPr>
        <w:t>竞采</w:t>
      </w:r>
      <w:r>
        <w:rPr>
          <w:rFonts w:hint="eastAsia" w:ascii="仿宋" w:hAnsi="仿宋" w:eastAsia="仿宋" w:cs="仿宋"/>
          <w:color w:val="auto"/>
          <w:sz w:val="24"/>
          <w:szCs w:val="24"/>
          <w:highlight w:val="none"/>
        </w:rPr>
        <w:t>资格。资格性检查资料表如下：</w:t>
      </w:r>
    </w:p>
    <w:tbl>
      <w:tblPr>
        <w:tblStyle w:val="25"/>
        <w:tblW w:w="9802" w:type="dxa"/>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118"/>
        <w:gridCol w:w="3126"/>
        <w:gridCol w:w="4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4244" w:type="dxa"/>
            <w:gridSpan w:val="2"/>
            <w:vAlign w:val="center"/>
          </w:tcPr>
          <w:p>
            <w:pPr>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检查因素</w:t>
            </w:r>
          </w:p>
        </w:tc>
        <w:tc>
          <w:tcPr>
            <w:tcW w:w="4801" w:type="dxa"/>
            <w:vAlign w:val="center"/>
          </w:tcPr>
          <w:p>
            <w:pPr>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Merge w:val="restart"/>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118" w:type="dxa"/>
            <w:vMerge w:val="restart"/>
            <w:vAlign w:val="center"/>
          </w:tcPr>
          <w:p>
            <w:pPr>
              <w:snapToGrid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zh-CN"/>
              </w:rPr>
              <w:t>应符合的基本资格条件</w:t>
            </w:r>
          </w:p>
        </w:tc>
        <w:tc>
          <w:tcPr>
            <w:tcW w:w="3126" w:type="dxa"/>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tc>
        <w:tc>
          <w:tcPr>
            <w:tcW w:w="4801" w:type="dxa"/>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供应商法人营业执照（副本）或事业单位法人证书（正本）或个体工商户营业执照或有效的自然人身份证明、组织机构代码证复印件（注</w:t>
            </w:r>
            <w:r>
              <w:rPr>
                <w:rFonts w:hint="eastAsia" w:ascii="仿宋" w:hAnsi="仿宋" w:eastAsia="仿宋" w:cs="仿宋"/>
                <w:color w:val="auto"/>
                <w:kern w:val="0"/>
                <w:sz w:val="24"/>
                <w:szCs w:val="24"/>
                <w:highlight w:val="none"/>
              </w:rPr>
              <w:sym w:font="Wingdings" w:char="F081"/>
            </w:r>
            <w:r>
              <w:rPr>
                <w:rFonts w:hint="eastAsia" w:ascii="仿宋" w:hAnsi="仿宋" w:eastAsia="仿宋" w:cs="仿宋"/>
                <w:color w:val="auto"/>
                <w:sz w:val="24"/>
                <w:szCs w:val="24"/>
                <w:highlight w:val="none"/>
              </w:rPr>
              <w:t xml:space="preserve">）； </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57" w:type="dxa"/>
            <w:vMerge w:val="continue"/>
            <w:vAlign w:val="center"/>
          </w:tcPr>
          <w:p>
            <w:pPr>
              <w:keepNext/>
              <w:keepLines/>
              <w:spacing w:before="260" w:after="260" w:line="360" w:lineRule="auto"/>
              <w:jc w:val="center"/>
              <w:outlineLvl w:val="2"/>
              <w:rPr>
                <w:rFonts w:hint="eastAsia" w:ascii="仿宋" w:hAnsi="仿宋" w:eastAsia="仿宋" w:cs="仿宋"/>
                <w:color w:val="auto"/>
                <w:sz w:val="24"/>
                <w:szCs w:val="24"/>
                <w:highlight w:val="none"/>
              </w:rPr>
            </w:pPr>
          </w:p>
        </w:tc>
        <w:tc>
          <w:tcPr>
            <w:tcW w:w="1118" w:type="dxa"/>
            <w:vMerge w:val="continue"/>
            <w:vAlign w:val="center"/>
          </w:tcPr>
          <w:p>
            <w:pPr>
              <w:snapToGrid w:val="0"/>
              <w:spacing w:before="260" w:after="260" w:line="360" w:lineRule="auto"/>
              <w:outlineLvl w:val="2"/>
              <w:rPr>
                <w:rFonts w:hint="eastAsia" w:ascii="仿宋" w:hAnsi="仿宋" w:eastAsia="仿宋" w:cs="仿宋"/>
                <w:color w:val="auto"/>
                <w:sz w:val="24"/>
                <w:szCs w:val="24"/>
                <w:highlight w:val="none"/>
                <w:lang w:val="zh-CN"/>
              </w:rPr>
            </w:pPr>
          </w:p>
        </w:tc>
        <w:tc>
          <w:tcPr>
            <w:tcW w:w="3126" w:type="dxa"/>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（2）</w:t>
            </w:r>
            <w:r>
              <w:rPr>
                <w:rFonts w:hint="eastAsia" w:ascii="仿宋" w:hAnsi="仿宋" w:eastAsia="仿宋" w:cs="仿宋"/>
                <w:color w:val="auto"/>
                <w:sz w:val="24"/>
                <w:szCs w:val="24"/>
                <w:highlight w:val="none"/>
              </w:rPr>
              <w:t>具有良好的商业信誉和健全的财务会计制度</w:t>
            </w:r>
          </w:p>
        </w:tc>
        <w:tc>
          <w:tcPr>
            <w:tcW w:w="4801" w:type="dxa"/>
            <w:vMerge w:val="restart"/>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57" w:type="dxa"/>
            <w:vMerge w:val="continue"/>
            <w:vAlign w:val="center"/>
          </w:tcPr>
          <w:p>
            <w:pPr>
              <w:keepNext/>
              <w:keepLines/>
              <w:spacing w:before="260" w:after="260" w:line="360" w:lineRule="auto"/>
              <w:jc w:val="center"/>
              <w:outlineLvl w:val="2"/>
              <w:rPr>
                <w:rFonts w:hint="eastAsia" w:ascii="仿宋" w:hAnsi="仿宋" w:eastAsia="仿宋" w:cs="仿宋"/>
                <w:color w:val="auto"/>
                <w:sz w:val="24"/>
                <w:szCs w:val="24"/>
                <w:highlight w:val="none"/>
              </w:rPr>
            </w:pPr>
          </w:p>
        </w:tc>
        <w:tc>
          <w:tcPr>
            <w:tcW w:w="1118" w:type="dxa"/>
            <w:vMerge w:val="continue"/>
            <w:vAlign w:val="center"/>
          </w:tcPr>
          <w:p>
            <w:pPr>
              <w:snapToGrid w:val="0"/>
              <w:spacing w:before="260" w:after="260" w:line="360" w:lineRule="auto"/>
              <w:outlineLvl w:val="2"/>
              <w:rPr>
                <w:rFonts w:hint="eastAsia" w:ascii="仿宋" w:hAnsi="仿宋" w:eastAsia="仿宋" w:cs="仿宋"/>
                <w:color w:val="auto"/>
                <w:sz w:val="24"/>
                <w:szCs w:val="24"/>
                <w:highlight w:val="none"/>
                <w:lang w:val="zh-CN"/>
              </w:rPr>
            </w:pPr>
          </w:p>
        </w:tc>
        <w:tc>
          <w:tcPr>
            <w:tcW w:w="3126" w:type="dxa"/>
            <w:vAlign w:val="center"/>
          </w:tcPr>
          <w:p>
            <w:pPr>
              <w:snapToGrid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（3）具有履行合同所必需的设备和专业技术能力</w:t>
            </w:r>
          </w:p>
        </w:tc>
        <w:tc>
          <w:tcPr>
            <w:tcW w:w="4801" w:type="dxa"/>
            <w:vMerge w:val="continue"/>
            <w:vAlign w:val="center"/>
          </w:tcPr>
          <w:p>
            <w:pPr>
              <w:snapToGri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57" w:type="dxa"/>
            <w:vMerge w:val="continue"/>
            <w:vAlign w:val="center"/>
          </w:tcPr>
          <w:p>
            <w:pPr>
              <w:keepNext/>
              <w:keepLines/>
              <w:spacing w:before="260" w:after="260" w:line="360" w:lineRule="auto"/>
              <w:jc w:val="center"/>
              <w:outlineLvl w:val="2"/>
              <w:rPr>
                <w:rFonts w:hint="eastAsia" w:ascii="仿宋" w:hAnsi="仿宋" w:eastAsia="仿宋" w:cs="仿宋"/>
                <w:color w:val="auto"/>
                <w:sz w:val="24"/>
                <w:szCs w:val="24"/>
                <w:highlight w:val="none"/>
              </w:rPr>
            </w:pPr>
          </w:p>
        </w:tc>
        <w:tc>
          <w:tcPr>
            <w:tcW w:w="1118" w:type="dxa"/>
            <w:vMerge w:val="continue"/>
            <w:vAlign w:val="center"/>
          </w:tcPr>
          <w:p>
            <w:pPr>
              <w:snapToGrid w:val="0"/>
              <w:spacing w:before="260" w:after="260" w:line="360" w:lineRule="auto"/>
              <w:outlineLvl w:val="2"/>
              <w:rPr>
                <w:rFonts w:hint="eastAsia" w:ascii="仿宋" w:hAnsi="仿宋" w:eastAsia="仿宋" w:cs="仿宋"/>
                <w:color w:val="auto"/>
                <w:sz w:val="24"/>
                <w:szCs w:val="24"/>
                <w:highlight w:val="none"/>
                <w:lang w:val="zh-CN"/>
              </w:rPr>
            </w:pPr>
          </w:p>
        </w:tc>
        <w:tc>
          <w:tcPr>
            <w:tcW w:w="3126" w:type="dxa"/>
            <w:vAlign w:val="center"/>
          </w:tcPr>
          <w:p>
            <w:pPr>
              <w:snapToGrid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（4）有依法缴纳税收和社会保障金的良好记录</w:t>
            </w:r>
          </w:p>
        </w:tc>
        <w:tc>
          <w:tcPr>
            <w:tcW w:w="4801" w:type="dxa"/>
            <w:vMerge w:val="continue"/>
            <w:vAlign w:val="center"/>
          </w:tcPr>
          <w:p>
            <w:pPr>
              <w:snapToGri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757" w:type="dxa"/>
            <w:vMerge w:val="continue"/>
            <w:vAlign w:val="center"/>
          </w:tcPr>
          <w:p>
            <w:pPr>
              <w:spacing w:line="360" w:lineRule="auto"/>
              <w:jc w:val="center"/>
              <w:rPr>
                <w:rFonts w:hint="eastAsia" w:ascii="仿宋" w:hAnsi="仿宋" w:eastAsia="仿宋" w:cs="仿宋"/>
                <w:color w:val="auto"/>
                <w:sz w:val="24"/>
                <w:szCs w:val="24"/>
                <w:highlight w:val="none"/>
              </w:rPr>
            </w:pPr>
          </w:p>
        </w:tc>
        <w:tc>
          <w:tcPr>
            <w:tcW w:w="1118" w:type="dxa"/>
            <w:vMerge w:val="continue"/>
            <w:vAlign w:val="center"/>
          </w:tcPr>
          <w:p>
            <w:pPr>
              <w:snapToGrid w:val="0"/>
              <w:spacing w:line="360" w:lineRule="auto"/>
              <w:rPr>
                <w:rFonts w:hint="eastAsia" w:ascii="仿宋" w:hAnsi="仿宋" w:eastAsia="仿宋" w:cs="仿宋"/>
                <w:color w:val="auto"/>
                <w:sz w:val="24"/>
                <w:szCs w:val="24"/>
                <w:highlight w:val="none"/>
                <w:lang w:val="zh-CN"/>
              </w:rPr>
            </w:pPr>
          </w:p>
        </w:tc>
        <w:tc>
          <w:tcPr>
            <w:tcW w:w="3126" w:type="dxa"/>
            <w:vAlign w:val="center"/>
          </w:tcPr>
          <w:p>
            <w:pPr>
              <w:snapToGrid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（5）参加政府采购活动前三年内，在经营活动中没有重大违法记录（注②）</w:t>
            </w:r>
          </w:p>
        </w:tc>
        <w:tc>
          <w:tcPr>
            <w:tcW w:w="4801" w:type="dxa"/>
            <w:vMerge w:val="continue"/>
            <w:vAlign w:val="center"/>
          </w:tcPr>
          <w:p>
            <w:pPr>
              <w:snapToGri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57" w:type="dxa"/>
            <w:vMerge w:val="continue"/>
            <w:vAlign w:val="center"/>
          </w:tcPr>
          <w:p>
            <w:pPr>
              <w:keepNext/>
              <w:keepLines/>
              <w:spacing w:before="260" w:after="260" w:line="360" w:lineRule="auto"/>
              <w:jc w:val="center"/>
              <w:outlineLvl w:val="2"/>
              <w:rPr>
                <w:rFonts w:hint="eastAsia" w:ascii="仿宋" w:hAnsi="仿宋" w:eastAsia="仿宋" w:cs="仿宋"/>
                <w:color w:val="auto"/>
                <w:sz w:val="24"/>
                <w:szCs w:val="24"/>
                <w:highlight w:val="none"/>
              </w:rPr>
            </w:pPr>
          </w:p>
        </w:tc>
        <w:tc>
          <w:tcPr>
            <w:tcW w:w="1118" w:type="dxa"/>
            <w:vMerge w:val="continue"/>
            <w:vAlign w:val="center"/>
          </w:tcPr>
          <w:p>
            <w:pPr>
              <w:snapToGrid w:val="0"/>
              <w:spacing w:before="260" w:after="260" w:line="360" w:lineRule="auto"/>
              <w:outlineLvl w:val="2"/>
              <w:rPr>
                <w:rFonts w:hint="eastAsia" w:ascii="仿宋" w:hAnsi="仿宋" w:eastAsia="仿宋" w:cs="仿宋"/>
                <w:color w:val="auto"/>
                <w:sz w:val="24"/>
                <w:szCs w:val="24"/>
                <w:highlight w:val="none"/>
                <w:lang w:val="zh-CN"/>
              </w:rPr>
            </w:pPr>
          </w:p>
        </w:tc>
        <w:tc>
          <w:tcPr>
            <w:tcW w:w="3126" w:type="dxa"/>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（6）法律、行政法规规定的其他条件</w:t>
            </w:r>
          </w:p>
        </w:tc>
        <w:tc>
          <w:tcPr>
            <w:tcW w:w="4801" w:type="dxa"/>
            <w:vAlign w:val="center"/>
          </w:tcPr>
          <w:p>
            <w:pPr>
              <w:snapToGrid w:val="0"/>
              <w:spacing w:before="260" w:after="260" w:line="360" w:lineRule="auto"/>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757"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4244" w:type="dxa"/>
            <w:gridSpan w:val="2"/>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特定资格条件</w:t>
            </w:r>
          </w:p>
        </w:tc>
        <w:tc>
          <w:tcPr>
            <w:tcW w:w="4801" w:type="dxa"/>
            <w:vAlign w:val="center"/>
          </w:tcPr>
          <w:p>
            <w:pPr>
              <w:snapToGrid w:val="0"/>
              <w:spacing w:line="360" w:lineRule="auto"/>
              <w:rPr>
                <w:rFonts w:hint="eastAsia" w:ascii="仿宋" w:hAnsi="仿宋" w:eastAsia="仿宋" w:cs="仿宋"/>
                <w:color w:val="auto"/>
                <w:sz w:val="24"/>
                <w:szCs w:val="24"/>
                <w:highlight w:val="none"/>
                <w:lang w:eastAsia="zh-CN"/>
              </w:rPr>
            </w:pPr>
            <w:bookmarkStart w:id="72" w:name="_Toc13413"/>
            <w:bookmarkStart w:id="73" w:name="_Toc11965"/>
            <w:r>
              <w:rPr>
                <w:rFonts w:hint="eastAsia" w:ascii="仿宋" w:hAnsi="仿宋" w:eastAsia="仿宋" w:cs="仿宋"/>
                <w:color w:val="auto"/>
                <w:sz w:val="24"/>
                <w:szCs w:val="24"/>
                <w:highlight w:val="none"/>
              </w:rPr>
              <w:t>按第一篇“资格要求（二）特定资格条件”的要求提交证明文件并加盖供应商公章。</w:t>
            </w:r>
            <w:bookmarkEnd w:id="72"/>
            <w:bookmarkEnd w:id="73"/>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如果有</w:t>
            </w:r>
            <w:r>
              <w:rPr>
                <w:rFonts w:hint="eastAsia" w:ascii="仿宋" w:hAnsi="仿宋" w:eastAsia="仿宋" w:cs="仿宋"/>
                <w:color w:val="auto"/>
                <w:sz w:val="24"/>
                <w:szCs w:val="24"/>
                <w:highlight w:val="none"/>
                <w:lang w:eastAsia="zh-CN"/>
              </w:rPr>
              <w:t>）</w:t>
            </w:r>
          </w:p>
        </w:tc>
      </w:tr>
    </w:tbl>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w:t>
      </w:r>
    </w:p>
    <w:p>
      <w:pPr>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F081"/>
      </w:r>
      <w:r>
        <w:rPr>
          <w:rFonts w:hint="eastAsia" w:ascii="仿宋" w:hAnsi="仿宋" w:eastAsia="仿宋" w:cs="仿宋"/>
          <w:color w:val="auto"/>
          <w:kern w:val="0"/>
          <w:sz w:val="24"/>
          <w:szCs w:val="24"/>
          <w:highlight w:val="none"/>
        </w:rPr>
        <w:t>供应商按“五证合一”登记制度办理营业执照的，组织机构代码证、税务登记证（副本）和社会保险登记证以供应商所提供的营业执照（副本）复印件为准。</w:t>
      </w:r>
    </w:p>
    <w:p>
      <w:pPr>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F082"/>
      </w:r>
      <w:r>
        <w:rPr>
          <w:rFonts w:hint="eastAsia" w:ascii="仿宋" w:hAnsi="仿宋" w:eastAsia="仿宋" w:cs="仿宋"/>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（二）符合性检查。依据采购文件的规定，从响应文件的有效性、完整性和对采购文件的响应程度进行审查，以确定是否对采购文件的实质性要求作出响应。符合性检查资料表如下：</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55"/>
        <w:gridCol w:w="1905"/>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3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评审因素</w:t>
            </w:r>
          </w:p>
        </w:tc>
        <w:tc>
          <w:tcPr>
            <w:tcW w:w="60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45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有效性审查</w:t>
            </w: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响应文件签署</w:t>
            </w:r>
          </w:p>
        </w:tc>
        <w:tc>
          <w:tcPr>
            <w:tcW w:w="60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hint="eastAsia" w:ascii="仿宋" w:hAnsi="仿宋" w:eastAsia="仿宋" w:cs="仿宋"/>
                <w:color w:val="auto"/>
                <w:kern w:val="0"/>
                <w:sz w:val="24"/>
                <w:szCs w:val="24"/>
                <w:highlight w:val="none"/>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hint="eastAsia" w:ascii="仿宋" w:hAnsi="仿宋" w:eastAsia="仿宋" w:cs="仿宋"/>
                <w:color w:val="auto"/>
                <w:kern w:val="0"/>
                <w:sz w:val="24"/>
                <w:szCs w:val="24"/>
                <w:highlight w:val="none"/>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法定代表人身份证明及授权委托书</w:t>
            </w:r>
          </w:p>
        </w:tc>
        <w:tc>
          <w:tcPr>
            <w:tcW w:w="60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法定代表人身份证明及授权委托书有效，符合采购文件规定的格式，签字或盖章齐全。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hint="eastAsia" w:ascii="仿宋" w:hAnsi="仿宋" w:eastAsia="仿宋" w:cs="仿宋"/>
                <w:color w:val="auto"/>
                <w:kern w:val="0"/>
                <w:sz w:val="24"/>
                <w:szCs w:val="24"/>
                <w:highlight w:val="none"/>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hint="eastAsia" w:ascii="仿宋" w:hAnsi="仿宋" w:eastAsia="仿宋" w:cs="仿宋"/>
                <w:color w:val="auto"/>
                <w:kern w:val="0"/>
                <w:sz w:val="24"/>
                <w:szCs w:val="24"/>
                <w:highlight w:val="none"/>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响应</w:t>
            </w:r>
            <w:r>
              <w:rPr>
                <w:rFonts w:hint="eastAsia" w:ascii="仿宋" w:hAnsi="仿宋" w:eastAsia="仿宋" w:cs="仿宋"/>
                <w:color w:val="auto"/>
                <w:sz w:val="24"/>
                <w:szCs w:val="24"/>
                <w:highlight w:val="none"/>
                <w:lang w:val="zh-CN"/>
              </w:rPr>
              <w:t>方案</w:t>
            </w:r>
          </w:p>
        </w:tc>
        <w:tc>
          <w:tcPr>
            <w:tcW w:w="60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zh-CN"/>
              </w:rPr>
              <w:t>每个分包只能有一个</w:t>
            </w:r>
            <w:r>
              <w:rPr>
                <w:rFonts w:hint="eastAsia" w:ascii="仿宋" w:hAnsi="仿宋" w:eastAsia="仿宋" w:cs="仿宋"/>
                <w:color w:val="auto"/>
                <w:sz w:val="24"/>
                <w:szCs w:val="24"/>
                <w:highlight w:val="none"/>
              </w:rPr>
              <w:t>响应</w:t>
            </w:r>
            <w:r>
              <w:rPr>
                <w:rFonts w:hint="eastAsia" w:ascii="仿宋" w:hAnsi="仿宋" w:eastAsia="仿宋" w:cs="仿宋"/>
                <w:color w:val="auto"/>
                <w:sz w:val="24"/>
                <w:szCs w:val="24"/>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hint="eastAsia" w:ascii="仿宋" w:hAnsi="仿宋" w:eastAsia="仿宋" w:cs="仿宋"/>
                <w:color w:val="auto"/>
                <w:kern w:val="0"/>
                <w:sz w:val="24"/>
                <w:szCs w:val="24"/>
                <w:highlight w:val="none"/>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hint="eastAsia" w:ascii="仿宋" w:hAnsi="仿宋" w:eastAsia="仿宋" w:cs="仿宋"/>
                <w:color w:val="auto"/>
                <w:kern w:val="0"/>
                <w:sz w:val="24"/>
                <w:szCs w:val="24"/>
                <w:highlight w:val="none"/>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报价唯一</w:t>
            </w:r>
          </w:p>
        </w:tc>
        <w:tc>
          <w:tcPr>
            <w:tcW w:w="60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完整性审查</w:t>
            </w: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响应</w:t>
            </w:r>
            <w:r>
              <w:rPr>
                <w:rFonts w:hint="eastAsia" w:ascii="仿宋" w:hAnsi="仿宋" w:eastAsia="仿宋" w:cs="仿宋"/>
                <w:color w:val="auto"/>
                <w:sz w:val="24"/>
                <w:szCs w:val="24"/>
                <w:highlight w:val="none"/>
                <w:lang w:val="zh-CN"/>
              </w:rPr>
              <w:t>文件份数</w:t>
            </w:r>
          </w:p>
        </w:tc>
        <w:tc>
          <w:tcPr>
            <w:tcW w:w="60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响应</w:t>
            </w:r>
            <w:r>
              <w:rPr>
                <w:rFonts w:hint="eastAsia" w:ascii="仿宋" w:hAnsi="仿宋" w:eastAsia="仿宋" w:cs="仿宋"/>
                <w:color w:val="auto"/>
                <w:sz w:val="24"/>
                <w:szCs w:val="24"/>
                <w:highlight w:val="none"/>
                <w:lang w:val="zh-CN"/>
              </w:rPr>
              <w:t>文件数量符合</w:t>
            </w:r>
            <w:r>
              <w:rPr>
                <w:rFonts w:hint="eastAsia" w:ascii="仿宋" w:hAnsi="仿宋" w:eastAsia="仿宋" w:cs="仿宋"/>
                <w:color w:val="auto"/>
                <w:sz w:val="24"/>
                <w:szCs w:val="24"/>
                <w:highlight w:val="none"/>
              </w:rPr>
              <w:t>采购文件</w:t>
            </w:r>
            <w:r>
              <w:rPr>
                <w:rFonts w:hint="eastAsia" w:ascii="仿宋" w:hAnsi="仿宋" w:eastAsia="仿宋" w:cs="仿宋"/>
                <w:color w:val="auto"/>
                <w:sz w:val="24"/>
                <w:szCs w:val="24"/>
                <w:highlight w:val="none"/>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45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kern w:val="0"/>
                <w:sz w:val="24"/>
                <w:szCs w:val="24"/>
                <w:highlight w:val="none"/>
              </w:rPr>
              <w:t>采购文件的响应程度审查</w:t>
            </w: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响应文件内容</w:t>
            </w:r>
          </w:p>
        </w:tc>
        <w:tc>
          <w:tcPr>
            <w:tcW w:w="6043"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对采购文件第二篇、第三篇规定的内容作出响应。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hint="eastAsia" w:ascii="仿宋" w:hAnsi="仿宋" w:eastAsia="仿宋" w:cs="仿宋"/>
                <w:color w:val="auto"/>
                <w:kern w:val="0"/>
                <w:sz w:val="24"/>
                <w:szCs w:val="24"/>
                <w:highlight w:val="none"/>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hint="eastAsia" w:ascii="仿宋" w:hAnsi="仿宋" w:eastAsia="仿宋" w:cs="仿宋"/>
                <w:color w:val="auto"/>
                <w:sz w:val="24"/>
                <w:szCs w:val="24"/>
                <w:highlight w:val="none"/>
                <w:lang w:val="zh-CN"/>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投标有效期</w:t>
            </w:r>
          </w:p>
        </w:tc>
        <w:tc>
          <w:tcPr>
            <w:tcW w:w="60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90日历天</w:t>
            </w:r>
            <w:r>
              <w:rPr>
                <w:rFonts w:hint="eastAsia" w:ascii="仿宋" w:hAnsi="仿宋" w:eastAsia="仿宋" w:cs="仿宋"/>
                <w:color w:val="auto"/>
                <w:sz w:val="24"/>
                <w:szCs w:val="24"/>
                <w:highlight w:val="none"/>
                <w:lang w:val="zh-CN"/>
              </w:rPr>
              <w:t>。</w:t>
            </w:r>
          </w:p>
        </w:tc>
      </w:tr>
    </w:tbl>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1、在投标过程中的任何一方不得向他人透露与本项目有关的技术资料、价格或其他信息。</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2、评标委员会采用</w:t>
      </w:r>
      <w:r>
        <w:rPr>
          <w:rFonts w:hint="eastAsia" w:ascii="仿宋" w:hAnsi="仿宋" w:eastAsia="仿宋" w:cs="仿宋"/>
          <w:b/>
          <w:bCs/>
          <w:color w:val="auto"/>
          <w:sz w:val="24"/>
          <w:szCs w:val="24"/>
          <w:highlight w:val="none"/>
        </w:rPr>
        <w:t>综合评分法</w:t>
      </w:r>
      <w:r>
        <w:rPr>
          <w:rFonts w:hint="eastAsia" w:ascii="仿宋" w:hAnsi="仿宋" w:eastAsia="仿宋" w:cs="仿宋"/>
          <w:color w:val="auto"/>
          <w:sz w:val="24"/>
          <w:szCs w:val="24"/>
          <w:highlight w:val="none"/>
        </w:rPr>
        <w:t>对供应商的响应文件和报价进行综合评分。综合评分法，是指响应文件满足采购文件全部实质性要求且按照评审因素的量化指标评审得分最高的供应商为成交候选供应商的评审方法。供应商总得分为价格、服务、商务等评定因素分别按照相应权重值计算分项得分后相加，满分为100分。</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3、评标委员会各成员独立对每个有效响应（通过资格性检查、符合性检查的供应商）的文件进行评价、打分，然后汇总每个供应商每项评分因素的得分，并根据综合评分情况按照评审得分由高到低顺序推荐</w:t>
      </w:r>
      <w:r>
        <w:rPr>
          <w:rFonts w:hint="eastAsia" w:ascii="仿宋" w:hAnsi="仿宋" w:eastAsia="仿宋" w:cs="仿宋"/>
          <w:color w:val="auto"/>
          <w:kern w:val="0"/>
          <w:sz w:val="24"/>
          <w:szCs w:val="24"/>
          <w:highlight w:val="none"/>
        </w:rPr>
        <w:t>综合得分排名前三的供应商为本项目成交候选人</w:t>
      </w:r>
      <w:r>
        <w:rPr>
          <w:rFonts w:hint="eastAsia" w:ascii="仿宋" w:hAnsi="仿宋" w:eastAsia="仿宋" w:cs="仿宋"/>
          <w:color w:val="auto"/>
          <w:sz w:val="24"/>
          <w:szCs w:val="24"/>
          <w:highlight w:val="none"/>
        </w:rPr>
        <w:t>，并编写评审报告。若供应商的评审得分相同的，按照投标报价由低到高的顺序排列推荐。评审得分且投标报价相同的，按照服务指标优劣顺序排列推荐。以上都相同的，按商务条款的优劣顺序排列推荐。服务部分得分为0分的供应商，将失去成为成交候选人的资格。</w:t>
      </w:r>
    </w:p>
    <w:p>
      <w:pPr>
        <w:pStyle w:val="5"/>
        <w:spacing w:before="0" w:after="0" w:line="360" w:lineRule="auto"/>
        <w:rPr>
          <w:rFonts w:hint="eastAsia" w:ascii="仿宋" w:hAnsi="仿宋" w:eastAsia="仿宋" w:cs="仿宋"/>
          <w:color w:val="auto"/>
          <w:sz w:val="24"/>
          <w:szCs w:val="24"/>
          <w:highlight w:val="none"/>
        </w:rPr>
      </w:pPr>
      <w:bookmarkStart w:id="74" w:name="_Toc11790"/>
      <w:r>
        <w:rPr>
          <w:rFonts w:hint="eastAsia" w:ascii="仿宋" w:hAnsi="仿宋" w:eastAsia="仿宋" w:cs="仿宋"/>
          <w:color w:val="auto"/>
          <w:sz w:val="24"/>
          <w:szCs w:val="24"/>
          <w:highlight w:val="none"/>
        </w:rPr>
        <w:t>二、评审标准</w:t>
      </w:r>
      <w:bookmarkEnd w:id="74"/>
    </w:p>
    <w:tbl>
      <w:tblPr>
        <w:tblStyle w:val="25"/>
        <w:tblW w:w="1036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384"/>
        <w:gridCol w:w="1643"/>
        <w:gridCol w:w="4944"/>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37" w:type="dxa"/>
            <w:vAlign w:val="center"/>
          </w:tcPr>
          <w:p>
            <w:pPr>
              <w:spacing w:line="360" w:lineRule="auto"/>
              <w:ind w:firstLine="2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384" w:type="dxa"/>
            <w:vAlign w:val="center"/>
          </w:tcPr>
          <w:p>
            <w:pPr>
              <w:spacing w:line="360" w:lineRule="auto"/>
              <w:ind w:firstLine="2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评分因素</w:t>
            </w:r>
          </w:p>
          <w:p>
            <w:pPr>
              <w:spacing w:line="360" w:lineRule="auto"/>
              <w:ind w:firstLine="2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及权重</w:t>
            </w:r>
          </w:p>
        </w:tc>
        <w:tc>
          <w:tcPr>
            <w:tcW w:w="1643" w:type="dxa"/>
            <w:vAlign w:val="center"/>
          </w:tcPr>
          <w:p>
            <w:pPr>
              <w:spacing w:line="360" w:lineRule="auto"/>
              <w:ind w:firstLine="2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分值</w:t>
            </w:r>
          </w:p>
        </w:tc>
        <w:tc>
          <w:tcPr>
            <w:tcW w:w="4944" w:type="dxa"/>
            <w:vAlign w:val="center"/>
          </w:tcPr>
          <w:p>
            <w:pPr>
              <w:spacing w:line="360" w:lineRule="auto"/>
              <w:ind w:firstLine="28"/>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评分标准</w:t>
            </w:r>
          </w:p>
        </w:tc>
        <w:tc>
          <w:tcPr>
            <w:tcW w:w="1956"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437" w:type="dxa"/>
            <w:vAlign w:val="center"/>
          </w:tcPr>
          <w:p>
            <w:pPr>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p>
        </w:tc>
        <w:tc>
          <w:tcPr>
            <w:tcW w:w="1384" w:type="dxa"/>
            <w:vAlign w:val="center"/>
          </w:tcPr>
          <w:p>
            <w:pPr>
              <w:snapToGrid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投标报价</w:t>
            </w:r>
          </w:p>
          <w:p>
            <w:pPr>
              <w:snapToGrid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0%）</w:t>
            </w:r>
          </w:p>
        </w:tc>
        <w:tc>
          <w:tcPr>
            <w:tcW w:w="1643" w:type="dxa"/>
            <w:vAlign w:val="center"/>
          </w:tcPr>
          <w:p>
            <w:pPr>
              <w:snapToGrid w:val="0"/>
              <w:spacing w:line="360" w:lineRule="auto"/>
              <w:ind w:firstLine="240" w:firstLineChars="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0分</w:t>
            </w:r>
          </w:p>
        </w:tc>
        <w:tc>
          <w:tcPr>
            <w:tcW w:w="4944" w:type="dxa"/>
            <w:vAlign w:val="center"/>
          </w:tcPr>
          <w:p>
            <w:pPr>
              <w:snapToGrid w:val="0"/>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有效的投标报价中的最低价为评标基准价，按照下列公式计算每个供应商的投标报价得分。</w:t>
            </w:r>
          </w:p>
          <w:p>
            <w:pPr>
              <w:snapToGrid w:val="0"/>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报价得分=（评标基准价/投标报价）×价格权重×100</w:t>
            </w:r>
          </w:p>
        </w:tc>
        <w:tc>
          <w:tcPr>
            <w:tcW w:w="1956" w:type="dxa"/>
            <w:vAlign w:val="center"/>
          </w:tcPr>
          <w:p>
            <w:pPr>
              <w:snapToGrid w:val="0"/>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对小型和微型企业产品的价格给予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437" w:type="dxa"/>
            <w:vMerge w:val="restart"/>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384" w:type="dxa"/>
            <w:vMerge w:val="restart"/>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服务部分</w:t>
            </w: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rPr>
              <w:t>%）</w:t>
            </w:r>
          </w:p>
        </w:tc>
        <w:tc>
          <w:tcPr>
            <w:tcW w:w="1643" w:type="dxa"/>
            <w:vAlign w:val="center"/>
          </w:tcPr>
          <w:p>
            <w:pPr>
              <w:snapToGrid w:val="0"/>
              <w:spacing w:line="360" w:lineRule="auto"/>
              <w:ind w:firstLine="240" w:firstLineChars="100"/>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服务方案</w:t>
            </w:r>
          </w:p>
          <w:p>
            <w:pPr>
              <w:snapToGrid w:val="0"/>
              <w:spacing w:line="360" w:lineRule="auto"/>
              <w:ind w:firstLine="240" w:firstLineChars="1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（30分）</w:t>
            </w:r>
          </w:p>
        </w:tc>
        <w:tc>
          <w:tcPr>
            <w:tcW w:w="4944" w:type="dxa"/>
            <w:vAlign w:val="center"/>
          </w:tcPr>
          <w:p>
            <w:pPr>
              <w:snapToGrid w:val="0"/>
              <w:spacing w:line="360" w:lineRule="auto"/>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供应商按采购文件采购内容及要求，结合供应商自身的特点，从培训内容、培训质量、课程展现、课程教案等方面提供书面服务方案。</w:t>
            </w:r>
          </w:p>
          <w:p>
            <w:pPr>
              <w:snapToGrid w:val="0"/>
              <w:spacing w:line="360" w:lineRule="auto"/>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①方案描述清晰、完整详尽、可行性较强的得30分；</w:t>
            </w:r>
          </w:p>
          <w:p>
            <w:pPr>
              <w:snapToGrid w:val="0"/>
              <w:spacing w:line="360" w:lineRule="auto"/>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②方案描述比较清晰、基本完整详尽、可行性一般的得22分；</w:t>
            </w:r>
          </w:p>
          <w:p>
            <w:pPr>
              <w:snapToGrid w:val="0"/>
              <w:spacing w:line="360" w:lineRule="auto"/>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③方案描述基本清晰、基本完整详尽、可行性不足的得14分；</w:t>
            </w:r>
          </w:p>
          <w:p>
            <w:pPr>
              <w:snapToGrid w:val="0"/>
              <w:spacing w:line="360" w:lineRule="auto"/>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④方案描述不够清晰、不够完整详尽、可行性不足的得6分；</w:t>
            </w:r>
          </w:p>
          <w:p>
            <w:pPr>
              <w:snapToGrid w:val="0"/>
              <w:spacing w:line="360" w:lineRule="auto"/>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⑤未提供方案或者与项目无关，不得分。</w:t>
            </w:r>
          </w:p>
        </w:tc>
        <w:tc>
          <w:tcPr>
            <w:tcW w:w="1956" w:type="dxa"/>
            <w:vMerge w:val="restart"/>
            <w:vAlign w:val="center"/>
          </w:tcPr>
          <w:p>
            <w:pPr>
              <w:snapToGrid w:val="0"/>
              <w:spacing w:line="360" w:lineRule="auto"/>
              <w:ind w:firstLine="480" w:firstLineChars="20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43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1384"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164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团队管理方案</w:t>
            </w:r>
            <w:r>
              <w:rPr>
                <w:rFonts w:hint="eastAsia" w:ascii="仿宋" w:hAnsi="仿宋" w:eastAsia="仿宋" w:cs="仿宋"/>
                <w:color w:val="auto"/>
                <w:sz w:val="24"/>
                <w:szCs w:val="24"/>
                <w:highlight w:val="none"/>
              </w:rPr>
              <w:t>（15分）</w:t>
            </w:r>
          </w:p>
        </w:tc>
        <w:tc>
          <w:tcPr>
            <w:tcW w:w="4944" w:type="dxa"/>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供应商提供针对本项目专业师资队伍建设和教师工作制度的建立编写方案，包括不限于项目师资团队人员、师资人员出勤、绩效考评、财务管理等教学团队管理的各项管理制度。</w:t>
            </w:r>
          </w:p>
          <w:p>
            <w:pPr>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①方案全面详尽、科学合理、针对性强的得15分；</w:t>
            </w:r>
          </w:p>
          <w:p>
            <w:pPr>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②方案较详尽、较科学合理、针对性较强的得11分；</w:t>
            </w:r>
          </w:p>
          <w:p>
            <w:pPr>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③方案基本全面、科学合理、针对性一般的得7分；</w:t>
            </w:r>
          </w:p>
          <w:p>
            <w:pPr>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④方案不够全面、科学合理、针对性较差的得3分；</w:t>
            </w:r>
          </w:p>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⑤未提供方案或者与项目无关，不得分。</w:t>
            </w:r>
          </w:p>
        </w:tc>
        <w:tc>
          <w:tcPr>
            <w:tcW w:w="1956" w:type="dxa"/>
            <w:vMerge w:val="continue"/>
            <w:vAlign w:val="center"/>
          </w:tcPr>
          <w:p>
            <w:pPr>
              <w:snapToGrid w:val="0"/>
              <w:spacing w:line="360" w:lineRule="auto"/>
              <w:ind w:firstLine="480" w:firstLineChars="20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5" w:hRule="atLeast"/>
        </w:trPr>
        <w:tc>
          <w:tcPr>
            <w:tcW w:w="43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1384"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164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应急预案（</w:t>
            </w:r>
            <w:r>
              <w:rPr>
                <w:rFonts w:hint="eastAsia" w:ascii="仿宋" w:hAnsi="仿宋" w:eastAsia="仿宋" w:cs="仿宋"/>
                <w:color w:val="auto"/>
                <w:sz w:val="24"/>
                <w:szCs w:val="24"/>
                <w:highlight w:val="none"/>
              </w:rPr>
              <w:t>15分）</w:t>
            </w:r>
          </w:p>
        </w:tc>
        <w:tc>
          <w:tcPr>
            <w:tcW w:w="494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outlineLvl w:val="9"/>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供应商结合项目实际情况，提供对可能出现的各类突发事件、特殊状况的应急预案。评审小组根据预案内容进行评分：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①方案内容完整、详尽、符合项目实际情况得15分；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②方案内容较完整、较详尽、较符合项目实际情况得11分；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420" w:leftChars="150" w:right="0" w:firstLine="0" w:firstLineChars="0"/>
              <w:jc w:val="left"/>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③方案内容基本完整、基本符合项目实际情况得7分；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420" w:leftChars="150" w:right="0" w:firstLine="0" w:firstLineChars="0"/>
              <w:jc w:val="left"/>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④方案内容不完整、不太符合项目实际情况得4分；</w:t>
            </w:r>
          </w:p>
          <w:p>
            <w:pPr>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⑤未提供方案或者与项目无关，不得分。</w:t>
            </w:r>
          </w:p>
        </w:tc>
        <w:tc>
          <w:tcPr>
            <w:tcW w:w="1956" w:type="dxa"/>
            <w:vMerge w:val="continue"/>
            <w:vAlign w:val="center"/>
          </w:tcPr>
          <w:p>
            <w:pPr>
              <w:snapToGrid w:val="0"/>
              <w:spacing w:line="360" w:lineRule="auto"/>
              <w:ind w:firstLine="480" w:firstLineChars="20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3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1384"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8543" w:type="dxa"/>
            <w:gridSpan w:val="3"/>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注：（1）评审委员会按服务部分各评审因素设定的分值评分。</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（2）所有评委打分取算术平均值为该供应商服务部分得分。</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（3）服务部分得分的最终结果取小数点后两位，第三位四舍五入。</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（4）供应商所提供的服务方案原则上不超过100页。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437" w:type="dxa"/>
            <w:vMerge w:val="restart"/>
            <w:vAlign w:val="center"/>
          </w:tcPr>
          <w:p>
            <w:pPr>
              <w:spacing w:line="360" w:lineRule="auto"/>
              <w:ind w:firstLine="28"/>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384" w:type="dxa"/>
            <w:vMerge w:val="restart"/>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商务部分</w:t>
            </w:r>
          </w:p>
          <w:p>
            <w:pPr>
              <w:snapToGrid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w:t>
            </w:r>
          </w:p>
        </w:tc>
        <w:tc>
          <w:tcPr>
            <w:tcW w:w="1643" w:type="dxa"/>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团队成员</w:t>
            </w:r>
          </w:p>
          <w:p>
            <w:pPr>
              <w:snapToGrid w:val="0"/>
              <w:spacing w:line="360" w:lineRule="auto"/>
              <w:jc w:val="center"/>
              <w:rPr>
                <w:rFonts w:hint="default"/>
                <w:color w:val="auto"/>
                <w:highlight w:val="none"/>
                <w:lang w:val="en-US" w:eastAsia="zh-CN"/>
              </w:rPr>
            </w:pPr>
            <w:r>
              <w:rPr>
                <w:rFonts w:hint="eastAsia" w:ascii="仿宋" w:hAnsi="仿宋" w:eastAsia="仿宋" w:cs="仿宋"/>
                <w:color w:val="auto"/>
                <w:sz w:val="24"/>
                <w:szCs w:val="24"/>
                <w:highlight w:val="none"/>
                <w:lang w:val="en-US" w:eastAsia="zh-CN"/>
              </w:rPr>
              <w:t>（5分）</w:t>
            </w:r>
          </w:p>
        </w:tc>
        <w:tc>
          <w:tcPr>
            <w:tcW w:w="4944" w:type="dxa"/>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项目教师团队的授课教师中具有相关的职业技能培训资格证书的，每有1个得1分，本项最高得5分。</w:t>
            </w:r>
          </w:p>
        </w:tc>
        <w:tc>
          <w:tcPr>
            <w:tcW w:w="1956" w:type="dxa"/>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提供相关证书复印件并加盖供应商公章。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437" w:type="dxa"/>
            <w:vMerge w:val="continue"/>
            <w:vAlign w:val="center"/>
          </w:tcPr>
          <w:p>
            <w:pPr>
              <w:spacing w:line="360" w:lineRule="auto"/>
              <w:ind w:firstLine="28"/>
              <w:jc w:val="center"/>
              <w:rPr>
                <w:rFonts w:hint="eastAsia" w:ascii="仿宋" w:hAnsi="仿宋" w:eastAsia="仿宋" w:cs="仿宋"/>
                <w:color w:val="auto"/>
                <w:kern w:val="0"/>
                <w:sz w:val="24"/>
                <w:szCs w:val="24"/>
                <w:highlight w:val="none"/>
              </w:rPr>
            </w:pPr>
            <w:bookmarkStart w:id="75" w:name="_Toc102227320"/>
            <w:bookmarkStart w:id="76" w:name="_Toc426965635"/>
            <w:bookmarkStart w:id="77" w:name="_Toc342913394"/>
            <w:bookmarkStart w:id="78" w:name="_Toc487204784"/>
          </w:p>
        </w:tc>
        <w:tc>
          <w:tcPr>
            <w:tcW w:w="1384" w:type="dxa"/>
            <w:vMerge w:val="continue"/>
            <w:vAlign w:val="center"/>
          </w:tcPr>
          <w:p>
            <w:pPr>
              <w:spacing w:line="360" w:lineRule="auto"/>
              <w:ind w:firstLine="28"/>
              <w:jc w:val="center"/>
              <w:rPr>
                <w:rFonts w:hint="eastAsia" w:ascii="仿宋" w:hAnsi="仿宋" w:eastAsia="仿宋" w:cs="仿宋"/>
                <w:color w:val="auto"/>
                <w:sz w:val="24"/>
                <w:szCs w:val="24"/>
                <w:highlight w:val="none"/>
              </w:rPr>
            </w:pPr>
          </w:p>
        </w:tc>
        <w:tc>
          <w:tcPr>
            <w:tcW w:w="1643"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业绩</w:t>
            </w:r>
          </w:p>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分）</w:t>
            </w:r>
          </w:p>
        </w:tc>
        <w:tc>
          <w:tcPr>
            <w:tcW w:w="4944" w:type="dxa"/>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2020年1月1日至今，供应商具有与本项目类似培训项目业绩的，每提供1个得5分，本项最高得15分。 </w:t>
            </w:r>
          </w:p>
        </w:tc>
        <w:tc>
          <w:tcPr>
            <w:tcW w:w="1956"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提供合同复印件并加盖供应商公章。</w:t>
            </w:r>
          </w:p>
        </w:tc>
      </w:tr>
    </w:tbl>
    <w:p>
      <w:pPr>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（一）关于小微企业报价扣除比例说明</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为非联合体投标的，对小微型企业给予</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u w:val="single"/>
          <w:lang w:val="en-US" w:eastAsia="zh-CN"/>
        </w:rPr>
        <w:t>10</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color w:val="auto"/>
          <w:sz w:val="24"/>
          <w:szCs w:val="24"/>
          <w:highlight w:val="none"/>
        </w:rPr>
        <w:t>的扣除，以扣除后的报价参与评审。</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2.监狱企业、残疾人福利性单位视同小型、微型企业。</w:t>
      </w:r>
    </w:p>
    <w:p>
      <w:pPr>
        <w:snapToGrid w:val="0"/>
        <w:spacing w:line="360" w:lineRule="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（二）成交</w:t>
      </w:r>
      <w:bookmarkEnd w:id="75"/>
      <w:r>
        <w:rPr>
          <w:rFonts w:hint="eastAsia" w:ascii="仿宋" w:hAnsi="仿宋" w:eastAsia="仿宋" w:cs="仿宋"/>
          <w:b/>
          <w:bCs/>
          <w:color w:val="auto"/>
          <w:sz w:val="24"/>
          <w:szCs w:val="24"/>
          <w:highlight w:val="none"/>
        </w:rPr>
        <w:t>标准</w:t>
      </w:r>
      <w:bookmarkEnd w:id="76"/>
      <w:bookmarkEnd w:id="77"/>
      <w:bookmarkEnd w:id="78"/>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1、评标委员会认为供应商的报价明显低于其他通过符合性审查供应商的报价，有可能影响产品质量或者不能诚信履约的，应当将其作为无效投标处理。</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取采购人确定成交供应商的，采购代理机构应当在评审结束后2个工作日内将评审报告送采购人确认。采购人应当在收到评审报告后5个工作日内，从评审报告提出的成交候选人中，根据质量和服务均能满足采购文件实质性响应要求且综合得分最高的供应商确定为成交供应商。采购人逾期未确定成交供应商且不提出异议的，视为确定评审报告提出的排名第一的供应商为成交供应商。</w:t>
      </w:r>
    </w:p>
    <w:p>
      <w:pPr>
        <w:pStyle w:val="5"/>
        <w:spacing w:before="0" w:after="0" w:line="360" w:lineRule="auto"/>
        <w:rPr>
          <w:rFonts w:hint="eastAsia" w:ascii="仿宋" w:hAnsi="仿宋" w:eastAsia="仿宋" w:cs="仿宋"/>
          <w:color w:val="auto"/>
          <w:sz w:val="24"/>
          <w:szCs w:val="24"/>
          <w:highlight w:val="none"/>
        </w:rPr>
      </w:pPr>
      <w:bookmarkStart w:id="79" w:name="_Toc5608"/>
      <w:bookmarkStart w:id="80" w:name="_Toc1719"/>
      <w:r>
        <w:rPr>
          <w:rFonts w:hint="eastAsia" w:ascii="仿宋" w:hAnsi="仿宋" w:eastAsia="仿宋" w:cs="仿宋"/>
          <w:color w:val="auto"/>
          <w:sz w:val="24"/>
          <w:szCs w:val="24"/>
          <w:highlight w:val="none"/>
        </w:rPr>
        <w:t>三、评审依据</w:t>
      </w:r>
      <w:bookmarkEnd w:id="79"/>
      <w:bookmarkEnd w:id="80"/>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评审的依据为采购文件和响应文件（含有效的补充文件）。评标委员会判断响应文件对采购文件的响应，仅基于响应文件本身而不靠外部证据。</w:t>
      </w:r>
    </w:p>
    <w:p>
      <w:pPr>
        <w:pStyle w:val="5"/>
        <w:spacing w:before="0" w:after="0" w:line="360" w:lineRule="auto"/>
        <w:rPr>
          <w:rFonts w:hint="eastAsia" w:ascii="仿宋" w:hAnsi="仿宋" w:eastAsia="仿宋" w:cs="仿宋"/>
          <w:color w:val="auto"/>
          <w:sz w:val="24"/>
          <w:szCs w:val="24"/>
          <w:highlight w:val="none"/>
        </w:rPr>
      </w:pPr>
      <w:bookmarkStart w:id="81" w:name="_Toc493506301"/>
      <w:bookmarkStart w:id="82" w:name="_Toc16238"/>
      <w:bookmarkStart w:id="83" w:name="_Toc492721018"/>
      <w:bookmarkStart w:id="84" w:name="_Toc487204785"/>
      <w:bookmarkStart w:id="85" w:name="_Toc426965636"/>
      <w:bookmarkStart w:id="86" w:name="_Toc342913395"/>
      <w:bookmarkStart w:id="87" w:name="_Toc102227321"/>
      <w:r>
        <w:rPr>
          <w:rFonts w:hint="eastAsia" w:ascii="仿宋" w:hAnsi="仿宋" w:eastAsia="仿宋" w:cs="仿宋"/>
          <w:color w:val="auto"/>
          <w:sz w:val="24"/>
          <w:szCs w:val="24"/>
          <w:highlight w:val="none"/>
        </w:rPr>
        <w:t>四、无效投标条款</w:t>
      </w:r>
      <w:bookmarkEnd w:id="81"/>
      <w:bookmarkEnd w:id="82"/>
      <w:bookmarkEnd w:id="83"/>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供应商人或其响应文件出现下列情况之一者，应为无效投标：</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（一）响应文件未按采购文件要求签署、盖章的；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（二）不具备采购文件中规定的资格要求的；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（三）报价超过采购文件中规定的预算金额或者最高限价的；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（四）响应文件含有采购人不能接受的附加条件的；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（五）供应商串通投标的；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（六）供应商</w:t>
      </w:r>
      <w:r>
        <w:rPr>
          <w:rStyle w:val="30"/>
          <w:rFonts w:hint="eastAsia" w:ascii="仿宋" w:hAnsi="仿宋" w:eastAsia="仿宋" w:cs="仿宋"/>
          <w:color w:val="auto"/>
          <w:sz w:val="24"/>
          <w:szCs w:val="24"/>
          <w:highlight w:val="none"/>
        </w:rPr>
        <w:t>组成联合体投标的</w:t>
      </w:r>
      <w:r>
        <w:rPr>
          <w:rFonts w:hint="eastAsia" w:ascii="仿宋" w:hAnsi="仿宋" w:eastAsia="仿宋" w:cs="仿宋"/>
          <w:color w:val="auto"/>
          <w:sz w:val="24"/>
          <w:szCs w:val="24"/>
          <w:highlight w:val="none"/>
        </w:rPr>
        <w:t>；</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（七）法律、法规和招标文件规定的其他无效情形。</w:t>
      </w:r>
    </w:p>
    <w:p>
      <w:pPr>
        <w:pStyle w:val="5"/>
        <w:spacing w:before="0" w:after="0" w:line="360" w:lineRule="auto"/>
        <w:rPr>
          <w:rFonts w:hint="eastAsia" w:ascii="仿宋" w:hAnsi="仿宋" w:eastAsia="仿宋" w:cs="仿宋"/>
          <w:color w:val="auto"/>
          <w:sz w:val="24"/>
          <w:szCs w:val="24"/>
          <w:highlight w:val="none"/>
        </w:rPr>
      </w:pPr>
      <w:bookmarkStart w:id="88" w:name="_Toc16529"/>
      <w:r>
        <w:rPr>
          <w:rFonts w:hint="eastAsia" w:ascii="仿宋" w:hAnsi="仿宋" w:eastAsia="仿宋" w:cs="仿宋"/>
          <w:color w:val="auto"/>
          <w:sz w:val="24"/>
          <w:szCs w:val="24"/>
          <w:highlight w:val="none"/>
        </w:rPr>
        <w:t>五、废标条款</w:t>
      </w:r>
      <w:bookmarkEnd w:id="88"/>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评标委员会评审时出现以下情况之一的，应予废标：</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（一）符合资格条件的供应商或者对采购文件作实质响应的供应商不足</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家的；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（二）供应商的报价均超过了采购预算，采购人不能支付的；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（三）出现影响采购公正的违法、违规行为的；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（四）因重大变故，采购任务取消的。</w:t>
      </w:r>
    </w:p>
    <w:p>
      <w:pPr>
        <w:snapToGrid w:val="0"/>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废标后，除采购任务取消情形外，应当重新组织采购。</w:t>
      </w:r>
    </w:p>
    <w:p>
      <w:pPr>
        <w:pStyle w:val="5"/>
        <w:spacing w:before="0" w:after="0" w:line="360" w:lineRule="auto"/>
        <w:rPr>
          <w:rFonts w:hint="eastAsia" w:ascii="仿宋" w:hAnsi="仿宋" w:eastAsia="仿宋" w:cs="仿宋"/>
          <w:color w:val="auto"/>
          <w:sz w:val="24"/>
          <w:szCs w:val="24"/>
          <w:highlight w:val="none"/>
        </w:rPr>
      </w:pPr>
      <w:bookmarkStart w:id="89" w:name="_Toc8502"/>
      <w:r>
        <w:rPr>
          <w:rFonts w:hint="eastAsia" w:ascii="仿宋" w:hAnsi="仿宋" w:eastAsia="仿宋" w:cs="仿宋"/>
          <w:color w:val="auto"/>
          <w:sz w:val="24"/>
          <w:szCs w:val="24"/>
          <w:highlight w:val="none"/>
        </w:rPr>
        <w:t>六、成交通知</w:t>
      </w:r>
      <w:bookmarkEnd w:id="84"/>
      <w:bookmarkEnd w:id="85"/>
      <w:bookmarkEnd w:id="86"/>
      <w:bookmarkEnd w:id="87"/>
      <w:bookmarkEnd w:id="89"/>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（一）成交供应商确定后，采购代理机构将在</w:t>
      </w:r>
      <w:r>
        <w:rPr>
          <w:rFonts w:hint="eastAsia" w:ascii="仿宋" w:hAnsi="仿宋" w:eastAsia="仿宋" w:cs="Times New Roman"/>
          <w:sz w:val="24"/>
          <w:szCs w:val="24"/>
        </w:rPr>
        <w:t>行采家 （https://www.gec123.com）</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"http://www.cqgp.gov.cn）上发布成交结果公示。"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24"/>
          <w:highlight w:val="none"/>
        </w:rPr>
        <w:t>上发布成交结果公告。</w:t>
      </w:r>
      <w:r>
        <w:rPr>
          <w:rFonts w:hint="eastAsia" w:ascii="仿宋" w:hAnsi="仿宋" w:eastAsia="仿宋" w:cs="仿宋"/>
          <w:color w:val="auto"/>
          <w:sz w:val="24"/>
          <w:szCs w:val="24"/>
          <w:highlight w:val="none"/>
        </w:rPr>
        <w:fldChar w:fldCharType="end"/>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（二）结果公告发出同时，采购代理机构将以书面形式发出《成交通知书》。《成交通知书》一经发出即发生法律效力。</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（三）《成交通知书》将作为签订合同的依据。</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（四）如有供应商对成交结果提出质疑的，在质疑处理完毕后发出成交通知书。</w:t>
      </w:r>
    </w:p>
    <w:p>
      <w:pPr>
        <w:pStyle w:val="5"/>
        <w:spacing w:before="0" w:after="0" w:line="360" w:lineRule="auto"/>
        <w:rPr>
          <w:rFonts w:hint="eastAsia" w:ascii="仿宋" w:hAnsi="仿宋" w:eastAsia="仿宋" w:cs="仿宋"/>
          <w:color w:val="auto"/>
          <w:sz w:val="24"/>
          <w:szCs w:val="24"/>
          <w:highlight w:val="none"/>
        </w:rPr>
      </w:pPr>
      <w:bookmarkStart w:id="90" w:name="_Toc487204786"/>
      <w:bookmarkStart w:id="91" w:name="_Toc3695"/>
      <w:bookmarkStart w:id="92" w:name="_Toc426965637"/>
      <w:bookmarkStart w:id="93" w:name="_Toc31626"/>
      <w:r>
        <w:rPr>
          <w:rFonts w:hint="eastAsia" w:ascii="仿宋" w:hAnsi="仿宋" w:eastAsia="仿宋" w:cs="仿宋"/>
          <w:color w:val="auto"/>
          <w:sz w:val="24"/>
          <w:szCs w:val="24"/>
          <w:highlight w:val="none"/>
        </w:rPr>
        <w:t>七、关于质疑和投诉</w:t>
      </w:r>
      <w:bookmarkEnd w:id="90"/>
      <w:bookmarkEnd w:id="91"/>
      <w:bookmarkEnd w:id="92"/>
      <w:bookmarkEnd w:id="93"/>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（一）质疑内容、时限</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1、供应商对成交结果有异议的，应当在成交结果公告发布之日起七个工作日内以书面形式向采购人、采购代理机构提出质疑，并附相关证明材料。</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2、供应商对采购文件中供应商特定资格条件、技术要求和商务要求、评审标准及评审细则有异议的，应主要向采购人提出质疑，其他问题可向采购代理机构提出质疑。</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（二）质疑答复</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采购人、采购代理机构将参照《重庆市政府采购供应商质疑投诉处理暂行规定》的相关规定对质疑内容作出答复和处理。</w:t>
      </w:r>
    </w:p>
    <w:p>
      <w:pPr>
        <w:pStyle w:val="5"/>
        <w:spacing w:before="0" w:after="0" w:line="360" w:lineRule="auto"/>
        <w:rPr>
          <w:rFonts w:hint="eastAsia" w:ascii="仿宋" w:hAnsi="仿宋" w:eastAsia="仿宋" w:cs="仿宋"/>
          <w:color w:val="auto"/>
          <w:sz w:val="24"/>
          <w:szCs w:val="24"/>
          <w:highlight w:val="none"/>
        </w:rPr>
      </w:pPr>
      <w:bookmarkStart w:id="94" w:name="_Toc102227322"/>
      <w:bookmarkStart w:id="95" w:name="_Toc23427"/>
      <w:bookmarkStart w:id="96" w:name="_Toc426965638"/>
      <w:bookmarkStart w:id="97" w:name="_Toc15991"/>
      <w:bookmarkStart w:id="98" w:name="_Toc487204787"/>
      <w:bookmarkStart w:id="99" w:name="_Toc342913396"/>
      <w:r>
        <w:rPr>
          <w:rFonts w:hint="eastAsia" w:ascii="仿宋" w:hAnsi="仿宋" w:eastAsia="仿宋" w:cs="仿宋"/>
          <w:color w:val="auto"/>
          <w:sz w:val="24"/>
          <w:szCs w:val="24"/>
          <w:highlight w:val="none"/>
        </w:rPr>
        <w:t>八、签订</w:t>
      </w:r>
      <w:bookmarkEnd w:id="94"/>
      <w:r>
        <w:rPr>
          <w:rFonts w:hint="eastAsia" w:ascii="仿宋" w:hAnsi="仿宋" w:eastAsia="仿宋" w:cs="仿宋"/>
          <w:color w:val="auto"/>
          <w:sz w:val="24"/>
          <w:szCs w:val="24"/>
          <w:highlight w:val="none"/>
        </w:rPr>
        <w:t>合同</w:t>
      </w:r>
      <w:bookmarkEnd w:id="95"/>
      <w:bookmarkEnd w:id="96"/>
      <w:bookmarkEnd w:id="97"/>
      <w:bookmarkEnd w:id="98"/>
      <w:bookmarkEnd w:id="99"/>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（一）采购人应当自成交通知书发出之日起</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十日内，按照采购文件和成交供应商响应文件的约定，与成交供应商签订书面合同。所签订的合同不得对采购文件和成交供应商响应文件作实质性修改。</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（二）采购文件、成交供应商的响应文件及有效承诺文件等，均为签订合同的依据。</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（三）成交供应商未按照采购文件确定的事项签订合同，或者与采购人另行订立背离合同实质性内容协议的，将承担相关法律责任。</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（四）采购人不得向成交供应商提出超出采购以外的任何要求作为签订合同的条件，不得与成交供应商订立背离采购确定的合同文本以及采购标的、采购金额、采购数量、技术和服务要求等实质性内容的协议。</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（五）除不可抗力等因素外，成交通知书发出后，采购人改变成交结果，或者成交供应商无正当理由拒绝签订采购合同的，应当承担相应的法律责任。</w:t>
      </w:r>
    </w:p>
    <w:p>
      <w:pPr>
        <w:pStyle w:val="34"/>
        <w:spacing w:before="190" w:after="190" w:line="360" w:lineRule="auto"/>
        <w:rPr>
          <w:rFonts w:hint="eastAsia" w:ascii="仿宋" w:hAnsi="仿宋" w:eastAsia="仿宋" w:cs="仿宋"/>
          <w:color w:val="auto"/>
          <w:sz w:val="24"/>
          <w:szCs w:val="24"/>
          <w:highlight w:val="none"/>
        </w:rPr>
      </w:pPr>
    </w:p>
    <w:p>
      <w:pPr>
        <w:pStyle w:val="34"/>
        <w:spacing w:before="190" w:after="190" w:line="360" w:lineRule="auto"/>
        <w:rPr>
          <w:rFonts w:hint="eastAsia" w:ascii="仿宋" w:hAnsi="仿宋" w:eastAsia="仿宋" w:cs="仿宋"/>
          <w:color w:val="auto"/>
          <w:sz w:val="24"/>
          <w:szCs w:val="24"/>
          <w:highlight w:val="none"/>
        </w:rPr>
        <w:sectPr>
          <w:footerReference r:id="rId9" w:type="default"/>
          <w:pgSz w:w="11907" w:h="16840"/>
          <w:pgMar w:top="1440" w:right="1480" w:bottom="1440" w:left="1480" w:header="964" w:footer="992" w:gutter="0"/>
          <w:cols w:space="720" w:num="1"/>
          <w:docGrid w:type="linesAndChars" w:linePitch="381" w:charSpace="0"/>
        </w:sectPr>
      </w:pPr>
    </w:p>
    <w:p>
      <w:pPr>
        <w:pStyle w:val="4"/>
        <w:spacing w:line="360" w:lineRule="auto"/>
        <w:jc w:val="center"/>
        <w:rPr>
          <w:rFonts w:hint="eastAsia" w:ascii="仿宋" w:hAnsi="仿宋" w:eastAsia="仿宋" w:cs="仿宋"/>
          <w:color w:val="auto"/>
          <w:highlight w:val="none"/>
        </w:rPr>
      </w:pPr>
      <w:bookmarkStart w:id="100" w:name="_Toc27619"/>
      <w:r>
        <w:rPr>
          <w:rStyle w:val="36"/>
          <w:rFonts w:hint="eastAsia" w:ascii="仿宋" w:hAnsi="仿宋" w:eastAsia="仿宋" w:cs="仿宋"/>
          <w:b/>
          <w:bCs/>
          <w:color w:val="auto"/>
          <w:highlight w:val="none"/>
        </w:rPr>
        <w:t>第五篇  供应商须知</w:t>
      </w:r>
      <w:bookmarkEnd w:id="23"/>
      <w:bookmarkEnd w:id="24"/>
      <w:bookmarkEnd w:id="100"/>
    </w:p>
    <w:p>
      <w:pPr>
        <w:pStyle w:val="5"/>
        <w:spacing w:before="0" w:after="0" w:line="360" w:lineRule="auto"/>
        <w:rPr>
          <w:rFonts w:hint="eastAsia" w:ascii="仿宋" w:hAnsi="仿宋" w:eastAsia="仿宋" w:cs="仿宋"/>
          <w:color w:val="auto"/>
          <w:sz w:val="24"/>
          <w:szCs w:val="24"/>
          <w:highlight w:val="none"/>
        </w:rPr>
      </w:pPr>
      <w:bookmarkStart w:id="101" w:name="_Toc32059"/>
      <w:bookmarkStart w:id="102" w:name="_Toc342913389"/>
      <w:bookmarkStart w:id="103" w:name="_Toc487204779"/>
      <w:bookmarkStart w:id="104" w:name="_Toc426965630"/>
      <w:bookmarkStart w:id="105" w:name="_Toc20643"/>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val="en-US" w:eastAsia="zh-CN"/>
        </w:rPr>
        <w:t>竞采</w:t>
      </w:r>
      <w:r>
        <w:rPr>
          <w:rFonts w:hint="eastAsia" w:ascii="仿宋" w:hAnsi="仿宋" w:eastAsia="仿宋" w:cs="仿宋"/>
          <w:color w:val="auto"/>
          <w:sz w:val="24"/>
          <w:szCs w:val="24"/>
          <w:highlight w:val="none"/>
        </w:rPr>
        <w:t>费用</w:t>
      </w:r>
      <w:bookmarkEnd w:id="101"/>
      <w:bookmarkEnd w:id="102"/>
      <w:bookmarkEnd w:id="103"/>
      <w:bookmarkEnd w:id="104"/>
      <w:bookmarkEnd w:id="105"/>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参与采购的供应商应承担其编制响应文件与递交响应文件所涉及的一切费用，不论采购结果如何，采购人和采购代理机构在任何情况下无义务也无责任承担这些费用。</w:t>
      </w:r>
    </w:p>
    <w:p>
      <w:pPr>
        <w:pStyle w:val="5"/>
        <w:tabs>
          <w:tab w:val="left" w:pos="2640"/>
        </w:tabs>
        <w:spacing w:before="0" w:after="0" w:line="360" w:lineRule="auto"/>
        <w:rPr>
          <w:rFonts w:hint="eastAsia" w:ascii="仿宋" w:hAnsi="仿宋" w:eastAsia="仿宋" w:cs="仿宋"/>
          <w:color w:val="auto"/>
          <w:sz w:val="24"/>
          <w:szCs w:val="24"/>
          <w:highlight w:val="none"/>
        </w:rPr>
      </w:pPr>
      <w:bookmarkStart w:id="106" w:name="_Toc7850"/>
      <w:bookmarkStart w:id="107" w:name="_Toc342913391"/>
      <w:bookmarkStart w:id="108" w:name="_Toc426965631"/>
      <w:bookmarkStart w:id="109" w:name="_Toc487204780"/>
      <w:bookmarkStart w:id="110" w:name="_Toc18383"/>
      <w:r>
        <w:rPr>
          <w:rFonts w:hint="eastAsia" w:ascii="仿宋" w:hAnsi="仿宋" w:eastAsia="仿宋" w:cs="仿宋"/>
          <w:color w:val="auto"/>
          <w:sz w:val="24"/>
          <w:szCs w:val="24"/>
          <w:highlight w:val="none"/>
        </w:rPr>
        <w:t>二、</w:t>
      </w:r>
      <w:bookmarkEnd w:id="106"/>
      <w:bookmarkEnd w:id="107"/>
      <w:bookmarkEnd w:id="108"/>
      <w:bookmarkEnd w:id="109"/>
      <w:r>
        <w:rPr>
          <w:rFonts w:hint="eastAsia" w:ascii="仿宋" w:hAnsi="仿宋" w:eastAsia="仿宋" w:cs="仿宋"/>
          <w:color w:val="auto"/>
          <w:sz w:val="24"/>
          <w:szCs w:val="24"/>
          <w:highlight w:val="none"/>
        </w:rPr>
        <w:t>采购文件</w:t>
      </w:r>
      <w:bookmarkEnd w:id="110"/>
      <w:r>
        <w:rPr>
          <w:rFonts w:hint="eastAsia" w:ascii="仿宋" w:hAnsi="仿宋" w:eastAsia="仿宋" w:cs="仿宋"/>
          <w:color w:val="auto"/>
          <w:sz w:val="24"/>
          <w:szCs w:val="24"/>
          <w:highlight w:val="none"/>
        </w:rPr>
        <w:tab/>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（一）采购文件由采购公告、项目服务需求、项目商务要求、资格审查及评标办法、供应商须知、合同主要条款和格式合同（样本）、响应文件格式要求七部分组成。</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（二）采购人（或采购代理机构）所作的一切有效的书面通知、修改及补充，都是采购文件不可分割的部分。</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（三）采购文件的解释</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如对采购文件有疑问，必须以书面形式在提交响应文件截止时间1个工作日前向采购人（或采购代理机构）要求澄清，采购人（或采购代理机构）可视具体情况做出处理或答复。如供应商未提出疑问，视为完全理解并同意本采购文件。一经进入采购程序，即视为供应商已详细阅读全部文件资料，完全理解采购文件所有条款内容并同意放弃对这方面有不明白及误解的权利。</w:t>
      </w:r>
      <w:bookmarkStart w:id="111" w:name="_Toc318159780"/>
      <w:bookmarkStart w:id="112" w:name="_Toc318159349"/>
      <w:bookmarkStart w:id="113" w:name="_Toc318159160"/>
      <w:bookmarkStart w:id="114" w:name="_Toc318166429"/>
    </w:p>
    <w:bookmarkEnd w:id="111"/>
    <w:bookmarkEnd w:id="112"/>
    <w:bookmarkEnd w:id="113"/>
    <w:bookmarkEnd w:id="114"/>
    <w:p>
      <w:pPr>
        <w:pStyle w:val="5"/>
        <w:spacing w:before="0" w:after="0" w:line="360" w:lineRule="auto"/>
        <w:rPr>
          <w:rFonts w:hint="eastAsia" w:ascii="仿宋" w:hAnsi="仿宋" w:eastAsia="仿宋" w:cs="仿宋"/>
          <w:color w:val="auto"/>
          <w:sz w:val="24"/>
          <w:szCs w:val="24"/>
          <w:highlight w:val="none"/>
        </w:rPr>
      </w:pPr>
      <w:bookmarkStart w:id="115" w:name="_Toc179714297"/>
      <w:bookmarkStart w:id="116" w:name="_Toc26774"/>
      <w:bookmarkStart w:id="117" w:name="_Toc342913392"/>
      <w:bookmarkStart w:id="118" w:name="_Toc487204781"/>
      <w:bookmarkStart w:id="119" w:name="_Toc426965632"/>
      <w:bookmarkStart w:id="120" w:name="_Toc102227318"/>
      <w:bookmarkStart w:id="121" w:name="_Toc18927"/>
      <w:r>
        <w:rPr>
          <w:rFonts w:hint="eastAsia" w:ascii="仿宋" w:hAnsi="仿宋" w:eastAsia="仿宋" w:cs="仿宋"/>
          <w:color w:val="auto"/>
          <w:sz w:val="24"/>
          <w:szCs w:val="24"/>
          <w:highlight w:val="none"/>
        </w:rPr>
        <w:t>三、采购要求</w:t>
      </w:r>
      <w:bookmarkEnd w:id="115"/>
      <w:bookmarkEnd w:id="116"/>
      <w:bookmarkEnd w:id="117"/>
      <w:bookmarkEnd w:id="118"/>
      <w:bookmarkEnd w:id="119"/>
      <w:bookmarkEnd w:id="120"/>
      <w:bookmarkEnd w:id="121"/>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（一）响应文件</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供应商应当按照采购文件的要求编制响应文件，并对采购文件提出的要求和条件作出实质性响应，响应文件应编制完整的页码、目录。</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1、响应文件组成</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由第七篇“响应文件格式要求”规定的部分和供应商所作的一切有效补充、修改和承诺等文件组成，供应商应按照第七篇“响应文件格式”规定的目录顺序组织编写和装订，也可在基本格式基础上对表格进行扩展，未规定格式的由供应商自定格式。</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2、联合体</w:t>
      </w:r>
    </w:p>
    <w:p>
      <w:pPr>
        <w:snapToGrid w:val="0"/>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本项目不接受联合体投标。</w:t>
      </w:r>
    </w:p>
    <w:p>
      <w:pPr>
        <w:numPr>
          <w:ilvl w:val="0"/>
          <w:numId w:val="5"/>
        </w:num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投标有效期：响应文件及有关承诺文件有效期为提交响应文件截止时间起90天。</w:t>
      </w:r>
    </w:p>
    <w:p>
      <w:pPr>
        <w:snapToGrid w:val="0"/>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（二）报价要求</w:t>
      </w:r>
    </w:p>
    <w:p>
      <w:pPr>
        <w:snapToGrid w:val="0"/>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bCs/>
          <w:color w:val="auto"/>
          <w:sz w:val="24"/>
          <w:highlight w:val="none"/>
        </w:rPr>
        <w:t>1.供应商应严格按照“投标文件格式”中“</w:t>
      </w:r>
      <w:r>
        <w:rPr>
          <w:rFonts w:hint="eastAsia" w:ascii="仿宋" w:hAnsi="仿宋" w:eastAsia="仿宋" w:cs="仿宋"/>
          <w:bCs/>
          <w:color w:val="auto"/>
          <w:sz w:val="24"/>
          <w:highlight w:val="none"/>
          <w:lang w:val="en-US" w:eastAsia="zh-CN"/>
        </w:rPr>
        <w:t>报价函</w:t>
      </w:r>
      <w:r>
        <w:rPr>
          <w:rFonts w:hint="eastAsia" w:ascii="仿宋" w:hAnsi="仿宋" w:eastAsia="仿宋" w:cs="仿宋"/>
          <w:bCs/>
          <w:color w:val="auto"/>
          <w:sz w:val="24"/>
          <w:highlight w:val="none"/>
        </w:rPr>
        <w:t>”和“分项报价明细表”</w:t>
      </w:r>
      <w:r>
        <w:rPr>
          <w:rFonts w:hint="eastAsia" w:ascii="仿宋" w:hAnsi="仿宋" w:eastAsia="仿宋" w:cs="仿宋"/>
          <w:color w:val="auto"/>
          <w:sz w:val="24"/>
          <w:highlight w:val="none"/>
        </w:rPr>
        <w:t>的格式填写报价。</w:t>
      </w:r>
    </w:p>
    <w:p>
      <w:pPr>
        <w:snapToGrid w:val="0"/>
        <w:spacing w:line="360" w:lineRule="auto"/>
        <w:ind w:left="3" w:leftChars="1"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2.供应商的报价为一次性报价，即在投标有效期内投标价格固定不变。</w:t>
      </w:r>
    </w:p>
    <w:p>
      <w:pPr>
        <w:snapToGrid w:val="0"/>
        <w:spacing w:line="360" w:lineRule="auto"/>
        <w:ind w:left="3" w:leftChars="1"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3.本项目只接受一个投标报价，有选择的或有条件的报价将不予接受。</w:t>
      </w:r>
    </w:p>
    <w:p>
      <w:pPr>
        <w:snapToGrid w:val="0"/>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（三）修正错误</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若响应文件出现计算或表达上的错误，修正错误的原则如下：</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1.响应文件中报价函的内容与响应文件中相应内容不一致的，以报价函为准；</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2.大写金额和小写金额不一致的，以大写金额为准；</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3.单价金额小数点或者百分比有明显错位的，以报价函总价为准，并修改单价；</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4.总价金额与按单价汇总金额不一致的，以单价金额计算结果为准。</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（四）响应文件的签署和递交</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1.响应文件一式三份，其中正本一份，副本二份，副本可为正本的复印件，应与正本一致，如出现不一致情况以正本为准。</w:t>
      </w:r>
    </w:p>
    <w:p>
      <w:pPr>
        <w:pStyle w:val="14"/>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2.响应文件的密封与标记</w:t>
      </w:r>
    </w:p>
    <w:p>
      <w:pPr>
        <w:pStyle w:val="14"/>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2.1响应文件的正本、副本均应密封送达竞标地点，应在封套上注明项目名称、供应商名称。若正本、副本分别进行密封的，还应在封套上注明“正本”、“副本”字样。</w:t>
      </w:r>
    </w:p>
    <w:p>
      <w:pPr>
        <w:pStyle w:val="14"/>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2.2封套的封口处应加盖供应商公章或由法定代表人授权代表签字。</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供应商参与人员</w:t>
      </w:r>
    </w:p>
    <w:p>
      <w:pPr>
        <w:snapToGrid w:val="0"/>
        <w:spacing w:line="360" w:lineRule="auto"/>
        <w:ind w:firstLine="480" w:firstLineChars="200"/>
        <w:rPr>
          <w:rFonts w:hint="eastAsia"/>
        </w:rPr>
      </w:pPr>
      <w:r>
        <w:rPr>
          <w:rFonts w:hint="eastAsia" w:ascii="仿宋" w:hAnsi="仿宋" w:eastAsia="仿宋" w:cs="仿宋"/>
          <w:color w:val="auto"/>
          <w:sz w:val="24"/>
          <w:szCs w:val="24"/>
          <w:highlight w:val="none"/>
        </w:rPr>
        <w:t>各个供应商应当派1-2名代表参与，至少1人应为法定代表人或具有法定代表人授权委托书的授权代表。</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（五）响应文件语言：简体中文</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（六）无效响应</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供应商发生以下条款情况之一者，视为无效响应，其响应文件将被拒绝：</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1、供应商不符合资格要求的；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2、供应商所提交的响应文件不按规定签字、盖章的；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3、供应商的报价超过采购预算（若有采购预算单价，则含采购预算单价）的；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4、供应商响应文件附有采购人无法接受的条件的；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5、供应商串通投标的；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6、供应商组成联合体投标的；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7、法律、法规和采购文件规定的其他无效情形。</w:t>
      </w:r>
      <w:bookmarkStart w:id="122" w:name="_Toc493506302"/>
      <w:bookmarkStart w:id="123" w:name="_Toc492721019"/>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（七）废标条款</w:t>
      </w:r>
      <w:bookmarkEnd w:id="122"/>
      <w:bookmarkEnd w:id="123"/>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出现下列情形之一的，采购人或者采购代理机构应当终止采购活动，发布项目终止公告并说明原因，重新开展采购活动：</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1、因情况变化，不再符合规定的采购方式适用情形的；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2、出现影响采购公正的违法、违规行为的；</w:t>
      </w:r>
    </w:p>
    <w:p>
      <w:pPr>
        <w:snapToGrid w:val="0"/>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废标后，除采购任务取消情形外，应当重新组织采购。</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（八）采购代理服务费</w:t>
      </w:r>
      <w:bookmarkStart w:id="124" w:name="_Toc102227319"/>
      <w:bookmarkStart w:id="125" w:name="_Toc31741"/>
      <w:bookmarkStart w:id="126" w:name="_Toc426965633"/>
      <w:bookmarkStart w:id="127" w:name="_Toc487204782"/>
      <w:bookmarkStart w:id="128" w:name="_Toc179714298"/>
      <w:bookmarkStart w:id="129" w:name="_Toc342913393"/>
    </w:p>
    <w:p>
      <w:pPr>
        <w:pStyle w:val="5"/>
        <w:tabs>
          <w:tab w:val="left" w:pos="1629"/>
        </w:tabs>
        <w:spacing w:before="0" w:after="0" w:line="360" w:lineRule="auto"/>
        <w:ind w:firstLine="482" w:firstLineChars="200"/>
        <w:rPr>
          <w:rFonts w:hint="default" w:ascii="仿宋" w:hAnsi="仿宋" w:eastAsia="仿宋" w:cs="仿宋"/>
          <w:color w:val="auto"/>
          <w:sz w:val="24"/>
          <w:szCs w:val="24"/>
          <w:highlight w:val="none"/>
          <w:lang w:val="en-US" w:eastAsia="zh-CN"/>
        </w:rPr>
      </w:pPr>
      <w:bookmarkStart w:id="130" w:name="_Toc8575"/>
      <w:r>
        <w:rPr>
          <w:rFonts w:hint="eastAsia" w:ascii="仿宋" w:hAnsi="仿宋" w:eastAsia="仿宋" w:cs="仿宋"/>
          <w:color w:val="auto"/>
          <w:sz w:val="24"/>
          <w:szCs w:val="24"/>
          <w:highlight w:val="none"/>
          <w:lang w:val="en-US" w:eastAsia="zh-CN"/>
        </w:rPr>
        <w:t>本项目招标代理费由采购人支付。</w:t>
      </w:r>
    </w:p>
    <w:p>
      <w:pPr>
        <w:pStyle w:val="5"/>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、定标</w:t>
      </w:r>
      <w:bookmarkEnd w:id="130"/>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（一）定标原则</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采购人或其授权的评标委员会应按照评标报告中推荐的成交候选人排名顺序确定1名成交供应商。</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（二）定标程序</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1、应当在评标结束后2个工作日内将评标报告送采购人。</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人应当自收到评标报告之日起５个工作日内，在评标报告确定的成交候选人名单中按顺序确定1名成交供应商。成交候选人并列的，由采购人或者采购人委托评标委员会按照采购文件规定的方式确定成交供应商；采购文件未规定的，采取随机抽取的方式确定。</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3.采购人应当自成交供应商确定之日起2个工作日内，在</w:t>
      </w:r>
      <w:r>
        <w:rPr>
          <w:rFonts w:hint="eastAsia" w:ascii="仿宋" w:hAnsi="仿宋" w:eastAsia="仿宋" w:cs="Times New Roman"/>
          <w:sz w:val="24"/>
          <w:szCs w:val="24"/>
        </w:rPr>
        <w:t>行采家 （https://www.gec123.com）</w:t>
      </w:r>
      <w:r>
        <w:rPr>
          <w:rFonts w:hint="eastAsia" w:ascii="仿宋" w:hAnsi="仿宋" w:eastAsia="仿宋" w:cs="仿宋"/>
          <w:color w:val="auto"/>
          <w:sz w:val="24"/>
          <w:szCs w:val="24"/>
          <w:highlight w:val="none"/>
        </w:rPr>
        <w:t>网上公告成交结果。成交结果公告期限为1个工作日。</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4.成交供应商变更</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成交供应商拒绝与采购人签订合同的，采购人可以按照评标报告推荐的成交候选人顺序，确定排名下一位的候选人为成交供应商，也可以重新开展采购活动。</w:t>
      </w:r>
    </w:p>
    <w:p>
      <w:pPr>
        <w:pStyle w:val="5"/>
        <w:spacing w:before="0" w:after="0" w:line="360" w:lineRule="auto"/>
        <w:rPr>
          <w:rFonts w:hint="eastAsia" w:ascii="仿宋" w:hAnsi="仿宋" w:eastAsia="仿宋" w:cs="仿宋"/>
          <w:color w:val="auto"/>
          <w:sz w:val="24"/>
          <w:szCs w:val="24"/>
          <w:highlight w:val="none"/>
        </w:rPr>
      </w:pPr>
      <w:bookmarkStart w:id="131" w:name="_Toc493506310"/>
      <w:bookmarkStart w:id="132" w:name="_Toc6153"/>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、成交通知书</w:t>
      </w:r>
      <w:bookmarkEnd w:id="131"/>
      <w:bookmarkEnd w:id="132"/>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（一）成交供应商确定后，采购代理机构将在</w:t>
      </w:r>
      <w:r>
        <w:rPr>
          <w:rFonts w:hint="eastAsia" w:ascii="仿宋" w:hAnsi="仿宋" w:eastAsia="仿宋" w:cs="Times New Roman"/>
          <w:sz w:val="24"/>
          <w:szCs w:val="24"/>
        </w:rPr>
        <w:t>行采家 （https://www.gec123.com）</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"http://www.cqgp.gov.cn）上发布成交结果公示。"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24"/>
          <w:highlight w:val="none"/>
        </w:rPr>
        <w:t>上发布成交结果公告。</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结果公告发出同时，采购代理机构将以书面形式发出《成交通知书》。《成交通知书》一经发出即发生法律效力。</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（二）《成交通知书》将作为签订合同的依据。</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（三）如有供应商对成交结果提出质疑的，在质疑处理完毕后发出成交通知书。</w:t>
      </w:r>
    </w:p>
    <w:p>
      <w:pPr>
        <w:snapToGrid w:val="0"/>
        <w:spacing w:line="360" w:lineRule="auto"/>
        <w:ind w:firstLine="480" w:firstLineChars="200"/>
        <w:rPr>
          <w:rStyle w:val="36"/>
          <w:rFonts w:hint="eastAsia" w:ascii="仿宋" w:hAnsi="仿宋" w:eastAsia="仿宋" w:cs="仿宋"/>
          <w:color w:val="auto"/>
          <w:sz w:val="36"/>
          <w:szCs w:val="36"/>
          <w:highlight w:val="none"/>
        </w:rPr>
      </w:pPr>
      <w:r>
        <w:rPr>
          <w:rFonts w:hint="eastAsia" w:ascii="仿宋" w:hAnsi="仿宋" w:eastAsia="仿宋" w:cs="仿宋"/>
          <w:color w:val="auto"/>
          <w:sz w:val="24"/>
          <w:szCs w:val="24"/>
          <w:highlight w:val="none"/>
        </w:rPr>
        <w:t>（四）成交通知书发出后，采购人改变成交结果，或者成交供应商放弃中标，应当承担相应的法律责任。</w:t>
      </w:r>
      <w:bookmarkEnd w:id="25"/>
      <w:bookmarkEnd w:id="124"/>
      <w:bookmarkEnd w:id="125"/>
      <w:bookmarkEnd w:id="126"/>
      <w:bookmarkEnd w:id="127"/>
      <w:bookmarkEnd w:id="128"/>
      <w:bookmarkEnd w:id="129"/>
      <w:bookmarkStart w:id="133" w:name="_Toc12789058"/>
      <w:bookmarkStart w:id="134" w:name="_Toc128744993"/>
    </w:p>
    <w:bookmarkEnd w:id="133"/>
    <w:bookmarkEnd w:id="134"/>
    <w:p>
      <w:pPr>
        <w:spacing w:line="360" w:lineRule="auto"/>
        <w:rPr>
          <w:rStyle w:val="36"/>
          <w:rFonts w:hint="eastAsia" w:ascii="仿宋" w:hAnsi="仿宋" w:eastAsia="仿宋" w:cs="仿宋"/>
          <w:color w:val="auto"/>
          <w:sz w:val="36"/>
          <w:szCs w:val="36"/>
          <w:highlight w:val="none"/>
        </w:rPr>
      </w:pPr>
      <w:r>
        <w:rPr>
          <w:rStyle w:val="36"/>
          <w:rFonts w:hint="eastAsia" w:ascii="仿宋" w:hAnsi="仿宋" w:eastAsia="仿宋" w:cs="仿宋"/>
          <w:color w:val="auto"/>
          <w:sz w:val="36"/>
          <w:szCs w:val="36"/>
          <w:highlight w:val="none"/>
        </w:rPr>
        <w:br w:type="page"/>
      </w:r>
    </w:p>
    <w:p>
      <w:pPr>
        <w:widowControl/>
        <w:spacing w:line="360" w:lineRule="auto"/>
        <w:jc w:val="center"/>
        <w:rPr>
          <w:rStyle w:val="36"/>
          <w:rFonts w:hint="eastAsia" w:ascii="仿宋" w:hAnsi="仿宋" w:eastAsia="仿宋" w:cs="仿宋"/>
          <w:color w:val="auto"/>
          <w:highlight w:val="none"/>
        </w:rPr>
      </w:pPr>
      <w:bookmarkStart w:id="135" w:name="_Toc26968"/>
      <w:r>
        <w:rPr>
          <w:rStyle w:val="36"/>
          <w:rFonts w:hint="eastAsia" w:ascii="仿宋" w:hAnsi="仿宋" w:eastAsia="仿宋" w:cs="仿宋"/>
          <w:color w:val="auto"/>
          <w:highlight w:val="none"/>
        </w:rPr>
        <w:t>第六篇 合同主要条款和格式合同</w:t>
      </w:r>
      <w:bookmarkEnd w:id="135"/>
    </w:p>
    <w:p>
      <w:pPr>
        <w:pStyle w:val="2"/>
        <w:spacing w:line="360" w:lineRule="auto"/>
        <w:rPr>
          <w:rFonts w:hint="eastAsia" w:ascii="仿宋" w:hAnsi="仿宋" w:eastAsia="仿宋" w:cs="仿宋"/>
          <w:color w:val="auto"/>
          <w:highlight w:val="none"/>
        </w:rPr>
      </w:pPr>
    </w:p>
    <w:p>
      <w:pPr>
        <w:widowControl/>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由成交供应商与采购人自行拟定</w:t>
      </w:r>
    </w:p>
    <w:p>
      <w:pPr>
        <w:spacing w:line="360" w:lineRule="auto"/>
        <w:jc w:val="center"/>
        <w:rPr>
          <w:rFonts w:hint="eastAsia" w:ascii="仿宋" w:hAnsi="仿宋" w:eastAsia="仿宋" w:cs="仿宋"/>
          <w:b/>
          <w:color w:val="auto"/>
          <w:sz w:val="44"/>
          <w:highlight w:val="none"/>
        </w:rPr>
      </w:pPr>
      <w:r>
        <w:rPr>
          <w:rFonts w:hint="eastAsia" w:ascii="仿宋" w:hAnsi="仿宋" w:eastAsia="仿宋" w:cs="仿宋"/>
          <w:b/>
          <w:color w:val="auto"/>
          <w:sz w:val="44"/>
          <w:highlight w:val="none"/>
        </w:rPr>
        <w:t>采购合同</w:t>
      </w:r>
    </w:p>
    <w:p>
      <w:pPr>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（项目执行编号：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甲方（需方）：___________________________      计价单位：____________</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乙方（供方）：___________________________      计量单位：_____________</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经双方协商一致，达成以下购销合同：</w:t>
      </w:r>
    </w:p>
    <w:tbl>
      <w:tblPr>
        <w:tblStyle w:val="25"/>
        <w:tblW w:w="0" w:type="auto"/>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984"/>
        <w:gridCol w:w="448"/>
        <w:gridCol w:w="1984"/>
        <w:gridCol w:w="1559"/>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937" w:type="dxa"/>
            <w:vAlign w:val="center"/>
          </w:tcPr>
          <w:p>
            <w:pPr>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项目名称</w:t>
            </w:r>
          </w:p>
        </w:tc>
        <w:tc>
          <w:tcPr>
            <w:tcW w:w="984" w:type="dxa"/>
            <w:vAlign w:val="center"/>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数量</w:t>
            </w:r>
          </w:p>
        </w:tc>
        <w:tc>
          <w:tcPr>
            <w:tcW w:w="2432" w:type="dxa"/>
            <w:gridSpan w:val="2"/>
            <w:vAlign w:val="center"/>
          </w:tcPr>
          <w:p>
            <w:pPr>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总价</w:t>
            </w:r>
          </w:p>
        </w:tc>
        <w:tc>
          <w:tcPr>
            <w:tcW w:w="1559" w:type="dxa"/>
            <w:vAlign w:val="center"/>
          </w:tcPr>
          <w:p>
            <w:pPr>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服务时间</w:t>
            </w:r>
          </w:p>
        </w:tc>
        <w:tc>
          <w:tcPr>
            <w:tcW w:w="1484" w:type="dxa"/>
            <w:vAlign w:val="center"/>
          </w:tcPr>
          <w:p>
            <w:pPr>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937" w:type="dxa"/>
            <w:vAlign w:val="center"/>
          </w:tcPr>
          <w:p>
            <w:pPr>
              <w:spacing w:line="360" w:lineRule="auto"/>
              <w:jc w:val="center"/>
              <w:rPr>
                <w:rFonts w:hint="eastAsia" w:ascii="仿宋" w:hAnsi="仿宋" w:eastAsia="仿宋" w:cs="仿宋"/>
                <w:color w:val="auto"/>
                <w:sz w:val="21"/>
                <w:szCs w:val="21"/>
                <w:highlight w:val="none"/>
              </w:rPr>
            </w:pPr>
          </w:p>
        </w:tc>
        <w:tc>
          <w:tcPr>
            <w:tcW w:w="984" w:type="dxa"/>
            <w:vAlign w:val="center"/>
          </w:tcPr>
          <w:p>
            <w:pPr>
              <w:spacing w:line="360" w:lineRule="auto"/>
              <w:jc w:val="center"/>
              <w:rPr>
                <w:rFonts w:hint="eastAsia" w:ascii="仿宋" w:hAnsi="仿宋" w:eastAsia="仿宋" w:cs="仿宋"/>
                <w:color w:val="auto"/>
                <w:sz w:val="21"/>
                <w:szCs w:val="21"/>
                <w:highlight w:val="none"/>
              </w:rPr>
            </w:pPr>
          </w:p>
        </w:tc>
        <w:tc>
          <w:tcPr>
            <w:tcW w:w="2432" w:type="dxa"/>
            <w:gridSpan w:val="2"/>
            <w:vAlign w:val="center"/>
          </w:tcPr>
          <w:p>
            <w:pPr>
              <w:spacing w:line="360" w:lineRule="auto"/>
              <w:jc w:val="center"/>
              <w:rPr>
                <w:rFonts w:hint="eastAsia" w:ascii="仿宋" w:hAnsi="仿宋" w:eastAsia="仿宋" w:cs="仿宋"/>
                <w:color w:val="auto"/>
                <w:sz w:val="21"/>
                <w:szCs w:val="21"/>
                <w:highlight w:val="none"/>
              </w:rPr>
            </w:pPr>
          </w:p>
        </w:tc>
        <w:tc>
          <w:tcPr>
            <w:tcW w:w="1559" w:type="dxa"/>
            <w:vAlign w:val="center"/>
          </w:tcPr>
          <w:p>
            <w:pPr>
              <w:spacing w:line="360" w:lineRule="auto"/>
              <w:jc w:val="center"/>
              <w:rPr>
                <w:rFonts w:hint="eastAsia" w:ascii="仿宋" w:hAnsi="仿宋" w:eastAsia="仿宋" w:cs="仿宋"/>
                <w:color w:val="auto"/>
                <w:sz w:val="21"/>
                <w:szCs w:val="21"/>
                <w:highlight w:val="none"/>
              </w:rPr>
            </w:pPr>
          </w:p>
        </w:tc>
        <w:tc>
          <w:tcPr>
            <w:tcW w:w="1484" w:type="dxa"/>
            <w:vAlign w:val="center"/>
          </w:tcPr>
          <w:p>
            <w:pPr>
              <w:spacing w:line="360" w:lineRule="auto"/>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9396" w:type="dxa"/>
            <w:gridSpan w:val="6"/>
            <w:vAlign w:val="center"/>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9396" w:type="dxa"/>
            <w:gridSpan w:val="6"/>
            <w:vAlign w:val="center"/>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396" w:type="dxa"/>
            <w:gridSpan w:val="6"/>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一、服务内容</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1.服务内容包含：</w:t>
            </w:r>
          </w:p>
          <w:p>
            <w:pPr>
              <w:pStyle w:val="32"/>
              <w:spacing w:line="360" w:lineRule="auto"/>
              <w:rPr>
                <w:rFonts w:hint="eastAsia" w:ascii="仿宋" w:hAnsi="仿宋" w:eastAsia="仿宋" w:cs="仿宋"/>
                <w:color w:val="auto"/>
                <w:highlight w:val="none"/>
              </w:rPr>
            </w:pPr>
            <w:r>
              <w:rPr>
                <w:rFonts w:hint="eastAsia" w:ascii="仿宋" w:hAnsi="仿宋" w:eastAsia="仿宋" w:cs="仿宋"/>
                <w:color w:val="auto"/>
                <w:sz w:val="21"/>
                <w:szCs w:val="21"/>
                <w:highlight w:val="none"/>
              </w:rPr>
              <w:t>2.服务费用包含：</w:t>
            </w:r>
            <w:r>
              <w:rPr>
                <w:rFonts w:hint="eastAsia" w:ascii="仿宋" w:hAnsi="仿宋" w:eastAsia="仿宋" w:cs="仿宋"/>
                <w:color w:val="auto"/>
                <w:sz w:val="21"/>
                <w:szCs w:val="21"/>
                <w:highlight w:val="none"/>
                <w:lang w:eastAsia="zh-CN"/>
              </w:rPr>
              <w:t>本项目为</w:t>
            </w:r>
            <w:r>
              <w:rPr>
                <w:rFonts w:hint="eastAsia" w:ascii="仿宋" w:hAnsi="仿宋" w:eastAsia="仿宋" w:cs="仿宋"/>
                <w:color w:val="auto"/>
                <w:sz w:val="21"/>
                <w:szCs w:val="21"/>
                <w:highlight w:val="none"/>
                <w:lang w:val="en-US" w:eastAsia="zh-CN"/>
              </w:rPr>
              <w:t>单价</w:t>
            </w:r>
            <w:r>
              <w:rPr>
                <w:rFonts w:hint="eastAsia" w:ascii="仿宋" w:hAnsi="仿宋" w:eastAsia="仿宋" w:cs="仿宋"/>
                <w:color w:val="auto"/>
                <w:sz w:val="21"/>
                <w:szCs w:val="21"/>
                <w:highlight w:val="none"/>
                <w:lang w:eastAsia="zh-CN"/>
              </w:rPr>
              <w:t>包干，报价为人民币报价，包括完成本项目所需的服务费、人工费、及提供服务所需的材料费、策划费、场地费、授课费</w:t>
            </w:r>
            <w:r>
              <w:rPr>
                <w:rFonts w:hint="eastAsia" w:ascii="仿宋" w:hAnsi="仿宋" w:eastAsia="仿宋" w:cs="仿宋"/>
                <w:color w:val="auto"/>
                <w:sz w:val="21"/>
                <w:szCs w:val="21"/>
                <w:highlight w:val="none"/>
                <w:lang w:val="en-US" w:eastAsia="zh-CN"/>
              </w:rPr>
              <w:t>及税费</w:t>
            </w:r>
            <w:r>
              <w:rPr>
                <w:rFonts w:hint="eastAsia" w:ascii="仿宋" w:hAnsi="仿宋" w:eastAsia="仿宋" w:cs="仿宋"/>
                <w:color w:val="auto"/>
                <w:sz w:val="21"/>
                <w:szCs w:val="21"/>
                <w:highlight w:val="none"/>
                <w:lang w:eastAsia="zh-CN"/>
              </w:rPr>
              <w:t>等一切保证本项目实施完成的所有费用。因成交供应商自身原因造成漏报、少报皆由其自行承担责任，采购人不再补偿</w:t>
            </w:r>
            <w:r>
              <w:rPr>
                <w:rFonts w:hint="eastAsia" w:ascii="仿宋" w:hAnsi="仿宋" w:eastAsia="仿宋" w:cs="仿宋"/>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9396" w:type="dxa"/>
            <w:gridSpan w:val="6"/>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二、验收标准、方法：</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如有异议，请于3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9396" w:type="dxa"/>
            <w:gridSpan w:val="6"/>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三、付款方式：</w:t>
            </w:r>
          </w:p>
          <w:p>
            <w:pPr>
              <w:pStyle w:val="15"/>
              <w:spacing w:line="36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9396" w:type="dxa"/>
            <w:gridSpan w:val="6"/>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四、违约责任：</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按《中华人民共和国民法典》、《中华人民共和国政府采购法》执行，或按双方约定。（采购人应按项目实际情况完整填写）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396" w:type="dxa"/>
            <w:gridSpan w:val="6"/>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五、其他约定事项：</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1.采购文件及其澄清文件、投标文件和承诺是本合同不可分割的部分。</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2.本合同如发生争议由双方协商解决，协商不成向需方所在地仲裁机构提请仲裁。</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3.本合同一式_4_份， 需方_3_份，供方_1_份，具备同等法律效力。</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369" w:type="dxa"/>
            <w:gridSpan w:val="3"/>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需方：</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地址：</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联系电话：</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授权代表：</w:t>
            </w:r>
          </w:p>
        </w:tc>
        <w:tc>
          <w:tcPr>
            <w:tcW w:w="5027" w:type="dxa"/>
            <w:gridSpan w:val="3"/>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供方：</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地址：</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电话：</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传真：</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开户银行：</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账号：</w:t>
            </w:r>
          </w:p>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授权代表：</w:t>
            </w:r>
          </w:p>
          <w:p>
            <w:pPr>
              <w:widowControl/>
              <w:spacing w:line="36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9396" w:type="dxa"/>
            <w:gridSpan w:val="6"/>
          </w:tcPr>
          <w:p>
            <w:pPr>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备注：</w:t>
            </w:r>
          </w:p>
          <w:p>
            <w:pPr>
              <w:spacing w:line="360" w:lineRule="auto"/>
              <w:rPr>
                <w:rFonts w:hint="eastAsia" w:ascii="仿宋" w:hAnsi="仿宋" w:eastAsia="仿宋" w:cs="仿宋"/>
                <w:color w:val="auto"/>
                <w:sz w:val="21"/>
                <w:szCs w:val="21"/>
                <w:highlight w:val="none"/>
              </w:rPr>
            </w:pPr>
          </w:p>
          <w:p>
            <w:pPr>
              <w:spacing w:line="360" w:lineRule="auto"/>
              <w:rPr>
                <w:rFonts w:hint="eastAsia" w:ascii="仿宋" w:hAnsi="仿宋" w:eastAsia="仿宋" w:cs="仿宋"/>
                <w:color w:val="auto"/>
                <w:sz w:val="21"/>
                <w:szCs w:val="21"/>
                <w:highlight w:val="none"/>
              </w:rPr>
            </w:pPr>
          </w:p>
        </w:tc>
      </w:tr>
    </w:tbl>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签约时间：           年   月   日      签约地点：</w:t>
      </w:r>
    </w:p>
    <w:p>
      <w:pPr>
        <w:widowControl/>
        <w:tabs>
          <w:tab w:val="left" w:pos="6300"/>
        </w:tabs>
        <w:snapToGrid w:val="0"/>
        <w:spacing w:line="360" w:lineRule="auto"/>
        <w:ind w:left="249"/>
        <w:rPr>
          <w:rFonts w:hint="eastAsia" w:ascii="仿宋" w:hAnsi="仿宋" w:eastAsia="仿宋" w:cs="仿宋"/>
          <w:b/>
          <w:bCs/>
          <w:color w:val="auto"/>
          <w:sz w:val="30"/>
          <w:szCs w:val="30"/>
          <w:highlight w:val="none"/>
        </w:rPr>
      </w:pPr>
      <w:bookmarkStart w:id="136" w:name="_Toc15930"/>
    </w:p>
    <w:p>
      <w:pPr>
        <w:widowControl/>
        <w:tabs>
          <w:tab w:val="left" w:pos="6300"/>
        </w:tabs>
        <w:snapToGrid w:val="0"/>
        <w:spacing w:line="360" w:lineRule="auto"/>
        <w:ind w:left="249"/>
        <w:rPr>
          <w:rFonts w:hint="eastAsia" w:ascii="仿宋" w:hAnsi="仿宋" w:eastAsia="仿宋" w:cs="仿宋"/>
          <w:b/>
          <w:bCs/>
          <w:color w:val="auto"/>
          <w:sz w:val="30"/>
          <w:szCs w:val="30"/>
          <w:highlight w:val="none"/>
        </w:rPr>
      </w:pPr>
    </w:p>
    <w:p>
      <w:pPr>
        <w:widowControl/>
        <w:tabs>
          <w:tab w:val="left" w:pos="6300"/>
        </w:tabs>
        <w:snapToGrid w:val="0"/>
        <w:spacing w:line="360" w:lineRule="auto"/>
        <w:ind w:left="249"/>
        <w:rPr>
          <w:rFonts w:hint="eastAsia" w:ascii="仿宋" w:hAnsi="仿宋" w:eastAsia="仿宋" w:cs="仿宋"/>
          <w:b/>
          <w:bCs/>
          <w:color w:val="auto"/>
          <w:sz w:val="30"/>
          <w:szCs w:val="30"/>
          <w:highlight w:val="none"/>
        </w:rPr>
      </w:pPr>
    </w:p>
    <w:p>
      <w:pPr>
        <w:widowControl/>
        <w:tabs>
          <w:tab w:val="left" w:pos="6300"/>
        </w:tabs>
        <w:snapToGrid w:val="0"/>
        <w:spacing w:line="360" w:lineRule="auto"/>
        <w:ind w:left="249"/>
        <w:rPr>
          <w:rFonts w:hint="eastAsia" w:ascii="仿宋" w:hAnsi="仿宋" w:eastAsia="仿宋" w:cs="仿宋"/>
          <w:b/>
          <w:bCs/>
          <w:color w:val="auto"/>
          <w:sz w:val="30"/>
          <w:szCs w:val="30"/>
          <w:highlight w:val="none"/>
        </w:rPr>
      </w:pPr>
    </w:p>
    <w:p>
      <w:pPr>
        <w:widowControl/>
        <w:tabs>
          <w:tab w:val="left" w:pos="6300"/>
        </w:tabs>
        <w:snapToGrid w:val="0"/>
        <w:spacing w:line="360" w:lineRule="auto"/>
        <w:ind w:left="249"/>
        <w:rPr>
          <w:rFonts w:hint="eastAsia" w:ascii="仿宋" w:hAnsi="仿宋" w:eastAsia="仿宋" w:cs="仿宋"/>
          <w:b/>
          <w:bCs/>
          <w:color w:val="auto"/>
          <w:sz w:val="30"/>
          <w:szCs w:val="30"/>
          <w:highlight w:val="none"/>
        </w:rPr>
      </w:pPr>
    </w:p>
    <w:p>
      <w:pPr>
        <w:widowControl/>
        <w:tabs>
          <w:tab w:val="left" w:pos="6300"/>
        </w:tabs>
        <w:snapToGrid w:val="0"/>
        <w:spacing w:line="360" w:lineRule="auto"/>
        <w:ind w:left="249"/>
        <w:rPr>
          <w:rFonts w:hint="eastAsia" w:ascii="仿宋" w:hAnsi="仿宋" w:eastAsia="仿宋" w:cs="仿宋"/>
          <w:b/>
          <w:bCs/>
          <w:color w:val="auto"/>
          <w:sz w:val="30"/>
          <w:szCs w:val="30"/>
          <w:highlight w:val="none"/>
        </w:rPr>
      </w:pPr>
    </w:p>
    <w:p>
      <w:pPr>
        <w:pStyle w:val="32"/>
        <w:spacing w:line="360" w:lineRule="auto"/>
        <w:rPr>
          <w:rFonts w:hint="eastAsia" w:ascii="仿宋" w:hAnsi="仿宋" w:eastAsia="仿宋" w:cs="仿宋"/>
          <w:b/>
          <w:bCs/>
          <w:color w:val="auto"/>
          <w:sz w:val="30"/>
          <w:szCs w:val="30"/>
          <w:highlight w:val="none"/>
        </w:rPr>
      </w:pPr>
    </w:p>
    <w:p>
      <w:pPr>
        <w:pStyle w:val="33"/>
        <w:spacing w:line="360" w:lineRule="auto"/>
        <w:rPr>
          <w:rFonts w:hint="eastAsia" w:ascii="仿宋" w:hAnsi="仿宋" w:eastAsia="仿宋" w:cs="仿宋"/>
          <w:b/>
          <w:bCs/>
          <w:color w:val="auto"/>
          <w:sz w:val="30"/>
          <w:szCs w:val="30"/>
          <w:highlight w:val="none"/>
        </w:rPr>
      </w:pPr>
    </w:p>
    <w:p>
      <w:pPr>
        <w:pStyle w:val="33"/>
        <w:spacing w:line="360" w:lineRule="auto"/>
        <w:rPr>
          <w:rFonts w:hint="eastAsia" w:ascii="仿宋" w:hAnsi="仿宋" w:eastAsia="仿宋" w:cs="仿宋"/>
          <w:b/>
          <w:bCs/>
          <w:color w:val="auto"/>
          <w:sz w:val="30"/>
          <w:szCs w:val="30"/>
          <w:highlight w:val="none"/>
        </w:rPr>
      </w:pPr>
    </w:p>
    <w:p>
      <w:pPr>
        <w:pStyle w:val="33"/>
        <w:spacing w:line="360" w:lineRule="auto"/>
        <w:rPr>
          <w:rFonts w:hint="eastAsia" w:ascii="仿宋" w:hAnsi="仿宋" w:eastAsia="仿宋" w:cs="仿宋"/>
          <w:b/>
          <w:bCs/>
          <w:color w:val="auto"/>
          <w:sz w:val="30"/>
          <w:szCs w:val="30"/>
          <w:highlight w:val="none"/>
        </w:rPr>
      </w:pPr>
    </w:p>
    <w:p>
      <w:pPr>
        <w:widowControl/>
        <w:tabs>
          <w:tab w:val="left" w:pos="6300"/>
        </w:tabs>
        <w:snapToGrid w:val="0"/>
        <w:spacing w:line="360" w:lineRule="auto"/>
        <w:outlineLvl w:val="0"/>
        <w:rPr>
          <w:rFonts w:hint="eastAsia" w:ascii="仿宋" w:hAnsi="仿宋" w:eastAsia="仿宋" w:cs="仿宋"/>
          <w:color w:val="auto"/>
          <w:highlight w:val="none"/>
        </w:rPr>
      </w:pPr>
      <w:r>
        <w:rPr>
          <w:rFonts w:hint="eastAsia" w:ascii="仿宋" w:hAnsi="仿宋" w:eastAsia="仿宋" w:cs="仿宋"/>
          <w:b/>
          <w:bCs/>
          <w:color w:val="auto"/>
          <w:sz w:val="30"/>
          <w:szCs w:val="30"/>
          <w:highlight w:val="none"/>
        </w:rPr>
        <w:t>十四、项目验收</w:t>
      </w:r>
      <w:bookmarkEnd w:id="136"/>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0"/>
        <w:gridCol w:w="2015"/>
        <w:gridCol w:w="180"/>
        <w:gridCol w:w="2115"/>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37" w:name="_Toc5446"/>
            <w:r>
              <w:rPr>
                <w:rFonts w:hint="eastAsia" w:ascii="仿宋" w:hAnsi="仿宋" w:eastAsia="仿宋" w:cs="仿宋"/>
                <w:b w:val="0"/>
                <w:color w:val="auto"/>
                <w:sz w:val="24"/>
                <w:szCs w:val="24"/>
                <w:highlight w:val="none"/>
              </w:rPr>
              <w:t>项目名称</w:t>
            </w:r>
            <w:bookmarkEnd w:id="137"/>
          </w:p>
        </w:tc>
        <w:tc>
          <w:tcPr>
            <w:tcW w:w="6708" w:type="dxa"/>
            <w:gridSpan w:val="4"/>
          </w:tcPr>
          <w:p>
            <w:pPr>
              <w:pStyle w:val="4"/>
              <w:spacing w:before="48" w:after="48" w:line="360" w:lineRule="auto"/>
              <w:jc w:val="center"/>
              <w:rPr>
                <w:rFonts w:hint="eastAsia" w:ascii="仿宋" w:hAnsi="仿宋" w:eastAsia="仿宋" w:cs="仿宋"/>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38" w:name="_Toc14106"/>
            <w:r>
              <w:rPr>
                <w:rFonts w:hint="eastAsia" w:ascii="仿宋" w:hAnsi="仿宋" w:eastAsia="仿宋" w:cs="仿宋"/>
                <w:b w:val="0"/>
                <w:color w:val="auto"/>
                <w:sz w:val="24"/>
                <w:szCs w:val="24"/>
                <w:highlight w:val="none"/>
              </w:rPr>
              <w:t>项目执行编号</w:t>
            </w:r>
            <w:bookmarkEnd w:id="138"/>
          </w:p>
        </w:tc>
        <w:tc>
          <w:tcPr>
            <w:tcW w:w="6708" w:type="dxa"/>
            <w:gridSpan w:val="4"/>
          </w:tcPr>
          <w:p>
            <w:pPr>
              <w:pStyle w:val="4"/>
              <w:spacing w:before="48" w:after="48" w:line="360" w:lineRule="auto"/>
              <w:jc w:val="center"/>
              <w:rPr>
                <w:rFonts w:hint="eastAsia" w:ascii="仿宋" w:hAnsi="仿宋" w:eastAsia="仿宋" w:cs="仿宋"/>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39" w:name="_Toc10212"/>
            <w:r>
              <w:rPr>
                <w:rFonts w:hint="eastAsia" w:ascii="仿宋" w:hAnsi="仿宋" w:eastAsia="仿宋" w:cs="仿宋"/>
                <w:b w:val="0"/>
                <w:color w:val="auto"/>
                <w:sz w:val="24"/>
                <w:szCs w:val="24"/>
                <w:highlight w:val="none"/>
              </w:rPr>
              <w:t>采购人名称</w:t>
            </w:r>
            <w:bookmarkEnd w:id="139"/>
          </w:p>
        </w:tc>
        <w:tc>
          <w:tcPr>
            <w:tcW w:w="6708" w:type="dxa"/>
            <w:gridSpan w:val="4"/>
          </w:tcPr>
          <w:p>
            <w:pPr>
              <w:pStyle w:val="4"/>
              <w:spacing w:before="48" w:after="48" w:line="360" w:lineRule="auto"/>
              <w:jc w:val="center"/>
              <w:rPr>
                <w:rFonts w:hint="eastAsia" w:ascii="仿宋" w:hAnsi="仿宋" w:eastAsia="仿宋" w:cs="仿宋"/>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40" w:name="_Toc12584"/>
            <w:r>
              <w:rPr>
                <w:rFonts w:hint="eastAsia" w:ascii="仿宋" w:hAnsi="仿宋" w:eastAsia="仿宋" w:cs="仿宋"/>
                <w:b w:val="0"/>
                <w:color w:val="auto"/>
                <w:sz w:val="24"/>
                <w:szCs w:val="24"/>
                <w:highlight w:val="none"/>
              </w:rPr>
              <w:t>供应商名称</w:t>
            </w:r>
            <w:bookmarkEnd w:id="140"/>
          </w:p>
        </w:tc>
        <w:tc>
          <w:tcPr>
            <w:tcW w:w="6708" w:type="dxa"/>
            <w:gridSpan w:val="4"/>
          </w:tcPr>
          <w:p>
            <w:pPr>
              <w:pStyle w:val="4"/>
              <w:spacing w:before="48" w:after="48" w:line="360" w:lineRule="auto"/>
              <w:jc w:val="center"/>
              <w:rPr>
                <w:rFonts w:hint="eastAsia" w:ascii="仿宋" w:hAnsi="仿宋" w:eastAsia="仿宋" w:cs="仿宋"/>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41" w:name="_Toc10023"/>
            <w:r>
              <w:rPr>
                <w:rFonts w:hint="eastAsia" w:ascii="仿宋" w:hAnsi="仿宋" w:eastAsia="仿宋" w:cs="仿宋"/>
                <w:b w:val="0"/>
                <w:color w:val="auto"/>
                <w:sz w:val="24"/>
                <w:szCs w:val="24"/>
                <w:highlight w:val="none"/>
              </w:rPr>
              <w:t>合同签订日期</w:t>
            </w:r>
            <w:bookmarkEnd w:id="141"/>
          </w:p>
        </w:tc>
        <w:tc>
          <w:tcPr>
            <w:tcW w:w="2015"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42" w:name="_Toc25014"/>
            <w:r>
              <w:rPr>
                <w:rFonts w:hint="eastAsia" w:ascii="仿宋" w:hAnsi="仿宋" w:eastAsia="仿宋" w:cs="仿宋"/>
                <w:b w:val="0"/>
                <w:color w:val="auto"/>
                <w:sz w:val="24"/>
                <w:szCs w:val="24"/>
                <w:highlight w:val="none"/>
              </w:rPr>
              <w:t>年  月  日</w:t>
            </w:r>
            <w:bookmarkEnd w:id="142"/>
          </w:p>
        </w:tc>
        <w:tc>
          <w:tcPr>
            <w:tcW w:w="2295" w:type="dxa"/>
            <w:gridSpan w:val="2"/>
          </w:tcPr>
          <w:p>
            <w:pPr>
              <w:pStyle w:val="4"/>
              <w:spacing w:before="48" w:after="48" w:line="360" w:lineRule="auto"/>
              <w:jc w:val="center"/>
              <w:rPr>
                <w:rFonts w:hint="eastAsia" w:ascii="仿宋" w:hAnsi="仿宋" w:eastAsia="仿宋" w:cs="仿宋"/>
                <w:b w:val="0"/>
                <w:color w:val="auto"/>
                <w:sz w:val="24"/>
                <w:szCs w:val="24"/>
                <w:highlight w:val="none"/>
              </w:rPr>
            </w:pPr>
            <w:bookmarkStart w:id="143" w:name="_Toc9875"/>
            <w:r>
              <w:rPr>
                <w:rFonts w:hint="eastAsia" w:ascii="仿宋" w:hAnsi="仿宋" w:eastAsia="仿宋" w:cs="仿宋"/>
                <w:b w:val="0"/>
                <w:color w:val="auto"/>
                <w:sz w:val="24"/>
                <w:szCs w:val="24"/>
                <w:highlight w:val="none"/>
              </w:rPr>
              <w:t>合同总金额</w:t>
            </w:r>
            <w:bookmarkEnd w:id="143"/>
          </w:p>
        </w:tc>
        <w:tc>
          <w:tcPr>
            <w:tcW w:w="2398" w:type="dxa"/>
          </w:tcPr>
          <w:p>
            <w:pPr>
              <w:pStyle w:val="4"/>
              <w:spacing w:before="48" w:after="48" w:line="360" w:lineRule="auto"/>
              <w:ind w:left="1200" w:hanging="1200" w:hangingChars="500"/>
              <w:jc w:val="center"/>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 xml:space="preserve">     </w:t>
            </w:r>
            <w:bookmarkStart w:id="144" w:name="_Toc23504"/>
            <w:r>
              <w:rPr>
                <w:rFonts w:hint="eastAsia" w:ascii="仿宋" w:hAnsi="仿宋" w:eastAsia="仿宋" w:cs="仿宋"/>
                <w:b w:val="0"/>
                <w:color w:val="auto"/>
                <w:sz w:val="24"/>
                <w:szCs w:val="24"/>
                <w:highlight w:val="none"/>
              </w:rPr>
              <w:t>元</w:t>
            </w:r>
            <w:bookmarkEnd w:id="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45" w:name="_Toc19535"/>
            <w:r>
              <w:rPr>
                <w:rFonts w:hint="eastAsia" w:ascii="仿宋" w:hAnsi="仿宋" w:eastAsia="仿宋" w:cs="仿宋"/>
                <w:b w:val="0"/>
                <w:color w:val="auto"/>
                <w:sz w:val="24"/>
                <w:szCs w:val="24"/>
                <w:highlight w:val="none"/>
              </w:rPr>
              <w:t>验收日期</w:t>
            </w:r>
            <w:bookmarkEnd w:id="145"/>
          </w:p>
        </w:tc>
        <w:tc>
          <w:tcPr>
            <w:tcW w:w="2015"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46" w:name="_Toc14111"/>
            <w:r>
              <w:rPr>
                <w:rFonts w:hint="eastAsia" w:ascii="仿宋" w:hAnsi="仿宋" w:eastAsia="仿宋" w:cs="仿宋"/>
                <w:b w:val="0"/>
                <w:color w:val="auto"/>
                <w:sz w:val="24"/>
                <w:szCs w:val="24"/>
                <w:highlight w:val="none"/>
              </w:rPr>
              <w:t>年  月  日</w:t>
            </w:r>
            <w:bookmarkEnd w:id="146"/>
          </w:p>
        </w:tc>
        <w:tc>
          <w:tcPr>
            <w:tcW w:w="2295" w:type="dxa"/>
            <w:gridSpan w:val="2"/>
          </w:tcPr>
          <w:p>
            <w:pPr>
              <w:pStyle w:val="4"/>
              <w:spacing w:before="48" w:after="48" w:line="360" w:lineRule="auto"/>
              <w:jc w:val="center"/>
              <w:rPr>
                <w:rFonts w:hint="eastAsia" w:ascii="仿宋" w:hAnsi="仿宋" w:eastAsia="仿宋" w:cs="仿宋"/>
                <w:b w:val="0"/>
                <w:color w:val="auto"/>
                <w:sz w:val="24"/>
                <w:szCs w:val="24"/>
                <w:highlight w:val="none"/>
              </w:rPr>
            </w:pPr>
            <w:bookmarkStart w:id="147" w:name="_Toc15096"/>
            <w:r>
              <w:rPr>
                <w:rFonts w:hint="eastAsia" w:ascii="仿宋" w:hAnsi="仿宋" w:eastAsia="仿宋" w:cs="仿宋"/>
                <w:b w:val="0"/>
                <w:color w:val="auto"/>
                <w:sz w:val="24"/>
                <w:szCs w:val="24"/>
                <w:highlight w:val="none"/>
              </w:rPr>
              <w:t>验收地点</w:t>
            </w:r>
            <w:bookmarkEnd w:id="147"/>
          </w:p>
        </w:tc>
        <w:tc>
          <w:tcPr>
            <w:tcW w:w="2398" w:type="dxa"/>
          </w:tcPr>
          <w:p>
            <w:pPr>
              <w:pStyle w:val="4"/>
              <w:spacing w:before="48" w:after="48" w:line="360" w:lineRule="auto"/>
              <w:jc w:val="center"/>
              <w:rPr>
                <w:rFonts w:hint="eastAsia" w:ascii="仿宋" w:hAnsi="仿宋" w:eastAsia="仿宋" w:cs="仿宋"/>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920" w:type="dxa"/>
            <w:vAlign w:val="center"/>
          </w:tcPr>
          <w:p>
            <w:pPr>
              <w:pStyle w:val="4"/>
              <w:spacing w:before="48" w:after="48" w:line="360" w:lineRule="auto"/>
              <w:jc w:val="center"/>
              <w:rPr>
                <w:rFonts w:hint="eastAsia" w:ascii="仿宋" w:hAnsi="仿宋" w:eastAsia="仿宋" w:cs="仿宋"/>
                <w:b w:val="0"/>
                <w:color w:val="auto"/>
                <w:sz w:val="24"/>
                <w:szCs w:val="24"/>
                <w:highlight w:val="none"/>
              </w:rPr>
            </w:pPr>
            <w:bookmarkStart w:id="148" w:name="_Toc14078"/>
            <w:r>
              <w:rPr>
                <w:rFonts w:hint="eastAsia" w:ascii="仿宋" w:hAnsi="仿宋" w:eastAsia="仿宋" w:cs="仿宋"/>
                <w:b w:val="0"/>
                <w:color w:val="auto"/>
                <w:sz w:val="24"/>
                <w:szCs w:val="24"/>
                <w:highlight w:val="none"/>
              </w:rPr>
              <w:t>验收内容</w:t>
            </w:r>
            <w:bookmarkEnd w:id="148"/>
          </w:p>
        </w:tc>
        <w:tc>
          <w:tcPr>
            <w:tcW w:w="6708" w:type="dxa"/>
            <w:gridSpan w:val="4"/>
          </w:tcPr>
          <w:p>
            <w:pPr>
              <w:pStyle w:val="4"/>
              <w:spacing w:before="48" w:after="48" w:line="360" w:lineRule="auto"/>
              <w:jc w:val="center"/>
              <w:rPr>
                <w:rFonts w:hint="eastAsia" w:ascii="仿宋" w:hAnsi="仿宋" w:eastAsia="仿宋" w:cs="仿宋"/>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49" w:name="_Toc28393"/>
            <w:r>
              <w:rPr>
                <w:rFonts w:hint="eastAsia" w:ascii="仿宋" w:hAnsi="仿宋" w:eastAsia="仿宋" w:cs="仿宋"/>
                <w:b w:val="0"/>
                <w:color w:val="auto"/>
                <w:sz w:val="24"/>
                <w:szCs w:val="24"/>
                <w:highlight w:val="none"/>
              </w:rPr>
              <w:t>验收情况记录表</w:t>
            </w:r>
            <w:bookmarkEnd w:id="149"/>
          </w:p>
        </w:tc>
        <w:tc>
          <w:tcPr>
            <w:tcW w:w="6708" w:type="dxa"/>
            <w:gridSpan w:val="4"/>
          </w:tcPr>
          <w:p>
            <w:pPr>
              <w:pStyle w:val="4"/>
              <w:spacing w:before="48" w:after="48" w:line="360" w:lineRule="auto"/>
              <w:jc w:val="left"/>
              <w:rPr>
                <w:rFonts w:hint="eastAsia" w:ascii="仿宋" w:hAnsi="仿宋" w:eastAsia="仿宋" w:cs="仿宋"/>
                <w:b w:val="0"/>
                <w:color w:val="auto"/>
                <w:sz w:val="24"/>
                <w:szCs w:val="24"/>
                <w:highlight w:val="none"/>
              </w:rPr>
            </w:pPr>
            <w:bookmarkStart w:id="150" w:name="_Toc15136"/>
            <w:r>
              <w:rPr>
                <w:rFonts w:hint="eastAsia" w:ascii="仿宋" w:hAnsi="仿宋" w:eastAsia="仿宋" w:cs="仿宋"/>
                <w:b w:val="0"/>
                <w:color w:val="auto"/>
                <w:sz w:val="24"/>
                <w:szCs w:val="24"/>
                <w:highlight w:val="none"/>
              </w:rPr>
              <w:t xml:space="preserve">①服务质量情况：    </w:t>
            </w:r>
            <w:r>
              <w:rPr>
                <w:rFonts w:hint="eastAsia" w:ascii="仿宋" w:hAnsi="仿宋" w:eastAsia="仿宋" w:cs="仿宋"/>
                <w:b w:val="0"/>
                <w:color w:val="auto"/>
                <w:sz w:val="24"/>
                <w:szCs w:val="24"/>
                <w:highlight w:val="none"/>
              </w:rPr>
              <w:sym w:font="Wingdings" w:char="00A8"/>
            </w:r>
            <w:r>
              <w:rPr>
                <w:rFonts w:hint="eastAsia" w:ascii="仿宋" w:hAnsi="仿宋" w:eastAsia="仿宋" w:cs="仿宋"/>
                <w:b w:val="0"/>
                <w:color w:val="auto"/>
                <w:sz w:val="24"/>
                <w:szCs w:val="24"/>
                <w:highlight w:val="none"/>
              </w:rPr>
              <w:t xml:space="preserve">好   </w:t>
            </w:r>
            <w:r>
              <w:rPr>
                <w:rFonts w:hint="eastAsia" w:ascii="仿宋" w:hAnsi="仿宋" w:eastAsia="仿宋" w:cs="仿宋"/>
                <w:b w:val="0"/>
                <w:color w:val="auto"/>
                <w:sz w:val="24"/>
                <w:szCs w:val="24"/>
                <w:highlight w:val="none"/>
              </w:rPr>
              <w:sym w:font="Wingdings" w:char="00A8"/>
            </w:r>
            <w:r>
              <w:rPr>
                <w:rFonts w:hint="eastAsia" w:ascii="仿宋" w:hAnsi="仿宋" w:eastAsia="仿宋" w:cs="仿宋"/>
                <w:b w:val="0"/>
                <w:color w:val="auto"/>
                <w:sz w:val="24"/>
                <w:szCs w:val="24"/>
                <w:highlight w:val="none"/>
              </w:rPr>
              <w:t xml:space="preserve">一般  </w:t>
            </w:r>
            <w:r>
              <w:rPr>
                <w:rFonts w:hint="eastAsia" w:ascii="仿宋" w:hAnsi="仿宋" w:eastAsia="仿宋" w:cs="仿宋"/>
                <w:b w:val="0"/>
                <w:color w:val="auto"/>
                <w:sz w:val="24"/>
                <w:szCs w:val="24"/>
                <w:highlight w:val="none"/>
              </w:rPr>
              <w:sym w:font="Wingdings" w:char="00A8"/>
            </w:r>
            <w:r>
              <w:rPr>
                <w:rFonts w:hint="eastAsia" w:ascii="仿宋" w:hAnsi="仿宋" w:eastAsia="仿宋" w:cs="仿宋"/>
                <w:b w:val="0"/>
                <w:color w:val="auto"/>
                <w:sz w:val="24"/>
                <w:szCs w:val="24"/>
                <w:highlight w:val="none"/>
              </w:rPr>
              <w:t>差</w:t>
            </w:r>
            <w:bookmarkEnd w:id="150"/>
          </w:p>
          <w:p>
            <w:pPr>
              <w:pStyle w:val="4"/>
              <w:spacing w:before="48" w:after="48" w:line="360" w:lineRule="auto"/>
              <w:jc w:val="left"/>
              <w:rPr>
                <w:rFonts w:hint="eastAsia" w:ascii="仿宋" w:hAnsi="仿宋" w:eastAsia="仿宋" w:cs="仿宋"/>
                <w:b w:val="0"/>
                <w:color w:val="auto"/>
                <w:sz w:val="24"/>
                <w:szCs w:val="24"/>
                <w:highlight w:val="none"/>
              </w:rPr>
            </w:pPr>
            <w:bookmarkStart w:id="151" w:name="_Toc21187"/>
            <w:r>
              <w:rPr>
                <w:rFonts w:hint="eastAsia" w:ascii="仿宋" w:hAnsi="仿宋" w:eastAsia="仿宋" w:cs="仿宋"/>
                <w:b w:val="0"/>
                <w:color w:val="auto"/>
                <w:sz w:val="24"/>
                <w:szCs w:val="24"/>
                <w:highlight w:val="none"/>
              </w:rPr>
              <w:t xml:space="preserve">②合同履约情况：    </w:t>
            </w:r>
            <w:r>
              <w:rPr>
                <w:rFonts w:hint="eastAsia" w:ascii="仿宋" w:hAnsi="仿宋" w:eastAsia="仿宋" w:cs="仿宋"/>
                <w:b w:val="0"/>
                <w:color w:val="auto"/>
                <w:sz w:val="24"/>
                <w:szCs w:val="24"/>
                <w:highlight w:val="none"/>
              </w:rPr>
              <w:sym w:font="Wingdings" w:char="00A8"/>
            </w:r>
            <w:r>
              <w:rPr>
                <w:rFonts w:hint="eastAsia" w:ascii="仿宋" w:hAnsi="仿宋" w:eastAsia="仿宋" w:cs="仿宋"/>
                <w:b w:val="0"/>
                <w:color w:val="auto"/>
                <w:sz w:val="24"/>
                <w:szCs w:val="24"/>
                <w:highlight w:val="none"/>
              </w:rPr>
              <w:t xml:space="preserve">好   </w:t>
            </w:r>
            <w:r>
              <w:rPr>
                <w:rFonts w:hint="eastAsia" w:ascii="仿宋" w:hAnsi="仿宋" w:eastAsia="仿宋" w:cs="仿宋"/>
                <w:b w:val="0"/>
                <w:color w:val="auto"/>
                <w:sz w:val="24"/>
                <w:szCs w:val="24"/>
                <w:highlight w:val="none"/>
              </w:rPr>
              <w:sym w:font="Wingdings" w:char="00A8"/>
            </w:r>
            <w:r>
              <w:rPr>
                <w:rFonts w:hint="eastAsia" w:ascii="仿宋" w:hAnsi="仿宋" w:eastAsia="仿宋" w:cs="仿宋"/>
                <w:b w:val="0"/>
                <w:color w:val="auto"/>
                <w:sz w:val="24"/>
                <w:szCs w:val="24"/>
                <w:highlight w:val="none"/>
              </w:rPr>
              <w:t xml:space="preserve">一般  </w:t>
            </w:r>
            <w:r>
              <w:rPr>
                <w:rFonts w:hint="eastAsia" w:ascii="仿宋" w:hAnsi="仿宋" w:eastAsia="仿宋" w:cs="仿宋"/>
                <w:b w:val="0"/>
                <w:color w:val="auto"/>
                <w:sz w:val="24"/>
                <w:szCs w:val="24"/>
                <w:highlight w:val="none"/>
              </w:rPr>
              <w:sym w:font="Wingdings" w:char="00A8"/>
            </w:r>
            <w:r>
              <w:rPr>
                <w:rFonts w:hint="eastAsia" w:ascii="仿宋" w:hAnsi="仿宋" w:eastAsia="仿宋" w:cs="仿宋"/>
                <w:b w:val="0"/>
                <w:color w:val="auto"/>
                <w:sz w:val="24"/>
                <w:szCs w:val="24"/>
                <w:highlight w:val="none"/>
              </w:rPr>
              <w:t>差</w:t>
            </w:r>
            <w:bookmarkEnd w:id="151"/>
          </w:p>
          <w:p>
            <w:pPr>
              <w:pStyle w:val="4"/>
              <w:spacing w:before="48" w:after="48" w:line="360" w:lineRule="auto"/>
              <w:jc w:val="left"/>
              <w:rPr>
                <w:rFonts w:hint="eastAsia" w:ascii="仿宋" w:hAnsi="仿宋" w:eastAsia="仿宋" w:cs="仿宋"/>
                <w:b w:val="0"/>
                <w:color w:val="auto"/>
                <w:sz w:val="24"/>
                <w:szCs w:val="24"/>
                <w:highlight w:val="none"/>
              </w:rPr>
            </w:pPr>
            <w:bookmarkStart w:id="152" w:name="_Toc20085"/>
            <w:r>
              <w:rPr>
                <w:rFonts w:hint="eastAsia" w:ascii="仿宋" w:hAnsi="仿宋" w:eastAsia="仿宋" w:cs="仿宋"/>
                <w:b w:val="0"/>
                <w:color w:val="auto"/>
                <w:sz w:val="24"/>
                <w:szCs w:val="24"/>
                <w:highlight w:val="none"/>
              </w:rPr>
              <w:t>③其他意见或情况：</w:t>
            </w:r>
            <w:bookmarkEnd w:id="1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920"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53" w:name="_Toc11582"/>
            <w:r>
              <w:rPr>
                <w:rFonts w:hint="eastAsia" w:ascii="仿宋" w:hAnsi="仿宋" w:eastAsia="仿宋" w:cs="仿宋"/>
                <w:b w:val="0"/>
                <w:color w:val="auto"/>
                <w:sz w:val="24"/>
                <w:szCs w:val="24"/>
                <w:highlight w:val="none"/>
              </w:rPr>
              <w:t>验收结论</w:t>
            </w:r>
            <w:bookmarkEnd w:id="153"/>
          </w:p>
        </w:tc>
        <w:tc>
          <w:tcPr>
            <w:tcW w:w="6708" w:type="dxa"/>
            <w:gridSpan w:val="4"/>
          </w:tcPr>
          <w:p>
            <w:pPr>
              <w:pStyle w:val="4"/>
              <w:spacing w:before="48" w:after="48" w:line="360" w:lineRule="auto"/>
              <w:jc w:val="center"/>
              <w:rPr>
                <w:rFonts w:hint="eastAsia" w:ascii="仿宋" w:hAnsi="仿宋" w:eastAsia="仿宋" w:cs="仿宋"/>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20" w:type="dxa"/>
          </w:tcPr>
          <w:p>
            <w:pPr>
              <w:pStyle w:val="4"/>
              <w:spacing w:before="48" w:after="48" w:line="360" w:lineRule="auto"/>
              <w:jc w:val="center"/>
              <w:rPr>
                <w:rFonts w:hint="eastAsia" w:ascii="仿宋" w:hAnsi="仿宋" w:eastAsia="仿宋" w:cs="仿宋"/>
                <w:b w:val="0"/>
                <w:color w:val="auto"/>
                <w:sz w:val="24"/>
                <w:szCs w:val="24"/>
                <w:highlight w:val="none"/>
              </w:rPr>
            </w:pPr>
            <w:bookmarkStart w:id="154" w:name="_Toc3637"/>
            <w:r>
              <w:rPr>
                <w:rFonts w:hint="eastAsia" w:ascii="仿宋" w:hAnsi="仿宋" w:eastAsia="仿宋" w:cs="仿宋"/>
                <w:b w:val="0"/>
                <w:color w:val="auto"/>
                <w:sz w:val="24"/>
                <w:szCs w:val="24"/>
                <w:highlight w:val="none"/>
              </w:rPr>
              <w:t>验收人员（签字）</w:t>
            </w:r>
            <w:bookmarkEnd w:id="154"/>
          </w:p>
        </w:tc>
        <w:tc>
          <w:tcPr>
            <w:tcW w:w="6708" w:type="dxa"/>
            <w:gridSpan w:val="4"/>
          </w:tcPr>
          <w:p>
            <w:pPr>
              <w:pStyle w:val="4"/>
              <w:spacing w:before="48" w:after="48" w:line="360" w:lineRule="auto"/>
              <w:jc w:val="center"/>
              <w:rPr>
                <w:rFonts w:hint="eastAsia" w:ascii="仿宋" w:hAnsi="仿宋" w:eastAsia="仿宋" w:cs="仿宋"/>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115" w:type="dxa"/>
            <w:gridSpan w:val="3"/>
          </w:tcPr>
          <w:p>
            <w:pPr>
              <w:pStyle w:val="4"/>
              <w:spacing w:before="48" w:after="48" w:line="360" w:lineRule="auto"/>
              <w:jc w:val="center"/>
              <w:rPr>
                <w:rFonts w:hint="eastAsia" w:ascii="仿宋" w:hAnsi="仿宋" w:eastAsia="仿宋" w:cs="仿宋"/>
                <w:b w:val="0"/>
                <w:color w:val="auto"/>
                <w:sz w:val="24"/>
                <w:szCs w:val="24"/>
                <w:highlight w:val="none"/>
              </w:rPr>
            </w:pPr>
            <w:bookmarkStart w:id="155" w:name="_Toc23182"/>
            <w:r>
              <w:rPr>
                <w:rFonts w:hint="eastAsia" w:ascii="仿宋" w:hAnsi="仿宋" w:eastAsia="仿宋" w:cs="仿宋"/>
                <w:b w:val="0"/>
                <w:color w:val="auto"/>
                <w:sz w:val="24"/>
                <w:szCs w:val="24"/>
                <w:highlight w:val="none"/>
              </w:rPr>
              <w:t>采购人意见</w:t>
            </w:r>
            <w:bookmarkEnd w:id="155"/>
          </w:p>
        </w:tc>
        <w:tc>
          <w:tcPr>
            <w:tcW w:w="4513" w:type="dxa"/>
            <w:gridSpan w:val="2"/>
          </w:tcPr>
          <w:p>
            <w:pPr>
              <w:pStyle w:val="4"/>
              <w:spacing w:before="48" w:after="48" w:line="360" w:lineRule="auto"/>
              <w:jc w:val="center"/>
              <w:rPr>
                <w:rFonts w:hint="eastAsia" w:ascii="仿宋" w:hAnsi="仿宋" w:eastAsia="仿宋" w:cs="仿宋"/>
                <w:b w:val="0"/>
                <w:color w:val="auto"/>
                <w:sz w:val="24"/>
                <w:szCs w:val="24"/>
                <w:highlight w:val="none"/>
              </w:rPr>
            </w:pPr>
            <w:bookmarkStart w:id="156" w:name="_Toc12852"/>
            <w:r>
              <w:rPr>
                <w:rFonts w:hint="eastAsia" w:ascii="仿宋" w:hAnsi="仿宋" w:eastAsia="仿宋" w:cs="仿宋"/>
                <w:b w:val="0"/>
                <w:color w:val="auto"/>
                <w:sz w:val="24"/>
                <w:szCs w:val="24"/>
                <w:highlight w:val="none"/>
              </w:rPr>
              <w:t>供应商意见</w:t>
            </w:r>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5115" w:type="dxa"/>
            <w:gridSpan w:val="3"/>
          </w:tcPr>
          <w:p>
            <w:pPr>
              <w:pStyle w:val="4"/>
              <w:spacing w:before="48" w:after="48" w:line="360" w:lineRule="auto"/>
              <w:jc w:val="center"/>
              <w:rPr>
                <w:rFonts w:hint="eastAsia" w:ascii="仿宋" w:hAnsi="仿宋" w:eastAsia="仿宋" w:cs="仿宋"/>
                <w:b w:val="0"/>
                <w:color w:val="auto"/>
                <w:sz w:val="24"/>
                <w:szCs w:val="24"/>
                <w:highlight w:val="none"/>
              </w:rPr>
            </w:pPr>
          </w:p>
          <w:p>
            <w:pPr>
              <w:pStyle w:val="4"/>
              <w:spacing w:before="48" w:after="48" w:line="360" w:lineRule="auto"/>
              <w:jc w:val="center"/>
              <w:rPr>
                <w:rFonts w:hint="eastAsia" w:ascii="仿宋" w:hAnsi="仿宋" w:eastAsia="仿宋" w:cs="仿宋"/>
                <w:b w:val="0"/>
                <w:color w:val="auto"/>
                <w:sz w:val="24"/>
                <w:szCs w:val="24"/>
                <w:highlight w:val="none"/>
              </w:rPr>
            </w:pPr>
            <w:bookmarkStart w:id="157" w:name="_Toc5600"/>
            <w:r>
              <w:rPr>
                <w:rFonts w:hint="eastAsia" w:ascii="仿宋" w:hAnsi="仿宋" w:eastAsia="仿宋" w:cs="仿宋"/>
                <w:b w:val="0"/>
                <w:color w:val="auto"/>
                <w:sz w:val="24"/>
                <w:szCs w:val="24"/>
                <w:highlight w:val="none"/>
              </w:rPr>
              <w:t>签字：</w:t>
            </w:r>
            <w:bookmarkEnd w:id="157"/>
          </w:p>
          <w:p>
            <w:pPr>
              <w:pStyle w:val="4"/>
              <w:spacing w:before="48" w:after="48" w:line="360" w:lineRule="auto"/>
              <w:jc w:val="center"/>
              <w:rPr>
                <w:rFonts w:hint="eastAsia" w:ascii="仿宋" w:hAnsi="仿宋" w:eastAsia="仿宋" w:cs="仿宋"/>
                <w:b w:val="0"/>
                <w:color w:val="auto"/>
                <w:sz w:val="24"/>
                <w:szCs w:val="24"/>
                <w:highlight w:val="none"/>
              </w:rPr>
            </w:pPr>
          </w:p>
          <w:p>
            <w:pPr>
              <w:pStyle w:val="4"/>
              <w:spacing w:before="48" w:after="48" w:line="360" w:lineRule="auto"/>
              <w:jc w:val="center"/>
              <w:rPr>
                <w:rFonts w:hint="eastAsia" w:ascii="仿宋" w:hAnsi="仿宋" w:eastAsia="仿宋" w:cs="仿宋"/>
                <w:b w:val="0"/>
                <w:color w:val="auto"/>
                <w:sz w:val="24"/>
                <w:szCs w:val="24"/>
                <w:highlight w:val="none"/>
              </w:rPr>
            </w:pPr>
            <w:bookmarkStart w:id="158" w:name="_Toc2288"/>
            <w:r>
              <w:rPr>
                <w:rFonts w:hint="eastAsia" w:ascii="仿宋" w:hAnsi="仿宋" w:eastAsia="仿宋" w:cs="仿宋"/>
                <w:b w:val="0"/>
                <w:color w:val="auto"/>
                <w:sz w:val="24"/>
                <w:szCs w:val="24"/>
                <w:highlight w:val="none"/>
              </w:rPr>
              <w:t>（公章）</w:t>
            </w:r>
            <w:bookmarkEnd w:id="158"/>
          </w:p>
        </w:tc>
        <w:tc>
          <w:tcPr>
            <w:tcW w:w="4513" w:type="dxa"/>
            <w:gridSpan w:val="2"/>
          </w:tcPr>
          <w:p>
            <w:pPr>
              <w:pStyle w:val="4"/>
              <w:spacing w:before="48" w:after="48" w:line="360" w:lineRule="auto"/>
              <w:jc w:val="center"/>
              <w:rPr>
                <w:rFonts w:hint="eastAsia" w:ascii="仿宋" w:hAnsi="仿宋" w:eastAsia="仿宋" w:cs="仿宋"/>
                <w:b w:val="0"/>
                <w:color w:val="auto"/>
                <w:sz w:val="24"/>
                <w:szCs w:val="24"/>
                <w:highlight w:val="none"/>
              </w:rPr>
            </w:pPr>
          </w:p>
          <w:p>
            <w:pPr>
              <w:pStyle w:val="4"/>
              <w:spacing w:before="48" w:after="48" w:line="360" w:lineRule="auto"/>
              <w:jc w:val="center"/>
              <w:rPr>
                <w:rFonts w:hint="eastAsia" w:ascii="仿宋" w:hAnsi="仿宋" w:eastAsia="仿宋" w:cs="仿宋"/>
                <w:b w:val="0"/>
                <w:color w:val="auto"/>
                <w:sz w:val="24"/>
                <w:szCs w:val="24"/>
                <w:highlight w:val="none"/>
              </w:rPr>
            </w:pPr>
            <w:bookmarkStart w:id="159" w:name="_Toc31669"/>
            <w:r>
              <w:rPr>
                <w:rFonts w:hint="eastAsia" w:ascii="仿宋" w:hAnsi="仿宋" w:eastAsia="仿宋" w:cs="仿宋"/>
                <w:b w:val="0"/>
                <w:color w:val="auto"/>
                <w:sz w:val="24"/>
                <w:szCs w:val="24"/>
                <w:highlight w:val="none"/>
              </w:rPr>
              <w:t>签字：</w:t>
            </w:r>
            <w:bookmarkEnd w:id="159"/>
          </w:p>
          <w:p>
            <w:pPr>
              <w:pStyle w:val="4"/>
              <w:spacing w:before="48" w:after="48" w:line="360" w:lineRule="auto"/>
              <w:jc w:val="center"/>
              <w:rPr>
                <w:rFonts w:hint="eastAsia" w:ascii="仿宋" w:hAnsi="仿宋" w:eastAsia="仿宋" w:cs="仿宋"/>
                <w:b w:val="0"/>
                <w:color w:val="auto"/>
                <w:sz w:val="24"/>
                <w:szCs w:val="24"/>
                <w:highlight w:val="none"/>
              </w:rPr>
            </w:pPr>
          </w:p>
          <w:p>
            <w:pPr>
              <w:pStyle w:val="4"/>
              <w:spacing w:before="48" w:after="48" w:line="360" w:lineRule="auto"/>
              <w:jc w:val="center"/>
              <w:rPr>
                <w:rFonts w:hint="eastAsia" w:ascii="仿宋" w:hAnsi="仿宋" w:eastAsia="仿宋" w:cs="仿宋"/>
                <w:b w:val="0"/>
                <w:color w:val="auto"/>
                <w:sz w:val="24"/>
                <w:szCs w:val="24"/>
                <w:highlight w:val="none"/>
              </w:rPr>
            </w:pPr>
            <w:bookmarkStart w:id="160" w:name="_Toc3320"/>
            <w:r>
              <w:rPr>
                <w:rFonts w:hint="eastAsia" w:ascii="仿宋" w:hAnsi="仿宋" w:eastAsia="仿宋" w:cs="仿宋"/>
                <w:b w:val="0"/>
                <w:color w:val="auto"/>
                <w:sz w:val="24"/>
                <w:szCs w:val="24"/>
                <w:highlight w:val="none"/>
              </w:rPr>
              <w:t>（公章）</w:t>
            </w:r>
            <w:bookmarkEnd w:id="160"/>
          </w:p>
        </w:tc>
      </w:tr>
    </w:tbl>
    <w:p>
      <w:pPr>
        <w:pStyle w:val="33"/>
        <w:spacing w:line="360" w:lineRule="auto"/>
        <w:rPr>
          <w:rFonts w:hint="eastAsia" w:ascii="仿宋" w:hAnsi="仿宋" w:eastAsia="仿宋" w:cs="仿宋"/>
          <w:color w:val="auto"/>
          <w:highlight w:val="none"/>
        </w:rPr>
        <w:sectPr>
          <w:headerReference r:id="rId10" w:type="default"/>
          <w:footerReference r:id="rId11" w:type="default"/>
          <w:pgSz w:w="11907" w:h="16840"/>
          <w:pgMar w:top="1134" w:right="1191" w:bottom="1134" w:left="1304" w:header="964" w:footer="992" w:gutter="0"/>
          <w:pgNumType w:fmt="numberInDash"/>
          <w:cols w:space="720" w:num="1"/>
          <w:docGrid w:linePitch="312" w:charSpace="0"/>
        </w:sectPr>
      </w:pPr>
    </w:p>
    <w:p>
      <w:pPr>
        <w:pStyle w:val="4"/>
        <w:spacing w:line="360" w:lineRule="auto"/>
        <w:jc w:val="center"/>
        <w:rPr>
          <w:rStyle w:val="36"/>
          <w:rFonts w:hint="eastAsia" w:ascii="仿宋" w:hAnsi="仿宋" w:eastAsia="仿宋" w:cs="仿宋"/>
          <w:b/>
          <w:bCs/>
          <w:color w:val="auto"/>
          <w:sz w:val="36"/>
          <w:szCs w:val="36"/>
          <w:highlight w:val="none"/>
        </w:rPr>
      </w:pPr>
      <w:bookmarkStart w:id="161" w:name="_Toc11628"/>
      <w:r>
        <w:rPr>
          <w:rStyle w:val="36"/>
          <w:rFonts w:hint="eastAsia" w:ascii="仿宋" w:hAnsi="仿宋" w:eastAsia="仿宋" w:cs="仿宋"/>
          <w:b/>
          <w:bCs/>
          <w:color w:val="auto"/>
          <w:highlight w:val="none"/>
        </w:rPr>
        <w:t>第七篇  响应文件格式要求</w:t>
      </w:r>
      <w:bookmarkEnd w:id="161"/>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一、经济部分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（一）报价函</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（二）分项报价明细表</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二、技术部分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（一）服务方案</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（二）技术响应偏离表</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（一）商务响应偏离表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（二）商务部分相关证明材料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（三）其它优惠承诺</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四、资格条件及其他</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（一）营业执照（副本）或事业单位法人证书（副本）复印件</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（二）组织机构代码证复印件</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（三）法定代表人身份证明书（格式）</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（四）法定代表人授权委托书（格式）</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（五）书面声明（格式）</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（六）特定资格条件证明</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（一）其他与项目有关的资料（自附）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（二）中小企业声明函、监狱企业证明文件、残疾人福利性单位声明函</w:t>
      </w:r>
    </w:p>
    <w:p>
      <w:pPr>
        <w:pStyle w:val="14"/>
        <w:spacing w:line="360" w:lineRule="auto"/>
        <w:rPr>
          <w:rFonts w:hint="eastAsia" w:ascii="仿宋" w:hAnsi="仿宋" w:eastAsia="仿宋" w:cs="仿宋"/>
          <w:color w:val="auto"/>
          <w:highlight w:val="none"/>
        </w:rPr>
      </w:pPr>
    </w:p>
    <w:p>
      <w:pPr>
        <w:pStyle w:val="2"/>
        <w:spacing w:line="360" w:lineRule="auto"/>
        <w:rPr>
          <w:rFonts w:hint="eastAsia" w:ascii="仿宋" w:hAnsi="仿宋" w:eastAsia="仿宋" w:cs="仿宋"/>
          <w:color w:val="auto"/>
          <w:highlight w:val="none"/>
        </w:rPr>
      </w:pPr>
    </w:p>
    <w:p>
      <w:pPr>
        <w:pStyle w:val="40"/>
        <w:spacing w:line="360" w:lineRule="auto"/>
        <w:ind w:left="0"/>
        <w:jc w:val="both"/>
        <w:rPr>
          <w:rFonts w:hint="eastAsia" w:ascii="仿宋" w:hAnsi="仿宋" w:eastAsia="仿宋" w:cs="仿宋"/>
          <w:color w:val="auto"/>
          <w:highlight w:val="none"/>
        </w:rPr>
        <w:sectPr>
          <w:headerReference r:id="rId12" w:type="default"/>
          <w:footerReference r:id="rId13" w:type="default"/>
          <w:pgSz w:w="11907" w:h="16840"/>
          <w:pgMar w:top="1134" w:right="1191" w:bottom="1134" w:left="1304" w:header="851" w:footer="992" w:gutter="0"/>
          <w:cols w:space="720" w:num="1"/>
        </w:sectPr>
      </w:pPr>
    </w:p>
    <w:p>
      <w:pPr>
        <w:pStyle w:val="5"/>
        <w:spacing w:before="0" w:after="0" w:line="360" w:lineRule="auto"/>
        <w:rPr>
          <w:rFonts w:hint="eastAsia" w:ascii="仿宋" w:hAnsi="仿宋" w:eastAsia="仿宋" w:cs="仿宋"/>
          <w:color w:val="auto"/>
          <w:sz w:val="28"/>
          <w:szCs w:val="28"/>
          <w:highlight w:val="none"/>
        </w:rPr>
      </w:pPr>
      <w:bookmarkStart w:id="162" w:name="_Toc14854"/>
      <w:bookmarkStart w:id="163" w:name="_Toc9358"/>
      <w:bookmarkStart w:id="164" w:name="_Toc487204797"/>
      <w:bookmarkStart w:id="165" w:name="_Toc486608277"/>
      <w:bookmarkStart w:id="166" w:name="_Toc486585240"/>
      <w:r>
        <w:rPr>
          <w:rFonts w:hint="eastAsia" w:ascii="仿宋" w:hAnsi="仿宋" w:eastAsia="仿宋" w:cs="仿宋"/>
          <w:color w:val="auto"/>
          <w:sz w:val="28"/>
          <w:szCs w:val="28"/>
          <w:highlight w:val="none"/>
        </w:rPr>
        <w:t>一、经济部分</w:t>
      </w:r>
      <w:bookmarkEnd w:id="162"/>
      <w:bookmarkEnd w:id="163"/>
      <w:bookmarkEnd w:id="164"/>
      <w:bookmarkEnd w:id="165"/>
      <w:bookmarkEnd w:id="166"/>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（一）报价函</w:t>
      </w:r>
    </w:p>
    <w:p>
      <w:pPr>
        <w:tabs>
          <w:tab w:val="left" w:pos="6300"/>
        </w:tabs>
        <w:snapToGrid w:val="0"/>
        <w:spacing w:line="360" w:lineRule="auto"/>
        <w:ind w:firstLine="480" w:firstLineChars="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报价函</w:t>
      </w:r>
    </w:p>
    <w:p>
      <w:pPr>
        <w:tabs>
          <w:tab w:val="left" w:pos="6300"/>
        </w:tabs>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（采购人名称）</w:t>
      </w:r>
      <w:r>
        <w:rPr>
          <w:rFonts w:hint="eastAsia" w:ascii="仿宋" w:hAnsi="仿宋" w:eastAsia="仿宋" w:cs="仿宋"/>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我方收到____________________________（采购项目名称）的采购文件，经详细研究，决定参加该项目的</w:t>
      </w:r>
      <w:r>
        <w:rPr>
          <w:rFonts w:hint="eastAsia" w:ascii="仿宋" w:hAnsi="仿宋" w:eastAsia="仿宋" w:cs="仿宋"/>
          <w:color w:val="auto"/>
          <w:sz w:val="24"/>
          <w:szCs w:val="24"/>
          <w:highlight w:val="none"/>
          <w:lang w:val="en-US" w:eastAsia="zh-CN"/>
        </w:rPr>
        <w:t>竞采</w:t>
      </w:r>
      <w:r>
        <w:rPr>
          <w:rFonts w:hint="eastAsia" w:ascii="仿宋" w:hAnsi="仿宋" w:eastAsia="仿宋" w:cs="仿宋"/>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1.愿意按照采购文件中的一切要求，提供本项目的交货及技术服务，</w:t>
      </w:r>
      <w:r>
        <w:rPr>
          <w:rFonts w:hint="eastAsia" w:ascii="仿宋" w:hAnsi="仿宋" w:eastAsia="仿宋" w:cs="仿宋"/>
          <w:color w:val="auto"/>
          <w:sz w:val="24"/>
          <w:szCs w:val="24"/>
          <w:highlight w:val="none"/>
          <w:lang w:val="en-US" w:eastAsia="zh-CN"/>
        </w:rPr>
        <w:t>单节课程</w:t>
      </w:r>
      <w:r>
        <w:rPr>
          <w:rFonts w:hint="eastAsia" w:ascii="仿宋" w:hAnsi="仿宋" w:eastAsia="仿宋" w:cs="仿宋"/>
          <w:color w:val="auto"/>
          <w:sz w:val="24"/>
          <w:szCs w:val="24"/>
          <w:highlight w:val="none"/>
        </w:rPr>
        <w:t>报价为人民币大写：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元；人民币小写：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总报价为人民币大写：</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元；人民币小写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2.我方现提交的响应文件为：响应文件</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正，</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副</w:t>
      </w:r>
      <w:r>
        <w:rPr>
          <w:rFonts w:hint="eastAsia" w:ascii="仿宋" w:hAnsi="仿宋" w:eastAsia="仿宋" w:cs="仿宋"/>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3.我方承诺：本次投标的有效期为90天。</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4.我方完全理解和接受贵方采购文件的一切规定和要求及评审办法。</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5.在整个投标过程中，我方若有违规行为，接受按照《中华人民共和国政府采购法》和《采购文件》之规定给予惩罚。</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6.我方若成为成交供应商，将按照最终采购结果签订合同，并且严格履行合同义务。本承诺函将成为合同不可分割的一部分，与合同具有同等的法律效力。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7.我方未为采购项目提供整体设计、规范编制或者项目管理、监理、检测等服务。</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w:t>
      </w: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邮编：</w:t>
      </w: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p>
    <w:p>
      <w:pPr>
        <w:snapToGrid w:val="0"/>
        <w:spacing w:line="360" w:lineRule="auto"/>
        <w:ind w:firstLine="480" w:firstLineChars="2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widowControl/>
        <w:spacing w:line="360" w:lineRule="auto"/>
        <w:jc w:val="left"/>
        <w:rPr>
          <w:rFonts w:hint="eastAsia" w:ascii="仿宋" w:hAnsi="仿宋" w:eastAsia="仿宋" w:cs="仿宋"/>
          <w:color w:val="auto"/>
          <w:sz w:val="24"/>
          <w:szCs w:val="24"/>
          <w:highlight w:val="none"/>
        </w:rPr>
        <w:sectPr>
          <w:pgSz w:w="11907" w:h="16840"/>
          <w:pgMar w:top="1134" w:right="1191" w:bottom="1134" w:left="1304" w:header="851" w:footer="992" w:gutter="0"/>
          <w:cols w:space="720" w:num="1"/>
        </w:sectPr>
      </w:pPr>
    </w:p>
    <w:p>
      <w:pPr>
        <w:snapToGrid w:val="0"/>
        <w:spacing w:line="360" w:lineRule="auto"/>
        <w:ind w:firstLine="241" w:firstLineChars="100"/>
        <w:rPr>
          <w:rFonts w:hint="eastAsia" w:ascii="仿宋" w:hAnsi="仿宋" w:eastAsia="仿宋" w:cs="仿宋"/>
          <w:b/>
          <w:color w:val="auto"/>
          <w:sz w:val="24"/>
          <w:szCs w:val="24"/>
          <w:highlight w:val="none"/>
        </w:rPr>
      </w:pPr>
      <w:bookmarkStart w:id="167" w:name="_Toc486585241"/>
      <w:bookmarkStart w:id="168" w:name="_Toc486608278"/>
      <w:bookmarkStart w:id="169" w:name="_Toc3192"/>
      <w:bookmarkStart w:id="170" w:name="_Toc487204798"/>
      <w:bookmarkStart w:id="171" w:name="_Toc24658"/>
      <w:r>
        <w:rPr>
          <w:rFonts w:hint="eastAsia" w:ascii="仿宋" w:hAnsi="仿宋" w:eastAsia="仿宋" w:cs="仿宋"/>
          <w:b/>
          <w:color w:val="auto"/>
          <w:sz w:val="24"/>
          <w:szCs w:val="24"/>
          <w:highlight w:val="none"/>
        </w:rPr>
        <w:t>（二）分项报价明细表</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采购项目名称：</w:t>
      </w:r>
    </w:p>
    <w:tbl>
      <w:tblPr>
        <w:tblStyle w:val="25"/>
        <w:tblpPr w:leftFromText="180" w:rightFromText="180" w:vertAnchor="text" w:horzAnchor="page" w:tblpX="1915"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2694"/>
        <w:gridCol w:w="1306"/>
        <w:gridCol w:w="126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trPr>
        <w:tc>
          <w:tcPr>
            <w:tcW w:w="1295"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2694"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服务内容</w:t>
            </w:r>
          </w:p>
        </w:tc>
        <w:tc>
          <w:tcPr>
            <w:tcW w:w="1306"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267"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w:t>
            </w:r>
          </w:p>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（元）</w:t>
            </w:r>
          </w:p>
        </w:tc>
        <w:tc>
          <w:tcPr>
            <w:tcW w:w="1827" w:type="dxa"/>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合计</w:t>
            </w:r>
          </w:p>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295" w:type="dxa"/>
            <w:vAlign w:val="center"/>
          </w:tcPr>
          <w:p>
            <w:pPr>
              <w:spacing w:line="360" w:lineRule="auto"/>
              <w:jc w:val="center"/>
              <w:rPr>
                <w:rFonts w:hint="eastAsia" w:ascii="仿宋" w:hAnsi="仿宋" w:eastAsia="仿宋" w:cs="仿宋"/>
                <w:color w:val="auto"/>
                <w:highlight w:val="none"/>
              </w:rPr>
            </w:pPr>
          </w:p>
        </w:tc>
        <w:tc>
          <w:tcPr>
            <w:tcW w:w="2694" w:type="dxa"/>
          </w:tcPr>
          <w:p>
            <w:pPr>
              <w:spacing w:line="360" w:lineRule="auto"/>
              <w:jc w:val="center"/>
              <w:rPr>
                <w:rFonts w:hint="eastAsia" w:ascii="仿宋" w:hAnsi="仿宋" w:eastAsia="仿宋" w:cs="仿宋"/>
                <w:color w:val="auto"/>
                <w:highlight w:val="none"/>
              </w:rPr>
            </w:pPr>
          </w:p>
        </w:tc>
        <w:tc>
          <w:tcPr>
            <w:tcW w:w="1306" w:type="dxa"/>
            <w:vAlign w:val="center"/>
          </w:tcPr>
          <w:p>
            <w:pPr>
              <w:spacing w:line="360" w:lineRule="auto"/>
              <w:jc w:val="center"/>
              <w:rPr>
                <w:rFonts w:hint="eastAsia" w:ascii="仿宋" w:hAnsi="仿宋" w:eastAsia="仿宋" w:cs="仿宋"/>
                <w:color w:val="auto"/>
                <w:highlight w:val="none"/>
              </w:rPr>
            </w:pPr>
          </w:p>
        </w:tc>
        <w:tc>
          <w:tcPr>
            <w:tcW w:w="1267" w:type="dxa"/>
          </w:tcPr>
          <w:p>
            <w:pPr>
              <w:spacing w:line="360" w:lineRule="auto"/>
              <w:jc w:val="center"/>
              <w:rPr>
                <w:rFonts w:hint="eastAsia" w:ascii="仿宋" w:hAnsi="仿宋" w:eastAsia="仿宋" w:cs="仿宋"/>
                <w:color w:val="auto"/>
                <w:highlight w:val="none"/>
              </w:rPr>
            </w:pPr>
          </w:p>
        </w:tc>
        <w:tc>
          <w:tcPr>
            <w:tcW w:w="1827" w:type="dxa"/>
          </w:tcPr>
          <w:p>
            <w:pPr>
              <w:spacing w:line="36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295" w:type="dxa"/>
            <w:vAlign w:val="center"/>
          </w:tcPr>
          <w:p>
            <w:pPr>
              <w:spacing w:line="360" w:lineRule="auto"/>
              <w:jc w:val="center"/>
              <w:rPr>
                <w:rFonts w:hint="eastAsia" w:ascii="仿宋" w:hAnsi="仿宋" w:eastAsia="仿宋" w:cs="仿宋"/>
                <w:color w:val="auto"/>
                <w:highlight w:val="none"/>
              </w:rPr>
            </w:pPr>
          </w:p>
        </w:tc>
        <w:tc>
          <w:tcPr>
            <w:tcW w:w="2694" w:type="dxa"/>
          </w:tcPr>
          <w:p>
            <w:pPr>
              <w:spacing w:line="360" w:lineRule="auto"/>
              <w:jc w:val="center"/>
              <w:rPr>
                <w:rFonts w:hint="eastAsia" w:ascii="仿宋" w:hAnsi="仿宋" w:eastAsia="仿宋" w:cs="仿宋"/>
                <w:color w:val="auto"/>
                <w:highlight w:val="none"/>
              </w:rPr>
            </w:pPr>
          </w:p>
        </w:tc>
        <w:tc>
          <w:tcPr>
            <w:tcW w:w="1306" w:type="dxa"/>
            <w:vAlign w:val="center"/>
          </w:tcPr>
          <w:p>
            <w:pPr>
              <w:spacing w:line="360" w:lineRule="auto"/>
              <w:jc w:val="center"/>
              <w:rPr>
                <w:rFonts w:hint="eastAsia" w:ascii="仿宋" w:hAnsi="仿宋" w:eastAsia="仿宋" w:cs="仿宋"/>
                <w:color w:val="auto"/>
                <w:highlight w:val="none"/>
              </w:rPr>
            </w:pPr>
          </w:p>
        </w:tc>
        <w:tc>
          <w:tcPr>
            <w:tcW w:w="1267" w:type="dxa"/>
          </w:tcPr>
          <w:p>
            <w:pPr>
              <w:spacing w:line="360" w:lineRule="auto"/>
              <w:jc w:val="center"/>
              <w:rPr>
                <w:rFonts w:hint="eastAsia" w:ascii="仿宋" w:hAnsi="仿宋" w:eastAsia="仿宋" w:cs="仿宋"/>
                <w:color w:val="auto"/>
                <w:highlight w:val="none"/>
              </w:rPr>
            </w:pPr>
          </w:p>
        </w:tc>
        <w:tc>
          <w:tcPr>
            <w:tcW w:w="1827" w:type="dxa"/>
          </w:tcPr>
          <w:p>
            <w:pPr>
              <w:spacing w:line="36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295" w:type="dxa"/>
            <w:vAlign w:val="center"/>
          </w:tcPr>
          <w:p>
            <w:pPr>
              <w:spacing w:line="360" w:lineRule="auto"/>
              <w:jc w:val="center"/>
              <w:rPr>
                <w:rFonts w:hint="eastAsia" w:ascii="仿宋" w:hAnsi="仿宋" w:eastAsia="仿宋" w:cs="仿宋"/>
                <w:color w:val="auto"/>
                <w:highlight w:val="none"/>
              </w:rPr>
            </w:pPr>
          </w:p>
        </w:tc>
        <w:tc>
          <w:tcPr>
            <w:tcW w:w="2694" w:type="dxa"/>
          </w:tcPr>
          <w:p>
            <w:pPr>
              <w:spacing w:line="360" w:lineRule="auto"/>
              <w:jc w:val="center"/>
              <w:rPr>
                <w:rFonts w:hint="eastAsia" w:ascii="仿宋" w:hAnsi="仿宋" w:eastAsia="仿宋" w:cs="仿宋"/>
                <w:color w:val="auto"/>
                <w:highlight w:val="none"/>
              </w:rPr>
            </w:pPr>
          </w:p>
        </w:tc>
        <w:tc>
          <w:tcPr>
            <w:tcW w:w="1306" w:type="dxa"/>
            <w:vAlign w:val="center"/>
          </w:tcPr>
          <w:p>
            <w:pPr>
              <w:spacing w:line="360" w:lineRule="auto"/>
              <w:jc w:val="center"/>
              <w:rPr>
                <w:rFonts w:hint="eastAsia" w:ascii="仿宋" w:hAnsi="仿宋" w:eastAsia="仿宋" w:cs="仿宋"/>
                <w:color w:val="auto"/>
                <w:highlight w:val="none"/>
              </w:rPr>
            </w:pPr>
          </w:p>
        </w:tc>
        <w:tc>
          <w:tcPr>
            <w:tcW w:w="1267" w:type="dxa"/>
          </w:tcPr>
          <w:p>
            <w:pPr>
              <w:spacing w:line="360" w:lineRule="auto"/>
              <w:jc w:val="center"/>
              <w:rPr>
                <w:rFonts w:hint="eastAsia" w:ascii="仿宋" w:hAnsi="仿宋" w:eastAsia="仿宋" w:cs="仿宋"/>
                <w:color w:val="auto"/>
                <w:highlight w:val="none"/>
              </w:rPr>
            </w:pPr>
          </w:p>
        </w:tc>
        <w:tc>
          <w:tcPr>
            <w:tcW w:w="1827" w:type="dxa"/>
          </w:tcPr>
          <w:p>
            <w:pPr>
              <w:spacing w:line="36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295" w:type="dxa"/>
            <w:vAlign w:val="center"/>
          </w:tcPr>
          <w:p>
            <w:pPr>
              <w:spacing w:line="360" w:lineRule="auto"/>
              <w:jc w:val="center"/>
              <w:rPr>
                <w:rFonts w:hint="eastAsia" w:ascii="仿宋" w:hAnsi="仿宋" w:eastAsia="仿宋" w:cs="仿宋"/>
                <w:color w:val="auto"/>
                <w:highlight w:val="none"/>
              </w:rPr>
            </w:pPr>
          </w:p>
        </w:tc>
        <w:tc>
          <w:tcPr>
            <w:tcW w:w="2694" w:type="dxa"/>
          </w:tcPr>
          <w:p>
            <w:pPr>
              <w:spacing w:line="360" w:lineRule="auto"/>
              <w:jc w:val="center"/>
              <w:rPr>
                <w:rFonts w:hint="eastAsia" w:ascii="仿宋" w:hAnsi="仿宋" w:eastAsia="仿宋" w:cs="仿宋"/>
                <w:color w:val="auto"/>
                <w:highlight w:val="none"/>
              </w:rPr>
            </w:pPr>
          </w:p>
        </w:tc>
        <w:tc>
          <w:tcPr>
            <w:tcW w:w="1306" w:type="dxa"/>
            <w:vAlign w:val="center"/>
          </w:tcPr>
          <w:p>
            <w:pPr>
              <w:spacing w:line="360" w:lineRule="auto"/>
              <w:jc w:val="center"/>
              <w:rPr>
                <w:rFonts w:hint="eastAsia" w:ascii="仿宋" w:hAnsi="仿宋" w:eastAsia="仿宋" w:cs="仿宋"/>
                <w:color w:val="auto"/>
                <w:highlight w:val="none"/>
              </w:rPr>
            </w:pPr>
          </w:p>
        </w:tc>
        <w:tc>
          <w:tcPr>
            <w:tcW w:w="1267" w:type="dxa"/>
          </w:tcPr>
          <w:p>
            <w:pPr>
              <w:spacing w:line="360" w:lineRule="auto"/>
              <w:jc w:val="center"/>
              <w:rPr>
                <w:rFonts w:hint="eastAsia" w:ascii="仿宋" w:hAnsi="仿宋" w:eastAsia="仿宋" w:cs="仿宋"/>
                <w:color w:val="auto"/>
                <w:highlight w:val="none"/>
              </w:rPr>
            </w:pPr>
          </w:p>
        </w:tc>
        <w:tc>
          <w:tcPr>
            <w:tcW w:w="1827" w:type="dxa"/>
          </w:tcPr>
          <w:p>
            <w:pPr>
              <w:spacing w:line="36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295" w:type="dxa"/>
            <w:vAlign w:val="center"/>
          </w:tcPr>
          <w:p>
            <w:pPr>
              <w:spacing w:line="360" w:lineRule="auto"/>
              <w:jc w:val="center"/>
              <w:rPr>
                <w:rFonts w:hint="eastAsia" w:ascii="仿宋" w:hAnsi="仿宋" w:eastAsia="仿宋" w:cs="仿宋"/>
                <w:color w:val="auto"/>
                <w:highlight w:val="none"/>
              </w:rPr>
            </w:pPr>
          </w:p>
        </w:tc>
        <w:tc>
          <w:tcPr>
            <w:tcW w:w="2694" w:type="dxa"/>
          </w:tcPr>
          <w:p>
            <w:pPr>
              <w:spacing w:line="360" w:lineRule="auto"/>
              <w:jc w:val="center"/>
              <w:rPr>
                <w:rFonts w:hint="eastAsia" w:ascii="仿宋" w:hAnsi="仿宋" w:eastAsia="仿宋" w:cs="仿宋"/>
                <w:color w:val="auto"/>
                <w:highlight w:val="none"/>
              </w:rPr>
            </w:pPr>
          </w:p>
        </w:tc>
        <w:tc>
          <w:tcPr>
            <w:tcW w:w="1306" w:type="dxa"/>
            <w:vAlign w:val="center"/>
          </w:tcPr>
          <w:p>
            <w:pPr>
              <w:spacing w:line="360" w:lineRule="auto"/>
              <w:jc w:val="center"/>
              <w:rPr>
                <w:rFonts w:hint="eastAsia" w:ascii="仿宋" w:hAnsi="仿宋" w:eastAsia="仿宋" w:cs="仿宋"/>
                <w:color w:val="auto"/>
                <w:highlight w:val="none"/>
              </w:rPr>
            </w:pPr>
          </w:p>
        </w:tc>
        <w:tc>
          <w:tcPr>
            <w:tcW w:w="1267" w:type="dxa"/>
          </w:tcPr>
          <w:p>
            <w:pPr>
              <w:spacing w:line="360" w:lineRule="auto"/>
              <w:jc w:val="center"/>
              <w:rPr>
                <w:rFonts w:hint="eastAsia" w:ascii="仿宋" w:hAnsi="仿宋" w:eastAsia="仿宋" w:cs="仿宋"/>
                <w:color w:val="auto"/>
                <w:highlight w:val="none"/>
              </w:rPr>
            </w:pPr>
          </w:p>
        </w:tc>
        <w:tc>
          <w:tcPr>
            <w:tcW w:w="1827" w:type="dxa"/>
          </w:tcPr>
          <w:p>
            <w:pPr>
              <w:spacing w:line="36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295" w:type="dxa"/>
            <w:vAlign w:val="center"/>
          </w:tcPr>
          <w:p>
            <w:pPr>
              <w:spacing w:line="360" w:lineRule="auto"/>
              <w:jc w:val="center"/>
              <w:rPr>
                <w:rFonts w:hint="eastAsia" w:ascii="仿宋" w:hAnsi="仿宋" w:eastAsia="仿宋" w:cs="仿宋"/>
                <w:color w:val="auto"/>
                <w:highlight w:val="none"/>
              </w:rPr>
            </w:pPr>
          </w:p>
        </w:tc>
        <w:tc>
          <w:tcPr>
            <w:tcW w:w="2694" w:type="dxa"/>
          </w:tcPr>
          <w:p>
            <w:pPr>
              <w:spacing w:line="360" w:lineRule="auto"/>
              <w:jc w:val="center"/>
              <w:rPr>
                <w:rFonts w:hint="eastAsia" w:ascii="仿宋" w:hAnsi="仿宋" w:eastAsia="仿宋" w:cs="仿宋"/>
                <w:color w:val="auto"/>
                <w:highlight w:val="none"/>
              </w:rPr>
            </w:pPr>
          </w:p>
        </w:tc>
        <w:tc>
          <w:tcPr>
            <w:tcW w:w="1306" w:type="dxa"/>
            <w:vAlign w:val="center"/>
          </w:tcPr>
          <w:p>
            <w:pPr>
              <w:spacing w:line="360" w:lineRule="auto"/>
              <w:jc w:val="center"/>
              <w:rPr>
                <w:rFonts w:hint="eastAsia" w:ascii="仿宋" w:hAnsi="仿宋" w:eastAsia="仿宋" w:cs="仿宋"/>
                <w:color w:val="auto"/>
                <w:highlight w:val="none"/>
              </w:rPr>
            </w:pPr>
          </w:p>
        </w:tc>
        <w:tc>
          <w:tcPr>
            <w:tcW w:w="1267" w:type="dxa"/>
          </w:tcPr>
          <w:p>
            <w:pPr>
              <w:spacing w:line="360" w:lineRule="auto"/>
              <w:jc w:val="center"/>
              <w:rPr>
                <w:rFonts w:hint="eastAsia" w:ascii="仿宋" w:hAnsi="仿宋" w:eastAsia="仿宋" w:cs="仿宋"/>
                <w:color w:val="auto"/>
                <w:highlight w:val="none"/>
              </w:rPr>
            </w:pPr>
          </w:p>
        </w:tc>
        <w:tc>
          <w:tcPr>
            <w:tcW w:w="1827" w:type="dxa"/>
          </w:tcPr>
          <w:p>
            <w:pPr>
              <w:spacing w:line="36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295" w:type="dxa"/>
            <w:vAlign w:val="center"/>
          </w:tcPr>
          <w:p>
            <w:pPr>
              <w:spacing w:line="360" w:lineRule="auto"/>
              <w:jc w:val="center"/>
              <w:rPr>
                <w:rFonts w:hint="eastAsia" w:ascii="仿宋" w:hAnsi="仿宋" w:eastAsia="仿宋" w:cs="仿宋"/>
                <w:color w:val="auto"/>
                <w:highlight w:val="none"/>
              </w:rPr>
            </w:pPr>
          </w:p>
        </w:tc>
        <w:tc>
          <w:tcPr>
            <w:tcW w:w="2694" w:type="dxa"/>
          </w:tcPr>
          <w:p>
            <w:pPr>
              <w:spacing w:line="360" w:lineRule="auto"/>
              <w:jc w:val="center"/>
              <w:rPr>
                <w:rFonts w:hint="eastAsia" w:ascii="仿宋" w:hAnsi="仿宋" w:eastAsia="仿宋" w:cs="仿宋"/>
                <w:color w:val="auto"/>
                <w:highlight w:val="none"/>
              </w:rPr>
            </w:pPr>
          </w:p>
        </w:tc>
        <w:tc>
          <w:tcPr>
            <w:tcW w:w="1306" w:type="dxa"/>
            <w:vAlign w:val="center"/>
          </w:tcPr>
          <w:p>
            <w:pPr>
              <w:spacing w:line="360" w:lineRule="auto"/>
              <w:jc w:val="center"/>
              <w:rPr>
                <w:rFonts w:hint="eastAsia" w:ascii="仿宋" w:hAnsi="仿宋" w:eastAsia="仿宋" w:cs="仿宋"/>
                <w:color w:val="auto"/>
                <w:highlight w:val="none"/>
              </w:rPr>
            </w:pPr>
          </w:p>
        </w:tc>
        <w:tc>
          <w:tcPr>
            <w:tcW w:w="1267" w:type="dxa"/>
          </w:tcPr>
          <w:p>
            <w:pPr>
              <w:spacing w:line="360" w:lineRule="auto"/>
              <w:jc w:val="center"/>
              <w:rPr>
                <w:rFonts w:hint="eastAsia" w:ascii="仿宋" w:hAnsi="仿宋" w:eastAsia="仿宋" w:cs="仿宋"/>
                <w:color w:val="auto"/>
                <w:highlight w:val="none"/>
              </w:rPr>
            </w:pPr>
          </w:p>
        </w:tc>
        <w:tc>
          <w:tcPr>
            <w:tcW w:w="1827" w:type="dxa"/>
          </w:tcPr>
          <w:p>
            <w:pPr>
              <w:spacing w:line="36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295" w:type="dxa"/>
            <w:vAlign w:val="center"/>
          </w:tcPr>
          <w:p>
            <w:pPr>
              <w:spacing w:line="360" w:lineRule="auto"/>
              <w:jc w:val="center"/>
              <w:rPr>
                <w:rFonts w:hint="eastAsia" w:ascii="仿宋" w:hAnsi="仿宋" w:eastAsia="仿宋" w:cs="仿宋"/>
                <w:color w:val="auto"/>
                <w:highlight w:val="none"/>
              </w:rPr>
            </w:pPr>
          </w:p>
        </w:tc>
        <w:tc>
          <w:tcPr>
            <w:tcW w:w="2694" w:type="dxa"/>
          </w:tcPr>
          <w:p>
            <w:pPr>
              <w:spacing w:line="360" w:lineRule="auto"/>
              <w:jc w:val="center"/>
              <w:rPr>
                <w:rFonts w:hint="eastAsia" w:ascii="仿宋" w:hAnsi="仿宋" w:eastAsia="仿宋" w:cs="仿宋"/>
                <w:color w:val="auto"/>
                <w:highlight w:val="none"/>
              </w:rPr>
            </w:pPr>
          </w:p>
        </w:tc>
        <w:tc>
          <w:tcPr>
            <w:tcW w:w="1306" w:type="dxa"/>
            <w:vAlign w:val="center"/>
          </w:tcPr>
          <w:p>
            <w:pPr>
              <w:spacing w:line="360" w:lineRule="auto"/>
              <w:jc w:val="center"/>
              <w:rPr>
                <w:rFonts w:hint="eastAsia" w:ascii="仿宋" w:hAnsi="仿宋" w:eastAsia="仿宋" w:cs="仿宋"/>
                <w:color w:val="auto"/>
                <w:highlight w:val="none"/>
              </w:rPr>
            </w:pPr>
          </w:p>
        </w:tc>
        <w:tc>
          <w:tcPr>
            <w:tcW w:w="1267" w:type="dxa"/>
          </w:tcPr>
          <w:p>
            <w:pPr>
              <w:spacing w:line="360" w:lineRule="auto"/>
              <w:jc w:val="center"/>
              <w:rPr>
                <w:rFonts w:hint="eastAsia" w:ascii="仿宋" w:hAnsi="仿宋" w:eastAsia="仿宋" w:cs="仿宋"/>
                <w:color w:val="auto"/>
                <w:highlight w:val="none"/>
              </w:rPr>
            </w:pPr>
          </w:p>
        </w:tc>
        <w:tc>
          <w:tcPr>
            <w:tcW w:w="1827" w:type="dxa"/>
          </w:tcPr>
          <w:p>
            <w:pPr>
              <w:spacing w:line="36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1295" w:type="dxa"/>
            <w:vAlign w:val="center"/>
          </w:tcPr>
          <w:p>
            <w:pPr>
              <w:spacing w:line="360" w:lineRule="auto"/>
              <w:jc w:val="center"/>
              <w:rPr>
                <w:rFonts w:hint="eastAsia" w:ascii="仿宋" w:hAnsi="仿宋" w:eastAsia="仿宋" w:cs="仿宋"/>
                <w:color w:val="auto"/>
                <w:highlight w:val="none"/>
              </w:rPr>
            </w:pPr>
          </w:p>
        </w:tc>
        <w:tc>
          <w:tcPr>
            <w:tcW w:w="2694" w:type="dxa"/>
          </w:tcPr>
          <w:p>
            <w:pPr>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w:t>
            </w:r>
          </w:p>
        </w:tc>
        <w:tc>
          <w:tcPr>
            <w:tcW w:w="1306" w:type="dxa"/>
            <w:vAlign w:val="center"/>
          </w:tcPr>
          <w:p>
            <w:pPr>
              <w:spacing w:line="360" w:lineRule="auto"/>
              <w:jc w:val="center"/>
              <w:rPr>
                <w:rFonts w:hint="eastAsia" w:ascii="仿宋" w:hAnsi="仿宋" w:eastAsia="仿宋" w:cs="仿宋"/>
                <w:color w:val="auto"/>
                <w:highlight w:val="none"/>
              </w:rPr>
            </w:pPr>
          </w:p>
        </w:tc>
        <w:tc>
          <w:tcPr>
            <w:tcW w:w="1267" w:type="dxa"/>
          </w:tcPr>
          <w:p>
            <w:pPr>
              <w:spacing w:line="360" w:lineRule="auto"/>
              <w:jc w:val="center"/>
              <w:rPr>
                <w:rFonts w:hint="eastAsia" w:ascii="仿宋" w:hAnsi="仿宋" w:eastAsia="仿宋" w:cs="仿宋"/>
                <w:color w:val="auto"/>
                <w:highlight w:val="none"/>
              </w:rPr>
            </w:pPr>
          </w:p>
        </w:tc>
        <w:tc>
          <w:tcPr>
            <w:tcW w:w="1827" w:type="dxa"/>
          </w:tcPr>
          <w:p>
            <w:pPr>
              <w:spacing w:line="36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3989" w:type="dxa"/>
            <w:gridSpan w:val="2"/>
            <w:vAlign w:val="center"/>
          </w:tcPr>
          <w:p>
            <w:pPr>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合计</w:t>
            </w:r>
          </w:p>
        </w:tc>
        <w:tc>
          <w:tcPr>
            <w:tcW w:w="4400" w:type="dxa"/>
            <w:gridSpan w:val="3"/>
            <w:vAlign w:val="center"/>
          </w:tcPr>
          <w:p>
            <w:pPr>
              <w:spacing w:line="360" w:lineRule="auto"/>
              <w:jc w:val="center"/>
              <w:rPr>
                <w:rFonts w:hint="eastAsia" w:ascii="仿宋" w:hAnsi="仿宋" w:eastAsia="仿宋" w:cs="仿宋"/>
                <w:color w:val="auto"/>
                <w:highlight w:val="none"/>
              </w:rPr>
            </w:pPr>
          </w:p>
        </w:tc>
      </w:tr>
    </w:tbl>
    <w:p>
      <w:pPr>
        <w:spacing w:line="360" w:lineRule="auto"/>
        <w:rPr>
          <w:rFonts w:hint="eastAsia" w:ascii="仿宋" w:hAnsi="仿宋" w:eastAsia="仿宋" w:cs="仿宋"/>
          <w:color w:val="auto"/>
          <w:highlight w:val="none"/>
        </w:rPr>
      </w:pP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1.请供应商完整填写本表；</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2.该表可扩展。</w:t>
      </w:r>
    </w:p>
    <w:p>
      <w:pPr>
        <w:pStyle w:val="49"/>
        <w:spacing w:line="360" w:lineRule="auto"/>
        <w:ind w:firstLine="480"/>
        <w:rPr>
          <w:rFonts w:hint="eastAsia" w:ascii="仿宋" w:hAnsi="仿宋" w:eastAsia="仿宋" w:cs="仿宋"/>
          <w:color w:val="auto"/>
          <w:highlight w:val="none"/>
        </w:rPr>
      </w:pPr>
    </w:p>
    <w:p>
      <w:pPr>
        <w:snapToGrid w:val="0"/>
        <w:spacing w:line="360" w:lineRule="auto"/>
        <w:ind w:firstLine="960" w:firstLineChars="400"/>
        <w:rPr>
          <w:rFonts w:hint="eastAsia" w:ascii="仿宋" w:hAnsi="仿宋" w:eastAsia="仿宋" w:cs="仿宋"/>
          <w:color w:val="auto"/>
          <w:sz w:val="24"/>
          <w:highlight w:val="none"/>
        </w:rPr>
      </w:pPr>
    </w:p>
    <w:p>
      <w:pPr>
        <w:snapToGrid w:val="0"/>
        <w:spacing w:line="360" w:lineRule="auto"/>
        <w:ind w:firstLine="960" w:firstLineChars="400"/>
        <w:rPr>
          <w:rFonts w:hint="eastAsia" w:ascii="仿宋" w:hAnsi="仿宋" w:eastAsia="仿宋" w:cs="仿宋"/>
          <w:color w:val="auto"/>
          <w:sz w:val="24"/>
          <w:highlight w:val="none"/>
        </w:rPr>
      </w:pPr>
    </w:p>
    <w:p>
      <w:pPr>
        <w:spacing w:line="360" w:lineRule="auto"/>
        <w:ind w:left="482" w:hanging="482" w:hangingChars="200"/>
        <w:rPr>
          <w:rFonts w:hint="eastAsia" w:ascii="仿宋" w:hAnsi="仿宋" w:eastAsia="仿宋" w:cs="仿宋"/>
          <w:b/>
          <w:bCs/>
          <w:color w:val="auto"/>
          <w:sz w:val="24"/>
          <w:szCs w:val="24"/>
          <w:highlight w:val="none"/>
        </w:rPr>
      </w:pP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                           法定代表人或法定代表人授权代表：</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                     （签署或盖章）</w:t>
      </w:r>
    </w:p>
    <w:p>
      <w:pPr>
        <w:snapToGrid w:val="0"/>
        <w:spacing w:line="360" w:lineRule="auto"/>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p>
      <w:pPr>
        <w:snapToGrid w:val="0"/>
        <w:spacing w:line="360" w:lineRule="auto"/>
        <w:ind w:firstLine="480" w:firstLineChars="200"/>
        <w:rPr>
          <w:rFonts w:hint="eastAsia" w:ascii="仿宋" w:hAnsi="仿宋" w:eastAsia="仿宋" w:cs="仿宋"/>
          <w:color w:val="auto"/>
          <w:sz w:val="24"/>
          <w:highlight w:val="none"/>
        </w:rPr>
      </w:pPr>
    </w:p>
    <w:p>
      <w:pPr>
        <w:pStyle w:val="5"/>
        <w:spacing w:before="0" w:after="0" w:line="360" w:lineRule="auto"/>
        <w:rPr>
          <w:rFonts w:hint="eastAsia" w:ascii="仿宋" w:hAnsi="仿宋" w:eastAsia="仿宋" w:cs="仿宋"/>
          <w:color w:val="auto"/>
          <w:sz w:val="28"/>
          <w:szCs w:val="28"/>
          <w:highlight w:val="none"/>
        </w:rPr>
        <w:sectPr>
          <w:headerReference r:id="rId14" w:type="default"/>
          <w:footerReference r:id="rId15" w:type="default"/>
          <w:pgSz w:w="11907" w:h="16840"/>
          <w:pgMar w:top="1134" w:right="1191" w:bottom="1134" w:left="1304" w:header="851" w:footer="992" w:gutter="0"/>
          <w:cols w:space="720" w:num="1"/>
          <w:docGrid w:linePitch="380" w:charSpace="-5735"/>
        </w:sectPr>
      </w:pPr>
    </w:p>
    <w:p>
      <w:pPr>
        <w:pStyle w:val="5"/>
        <w:spacing w:before="0" w:after="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二、技术部分</w:t>
      </w:r>
      <w:bookmarkEnd w:id="167"/>
      <w:bookmarkEnd w:id="168"/>
      <w:bookmarkEnd w:id="169"/>
      <w:bookmarkEnd w:id="170"/>
      <w:bookmarkEnd w:id="171"/>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（一）服务方案</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szCs w:val="24"/>
          <w:highlight w:val="none"/>
        </w:rPr>
        <w:t>供应商根据采购文件“第四篇 资格审查及评标办法”中服务部分的评审标准编制服务方案，格式自拟。</w:t>
      </w: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color w:val="auto"/>
          <w:highlight w:val="none"/>
        </w:rPr>
      </w:pPr>
    </w:p>
    <w:p>
      <w:pPr>
        <w:snapToGrid w:val="0"/>
        <w:spacing w:line="360" w:lineRule="auto"/>
        <w:rPr>
          <w:rFonts w:hint="eastAsia" w:ascii="仿宋" w:hAnsi="仿宋" w:eastAsia="仿宋" w:cs="仿宋"/>
          <w:color w:val="auto"/>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（二）技术响应偏离表</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658" w:type="dxa"/>
            <w:vAlign w:val="center"/>
          </w:tcPr>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w:t>
            </w:r>
          </w:p>
        </w:tc>
        <w:tc>
          <w:tcPr>
            <w:tcW w:w="2759" w:type="dxa"/>
            <w:vAlign w:val="center"/>
          </w:tcPr>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响应情况</w:t>
            </w:r>
          </w:p>
        </w:tc>
        <w:tc>
          <w:tcPr>
            <w:tcW w:w="2067" w:type="dxa"/>
            <w:vAlign w:val="center"/>
          </w:tcPr>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65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75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067"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65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75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067"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65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75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067"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65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75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067"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65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75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067"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65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75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067"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658"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75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067"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bl>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                                  法定代表人授权代表：</w:t>
      </w: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                               （签字或盖章）</w:t>
      </w: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1.本表即为对本项目“第二篇  项目服务需求”中所列技术要求进行比较和响应；</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2.该表必须按照采购文件要求逐条如实填写，根据响应情况在“差异说明”项填写正偏离或负偏离及原因，完全符合的填写“无差异”；</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3.该表可扩展，并逐页签字或盖章；</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4.可附相关技术支撑材料。（格式自定）</w:t>
      </w:r>
    </w:p>
    <w:p>
      <w:pPr>
        <w:pStyle w:val="5"/>
        <w:spacing w:before="0" w:after="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bookmarkStart w:id="172" w:name="_Toc17029"/>
      <w:bookmarkStart w:id="173" w:name="_Toc486608279"/>
      <w:bookmarkStart w:id="174" w:name="_Toc487204799"/>
      <w:bookmarkStart w:id="175" w:name="_Toc7672"/>
      <w:bookmarkStart w:id="176" w:name="_Toc486585242"/>
      <w:r>
        <w:rPr>
          <w:rFonts w:hint="eastAsia" w:ascii="仿宋" w:hAnsi="仿宋" w:eastAsia="仿宋" w:cs="仿宋"/>
          <w:color w:val="auto"/>
          <w:sz w:val="28"/>
          <w:szCs w:val="28"/>
          <w:highlight w:val="none"/>
        </w:rPr>
        <w:t>三、商务部分</w:t>
      </w:r>
      <w:bookmarkEnd w:id="172"/>
      <w:bookmarkEnd w:id="173"/>
      <w:bookmarkEnd w:id="174"/>
      <w:bookmarkEnd w:id="175"/>
      <w:bookmarkEnd w:id="176"/>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（一）商务响应偏离表</w:t>
      </w:r>
    </w:p>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商务响应偏离表</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对于采购文件的商务要求，如有任何偏离请如实填写下表：</w:t>
      </w:r>
    </w:p>
    <w:p>
      <w:pPr>
        <w:tabs>
          <w:tab w:val="left" w:pos="6300"/>
        </w:tabs>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szCs w:val="24"/>
          <w:highlight w:val="none"/>
        </w:rPr>
        <w:t>项目名称：</w:t>
      </w:r>
    </w:p>
    <w:tbl>
      <w:tblPr>
        <w:tblStyle w:val="25"/>
        <w:tblpPr w:leftFromText="180" w:rightFromText="180" w:vertAnchor="text" w:horzAnchor="page" w:tblpX="1424" w:tblpY="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10" w:type="dxa"/>
            <w:vAlign w:val="center"/>
          </w:tcPr>
          <w:p>
            <w:pPr>
              <w:spacing w:line="360" w:lineRule="auto"/>
              <w:jc w:val="center"/>
              <w:rPr>
                <w:rFonts w:hint="eastAsia" w:ascii="仿宋" w:hAnsi="仿宋" w:eastAsia="仿宋" w:cs="仿宋"/>
                <w:color w:val="auto"/>
                <w:sz w:val="24"/>
                <w:szCs w:val="24"/>
                <w:highlight w:val="none"/>
              </w:rPr>
            </w:pPr>
            <w:bookmarkStart w:id="189" w:name="_GoBack"/>
            <w:bookmarkEnd w:id="189"/>
            <w:r>
              <w:rPr>
                <w:rFonts w:hint="eastAsia" w:ascii="仿宋" w:hAnsi="仿宋" w:eastAsia="仿宋" w:cs="仿宋"/>
                <w:color w:val="auto"/>
                <w:sz w:val="24"/>
                <w:szCs w:val="24"/>
                <w:highlight w:val="none"/>
              </w:rPr>
              <w:t>序号</w:t>
            </w:r>
          </w:p>
        </w:tc>
        <w:tc>
          <w:tcPr>
            <w:tcW w:w="3179"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项目商务需求</w:t>
            </w:r>
          </w:p>
        </w:tc>
        <w:tc>
          <w:tcPr>
            <w:tcW w:w="243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响应情况</w:t>
            </w:r>
          </w:p>
        </w:tc>
        <w:tc>
          <w:tcPr>
            <w:tcW w:w="2355"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317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434"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355"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317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434"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355"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317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434"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355"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317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434"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355"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317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434"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355"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3179"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434"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c>
          <w:tcPr>
            <w:tcW w:w="2355" w:type="dxa"/>
            <w:vAlign w:val="center"/>
          </w:tcPr>
          <w:p>
            <w:pPr>
              <w:tabs>
                <w:tab w:val="left" w:pos="6300"/>
              </w:tabs>
              <w:snapToGrid w:val="0"/>
              <w:spacing w:line="360" w:lineRule="auto"/>
              <w:jc w:val="center"/>
              <w:outlineLvl w:val="0"/>
              <w:rPr>
                <w:rFonts w:hint="eastAsia" w:ascii="仿宋" w:hAnsi="仿宋" w:eastAsia="仿宋" w:cs="仿宋"/>
                <w:color w:val="auto"/>
                <w:sz w:val="24"/>
                <w:szCs w:val="24"/>
                <w:highlight w:val="none"/>
              </w:rPr>
            </w:pPr>
          </w:p>
        </w:tc>
      </w:tr>
    </w:tbl>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                                   法定代表人授权代表：</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                                 （签字或盖章）</w:t>
      </w: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1.本表即为对本项目“第三篇 项目商务要求”中所列服务要求进行比较和响应；</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2.该表必须按照采购文件要求逐条如实填写，根据响应情况在“差异说明”项填写正偏离或负偏离及原因，完全符合的填写“无差异”；</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3.该表可扩展，并逐页签字或盖章；</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 xml:space="preserve">  </w:t>
      </w:r>
      <w:r>
        <w:rPr>
          <w:rFonts w:hint="eastAsia" w:ascii="仿宋" w:hAnsi="仿宋" w:eastAsia="仿宋" w:cs="仿宋"/>
          <w:color w:val="auto"/>
          <w:sz w:val="24"/>
          <w:szCs w:val="24"/>
          <w:highlight w:val="none"/>
        </w:rPr>
        <w:t>（二）商务部分相关证明材料</w:t>
      </w:r>
    </w:p>
    <w:p>
      <w:pPr>
        <w:pStyle w:val="2"/>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szCs w:val="24"/>
          <w:highlight w:val="none"/>
        </w:rPr>
        <w:t>供应商根据采购文件“第四篇 资格审查及评标办法”中商务部分的评审标准编制，格式自拟。</w:t>
      </w:r>
    </w:p>
    <w:p>
      <w:pPr>
        <w:spacing w:line="360" w:lineRule="auto"/>
        <w:ind w:firstLine="240" w:firstLineChars="100"/>
        <w:rPr>
          <w:rFonts w:hint="eastAsia" w:ascii="仿宋" w:hAnsi="仿宋" w:eastAsia="仿宋" w:cs="仿宋"/>
          <w:color w:val="auto"/>
          <w:sz w:val="24"/>
          <w:szCs w:val="24"/>
          <w:highlight w:val="none"/>
        </w:rPr>
      </w:pPr>
    </w:p>
    <w:p>
      <w:pP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（三）其它优惠承诺（格式自定）</w:t>
      </w:r>
    </w:p>
    <w:p>
      <w:pPr>
        <w:pStyle w:val="5"/>
        <w:spacing w:before="0" w:after="0" w:line="360" w:lineRule="auto"/>
        <w:rPr>
          <w:rFonts w:hint="eastAsia" w:ascii="仿宋" w:hAnsi="仿宋" w:eastAsia="仿宋" w:cs="仿宋"/>
          <w:color w:val="auto"/>
          <w:sz w:val="28"/>
          <w:szCs w:val="28"/>
          <w:highlight w:val="none"/>
        </w:rPr>
      </w:pPr>
      <w:r>
        <w:rPr>
          <w:rFonts w:hint="eastAsia" w:ascii="仿宋" w:hAnsi="仿宋" w:eastAsia="仿宋" w:cs="仿宋"/>
          <w:b w:val="0"/>
          <w:color w:val="auto"/>
          <w:sz w:val="28"/>
          <w:szCs w:val="28"/>
          <w:highlight w:val="none"/>
        </w:rPr>
        <w:br w:type="page"/>
      </w:r>
      <w:bookmarkStart w:id="177" w:name="_Toc23557"/>
      <w:bookmarkStart w:id="178" w:name="_Toc486608280"/>
      <w:bookmarkStart w:id="179" w:name="_Toc8290"/>
      <w:bookmarkStart w:id="180" w:name="_Toc487204800"/>
      <w:bookmarkStart w:id="181" w:name="_Toc21733"/>
      <w:bookmarkStart w:id="182" w:name="_Toc486585243"/>
      <w:r>
        <w:rPr>
          <w:rFonts w:hint="eastAsia" w:ascii="仿宋" w:hAnsi="仿宋" w:eastAsia="仿宋" w:cs="仿宋"/>
          <w:color w:val="auto"/>
          <w:sz w:val="28"/>
          <w:szCs w:val="28"/>
          <w:highlight w:val="none"/>
        </w:rPr>
        <w:t>四、资格条件及其他</w:t>
      </w:r>
      <w:bookmarkEnd w:id="177"/>
      <w:bookmarkEnd w:id="178"/>
      <w:bookmarkEnd w:id="179"/>
      <w:bookmarkEnd w:id="180"/>
      <w:bookmarkEnd w:id="181"/>
      <w:bookmarkEnd w:id="182"/>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（一）营业执照（副本）或事业单位法人证书（副本）复印件</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（二）组织机构代码证复印件</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widowControl/>
        <w:spacing w:line="360" w:lineRule="auto"/>
        <w:ind w:firstLine="56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page"/>
      </w:r>
      <w:r>
        <w:rPr>
          <w:rFonts w:hint="eastAsia" w:ascii="仿宋" w:hAnsi="仿宋" w:eastAsia="仿宋" w:cs="仿宋"/>
          <w:color w:val="auto"/>
          <w:sz w:val="24"/>
          <w:szCs w:val="24"/>
          <w:highlight w:val="none"/>
        </w:rPr>
        <w:t>（三）法定代表人身份证明书（格式）</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（采购人名称）</w:t>
      </w:r>
      <w:r>
        <w:rPr>
          <w:rFonts w:hint="eastAsia" w:ascii="仿宋" w:hAnsi="仿宋" w:eastAsia="仿宋" w:cs="仿宋"/>
          <w:color w:val="auto"/>
          <w:sz w:val="24"/>
          <w:szCs w:val="24"/>
          <w:highlight w:val="none"/>
        </w:rPr>
        <w:t>：</w:t>
      </w: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（法定代表人姓名）</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u w:val="single"/>
        </w:rPr>
        <w:t>（供应商名称）</w:t>
      </w:r>
      <w:r>
        <w:rPr>
          <w:rFonts w:hint="eastAsia" w:ascii="仿宋" w:hAnsi="仿宋" w:eastAsia="仿宋" w:cs="仿宋"/>
          <w:color w:val="auto"/>
          <w:sz w:val="24"/>
          <w:szCs w:val="24"/>
          <w:highlight w:val="none"/>
        </w:rPr>
        <w:t>任</w:t>
      </w:r>
      <w:r>
        <w:rPr>
          <w:rFonts w:hint="eastAsia" w:ascii="仿宋" w:hAnsi="仿宋" w:eastAsia="仿宋" w:cs="仿宋"/>
          <w:color w:val="auto"/>
          <w:sz w:val="24"/>
          <w:szCs w:val="24"/>
          <w:highlight w:val="none"/>
          <w:u w:val="single"/>
        </w:rPr>
        <w:t>（职务名称）</w:t>
      </w:r>
      <w:r>
        <w:rPr>
          <w:rFonts w:hint="eastAsia" w:ascii="仿宋" w:hAnsi="仿宋" w:eastAsia="仿宋" w:cs="仿宋"/>
          <w:color w:val="auto"/>
          <w:sz w:val="24"/>
          <w:szCs w:val="24"/>
          <w:highlight w:val="none"/>
        </w:rPr>
        <w:t>职务，是</w:t>
      </w:r>
      <w:r>
        <w:rPr>
          <w:rFonts w:hint="eastAsia" w:ascii="仿宋" w:hAnsi="仿宋" w:eastAsia="仿宋" w:cs="仿宋"/>
          <w:color w:val="auto"/>
          <w:sz w:val="24"/>
          <w:szCs w:val="24"/>
          <w:highlight w:val="none"/>
          <w:u w:val="single"/>
        </w:rPr>
        <w:t>（供应商名称）</w:t>
      </w:r>
      <w:r>
        <w:rPr>
          <w:rFonts w:hint="eastAsia" w:ascii="仿宋" w:hAnsi="仿宋" w:eastAsia="仿宋" w:cs="仿宋"/>
          <w:color w:val="auto"/>
          <w:sz w:val="24"/>
          <w:szCs w:val="24"/>
          <w:highlight w:val="none"/>
        </w:rPr>
        <w:t>的法定代表人。</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特此证明。</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（供应商公章）</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（附：法定代表人身份证双面复印件）</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highlight w:val="none"/>
        </w:rPr>
      </w:pPr>
    </w:p>
    <w:p>
      <w:pPr>
        <w:tabs>
          <w:tab w:val="left" w:pos="6300"/>
        </w:tabs>
        <w:snapToGrid w:val="0"/>
        <w:spacing w:line="360" w:lineRule="auto"/>
        <w:ind w:firstLine="570"/>
        <w:rPr>
          <w:rFonts w:hint="eastAsia" w:ascii="仿宋" w:hAnsi="仿宋" w:eastAsia="仿宋" w:cs="仿宋"/>
          <w:color w:val="auto"/>
          <w:highlight w:val="none"/>
        </w:rPr>
      </w:pPr>
    </w:p>
    <w:p>
      <w:pPr>
        <w:tabs>
          <w:tab w:val="left" w:pos="6300"/>
        </w:tabs>
        <w:snapToGrid w:val="0"/>
        <w:spacing w:line="360" w:lineRule="auto"/>
        <w:ind w:firstLine="570"/>
        <w:rPr>
          <w:rFonts w:hint="eastAsia" w:ascii="仿宋" w:hAnsi="仿宋" w:eastAsia="仿宋" w:cs="仿宋"/>
          <w:color w:val="auto"/>
          <w:highlight w:val="none"/>
        </w:rPr>
      </w:pPr>
    </w:p>
    <w:p>
      <w:pPr>
        <w:tabs>
          <w:tab w:val="left" w:pos="6300"/>
        </w:tabs>
        <w:snapToGrid w:val="0"/>
        <w:spacing w:line="360" w:lineRule="auto"/>
        <w:ind w:firstLine="570"/>
        <w:rPr>
          <w:rFonts w:hint="eastAsia" w:ascii="仿宋" w:hAnsi="仿宋" w:eastAsia="仿宋" w:cs="仿宋"/>
          <w:color w:val="auto"/>
          <w:highlight w:val="none"/>
        </w:rPr>
      </w:pPr>
    </w:p>
    <w:p>
      <w:pPr>
        <w:tabs>
          <w:tab w:val="left" w:pos="6300"/>
        </w:tabs>
        <w:snapToGrid w:val="0"/>
        <w:spacing w:line="360" w:lineRule="auto"/>
        <w:ind w:firstLine="570"/>
        <w:rPr>
          <w:rFonts w:hint="eastAsia" w:ascii="仿宋" w:hAnsi="仿宋" w:eastAsia="仿宋" w:cs="仿宋"/>
          <w:color w:val="auto"/>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column"/>
      </w:r>
      <w:r>
        <w:rPr>
          <w:rFonts w:hint="eastAsia" w:ascii="仿宋" w:hAnsi="仿宋" w:eastAsia="仿宋" w:cs="仿宋"/>
          <w:color w:val="auto"/>
          <w:sz w:val="24"/>
          <w:szCs w:val="24"/>
          <w:highlight w:val="none"/>
        </w:rPr>
        <w:t>（四）法定代表人授权委托书（格式）</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（采购人名称）</w:t>
      </w:r>
      <w:r>
        <w:rPr>
          <w:rFonts w:hint="eastAsia" w:ascii="仿宋" w:hAnsi="仿宋" w:eastAsia="仿宋" w:cs="仿宋"/>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（供应商法定代表人名称）</w:t>
      </w:r>
      <w:r>
        <w:rPr>
          <w:rFonts w:hint="eastAsia" w:ascii="仿宋" w:hAnsi="仿宋" w:eastAsia="仿宋" w:cs="仿宋"/>
          <w:color w:val="auto"/>
          <w:sz w:val="24"/>
          <w:szCs w:val="24"/>
          <w:highlight w:val="none"/>
        </w:rPr>
        <w:t>是</w:t>
      </w:r>
      <w:r>
        <w:rPr>
          <w:rFonts w:hint="eastAsia" w:ascii="仿宋" w:hAnsi="仿宋" w:eastAsia="仿宋" w:cs="仿宋"/>
          <w:color w:val="auto"/>
          <w:sz w:val="24"/>
          <w:szCs w:val="24"/>
          <w:highlight w:val="none"/>
          <w:u w:val="single"/>
        </w:rPr>
        <w:t>（供应商名称）</w:t>
      </w:r>
      <w:r>
        <w:rPr>
          <w:rFonts w:hint="eastAsia" w:ascii="仿宋" w:hAnsi="仿宋" w:eastAsia="仿宋" w:cs="仿宋"/>
          <w:color w:val="auto"/>
          <w:sz w:val="24"/>
          <w:szCs w:val="24"/>
          <w:highlight w:val="none"/>
        </w:rPr>
        <w:t>的法定代表人，特授权</w:t>
      </w:r>
      <w:r>
        <w:rPr>
          <w:rFonts w:hint="eastAsia" w:ascii="仿宋" w:hAnsi="仿宋" w:eastAsia="仿宋" w:cs="仿宋"/>
          <w:color w:val="auto"/>
          <w:sz w:val="24"/>
          <w:szCs w:val="24"/>
          <w:highlight w:val="none"/>
          <w:u w:val="single"/>
        </w:rPr>
        <w:t>（被授权人姓名及身份证代码）</w:t>
      </w:r>
      <w:r>
        <w:rPr>
          <w:rFonts w:hint="eastAsia" w:ascii="仿宋" w:hAnsi="仿宋" w:eastAsia="仿宋" w:cs="仿宋"/>
          <w:color w:val="auto"/>
          <w:sz w:val="24"/>
          <w:szCs w:val="24"/>
          <w:highlight w:val="none"/>
        </w:rPr>
        <w:t>代表我单位全权办理上述项目的投标、签约等具体工作，并签署全部有关文件、协议及合同。</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我单位对被授权人的签字负全部责任。</w:t>
      </w:r>
    </w:p>
    <w:p>
      <w:pPr>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被授权人：                                   供应商法定代表人：</w:t>
      </w: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（签字或盖章）                              （签字或盖章）</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（附：被授权人身份证双面复印件）</w:t>
      </w: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firstLine="570"/>
        <w:rPr>
          <w:rFonts w:hint="eastAsia" w:ascii="仿宋" w:hAnsi="仿宋" w:eastAsia="仿宋" w:cs="仿宋"/>
          <w:color w:val="auto"/>
          <w:sz w:val="24"/>
          <w:szCs w:val="24"/>
          <w:highlight w:val="none"/>
        </w:rPr>
      </w:pPr>
    </w:p>
    <w:p>
      <w:pPr>
        <w:tabs>
          <w:tab w:val="left" w:pos="6300"/>
        </w:tabs>
        <w:snapToGrid w:val="0"/>
        <w:spacing w:line="360" w:lineRule="auto"/>
        <w:ind w:right="480" w:firstLine="57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w:t>
      </w:r>
    </w:p>
    <w:p>
      <w:pPr>
        <w:tabs>
          <w:tab w:val="left" w:pos="6300"/>
        </w:tabs>
        <w:snapToGrid w:val="0"/>
        <w:spacing w:line="360" w:lineRule="auto"/>
        <w:ind w:right="480" w:firstLine="57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2"/>
        <w:spacing w:line="360" w:lineRule="auto"/>
        <w:rPr>
          <w:rFonts w:hint="eastAsia" w:ascii="仿宋" w:hAnsi="仿宋" w:eastAsia="仿宋" w:cs="仿宋"/>
          <w:color w:val="auto"/>
          <w:highlight w:val="none"/>
        </w:rPr>
      </w:pPr>
    </w:p>
    <w:p>
      <w:pPr>
        <w:pStyle w:val="2"/>
        <w:spacing w:line="360" w:lineRule="auto"/>
        <w:rPr>
          <w:rFonts w:hint="eastAsia" w:ascii="仿宋" w:hAnsi="仿宋" w:eastAsia="仿宋" w:cs="仿宋"/>
          <w:color w:val="auto"/>
          <w:highlight w:val="none"/>
        </w:rPr>
      </w:pPr>
    </w:p>
    <w:p>
      <w:pPr>
        <w:pStyle w:val="2"/>
        <w:spacing w:line="360" w:lineRule="auto"/>
        <w:rPr>
          <w:rFonts w:hint="eastAsia" w:ascii="仿宋" w:hAnsi="仿宋" w:eastAsia="仿宋" w:cs="仿宋"/>
          <w:color w:val="auto"/>
          <w:highlight w:val="none"/>
        </w:rPr>
      </w:pPr>
    </w:p>
    <w:p>
      <w:pPr>
        <w:pStyle w:val="2"/>
        <w:spacing w:line="360" w:lineRule="auto"/>
        <w:rPr>
          <w:rFonts w:hint="eastAsia" w:ascii="仿宋" w:hAnsi="仿宋" w:eastAsia="仿宋" w:cs="仿宋"/>
          <w:color w:val="auto"/>
          <w:highlight w:val="none"/>
        </w:rPr>
      </w:pPr>
    </w:p>
    <w:p>
      <w:pPr>
        <w:tabs>
          <w:tab w:val="left" w:pos="6300"/>
        </w:tabs>
        <w:snapToGrid w:val="0"/>
        <w:spacing w:line="360" w:lineRule="auto"/>
        <w:ind w:firstLine="570"/>
        <w:rPr>
          <w:rFonts w:hint="eastAsia" w:ascii="仿宋" w:hAnsi="仿宋" w:eastAsia="仿宋" w:cs="仿宋"/>
          <w:color w:val="auto"/>
          <w:highlight w:val="none"/>
        </w:rPr>
      </w:pPr>
    </w:p>
    <w:p>
      <w:pPr>
        <w:tabs>
          <w:tab w:val="left" w:pos="6300"/>
        </w:tabs>
        <w:snapToGrid w:val="0"/>
        <w:spacing w:line="360" w:lineRule="auto"/>
        <w:ind w:firstLine="570"/>
        <w:rPr>
          <w:rFonts w:hint="eastAsia" w:ascii="仿宋" w:hAnsi="仿宋" w:eastAsia="仿宋" w:cs="仿宋"/>
          <w:color w:val="auto"/>
          <w:highlight w:val="none"/>
        </w:rPr>
      </w:pPr>
    </w:p>
    <w:p>
      <w:pPr>
        <w:tabs>
          <w:tab w:val="left" w:pos="6300"/>
        </w:tabs>
        <w:snapToGrid w:val="0"/>
        <w:spacing w:line="360" w:lineRule="auto"/>
        <w:ind w:firstLine="570"/>
        <w:rPr>
          <w:rFonts w:hint="eastAsia" w:ascii="仿宋" w:hAnsi="仿宋" w:eastAsia="仿宋" w:cs="仿宋"/>
          <w:color w:val="auto"/>
          <w:highlight w:val="none"/>
        </w:rPr>
      </w:pPr>
    </w:p>
    <w:p>
      <w:pPr>
        <w:tabs>
          <w:tab w:val="left" w:pos="6300"/>
        </w:tabs>
        <w:snapToGrid w:val="0"/>
        <w:spacing w:line="360" w:lineRule="auto"/>
        <w:ind w:firstLine="570"/>
        <w:rPr>
          <w:rFonts w:hint="eastAsia" w:ascii="仿宋" w:hAnsi="仿宋" w:eastAsia="仿宋" w:cs="仿宋"/>
          <w:color w:val="auto"/>
          <w:highlight w:val="none"/>
        </w:rPr>
      </w:pPr>
    </w:p>
    <w:p>
      <w:pPr>
        <w:pStyle w:val="41"/>
        <w:spacing w:line="360" w:lineRule="auto"/>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（五）书面声明</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tabs>
          <w:tab w:val="left" w:pos="6300"/>
        </w:tabs>
        <w:snapToGrid w:val="0"/>
        <w:spacing w:line="360" w:lineRule="auto"/>
        <w:ind w:firstLine="570"/>
        <w:rPr>
          <w:rFonts w:hint="eastAsia" w:ascii="仿宋" w:hAnsi="仿宋" w:eastAsia="仿宋" w:cs="仿宋"/>
          <w:color w:val="auto"/>
          <w:sz w:val="24"/>
          <w:highlight w:val="none"/>
        </w:rPr>
      </w:pP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（采购人名称）</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“重大税收违法案件当事人名单”、中，也未列入中国政府采购网（www.ccgp.gov.cn）“政府采购严重违法失信行为记录名单”中，并随时接受采购人、采购代理机构的检查验证，我方对以上声明负全部法律责任。</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特此声明。</w:t>
      </w:r>
    </w:p>
    <w:p>
      <w:pPr>
        <w:tabs>
          <w:tab w:val="left" w:pos="6300"/>
        </w:tabs>
        <w:snapToGrid w:val="0"/>
        <w:spacing w:line="360" w:lineRule="auto"/>
        <w:ind w:firstLine="570"/>
        <w:rPr>
          <w:rFonts w:hint="eastAsia" w:ascii="仿宋" w:hAnsi="仿宋" w:eastAsia="仿宋" w:cs="仿宋"/>
          <w:color w:val="auto"/>
          <w:sz w:val="24"/>
          <w:highlight w:val="none"/>
        </w:rPr>
      </w:pPr>
    </w:p>
    <w:p>
      <w:pPr>
        <w:tabs>
          <w:tab w:val="left" w:pos="6300"/>
        </w:tabs>
        <w:snapToGrid w:val="0"/>
        <w:spacing w:line="360" w:lineRule="auto"/>
        <w:ind w:firstLine="570"/>
        <w:rPr>
          <w:rFonts w:hint="eastAsia" w:ascii="仿宋" w:hAnsi="仿宋" w:eastAsia="仿宋" w:cs="仿宋"/>
          <w:color w:val="auto"/>
          <w:sz w:val="24"/>
          <w:highlight w:val="none"/>
        </w:rPr>
      </w:pPr>
    </w:p>
    <w:p>
      <w:pPr>
        <w:tabs>
          <w:tab w:val="left" w:pos="6300"/>
        </w:tabs>
        <w:snapToGrid w:val="0"/>
        <w:spacing w:line="360" w:lineRule="auto"/>
        <w:ind w:right="424" w:firstLine="57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w:t>
      </w:r>
    </w:p>
    <w:p>
      <w:pPr>
        <w:tabs>
          <w:tab w:val="left" w:pos="6300"/>
        </w:tabs>
        <w:snapToGrid w:val="0"/>
        <w:spacing w:line="360" w:lineRule="auto"/>
        <w:ind w:right="480" w:firstLine="57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p>
      <w:pPr>
        <w:tabs>
          <w:tab w:val="left" w:pos="6300"/>
        </w:tabs>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color w:val="auto"/>
          <w:highlight w:val="none"/>
        </w:rPr>
        <w:br w:type="page"/>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（六）特定资格条件证明</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如有</w:t>
      </w:r>
      <w:r>
        <w:rPr>
          <w:rFonts w:hint="eastAsia" w:ascii="仿宋" w:hAnsi="仿宋" w:eastAsia="仿宋" w:cs="仿宋"/>
          <w:color w:val="auto"/>
          <w:sz w:val="24"/>
          <w:szCs w:val="24"/>
          <w:highlight w:val="none"/>
          <w:lang w:eastAsia="zh-CN"/>
        </w:rPr>
        <w:t>）</w:t>
      </w:r>
    </w:p>
    <w:p>
      <w:pPr>
        <w:pStyle w:val="5"/>
        <w:numPr>
          <w:ilvl w:val="0"/>
          <w:numId w:val="6"/>
        </w:num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bookmarkStart w:id="183" w:name="_Toc11824"/>
      <w:bookmarkStart w:id="184" w:name="_Toc29032"/>
      <w:bookmarkStart w:id="185" w:name="_Toc22647"/>
      <w:bookmarkStart w:id="186" w:name="_Toc486585244"/>
      <w:bookmarkStart w:id="187" w:name="_Toc486608281"/>
      <w:bookmarkStart w:id="188" w:name="_Toc487204801"/>
      <w:r>
        <w:rPr>
          <w:rFonts w:hint="eastAsia" w:ascii="仿宋" w:hAnsi="仿宋" w:eastAsia="仿宋" w:cs="仿宋"/>
          <w:color w:val="auto"/>
          <w:sz w:val="28"/>
          <w:szCs w:val="28"/>
          <w:highlight w:val="none"/>
        </w:rPr>
        <w:t>其他应提供的资料</w:t>
      </w:r>
      <w:bookmarkEnd w:id="183"/>
      <w:bookmarkEnd w:id="184"/>
      <w:bookmarkEnd w:id="185"/>
      <w:bookmarkEnd w:id="186"/>
      <w:bookmarkEnd w:id="187"/>
      <w:bookmarkEnd w:id="188"/>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（一）其他与项目有关的资料</w:t>
      </w:r>
    </w:p>
    <w:p>
      <w:pPr>
        <w:tabs>
          <w:tab w:val="left" w:pos="6300"/>
        </w:tabs>
        <w:snapToGrid w:val="0"/>
        <w:spacing w:line="360"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其他与项目有关的资料（自附）：其他与本项目有关的资料等。</w:t>
      </w: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（二）中小企业声明函、监狱企业证明文件、残疾人福利性单位声明函</w:t>
      </w:r>
    </w:p>
    <w:p>
      <w:pPr>
        <w:tabs>
          <w:tab w:val="left" w:pos="6300"/>
        </w:tabs>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中小企业声明函</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w:t>
      </w:r>
      <w:r>
        <w:rPr>
          <w:rFonts w:hint="eastAsia" w:ascii="仿宋" w:hAnsi="仿宋" w:eastAsia="仿宋" w:cs="仿宋"/>
          <w:color w:val="auto"/>
          <w:sz w:val="24"/>
          <w:szCs w:val="24"/>
          <w:highlight w:val="none"/>
        </w:rPr>
        <w:t>财库〔2020〕46号</w:t>
      </w:r>
      <w:r>
        <w:rPr>
          <w:rFonts w:hint="eastAsia" w:ascii="仿宋" w:hAnsi="仿宋" w:eastAsia="仿宋" w:cs="仿宋"/>
          <w:color w:val="auto"/>
          <w:sz w:val="24"/>
          <w:highlight w:val="none"/>
        </w:rPr>
        <w:t>）的规定，本公司（联合体）参加</w:t>
      </w:r>
      <w:r>
        <w:rPr>
          <w:rFonts w:hint="eastAsia" w:ascii="仿宋" w:hAnsi="仿宋" w:eastAsia="仿宋" w:cs="仿宋"/>
          <w:i/>
          <w:color w:val="auto"/>
          <w:sz w:val="24"/>
          <w:highlight w:val="none"/>
          <w:u w:val="single"/>
        </w:rPr>
        <w:t>（单位名称）</w:t>
      </w:r>
      <w:r>
        <w:rPr>
          <w:rFonts w:hint="eastAsia" w:ascii="仿宋" w:hAnsi="仿宋" w:eastAsia="仿宋" w:cs="仿宋"/>
          <w:color w:val="auto"/>
          <w:sz w:val="24"/>
          <w:highlight w:val="none"/>
        </w:rPr>
        <w:t>的</w:t>
      </w:r>
      <w:r>
        <w:rPr>
          <w:rFonts w:hint="eastAsia" w:ascii="仿宋" w:hAnsi="仿宋" w:eastAsia="仿宋" w:cs="仿宋"/>
          <w:i/>
          <w:color w:val="auto"/>
          <w:sz w:val="24"/>
          <w:highlight w:val="none"/>
          <w:u w:val="single"/>
        </w:rPr>
        <w:t>（项目名称）</w:t>
      </w:r>
      <w:r>
        <w:rPr>
          <w:rFonts w:hint="eastAsia" w:ascii="仿宋" w:hAnsi="仿宋" w:eastAsia="仿宋" w:cs="仿宋"/>
          <w:color w:val="auto"/>
          <w:sz w:val="24"/>
          <w:highlight w:val="none"/>
        </w:rPr>
        <w:t>采购活动，提供的货物全部由符合政策要求的中小企业制造。相关企业（含联合体中的中小企业、签订分包意向协议的中小企业）的具体情况如下：</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i/>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i/>
          <w:color w:val="auto"/>
          <w:sz w:val="24"/>
          <w:highlight w:val="none"/>
          <w:u w:val="single"/>
        </w:rPr>
        <w:t>（采购文件中明确的所属行业）行业</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承接企业</w:t>
      </w:r>
      <w:r>
        <w:rPr>
          <w:rFonts w:hint="eastAsia" w:ascii="仿宋" w:hAnsi="仿宋" w:eastAsia="仿宋" w:cs="仿宋"/>
          <w:color w:val="auto"/>
          <w:sz w:val="24"/>
          <w:highlight w:val="none"/>
        </w:rPr>
        <w:t>为</w:t>
      </w:r>
      <w:r>
        <w:rPr>
          <w:rFonts w:hint="eastAsia" w:ascii="仿宋" w:hAnsi="仿宋" w:eastAsia="仿宋" w:cs="仿宋"/>
          <w:i/>
          <w:color w:val="auto"/>
          <w:sz w:val="24"/>
          <w:highlight w:val="none"/>
          <w:u w:val="single"/>
        </w:rPr>
        <w:t>（企业名称）</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i/>
          <w:color w:val="auto"/>
          <w:sz w:val="24"/>
          <w:highlight w:val="none"/>
          <w:u w:val="single"/>
        </w:rPr>
        <w:t>（中型企业、小型企业、微型企业）</w:t>
      </w:r>
      <w:r>
        <w:rPr>
          <w:rFonts w:hint="eastAsia" w:ascii="仿宋" w:hAnsi="仿宋" w:eastAsia="仿宋" w:cs="仿宋"/>
          <w:color w:val="auto"/>
          <w:sz w:val="24"/>
          <w:highlight w:val="none"/>
        </w:rPr>
        <w:t>；</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i/>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i/>
          <w:color w:val="auto"/>
          <w:sz w:val="24"/>
          <w:highlight w:val="none"/>
          <w:u w:val="single"/>
        </w:rPr>
        <w:t>（采购文件中明确的所属行业）行业</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承接企业</w:t>
      </w:r>
      <w:r>
        <w:rPr>
          <w:rFonts w:hint="eastAsia" w:ascii="仿宋" w:hAnsi="仿宋" w:eastAsia="仿宋" w:cs="仿宋"/>
          <w:color w:val="auto"/>
          <w:sz w:val="24"/>
          <w:highlight w:val="none"/>
        </w:rPr>
        <w:t>为</w:t>
      </w:r>
      <w:r>
        <w:rPr>
          <w:rFonts w:hint="eastAsia" w:ascii="仿宋" w:hAnsi="仿宋" w:eastAsia="仿宋" w:cs="仿宋"/>
          <w:i/>
          <w:color w:val="auto"/>
          <w:sz w:val="24"/>
          <w:highlight w:val="none"/>
          <w:u w:val="single"/>
        </w:rPr>
        <w:t>（企业名称）</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i/>
          <w:color w:val="auto"/>
          <w:sz w:val="24"/>
          <w:highlight w:val="none"/>
          <w:u w:val="single"/>
        </w:rPr>
        <w:t>（中型企业、小型企业、微型企业）</w:t>
      </w:r>
      <w:r>
        <w:rPr>
          <w:rFonts w:hint="eastAsia" w:ascii="仿宋" w:hAnsi="仿宋" w:eastAsia="仿宋" w:cs="仿宋"/>
          <w:color w:val="auto"/>
          <w:sz w:val="24"/>
          <w:highlight w:val="none"/>
        </w:rPr>
        <w:t>；</w:t>
      </w:r>
    </w:p>
    <w:p>
      <w:pPr>
        <w:tabs>
          <w:tab w:val="left" w:pos="6300"/>
        </w:tabs>
        <w:snapToGrid w:val="0"/>
        <w:spacing w:line="360" w:lineRule="auto"/>
        <w:ind w:right="782"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tabs>
          <w:tab w:val="left" w:pos="6300"/>
        </w:tabs>
        <w:snapToGrid w:val="0"/>
        <w:spacing w:line="360" w:lineRule="auto"/>
        <w:ind w:firstLine="6120" w:firstLineChars="25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企业名称（盖章）： </w:t>
      </w:r>
    </w:p>
    <w:p>
      <w:pPr>
        <w:tabs>
          <w:tab w:val="left" w:pos="6300"/>
        </w:tabs>
        <w:snapToGrid w:val="0"/>
        <w:spacing w:line="360" w:lineRule="auto"/>
        <w:ind w:firstLine="6120" w:firstLineChars="2550"/>
        <w:rPr>
          <w:rFonts w:hint="eastAsia" w:ascii="仿宋" w:hAnsi="仿宋" w:eastAsia="仿宋" w:cs="仿宋"/>
          <w:color w:val="auto"/>
          <w:sz w:val="24"/>
          <w:highlight w:val="none"/>
        </w:rPr>
      </w:pPr>
      <w:r>
        <w:rPr>
          <w:rFonts w:hint="eastAsia" w:ascii="仿宋" w:hAnsi="仿宋" w:eastAsia="仿宋" w:cs="仿宋"/>
          <w:color w:val="auto"/>
          <w:sz w:val="24"/>
          <w:highlight w:val="none"/>
        </w:rPr>
        <w:t>日期：</w:t>
      </w:r>
    </w:p>
    <w:p>
      <w:pPr>
        <w:tabs>
          <w:tab w:val="left" w:pos="6300"/>
        </w:tabs>
        <w:snapToGrid w:val="0"/>
        <w:spacing w:line="360" w:lineRule="auto"/>
        <w:jc w:val="left"/>
        <w:rPr>
          <w:rFonts w:hint="eastAsia" w:ascii="仿宋" w:hAnsi="仿宋" w:eastAsia="仿宋" w:cs="仿宋"/>
          <w:color w:val="auto"/>
          <w:kern w:val="0"/>
          <w:sz w:val="21"/>
          <w:szCs w:val="21"/>
          <w:highlight w:val="none"/>
        </w:rPr>
      </w:pPr>
    </w:p>
    <w:p>
      <w:pPr>
        <w:tabs>
          <w:tab w:val="left" w:pos="6300"/>
        </w:tabs>
        <w:snapToGrid w:val="0"/>
        <w:spacing w:line="360" w:lineRule="auto"/>
        <w:jc w:val="left"/>
        <w:rPr>
          <w:rFonts w:hint="eastAsia" w:ascii="仿宋" w:hAnsi="仿宋" w:eastAsia="仿宋" w:cs="仿宋"/>
          <w:color w:val="auto"/>
          <w:kern w:val="0"/>
          <w:sz w:val="21"/>
          <w:szCs w:val="21"/>
          <w:highlight w:val="none"/>
        </w:rPr>
      </w:pPr>
    </w:p>
    <w:p>
      <w:pPr>
        <w:tabs>
          <w:tab w:val="left" w:pos="6300"/>
        </w:tabs>
        <w:snapToGrid w:val="0"/>
        <w:spacing w:line="360" w:lineRule="auto"/>
        <w:jc w:val="left"/>
        <w:rPr>
          <w:rFonts w:hint="eastAsia" w:ascii="仿宋" w:hAnsi="仿宋" w:eastAsia="仿宋" w:cs="仿宋"/>
          <w:color w:val="auto"/>
          <w:kern w:val="0"/>
          <w:sz w:val="21"/>
          <w:szCs w:val="21"/>
          <w:highlight w:val="none"/>
        </w:rPr>
      </w:pPr>
    </w:p>
    <w:p>
      <w:pPr>
        <w:tabs>
          <w:tab w:val="left" w:pos="6300"/>
        </w:tabs>
        <w:snapToGrid w:val="0"/>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填写时应注意以下事项：</w:t>
      </w:r>
    </w:p>
    <w:p>
      <w:pPr>
        <w:tabs>
          <w:tab w:val="left" w:pos="6300"/>
        </w:tabs>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1.从业人员、营业收入、资产总额填报上一年度数据，无上一年度数据的新成立企业可不填报。</w:t>
      </w:r>
    </w:p>
    <w:p>
      <w:pPr>
        <w:tabs>
          <w:tab w:val="left" w:pos="6300"/>
        </w:tabs>
        <w:snapToGrid w:val="0"/>
        <w:spacing w:line="360" w:lineRule="auto"/>
        <w:ind w:firstLine="422" w:firstLineChars="200"/>
        <w:jc w:val="left"/>
        <w:rPr>
          <w:rFonts w:hint="eastAsia" w:ascii="仿宋" w:hAnsi="仿宋" w:eastAsia="仿宋" w:cs="仿宋"/>
          <w:b/>
          <w:color w:val="auto"/>
          <w:kern w:val="0"/>
          <w:sz w:val="21"/>
          <w:szCs w:val="21"/>
          <w:highlight w:val="none"/>
          <w:u w:val="single"/>
        </w:rPr>
      </w:pPr>
      <w:r>
        <w:rPr>
          <w:rFonts w:hint="eastAsia" w:ascii="仿宋" w:hAnsi="仿宋" w:eastAsia="仿宋" w:cs="仿宋"/>
          <w:b/>
          <w:color w:val="auto"/>
          <w:kern w:val="0"/>
          <w:sz w:val="21"/>
          <w:szCs w:val="21"/>
          <w:highlight w:val="none"/>
          <w:u w:val="single"/>
        </w:rPr>
        <w:t>2.中小企业应当按照《中小企业划型标准规定》（工信部联企业〔2011〕300号），如实填写并提交《中小企业声明函》。</w:t>
      </w:r>
    </w:p>
    <w:p>
      <w:pPr>
        <w:tabs>
          <w:tab w:val="left" w:pos="6300"/>
        </w:tabs>
        <w:snapToGrid w:val="0"/>
        <w:spacing w:line="360" w:lineRule="auto"/>
        <w:ind w:firstLine="422" w:firstLineChars="200"/>
        <w:jc w:val="left"/>
        <w:rPr>
          <w:rFonts w:hint="eastAsia" w:ascii="仿宋" w:hAnsi="仿宋" w:eastAsia="仿宋" w:cs="仿宋"/>
          <w:b/>
          <w:color w:val="auto"/>
          <w:kern w:val="0"/>
          <w:sz w:val="21"/>
          <w:szCs w:val="21"/>
          <w:highlight w:val="none"/>
          <w:u w:val="single"/>
        </w:rPr>
      </w:pPr>
      <w:r>
        <w:rPr>
          <w:rFonts w:hint="eastAsia" w:ascii="仿宋" w:hAnsi="仿宋" w:eastAsia="仿宋" w:cs="仿宋"/>
          <w:b/>
          <w:color w:val="auto"/>
          <w:kern w:val="0"/>
          <w:sz w:val="21"/>
          <w:szCs w:val="21"/>
          <w:highlight w:val="none"/>
          <w:u w:val="single"/>
        </w:rPr>
        <w:t>3.</w:t>
      </w:r>
      <w:r>
        <w:rPr>
          <w:rFonts w:hint="eastAsia" w:ascii="仿宋" w:hAnsi="仿宋" w:eastAsia="仿宋" w:cs="仿宋"/>
          <w:b/>
          <w:color w:val="auto"/>
          <w:kern w:val="0"/>
          <w:sz w:val="21"/>
          <w:szCs w:val="21"/>
          <w:highlight w:val="none"/>
          <w:u w:val="single"/>
          <w:lang w:eastAsia="zh-CN"/>
        </w:rPr>
        <w:t>供应商</w:t>
      </w:r>
      <w:r>
        <w:rPr>
          <w:rFonts w:hint="eastAsia" w:ascii="仿宋" w:hAnsi="仿宋" w:eastAsia="仿宋" w:cs="仿宋"/>
          <w:b/>
          <w:color w:val="auto"/>
          <w:kern w:val="0"/>
          <w:sz w:val="21"/>
          <w:szCs w:val="21"/>
          <w:highlight w:val="none"/>
          <w:u w:val="single"/>
        </w:rPr>
        <w:t>填写《中小企业声明函》中所属行业时，应与采购文件第一篇“采购标的对应的中小企业划分标准所属行业”中填写的所属行业一致。</w:t>
      </w:r>
    </w:p>
    <w:p>
      <w:pPr>
        <w:tabs>
          <w:tab w:val="left" w:pos="6300"/>
        </w:tabs>
        <w:snapToGrid w:val="0"/>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1"/>
          <w:szCs w:val="21"/>
          <w:highlight w:val="none"/>
        </w:rPr>
        <w:t>注：各行业划型标准：</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360" w:lineRule="auto"/>
        <w:ind w:firstLine="560"/>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监狱企业证明文件</w:t>
      </w:r>
    </w:p>
    <w:p>
      <w:pPr>
        <w:tabs>
          <w:tab w:val="left" w:pos="6300"/>
        </w:tabs>
        <w:snapToGrid w:val="0"/>
        <w:spacing w:line="360" w:lineRule="auto"/>
        <w:ind w:firstLine="561"/>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以省级以上监狱管理局、戒毒管理局（含新疆生产建设兵团）出具的属于监狱企业的证明文件为准。</w:t>
      </w:r>
    </w:p>
    <w:p>
      <w:pPr>
        <w:tabs>
          <w:tab w:val="left" w:pos="6300"/>
        </w:tabs>
        <w:snapToGrid w:val="0"/>
        <w:spacing w:line="360" w:lineRule="auto"/>
        <w:ind w:firstLine="561"/>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 xml:space="preserve"> 残疾人福利性单位声明函</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tabs>
          <w:tab w:val="left" w:pos="6300"/>
        </w:tabs>
        <w:snapToGrid w:val="0"/>
        <w:spacing w:line="360" w:lineRule="auto"/>
        <w:ind w:firstLine="480" w:firstLineChars="200"/>
        <w:rPr>
          <w:rFonts w:hint="eastAsia" w:ascii="仿宋" w:hAnsi="仿宋" w:eastAsia="仿宋" w:cs="仿宋"/>
          <w:color w:val="auto"/>
          <w:sz w:val="24"/>
          <w:highlight w:val="none"/>
        </w:rPr>
      </w:pPr>
    </w:p>
    <w:p>
      <w:pPr>
        <w:tabs>
          <w:tab w:val="left" w:pos="6300"/>
        </w:tabs>
        <w:snapToGrid w:val="0"/>
        <w:spacing w:line="360" w:lineRule="auto"/>
        <w:ind w:firstLine="480" w:firstLineChars="200"/>
        <w:rPr>
          <w:rFonts w:hint="eastAsia" w:ascii="仿宋" w:hAnsi="仿宋" w:eastAsia="仿宋" w:cs="仿宋"/>
          <w:color w:val="auto"/>
          <w:sz w:val="24"/>
          <w:highlight w:val="none"/>
        </w:rPr>
      </w:pPr>
    </w:p>
    <w:p>
      <w:pPr>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名称（盖章）：</w:t>
      </w:r>
    </w:p>
    <w:p>
      <w:pPr>
        <w:tabs>
          <w:tab w:val="left" w:pos="6300"/>
        </w:tabs>
        <w:snapToGrid w:val="0"/>
        <w:spacing w:line="360" w:lineRule="auto"/>
        <w:ind w:firstLine="57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tabs>
          <w:tab w:val="left" w:pos="6300"/>
        </w:tabs>
        <w:snapToGrid w:val="0"/>
        <w:spacing w:line="360" w:lineRule="auto"/>
        <w:ind w:firstLine="570"/>
        <w:jc w:val="left"/>
        <w:rPr>
          <w:rFonts w:hint="eastAsia" w:ascii="仿宋" w:hAnsi="仿宋" w:eastAsia="仿宋" w:cs="仿宋"/>
          <w:color w:val="auto"/>
          <w:sz w:val="24"/>
          <w:highlight w:val="none"/>
        </w:rPr>
      </w:pPr>
    </w:p>
    <w:p>
      <w:pPr>
        <w:tabs>
          <w:tab w:val="left" w:pos="6300"/>
        </w:tabs>
        <w:snapToGrid w:val="0"/>
        <w:spacing w:line="360" w:lineRule="auto"/>
        <w:ind w:firstLine="570"/>
        <w:jc w:val="left"/>
        <w:rPr>
          <w:rFonts w:hint="eastAsia" w:ascii="仿宋" w:hAnsi="仿宋" w:eastAsia="仿宋" w:cs="仿宋"/>
          <w:color w:val="auto"/>
          <w:sz w:val="24"/>
          <w:highlight w:val="none"/>
        </w:rPr>
      </w:pPr>
    </w:p>
    <w:p>
      <w:pPr>
        <w:tabs>
          <w:tab w:val="left" w:pos="6300"/>
        </w:tabs>
        <w:snapToGrid w:val="0"/>
        <w:spacing w:line="360" w:lineRule="auto"/>
        <w:ind w:firstLine="570"/>
        <w:jc w:val="left"/>
        <w:rPr>
          <w:rFonts w:hint="eastAsia" w:ascii="仿宋" w:hAnsi="仿宋" w:eastAsia="仿宋" w:cs="仿宋"/>
          <w:color w:val="auto"/>
          <w:sz w:val="24"/>
          <w:highlight w:val="none"/>
        </w:rPr>
      </w:pPr>
    </w:p>
    <w:p>
      <w:pPr>
        <w:tabs>
          <w:tab w:val="left" w:pos="6300"/>
        </w:tabs>
        <w:snapToGrid w:val="0"/>
        <w:spacing w:line="360" w:lineRule="auto"/>
        <w:ind w:firstLine="570"/>
        <w:jc w:val="left"/>
        <w:rPr>
          <w:rFonts w:hint="eastAsia" w:ascii="仿宋" w:hAnsi="仿宋" w:eastAsia="仿宋" w:cs="仿宋"/>
          <w:color w:val="auto"/>
          <w:sz w:val="24"/>
          <w:highlight w:val="none"/>
        </w:rPr>
      </w:pPr>
    </w:p>
    <w:p>
      <w:pPr>
        <w:tabs>
          <w:tab w:val="left" w:pos="6300"/>
        </w:tabs>
        <w:snapToGrid w:val="0"/>
        <w:spacing w:line="360" w:lineRule="auto"/>
        <w:ind w:firstLine="570"/>
        <w:jc w:val="left"/>
        <w:rPr>
          <w:rFonts w:hint="eastAsia" w:ascii="仿宋" w:hAnsi="仿宋" w:eastAsia="仿宋" w:cs="仿宋"/>
          <w:color w:val="auto"/>
          <w:sz w:val="24"/>
          <w:highlight w:val="none"/>
        </w:rPr>
      </w:pPr>
    </w:p>
    <w:p>
      <w:pPr>
        <w:tabs>
          <w:tab w:val="left" w:pos="6300"/>
        </w:tabs>
        <w:snapToGrid w:val="0"/>
        <w:spacing w:line="360" w:lineRule="auto"/>
        <w:ind w:firstLine="570"/>
        <w:jc w:val="left"/>
        <w:rPr>
          <w:rFonts w:hint="eastAsia" w:ascii="仿宋" w:hAnsi="仿宋" w:eastAsia="仿宋" w:cs="仿宋"/>
          <w:color w:val="auto"/>
          <w:sz w:val="24"/>
          <w:highlight w:val="none"/>
        </w:rPr>
      </w:pPr>
    </w:p>
    <w:p>
      <w:pPr>
        <w:tabs>
          <w:tab w:val="left" w:pos="6300"/>
        </w:tabs>
        <w:snapToGrid w:val="0"/>
        <w:spacing w:line="360" w:lineRule="auto"/>
        <w:ind w:firstLine="570"/>
        <w:jc w:val="left"/>
        <w:rPr>
          <w:rFonts w:hint="eastAsia" w:ascii="仿宋" w:hAnsi="仿宋" w:eastAsia="仿宋" w:cs="仿宋"/>
          <w:color w:val="auto"/>
          <w:sz w:val="24"/>
          <w:highlight w:val="none"/>
        </w:rPr>
      </w:pPr>
    </w:p>
    <w:p>
      <w:pPr>
        <w:tabs>
          <w:tab w:val="left" w:pos="6300"/>
        </w:tabs>
        <w:snapToGrid w:val="0"/>
        <w:spacing w:line="360" w:lineRule="auto"/>
        <w:ind w:firstLine="570"/>
        <w:jc w:val="left"/>
        <w:rPr>
          <w:rFonts w:hint="eastAsia" w:ascii="仿宋" w:hAnsi="仿宋" w:eastAsia="仿宋" w:cs="仿宋"/>
          <w:color w:val="auto"/>
          <w:sz w:val="24"/>
          <w:highlight w:val="none"/>
        </w:rPr>
      </w:pPr>
    </w:p>
    <w:p>
      <w:pPr>
        <w:tabs>
          <w:tab w:val="left" w:pos="6300"/>
        </w:tabs>
        <w:snapToGrid w:val="0"/>
        <w:spacing w:line="360" w:lineRule="auto"/>
        <w:ind w:firstLine="570"/>
        <w:jc w:val="left"/>
        <w:rPr>
          <w:rFonts w:hint="eastAsia" w:ascii="仿宋" w:hAnsi="仿宋" w:eastAsia="仿宋" w:cs="仿宋"/>
          <w:color w:val="auto"/>
          <w:sz w:val="24"/>
          <w:highlight w:val="none"/>
        </w:rPr>
      </w:pPr>
    </w:p>
    <w:p>
      <w:pPr>
        <w:tabs>
          <w:tab w:val="left" w:pos="6300"/>
        </w:tabs>
        <w:snapToGrid w:val="0"/>
        <w:spacing w:line="360" w:lineRule="auto"/>
        <w:ind w:firstLine="570"/>
        <w:jc w:val="left"/>
        <w:rPr>
          <w:rFonts w:hint="eastAsia" w:ascii="仿宋" w:hAnsi="仿宋" w:eastAsia="仿宋" w:cs="仿宋"/>
          <w:color w:val="auto"/>
          <w:sz w:val="24"/>
          <w:highlight w:val="none"/>
        </w:rPr>
      </w:pPr>
    </w:p>
    <w:p>
      <w:pPr>
        <w:tabs>
          <w:tab w:val="left" w:pos="6300"/>
        </w:tabs>
        <w:snapToGrid w:val="0"/>
        <w:spacing w:line="360" w:lineRule="auto"/>
        <w:ind w:firstLine="570"/>
        <w:jc w:val="left"/>
        <w:rPr>
          <w:rFonts w:hint="eastAsia" w:ascii="仿宋" w:hAnsi="仿宋" w:eastAsia="仿宋" w:cs="仿宋"/>
          <w:color w:val="auto"/>
          <w:highlight w:val="none"/>
        </w:rPr>
      </w:pPr>
      <w:r>
        <w:rPr>
          <w:rFonts w:hint="eastAsia" w:ascii="仿宋" w:hAnsi="仿宋" w:eastAsia="仿宋" w:cs="仿宋"/>
          <w:color w:val="auto"/>
          <w:kern w:val="0"/>
          <w:sz w:val="24"/>
          <w:highlight w:val="none"/>
        </w:rPr>
        <w:t>若中标人为残疾人福利性单位的，将在结果公告时公告其《残疾人福利性单位声明函》。</w:t>
      </w:r>
    </w:p>
    <w:p>
      <w:pPr>
        <w:widowControl/>
        <w:spacing w:line="360" w:lineRule="auto"/>
        <w:rPr>
          <w:rFonts w:hint="eastAsia" w:ascii="仿宋" w:hAnsi="仿宋" w:eastAsia="仿宋" w:cs="仿宋"/>
          <w:color w:val="auto"/>
          <w:highlight w:val="none"/>
        </w:rPr>
      </w:pPr>
    </w:p>
    <w:p>
      <w:pPr>
        <w:widowControl/>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（结束）</w:t>
      </w:r>
    </w:p>
    <w:p>
      <w:pPr>
        <w:pStyle w:val="2"/>
        <w:spacing w:line="360" w:lineRule="auto"/>
        <w:rPr>
          <w:rFonts w:hint="eastAsia" w:ascii="仿宋" w:hAnsi="仿宋" w:eastAsia="仿宋" w:cs="仿宋"/>
          <w:color w:val="auto"/>
          <w:highlight w:val="none"/>
        </w:rPr>
      </w:pPr>
    </w:p>
    <w:p>
      <w:pPr>
        <w:tabs>
          <w:tab w:val="left" w:pos="6300"/>
        </w:tabs>
        <w:snapToGrid w:val="0"/>
        <w:spacing w:line="360" w:lineRule="auto"/>
        <w:jc w:val="center"/>
        <w:rPr>
          <w:rFonts w:hint="eastAsia" w:ascii="仿宋" w:hAnsi="仿宋" w:eastAsia="仿宋" w:cs="仿宋"/>
          <w:color w:val="auto"/>
          <w:highlight w:val="none"/>
        </w:rPr>
      </w:pPr>
    </w:p>
    <w:p>
      <w:pPr>
        <w:tabs>
          <w:tab w:val="left" w:pos="6300"/>
        </w:tabs>
        <w:snapToGrid w:val="0"/>
        <w:spacing w:line="360" w:lineRule="auto"/>
        <w:jc w:val="center"/>
        <w:rPr>
          <w:rFonts w:hint="eastAsia" w:ascii="仿宋" w:hAnsi="仿宋" w:eastAsia="仿宋" w:cs="仿宋"/>
          <w:color w:val="auto"/>
          <w:highlight w:val="none"/>
        </w:rPr>
      </w:pPr>
    </w:p>
    <w:p>
      <w:pPr>
        <w:tabs>
          <w:tab w:val="left" w:pos="6300"/>
        </w:tabs>
        <w:snapToGrid w:val="0"/>
        <w:spacing w:line="360" w:lineRule="auto"/>
        <w:jc w:val="center"/>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p>
    <w:sectPr>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1"/>
        <w:szCs w:val="21"/>
      </w:rPr>
    </w:pPr>
    <w:r>
      <w:rPr>
        <w:rFonts w:ascii="宋体" w:hAnsi="宋体"/>
        <w:sz w:val="21"/>
        <w:szCs w:val="21"/>
      </w:rPr>
      <w:fldChar w:fldCharType="begin"/>
    </w:r>
    <w:r>
      <w:rPr>
        <w:rStyle w:val="28"/>
        <w:rFonts w:ascii="宋体" w:hAnsi="宋体"/>
        <w:sz w:val="21"/>
        <w:szCs w:val="21"/>
      </w:rPr>
      <w:instrText xml:space="preserve"> PAGE </w:instrText>
    </w:r>
    <w:r>
      <w:rPr>
        <w:rFonts w:ascii="宋体" w:hAnsi="宋体"/>
        <w:sz w:val="21"/>
        <w:szCs w:val="21"/>
      </w:rPr>
      <w:fldChar w:fldCharType="separate"/>
    </w:r>
    <w:r>
      <w:rPr>
        <w:rStyle w:val="28"/>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rPr>
        <w:u w:val="single"/>
      </w:rPr>
    </w:pPr>
    <w:r>
      <w:rPr>
        <w:u w:val="singl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- 26 -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91D362"/>
    <w:multiLevelType w:val="singleLevel"/>
    <w:tmpl w:val="E791D362"/>
    <w:lvl w:ilvl="0" w:tentative="0">
      <w:start w:val="2"/>
      <w:numFmt w:val="chineseCounting"/>
      <w:suff w:val="nothing"/>
      <w:lvlText w:val="%1、"/>
      <w:lvlJc w:val="left"/>
      <w:rPr>
        <w:rFonts w:hint="eastAsia"/>
      </w:rPr>
    </w:lvl>
  </w:abstractNum>
  <w:abstractNum w:abstractNumId="1">
    <w:nsid w:val="EA08CD0D"/>
    <w:multiLevelType w:val="singleLevel"/>
    <w:tmpl w:val="EA08CD0D"/>
    <w:lvl w:ilvl="0" w:tentative="0">
      <w:start w:val="1"/>
      <w:numFmt w:val="chineseCounting"/>
      <w:suff w:val="nothing"/>
      <w:lvlText w:val="%1、"/>
      <w:lvlJc w:val="left"/>
      <w:pPr>
        <w:ind w:left="2800"/>
      </w:pPr>
      <w:rPr>
        <w:rFonts w:hint="eastAsia"/>
      </w:rPr>
    </w:lvl>
  </w:abstractNum>
  <w:abstractNum w:abstractNumId="2">
    <w:nsid w:val="00000001"/>
    <w:multiLevelType w:val="singleLevel"/>
    <w:tmpl w:val="00000001"/>
    <w:lvl w:ilvl="0" w:tentative="0">
      <w:start w:val="5"/>
      <w:numFmt w:val="chineseCounting"/>
      <w:suff w:val="nothing"/>
      <w:lvlText w:val="%1、"/>
      <w:lvlJc w:val="left"/>
      <w:rPr>
        <w:rFonts w:hint="eastAsia"/>
      </w:rPr>
    </w:lvl>
  </w:abstractNum>
  <w:abstractNum w:abstractNumId="3">
    <w:nsid w:val="00000008"/>
    <w:multiLevelType w:val="multilevel"/>
    <w:tmpl w:val="00000008"/>
    <w:lvl w:ilvl="0" w:tentative="0">
      <w:start w:val="1"/>
      <w:numFmt w:val="decimal"/>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46"/>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6B382A4"/>
    <w:multiLevelType w:val="singleLevel"/>
    <w:tmpl w:val="16B382A4"/>
    <w:lvl w:ilvl="0" w:tentative="0">
      <w:start w:val="4"/>
      <w:numFmt w:val="chineseCounting"/>
      <w:suff w:val="space"/>
      <w:lvlText w:val="第%1篇"/>
      <w:lvlJc w:val="left"/>
      <w:rPr>
        <w:rFonts w:hint="eastAsia"/>
      </w:rPr>
    </w:lvl>
  </w:abstractNum>
  <w:abstractNum w:abstractNumId="5">
    <w:nsid w:val="768B796A"/>
    <w:multiLevelType w:val="singleLevel"/>
    <w:tmpl w:val="768B796A"/>
    <w:lvl w:ilvl="0" w:tentative="0">
      <w:start w:val="3"/>
      <w:numFmt w:val="decimal"/>
      <w:suff w:val="nothing"/>
      <w:lvlText w:val="%1、"/>
      <w:lvlJc w:val="left"/>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MzA3ZDNmMDZkYzU1MWUyYjczZTdhZjcxOWU3MTgifQ=="/>
  </w:docVars>
  <w:rsids>
    <w:rsidRoot w:val="15F27B3D"/>
    <w:rsid w:val="00071165"/>
    <w:rsid w:val="001B050C"/>
    <w:rsid w:val="00436CC2"/>
    <w:rsid w:val="00D34BC6"/>
    <w:rsid w:val="00E0780F"/>
    <w:rsid w:val="020F0015"/>
    <w:rsid w:val="02D555FA"/>
    <w:rsid w:val="03C11353"/>
    <w:rsid w:val="05800F03"/>
    <w:rsid w:val="05F3624C"/>
    <w:rsid w:val="060C1BDD"/>
    <w:rsid w:val="063920FF"/>
    <w:rsid w:val="0678777B"/>
    <w:rsid w:val="069A369F"/>
    <w:rsid w:val="06C62F02"/>
    <w:rsid w:val="07625F7D"/>
    <w:rsid w:val="07C57E8F"/>
    <w:rsid w:val="07D364A5"/>
    <w:rsid w:val="07E07FF3"/>
    <w:rsid w:val="07E4704C"/>
    <w:rsid w:val="08217359"/>
    <w:rsid w:val="08957AB3"/>
    <w:rsid w:val="08CA7B35"/>
    <w:rsid w:val="09043DBF"/>
    <w:rsid w:val="09130588"/>
    <w:rsid w:val="09DB5391"/>
    <w:rsid w:val="09E50C48"/>
    <w:rsid w:val="09ED0DD1"/>
    <w:rsid w:val="0A055623"/>
    <w:rsid w:val="0A2020FE"/>
    <w:rsid w:val="0AC52CF4"/>
    <w:rsid w:val="0ADF6D37"/>
    <w:rsid w:val="0AE62162"/>
    <w:rsid w:val="0AF618DB"/>
    <w:rsid w:val="0C347EC5"/>
    <w:rsid w:val="0C4C3EA9"/>
    <w:rsid w:val="0C6216DF"/>
    <w:rsid w:val="0CAB6F2F"/>
    <w:rsid w:val="0CC223BD"/>
    <w:rsid w:val="0CF32BC7"/>
    <w:rsid w:val="0D1F15BD"/>
    <w:rsid w:val="0D9A4CA4"/>
    <w:rsid w:val="0DCD5FA5"/>
    <w:rsid w:val="0E14743B"/>
    <w:rsid w:val="0E3A41D5"/>
    <w:rsid w:val="0E920D39"/>
    <w:rsid w:val="0F0103B1"/>
    <w:rsid w:val="0F097B31"/>
    <w:rsid w:val="0F540685"/>
    <w:rsid w:val="0FB32491"/>
    <w:rsid w:val="0FD37C74"/>
    <w:rsid w:val="0FFE34C4"/>
    <w:rsid w:val="10032A13"/>
    <w:rsid w:val="101E3764"/>
    <w:rsid w:val="104355C3"/>
    <w:rsid w:val="10437371"/>
    <w:rsid w:val="110012C0"/>
    <w:rsid w:val="114E32D1"/>
    <w:rsid w:val="116A4551"/>
    <w:rsid w:val="11D65957"/>
    <w:rsid w:val="11E025C8"/>
    <w:rsid w:val="11E51EB6"/>
    <w:rsid w:val="129475EE"/>
    <w:rsid w:val="129515B2"/>
    <w:rsid w:val="129E6161"/>
    <w:rsid w:val="12EC0194"/>
    <w:rsid w:val="12FB2A0C"/>
    <w:rsid w:val="13365C89"/>
    <w:rsid w:val="14217DBC"/>
    <w:rsid w:val="14BB5C5C"/>
    <w:rsid w:val="151C4634"/>
    <w:rsid w:val="152A2022"/>
    <w:rsid w:val="15610531"/>
    <w:rsid w:val="15E16695"/>
    <w:rsid w:val="15E213DA"/>
    <w:rsid w:val="15F27B3D"/>
    <w:rsid w:val="16840E60"/>
    <w:rsid w:val="16903DD9"/>
    <w:rsid w:val="16A05B2E"/>
    <w:rsid w:val="176B4DD7"/>
    <w:rsid w:val="17800047"/>
    <w:rsid w:val="17BD3500"/>
    <w:rsid w:val="18154664"/>
    <w:rsid w:val="181C187B"/>
    <w:rsid w:val="182A4E89"/>
    <w:rsid w:val="18C47CC7"/>
    <w:rsid w:val="1958006D"/>
    <w:rsid w:val="19A22A19"/>
    <w:rsid w:val="1A1A1D9C"/>
    <w:rsid w:val="1A2405D9"/>
    <w:rsid w:val="1BD740B2"/>
    <w:rsid w:val="1C8174CD"/>
    <w:rsid w:val="1C882EB7"/>
    <w:rsid w:val="1CD33F1C"/>
    <w:rsid w:val="1CF111F1"/>
    <w:rsid w:val="1E280430"/>
    <w:rsid w:val="1E642EB2"/>
    <w:rsid w:val="1EA9518B"/>
    <w:rsid w:val="1EB22300"/>
    <w:rsid w:val="1EB4768C"/>
    <w:rsid w:val="1EC807A5"/>
    <w:rsid w:val="1FC9286B"/>
    <w:rsid w:val="20C04A0E"/>
    <w:rsid w:val="20EE6EC4"/>
    <w:rsid w:val="21297C20"/>
    <w:rsid w:val="212A3FEC"/>
    <w:rsid w:val="217F674F"/>
    <w:rsid w:val="222C2718"/>
    <w:rsid w:val="228C4BA7"/>
    <w:rsid w:val="2394221A"/>
    <w:rsid w:val="24A61AA7"/>
    <w:rsid w:val="24E02810"/>
    <w:rsid w:val="24F904EE"/>
    <w:rsid w:val="24FB0F40"/>
    <w:rsid w:val="25111310"/>
    <w:rsid w:val="25446A2E"/>
    <w:rsid w:val="255E2348"/>
    <w:rsid w:val="25824BA8"/>
    <w:rsid w:val="2584600A"/>
    <w:rsid w:val="25900E53"/>
    <w:rsid w:val="25FB3039"/>
    <w:rsid w:val="26655168"/>
    <w:rsid w:val="26BC198A"/>
    <w:rsid w:val="27176789"/>
    <w:rsid w:val="27643FAE"/>
    <w:rsid w:val="277D34B8"/>
    <w:rsid w:val="27E67B21"/>
    <w:rsid w:val="283D20F4"/>
    <w:rsid w:val="28A81DDD"/>
    <w:rsid w:val="28AE2D9D"/>
    <w:rsid w:val="28C24091"/>
    <w:rsid w:val="28E4213F"/>
    <w:rsid w:val="291E06B3"/>
    <w:rsid w:val="29205067"/>
    <w:rsid w:val="29650D2A"/>
    <w:rsid w:val="29E51F34"/>
    <w:rsid w:val="2A533CDF"/>
    <w:rsid w:val="2A685EFA"/>
    <w:rsid w:val="2A952E60"/>
    <w:rsid w:val="2ABD171C"/>
    <w:rsid w:val="2AC90714"/>
    <w:rsid w:val="2B5C2399"/>
    <w:rsid w:val="2D0651E1"/>
    <w:rsid w:val="2D5B6915"/>
    <w:rsid w:val="2DBB500D"/>
    <w:rsid w:val="2E112724"/>
    <w:rsid w:val="2E94741A"/>
    <w:rsid w:val="2EAF7384"/>
    <w:rsid w:val="2ECF6C02"/>
    <w:rsid w:val="2FF705EB"/>
    <w:rsid w:val="2FF92384"/>
    <w:rsid w:val="300613F6"/>
    <w:rsid w:val="302F487E"/>
    <w:rsid w:val="3158022B"/>
    <w:rsid w:val="31600614"/>
    <w:rsid w:val="316B29ED"/>
    <w:rsid w:val="31C51E84"/>
    <w:rsid w:val="32867865"/>
    <w:rsid w:val="329445A5"/>
    <w:rsid w:val="33F46A50"/>
    <w:rsid w:val="34346E4D"/>
    <w:rsid w:val="34F560B8"/>
    <w:rsid w:val="35775879"/>
    <w:rsid w:val="36B974D5"/>
    <w:rsid w:val="36C721FA"/>
    <w:rsid w:val="36CB5264"/>
    <w:rsid w:val="37021BF9"/>
    <w:rsid w:val="3718648E"/>
    <w:rsid w:val="37747370"/>
    <w:rsid w:val="377F774B"/>
    <w:rsid w:val="37EE0968"/>
    <w:rsid w:val="382D18F1"/>
    <w:rsid w:val="38634A5C"/>
    <w:rsid w:val="38931692"/>
    <w:rsid w:val="389F6EF9"/>
    <w:rsid w:val="38AE3961"/>
    <w:rsid w:val="38C60D27"/>
    <w:rsid w:val="38E579FC"/>
    <w:rsid w:val="39387606"/>
    <w:rsid w:val="39763819"/>
    <w:rsid w:val="39B625C5"/>
    <w:rsid w:val="39C1487F"/>
    <w:rsid w:val="39D37F83"/>
    <w:rsid w:val="3CCD252E"/>
    <w:rsid w:val="3D21011D"/>
    <w:rsid w:val="3DD21629"/>
    <w:rsid w:val="3DD7060B"/>
    <w:rsid w:val="3F4F7788"/>
    <w:rsid w:val="3F951006"/>
    <w:rsid w:val="3F9945F7"/>
    <w:rsid w:val="3FB025FF"/>
    <w:rsid w:val="3FBB2467"/>
    <w:rsid w:val="3FDD4184"/>
    <w:rsid w:val="412F7DA3"/>
    <w:rsid w:val="41340231"/>
    <w:rsid w:val="42784CF1"/>
    <w:rsid w:val="42B1391B"/>
    <w:rsid w:val="42EA54D2"/>
    <w:rsid w:val="43F8380F"/>
    <w:rsid w:val="440F2B13"/>
    <w:rsid w:val="441D6FCB"/>
    <w:rsid w:val="45046555"/>
    <w:rsid w:val="4544664D"/>
    <w:rsid w:val="45E300B6"/>
    <w:rsid w:val="461F5F7F"/>
    <w:rsid w:val="46274A64"/>
    <w:rsid w:val="46437B78"/>
    <w:rsid w:val="46EB4A02"/>
    <w:rsid w:val="46FD7C6B"/>
    <w:rsid w:val="478379D3"/>
    <w:rsid w:val="47A62E54"/>
    <w:rsid w:val="47FD3CCE"/>
    <w:rsid w:val="4838187B"/>
    <w:rsid w:val="48417B07"/>
    <w:rsid w:val="488F326F"/>
    <w:rsid w:val="49103D93"/>
    <w:rsid w:val="494C0B34"/>
    <w:rsid w:val="49CC3FD2"/>
    <w:rsid w:val="49F936E3"/>
    <w:rsid w:val="49FC19CF"/>
    <w:rsid w:val="4A2E7EC3"/>
    <w:rsid w:val="4A2F1E5B"/>
    <w:rsid w:val="4A626023"/>
    <w:rsid w:val="4A6E65B9"/>
    <w:rsid w:val="4AFC0245"/>
    <w:rsid w:val="4B2A0A53"/>
    <w:rsid w:val="4B4340EE"/>
    <w:rsid w:val="4B9E280F"/>
    <w:rsid w:val="4BD910AC"/>
    <w:rsid w:val="4C477240"/>
    <w:rsid w:val="4C6B09FD"/>
    <w:rsid w:val="4CB812B3"/>
    <w:rsid w:val="4D0E2CE7"/>
    <w:rsid w:val="4D8E608C"/>
    <w:rsid w:val="4DAD3D9E"/>
    <w:rsid w:val="4DE43EB2"/>
    <w:rsid w:val="4E903E4A"/>
    <w:rsid w:val="4E9C2FF1"/>
    <w:rsid w:val="4EB21BB0"/>
    <w:rsid w:val="4F356D24"/>
    <w:rsid w:val="4F3E5DD9"/>
    <w:rsid w:val="4F5F0A3F"/>
    <w:rsid w:val="4F813436"/>
    <w:rsid w:val="4FD832A6"/>
    <w:rsid w:val="50461083"/>
    <w:rsid w:val="50574928"/>
    <w:rsid w:val="507A5297"/>
    <w:rsid w:val="509820CD"/>
    <w:rsid w:val="50AC40C7"/>
    <w:rsid w:val="50CE220B"/>
    <w:rsid w:val="50DE6667"/>
    <w:rsid w:val="50EB7D9F"/>
    <w:rsid w:val="511E4CB5"/>
    <w:rsid w:val="51B44E19"/>
    <w:rsid w:val="52743631"/>
    <w:rsid w:val="528374C6"/>
    <w:rsid w:val="52AB694F"/>
    <w:rsid w:val="52E85C8C"/>
    <w:rsid w:val="52FE416B"/>
    <w:rsid w:val="53A86490"/>
    <w:rsid w:val="53A91F63"/>
    <w:rsid w:val="53B66FD2"/>
    <w:rsid w:val="5466353D"/>
    <w:rsid w:val="54684619"/>
    <w:rsid w:val="54A3057A"/>
    <w:rsid w:val="54AB6232"/>
    <w:rsid w:val="54DA770D"/>
    <w:rsid w:val="55132EBE"/>
    <w:rsid w:val="55291432"/>
    <w:rsid w:val="552A1E7A"/>
    <w:rsid w:val="555710D2"/>
    <w:rsid w:val="55BE7AA8"/>
    <w:rsid w:val="56C10735"/>
    <w:rsid w:val="58214652"/>
    <w:rsid w:val="58955E89"/>
    <w:rsid w:val="599D70BF"/>
    <w:rsid w:val="59DC3B9C"/>
    <w:rsid w:val="5AA1135F"/>
    <w:rsid w:val="5ADC263D"/>
    <w:rsid w:val="5B86048A"/>
    <w:rsid w:val="5BA50883"/>
    <w:rsid w:val="5C273E95"/>
    <w:rsid w:val="5C54498E"/>
    <w:rsid w:val="5C97125A"/>
    <w:rsid w:val="5CD85D5C"/>
    <w:rsid w:val="5E1D50C3"/>
    <w:rsid w:val="5E80564D"/>
    <w:rsid w:val="5EBD78BB"/>
    <w:rsid w:val="5ED16751"/>
    <w:rsid w:val="5ED90A88"/>
    <w:rsid w:val="5F565613"/>
    <w:rsid w:val="5F8473CC"/>
    <w:rsid w:val="6017753B"/>
    <w:rsid w:val="60454CC7"/>
    <w:rsid w:val="60505500"/>
    <w:rsid w:val="60CC0D9D"/>
    <w:rsid w:val="60CE246C"/>
    <w:rsid w:val="60D17842"/>
    <w:rsid w:val="614668E5"/>
    <w:rsid w:val="61A905CB"/>
    <w:rsid w:val="62057D23"/>
    <w:rsid w:val="62265778"/>
    <w:rsid w:val="62A14300"/>
    <w:rsid w:val="62D24148"/>
    <w:rsid w:val="63F45F50"/>
    <w:rsid w:val="647F4C0B"/>
    <w:rsid w:val="647F6F87"/>
    <w:rsid w:val="64C8479F"/>
    <w:rsid w:val="64D9111D"/>
    <w:rsid w:val="65174A38"/>
    <w:rsid w:val="651C5879"/>
    <w:rsid w:val="65392872"/>
    <w:rsid w:val="65416FD1"/>
    <w:rsid w:val="657243E5"/>
    <w:rsid w:val="65BF56F0"/>
    <w:rsid w:val="65E2530D"/>
    <w:rsid w:val="66135A17"/>
    <w:rsid w:val="66543FDB"/>
    <w:rsid w:val="66E04CB7"/>
    <w:rsid w:val="673A16C7"/>
    <w:rsid w:val="6764619F"/>
    <w:rsid w:val="6786252D"/>
    <w:rsid w:val="67C42D8A"/>
    <w:rsid w:val="687F79E6"/>
    <w:rsid w:val="68B11280"/>
    <w:rsid w:val="68BF7E9D"/>
    <w:rsid w:val="6A405C13"/>
    <w:rsid w:val="6AA865D2"/>
    <w:rsid w:val="6B1B260E"/>
    <w:rsid w:val="6B3756C0"/>
    <w:rsid w:val="6B52083F"/>
    <w:rsid w:val="6BCA420C"/>
    <w:rsid w:val="6BEA22FA"/>
    <w:rsid w:val="6BEB2F73"/>
    <w:rsid w:val="6CDD086B"/>
    <w:rsid w:val="6D0E4472"/>
    <w:rsid w:val="6D380807"/>
    <w:rsid w:val="6D546C01"/>
    <w:rsid w:val="6D95621A"/>
    <w:rsid w:val="6DAC18D3"/>
    <w:rsid w:val="6DCA0C8F"/>
    <w:rsid w:val="6DE62C29"/>
    <w:rsid w:val="6E327302"/>
    <w:rsid w:val="6E500DAD"/>
    <w:rsid w:val="6E7F2DDF"/>
    <w:rsid w:val="6EFF7A7C"/>
    <w:rsid w:val="700E56BD"/>
    <w:rsid w:val="70365F74"/>
    <w:rsid w:val="70EB6D3D"/>
    <w:rsid w:val="71081A3E"/>
    <w:rsid w:val="71F16786"/>
    <w:rsid w:val="72181581"/>
    <w:rsid w:val="729273D1"/>
    <w:rsid w:val="729D3AAD"/>
    <w:rsid w:val="72B0447B"/>
    <w:rsid w:val="72CD250F"/>
    <w:rsid w:val="730833A3"/>
    <w:rsid w:val="732E0F33"/>
    <w:rsid w:val="73F833B2"/>
    <w:rsid w:val="740E5704"/>
    <w:rsid w:val="742415D0"/>
    <w:rsid w:val="743401C8"/>
    <w:rsid w:val="743B379E"/>
    <w:rsid w:val="74A46C6C"/>
    <w:rsid w:val="74C07CAE"/>
    <w:rsid w:val="74E94743"/>
    <w:rsid w:val="75220F16"/>
    <w:rsid w:val="7548086E"/>
    <w:rsid w:val="755512CD"/>
    <w:rsid w:val="756D0B18"/>
    <w:rsid w:val="7637083D"/>
    <w:rsid w:val="76481D09"/>
    <w:rsid w:val="772E0EFE"/>
    <w:rsid w:val="773D7394"/>
    <w:rsid w:val="78B11DE7"/>
    <w:rsid w:val="78EC72C3"/>
    <w:rsid w:val="79014566"/>
    <w:rsid w:val="7919341A"/>
    <w:rsid w:val="79A71E5B"/>
    <w:rsid w:val="79F0205C"/>
    <w:rsid w:val="7AC42AC2"/>
    <w:rsid w:val="7B206311"/>
    <w:rsid w:val="7B944CB6"/>
    <w:rsid w:val="7BEF7804"/>
    <w:rsid w:val="7C163E0F"/>
    <w:rsid w:val="7C667077"/>
    <w:rsid w:val="7C841D57"/>
    <w:rsid w:val="7CA17CA0"/>
    <w:rsid w:val="7D284F50"/>
    <w:rsid w:val="7E380CCA"/>
    <w:rsid w:val="7E74499D"/>
    <w:rsid w:val="7ECB6BFB"/>
    <w:rsid w:val="7FA3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3">
    <w:name w:val="heading 1"/>
    <w:basedOn w:val="1"/>
    <w:next w:val="1"/>
    <w:autoRedefine/>
    <w:qFormat/>
    <w:uiPriority w:val="0"/>
    <w:pPr>
      <w:keepNext/>
      <w:snapToGrid w:val="0"/>
      <w:spacing w:line="360" w:lineRule="atLeast"/>
      <w:outlineLvl w:val="0"/>
    </w:pPr>
    <w:rPr>
      <w:rFonts w:ascii="宋体" w:cs="宋体"/>
    </w:rPr>
  </w:style>
  <w:style w:type="paragraph" w:styleId="4">
    <w:name w:val="heading 2"/>
    <w:basedOn w:val="1"/>
    <w:next w:val="1"/>
    <w:link w:val="36"/>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keepLines/>
      <w:spacing w:before="260" w:after="260" w:line="415" w:lineRule="auto"/>
      <w:outlineLvl w:val="2"/>
    </w:pPr>
    <w:rPr>
      <w:b/>
      <w:bCs/>
      <w:sz w:val="32"/>
      <w:szCs w:val="32"/>
    </w:rPr>
  </w:style>
  <w:style w:type="paragraph" w:styleId="6">
    <w:name w:val="heading 4"/>
    <w:basedOn w:val="1"/>
    <w:next w:val="1"/>
    <w:autoRedefine/>
    <w:qFormat/>
    <w:uiPriority w:val="0"/>
    <w:pPr>
      <w:spacing w:before="280" w:after="290" w:line="372" w:lineRule="auto"/>
      <w:outlineLvl w:val="3"/>
    </w:pPr>
    <w:rPr>
      <w:sz w:val="28"/>
    </w:rPr>
  </w:style>
  <w:style w:type="paragraph" w:styleId="7">
    <w:name w:val="heading 5"/>
    <w:basedOn w:val="1"/>
    <w:next w:val="1"/>
    <w:autoRedefine/>
    <w:qFormat/>
    <w:uiPriority w:val="0"/>
    <w:pPr>
      <w:keepNext/>
      <w:keepLines/>
      <w:tabs>
        <w:tab w:val="left" w:pos="2551"/>
      </w:tabs>
      <w:spacing w:before="280" w:beforeLines="0" w:beforeAutospacing="0" w:after="290" w:afterLines="0" w:afterAutospacing="0" w:line="372" w:lineRule="auto"/>
      <w:ind w:left="2551" w:hanging="850"/>
      <w:outlineLvl w:val="4"/>
    </w:pPr>
    <w:rPr>
      <w:b/>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8">
    <w:name w:val="Normal Indent"/>
    <w:basedOn w:val="1"/>
    <w:next w:val="2"/>
    <w:autoRedefine/>
    <w:qFormat/>
    <w:uiPriority w:val="0"/>
    <w:pPr>
      <w:adjustRightInd w:val="0"/>
      <w:snapToGrid w:val="0"/>
      <w:spacing w:line="360" w:lineRule="auto"/>
      <w:ind w:firstLine="420"/>
    </w:pPr>
    <w:rPr>
      <w:sz w:val="24"/>
      <w:szCs w:val="20"/>
    </w:rPr>
  </w:style>
  <w:style w:type="paragraph" w:styleId="9">
    <w:name w:val="index 5"/>
    <w:basedOn w:val="1"/>
    <w:next w:val="1"/>
    <w:autoRedefine/>
    <w:qFormat/>
    <w:uiPriority w:val="0"/>
    <w:pPr>
      <w:ind w:left="800" w:leftChars="800"/>
    </w:pPr>
    <w:rPr>
      <w:rFonts w:ascii="Calibri" w:hAnsi="Calibri"/>
    </w:rPr>
  </w:style>
  <w:style w:type="paragraph" w:styleId="10">
    <w:name w:val="annotation text"/>
    <w:basedOn w:val="1"/>
    <w:autoRedefine/>
    <w:qFormat/>
    <w:uiPriority w:val="0"/>
    <w:pPr>
      <w:jc w:val="left"/>
    </w:pPr>
  </w:style>
  <w:style w:type="paragraph" w:styleId="11">
    <w:name w:val="Body Text Indent"/>
    <w:basedOn w:val="1"/>
    <w:autoRedefine/>
    <w:qFormat/>
    <w:uiPriority w:val="0"/>
    <w:pPr>
      <w:spacing w:line="700" w:lineRule="exact"/>
      <w:ind w:left="960"/>
    </w:pPr>
    <w:rPr>
      <w:sz w:val="44"/>
      <w:szCs w:val="44"/>
    </w:rPr>
  </w:style>
  <w:style w:type="paragraph" w:styleId="12">
    <w:name w:val="toc 5"/>
    <w:basedOn w:val="1"/>
    <w:next w:val="1"/>
    <w:autoRedefine/>
    <w:qFormat/>
    <w:uiPriority w:val="0"/>
    <w:pPr>
      <w:ind w:left="800" w:leftChars="800"/>
    </w:pPr>
  </w:style>
  <w:style w:type="paragraph" w:styleId="13">
    <w:name w:val="toc 3"/>
    <w:basedOn w:val="1"/>
    <w:next w:val="1"/>
    <w:autoRedefine/>
    <w:qFormat/>
    <w:uiPriority w:val="0"/>
    <w:pPr>
      <w:tabs>
        <w:tab w:val="right" w:leader="dot" w:pos="8300"/>
      </w:tabs>
      <w:spacing w:line="540" w:lineRule="atLeast"/>
      <w:ind w:left="1120" w:leftChars="400"/>
    </w:pPr>
    <w:rPr>
      <w:rFonts w:ascii="宋体" w:hAnsi="宋体" w:cs="宋体"/>
    </w:rPr>
  </w:style>
  <w:style w:type="paragraph" w:styleId="14">
    <w:name w:val="Plain Text"/>
    <w:basedOn w:val="1"/>
    <w:autoRedefine/>
    <w:qFormat/>
    <w:uiPriority w:val="0"/>
    <w:rPr>
      <w:rFonts w:ascii="宋体" w:hAnsi="Courier New" w:cs="宋体"/>
      <w:sz w:val="21"/>
      <w:szCs w:val="21"/>
    </w:rPr>
  </w:style>
  <w:style w:type="paragraph" w:styleId="15">
    <w:name w:val="Date"/>
    <w:basedOn w:val="1"/>
    <w:next w:val="1"/>
    <w:autoRedefine/>
    <w:qFormat/>
    <w:uiPriority w:val="0"/>
    <w:rPr>
      <w:sz w:val="24"/>
      <w:szCs w:val="24"/>
    </w:rPr>
  </w:style>
  <w:style w:type="paragraph" w:styleId="16">
    <w:name w:val="Body Text Indent 2"/>
    <w:basedOn w:val="1"/>
    <w:autoRedefine/>
    <w:qFormat/>
    <w:uiPriority w:val="0"/>
    <w:pPr>
      <w:spacing w:after="120" w:line="480" w:lineRule="auto"/>
      <w:ind w:left="420" w:leftChars="200"/>
    </w:pPr>
  </w:style>
  <w:style w:type="paragraph" w:styleId="17">
    <w:name w:val="footer"/>
    <w:basedOn w:val="1"/>
    <w:next w:val="7"/>
    <w:autoRedefine/>
    <w:qFormat/>
    <w:uiPriority w:val="0"/>
    <w:pPr>
      <w:tabs>
        <w:tab w:val="center" w:pos="4153"/>
        <w:tab w:val="right" w:pos="8306"/>
      </w:tabs>
      <w:snapToGrid w:val="0"/>
      <w:jc w:val="left"/>
    </w:pPr>
    <w:rPr>
      <w:sz w:val="18"/>
      <w:szCs w:val="18"/>
    </w:rPr>
  </w:style>
  <w:style w:type="paragraph" w:styleId="1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0"/>
    <w:pPr>
      <w:tabs>
        <w:tab w:val="right" w:leader="dot" w:pos="8300"/>
      </w:tabs>
      <w:spacing w:line="300" w:lineRule="atLeast"/>
    </w:pPr>
    <w:rPr>
      <w:rFonts w:ascii="仿宋_GB2312" w:hAnsi="华文中宋" w:eastAsia="仿宋_GB2312" w:cs="仿宋_GB2312"/>
      <w:b/>
      <w:bCs/>
    </w:rPr>
  </w:style>
  <w:style w:type="paragraph" w:styleId="20">
    <w:name w:val="List"/>
    <w:basedOn w:val="1"/>
    <w:autoRedefine/>
    <w:semiHidden/>
    <w:qFormat/>
    <w:uiPriority w:val="0"/>
    <w:pPr>
      <w:ind w:left="200" w:hanging="200" w:hangingChars="200"/>
    </w:pPr>
  </w:style>
  <w:style w:type="paragraph" w:styleId="21">
    <w:name w:val="toc 2"/>
    <w:basedOn w:val="1"/>
    <w:next w:val="1"/>
    <w:autoRedefine/>
    <w:qFormat/>
    <w:uiPriority w:val="0"/>
    <w:pPr>
      <w:tabs>
        <w:tab w:val="right" w:leader="dot" w:pos="8300"/>
      </w:tabs>
      <w:spacing w:line="360" w:lineRule="auto"/>
      <w:ind w:left="278"/>
      <w:jc w:val="left"/>
    </w:pPr>
    <w:rPr>
      <w:rFonts w:ascii="仿宋_GB2312" w:hAnsi="华文中宋" w:eastAsia="仿宋_GB2312" w:cs="仿宋_GB2312"/>
    </w:rPr>
  </w:style>
  <w:style w:type="paragraph" w:styleId="22">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23">
    <w:name w:val="Body Text First Indent"/>
    <w:basedOn w:val="2"/>
    <w:next w:val="24"/>
    <w:autoRedefine/>
    <w:qFormat/>
    <w:uiPriority w:val="0"/>
    <w:pPr>
      <w:spacing w:line="360" w:lineRule="auto"/>
      <w:ind w:firstLine="420"/>
    </w:pPr>
    <w:rPr>
      <w:rFonts w:ascii="宋体" w:hAnsi="宋体"/>
      <w:sz w:val="24"/>
      <w:szCs w:val="20"/>
    </w:rPr>
  </w:style>
  <w:style w:type="paragraph" w:customStyle="1" w:styleId="24">
    <w:name w:val="样式 正文首行缩进 + 首行缩进:  2 字符1 Char Char"/>
    <w:basedOn w:val="1"/>
    <w:autoRedefine/>
    <w:qFormat/>
    <w:uiPriority w:val="99"/>
    <w:pPr>
      <w:widowControl w:val="0"/>
      <w:adjustRightInd w:val="0"/>
      <w:spacing w:line="400" w:lineRule="exact"/>
      <w:ind w:firstLine="480" w:firstLineChars="200"/>
    </w:pPr>
    <w:rPr>
      <w:rFonts w:ascii="宋体" w:hAnsi="宋体" w:eastAsia="仿宋_GB2312" w:cs="宋体"/>
      <w:color w:val="000000"/>
      <w:sz w:val="26"/>
    </w:rPr>
  </w:style>
  <w:style w:type="table" w:styleId="26">
    <w:name w:val="Table Grid"/>
    <w:basedOn w:val="2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autoRedefine/>
    <w:qFormat/>
    <w:uiPriority w:val="0"/>
    <w:rPr>
      <w:rFonts w:ascii="Times New Roman" w:hAnsi="Times New Roman" w:eastAsia="宋体" w:cs="Times New Roman"/>
    </w:rPr>
  </w:style>
  <w:style w:type="character" w:styleId="29">
    <w:name w:val="Hyperlink"/>
    <w:basedOn w:val="27"/>
    <w:autoRedefine/>
    <w:qFormat/>
    <w:uiPriority w:val="0"/>
    <w:rPr>
      <w:color w:val="0000FF"/>
      <w:u w:val="single"/>
    </w:rPr>
  </w:style>
  <w:style w:type="character" w:styleId="30">
    <w:name w:val="annotation reference"/>
    <w:autoRedefine/>
    <w:qFormat/>
    <w:uiPriority w:val="0"/>
    <w:rPr>
      <w:sz w:val="21"/>
    </w:rPr>
  </w:style>
  <w:style w:type="paragraph" w:customStyle="1" w:styleId="31">
    <w:name w:val="Default"/>
    <w:next w:val="1"/>
    <w:autoRedefine/>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32">
    <w:name w:val="BodyText"/>
    <w:basedOn w:val="1"/>
    <w:next w:val="33"/>
    <w:autoRedefine/>
    <w:qFormat/>
    <w:uiPriority w:val="0"/>
    <w:pPr>
      <w:textAlignment w:val="baseline"/>
    </w:pPr>
    <w:rPr>
      <w:rFonts w:ascii="仿宋_GB2312" w:eastAsia="仿宋_GB2312"/>
      <w:sz w:val="32"/>
    </w:rPr>
  </w:style>
  <w:style w:type="paragraph" w:customStyle="1" w:styleId="33">
    <w:name w:val="BodyTextIndent"/>
    <w:basedOn w:val="1"/>
    <w:autoRedefine/>
    <w:qFormat/>
    <w:uiPriority w:val="0"/>
    <w:pPr>
      <w:spacing w:line="700" w:lineRule="exact"/>
      <w:ind w:left="960"/>
      <w:textAlignment w:val="baseline"/>
    </w:pPr>
    <w:rPr>
      <w:sz w:val="44"/>
    </w:rPr>
  </w:style>
  <w:style w:type="paragraph" w:customStyle="1" w:styleId="34">
    <w:name w:val="正文（缩进）"/>
    <w:basedOn w:val="1"/>
    <w:autoRedefine/>
    <w:qFormat/>
    <w:uiPriority w:val="0"/>
    <w:pPr>
      <w:spacing w:beforeLines="50" w:afterLines="50"/>
      <w:ind w:firstLine="480" w:firstLineChars="200"/>
    </w:pPr>
    <w:rPr>
      <w:rFonts w:ascii="Calibri" w:hAnsi="Calibri"/>
      <w:sz w:val="21"/>
    </w:rPr>
  </w:style>
  <w:style w:type="paragraph" w:customStyle="1" w:styleId="35">
    <w:name w:val="目录 83"/>
    <w:next w:val="1"/>
    <w:autoRedefine/>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36">
    <w:name w:val="标题 2 字符"/>
    <w:link w:val="4"/>
    <w:autoRedefine/>
    <w:qFormat/>
    <w:uiPriority w:val="0"/>
    <w:rPr>
      <w:rFonts w:ascii="Arial" w:hAnsi="Arial" w:eastAsia="黑体" w:cs="Arial"/>
      <w:b/>
      <w:bCs/>
      <w:sz w:val="32"/>
      <w:szCs w:val="32"/>
    </w:rPr>
  </w:style>
  <w:style w:type="paragraph" w:customStyle="1" w:styleId="37">
    <w:name w:val="1"/>
    <w:basedOn w:val="1"/>
    <w:next w:val="14"/>
    <w:autoRedefine/>
    <w:qFormat/>
    <w:uiPriority w:val="0"/>
    <w:rPr>
      <w:rFonts w:ascii="宋体" w:hAnsi="Courier New" w:cs="宋体"/>
      <w:sz w:val="21"/>
      <w:szCs w:val="21"/>
    </w:rPr>
  </w:style>
  <w:style w:type="paragraph" w:customStyle="1" w:styleId="38">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9">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0">
    <w:name w:val="引用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41">
    <w:name w:val="样式 (中文) 仿宋_GB2312 小四 行距: 固定值 22 磅"/>
    <w:basedOn w:val="1"/>
    <w:autoRedefine/>
    <w:qFormat/>
    <w:uiPriority w:val="0"/>
    <w:pPr>
      <w:spacing w:line="400" w:lineRule="exact"/>
      <w:ind w:firstLine="150" w:firstLineChars="150"/>
    </w:pPr>
    <w:rPr>
      <w:rFonts w:eastAsia="仿宋_GB2312"/>
      <w:sz w:val="24"/>
      <w:szCs w:val="20"/>
    </w:rPr>
  </w:style>
  <w:style w:type="paragraph" w:customStyle="1" w:styleId="42">
    <w:name w:val="附件"/>
    <w:next w:val="1"/>
    <w:autoRedefine/>
    <w:qFormat/>
    <w:uiPriority w:val="0"/>
    <w:pPr>
      <w:tabs>
        <w:tab w:val="right" w:leader="dot" w:pos="9402"/>
      </w:tabs>
      <w:spacing w:line="400" w:lineRule="exact"/>
      <w:jc w:val="center"/>
      <w:outlineLvl w:val="0"/>
    </w:pPr>
    <w:rPr>
      <w:rFonts w:ascii="Times New Roman" w:hAnsi="Times New Roman" w:eastAsia="方正黑体_GBK" w:cs="Times New Roman"/>
      <w:b/>
      <w:bCs/>
      <w:smallCaps/>
      <w:kern w:val="2"/>
      <w:sz w:val="28"/>
      <w:lang w:val="en-US" w:eastAsia="zh-CN" w:bidi="ar-SA"/>
    </w:rPr>
  </w:style>
  <w:style w:type="paragraph" w:customStyle="1" w:styleId="43">
    <w:name w:val="标书正文1"/>
    <w:basedOn w:val="1"/>
    <w:autoRedefine/>
    <w:qFormat/>
    <w:uiPriority w:val="0"/>
    <w:pPr>
      <w:spacing w:line="520" w:lineRule="exact"/>
      <w:ind w:firstLine="640" w:firstLineChars="200"/>
    </w:pPr>
  </w:style>
  <w:style w:type="paragraph" w:customStyle="1" w:styleId="44">
    <w:name w:val="电建正文"/>
    <w:basedOn w:val="45"/>
    <w:autoRedefine/>
    <w:qFormat/>
    <w:uiPriority w:val="0"/>
    <w:pPr>
      <w:tabs>
        <w:tab w:val="left" w:pos="720"/>
      </w:tabs>
      <w:spacing w:line="360" w:lineRule="auto"/>
      <w:ind w:firstLine="200" w:firstLineChars="200"/>
    </w:pPr>
    <w:rPr>
      <w:rFonts w:ascii="Tahoma" w:hAnsi="Tahoma"/>
      <w:sz w:val="24"/>
    </w:rPr>
  </w:style>
  <w:style w:type="paragraph" w:customStyle="1" w:styleId="45">
    <w:name w:val="List First"/>
    <w:basedOn w:val="20"/>
    <w:next w:val="20"/>
    <w:autoRedefine/>
    <w:qFormat/>
    <w:uiPriority w:val="0"/>
    <w:pPr>
      <w:widowControl/>
      <w:tabs>
        <w:tab w:val="left" w:pos="720"/>
      </w:tabs>
      <w:overflowPunct w:val="0"/>
      <w:autoSpaceDE w:val="0"/>
      <w:autoSpaceDN w:val="0"/>
      <w:spacing w:before="80" w:after="80"/>
      <w:ind w:left="0"/>
      <w:jc w:val="left"/>
    </w:pPr>
    <w:rPr>
      <w:kern w:val="0"/>
      <w:sz w:val="20"/>
    </w:rPr>
  </w:style>
  <w:style w:type="paragraph" w:customStyle="1" w:styleId="46">
    <w:name w:val="标题 5（有编号）（绿盟科技）"/>
    <w:basedOn w:val="1"/>
    <w:next w:val="47"/>
    <w:autoRedefine/>
    <w:qFormat/>
    <w:uiPriority w:val="0"/>
    <w:pPr>
      <w:keepNext/>
      <w:keepLines/>
      <w:numPr>
        <w:ilvl w:val="4"/>
        <w:numId w:val="1"/>
      </w:numPr>
      <w:spacing w:before="280" w:after="156" w:line="377" w:lineRule="auto"/>
      <w:outlineLvl w:val="4"/>
    </w:pPr>
    <w:rPr>
      <w:rFonts w:ascii="Arial" w:hAnsi="Arial" w:eastAsia="黑体"/>
      <w:b/>
      <w:kern w:val="0"/>
    </w:rPr>
  </w:style>
  <w:style w:type="paragraph" w:customStyle="1" w:styleId="47">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48">
    <w:name w:val="NormalCharacter"/>
    <w:autoRedefine/>
    <w:qFormat/>
    <w:uiPriority w:val="0"/>
  </w:style>
  <w:style w:type="paragraph" w:customStyle="1" w:styleId="49">
    <w:name w:val="正文1"/>
    <w:basedOn w:val="1"/>
    <w:next w:val="1"/>
    <w:autoRedefine/>
    <w:qFormat/>
    <w:uiPriority w:val="0"/>
    <w:pPr>
      <w:spacing w:line="30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15723</Words>
  <Characters>16640</Characters>
  <Lines>110</Lines>
  <Paragraphs>31</Paragraphs>
  <TotalTime>0</TotalTime>
  <ScaleCrop>false</ScaleCrop>
  <LinksUpToDate>false</LinksUpToDate>
  <CharactersWithSpaces>17605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2022-03-07T07:07:00Z</dcterms:created>
  <dc:creator>小小小朋友o∩_∩o</dc:creator>
  <cp:lastModifiedBy>傅⑨⑨</cp:lastModifiedBy>
  <cp:lastPrinted>2023-12-08T02:28:00Z</cp:lastPrinted>
  <dcterms:modified xsi:type="dcterms:W3CDTF">2024-03-19T06:51:59Z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FA2789CAC62E457C99675404C90FC3E3_13</vt:lpwstr>
  </property>
</Properties>
</file>