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2DB82">
      <w:pPr>
        <w:widowControl/>
        <w:spacing w:line="360" w:lineRule="auto"/>
        <w:jc w:val="center"/>
        <w:rPr>
          <w:rFonts w:hint="eastAsia" w:ascii="宋体" w:hAnsi="宋体" w:eastAsia="宋体" w:cs="宋体"/>
          <w:color w:val="auto"/>
          <w:sz w:val="24"/>
          <w:szCs w:val="24"/>
          <w:highlight w:val="none"/>
        </w:rPr>
      </w:pPr>
    </w:p>
    <w:p w14:paraId="4148F3BF">
      <w:pPr>
        <w:spacing w:line="360" w:lineRule="auto"/>
        <w:jc w:val="center"/>
        <w:outlineLvl w:val="0"/>
        <w:rPr>
          <w:rFonts w:hint="eastAsia" w:ascii="宋体" w:hAnsi="宋体" w:eastAsia="宋体" w:cs="宋体"/>
          <w:b/>
          <w:bCs/>
          <w:color w:val="auto"/>
          <w:sz w:val="24"/>
          <w:szCs w:val="24"/>
          <w:highlight w:val="none"/>
        </w:rPr>
      </w:pPr>
      <w:bookmarkStart w:id="0" w:name="_Toc29402"/>
      <w:bookmarkStart w:id="1" w:name="_Toc22930"/>
      <w:r>
        <w:rPr>
          <w:rFonts w:hint="eastAsia" w:ascii="宋体" w:hAnsi="宋体" w:eastAsia="宋体" w:cs="宋体"/>
          <w:b/>
          <w:bCs/>
          <w:color w:val="auto"/>
          <w:sz w:val="72"/>
          <w:szCs w:val="72"/>
          <w:highlight w:val="none"/>
          <w:lang w:val="en-US" w:eastAsia="zh-CN"/>
        </w:rPr>
        <w:t xml:space="preserve">竞 争 性 比 选 </w:t>
      </w:r>
      <w:r>
        <w:rPr>
          <w:rFonts w:hint="eastAsia" w:ascii="宋体" w:hAnsi="宋体" w:eastAsia="宋体" w:cs="宋体"/>
          <w:b/>
          <w:bCs/>
          <w:color w:val="auto"/>
          <w:sz w:val="72"/>
          <w:szCs w:val="72"/>
          <w:highlight w:val="none"/>
        </w:rPr>
        <w:t>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件</w:t>
      </w:r>
      <w:bookmarkEnd w:id="0"/>
      <w:bookmarkEnd w:id="1"/>
    </w:p>
    <w:p w14:paraId="6EF3B839">
      <w:pPr>
        <w:widowControl/>
        <w:spacing w:line="480" w:lineRule="exact"/>
        <w:jc w:val="center"/>
        <w:rPr>
          <w:rFonts w:hint="eastAsia" w:ascii="宋体" w:hAnsi="宋体" w:eastAsia="宋体" w:cs="宋体"/>
          <w:color w:val="auto"/>
          <w:sz w:val="24"/>
          <w:szCs w:val="24"/>
          <w:highlight w:val="none"/>
        </w:rPr>
      </w:pPr>
    </w:p>
    <w:p w14:paraId="6D713B17">
      <w:pPr>
        <w:pStyle w:val="15"/>
        <w:rPr>
          <w:rFonts w:hint="eastAsia" w:ascii="宋体" w:hAnsi="宋体" w:eastAsia="宋体" w:cs="宋体"/>
          <w:color w:val="auto"/>
          <w:sz w:val="24"/>
          <w:szCs w:val="24"/>
          <w:highlight w:val="none"/>
        </w:rPr>
      </w:pPr>
    </w:p>
    <w:p w14:paraId="51806373">
      <w:pPr>
        <w:rPr>
          <w:rFonts w:hint="eastAsia" w:ascii="宋体" w:hAnsi="宋体" w:eastAsia="宋体" w:cs="宋体"/>
          <w:color w:val="auto"/>
          <w:sz w:val="24"/>
          <w:szCs w:val="24"/>
          <w:highlight w:val="none"/>
        </w:rPr>
      </w:pPr>
    </w:p>
    <w:p w14:paraId="209EC8F0">
      <w:pPr>
        <w:spacing w:line="480" w:lineRule="exact"/>
        <w:jc w:val="center"/>
        <w:rPr>
          <w:rFonts w:hint="eastAsia" w:ascii="宋体" w:hAnsi="宋体" w:eastAsia="宋体" w:cs="宋体"/>
          <w:color w:val="auto"/>
          <w:sz w:val="24"/>
          <w:szCs w:val="24"/>
          <w:highlight w:val="none"/>
        </w:rPr>
      </w:pPr>
    </w:p>
    <w:p w14:paraId="69B1741F">
      <w:pPr>
        <w:pStyle w:val="9"/>
        <w:spacing w:line="480" w:lineRule="exact"/>
        <w:ind w:left="560"/>
        <w:jc w:val="center"/>
        <w:rPr>
          <w:rFonts w:hint="eastAsia" w:ascii="宋体" w:hAnsi="宋体" w:eastAsia="宋体" w:cs="宋体"/>
          <w:color w:val="auto"/>
          <w:sz w:val="24"/>
          <w:szCs w:val="24"/>
          <w:highlight w:val="none"/>
        </w:rPr>
      </w:pPr>
    </w:p>
    <w:p w14:paraId="08082338">
      <w:pPr>
        <w:pStyle w:val="9"/>
        <w:spacing w:line="480" w:lineRule="exact"/>
        <w:ind w:left="560"/>
        <w:jc w:val="center"/>
        <w:rPr>
          <w:rFonts w:hint="eastAsia" w:ascii="宋体" w:hAnsi="宋体" w:eastAsia="宋体" w:cs="宋体"/>
          <w:color w:val="auto"/>
          <w:sz w:val="24"/>
          <w:szCs w:val="24"/>
          <w:highlight w:val="none"/>
        </w:rPr>
      </w:pPr>
    </w:p>
    <w:p w14:paraId="73D401D6">
      <w:pPr>
        <w:pStyle w:val="9"/>
        <w:spacing w:line="480" w:lineRule="exact"/>
        <w:ind w:left="0" w:leftChars="0" w:firstLine="640" w:firstLineChars="20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 xml:space="preserve">项目编号：RSZB-2025-120 </w:t>
      </w:r>
    </w:p>
    <w:p w14:paraId="5FA6CFC4">
      <w:pPr>
        <w:pStyle w:val="9"/>
        <w:spacing w:line="480" w:lineRule="exact"/>
        <w:ind w:left="0" w:leftChars="0" w:firstLine="640" w:firstLineChars="200"/>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项目名称：大渡口区疾控中心B栋民兵活动中心建设工程</w:t>
      </w:r>
    </w:p>
    <w:p w14:paraId="3CA09884">
      <w:pPr>
        <w:spacing w:line="480" w:lineRule="exact"/>
        <w:rPr>
          <w:rFonts w:hint="eastAsia" w:ascii="宋体" w:hAnsi="宋体" w:eastAsia="宋体" w:cs="宋体"/>
          <w:color w:val="auto"/>
          <w:sz w:val="24"/>
          <w:szCs w:val="24"/>
          <w:highlight w:val="none"/>
        </w:rPr>
      </w:pPr>
    </w:p>
    <w:p w14:paraId="573619AF">
      <w:pPr>
        <w:pStyle w:val="8"/>
        <w:spacing w:line="480" w:lineRule="exact"/>
        <w:outlineLvl w:val="0"/>
        <w:rPr>
          <w:rFonts w:hint="eastAsia" w:ascii="宋体" w:hAnsi="宋体" w:eastAsia="宋体" w:cs="宋体"/>
          <w:color w:val="auto"/>
          <w:sz w:val="24"/>
          <w:szCs w:val="24"/>
          <w:highlight w:val="none"/>
        </w:rPr>
      </w:pPr>
    </w:p>
    <w:p w14:paraId="4FB42E0F">
      <w:pPr>
        <w:widowControl/>
        <w:spacing w:line="480" w:lineRule="exact"/>
        <w:ind w:firstLine="960" w:firstLineChars="400"/>
        <w:jc w:val="left"/>
        <w:outlineLvl w:val="0"/>
        <w:rPr>
          <w:rFonts w:hint="eastAsia" w:ascii="宋体" w:hAnsi="宋体" w:eastAsia="宋体" w:cs="宋体"/>
          <w:color w:val="auto"/>
          <w:sz w:val="24"/>
          <w:szCs w:val="24"/>
          <w:highlight w:val="none"/>
          <w:lang w:val="en-US" w:eastAsia="zh-CN"/>
        </w:rPr>
      </w:pPr>
    </w:p>
    <w:p w14:paraId="313123F1">
      <w:pPr>
        <w:pStyle w:val="8"/>
        <w:rPr>
          <w:rFonts w:hint="eastAsia" w:ascii="宋体" w:hAnsi="宋体" w:eastAsia="宋体" w:cs="宋体"/>
          <w:color w:val="auto"/>
          <w:sz w:val="24"/>
          <w:szCs w:val="24"/>
          <w:highlight w:val="none"/>
          <w:lang w:val="en-US" w:eastAsia="zh-CN"/>
        </w:rPr>
      </w:pPr>
    </w:p>
    <w:p w14:paraId="1B39ABCD">
      <w:pPr>
        <w:rPr>
          <w:rFonts w:hint="eastAsia" w:ascii="宋体" w:hAnsi="宋体" w:eastAsia="宋体" w:cs="宋体"/>
          <w:color w:val="auto"/>
          <w:sz w:val="24"/>
          <w:szCs w:val="24"/>
          <w:highlight w:val="none"/>
          <w:lang w:val="en-US" w:eastAsia="zh-CN"/>
        </w:rPr>
      </w:pPr>
    </w:p>
    <w:p w14:paraId="4D87A8AE">
      <w:pPr>
        <w:rPr>
          <w:rFonts w:hint="eastAsia" w:ascii="宋体" w:hAnsi="宋体" w:eastAsia="宋体" w:cs="宋体"/>
          <w:color w:val="auto"/>
          <w:sz w:val="24"/>
          <w:szCs w:val="24"/>
          <w:highlight w:val="none"/>
          <w:lang w:val="en-US" w:eastAsia="zh-CN"/>
        </w:rPr>
      </w:pPr>
    </w:p>
    <w:p w14:paraId="37F639B7">
      <w:pPr>
        <w:rPr>
          <w:rFonts w:hint="eastAsia" w:ascii="宋体" w:hAnsi="宋体" w:eastAsia="宋体" w:cs="宋体"/>
          <w:color w:val="auto"/>
          <w:sz w:val="24"/>
          <w:szCs w:val="24"/>
          <w:highlight w:val="none"/>
          <w:lang w:val="en-US" w:eastAsia="zh-CN"/>
        </w:rPr>
      </w:pPr>
    </w:p>
    <w:p w14:paraId="334C563A">
      <w:pPr>
        <w:rPr>
          <w:rFonts w:hint="eastAsia" w:ascii="宋体" w:hAnsi="宋体" w:eastAsia="宋体" w:cs="宋体"/>
          <w:color w:val="auto"/>
          <w:sz w:val="24"/>
          <w:szCs w:val="24"/>
          <w:highlight w:val="none"/>
          <w:lang w:val="en-US" w:eastAsia="zh-CN"/>
        </w:rPr>
      </w:pPr>
    </w:p>
    <w:p w14:paraId="7A0F1AFC">
      <w:pPr>
        <w:pStyle w:val="8"/>
        <w:rPr>
          <w:rFonts w:hint="eastAsia" w:ascii="宋体" w:hAnsi="宋体" w:eastAsia="宋体" w:cs="宋体"/>
          <w:color w:val="auto"/>
          <w:sz w:val="24"/>
          <w:szCs w:val="24"/>
          <w:highlight w:val="none"/>
          <w:lang w:val="en-US" w:eastAsia="zh-CN"/>
        </w:rPr>
      </w:pPr>
    </w:p>
    <w:p w14:paraId="3E156229">
      <w:pPr>
        <w:rPr>
          <w:rFonts w:hint="eastAsia" w:ascii="宋体" w:hAnsi="宋体" w:eastAsia="宋体" w:cs="宋体"/>
          <w:color w:val="auto"/>
          <w:sz w:val="24"/>
          <w:szCs w:val="24"/>
          <w:highlight w:val="none"/>
          <w:lang w:val="en-US" w:eastAsia="zh-CN"/>
        </w:rPr>
      </w:pPr>
    </w:p>
    <w:p w14:paraId="494C9A08">
      <w:pPr>
        <w:pStyle w:val="8"/>
        <w:rPr>
          <w:rFonts w:hint="eastAsia" w:ascii="宋体" w:hAnsi="宋体" w:eastAsia="宋体" w:cs="宋体"/>
          <w:color w:val="auto"/>
          <w:sz w:val="24"/>
          <w:szCs w:val="24"/>
          <w:highlight w:val="none"/>
          <w:lang w:val="en-US" w:eastAsia="zh-CN"/>
        </w:rPr>
      </w:pPr>
    </w:p>
    <w:p w14:paraId="207D12AD">
      <w:pPr>
        <w:rPr>
          <w:rFonts w:hint="eastAsia" w:ascii="宋体" w:hAnsi="宋体" w:eastAsia="宋体" w:cs="宋体"/>
          <w:color w:val="auto"/>
          <w:sz w:val="24"/>
          <w:szCs w:val="24"/>
          <w:highlight w:val="none"/>
          <w:lang w:val="en-US" w:eastAsia="zh-CN"/>
        </w:rPr>
      </w:pPr>
    </w:p>
    <w:p w14:paraId="3701B229">
      <w:pPr>
        <w:pStyle w:val="8"/>
        <w:rPr>
          <w:rFonts w:hint="eastAsia" w:ascii="宋体" w:hAnsi="宋体" w:eastAsia="宋体" w:cs="宋体"/>
          <w:color w:val="auto"/>
          <w:sz w:val="24"/>
          <w:szCs w:val="24"/>
          <w:highlight w:val="none"/>
          <w:lang w:val="en-US" w:eastAsia="zh-CN"/>
        </w:rPr>
      </w:pPr>
    </w:p>
    <w:p w14:paraId="585A6BF4">
      <w:pPr>
        <w:widowControl/>
        <w:spacing w:line="480" w:lineRule="exact"/>
        <w:ind w:firstLine="1280" w:firstLineChars="400"/>
        <w:jc w:val="left"/>
        <w:outlineLvl w:val="0"/>
        <w:rPr>
          <w:rFonts w:hint="eastAsia" w:ascii="宋体" w:hAnsi="宋体" w:eastAsia="宋体" w:cs="宋体"/>
          <w:color w:val="auto"/>
          <w:sz w:val="32"/>
          <w:szCs w:val="32"/>
          <w:highlight w:val="none"/>
        </w:rPr>
      </w:pPr>
      <w:bookmarkStart w:id="2" w:name="_Toc16088"/>
      <w:r>
        <w:rPr>
          <w:rFonts w:hint="eastAsia" w:ascii="宋体" w:hAnsi="宋体" w:eastAsia="宋体" w:cs="宋体"/>
          <w:color w:val="auto"/>
          <w:sz w:val="32"/>
          <w:szCs w:val="32"/>
          <w:highlight w:val="none"/>
          <w:lang w:val="en-US" w:eastAsia="zh-CN"/>
        </w:rPr>
        <w:t>比 选</w:t>
      </w:r>
      <w:r>
        <w:rPr>
          <w:rFonts w:hint="eastAsia" w:ascii="宋体" w:hAnsi="宋体" w:eastAsia="宋体" w:cs="宋体"/>
          <w:color w:val="auto"/>
          <w:sz w:val="32"/>
          <w:szCs w:val="32"/>
          <w:highlight w:val="none"/>
        </w:rPr>
        <w:t xml:space="preserve"> 人：</w:t>
      </w:r>
      <w:bookmarkEnd w:id="2"/>
      <w:r>
        <w:rPr>
          <w:rFonts w:hint="eastAsia" w:ascii="宋体" w:hAnsi="宋体" w:eastAsia="宋体" w:cs="宋体"/>
          <w:color w:val="auto"/>
          <w:sz w:val="32"/>
          <w:szCs w:val="32"/>
          <w:highlight w:val="none"/>
          <w:lang w:val="en-US" w:eastAsia="zh-CN"/>
        </w:rPr>
        <w:t>重庆市大渡口区疾病预防控制中心</w:t>
      </w:r>
      <w:r>
        <w:rPr>
          <w:rFonts w:hint="eastAsia" w:ascii="宋体" w:hAnsi="宋体" w:eastAsia="宋体" w:cs="宋体"/>
          <w:color w:val="auto"/>
          <w:sz w:val="32"/>
          <w:szCs w:val="32"/>
          <w:highlight w:val="none"/>
        </w:rPr>
        <w:t xml:space="preserve">            </w:t>
      </w:r>
    </w:p>
    <w:p w14:paraId="3C052088">
      <w:pPr>
        <w:widowControl/>
        <w:spacing w:line="480" w:lineRule="exact"/>
        <w:ind w:firstLine="1280" w:firstLineChars="400"/>
        <w:jc w:val="left"/>
        <w:outlineLvl w:val="0"/>
        <w:rPr>
          <w:rFonts w:hint="eastAsia" w:ascii="宋体" w:hAnsi="宋体" w:eastAsia="宋体" w:cs="宋体"/>
          <w:color w:val="auto"/>
          <w:sz w:val="32"/>
          <w:szCs w:val="32"/>
          <w:highlight w:val="none"/>
          <w:lang w:eastAsia="zh-CN"/>
        </w:rPr>
      </w:pPr>
      <w:bookmarkStart w:id="3" w:name="_Toc24202"/>
      <w:r>
        <w:rPr>
          <w:rFonts w:hint="eastAsia" w:ascii="宋体" w:hAnsi="宋体" w:eastAsia="宋体" w:cs="宋体"/>
          <w:color w:val="auto"/>
          <w:sz w:val="32"/>
          <w:szCs w:val="32"/>
          <w:highlight w:val="none"/>
          <w:lang w:val="en-US" w:eastAsia="zh-CN"/>
        </w:rPr>
        <w:t>比选</w:t>
      </w:r>
      <w:r>
        <w:rPr>
          <w:rFonts w:hint="eastAsia" w:ascii="宋体" w:hAnsi="宋体" w:eastAsia="宋体" w:cs="宋体"/>
          <w:color w:val="auto"/>
          <w:sz w:val="32"/>
          <w:szCs w:val="32"/>
          <w:highlight w:val="none"/>
        </w:rPr>
        <w:t>代理机构：</w:t>
      </w:r>
      <w:bookmarkEnd w:id="3"/>
      <w:r>
        <w:rPr>
          <w:rFonts w:hint="eastAsia" w:ascii="宋体" w:hAnsi="宋体" w:eastAsia="宋体" w:cs="宋体"/>
          <w:color w:val="auto"/>
          <w:sz w:val="32"/>
          <w:szCs w:val="32"/>
          <w:highlight w:val="none"/>
          <w:lang w:eastAsia="zh-CN"/>
        </w:rPr>
        <w:t>重庆瑞盛工程咨询有限公司</w:t>
      </w:r>
    </w:p>
    <w:p w14:paraId="4D5A9DC6">
      <w:pPr>
        <w:spacing w:line="480" w:lineRule="exact"/>
        <w:rPr>
          <w:rFonts w:hint="eastAsia" w:ascii="宋体" w:hAnsi="宋体" w:eastAsia="宋体" w:cs="宋体"/>
          <w:color w:val="auto"/>
          <w:sz w:val="32"/>
          <w:szCs w:val="32"/>
          <w:highlight w:val="none"/>
        </w:rPr>
      </w:pPr>
    </w:p>
    <w:p w14:paraId="6C316919">
      <w:pPr>
        <w:spacing w:line="480" w:lineRule="exact"/>
        <w:ind w:firstLine="3200" w:firstLineChars="1000"/>
        <w:outlineLvl w:val="0"/>
        <w:rPr>
          <w:rFonts w:hint="eastAsia" w:ascii="宋体" w:hAnsi="宋体" w:eastAsia="宋体" w:cs="宋体"/>
          <w:color w:val="auto"/>
          <w:sz w:val="32"/>
          <w:szCs w:val="32"/>
          <w:highlight w:val="none"/>
        </w:rPr>
      </w:pPr>
      <w:bookmarkStart w:id="4" w:name="_Toc16470"/>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月</w:t>
      </w:r>
      <w:bookmarkEnd w:id="4"/>
    </w:p>
    <w:p w14:paraId="53D4CEC3">
      <w:pPr>
        <w:pStyle w:val="18"/>
        <w:tabs>
          <w:tab w:val="left" w:pos="5662"/>
        </w:tabs>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p>
    <w:p w14:paraId="4F7C0721">
      <w:pPr>
        <w:pStyle w:val="18"/>
        <w:rPr>
          <w:rFonts w:hint="eastAsia" w:ascii="宋体" w:hAnsi="宋体" w:eastAsia="宋体" w:cs="宋体"/>
          <w:color w:val="auto"/>
          <w:sz w:val="24"/>
          <w:szCs w:val="24"/>
          <w:highlight w:val="none"/>
        </w:rPr>
      </w:pPr>
    </w:p>
    <w:p w14:paraId="1C2408E0">
      <w:pPr>
        <w:pStyle w:val="18"/>
        <w:rPr>
          <w:rFonts w:hint="eastAsia" w:ascii="宋体" w:hAnsi="宋体" w:eastAsia="宋体" w:cs="宋体"/>
          <w:color w:val="auto"/>
          <w:sz w:val="24"/>
          <w:szCs w:val="24"/>
          <w:highlight w:val="none"/>
        </w:rPr>
      </w:pPr>
    </w:p>
    <w:p w14:paraId="563C91A8">
      <w:pPr>
        <w:pStyle w:val="18"/>
        <w:rPr>
          <w:rFonts w:hint="eastAsia" w:ascii="宋体" w:hAnsi="宋体" w:eastAsia="宋体" w:cs="宋体"/>
          <w:color w:val="auto"/>
          <w:sz w:val="24"/>
          <w:szCs w:val="24"/>
          <w:highlight w:val="none"/>
        </w:rPr>
      </w:pPr>
    </w:p>
    <w:p w14:paraId="1F8533BA">
      <w:pPr>
        <w:rPr>
          <w:rFonts w:hint="eastAsia" w:ascii="宋体" w:hAnsi="宋体" w:eastAsia="宋体" w:cs="宋体"/>
          <w:b/>
          <w:bCs/>
          <w:color w:val="auto"/>
          <w:sz w:val="24"/>
          <w:szCs w:val="24"/>
          <w:highlight w:val="none"/>
        </w:rPr>
      </w:pPr>
      <w:bookmarkStart w:id="5" w:name="_Toc2559"/>
      <w:r>
        <w:rPr>
          <w:rFonts w:hint="eastAsia" w:ascii="宋体" w:hAnsi="宋体" w:eastAsia="宋体" w:cs="宋体"/>
          <w:b/>
          <w:bCs/>
          <w:color w:val="auto"/>
          <w:sz w:val="24"/>
          <w:szCs w:val="24"/>
          <w:highlight w:val="none"/>
        </w:rPr>
        <w:br w:type="page"/>
      </w:r>
    </w:p>
    <w:p w14:paraId="64957F52">
      <w:pPr>
        <w:pStyle w:val="18"/>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bookmarkEnd w:id="5"/>
    </w:p>
    <w:p w14:paraId="75F1B636">
      <w:pPr>
        <w:pStyle w:val="18"/>
        <w:jc w:val="center"/>
        <w:rPr>
          <w:rFonts w:hint="eastAsia" w:ascii="宋体" w:hAnsi="宋体" w:eastAsia="宋体" w:cs="宋体"/>
          <w:b/>
          <w:bCs/>
          <w:color w:val="auto"/>
          <w:sz w:val="28"/>
          <w:szCs w:val="28"/>
          <w:highlight w:val="none"/>
        </w:rPr>
      </w:pPr>
    </w:p>
    <w:sdt>
      <w:sdtPr>
        <w:rPr>
          <w:rFonts w:hint="eastAsia" w:ascii="宋体" w:hAnsi="宋体" w:eastAsia="宋体" w:cs="宋体"/>
          <w:b/>
          <w:bCs/>
          <w:color w:val="auto"/>
          <w:kern w:val="44"/>
          <w:sz w:val="28"/>
          <w:szCs w:val="28"/>
          <w:highlight w:val="none"/>
        </w:rPr>
        <w:id w:val="147466922"/>
        <w:docPartObj>
          <w:docPartGallery w:val="Table of Contents"/>
          <w:docPartUnique/>
        </w:docPartObj>
      </w:sdtPr>
      <w:sdtEndPr>
        <w:rPr>
          <w:rFonts w:hint="eastAsia" w:ascii="宋体" w:hAnsi="宋体" w:eastAsia="宋体" w:cs="宋体"/>
          <w:b/>
          <w:bCs/>
          <w:color w:val="auto"/>
          <w:kern w:val="44"/>
          <w:sz w:val="24"/>
          <w:szCs w:val="24"/>
          <w:highlight w:val="none"/>
        </w:rPr>
      </w:sdtEndPr>
      <w:sdtContent>
        <w:p w14:paraId="59B01057">
          <w:pPr>
            <w:jc w:val="center"/>
            <w:rPr>
              <w:rFonts w:hint="eastAsia" w:ascii="宋体" w:hAnsi="宋体" w:eastAsia="宋体" w:cs="宋体"/>
              <w:b/>
              <w:bCs/>
              <w:color w:val="auto"/>
              <w:sz w:val="28"/>
              <w:szCs w:val="28"/>
              <w:highlight w:val="none"/>
            </w:rPr>
          </w:pPr>
        </w:p>
        <w:p w14:paraId="73ECF8F3">
          <w:pPr>
            <w:pStyle w:val="15"/>
            <w:tabs>
              <w:tab w:val="right" w:leader="dot" w:pos="963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_Toc2760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eastAsia="zh-CN"/>
            </w:rPr>
            <w:t>比选邀请书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_Toc2760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53C6B3">
          <w:pPr>
            <w:pStyle w:val="15"/>
            <w:tabs>
              <w:tab w:val="right" w:leader="dot" w:pos="963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_Toc15854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 xml:space="preserve">第二篇 </w:t>
          </w:r>
          <w:r>
            <w:rPr>
              <w:rFonts w:hint="eastAsia" w:ascii="宋体" w:hAnsi="宋体" w:eastAsia="宋体" w:cs="宋体"/>
              <w:bCs/>
              <w:color w:val="auto"/>
              <w:sz w:val="28"/>
              <w:szCs w:val="28"/>
              <w:highlight w:val="none"/>
            </w:rPr>
            <w:t>项目</w:t>
          </w:r>
          <w:r>
            <w:rPr>
              <w:rFonts w:hint="eastAsia" w:ascii="宋体" w:hAnsi="宋体" w:eastAsia="宋体" w:cs="宋体"/>
              <w:bCs/>
              <w:color w:val="auto"/>
              <w:sz w:val="28"/>
              <w:szCs w:val="28"/>
              <w:highlight w:val="none"/>
              <w:lang w:eastAsia="zh-CN"/>
            </w:rPr>
            <w:t>技术需求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_Toc15854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EF7B5E">
          <w:pPr>
            <w:pStyle w:val="15"/>
            <w:tabs>
              <w:tab w:val="right" w:leader="dot" w:pos="963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_Toc21129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第三篇 项目商务需求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- 6 -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2305F6">
          <w:pPr>
            <w:pStyle w:val="15"/>
            <w:tabs>
              <w:tab w:val="right" w:leader="dot" w:pos="963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_Toc11767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第四篇 资格审查及评审办法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_Toc11767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799D4A3">
          <w:pPr>
            <w:pStyle w:val="15"/>
            <w:tabs>
              <w:tab w:val="right" w:leader="dot" w:pos="963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_Toc6994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第五篇 </w:t>
          </w:r>
          <w:r>
            <w:rPr>
              <w:rFonts w:hint="eastAsia" w:ascii="宋体" w:hAnsi="宋体" w:eastAsia="宋体" w:cs="宋体"/>
              <w:bCs/>
              <w:color w:val="auto"/>
              <w:sz w:val="28"/>
              <w:szCs w:val="28"/>
              <w:highlight w:val="none"/>
              <w:lang w:eastAsia="zh-CN"/>
            </w:rPr>
            <w:t>竞选人</w:t>
          </w:r>
          <w:r>
            <w:rPr>
              <w:rFonts w:hint="eastAsia" w:ascii="宋体" w:hAnsi="宋体" w:eastAsia="宋体" w:cs="宋体"/>
              <w:bCs/>
              <w:color w:val="auto"/>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_Toc6994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- 19 -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4927FE">
          <w:pPr>
            <w:pStyle w:val="15"/>
            <w:tabs>
              <w:tab w:val="right" w:leader="dot" w:pos="963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_Toc19486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第六篇 </w:t>
          </w:r>
          <w:r>
            <w:rPr>
              <w:rFonts w:hint="eastAsia" w:ascii="宋体" w:hAnsi="宋体" w:eastAsia="宋体" w:cs="宋体"/>
              <w:color w:val="auto"/>
              <w:sz w:val="28"/>
              <w:szCs w:val="28"/>
              <w:highlight w:val="none"/>
              <w:lang w:eastAsia="zh-CN"/>
            </w:rPr>
            <w:t>竞选文件</w:t>
          </w:r>
          <w:r>
            <w:rPr>
              <w:rFonts w:hint="eastAsia" w:ascii="宋体" w:hAnsi="宋体" w:eastAsia="宋体" w:cs="宋体"/>
              <w:color w:val="auto"/>
              <w:sz w:val="28"/>
              <w:szCs w:val="28"/>
              <w:highlight w:val="none"/>
            </w:rPr>
            <w:t>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_Toc19486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- 23 -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165357">
          <w:pPr>
            <w:pStyle w:val="2"/>
            <w:pageBreakBefore w:val="0"/>
            <w:widowControl w:val="0"/>
            <w:kinsoku/>
            <w:wordWrap/>
            <w:overflowPunct/>
            <w:topLinePunct w:val="0"/>
            <w:autoSpaceDE/>
            <w:autoSpaceDN/>
            <w:bidi w:val="0"/>
            <w:adjustRightInd/>
            <w:snapToGrid/>
            <w:spacing w:line="360" w:lineRule="auto"/>
            <w:ind w:firstLine="640"/>
            <w:jc w:val="center"/>
            <w:textAlignment w:val="auto"/>
            <w:rPr>
              <w:rFonts w:hint="eastAsia" w:ascii="宋体" w:hAnsi="宋体" w:eastAsia="宋体" w:cs="宋体"/>
              <w:color w:val="auto"/>
              <w:sz w:val="24"/>
              <w:szCs w:val="24"/>
              <w:highlight w:val="none"/>
            </w:rPr>
            <w:sectPr>
              <w:footerReference r:id="rId3" w:type="default"/>
              <w:pgSz w:w="11907" w:h="16840"/>
              <w:pgMar w:top="1134" w:right="1134" w:bottom="1134" w:left="1134" w:header="850" w:footer="992" w:gutter="0"/>
              <w:pgNumType w:fmt="numberInDash" w:start="1"/>
              <w:cols w:space="720" w:num="1"/>
              <w:docGrid w:linePitch="312" w:charSpace="0"/>
            </w:sectPr>
          </w:pPr>
          <w:r>
            <w:rPr>
              <w:rFonts w:hint="eastAsia" w:ascii="宋体" w:hAnsi="宋体" w:eastAsia="宋体" w:cs="宋体"/>
              <w:color w:val="auto"/>
              <w:sz w:val="28"/>
              <w:szCs w:val="28"/>
              <w:highlight w:val="none"/>
            </w:rPr>
            <w:fldChar w:fldCharType="end"/>
          </w:r>
        </w:p>
      </w:sdtContent>
    </w:sdt>
    <w:p w14:paraId="79CC1F4A">
      <w:pPr>
        <w:pStyle w:val="2"/>
        <w:bidi w:val="0"/>
        <w:rPr>
          <w:rFonts w:hint="eastAsia" w:ascii="宋体" w:hAnsi="宋体" w:eastAsia="宋体" w:cs="宋体"/>
          <w:color w:val="auto"/>
          <w:sz w:val="24"/>
          <w:szCs w:val="24"/>
          <w:highlight w:val="none"/>
          <w:lang w:eastAsia="zh-CN"/>
        </w:rPr>
      </w:pPr>
      <w:bookmarkStart w:id="6" w:name="_Toc7504"/>
      <w:bookmarkStart w:id="7" w:name="_Toc10681"/>
      <w:bookmarkStart w:id="8" w:name="_Toc2760"/>
      <w:r>
        <w:rPr>
          <w:rFonts w:hint="eastAsia" w:ascii="宋体" w:hAnsi="宋体" w:eastAsia="宋体" w:cs="宋体"/>
          <w:color w:val="auto"/>
          <w:sz w:val="36"/>
          <w:szCs w:val="36"/>
          <w:highlight w:val="none"/>
        </w:rPr>
        <w:t xml:space="preserve">第一篇 </w:t>
      </w:r>
      <w:bookmarkEnd w:id="6"/>
      <w:bookmarkEnd w:id="7"/>
      <w:r>
        <w:rPr>
          <w:rFonts w:hint="eastAsia" w:ascii="宋体" w:hAnsi="宋体" w:eastAsia="宋体" w:cs="宋体"/>
          <w:color w:val="auto"/>
          <w:sz w:val="36"/>
          <w:szCs w:val="36"/>
          <w:highlight w:val="none"/>
          <w:lang w:eastAsia="zh-CN"/>
        </w:rPr>
        <w:t>比选邀请书</w:t>
      </w:r>
      <w:bookmarkEnd w:id="8"/>
    </w:p>
    <w:p w14:paraId="021CE665">
      <w:pPr>
        <w:pStyle w:val="3"/>
        <w:bidi w:val="0"/>
        <w:rPr>
          <w:rFonts w:hint="eastAsia" w:ascii="宋体" w:hAnsi="宋体" w:eastAsia="宋体" w:cs="宋体"/>
          <w:color w:val="auto"/>
          <w:sz w:val="24"/>
          <w:szCs w:val="24"/>
          <w:highlight w:val="none"/>
        </w:rPr>
      </w:pPr>
      <w:bookmarkStart w:id="9" w:name="_Toc11852"/>
      <w:bookmarkStart w:id="10" w:name="_Toc5304"/>
      <w:bookmarkStart w:id="11" w:name="_Toc8664"/>
      <w:bookmarkStart w:id="12" w:name="_Toc28083"/>
      <w:r>
        <w:rPr>
          <w:rFonts w:hint="eastAsia" w:ascii="宋体" w:hAnsi="宋体" w:eastAsia="宋体" w:cs="宋体"/>
          <w:color w:val="auto"/>
          <w:sz w:val="24"/>
          <w:szCs w:val="24"/>
          <w:highlight w:val="none"/>
        </w:rPr>
        <w:t>一、项目内容</w:t>
      </w:r>
      <w:bookmarkEnd w:id="9"/>
      <w:bookmarkEnd w:id="10"/>
      <w:bookmarkEnd w:id="11"/>
      <w:bookmarkEnd w:id="12"/>
    </w:p>
    <w:p w14:paraId="163452E5">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重庆瑞盛工程咨询有限公司</w:t>
      </w:r>
      <w:r>
        <w:rPr>
          <w:rFonts w:hint="eastAsia" w:ascii="宋体" w:hAnsi="宋体" w:eastAsia="宋体" w:cs="宋体"/>
          <w:color w:val="auto"/>
          <w:sz w:val="24"/>
          <w:szCs w:val="24"/>
          <w:highlight w:val="none"/>
        </w:rPr>
        <w:t>（以下简称：</w:t>
      </w:r>
      <w:r>
        <w:rPr>
          <w:rFonts w:hint="eastAsia" w:ascii="宋体" w:hAnsi="宋体" w:eastAsia="宋体" w:cs="宋体"/>
          <w:color w:val="auto"/>
          <w:sz w:val="24"/>
          <w:szCs w:val="24"/>
          <w:highlight w:val="none"/>
          <w:lang w:eastAsia="zh-CN"/>
        </w:rPr>
        <w:t>比选代理</w:t>
      </w:r>
      <w:r>
        <w:rPr>
          <w:rFonts w:hint="eastAsia" w:ascii="宋体" w:hAnsi="宋体" w:eastAsia="宋体" w:cs="宋体"/>
          <w:color w:val="auto"/>
          <w:sz w:val="24"/>
          <w:szCs w:val="24"/>
          <w:highlight w:val="none"/>
        </w:rPr>
        <w:t>机构）接受</w:t>
      </w:r>
      <w:r>
        <w:rPr>
          <w:rFonts w:hint="eastAsia" w:ascii="宋体" w:hAnsi="宋体" w:eastAsia="宋体" w:cs="宋体"/>
          <w:color w:val="auto"/>
          <w:sz w:val="24"/>
          <w:szCs w:val="24"/>
          <w:highlight w:val="none"/>
          <w:u w:val="single"/>
          <w:lang w:val="en-US" w:eastAsia="zh-CN"/>
        </w:rPr>
        <w:t>重庆市大渡口区疾病预防控制中心</w:t>
      </w:r>
      <w:r>
        <w:rPr>
          <w:rFonts w:hint="eastAsia" w:ascii="宋体" w:hAnsi="宋体" w:eastAsia="宋体" w:cs="宋体"/>
          <w:color w:val="auto"/>
          <w:sz w:val="24"/>
          <w:szCs w:val="24"/>
          <w:highlight w:val="none"/>
        </w:rPr>
        <w:t>（以下简称：</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val="en-US" w:eastAsia="zh-CN"/>
        </w:rPr>
        <w:t>大渡口区疾控中心B栋民兵活动中心建设工程</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。欢迎有资格的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前来参</w:t>
      </w:r>
      <w:r>
        <w:rPr>
          <w:rFonts w:hint="eastAsia" w:ascii="宋体" w:hAnsi="宋体" w:eastAsia="宋体" w:cs="宋体"/>
          <w:color w:val="auto"/>
          <w:sz w:val="24"/>
          <w:szCs w:val="24"/>
          <w:highlight w:val="none"/>
          <w:lang w:val="en-US" w:eastAsia="zh-CN"/>
        </w:rPr>
        <w:t>选</w:t>
      </w:r>
      <w:r>
        <w:rPr>
          <w:rFonts w:hint="eastAsia" w:ascii="宋体" w:hAnsi="宋体" w:eastAsia="宋体" w:cs="宋体"/>
          <w:color w:val="auto"/>
          <w:sz w:val="24"/>
          <w:szCs w:val="24"/>
          <w:highlight w:val="none"/>
        </w:rPr>
        <w:t>。</w:t>
      </w:r>
    </w:p>
    <w:tbl>
      <w:tblPr>
        <w:tblStyle w:val="21"/>
        <w:tblpPr w:leftFromText="180" w:rightFromText="180" w:vertAnchor="text" w:horzAnchor="page" w:tblpX="1343" w:tblpY="4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2835"/>
        <w:gridCol w:w="1665"/>
        <w:gridCol w:w="1163"/>
      </w:tblGrid>
      <w:tr w14:paraId="25E7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26" w:type="pct"/>
            <w:tcBorders>
              <w:top w:val="single" w:color="auto" w:sz="4" w:space="0"/>
              <w:left w:val="single" w:color="auto" w:sz="4" w:space="0"/>
              <w:right w:val="single" w:color="auto" w:sz="4" w:space="0"/>
            </w:tcBorders>
            <w:noWrap/>
            <w:vAlign w:val="center"/>
          </w:tcPr>
          <w:p w14:paraId="7FBB40AD">
            <w:pPr>
              <w:widowControl/>
              <w:spacing w:line="48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438" w:type="pct"/>
            <w:tcBorders>
              <w:top w:val="single" w:color="auto" w:sz="4" w:space="0"/>
              <w:left w:val="single" w:color="auto" w:sz="4" w:space="0"/>
              <w:right w:val="single" w:color="auto" w:sz="4" w:space="0"/>
            </w:tcBorders>
            <w:noWrap/>
            <w:vAlign w:val="center"/>
          </w:tcPr>
          <w:p w14:paraId="5D60EBF8">
            <w:pPr>
              <w:widowControl/>
              <w:spacing w:line="48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最高限价</w:t>
            </w:r>
            <w:r>
              <w:rPr>
                <w:rFonts w:hint="eastAsia" w:ascii="宋体" w:hAnsi="宋体" w:eastAsia="宋体" w:cs="宋体"/>
                <w:b/>
                <w:bCs/>
                <w:color w:val="auto"/>
                <w:kern w:val="0"/>
                <w:sz w:val="24"/>
                <w:szCs w:val="24"/>
                <w:highlight w:val="none"/>
              </w:rPr>
              <w:t>（元）</w:t>
            </w:r>
          </w:p>
        </w:tc>
        <w:tc>
          <w:tcPr>
            <w:tcW w:w="844" w:type="pct"/>
            <w:tcBorders>
              <w:top w:val="single" w:color="auto" w:sz="4" w:space="0"/>
              <w:left w:val="single" w:color="auto" w:sz="4" w:space="0"/>
              <w:right w:val="single" w:color="auto" w:sz="4" w:space="0"/>
            </w:tcBorders>
            <w:noWrap/>
            <w:vAlign w:val="center"/>
          </w:tcPr>
          <w:p w14:paraId="3935C9DD">
            <w:pPr>
              <w:spacing w:line="480" w:lineRule="atLeast"/>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资金来源</w:t>
            </w:r>
          </w:p>
        </w:tc>
        <w:tc>
          <w:tcPr>
            <w:tcW w:w="590" w:type="pct"/>
            <w:tcBorders>
              <w:top w:val="single" w:color="auto" w:sz="4" w:space="0"/>
              <w:left w:val="single" w:color="auto" w:sz="4" w:space="0"/>
              <w:right w:val="single" w:color="auto" w:sz="4" w:space="0"/>
            </w:tcBorders>
            <w:noWrap/>
            <w:vAlign w:val="center"/>
          </w:tcPr>
          <w:p w14:paraId="229A9A69">
            <w:pPr>
              <w:spacing w:line="480" w:lineRule="atLeast"/>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备注</w:t>
            </w:r>
          </w:p>
        </w:tc>
      </w:tr>
      <w:tr w14:paraId="436A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26" w:type="pct"/>
            <w:tcBorders>
              <w:top w:val="single" w:color="auto" w:sz="4" w:space="0"/>
              <w:left w:val="single" w:color="auto" w:sz="4" w:space="0"/>
              <w:right w:val="single" w:color="auto" w:sz="4" w:space="0"/>
            </w:tcBorders>
            <w:noWrap/>
            <w:vAlign w:val="center"/>
          </w:tcPr>
          <w:p w14:paraId="6B95620B">
            <w:pPr>
              <w:pStyle w:val="19"/>
              <w:shd w:val="clear" w:color="auto" w:fill="FFFFFF"/>
              <w:spacing w:before="0" w:beforeAutospacing="0" w:after="0" w:afterAutospacing="0" w:line="480" w:lineRule="atLeast"/>
              <w:jc w:val="center"/>
              <w:rPr>
                <w:rFonts w:hint="eastAsia" w:ascii="宋体" w:hAnsi="宋体" w:eastAsia="宋体" w:cs="宋体"/>
                <w:b w:val="0"/>
                <w:bCs w:val="0"/>
                <w:color w:val="auto"/>
                <w:kern w:val="0"/>
                <w:sz w:val="24"/>
                <w:szCs w:val="24"/>
                <w:highlight w:val="none"/>
                <w:lang w:val="en-US" w:eastAsia="zh-CN" w:bidi="ar-SA"/>
              </w:rPr>
            </w:pPr>
            <w:bookmarkStart w:id="13" w:name="_Hlk344477914"/>
            <w:r>
              <w:rPr>
                <w:rFonts w:hint="eastAsia" w:ascii="宋体" w:hAnsi="宋体" w:eastAsia="宋体" w:cs="宋体"/>
                <w:b w:val="0"/>
                <w:bCs w:val="0"/>
                <w:color w:val="auto"/>
                <w:kern w:val="0"/>
                <w:sz w:val="24"/>
                <w:szCs w:val="24"/>
                <w:highlight w:val="none"/>
                <w:lang w:val="en-US" w:eastAsia="zh-CN" w:bidi="ar-SA"/>
              </w:rPr>
              <w:t>大渡口区疾控中心B栋民兵活动中心建设工程</w:t>
            </w:r>
          </w:p>
        </w:tc>
        <w:tc>
          <w:tcPr>
            <w:tcW w:w="1438" w:type="pct"/>
            <w:tcBorders>
              <w:top w:val="single" w:color="auto" w:sz="4" w:space="0"/>
              <w:left w:val="single" w:color="auto" w:sz="4" w:space="0"/>
              <w:right w:val="single" w:color="auto" w:sz="4" w:space="0"/>
            </w:tcBorders>
            <w:noWrap/>
            <w:vAlign w:val="center"/>
          </w:tcPr>
          <w:p w14:paraId="111511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267421.05</w:t>
            </w:r>
          </w:p>
        </w:tc>
        <w:tc>
          <w:tcPr>
            <w:tcW w:w="844" w:type="pct"/>
            <w:tcBorders>
              <w:top w:val="single" w:color="auto" w:sz="4" w:space="0"/>
              <w:left w:val="single" w:color="auto" w:sz="4" w:space="0"/>
              <w:right w:val="single" w:color="auto" w:sz="4" w:space="0"/>
            </w:tcBorders>
            <w:noWrap/>
            <w:vAlign w:val="center"/>
          </w:tcPr>
          <w:p w14:paraId="724DE855">
            <w:pPr>
              <w:widowControl/>
              <w:spacing w:line="480" w:lineRule="atLeas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自筹资金</w:t>
            </w:r>
          </w:p>
        </w:tc>
        <w:tc>
          <w:tcPr>
            <w:tcW w:w="590" w:type="pct"/>
            <w:tcBorders>
              <w:top w:val="single" w:color="auto" w:sz="4" w:space="0"/>
              <w:left w:val="single" w:color="auto" w:sz="4" w:space="0"/>
              <w:right w:val="single" w:color="auto" w:sz="4" w:space="0"/>
            </w:tcBorders>
            <w:noWrap/>
            <w:vAlign w:val="center"/>
          </w:tcPr>
          <w:p w14:paraId="120E1486">
            <w:pPr>
              <w:widowControl/>
              <w:spacing w:line="480" w:lineRule="atLeast"/>
              <w:jc w:val="center"/>
              <w:rPr>
                <w:rFonts w:hint="eastAsia" w:ascii="宋体" w:hAnsi="宋体" w:eastAsia="宋体" w:cs="宋体"/>
                <w:b w:val="0"/>
                <w:bCs w:val="0"/>
                <w:color w:val="auto"/>
                <w:kern w:val="0"/>
                <w:sz w:val="24"/>
                <w:szCs w:val="24"/>
                <w:highlight w:val="none"/>
                <w:lang w:val="en-US" w:eastAsia="zh-CN" w:bidi="ar-SA"/>
              </w:rPr>
            </w:pPr>
          </w:p>
        </w:tc>
      </w:tr>
      <w:bookmarkEnd w:id="13"/>
    </w:tbl>
    <w:p w14:paraId="32FFF279">
      <w:pPr>
        <w:pStyle w:val="3"/>
        <w:bidi w:val="0"/>
        <w:rPr>
          <w:rFonts w:hint="eastAsia" w:ascii="宋体" w:hAnsi="宋体" w:eastAsia="宋体" w:cs="宋体"/>
          <w:color w:val="auto"/>
          <w:sz w:val="24"/>
          <w:szCs w:val="24"/>
          <w:highlight w:val="none"/>
        </w:rPr>
      </w:pPr>
      <w:bookmarkStart w:id="14" w:name="_Toc14960"/>
      <w:bookmarkStart w:id="15" w:name="_Toc8843"/>
      <w:bookmarkStart w:id="16" w:name="_Toc22795"/>
      <w:bookmarkStart w:id="17" w:name="_Toc19000"/>
      <w:bookmarkStart w:id="18" w:name="_Toc21656"/>
      <w:bookmarkStart w:id="19" w:name="_Toc1477"/>
      <w:r>
        <w:rPr>
          <w:rFonts w:hint="eastAsia" w:ascii="宋体" w:hAnsi="宋体" w:eastAsia="宋体" w:cs="宋体"/>
          <w:color w:val="auto"/>
          <w:sz w:val="24"/>
          <w:szCs w:val="24"/>
          <w:highlight w:val="none"/>
        </w:rPr>
        <w:t>二、资格条件</w:t>
      </w:r>
      <w:bookmarkEnd w:id="14"/>
      <w:bookmarkEnd w:id="15"/>
      <w:bookmarkEnd w:id="16"/>
      <w:bookmarkEnd w:id="17"/>
      <w:bookmarkEnd w:id="18"/>
      <w:bookmarkEnd w:id="19"/>
    </w:p>
    <w:p w14:paraId="68821C72">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基本资格条件：</w:t>
      </w:r>
      <w:bookmarkStart w:id="429" w:name="_GoBack"/>
      <w:bookmarkEnd w:id="429"/>
    </w:p>
    <w:p w14:paraId="3C88F037">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3E4729B9">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806AD6D">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F932FAA">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0F33178">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5.参加采购活动前三年内，在经营活动中没有重大违法记录；</w:t>
      </w:r>
    </w:p>
    <w:p w14:paraId="2773BEEC">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A79B225">
      <w:pPr>
        <w:snapToGrid w:val="0"/>
        <w:spacing w:line="480" w:lineRule="atLeas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（二）本项目的特定资格要求</w:t>
      </w:r>
      <w:r>
        <w:rPr>
          <w:rFonts w:hint="eastAsia" w:ascii="宋体" w:hAnsi="宋体" w:eastAsia="宋体" w:cs="宋体"/>
          <w:color w:val="auto"/>
          <w:sz w:val="24"/>
          <w:szCs w:val="24"/>
          <w:highlight w:val="none"/>
          <w:lang w:eastAsia="zh-CN"/>
        </w:rPr>
        <w:t>：</w:t>
      </w:r>
    </w:p>
    <w:p w14:paraId="4A5E1DBB">
      <w:pPr>
        <w:snapToGrid w:val="0"/>
        <w:spacing w:line="48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1、具备建设行政主管部门颁发的有效的建筑工程施工总承包三级及以上资质或建筑装饰装修工程专业承包二级及以上资质。（提供有效的资质证书复印件并加盖竞选人单位公章)。</w:t>
      </w:r>
    </w:p>
    <w:p w14:paraId="2A6B16A9">
      <w:pPr>
        <w:snapToGrid w:val="0"/>
        <w:spacing w:line="480" w:lineRule="atLeas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2、供应商须具有建设行政主管部门颁发的有效的安全生产许可证书（须提供有效的安全生产许可证书复印件，并加盖供应商单位鲜章）。</w:t>
      </w:r>
    </w:p>
    <w:p w14:paraId="2843AB6D">
      <w:pPr>
        <w:pStyle w:val="3"/>
        <w:bidi w:val="0"/>
        <w:rPr>
          <w:rFonts w:hint="eastAsia" w:ascii="宋体" w:hAnsi="宋体" w:eastAsia="宋体" w:cs="宋体"/>
          <w:color w:val="auto"/>
          <w:sz w:val="24"/>
          <w:szCs w:val="24"/>
          <w:highlight w:val="none"/>
        </w:rPr>
      </w:pPr>
      <w:bookmarkStart w:id="20" w:name="_Toc26593"/>
      <w:bookmarkStart w:id="21" w:name="_Toc3005"/>
      <w:bookmarkStart w:id="22" w:name="_Toc1597"/>
      <w:bookmarkStart w:id="23" w:name="_Toc9964"/>
      <w:r>
        <w:rPr>
          <w:rFonts w:hint="eastAsia" w:ascii="宋体" w:hAnsi="宋体" w:eastAsia="宋体" w:cs="宋体"/>
          <w:color w:val="auto"/>
          <w:sz w:val="24"/>
          <w:szCs w:val="24"/>
          <w:highlight w:val="none"/>
        </w:rPr>
        <w:t>三、响应、评审有关说明</w:t>
      </w:r>
      <w:bookmarkEnd w:id="20"/>
      <w:bookmarkEnd w:id="21"/>
      <w:bookmarkEnd w:id="22"/>
      <w:bookmarkEnd w:id="23"/>
      <w:bookmarkStart w:id="24" w:name="_Toc22048"/>
    </w:p>
    <w:p w14:paraId="2BE052E0">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（一）凡有意参加的</w:t>
      </w:r>
      <w:r>
        <w:rPr>
          <w:rFonts w:hint="eastAsia" w:ascii="宋体" w:hAnsi="宋体" w:eastAsia="宋体" w:cs="宋体"/>
          <w:color w:val="auto"/>
          <w:sz w:val="24"/>
          <w:szCs w:val="24"/>
          <w:highlight w:val="none"/>
          <w:lang w:val="en-US" w:eastAsia="zh-CN"/>
        </w:rPr>
        <w:t>竞选人</w:t>
      </w:r>
      <w:r>
        <w:rPr>
          <w:rFonts w:hint="eastAsia" w:ascii="宋体" w:hAnsi="宋体" w:eastAsia="宋体" w:cs="宋体"/>
          <w:color w:val="auto"/>
          <w:sz w:val="24"/>
          <w:szCs w:val="24"/>
          <w:highlight w:val="none"/>
        </w:rPr>
        <w:t>，应通过“行采家”平台（https://www.gec123.com）进行注册，成为平台</w:t>
      </w:r>
      <w:r>
        <w:rPr>
          <w:rFonts w:hint="eastAsia" w:ascii="宋体" w:hAnsi="宋体" w:eastAsia="宋体" w:cs="宋体"/>
          <w:color w:val="auto"/>
          <w:sz w:val="24"/>
          <w:szCs w:val="24"/>
          <w:highlight w:val="none"/>
          <w:lang w:val="en-US" w:eastAsia="zh-CN"/>
        </w:rPr>
        <w:t>入驻</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网站</w:t>
      </w:r>
      <w:r>
        <w:rPr>
          <w:rFonts w:hint="eastAsia" w:ascii="宋体" w:hAnsi="宋体" w:eastAsia="宋体" w:cs="宋体"/>
          <w:color w:val="auto"/>
          <w:sz w:val="24"/>
          <w:szCs w:val="24"/>
          <w:highlight w:val="none"/>
        </w:rPr>
        <w:t>下载本项目</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以及补遗等</w:t>
      </w:r>
      <w:r>
        <w:rPr>
          <w:rFonts w:hint="eastAsia" w:ascii="宋体" w:hAnsi="宋体" w:eastAsia="宋体" w:cs="宋体"/>
          <w:color w:val="auto"/>
          <w:sz w:val="24"/>
          <w:szCs w:val="24"/>
          <w:highlight w:val="none"/>
          <w:lang w:val="en-US" w:eastAsia="zh-CN"/>
        </w:rPr>
        <w:t>竞选</w:t>
      </w:r>
      <w:r>
        <w:rPr>
          <w:rFonts w:hint="eastAsia" w:ascii="宋体" w:hAnsi="宋体" w:eastAsia="宋体" w:cs="宋体"/>
          <w:color w:val="auto"/>
          <w:sz w:val="24"/>
          <w:szCs w:val="24"/>
          <w:highlight w:val="none"/>
        </w:rPr>
        <w:t>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前公布的所有项目资料，无论下载与否，均视为</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已知晓所有</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w:t>
      </w:r>
    </w:p>
    <w:p w14:paraId="0F69703B">
      <w:pPr>
        <w:snapToGrid w:val="0"/>
        <w:spacing w:line="480" w:lineRule="atLeas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bCs/>
          <w:color w:val="auto"/>
          <w:sz w:val="24"/>
          <w:szCs w:val="24"/>
          <w:highlight w:val="none"/>
        </w:rPr>
        <w:t>报名期限</w:t>
      </w:r>
    </w:p>
    <w:p w14:paraId="14C52EDA">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1.报名期限：</w:t>
      </w:r>
      <w:r>
        <w:rPr>
          <w:rFonts w:hint="eastAsia" w:ascii="宋体" w:hAnsi="宋体" w:eastAsia="宋体" w:cs="宋体"/>
          <w:bCs/>
          <w:color w:val="auto"/>
          <w:sz w:val="24"/>
          <w:szCs w:val="24"/>
          <w:highlight w:val="none"/>
          <w:lang w:eastAsia="zh-CN"/>
        </w:rPr>
        <w:t>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日至</w:t>
      </w:r>
      <w:r>
        <w:rPr>
          <w:rFonts w:hint="eastAsia" w:ascii="宋体" w:hAnsi="宋体" w:eastAsia="宋体" w:cs="宋体"/>
          <w:bCs/>
          <w:color w:val="auto"/>
          <w:sz w:val="24"/>
          <w:szCs w:val="24"/>
          <w:highlight w:val="none"/>
          <w:lang w:eastAsia="zh-CN"/>
        </w:rPr>
        <w:t>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09:00-</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:00</w:t>
      </w:r>
      <w:r>
        <w:rPr>
          <w:rFonts w:hint="eastAsia" w:ascii="宋体" w:hAnsi="宋体" w:eastAsia="宋体" w:cs="宋体"/>
          <w:color w:val="auto"/>
          <w:sz w:val="24"/>
          <w:szCs w:val="24"/>
          <w:highlight w:val="none"/>
          <w:lang w:eastAsia="zh-CN"/>
        </w:rPr>
        <w:t>（工作时间）</w:t>
      </w:r>
      <w:r>
        <w:rPr>
          <w:rFonts w:hint="eastAsia" w:ascii="宋体" w:hAnsi="宋体" w:eastAsia="宋体" w:cs="宋体"/>
          <w:bCs/>
          <w:color w:val="auto"/>
          <w:sz w:val="24"/>
          <w:szCs w:val="24"/>
          <w:highlight w:val="none"/>
        </w:rPr>
        <w:t>。</w:t>
      </w:r>
    </w:p>
    <w:p w14:paraId="19060201">
      <w:pPr>
        <w:snapToGrid w:val="0"/>
        <w:spacing w:line="480" w:lineRule="atLeas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比选文件费：500元/份。</w:t>
      </w:r>
    </w:p>
    <w:p w14:paraId="68A9EACB">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报名</w:t>
      </w:r>
      <w:r>
        <w:rPr>
          <w:rFonts w:hint="eastAsia" w:ascii="宋体" w:hAnsi="宋体" w:eastAsia="宋体" w:cs="宋体"/>
          <w:bCs/>
          <w:color w:val="auto"/>
          <w:sz w:val="24"/>
          <w:szCs w:val="24"/>
          <w:highlight w:val="none"/>
          <w:lang w:val="en-US" w:eastAsia="zh-CN"/>
        </w:rPr>
        <w:t>登记</w:t>
      </w:r>
      <w:r>
        <w:rPr>
          <w:rFonts w:hint="eastAsia" w:ascii="宋体" w:hAnsi="宋体" w:eastAsia="宋体" w:cs="宋体"/>
          <w:bCs/>
          <w:color w:val="auto"/>
          <w:sz w:val="24"/>
          <w:szCs w:val="24"/>
          <w:highlight w:val="none"/>
        </w:rPr>
        <w:t>：在报名</w:t>
      </w:r>
      <w:r>
        <w:rPr>
          <w:rFonts w:hint="eastAsia" w:ascii="宋体" w:hAnsi="宋体" w:eastAsia="宋体" w:cs="宋体"/>
          <w:bCs/>
          <w:color w:val="auto"/>
          <w:sz w:val="24"/>
          <w:szCs w:val="24"/>
          <w:highlight w:val="none"/>
          <w:lang w:val="en-US" w:eastAsia="zh-CN"/>
        </w:rPr>
        <w:t>期限</w:t>
      </w:r>
      <w:r>
        <w:rPr>
          <w:rFonts w:hint="eastAsia" w:ascii="宋体" w:hAnsi="宋体" w:eastAsia="宋体" w:cs="宋体"/>
          <w:bCs/>
          <w:color w:val="auto"/>
          <w:sz w:val="24"/>
          <w:szCs w:val="24"/>
          <w:highlight w:val="none"/>
        </w:rPr>
        <w:t>内，</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将《</w:t>
      </w:r>
      <w:r>
        <w:rPr>
          <w:rFonts w:hint="eastAsia" w:ascii="宋体" w:hAnsi="宋体" w:eastAsia="宋体" w:cs="宋体"/>
          <w:bCs/>
          <w:color w:val="auto"/>
          <w:sz w:val="24"/>
          <w:szCs w:val="24"/>
          <w:highlight w:val="none"/>
          <w:lang w:val="en-US" w:eastAsia="zh-CN"/>
        </w:rPr>
        <w:t>比选报名</w:t>
      </w:r>
      <w:r>
        <w:rPr>
          <w:rFonts w:hint="eastAsia" w:ascii="宋体" w:hAnsi="宋体" w:eastAsia="宋体" w:cs="宋体"/>
          <w:bCs/>
          <w:color w:val="auto"/>
          <w:sz w:val="24"/>
          <w:szCs w:val="24"/>
          <w:highlight w:val="none"/>
        </w:rPr>
        <w:t>登记表》加盖</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公章扫描后</w:t>
      </w:r>
      <w:r>
        <w:rPr>
          <w:rFonts w:hint="eastAsia" w:ascii="宋体" w:hAnsi="宋体" w:eastAsia="宋体" w:cs="宋体"/>
          <w:b/>
          <w:bCs w:val="0"/>
          <w:color w:val="auto"/>
          <w:sz w:val="24"/>
          <w:szCs w:val="24"/>
          <w:highlight w:val="none"/>
          <w:lang w:val="en-US" w:eastAsia="zh-CN"/>
        </w:rPr>
        <w:t>备注单位名称和项目名称</w:t>
      </w:r>
      <w:r>
        <w:rPr>
          <w:rFonts w:hint="eastAsia" w:ascii="宋体" w:hAnsi="宋体" w:eastAsia="宋体" w:cs="宋体"/>
          <w:bCs/>
          <w:color w:val="auto"/>
          <w:sz w:val="24"/>
          <w:szCs w:val="24"/>
          <w:highlight w:val="none"/>
          <w:lang w:val="en-US" w:eastAsia="zh-CN"/>
        </w:rPr>
        <w:t>并</w:t>
      </w:r>
      <w:r>
        <w:rPr>
          <w:rFonts w:hint="eastAsia" w:ascii="宋体" w:hAnsi="宋体" w:eastAsia="宋体" w:cs="宋体"/>
          <w:bCs/>
          <w:color w:val="auto"/>
          <w:sz w:val="24"/>
          <w:szCs w:val="24"/>
          <w:highlight w:val="none"/>
        </w:rPr>
        <w:t>发送至</w:t>
      </w:r>
      <w:r>
        <w:rPr>
          <w:rFonts w:hint="eastAsia" w:ascii="宋体" w:hAnsi="宋体" w:eastAsia="宋体" w:cs="宋体"/>
          <w:bCs/>
          <w:color w:val="auto"/>
          <w:sz w:val="24"/>
          <w:szCs w:val="24"/>
          <w:highlight w:val="none"/>
          <w:u w:val="single"/>
        </w:rPr>
        <w:t>juyiyi493090@foxmail.com</w:t>
      </w:r>
      <w:r>
        <w:rPr>
          <w:rFonts w:hint="eastAsia" w:ascii="宋体" w:hAnsi="宋体" w:eastAsia="宋体" w:cs="宋体"/>
          <w:bCs/>
          <w:color w:val="auto"/>
          <w:sz w:val="24"/>
          <w:szCs w:val="24"/>
          <w:highlight w:val="none"/>
        </w:rPr>
        <w:t>。</w:t>
      </w:r>
    </w:p>
    <w:p w14:paraId="7EFA0B40">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注：</w:t>
      </w:r>
      <w:r>
        <w:rPr>
          <w:rFonts w:hint="eastAsia" w:ascii="宋体" w:hAnsi="宋体" w:eastAsia="宋体" w:cs="宋体"/>
          <w:bCs/>
          <w:color w:val="auto"/>
          <w:sz w:val="24"/>
          <w:szCs w:val="24"/>
          <w:highlight w:val="none"/>
          <w:lang w:val="en-US" w:eastAsia="zh-CN"/>
        </w:rPr>
        <w:t>只有按要求完成报名、购买比选文件并按时签到的竞选人</w:t>
      </w:r>
      <w:r>
        <w:rPr>
          <w:rFonts w:hint="eastAsia" w:ascii="宋体" w:hAnsi="宋体" w:eastAsia="宋体" w:cs="宋体"/>
          <w:bCs/>
          <w:color w:val="auto"/>
          <w:sz w:val="24"/>
          <w:szCs w:val="24"/>
          <w:highlight w:val="none"/>
        </w:rPr>
        <w:t>，其</w:t>
      </w:r>
      <w:r>
        <w:rPr>
          <w:rFonts w:hint="eastAsia" w:ascii="宋体" w:hAnsi="宋体" w:eastAsia="宋体" w:cs="宋体"/>
          <w:bCs/>
          <w:color w:val="auto"/>
          <w:sz w:val="24"/>
          <w:szCs w:val="24"/>
          <w:highlight w:val="none"/>
          <w:lang w:val="en-US" w:eastAsia="zh-CN"/>
        </w:rPr>
        <w:t>竞选</w:t>
      </w:r>
      <w:r>
        <w:rPr>
          <w:rFonts w:hint="eastAsia" w:ascii="宋体" w:hAnsi="宋体" w:eastAsia="宋体" w:cs="宋体"/>
          <w:bCs/>
          <w:color w:val="auto"/>
          <w:sz w:val="24"/>
          <w:szCs w:val="24"/>
          <w:highlight w:val="none"/>
        </w:rPr>
        <w:t>文件才被接收。</w:t>
      </w:r>
    </w:p>
    <w:p w14:paraId="004DCB6D">
      <w:pPr>
        <w:snapToGrid w:val="0"/>
        <w:spacing w:line="480" w:lineRule="atLeas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竞选文件</w:t>
      </w:r>
    </w:p>
    <w:p w14:paraId="7D349F7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val="en-US" w:eastAsia="zh-CN"/>
        </w:rPr>
        <w:t>本项目竞争性比选文件要求制作竞选文件，</w:t>
      </w:r>
      <w:r>
        <w:rPr>
          <w:rFonts w:hint="eastAsia" w:ascii="宋体" w:hAnsi="宋体" w:eastAsia="宋体" w:cs="宋体"/>
          <w:bCs/>
          <w:color w:val="auto"/>
          <w:sz w:val="24"/>
          <w:szCs w:val="24"/>
          <w:highlight w:val="none"/>
        </w:rPr>
        <w:t>规定签字、盖章的地方必须按其规定签字、盖章，未按要求制作</w:t>
      </w:r>
      <w:r>
        <w:rPr>
          <w:rFonts w:hint="eastAsia" w:ascii="宋体" w:hAnsi="宋体" w:eastAsia="宋体" w:cs="宋体"/>
          <w:bCs/>
          <w:color w:val="auto"/>
          <w:sz w:val="24"/>
          <w:szCs w:val="24"/>
          <w:highlight w:val="none"/>
          <w:lang w:eastAsia="zh-CN"/>
        </w:rPr>
        <w:t>竞选文件</w:t>
      </w:r>
      <w:r>
        <w:rPr>
          <w:rFonts w:hint="eastAsia" w:ascii="宋体" w:hAnsi="宋体" w:eastAsia="宋体" w:cs="宋体"/>
          <w:bCs/>
          <w:color w:val="auto"/>
          <w:sz w:val="24"/>
          <w:szCs w:val="24"/>
          <w:highlight w:val="none"/>
        </w:rPr>
        <w:t>的进行无效响应处理</w:t>
      </w:r>
      <w:r>
        <w:rPr>
          <w:rFonts w:hint="eastAsia" w:ascii="宋体" w:hAnsi="宋体" w:eastAsia="宋体" w:cs="宋体"/>
          <w:bCs/>
          <w:color w:val="auto"/>
          <w:sz w:val="24"/>
          <w:szCs w:val="24"/>
          <w:highlight w:val="none"/>
          <w:lang w:eastAsia="zh-CN"/>
        </w:rPr>
        <w:t>。</w:t>
      </w:r>
    </w:p>
    <w:p w14:paraId="2B22F7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提供的响应材料要求真实可靠，</w:t>
      </w:r>
      <w:r>
        <w:rPr>
          <w:rFonts w:hint="eastAsia" w:ascii="宋体" w:hAnsi="宋体" w:eastAsia="宋体" w:cs="宋体"/>
          <w:bCs/>
          <w:color w:val="auto"/>
          <w:sz w:val="24"/>
          <w:szCs w:val="24"/>
          <w:highlight w:val="none"/>
          <w:lang w:val="en-US" w:eastAsia="zh-CN"/>
        </w:rPr>
        <w:t>比选</w:t>
      </w:r>
      <w:r>
        <w:rPr>
          <w:rFonts w:hint="eastAsia" w:ascii="宋体" w:hAnsi="宋体" w:eastAsia="宋体" w:cs="宋体"/>
          <w:bCs/>
          <w:color w:val="auto"/>
          <w:sz w:val="24"/>
          <w:szCs w:val="24"/>
          <w:highlight w:val="none"/>
        </w:rPr>
        <w:t>单位可对响应材料真实性进行核查，如有虚假，取消</w:t>
      </w:r>
      <w:r>
        <w:rPr>
          <w:rFonts w:hint="eastAsia" w:ascii="宋体" w:hAnsi="宋体" w:eastAsia="宋体" w:cs="宋体"/>
          <w:bCs/>
          <w:color w:val="auto"/>
          <w:sz w:val="24"/>
          <w:szCs w:val="24"/>
          <w:highlight w:val="none"/>
          <w:lang w:val="en-US" w:eastAsia="zh-CN"/>
        </w:rPr>
        <w:t>中选</w:t>
      </w:r>
      <w:r>
        <w:rPr>
          <w:rFonts w:hint="eastAsia" w:ascii="宋体" w:hAnsi="宋体" w:eastAsia="宋体" w:cs="宋体"/>
          <w:bCs/>
          <w:color w:val="auto"/>
          <w:sz w:val="24"/>
          <w:szCs w:val="24"/>
          <w:highlight w:val="none"/>
        </w:rPr>
        <w:t>资格或者解除合同，并赔偿由此造成</w:t>
      </w:r>
      <w:r>
        <w:rPr>
          <w:rFonts w:hint="eastAsia" w:ascii="宋体" w:hAnsi="宋体" w:eastAsia="宋体" w:cs="宋体"/>
          <w:bCs/>
          <w:color w:val="auto"/>
          <w:sz w:val="24"/>
          <w:szCs w:val="24"/>
          <w:highlight w:val="none"/>
          <w:lang w:eastAsia="zh-CN"/>
        </w:rPr>
        <w:t>比选人</w:t>
      </w:r>
      <w:r>
        <w:rPr>
          <w:rFonts w:hint="eastAsia" w:ascii="宋体" w:hAnsi="宋体" w:eastAsia="宋体" w:cs="宋体"/>
          <w:bCs/>
          <w:color w:val="auto"/>
          <w:sz w:val="24"/>
          <w:szCs w:val="24"/>
          <w:highlight w:val="none"/>
        </w:rPr>
        <w:t>的经济损失。</w:t>
      </w:r>
    </w:p>
    <w:p w14:paraId="27F1D3FF">
      <w:pPr>
        <w:pStyle w:val="3"/>
        <w:pageBreakBefore w:val="0"/>
        <w:widowControl w:val="0"/>
        <w:kinsoku/>
        <w:wordWrap/>
        <w:overflowPunct/>
        <w:topLinePunct w:val="0"/>
        <w:autoSpaceDE/>
        <w:autoSpaceDN/>
        <w:bidi w:val="0"/>
        <w:adjustRightInd/>
        <w:spacing w:before="0" w:beforeLines="0" w:afterLines="0" w:line="440" w:lineRule="exact"/>
        <w:textAlignment w:val="auto"/>
        <w:rPr>
          <w:rFonts w:hint="eastAsia" w:ascii="宋体" w:hAnsi="宋体" w:eastAsia="宋体" w:cs="宋体"/>
          <w:b w:val="0"/>
          <w:bCs/>
          <w:color w:val="auto"/>
          <w:sz w:val="24"/>
          <w:szCs w:val="24"/>
          <w:highlight w:val="none"/>
          <w:lang w:val="en-US" w:eastAsia="zh-CN"/>
        </w:rPr>
      </w:pPr>
      <w:bookmarkStart w:id="25" w:name="_Toc12655"/>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w:t>
      </w:r>
      <w:bookmarkStart w:id="26" w:name="_Toc17573"/>
      <w:bookmarkStart w:id="27" w:name="_Toc14264"/>
      <w:r>
        <w:rPr>
          <w:rFonts w:hint="eastAsia" w:ascii="宋体" w:hAnsi="宋体" w:eastAsia="宋体" w:cs="宋体"/>
          <w:b w:val="0"/>
          <w:bCs/>
          <w:color w:val="auto"/>
          <w:sz w:val="24"/>
          <w:szCs w:val="24"/>
          <w:highlight w:val="none"/>
        </w:rPr>
        <w:t>递交</w:t>
      </w:r>
      <w:r>
        <w:rPr>
          <w:rFonts w:hint="eastAsia" w:ascii="宋体" w:hAnsi="宋体" w:eastAsia="宋体" w:cs="宋体"/>
          <w:b w:val="0"/>
          <w:bCs/>
          <w:color w:val="auto"/>
          <w:sz w:val="24"/>
          <w:szCs w:val="24"/>
          <w:highlight w:val="none"/>
          <w:lang w:val="en-US" w:eastAsia="zh-CN"/>
        </w:rPr>
        <w:t>竞选</w:t>
      </w:r>
      <w:r>
        <w:rPr>
          <w:rFonts w:hint="eastAsia" w:ascii="宋体" w:hAnsi="宋体" w:eastAsia="宋体" w:cs="宋体"/>
          <w:b w:val="0"/>
          <w:bCs/>
          <w:color w:val="auto"/>
          <w:sz w:val="24"/>
          <w:szCs w:val="24"/>
          <w:highlight w:val="none"/>
          <w:lang w:eastAsia="zh-CN"/>
        </w:rPr>
        <w:t>文件</w:t>
      </w:r>
      <w:r>
        <w:rPr>
          <w:rFonts w:hint="eastAsia" w:ascii="宋体" w:hAnsi="宋体" w:eastAsia="宋体" w:cs="宋体"/>
          <w:b w:val="0"/>
          <w:bCs/>
          <w:color w:val="auto"/>
          <w:sz w:val="24"/>
          <w:szCs w:val="24"/>
          <w:highlight w:val="none"/>
        </w:rPr>
        <w:t>地点：</w:t>
      </w:r>
      <w:r>
        <w:rPr>
          <w:rFonts w:hint="eastAsia" w:ascii="宋体" w:hAnsi="宋体" w:eastAsia="宋体" w:cs="宋体"/>
          <w:b/>
          <w:bCs w:val="0"/>
          <w:color w:val="auto"/>
          <w:sz w:val="24"/>
          <w:szCs w:val="24"/>
          <w:highlight w:val="none"/>
          <w:lang w:val="en-US" w:eastAsia="zh-CN"/>
        </w:rPr>
        <w:t>重庆市大渡口区疾病预防控制中心</w:t>
      </w:r>
      <w:r>
        <w:rPr>
          <w:rFonts w:hint="eastAsia" w:ascii="宋体" w:hAnsi="宋体" w:cs="宋体"/>
          <w:b/>
          <w:bCs w:val="0"/>
          <w:color w:val="auto"/>
          <w:sz w:val="24"/>
          <w:szCs w:val="24"/>
          <w:highlight w:val="none"/>
          <w:lang w:val="en-US" w:eastAsia="zh-CN"/>
        </w:rPr>
        <w:t>会议室</w:t>
      </w:r>
      <w:r>
        <w:rPr>
          <w:rFonts w:hint="eastAsia" w:ascii="宋体" w:hAnsi="宋体" w:eastAsia="宋体" w:cs="宋体"/>
          <w:b w:val="0"/>
          <w:bCs/>
          <w:color w:val="auto"/>
          <w:sz w:val="24"/>
          <w:szCs w:val="24"/>
          <w:highlight w:val="none"/>
          <w:lang w:val="en-US" w:eastAsia="zh-CN"/>
        </w:rPr>
        <w:t>。</w:t>
      </w:r>
      <w:bookmarkEnd w:id="25"/>
    </w:p>
    <w:p w14:paraId="2ECCC11B">
      <w:pPr>
        <w:pStyle w:val="3"/>
        <w:pageBreakBefore w:val="0"/>
        <w:widowControl w:val="0"/>
        <w:kinsoku/>
        <w:wordWrap/>
        <w:overflowPunct/>
        <w:topLinePunct w:val="0"/>
        <w:autoSpaceDE/>
        <w:autoSpaceDN/>
        <w:bidi w:val="0"/>
        <w:adjustRightInd/>
        <w:spacing w:before="0" w:beforeLines="0" w:afterLines="0" w:line="440" w:lineRule="exact"/>
        <w:textAlignment w:val="auto"/>
        <w:rPr>
          <w:rFonts w:hint="eastAsia" w:ascii="宋体" w:hAnsi="宋体" w:eastAsia="宋体" w:cs="宋体"/>
          <w:b w:val="0"/>
          <w:bCs/>
          <w:color w:val="auto"/>
          <w:sz w:val="24"/>
          <w:szCs w:val="24"/>
          <w:highlight w:val="none"/>
        </w:rPr>
      </w:pPr>
      <w:bookmarkStart w:id="28" w:name="_Toc18616"/>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竞选文件</w:t>
      </w:r>
      <w:r>
        <w:rPr>
          <w:rFonts w:hint="eastAsia" w:ascii="宋体" w:hAnsi="宋体" w:eastAsia="宋体" w:cs="宋体"/>
          <w:b w:val="0"/>
          <w:bCs/>
          <w:color w:val="auto"/>
          <w:sz w:val="24"/>
          <w:szCs w:val="24"/>
          <w:highlight w:val="none"/>
        </w:rPr>
        <w:t>递交时间：</w:t>
      </w:r>
      <w:r>
        <w:rPr>
          <w:rFonts w:hint="eastAsia" w:ascii="宋体" w:hAnsi="宋体" w:eastAsia="宋体" w:cs="宋体"/>
          <w:b w:val="0"/>
          <w:bCs/>
          <w:color w:val="auto"/>
          <w:sz w:val="24"/>
          <w:szCs w:val="24"/>
          <w:highlight w:val="none"/>
          <w:lang w:val="en-US" w:eastAsia="zh-CN"/>
        </w:rPr>
        <w:t>2025</w:t>
      </w:r>
      <w:r>
        <w:rPr>
          <w:rFonts w:hint="eastAsia" w:ascii="宋体" w:hAnsi="宋体" w:eastAsia="宋体" w:cs="宋体"/>
          <w:b w:val="0"/>
          <w:bCs/>
          <w:color w:val="auto"/>
          <w:sz w:val="24"/>
          <w:szCs w:val="24"/>
          <w:highlight w:val="none"/>
        </w:rPr>
        <w:t>年</w:t>
      </w: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月</w:t>
      </w:r>
      <w:r>
        <w:rPr>
          <w:rFonts w:hint="eastAsia" w:ascii="宋体" w:hAnsi="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rPr>
        <w:t>日北京时间</w:t>
      </w: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:00-</w:t>
      </w: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w:t>
      </w:r>
      <w:bookmarkEnd w:id="28"/>
    </w:p>
    <w:p w14:paraId="16DDD171">
      <w:pPr>
        <w:pStyle w:val="3"/>
        <w:pageBreakBefore w:val="0"/>
        <w:widowControl w:val="0"/>
        <w:kinsoku/>
        <w:wordWrap/>
        <w:overflowPunct/>
        <w:topLinePunct w:val="0"/>
        <w:autoSpaceDE/>
        <w:autoSpaceDN/>
        <w:bidi w:val="0"/>
        <w:adjustRightInd/>
        <w:spacing w:before="0" w:beforeLines="0" w:afterLines="0" w:line="440" w:lineRule="exact"/>
        <w:textAlignment w:val="auto"/>
        <w:rPr>
          <w:rFonts w:hint="eastAsia" w:ascii="宋体" w:hAnsi="宋体" w:eastAsia="宋体" w:cs="宋体"/>
          <w:b w:val="0"/>
          <w:bCs/>
          <w:color w:val="auto"/>
          <w:sz w:val="24"/>
          <w:szCs w:val="24"/>
          <w:highlight w:val="none"/>
        </w:rPr>
      </w:pPr>
      <w:bookmarkStart w:id="29" w:name="_Toc27764"/>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六</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评审</w:t>
      </w:r>
      <w:r>
        <w:rPr>
          <w:rFonts w:hint="eastAsia" w:ascii="宋体" w:hAnsi="宋体" w:eastAsia="宋体" w:cs="宋体"/>
          <w:b w:val="0"/>
          <w:bCs/>
          <w:color w:val="auto"/>
          <w:sz w:val="24"/>
          <w:szCs w:val="24"/>
          <w:highlight w:val="none"/>
        </w:rPr>
        <w:t>时间：</w:t>
      </w:r>
      <w:r>
        <w:rPr>
          <w:rFonts w:hint="eastAsia" w:ascii="宋体" w:hAnsi="宋体" w:eastAsia="宋体" w:cs="宋体"/>
          <w:b w:val="0"/>
          <w:bCs/>
          <w:color w:val="auto"/>
          <w:sz w:val="24"/>
          <w:szCs w:val="24"/>
          <w:highlight w:val="none"/>
          <w:lang w:val="en-US" w:eastAsia="zh-CN"/>
        </w:rPr>
        <w:t>2025年</w:t>
      </w: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月</w:t>
      </w:r>
      <w:r>
        <w:rPr>
          <w:rFonts w:hint="eastAsia" w:ascii="宋体" w:hAnsi="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lang w:val="en-US" w:eastAsia="zh-CN"/>
        </w:rPr>
        <w:t>日</w:t>
      </w: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w:t>
      </w:r>
      <w:bookmarkEnd w:id="29"/>
    </w:p>
    <w:p w14:paraId="35670990">
      <w:pPr>
        <w:pStyle w:val="3"/>
        <w:pageBreakBefore w:val="0"/>
        <w:widowControl w:val="0"/>
        <w:kinsoku/>
        <w:wordWrap/>
        <w:overflowPunct/>
        <w:topLinePunct w:val="0"/>
        <w:autoSpaceDE/>
        <w:autoSpaceDN/>
        <w:bidi w:val="0"/>
        <w:adjustRightInd/>
        <w:spacing w:before="0" w:beforeLines="0" w:afterLines="0" w:line="440" w:lineRule="exact"/>
        <w:textAlignment w:val="auto"/>
        <w:rPr>
          <w:rFonts w:hint="eastAsia" w:ascii="宋体" w:hAnsi="宋体" w:eastAsia="宋体" w:cs="宋体"/>
          <w:b w:val="0"/>
          <w:bCs/>
          <w:color w:val="auto"/>
          <w:sz w:val="24"/>
          <w:szCs w:val="24"/>
          <w:highlight w:val="none"/>
        </w:rPr>
      </w:pPr>
      <w:bookmarkStart w:id="30" w:name="_Toc13351"/>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评审</w:t>
      </w:r>
      <w:r>
        <w:rPr>
          <w:rFonts w:hint="eastAsia" w:ascii="宋体" w:hAnsi="宋体" w:eastAsia="宋体" w:cs="宋体"/>
          <w:b w:val="0"/>
          <w:bCs/>
          <w:color w:val="auto"/>
          <w:sz w:val="24"/>
          <w:szCs w:val="24"/>
          <w:highlight w:val="none"/>
        </w:rPr>
        <w:t>地点：</w:t>
      </w:r>
      <w:r>
        <w:rPr>
          <w:rFonts w:hint="eastAsia" w:ascii="宋体" w:hAnsi="宋体" w:eastAsia="宋体" w:cs="宋体"/>
          <w:b w:val="0"/>
          <w:bCs/>
          <w:color w:val="auto"/>
          <w:sz w:val="24"/>
          <w:szCs w:val="24"/>
          <w:highlight w:val="none"/>
          <w:lang w:val="en-US" w:eastAsia="zh-CN"/>
        </w:rPr>
        <w:t>同递交竞选文件地点</w:t>
      </w:r>
      <w:r>
        <w:rPr>
          <w:rFonts w:hint="eastAsia" w:ascii="宋体" w:hAnsi="宋体" w:eastAsia="宋体" w:cs="宋体"/>
          <w:b w:val="0"/>
          <w:bCs/>
          <w:color w:val="auto"/>
          <w:sz w:val="24"/>
          <w:szCs w:val="24"/>
          <w:highlight w:val="none"/>
        </w:rPr>
        <w:t>。</w:t>
      </w:r>
      <w:bookmarkEnd w:id="30"/>
    </w:p>
    <w:p w14:paraId="54155F13">
      <w:pPr>
        <w:pStyle w:val="3"/>
        <w:bidi w:val="0"/>
        <w:rPr>
          <w:rFonts w:hint="eastAsia" w:ascii="宋体" w:hAnsi="宋体" w:eastAsia="宋体" w:cs="宋体"/>
          <w:color w:val="auto"/>
          <w:sz w:val="24"/>
          <w:szCs w:val="24"/>
          <w:highlight w:val="none"/>
        </w:rPr>
      </w:pPr>
      <w:bookmarkStart w:id="31" w:name="_Toc13640"/>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有关规定</w:t>
      </w:r>
      <w:bookmarkEnd w:id="26"/>
      <w:bookmarkEnd w:id="27"/>
      <w:bookmarkEnd w:id="31"/>
    </w:p>
    <w:p w14:paraId="268C9198">
      <w:pPr>
        <w:pageBreakBefore w:val="0"/>
        <w:kinsoku/>
        <w:overflowPunct/>
        <w:topLinePunct w:val="0"/>
        <w:autoSpaceDE/>
        <w:autoSpaceDN/>
        <w:bidi w:val="0"/>
        <w:adjustRightInd/>
        <w:snapToGrid w:val="0"/>
        <w:spacing w:line="480" w:lineRule="atLeast"/>
        <w:ind w:firstLine="480" w:firstLineChars="200"/>
        <w:textAlignment w:val="auto"/>
        <w:rPr>
          <w:rFonts w:hint="eastAsia" w:ascii="宋体" w:hAnsi="宋体" w:eastAsia="宋体" w:cs="宋体"/>
          <w:b w:val="0"/>
          <w:bCs/>
          <w:color w:val="auto"/>
          <w:sz w:val="24"/>
          <w:szCs w:val="24"/>
          <w:highlight w:val="none"/>
        </w:rPr>
      </w:pPr>
      <w:bookmarkStart w:id="32" w:name="_Toc16480"/>
      <w:r>
        <w:rPr>
          <w:rFonts w:hint="eastAsia" w:ascii="宋体" w:hAnsi="宋体" w:eastAsia="宋体" w:cs="宋体"/>
          <w:b w:val="0"/>
          <w:bCs/>
          <w:color w:val="auto"/>
          <w:sz w:val="24"/>
          <w:szCs w:val="24"/>
          <w:highlight w:val="none"/>
        </w:rPr>
        <w:t>（一）单位负责人为同一人或者存在直接控股、管理关系的不同</w:t>
      </w:r>
      <w:r>
        <w:rPr>
          <w:rFonts w:hint="eastAsia" w:ascii="宋体" w:hAnsi="宋体" w:eastAsia="宋体" w:cs="宋体"/>
          <w:b w:val="0"/>
          <w:bCs/>
          <w:color w:val="auto"/>
          <w:sz w:val="24"/>
          <w:szCs w:val="24"/>
          <w:highlight w:val="none"/>
          <w:lang w:eastAsia="zh-CN"/>
        </w:rPr>
        <w:t>竞选人</w:t>
      </w:r>
      <w:r>
        <w:rPr>
          <w:rFonts w:hint="eastAsia" w:ascii="宋体" w:hAnsi="宋体" w:eastAsia="宋体" w:cs="宋体"/>
          <w:b w:val="0"/>
          <w:bCs/>
          <w:color w:val="auto"/>
          <w:sz w:val="24"/>
          <w:szCs w:val="24"/>
          <w:highlight w:val="none"/>
        </w:rPr>
        <w:t>，不得参加同一合同项（包）下的</w:t>
      </w:r>
      <w:r>
        <w:rPr>
          <w:rFonts w:hint="eastAsia" w:ascii="宋体" w:hAnsi="宋体" w:eastAsia="宋体" w:cs="宋体"/>
          <w:b w:val="0"/>
          <w:bCs/>
          <w:color w:val="auto"/>
          <w:sz w:val="24"/>
          <w:szCs w:val="24"/>
          <w:highlight w:val="none"/>
          <w:lang w:val="en-US" w:eastAsia="zh-CN"/>
        </w:rPr>
        <w:t>比选</w:t>
      </w:r>
      <w:r>
        <w:rPr>
          <w:rFonts w:hint="eastAsia" w:ascii="宋体" w:hAnsi="宋体" w:eastAsia="宋体" w:cs="宋体"/>
          <w:b w:val="0"/>
          <w:bCs/>
          <w:color w:val="auto"/>
          <w:sz w:val="24"/>
          <w:szCs w:val="24"/>
          <w:highlight w:val="none"/>
        </w:rPr>
        <w:t>活动。</w:t>
      </w:r>
    </w:p>
    <w:p w14:paraId="3AFBCF1C">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）为</w:t>
      </w:r>
      <w:r>
        <w:rPr>
          <w:rFonts w:hint="eastAsia" w:ascii="宋体" w:hAnsi="宋体" w:eastAsia="宋体" w:cs="宋体"/>
          <w:bCs/>
          <w:color w:val="auto"/>
          <w:sz w:val="24"/>
          <w:szCs w:val="24"/>
          <w:highlight w:val="none"/>
          <w:lang w:val="en-US" w:eastAsia="zh-CN"/>
        </w:rPr>
        <w:t>比选</w:t>
      </w:r>
      <w:r>
        <w:rPr>
          <w:rFonts w:hint="eastAsia" w:ascii="宋体" w:hAnsi="宋体" w:eastAsia="宋体" w:cs="宋体"/>
          <w:bCs/>
          <w:color w:val="auto"/>
          <w:sz w:val="24"/>
          <w:szCs w:val="24"/>
          <w:highlight w:val="none"/>
        </w:rPr>
        <w:t>项目提供整体设计、规范编制或者项目管理、监理、检测等服务的</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，不得再参加该项目</w:t>
      </w:r>
      <w:r>
        <w:rPr>
          <w:rFonts w:hint="eastAsia" w:ascii="宋体" w:hAnsi="宋体" w:eastAsia="宋体" w:cs="宋体"/>
          <w:bCs/>
          <w:color w:val="auto"/>
          <w:sz w:val="24"/>
          <w:szCs w:val="24"/>
          <w:highlight w:val="none"/>
          <w:lang w:val="en-US" w:eastAsia="zh-CN"/>
        </w:rPr>
        <w:t>范围内</w:t>
      </w:r>
      <w:r>
        <w:rPr>
          <w:rFonts w:hint="eastAsia" w:ascii="宋体" w:hAnsi="宋体" w:eastAsia="宋体" w:cs="宋体"/>
          <w:bCs/>
          <w:color w:val="auto"/>
          <w:sz w:val="24"/>
          <w:szCs w:val="24"/>
          <w:highlight w:val="none"/>
        </w:rPr>
        <w:t>的其他</w:t>
      </w:r>
      <w:r>
        <w:rPr>
          <w:rFonts w:hint="eastAsia" w:ascii="宋体" w:hAnsi="宋体" w:eastAsia="宋体" w:cs="宋体"/>
          <w:bCs/>
          <w:color w:val="auto"/>
          <w:sz w:val="24"/>
          <w:szCs w:val="24"/>
          <w:highlight w:val="none"/>
          <w:lang w:val="en-US" w:eastAsia="zh-CN"/>
        </w:rPr>
        <w:t>比选</w:t>
      </w:r>
      <w:r>
        <w:rPr>
          <w:rFonts w:hint="eastAsia" w:ascii="宋体" w:hAnsi="宋体" w:eastAsia="宋体" w:cs="宋体"/>
          <w:bCs/>
          <w:color w:val="auto"/>
          <w:sz w:val="24"/>
          <w:szCs w:val="24"/>
          <w:highlight w:val="none"/>
        </w:rPr>
        <w:t>活动。</w:t>
      </w:r>
    </w:p>
    <w:p w14:paraId="4385B456">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）本项目若有澄清文件一律在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行采家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上发布，请各</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注意下载或到</w:t>
      </w:r>
      <w:r>
        <w:rPr>
          <w:rFonts w:hint="eastAsia" w:ascii="宋体" w:hAnsi="宋体" w:eastAsia="宋体" w:cs="宋体"/>
          <w:bCs/>
          <w:color w:val="auto"/>
          <w:sz w:val="24"/>
          <w:szCs w:val="24"/>
          <w:highlight w:val="none"/>
          <w:lang w:eastAsia="zh-CN"/>
        </w:rPr>
        <w:t>比选代理</w:t>
      </w:r>
      <w:r>
        <w:rPr>
          <w:rFonts w:hint="eastAsia" w:ascii="宋体" w:hAnsi="宋体" w:eastAsia="宋体" w:cs="宋体"/>
          <w:bCs/>
          <w:color w:val="auto"/>
          <w:sz w:val="24"/>
          <w:szCs w:val="24"/>
          <w:highlight w:val="none"/>
        </w:rPr>
        <w:t>机构领取；无论</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下载或领取与否，均视同</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已知晓本项目澄清文件的内容。</w:t>
      </w:r>
    </w:p>
    <w:p w14:paraId="64E934B3">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）超过响应截止时间递交的</w:t>
      </w:r>
      <w:r>
        <w:rPr>
          <w:rFonts w:hint="eastAsia" w:ascii="宋体" w:hAnsi="宋体" w:eastAsia="宋体" w:cs="宋体"/>
          <w:bCs/>
          <w:color w:val="auto"/>
          <w:sz w:val="24"/>
          <w:szCs w:val="24"/>
          <w:highlight w:val="none"/>
          <w:lang w:eastAsia="zh-CN"/>
        </w:rPr>
        <w:t>竞选文件</w:t>
      </w:r>
      <w:r>
        <w:rPr>
          <w:rFonts w:hint="eastAsia" w:ascii="宋体" w:hAnsi="宋体" w:eastAsia="宋体" w:cs="宋体"/>
          <w:bCs/>
          <w:color w:val="auto"/>
          <w:sz w:val="24"/>
          <w:szCs w:val="24"/>
          <w:highlight w:val="none"/>
        </w:rPr>
        <w:t>，恕不接收。</w:t>
      </w:r>
    </w:p>
    <w:p w14:paraId="1C84B4BC">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比选</w:t>
      </w:r>
      <w:r>
        <w:rPr>
          <w:rFonts w:hint="eastAsia" w:ascii="宋体" w:hAnsi="宋体" w:eastAsia="宋体" w:cs="宋体"/>
          <w:bCs/>
          <w:color w:val="auto"/>
          <w:sz w:val="24"/>
          <w:szCs w:val="24"/>
          <w:highlight w:val="none"/>
        </w:rPr>
        <w:t>费用：无论结果如何，</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参与本项目</w:t>
      </w:r>
      <w:r>
        <w:rPr>
          <w:rFonts w:hint="eastAsia" w:ascii="宋体" w:hAnsi="宋体" w:eastAsia="宋体" w:cs="宋体"/>
          <w:bCs/>
          <w:color w:val="auto"/>
          <w:sz w:val="24"/>
          <w:szCs w:val="24"/>
          <w:highlight w:val="none"/>
          <w:lang w:val="en-US" w:eastAsia="zh-CN"/>
        </w:rPr>
        <w:t>比选</w:t>
      </w:r>
      <w:r>
        <w:rPr>
          <w:rFonts w:hint="eastAsia" w:ascii="宋体" w:hAnsi="宋体" w:eastAsia="宋体" w:cs="宋体"/>
          <w:bCs/>
          <w:color w:val="auto"/>
          <w:sz w:val="24"/>
          <w:szCs w:val="24"/>
          <w:highlight w:val="none"/>
        </w:rPr>
        <w:t>的所有费用均应由</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自行承担。</w:t>
      </w:r>
    </w:p>
    <w:p w14:paraId="1FAB8F18">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六</w:t>
      </w:r>
      <w:r>
        <w:rPr>
          <w:rFonts w:hint="eastAsia" w:ascii="宋体" w:hAnsi="宋体" w:eastAsia="宋体" w:cs="宋体"/>
          <w:bCs/>
          <w:color w:val="auto"/>
          <w:sz w:val="24"/>
          <w:szCs w:val="24"/>
          <w:highlight w:val="none"/>
        </w:rPr>
        <w:t>）本项目不接受联合体参与</w:t>
      </w:r>
      <w:r>
        <w:rPr>
          <w:rFonts w:hint="eastAsia" w:ascii="宋体" w:hAnsi="宋体" w:eastAsia="宋体" w:cs="宋体"/>
          <w:bCs/>
          <w:color w:val="auto"/>
          <w:sz w:val="24"/>
          <w:szCs w:val="24"/>
          <w:highlight w:val="none"/>
          <w:lang w:val="en-US" w:eastAsia="zh-CN"/>
        </w:rPr>
        <w:t>竞选</w:t>
      </w:r>
      <w:r>
        <w:rPr>
          <w:rFonts w:hint="eastAsia" w:ascii="宋体" w:hAnsi="宋体" w:eastAsia="宋体" w:cs="宋体"/>
          <w:bCs/>
          <w:color w:val="auto"/>
          <w:sz w:val="24"/>
          <w:szCs w:val="24"/>
          <w:highlight w:val="none"/>
        </w:rPr>
        <w:t>，否则按无效</w:t>
      </w:r>
      <w:r>
        <w:rPr>
          <w:rFonts w:hint="eastAsia" w:ascii="宋体" w:hAnsi="宋体" w:eastAsia="宋体" w:cs="宋体"/>
          <w:bCs/>
          <w:color w:val="auto"/>
          <w:sz w:val="24"/>
          <w:szCs w:val="24"/>
          <w:highlight w:val="none"/>
          <w:lang w:val="en-US" w:eastAsia="zh-CN"/>
        </w:rPr>
        <w:t>竞选</w:t>
      </w:r>
      <w:r>
        <w:rPr>
          <w:rFonts w:hint="eastAsia" w:ascii="宋体" w:hAnsi="宋体" w:eastAsia="宋体" w:cs="宋体"/>
          <w:bCs/>
          <w:color w:val="auto"/>
          <w:sz w:val="24"/>
          <w:szCs w:val="24"/>
          <w:highlight w:val="none"/>
        </w:rPr>
        <w:t>处理。</w:t>
      </w:r>
    </w:p>
    <w:p w14:paraId="20FF9410">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）本项目不接受合同分包，否则按无效</w:t>
      </w:r>
      <w:r>
        <w:rPr>
          <w:rFonts w:hint="eastAsia" w:ascii="宋体" w:hAnsi="宋体" w:eastAsia="宋体" w:cs="宋体"/>
          <w:bCs/>
          <w:color w:val="auto"/>
          <w:sz w:val="24"/>
          <w:szCs w:val="24"/>
          <w:highlight w:val="none"/>
          <w:lang w:val="en-US" w:eastAsia="zh-CN"/>
        </w:rPr>
        <w:t>竞选</w:t>
      </w:r>
      <w:r>
        <w:rPr>
          <w:rFonts w:hint="eastAsia" w:ascii="宋体" w:hAnsi="宋体" w:eastAsia="宋体" w:cs="宋体"/>
          <w:bCs/>
          <w:color w:val="auto"/>
          <w:sz w:val="24"/>
          <w:szCs w:val="24"/>
          <w:highlight w:val="none"/>
        </w:rPr>
        <w:t>处理。</w:t>
      </w:r>
    </w:p>
    <w:p w14:paraId="7A424B0E">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）按照《财政部关于在政府采购活动中查询及使用信用记录有关问题的通知》财库〔2016〕125号，</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，将拒绝其参与</w:t>
      </w:r>
      <w:r>
        <w:rPr>
          <w:rFonts w:hint="eastAsia" w:ascii="宋体" w:hAnsi="宋体" w:eastAsia="宋体" w:cs="宋体"/>
          <w:bCs/>
          <w:color w:val="auto"/>
          <w:sz w:val="24"/>
          <w:szCs w:val="24"/>
          <w:highlight w:val="none"/>
          <w:lang w:val="en-US" w:eastAsia="zh-CN"/>
        </w:rPr>
        <w:t>比选</w:t>
      </w:r>
      <w:r>
        <w:rPr>
          <w:rFonts w:hint="eastAsia" w:ascii="宋体" w:hAnsi="宋体" w:eastAsia="宋体" w:cs="宋体"/>
          <w:bCs/>
          <w:color w:val="auto"/>
          <w:sz w:val="24"/>
          <w:szCs w:val="24"/>
          <w:highlight w:val="none"/>
        </w:rPr>
        <w:t>活动。</w:t>
      </w:r>
    </w:p>
    <w:p w14:paraId="5D94E7AA">
      <w:pPr>
        <w:pStyle w:val="3"/>
        <w:bidi w:val="0"/>
        <w:rPr>
          <w:rFonts w:hint="eastAsia" w:ascii="宋体" w:hAnsi="宋体" w:eastAsia="宋体" w:cs="宋体"/>
          <w:color w:val="auto"/>
          <w:sz w:val="24"/>
          <w:szCs w:val="24"/>
          <w:highlight w:val="none"/>
        </w:rPr>
      </w:pPr>
      <w:bookmarkStart w:id="33" w:name="_Toc5736"/>
      <w:bookmarkStart w:id="34" w:name="_Toc9158"/>
      <w:bookmarkStart w:id="35" w:name="_Toc3504"/>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联系方式</w:t>
      </w:r>
      <w:bookmarkEnd w:id="32"/>
      <w:bookmarkEnd w:id="33"/>
      <w:bookmarkEnd w:id="34"/>
      <w:bookmarkEnd w:id="35"/>
    </w:p>
    <w:p w14:paraId="38C3FE80">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eastAsia="zh-CN"/>
        </w:rPr>
        <w:t>）比选人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重庆市大渡口区疾病预防控制中心</w:t>
      </w:r>
    </w:p>
    <w:p w14:paraId="25EEDD97">
      <w:pPr>
        <w:snapToGrid w:val="0"/>
        <w:spacing w:line="480" w:lineRule="atLeas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联系人：</w:t>
      </w:r>
      <w:r>
        <w:rPr>
          <w:rFonts w:hint="eastAsia" w:ascii="宋体" w:hAnsi="宋体" w:cs="宋体"/>
          <w:bCs/>
          <w:color w:val="auto"/>
          <w:sz w:val="24"/>
          <w:szCs w:val="24"/>
          <w:highlight w:val="none"/>
          <w:lang w:val="en-US" w:eastAsia="zh-CN"/>
        </w:rPr>
        <w:t>田老师</w:t>
      </w:r>
    </w:p>
    <w:p w14:paraId="0A6D9A43">
      <w:pPr>
        <w:snapToGrid w:val="0"/>
        <w:spacing w:line="480" w:lineRule="atLeas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电  话：</w:t>
      </w:r>
      <w:r>
        <w:rPr>
          <w:rFonts w:hint="eastAsia" w:ascii="宋体" w:hAnsi="宋体" w:cs="宋体"/>
          <w:bCs/>
          <w:color w:val="auto"/>
          <w:sz w:val="24"/>
          <w:szCs w:val="24"/>
          <w:highlight w:val="none"/>
          <w:lang w:val="en-US" w:eastAsia="zh-CN"/>
        </w:rPr>
        <w:t>023-</w:t>
      </w:r>
      <w:r>
        <w:rPr>
          <w:rFonts w:hint="eastAsia" w:ascii="宋体" w:hAnsi="宋体" w:eastAsia="宋体" w:cs="宋体"/>
          <w:bCs/>
          <w:color w:val="auto"/>
          <w:sz w:val="24"/>
          <w:szCs w:val="24"/>
          <w:highlight w:val="none"/>
        </w:rPr>
        <w:t>68951395</w:t>
      </w:r>
      <w:r>
        <w:rPr>
          <w:rFonts w:hint="eastAsia" w:ascii="宋体" w:hAnsi="宋体" w:eastAsia="宋体" w:cs="宋体"/>
          <w:bCs/>
          <w:color w:val="auto"/>
          <w:sz w:val="24"/>
          <w:szCs w:val="24"/>
          <w:highlight w:val="none"/>
          <w:lang w:val="en-US" w:eastAsia="zh-CN"/>
        </w:rPr>
        <w:t xml:space="preserve"> </w:t>
      </w:r>
    </w:p>
    <w:p w14:paraId="33F2F77E">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址：重庆市大渡口区鑫康路14号               </w:t>
      </w:r>
    </w:p>
    <w:p w14:paraId="3EEA954D">
      <w:pPr>
        <w:snapToGrid w:val="0"/>
        <w:spacing w:line="480" w:lineRule="atLeas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（二）代理机构：</w:t>
      </w:r>
      <w:r>
        <w:rPr>
          <w:rFonts w:hint="eastAsia" w:ascii="宋体" w:hAnsi="宋体" w:eastAsia="宋体" w:cs="宋体"/>
          <w:bCs/>
          <w:color w:val="auto"/>
          <w:sz w:val="24"/>
          <w:szCs w:val="24"/>
          <w:highlight w:val="none"/>
          <w:lang w:eastAsia="zh-CN"/>
        </w:rPr>
        <w:t>重庆瑞盛工程咨询有限公司</w:t>
      </w:r>
    </w:p>
    <w:p w14:paraId="2DE8652A">
      <w:pPr>
        <w:snapToGrid w:val="0"/>
        <w:spacing w:line="480" w:lineRule="atLeast"/>
        <w:ind w:firstLine="480" w:firstLineChars="200"/>
        <w:rPr>
          <w:rFonts w:hint="eastAsia" w:ascii="宋体" w:hAnsi="宋体" w:eastAsia="宋体" w:cs="宋体"/>
          <w:bCs/>
          <w:color w:val="auto"/>
          <w:sz w:val="24"/>
          <w:szCs w:val="24"/>
          <w:highlight w:val="none"/>
        </w:rPr>
      </w:pPr>
      <w:bookmarkStart w:id="36" w:name="_Toc22183"/>
      <w:bookmarkStart w:id="37" w:name="_Toc20127"/>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val="en-US" w:eastAsia="zh-CN"/>
        </w:rPr>
        <w:t>吴</w:t>
      </w:r>
      <w:r>
        <w:rPr>
          <w:rFonts w:hint="eastAsia" w:ascii="宋体" w:hAnsi="宋体" w:eastAsia="宋体" w:cs="宋体"/>
          <w:bCs/>
          <w:color w:val="auto"/>
          <w:sz w:val="24"/>
          <w:szCs w:val="24"/>
          <w:highlight w:val="none"/>
        </w:rPr>
        <w:t>老师</w:t>
      </w:r>
    </w:p>
    <w:p w14:paraId="0159FD2F">
      <w:pPr>
        <w:snapToGrid w:val="0"/>
        <w:spacing w:line="480" w:lineRule="atLeas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电  话：</w:t>
      </w:r>
      <w:r>
        <w:rPr>
          <w:rFonts w:hint="eastAsia" w:ascii="宋体" w:hAnsi="宋体" w:eastAsia="宋体" w:cs="宋体"/>
          <w:bCs/>
          <w:color w:val="auto"/>
          <w:sz w:val="24"/>
          <w:szCs w:val="24"/>
          <w:highlight w:val="none"/>
          <w:lang w:val="en-US" w:eastAsia="zh-CN"/>
        </w:rPr>
        <w:t>18523003606</w:t>
      </w:r>
    </w:p>
    <w:p w14:paraId="4F30ECB8">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r>
        <w:rPr>
          <w:rFonts w:hint="eastAsia" w:ascii="宋体" w:hAnsi="宋体" w:eastAsia="宋体" w:cs="宋体"/>
          <w:bCs/>
          <w:color w:val="auto"/>
          <w:sz w:val="24"/>
          <w:szCs w:val="24"/>
          <w:highlight w:val="none"/>
          <w:lang w:val="en-US" w:eastAsia="zh-CN"/>
        </w:rPr>
        <w:t>重庆市渝北区中渝都会首站4栋511</w:t>
      </w:r>
    </w:p>
    <w:p w14:paraId="38908FA9">
      <w:pPr>
        <w:snapToGrid w:val="0"/>
        <w:spacing w:line="480" w:lineRule="atLeast"/>
        <w:ind w:firstLine="480" w:firstLineChars="200"/>
        <w:rPr>
          <w:rFonts w:hint="eastAsia" w:ascii="宋体" w:hAnsi="宋体" w:eastAsia="宋体" w:cs="宋体"/>
          <w:bCs/>
          <w:color w:val="auto"/>
          <w:sz w:val="24"/>
          <w:szCs w:val="24"/>
          <w:highlight w:val="none"/>
        </w:rPr>
      </w:pPr>
    </w:p>
    <w:p w14:paraId="078CC44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DC97924">
      <w:pPr>
        <w:rPr>
          <w:rFonts w:hint="eastAsia" w:ascii="宋体" w:hAnsi="宋体" w:eastAsia="宋体" w:cs="宋体"/>
          <w:color w:val="auto"/>
          <w:highlight w:val="none"/>
        </w:rPr>
      </w:pPr>
      <w:bookmarkStart w:id="38" w:name="_Toc23434"/>
      <w:bookmarkStart w:id="39" w:name="_Toc15854"/>
      <w:r>
        <w:rPr>
          <w:rFonts w:hint="eastAsia" w:ascii="宋体" w:hAnsi="宋体" w:eastAsia="宋体" w:cs="宋体"/>
          <w:color w:val="auto"/>
          <w:highlight w:val="none"/>
        </w:rPr>
        <w:t>附件一：</w:t>
      </w:r>
    </w:p>
    <w:p w14:paraId="78E589F2">
      <w:pPr>
        <w:jc w:val="center"/>
        <w:rPr>
          <w:rFonts w:hint="eastAsia" w:ascii="宋体" w:hAnsi="宋体" w:eastAsia="宋体" w:cs="宋体"/>
          <w:b/>
          <w:bCs/>
          <w:color w:val="auto"/>
          <w:spacing w:val="40"/>
          <w:sz w:val="24"/>
          <w:szCs w:val="18"/>
          <w:highlight w:val="none"/>
        </w:rPr>
      </w:pPr>
      <w:r>
        <w:rPr>
          <w:rFonts w:hint="eastAsia" w:ascii="宋体" w:hAnsi="宋体" w:eastAsia="宋体" w:cs="宋体"/>
          <w:b/>
          <w:bCs/>
          <w:color w:val="auto"/>
          <w:sz w:val="40"/>
          <w:szCs w:val="40"/>
          <w:highlight w:val="none"/>
          <w:lang w:val="en-US" w:eastAsia="zh-CN"/>
        </w:rPr>
        <w:t>比选</w:t>
      </w:r>
      <w:r>
        <w:rPr>
          <w:rFonts w:hint="eastAsia" w:ascii="宋体" w:hAnsi="宋体" w:eastAsia="宋体" w:cs="宋体"/>
          <w:b/>
          <w:bCs/>
          <w:color w:val="auto"/>
          <w:sz w:val="40"/>
          <w:szCs w:val="40"/>
          <w:highlight w:val="none"/>
        </w:rPr>
        <w:t>文件发售登记表</w:t>
      </w: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2191"/>
        <w:gridCol w:w="954"/>
        <w:gridCol w:w="3605"/>
      </w:tblGrid>
      <w:tr w14:paraId="1561B8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2149" w:type="dxa"/>
            <w:noWrap w:val="0"/>
            <w:vAlign w:val="center"/>
          </w:tcPr>
          <w:p w14:paraId="6B70A5C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tc>
        <w:tc>
          <w:tcPr>
            <w:tcW w:w="6750" w:type="dxa"/>
            <w:gridSpan w:val="3"/>
            <w:noWrap w:val="0"/>
            <w:vAlign w:val="center"/>
          </w:tcPr>
          <w:p w14:paraId="5DA5CBD0">
            <w:pPr>
              <w:spacing w:line="500" w:lineRule="exact"/>
              <w:outlineLvl w:val="0"/>
              <w:rPr>
                <w:rFonts w:hint="eastAsia" w:ascii="宋体" w:hAnsi="宋体" w:eastAsia="宋体" w:cs="宋体"/>
                <w:color w:val="auto"/>
                <w:sz w:val="28"/>
                <w:szCs w:val="18"/>
                <w:highlight w:val="none"/>
              </w:rPr>
            </w:pPr>
          </w:p>
        </w:tc>
      </w:tr>
      <w:tr w14:paraId="4F5A5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149" w:type="dxa"/>
            <w:noWrap w:val="0"/>
            <w:vAlign w:val="center"/>
          </w:tcPr>
          <w:p w14:paraId="47E478A3">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供应商名称</w:t>
            </w:r>
          </w:p>
        </w:tc>
        <w:tc>
          <w:tcPr>
            <w:tcW w:w="6750" w:type="dxa"/>
            <w:gridSpan w:val="3"/>
            <w:noWrap w:val="0"/>
            <w:vAlign w:val="center"/>
          </w:tcPr>
          <w:p w14:paraId="11E3A48B">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（供应商公章）</w:t>
            </w:r>
          </w:p>
        </w:tc>
      </w:tr>
      <w:tr w14:paraId="7CD11F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49" w:type="dxa"/>
            <w:noWrap w:val="0"/>
            <w:vAlign w:val="center"/>
          </w:tcPr>
          <w:p w14:paraId="22E72F7A">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联系人</w:t>
            </w:r>
          </w:p>
        </w:tc>
        <w:tc>
          <w:tcPr>
            <w:tcW w:w="2191" w:type="dxa"/>
            <w:noWrap w:val="0"/>
            <w:vAlign w:val="center"/>
          </w:tcPr>
          <w:p w14:paraId="098CBEF7">
            <w:pPr>
              <w:jc w:val="left"/>
              <w:rPr>
                <w:rFonts w:hint="eastAsia" w:ascii="宋体" w:hAnsi="宋体" w:eastAsia="宋体" w:cs="宋体"/>
                <w:color w:val="auto"/>
                <w:sz w:val="28"/>
                <w:szCs w:val="28"/>
                <w:highlight w:val="none"/>
              </w:rPr>
            </w:pPr>
          </w:p>
        </w:tc>
        <w:tc>
          <w:tcPr>
            <w:tcW w:w="954" w:type="dxa"/>
            <w:noWrap w:val="0"/>
            <w:vAlign w:val="center"/>
          </w:tcPr>
          <w:p w14:paraId="7BED058D">
            <w:pPr>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手机</w:t>
            </w:r>
          </w:p>
        </w:tc>
        <w:tc>
          <w:tcPr>
            <w:tcW w:w="3605" w:type="dxa"/>
            <w:noWrap w:val="0"/>
            <w:vAlign w:val="center"/>
          </w:tcPr>
          <w:p w14:paraId="17C85713">
            <w:pPr>
              <w:jc w:val="left"/>
              <w:rPr>
                <w:rFonts w:hint="eastAsia" w:ascii="宋体" w:hAnsi="宋体" w:eastAsia="宋体" w:cs="宋体"/>
                <w:color w:val="auto"/>
                <w:sz w:val="28"/>
                <w:szCs w:val="28"/>
                <w:highlight w:val="none"/>
              </w:rPr>
            </w:pPr>
          </w:p>
        </w:tc>
      </w:tr>
      <w:tr w14:paraId="4BF84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49" w:type="dxa"/>
            <w:noWrap w:val="0"/>
            <w:vAlign w:val="center"/>
          </w:tcPr>
          <w:p w14:paraId="08D7CE82">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办公电话</w:t>
            </w:r>
          </w:p>
        </w:tc>
        <w:tc>
          <w:tcPr>
            <w:tcW w:w="2191" w:type="dxa"/>
            <w:noWrap w:val="0"/>
            <w:vAlign w:val="center"/>
          </w:tcPr>
          <w:p w14:paraId="0195BE72">
            <w:pPr>
              <w:jc w:val="left"/>
              <w:rPr>
                <w:rFonts w:hint="eastAsia" w:ascii="宋体" w:hAnsi="宋体" w:eastAsia="宋体" w:cs="宋体"/>
                <w:color w:val="auto"/>
                <w:sz w:val="28"/>
                <w:szCs w:val="28"/>
                <w:highlight w:val="none"/>
              </w:rPr>
            </w:pPr>
          </w:p>
        </w:tc>
        <w:tc>
          <w:tcPr>
            <w:tcW w:w="954" w:type="dxa"/>
            <w:noWrap w:val="0"/>
            <w:vAlign w:val="center"/>
          </w:tcPr>
          <w:p w14:paraId="374CF106">
            <w:pPr>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传真</w:t>
            </w:r>
          </w:p>
        </w:tc>
        <w:tc>
          <w:tcPr>
            <w:tcW w:w="3605" w:type="dxa"/>
            <w:noWrap w:val="0"/>
            <w:vAlign w:val="center"/>
          </w:tcPr>
          <w:p w14:paraId="53BB7ACB">
            <w:pPr>
              <w:jc w:val="left"/>
              <w:rPr>
                <w:rFonts w:hint="eastAsia" w:ascii="宋体" w:hAnsi="宋体" w:eastAsia="宋体" w:cs="宋体"/>
                <w:color w:val="auto"/>
                <w:sz w:val="28"/>
                <w:szCs w:val="28"/>
                <w:highlight w:val="none"/>
              </w:rPr>
            </w:pPr>
          </w:p>
        </w:tc>
      </w:tr>
      <w:tr w14:paraId="61014A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2149" w:type="dxa"/>
            <w:noWrap w:val="0"/>
            <w:vAlign w:val="center"/>
          </w:tcPr>
          <w:p w14:paraId="0F7364BF">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E-mail</w:t>
            </w:r>
          </w:p>
        </w:tc>
        <w:tc>
          <w:tcPr>
            <w:tcW w:w="6750" w:type="dxa"/>
            <w:gridSpan w:val="3"/>
            <w:noWrap w:val="0"/>
            <w:vAlign w:val="center"/>
          </w:tcPr>
          <w:p w14:paraId="46946DB0">
            <w:pPr>
              <w:jc w:val="left"/>
              <w:rPr>
                <w:rFonts w:hint="eastAsia" w:ascii="宋体" w:hAnsi="宋体" w:eastAsia="宋体" w:cs="宋体"/>
                <w:color w:val="auto"/>
                <w:sz w:val="28"/>
                <w:szCs w:val="28"/>
                <w:highlight w:val="none"/>
              </w:rPr>
            </w:pPr>
          </w:p>
        </w:tc>
      </w:tr>
      <w:tr w14:paraId="66744F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149" w:type="dxa"/>
            <w:noWrap w:val="0"/>
            <w:vAlign w:val="center"/>
          </w:tcPr>
          <w:p w14:paraId="520633AF">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单位地址</w:t>
            </w:r>
          </w:p>
        </w:tc>
        <w:tc>
          <w:tcPr>
            <w:tcW w:w="6750" w:type="dxa"/>
            <w:gridSpan w:val="3"/>
            <w:noWrap w:val="0"/>
            <w:vAlign w:val="center"/>
          </w:tcPr>
          <w:p w14:paraId="2DABE4F2">
            <w:pPr>
              <w:jc w:val="left"/>
              <w:rPr>
                <w:rFonts w:hint="eastAsia" w:ascii="宋体" w:hAnsi="宋体" w:eastAsia="宋体" w:cs="宋体"/>
                <w:color w:val="auto"/>
                <w:sz w:val="28"/>
                <w:szCs w:val="28"/>
                <w:highlight w:val="none"/>
              </w:rPr>
            </w:pPr>
          </w:p>
        </w:tc>
      </w:tr>
      <w:tr w14:paraId="7BE18B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899" w:type="dxa"/>
            <w:gridSpan w:val="4"/>
            <w:noWrap w:val="0"/>
            <w:vAlign w:val="center"/>
          </w:tcPr>
          <w:p w14:paraId="60E16A72">
            <w:pPr>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val="en-US" w:eastAsia="zh-CN"/>
              </w:rPr>
              <w:t>备注：</w:t>
            </w:r>
          </w:p>
        </w:tc>
      </w:tr>
    </w:tbl>
    <w:p w14:paraId="2015780E">
      <w:pPr>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说明：</w:t>
      </w:r>
    </w:p>
    <w:p w14:paraId="5C22399C">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2"/>
          <w:highlight w:val="none"/>
        </w:rPr>
        <w:t>1.发售人：</w:t>
      </w:r>
      <w:r>
        <w:rPr>
          <w:rFonts w:hint="eastAsia" w:ascii="宋体" w:hAnsi="宋体" w:eastAsia="宋体" w:cs="宋体"/>
          <w:color w:val="auto"/>
          <w:sz w:val="24"/>
          <w:szCs w:val="24"/>
          <w:highlight w:val="none"/>
          <w:lang w:eastAsia="zh-CN"/>
        </w:rPr>
        <w:t>重庆瑞盛工程咨询有限公司。</w:t>
      </w:r>
    </w:p>
    <w:p w14:paraId="664F9FB4">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2.报名和</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文件发售期：202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日09:00-17：00（工作时间）。</w:t>
      </w:r>
    </w:p>
    <w:p w14:paraId="071AC9D1">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请完整填写本表。</w:t>
      </w:r>
    </w:p>
    <w:p w14:paraId="1D8FF76F">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br w:type="page"/>
      </w:r>
    </w:p>
    <w:p w14:paraId="095652E5">
      <w:pPr>
        <w:pStyle w:val="2"/>
        <w:bidi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36"/>
          <w:szCs w:val="36"/>
          <w:highlight w:val="none"/>
          <w:lang w:val="en-US" w:eastAsia="zh-CN"/>
        </w:rPr>
        <w:t xml:space="preserve">第二篇 </w:t>
      </w:r>
      <w:r>
        <w:rPr>
          <w:rFonts w:hint="eastAsia" w:ascii="宋体" w:hAnsi="宋体" w:eastAsia="宋体" w:cs="宋体"/>
          <w:color w:val="auto"/>
          <w:sz w:val="36"/>
          <w:szCs w:val="36"/>
          <w:highlight w:val="none"/>
        </w:rPr>
        <w:t>项目</w:t>
      </w:r>
      <w:bookmarkEnd w:id="36"/>
      <w:bookmarkEnd w:id="37"/>
      <w:bookmarkEnd w:id="38"/>
      <w:r>
        <w:rPr>
          <w:rFonts w:hint="eastAsia" w:ascii="宋体" w:hAnsi="宋体" w:eastAsia="宋体" w:cs="宋体"/>
          <w:color w:val="auto"/>
          <w:sz w:val="36"/>
          <w:szCs w:val="36"/>
          <w:highlight w:val="none"/>
          <w:lang w:eastAsia="zh-CN"/>
        </w:rPr>
        <w:t>技术需求</w:t>
      </w:r>
      <w:bookmarkEnd w:id="39"/>
    </w:p>
    <w:p w14:paraId="3E542C2C">
      <w:pPr>
        <w:pStyle w:val="2"/>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“※”标注的技术需求为符合性审查中的实质性要求，响应文件若不满足按无效响应处理。</w:t>
      </w:r>
    </w:p>
    <w:bookmarkEnd w:id="24"/>
    <w:p w14:paraId="67F55BB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color w:val="auto"/>
          <w:kern w:val="2"/>
          <w:sz w:val="24"/>
          <w:szCs w:val="24"/>
          <w:highlight w:val="none"/>
          <w:lang w:val="en-US" w:eastAsia="zh-CN" w:bidi="ar-SA"/>
        </w:rPr>
      </w:pPr>
      <w:bookmarkStart w:id="40" w:name="_Toc1902"/>
      <w:bookmarkStart w:id="41" w:name="_Toc8493"/>
      <w:bookmarkStart w:id="42" w:name="_Toc22938"/>
      <w:bookmarkStart w:id="43" w:name="_Toc7873"/>
      <w:bookmarkStart w:id="44" w:name="_Toc14076"/>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一、项目概况</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1"/>
        <w:gridCol w:w="2336"/>
        <w:gridCol w:w="3566"/>
      </w:tblGrid>
      <w:tr w14:paraId="1DFB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005" w:type="pct"/>
            <w:vAlign w:val="center"/>
          </w:tcPr>
          <w:p w14:paraId="7518E3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名称</w:t>
            </w:r>
          </w:p>
        </w:tc>
        <w:tc>
          <w:tcPr>
            <w:tcW w:w="1185" w:type="pct"/>
            <w:vAlign w:val="center"/>
          </w:tcPr>
          <w:p w14:paraId="50A40B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数量/单位</w:t>
            </w:r>
          </w:p>
        </w:tc>
        <w:tc>
          <w:tcPr>
            <w:tcW w:w="1809" w:type="pct"/>
            <w:vAlign w:val="center"/>
          </w:tcPr>
          <w:p w14:paraId="53632A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备注</w:t>
            </w:r>
          </w:p>
        </w:tc>
      </w:tr>
      <w:tr w14:paraId="5F89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005" w:type="pct"/>
            <w:vAlign w:val="center"/>
          </w:tcPr>
          <w:p w14:paraId="4AA8A4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大渡口区疾控中心B栋民兵活动中心建设工程</w:t>
            </w:r>
          </w:p>
        </w:tc>
        <w:tc>
          <w:tcPr>
            <w:tcW w:w="1185" w:type="pct"/>
            <w:vAlign w:val="center"/>
          </w:tcPr>
          <w:p w14:paraId="58E0C9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w:t>
            </w:r>
          </w:p>
        </w:tc>
        <w:tc>
          <w:tcPr>
            <w:tcW w:w="1809" w:type="pct"/>
            <w:vAlign w:val="center"/>
          </w:tcPr>
          <w:p w14:paraId="2D66D2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auto"/>
                <w:kern w:val="2"/>
                <w:sz w:val="24"/>
                <w:szCs w:val="24"/>
                <w:highlight w:val="none"/>
                <w:lang w:val="en-US" w:eastAsia="zh-CN" w:bidi="ar-SA"/>
              </w:rPr>
            </w:pPr>
          </w:p>
        </w:tc>
      </w:tr>
    </w:tbl>
    <w:p w14:paraId="3744CA63">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二、采购范围</w:t>
      </w:r>
    </w:p>
    <w:p w14:paraId="4857C4B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根据比选人提供</w:t>
      </w:r>
      <w:r>
        <w:rPr>
          <w:rFonts w:hint="eastAsia" w:ascii="宋体" w:hAnsi="宋体" w:cs="宋体"/>
          <w:b w:val="0"/>
          <w:color w:val="auto"/>
          <w:kern w:val="2"/>
          <w:sz w:val="24"/>
          <w:szCs w:val="24"/>
          <w:highlight w:val="none"/>
          <w:lang w:val="en-US" w:eastAsia="zh-CN" w:bidi="ar-SA"/>
        </w:rPr>
        <w:t>工程量清单</w:t>
      </w:r>
      <w:r>
        <w:rPr>
          <w:rFonts w:hint="eastAsia" w:ascii="宋体" w:hAnsi="宋体" w:eastAsia="宋体" w:cs="宋体"/>
          <w:b w:val="0"/>
          <w:color w:val="auto"/>
          <w:kern w:val="2"/>
          <w:sz w:val="24"/>
          <w:szCs w:val="24"/>
          <w:highlight w:val="none"/>
          <w:lang w:val="en-US" w:eastAsia="zh-CN" w:bidi="ar-SA"/>
        </w:rPr>
        <w:t>内所示全部工程，具体</w:t>
      </w:r>
      <w:r>
        <w:rPr>
          <w:rFonts w:hint="eastAsia" w:ascii="宋体" w:hAnsi="宋体" w:cs="宋体"/>
          <w:b w:val="0"/>
          <w:color w:val="auto"/>
          <w:kern w:val="2"/>
          <w:sz w:val="24"/>
          <w:szCs w:val="24"/>
          <w:highlight w:val="none"/>
          <w:lang w:val="en-US" w:eastAsia="zh-CN" w:bidi="ar-SA"/>
        </w:rPr>
        <w:t>详见</w:t>
      </w:r>
      <w:r>
        <w:rPr>
          <w:rFonts w:hint="eastAsia" w:ascii="宋体" w:hAnsi="宋体" w:eastAsia="宋体" w:cs="宋体"/>
          <w:b w:val="0"/>
          <w:color w:val="auto"/>
          <w:kern w:val="2"/>
          <w:sz w:val="24"/>
          <w:szCs w:val="24"/>
          <w:highlight w:val="none"/>
          <w:lang w:val="en-US" w:eastAsia="zh-CN" w:bidi="ar-SA"/>
        </w:rPr>
        <w:t>工程量清单。</w:t>
      </w:r>
    </w:p>
    <w:p w14:paraId="6B99291F">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三、技术要求及标准</w:t>
      </w:r>
    </w:p>
    <w:p w14:paraId="3676482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1.质量要求：达到采购人要求并通过验收。</w:t>
      </w:r>
    </w:p>
    <w:p w14:paraId="6087736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2.质量问题响应时间要求：成交竞选人接到采购人出现问题的通知后立即作出响应，24小时内到达现场进行处理。</w:t>
      </w:r>
    </w:p>
    <w:p w14:paraId="6587C9A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3.项目原则上不允许变更施工内容，如特需变更的，经比选人同意后方可实施变更。</w:t>
      </w:r>
    </w:p>
    <w:p w14:paraId="75081304">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color w:val="auto"/>
          <w:kern w:val="2"/>
          <w:sz w:val="24"/>
          <w:szCs w:val="24"/>
          <w:highlight w:val="none"/>
          <w:lang w:val="en-US" w:eastAsia="zh-CN" w:bidi="ar-SA"/>
        </w:rPr>
      </w:pPr>
      <w:bookmarkStart w:id="45" w:name="_Toc6415"/>
      <w:bookmarkStart w:id="46" w:name="_Toc15807"/>
      <w:r>
        <w:rPr>
          <w:rFonts w:hint="eastAsia" w:ascii="宋体" w:hAnsi="宋体" w:eastAsia="宋体" w:cs="宋体"/>
          <w:b/>
          <w:bCs/>
          <w:color w:val="auto"/>
          <w:kern w:val="2"/>
          <w:sz w:val="24"/>
          <w:szCs w:val="24"/>
          <w:highlight w:val="none"/>
          <w:lang w:val="en-US" w:eastAsia="zh-CN" w:bidi="ar-SA"/>
        </w:rPr>
        <w:t>四、技术要求</w:t>
      </w:r>
      <w:bookmarkEnd w:id="45"/>
      <w:bookmarkEnd w:id="46"/>
    </w:p>
    <w:p w14:paraId="665645E1">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竞选人须根据该工程项目做出技术方案，至少包含施工方案与技术措施、质量管理体系与措施、安全管理体系与措施、环境保护管理体系措施、工程进度计划与措施等。竞选人施工过程中必须按国家相关规范及要求进行施工，施工工艺必须达到国家相关规范要求。</w:t>
      </w:r>
    </w:p>
    <w:p w14:paraId="228EF8E1">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五、管理人员要求</w:t>
      </w:r>
    </w:p>
    <w:p w14:paraId="389B6ED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bookmarkStart w:id="47" w:name="_Toc1086"/>
      <w:r>
        <w:rPr>
          <w:rFonts w:hint="eastAsia" w:ascii="宋体" w:hAnsi="宋体" w:eastAsia="宋体" w:cs="宋体"/>
          <w:b w:val="0"/>
          <w:color w:val="auto"/>
          <w:kern w:val="2"/>
          <w:sz w:val="24"/>
          <w:szCs w:val="24"/>
          <w:highlight w:val="none"/>
          <w:lang w:val="en-US" w:eastAsia="zh-CN" w:bidi="ar-SA"/>
        </w:rPr>
        <w:t>竞选人自行承诺中选后在签订合同之前须按照行政主管部门的要求组建施工项目部，配置项目管理班子，相关岗位管理人员应持有建设行政主管部门要求的岗位证书。中选后不能满足该要求的，取消其中选资格；签订合同后不满足该要求的，按合同相关条款处罚并上报行政主管部门；给采购人造成损失的，投标人依法承担违约赔偿责任。（承诺格式自拟，未按要求承诺的按无效投标处理。）</w:t>
      </w:r>
    </w:p>
    <w:p w14:paraId="7493CB85">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六、</w:t>
      </w:r>
      <w:bookmarkStart w:id="48" w:name="_Toc80863889"/>
      <w:r>
        <w:rPr>
          <w:rFonts w:hint="eastAsia" w:ascii="宋体" w:hAnsi="宋体" w:eastAsia="宋体" w:cs="宋体"/>
          <w:b/>
          <w:bCs/>
          <w:color w:val="auto"/>
          <w:kern w:val="2"/>
          <w:sz w:val="24"/>
          <w:szCs w:val="24"/>
          <w:highlight w:val="none"/>
          <w:lang w:val="en-US" w:eastAsia="zh-CN" w:bidi="ar-SA"/>
        </w:rPr>
        <w:t>现场踏勘</w:t>
      </w:r>
      <w:bookmarkEnd w:id="47"/>
      <w:bookmarkEnd w:id="48"/>
    </w:p>
    <w:p w14:paraId="2F6F1F9C">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bookmarkStart w:id="49" w:name="_Toc10099"/>
      <w:bookmarkEnd w:id="49"/>
      <w:bookmarkStart w:id="50" w:name="_Toc1248"/>
      <w:bookmarkEnd w:id="50"/>
      <w:bookmarkStart w:id="51" w:name="_Toc11993"/>
      <w:r>
        <w:rPr>
          <w:rFonts w:hint="eastAsia" w:ascii="宋体" w:hAnsi="宋体" w:eastAsia="宋体" w:cs="宋体"/>
          <w:b w:val="0"/>
          <w:color w:val="auto"/>
          <w:kern w:val="2"/>
          <w:sz w:val="24"/>
          <w:szCs w:val="24"/>
          <w:highlight w:val="none"/>
          <w:lang w:val="en-US" w:eastAsia="zh-CN" w:bidi="ar-SA"/>
        </w:rPr>
        <w:t>本项目不组织集体现场踏勘，各竞选人可自行对现场进行踏勘。竞选人应充分了解该项目的项目背景、建设地点、施工范围、设备组织、现场条件、道路环境、安全措施、人员安排、物业规定、文明施工、市政监管、运输工具等各种情况，以便获取本项目编制响应文件和签署合同所需的所有数据。踏勘现场所发生的所有费用（包含因踏勘现场而造成的死亡、人身伤害、财产损失和产生的其他费用）均由竞选人自行承担，竞选人应充分考虑了本项目可能面临的不确定因素和可能导致的风险，竞选人一旦成交，成交竞选人不得以不完全了解现场情况为借口而提出额外赔偿，或延长工期等要求，由竞选人在其响应文件中单独提供书面承诺函（格式自拟）。</w:t>
      </w:r>
    </w:p>
    <w:p w14:paraId="18019A54">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color w:val="auto"/>
          <w:kern w:val="2"/>
          <w:sz w:val="24"/>
          <w:szCs w:val="24"/>
          <w:highlight w:val="none"/>
          <w:lang w:val="en-US" w:eastAsia="zh-CN" w:bidi="ar-SA"/>
        </w:rPr>
      </w:pPr>
      <w:bookmarkStart w:id="52" w:name="_Toc25393"/>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七、安全要求</w:t>
      </w:r>
      <w:bookmarkEnd w:id="51"/>
      <w:bookmarkEnd w:id="52"/>
    </w:p>
    <w:p w14:paraId="2F6B2F8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竞选人在响应文件中自行承诺（格式自拟）遵守安全生产的有关管理规定，严格按照安全标准组织实施，采取必要的安全防护措施，消除隐患。在施工过程中由于竞选人管理或安全措施不力造成周边环境破坏或事故责任和因此发生的费用，由竞选人承担。竞选人负责进入现场实施人员及财物安全，发生任何伤亡事故与采购人无关，竞选人自行解决并承担相应的法律责任和财产损失。如因施工导致第三人人身、财产损失由成交竞选人承担相关的赔偿责任。</w:t>
      </w:r>
    </w:p>
    <w:p w14:paraId="3CA7A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rPr>
        <w:br w:type="page"/>
      </w:r>
    </w:p>
    <w:p w14:paraId="11288B33">
      <w:pPr>
        <w:pStyle w:val="2"/>
        <w:bidi w:val="0"/>
        <w:rPr>
          <w:rFonts w:hint="eastAsia" w:ascii="宋体" w:hAnsi="宋体" w:eastAsia="宋体" w:cs="宋体"/>
          <w:color w:val="auto"/>
          <w:sz w:val="36"/>
          <w:szCs w:val="36"/>
          <w:highlight w:val="none"/>
        </w:rPr>
      </w:pPr>
      <w:bookmarkStart w:id="53" w:name="_Toc21129"/>
      <w:r>
        <w:rPr>
          <w:rFonts w:hint="eastAsia" w:ascii="宋体" w:hAnsi="宋体" w:eastAsia="宋体" w:cs="宋体"/>
          <w:color w:val="auto"/>
          <w:sz w:val="36"/>
          <w:szCs w:val="36"/>
          <w:highlight w:val="none"/>
          <w:lang w:val="en-US" w:eastAsia="zh-CN"/>
        </w:rPr>
        <w:t xml:space="preserve">第三篇 </w:t>
      </w:r>
      <w:r>
        <w:rPr>
          <w:rFonts w:hint="eastAsia" w:ascii="宋体" w:hAnsi="宋体" w:eastAsia="宋体" w:cs="宋体"/>
          <w:color w:val="auto"/>
          <w:sz w:val="36"/>
          <w:szCs w:val="36"/>
          <w:highlight w:val="none"/>
        </w:rPr>
        <w:t>项目商务需求</w:t>
      </w:r>
      <w:bookmarkEnd w:id="40"/>
      <w:bookmarkEnd w:id="41"/>
      <w:bookmarkEnd w:id="42"/>
      <w:bookmarkEnd w:id="53"/>
    </w:p>
    <w:p w14:paraId="51496D67">
      <w:pPr>
        <w:pStyle w:val="2"/>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“※”标注的商务需求为符合性审查中的实质性要求，响应文件若不满足按无效响应处理。</w:t>
      </w:r>
    </w:p>
    <w:bookmarkEnd w:id="43"/>
    <w:bookmarkEnd w:id="44"/>
    <w:p w14:paraId="4C7AFDDC">
      <w:pPr>
        <w:snapToGrid w:val="0"/>
        <w:spacing w:line="360" w:lineRule="auto"/>
        <w:rPr>
          <w:rFonts w:hint="eastAsia" w:ascii="宋体" w:hAnsi="宋体" w:eastAsia="宋体" w:cs="宋体"/>
          <w:color w:val="auto"/>
          <w:sz w:val="24"/>
          <w:szCs w:val="24"/>
          <w:highlight w:val="none"/>
          <w:lang w:eastAsia="zh-CN"/>
        </w:rPr>
      </w:pPr>
      <w:bookmarkStart w:id="54" w:name="_Toc25165"/>
      <w:bookmarkStart w:id="55" w:name="_Toc2672"/>
      <w:bookmarkStart w:id="56" w:name="_Toc11875"/>
      <w:bookmarkStart w:id="57" w:name="_Toc25903"/>
      <w:bookmarkStart w:id="58" w:name="_Toc23663"/>
      <w:bookmarkStart w:id="59" w:name="_Toc22763"/>
      <w:bookmarkStart w:id="60" w:name="_Toc2406"/>
      <w:bookmarkStart w:id="61" w:name="_Toc25911"/>
      <w:bookmarkStart w:id="62" w:name="_Toc24966"/>
      <w:bookmarkStart w:id="63" w:name="_Toc17711"/>
      <w:bookmarkStart w:id="64" w:name="_Toc106030393"/>
      <w:bookmarkStart w:id="65" w:name="_Toc23377"/>
      <w:bookmarkStart w:id="66" w:name="_Toc8133"/>
      <w:bookmarkStart w:id="67" w:name="_Toc75793517"/>
      <w:bookmarkStart w:id="68" w:name="_Toc15693"/>
      <w:bookmarkStart w:id="69" w:name="_Toc30067"/>
      <w:bookmarkStart w:id="70" w:name="_Toc3339"/>
      <w:bookmarkStart w:id="71" w:name="_Toc2487"/>
      <w:bookmarkStart w:id="72" w:name="_Toc10668"/>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sz w:val="24"/>
          <w:szCs w:val="24"/>
          <w:highlight w:val="none"/>
        </w:rPr>
        <w:t>一、工期、施工地点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sz w:val="24"/>
          <w:szCs w:val="24"/>
          <w:highlight w:val="none"/>
          <w:lang w:eastAsia="zh-CN"/>
        </w:rPr>
        <w:t>及质量要求</w:t>
      </w:r>
    </w:p>
    <w:p w14:paraId="3CE1828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（一）工期</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45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rPr>
        <w:t>。</w:t>
      </w:r>
    </w:p>
    <w:p w14:paraId="53DB463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（二）施工地点：</w:t>
      </w:r>
      <w:r>
        <w:rPr>
          <w:rFonts w:hint="eastAsia" w:ascii="宋体" w:hAnsi="宋体" w:eastAsia="宋体" w:cs="宋体"/>
          <w:color w:val="auto"/>
          <w:sz w:val="24"/>
          <w:szCs w:val="24"/>
          <w:highlight w:val="none"/>
          <w:lang w:val="en-US" w:eastAsia="zh-CN"/>
        </w:rPr>
        <w:t>比选人指定地点</w:t>
      </w:r>
      <w:r>
        <w:rPr>
          <w:rFonts w:hint="eastAsia" w:ascii="宋体" w:hAnsi="宋体" w:eastAsia="宋体" w:cs="宋体"/>
          <w:color w:val="auto"/>
          <w:sz w:val="24"/>
          <w:szCs w:val="24"/>
          <w:highlight w:val="none"/>
        </w:rPr>
        <w:t>。</w:t>
      </w:r>
    </w:p>
    <w:p w14:paraId="415FE77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5A94D3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1.施工过程应遵照现行国家有关规范进行，</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按照有关要求自行组织进行检查验收。</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应保证工程质量，工程用材料须符合国家及行业标准，质量要求：达到国家及重庆市现行有关施工质量验收规范要求，并达到合格标准。</w:t>
      </w:r>
    </w:p>
    <w:p w14:paraId="2B11356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2.完工后，按国家相关标准验收程序和规程进行验收并签字确认。验收的相关费用由</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承担。</w:t>
      </w:r>
    </w:p>
    <w:p w14:paraId="315B12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未达到</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的要求，且对</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造成损失的，由</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承担一切责任，并赔偿所造成的损失。</w:t>
      </w:r>
    </w:p>
    <w:p w14:paraId="5392CCB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质量要求：达到国家现行有关施工质量验收规范要求，并达到合格标准。</w:t>
      </w:r>
    </w:p>
    <w:p w14:paraId="36DB2688">
      <w:pPr>
        <w:snapToGrid w:val="0"/>
        <w:spacing w:line="360" w:lineRule="auto"/>
        <w:rPr>
          <w:rFonts w:hint="eastAsia" w:ascii="宋体" w:hAnsi="宋体" w:eastAsia="宋体" w:cs="宋体"/>
          <w:b/>
          <w:bCs/>
          <w:color w:val="auto"/>
          <w:sz w:val="24"/>
          <w:szCs w:val="24"/>
          <w:highlight w:val="none"/>
          <w:lang w:val="en-US" w:eastAsia="zh-CN"/>
        </w:rPr>
      </w:pPr>
      <w:bookmarkStart w:id="73" w:name="_Toc19786038"/>
      <w:bookmarkStart w:id="74" w:name="_Toc8571"/>
      <w:bookmarkStart w:id="75" w:name="_Toc24100"/>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二、报价原则</w:t>
      </w:r>
      <w:bookmarkEnd w:id="73"/>
      <w:bookmarkEnd w:id="74"/>
    </w:p>
    <w:bookmarkEnd w:id="75"/>
    <w:p w14:paraId="3222A42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1.工程计价方式：本工程采用工程量清单计价。</w:t>
      </w:r>
    </w:p>
    <w:p w14:paraId="48CFE20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2.竞标报价范围：各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对采购人提供的工程量清单，结合</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自身情况及市场行情进行报价。</w:t>
      </w:r>
    </w:p>
    <w:p w14:paraId="5CCF73F4">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3.报价原则：本采购项目由竞选人以竞争性比选文件、合同条件、工程量清单、</w:t>
      </w:r>
      <w:r>
        <w:rPr>
          <w:rFonts w:hint="eastAsia" w:ascii="宋体" w:hAnsi="宋体" w:eastAsia="宋体" w:cs="宋体"/>
          <w:color w:val="auto"/>
          <w:sz w:val="24"/>
          <w:szCs w:val="24"/>
          <w:highlight w:val="none"/>
          <w:lang w:val="en-US" w:eastAsia="zh-CN"/>
        </w:rPr>
        <w:t>国家基本建设的法律、法规及政策、中国建设工程造价管理协会编制的行业标准、规程</w:t>
      </w:r>
      <w:r>
        <w:rPr>
          <w:rFonts w:hint="eastAsia" w:ascii="宋体" w:hAnsi="宋体" w:eastAsia="宋体" w:cs="宋体"/>
          <w:color w:val="auto"/>
          <w:sz w:val="24"/>
          <w:szCs w:val="24"/>
          <w:highlight w:val="none"/>
          <w:lang w:eastAsia="zh-CN"/>
        </w:rPr>
        <w:t>、《建设工程工程量清单计价规范》（GB50500-2013）、《重庆市建设工程工程量清单计价规则》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CQJJGZ-2013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、《重庆市建设工程工程量计算规则》(GQJLGZ-2013)、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房屋建筑与装饰工程工程量计算规范》(GB50854-2013)、《通用安装工程工程量计算规范》（GB50856-2013）、</w:t>
      </w:r>
      <w:r>
        <w:rPr>
          <w:rFonts w:hint="eastAsia" w:ascii="宋体" w:hAnsi="宋体" w:eastAsia="宋体" w:cs="宋体"/>
          <w:color w:val="auto"/>
          <w:sz w:val="24"/>
          <w:szCs w:val="24"/>
          <w:highlight w:val="none"/>
          <w:lang w:val="en-US" w:eastAsia="zh-CN"/>
        </w:rPr>
        <w:t>《重庆市房屋建筑与装饰工程计价定额》(CQJZZSDE-2018)、《重庆市房屋修缮工程计价定额》（CQXSDE-2018）、《重庆市通用安装工程计价定额》（CQAZDE-2018）、</w:t>
      </w:r>
      <w:r>
        <w:rPr>
          <w:rFonts w:hint="eastAsia" w:ascii="宋体" w:hAnsi="宋体" w:eastAsia="宋体" w:cs="宋体"/>
          <w:color w:val="auto"/>
          <w:sz w:val="24"/>
          <w:szCs w:val="24"/>
          <w:highlight w:val="none"/>
          <w:lang w:eastAsia="zh-CN"/>
        </w:rPr>
        <w:t>《重庆市建设工程费用定额》（CQFYDE-2018）</w:t>
      </w:r>
      <w:r>
        <w:rPr>
          <w:rFonts w:hint="eastAsia" w:ascii="宋体" w:hAnsi="宋体" w:eastAsia="宋体" w:cs="宋体"/>
          <w:color w:val="auto"/>
          <w:sz w:val="24"/>
          <w:szCs w:val="24"/>
          <w:highlight w:val="none"/>
          <w:lang w:val="en-US" w:eastAsia="zh-CN"/>
        </w:rPr>
        <w:t>、《重庆市住房和城乡建设委员会关于适用增值税新税率调整建设工程计价依据的通知》（渝建发〔2019〕143号）、《2018年重庆市建设工程计价定额综合解释》（渝建价发〔2019〕16号）</w:t>
      </w:r>
      <w:r>
        <w:rPr>
          <w:rFonts w:hint="eastAsia" w:ascii="宋体" w:hAnsi="宋体" w:eastAsia="宋体" w:cs="宋体"/>
          <w:color w:val="auto"/>
          <w:sz w:val="24"/>
          <w:szCs w:val="24"/>
          <w:highlight w:val="none"/>
          <w:lang w:eastAsia="zh-CN"/>
        </w:rPr>
        <w:t>关配套文件为依据，由竞选人结合自身实力、市场行情自主合理报价。竞标报价应包括完成采购范围内工程项目的人工费、材料费、机械费、企业管理费、利润、风险费用、措施费（含易撒漏物资密闭运输的费用、安全文明施工费、竣工档案编制费）、规费、税金、招标代理费政策性文件规定的所有费用。采购人除此以外不支付其它费用。</w:t>
      </w:r>
    </w:p>
    <w:p w14:paraId="6A0D9D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4.措施项目费清单包括施工组织措施项目清单和施工技术措施项目清单两部分。</w:t>
      </w:r>
    </w:p>
    <w:p w14:paraId="0DD75BB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4.1施工组织措施项目清单：</w:t>
      </w:r>
    </w:p>
    <w:p w14:paraId="164F601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采购人给出的施工组织措施项目清单仅供</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参考，</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在竞标报价时可参照采购人给出的施工组织措施项目清单并结合本工程的实际情况和国家及重庆市相关管理规定自行增减项目，并进行报价。如果漏项或不报价，视为已包含在其他项目清单综合单价内。中标后施工组织措施项目费一概不作调整（安全文明施工费除外）。</w:t>
      </w:r>
    </w:p>
    <w:p w14:paraId="395297C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4.2施工技术措施项目清单：</w:t>
      </w:r>
    </w:p>
    <w:p w14:paraId="5154096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4.2.1技术措施清单中以项计列的项目，由</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根据现场踏勘情况及本工程的实际情况结合自身施工组织设计，以项为单位自行报价，包干使用，结算时不再调整。</w:t>
      </w:r>
    </w:p>
    <w:p w14:paraId="28A5F51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4.2.2技术措施清单中以项目编码、项目名称、项目特征、工程内容、工程量及计量单位列项的项目，</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必须按采购人给出的施工技术措施项目清单进行报价，不得擅自改变采购人提供的施工技术措施项目清单中的序号、项目编码、项目名称、项目特征、工程内容、工程量及计量单位，否则视为对竞争性比选文件不作实质性响应，其响应文件按无效响应处理。中标后不论何种因素影响，相应的综合单价不作调整，工程量按《重庆市建设工程工程量计算规则》(GQJLGZ-2013)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房屋建筑与装饰工程工程量计算规范》(GB50854-2013)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《通用安装工程工程量计算规范》（GB50856-2013）规定的计量规则及工程量清单说明按实计量。</w:t>
      </w:r>
    </w:p>
    <w:p w14:paraId="5A688CD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4.2.3技术措施清单中以暂估价计列的项目（如果有），成交后，由中选人提出实施方案，经采购人批准后，按批准的实施方案及现场签证的工程内容按实结算。</w:t>
      </w:r>
    </w:p>
    <w:p w14:paraId="7876772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5.分部分项工程量清单项、量、价</w:t>
      </w:r>
    </w:p>
    <w:p w14:paraId="6E45CD7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5.1除采购人对清单工程量主动补遗或对</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质疑作修改外，</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在编制投标报价时不得擅自改变采购人提供的分部分项工程量清单中的序号、项目编码、项目名称、项目特征、计量单位、工程量，否则视为对竞争性比选文件不作实质性响应。每一项目只允许有一个报价，任何有选择的报价将不予接受。如评选过程中未发现的，采购人有权按最不有利于</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的原则予以修正，</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应无条件接受。如不接受，采购人有权取消授标或立即终止合同。</w:t>
      </w:r>
    </w:p>
    <w:p w14:paraId="52AA16D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只有严格按采购人提供的《工程量清单》对所有项目进行报价，才能视为总体报价完整，不得出现漏项或增项，否则视为对比选文件不作实质性响应。报价空白或报价为零，则视为该子项的价款已包括在工程量清单其他子目的单价和合价中，中标后必须完成该子项工作内容，采购人不对该子项进行结算与支付。施工过程中，因采购人原因需要对报价空白或报价为零的项目减少实施工程量或不予实施，采购人有权按本工程结算原则中工程变更的组价原则计算出该项目的综合单价以及相应的措施费、安全文明施工费、规费和税金，并按此金额从结算价款中扣除，</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须无条件接受。如</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拒绝接受，采购人有权取消授标或立即终止合同.</w:t>
      </w:r>
    </w:p>
    <w:p w14:paraId="1B2AC1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分部分项工程量清单中给出的工程量是估算量或暂定量，是为竞标报价确定的共同的基础，不能作为最终结算的依据。实际工程量应是按《重庆市建设工程工程量计算规则》（CQJLGZ－2013）约定的计量规则计算的实际合格工程量。</w:t>
      </w:r>
    </w:p>
    <w:p w14:paraId="5A4BA0E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5.4本工程各分部分项工程量清单子项不论其对应的项目特征和工作内容是否描述完整，都将被认为已包括《重庆市建设工程工程量计算规则》(GQJLGZ-2013)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房屋建筑与装饰工程工程量计算规范》(GB50854-2013)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用安装工程工程量计算规范》（GB50856-2013）中相应项目编码和项目名称及相关规范、标准、政策性文件、规定、限制和禁止使用通告等所有工程内容及完成此工作内容而必须的各种主要、辅助工作；其综合单价应包括完成该子项所需的人工费、材料费、机械费、企业管理费、利润、风险费用等除税金、措施费（含易撒漏物资密闭运输的费用、安全文明施工费、竣工档案编制费）、招标代理费、规费外的所有费用以及合同文件中明示或暗示的应由中标人承担的所有责任、义务、一般风险及相应的费用。中标后采购人不再对综合单价进行调整。</w:t>
      </w:r>
    </w:p>
    <w:p w14:paraId="48B0EAB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6.采购人在工程量清单中所列出的价格（包括暂列金额、暂估价等），</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不得修改，否则视为对比选文件不作实质性响应。</w:t>
      </w:r>
    </w:p>
    <w:p w14:paraId="172907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7.安全文明施工费、竣工档案编制费：</w:t>
      </w:r>
    </w:p>
    <w:p w14:paraId="55C12E8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7.1安全文明施工费：</w:t>
      </w:r>
    </w:p>
    <w:p w14:paraId="30C14DB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7.1.1根据“</w:t>
      </w:r>
      <w:r>
        <w:rPr>
          <w:rFonts w:hint="eastAsia" w:ascii="宋体" w:hAnsi="宋体" w:eastAsia="宋体" w:cs="宋体"/>
          <w:color w:val="auto"/>
          <w:sz w:val="24"/>
          <w:szCs w:val="24"/>
          <w:highlight w:val="none"/>
          <w:lang w:val="zh-CN"/>
        </w:rPr>
        <w:t>渝建管〔20</w:t>
      </w:r>
      <w:r>
        <w:rPr>
          <w:rFonts w:hint="eastAsia" w:ascii="宋体" w:hAnsi="宋体" w:eastAsia="宋体" w:cs="宋体"/>
          <w:color w:val="auto"/>
          <w:sz w:val="24"/>
          <w:szCs w:val="24"/>
          <w:highlight w:val="none"/>
          <w:lang w:val="zh-CN" w:eastAsia="zh-CN"/>
        </w:rPr>
        <w:t>24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38</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rPr>
        <w:t>”规定，安全文明施工费由安全施工费、文明施工费、环境保护费及临时设施费四部分组成。</w:t>
      </w:r>
    </w:p>
    <w:p w14:paraId="0CA21F2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7.1.2本工程安全文明施工费由采购人根据《建设工程工程量清单计价规范》（GB50500-2013）、《重庆市建设工程工程量清单计价规则》（CQJJGZ-2013）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《重庆市建设工程安全文明施工费计取及使用管理规定》的通知”渝建管〔20</w:t>
      </w:r>
      <w:r>
        <w:rPr>
          <w:rFonts w:hint="eastAsia" w:ascii="宋体" w:hAnsi="宋体" w:eastAsia="宋体" w:cs="宋体"/>
          <w:color w:val="auto"/>
          <w:sz w:val="24"/>
          <w:szCs w:val="24"/>
          <w:highlight w:val="none"/>
          <w:lang w:val="zh-CN" w:eastAsia="zh-CN"/>
        </w:rPr>
        <w:t>24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38</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rPr>
        <w:t>、《关于调整工程费用计算程序及工程计价表格的通知》（渝建价发〔2014〕6号）、</w:t>
      </w:r>
      <w:r>
        <w:rPr>
          <w:rFonts w:hint="eastAsia" w:ascii="宋体" w:hAnsi="宋体" w:eastAsia="宋体" w:cs="宋体"/>
          <w:color w:val="auto"/>
          <w:sz w:val="24"/>
          <w:szCs w:val="24"/>
          <w:highlight w:val="none"/>
          <w:lang w:val="en-US" w:eastAsia="zh-CN"/>
        </w:rPr>
        <w:t>《重庆市住房和城乡建设委员会关于适用增值税新税率调整建设工程计价依据的通知》（渝建发〔2019〕143号）</w:t>
      </w:r>
      <w:r>
        <w:rPr>
          <w:rFonts w:hint="eastAsia" w:ascii="宋体" w:hAnsi="宋体" w:eastAsia="宋体" w:cs="宋体"/>
          <w:color w:val="auto"/>
          <w:sz w:val="24"/>
          <w:szCs w:val="24"/>
          <w:highlight w:val="none"/>
        </w:rPr>
        <w:t>的相关规定和费用标准单列计算。《报价函》及工程量清单报价中的安全文明施工费必须按照采购人给出的暂定金额填报，否则视为对比选文件不作实质性响应，其响应文件按无效响应处理。</w:t>
      </w:r>
    </w:p>
    <w:p w14:paraId="7CED2C2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7.2竣工档案编制费：</w:t>
      </w:r>
    </w:p>
    <w:p w14:paraId="2550D42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竣工档案编制费按照《重庆市城乡建设委员会关于调整建设工程竣工档案编制费计取标准与计算方法的通知》（渝建发【2014】26号）执行。</w:t>
      </w:r>
    </w:p>
    <w:p w14:paraId="421D147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8.材料采购及报价</w:t>
      </w:r>
    </w:p>
    <w:p w14:paraId="4E161F8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8.1本工程所需材料、设备由中标人自行采购，但所采购的材料必须符合国家规范标准及设计文件、竞争性比选文件要求，并提供相应合格证明资料、质保书等。</w:t>
      </w:r>
    </w:p>
    <w:p w14:paraId="1AC2BA1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8.2本工程所需的全部材料、设备由各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参照材料价格结合市场行情以及自身实力自主报价。材料运输距离由投标单位根据自身情况及踏勘现场情况自行确定,中标后不调整。</w:t>
      </w:r>
    </w:p>
    <w:p w14:paraId="1D134EA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9.人工费：本工程人工单价由各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结合市场行情自主测算计入相应综合单价中。</w:t>
      </w:r>
    </w:p>
    <w:p w14:paraId="14E0586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10.本工程将设置投标总报价最高限价：</w:t>
      </w:r>
      <w:r>
        <w:rPr>
          <w:rFonts w:hint="eastAsia" w:ascii="宋体" w:hAnsi="宋体" w:eastAsia="宋体" w:cs="宋体"/>
          <w:b/>
          <w:bCs/>
          <w:color w:val="auto"/>
          <w:sz w:val="24"/>
          <w:szCs w:val="24"/>
          <w:highlight w:val="none"/>
          <w:u w:val="single"/>
        </w:rPr>
        <w:t>267421.05元（大写：</w:t>
      </w:r>
      <w:r>
        <w:rPr>
          <w:rFonts w:hint="eastAsia" w:ascii="宋体" w:hAnsi="宋体" w:cs="宋体"/>
          <w:b/>
          <w:bCs/>
          <w:color w:val="auto"/>
          <w:sz w:val="24"/>
          <w:szCs w:val="24"/>
          <w:highlight w:val="none"/>
          <w:u w:val="single"/>
          <w:lang w:val="en-US" w:eastAsia="zh-CN"/>
        </w:rPr>
        <w:t>贰拾陆万柒仟肆佰贰拾壹元零伍分</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其中安全文明施工费：5368.99元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的投标总报价及每项清单综合单价最高限价均不得超过相应的最高限价，否则由比选小组作</w:t>
      </w:r>
      <w:r>
        <w:rPr>
          <w:rFonts w:hint="eastAsia" w:ascii="宋体" w:hAnsi="宋体" w:eastAsia="宋体" w:cs="宋体"/>
          <w:color w:val="auto"/>
          <w:sz w:val="24"/>
          <w:szCs w:val="24"/>
          <w:highlight w:val="none"/>
          <w:lang w:val="en-US" w:eastAsia="zh-CN"/>
        </w:rPr>
        <w:t>无效响应</w:t>
      </w:r>
      <w:r>
        <w:rPr>
          <w:rFonts w:hint="eastAsia" w:ascii="宋体" w:hAnsi="宋体" w:eastAsia="宋体" w:cs="宋体"/>
          <w:color w:val="auto"/>
          <w:sz w:val="24"/>
          <w:szCs w:val="24"/>
          <w:highlight w:val="none"/>
        </w:rPr>
        <w:t>处理。</w:t>
      </w:r>
    </w:p>
    <w:p w14:paraId="26491EF0">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三、结算原则</w:t>
      </w:r>
    </w:p>
    <w:p w14:paraId="48B4810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结算总价＝分部分项工程费+措施费（不包含安全文明施工费）+安全文明施工费+设计变更、技术洽商新增项目费用+规费+税金+其他项目费+合同约定其它费，具体结算办法如下：</w:t>
      </w:r>
    </w:p>
    <w:p w14:paraId="55A3531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（1）分部分项工程费：</w:t>
      </w:r>
    </w:p>
    <w:p w14:paraId="61CC4224">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分部分项工程费按成交综合单价乘以实际完成工程量结算。实际完成工程量按《建设工程工程量清单计价规范》(GB50500-2013)、《重庆市建设工程工程量计算规则》(GQJLGZ-2013)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房屋建筑与装饰工程工程量计算规范》(GB50854-2013)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《通用安装工程工程量计算规范》（GB50856-2013）的相关规定执行。</w:t>
      </w:r>
    </w:p>
    <w:p w14:paraId="6F20D2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（2）措施费：</w:t>
      </w:r>
    </w:p>
    <w:p w14:paraId="5A5E185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费（不包含安全文明施工费）不因设计变更、施工工艺变化、施工工序及顺序变化等任何因素而引起调整，也不因工程实施时监理和采购人根据现场实际情况审核的施工组织设计变化而调整，其费用均按成交金额结算。</w:t>
      </w:r>
    </w:p>
    <w:p w14:paraId="00B446E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（3）设计变更、技术洽商新增项目费用：</w:t>
      </w:r>
    </w:p>
    <w:p w14:paraId="5D9DA88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由于设计变更或技术洽商出现新增项目，由乙方在该项目发生后2天内提出价款调整计算书，经监理工程师审核后，报经现场代表及采购人审核同意，才可进行新增项目价款调整，否则视为乙方放弃该费用，结算不予计入。新增项目综合单价确定办法如下：</w:t>
      </w:r>
    </w:p>
    <w:p w14:paraId="3A949D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①成交价工程量清单中已有类似的工程项目，结算时类似项目只调整综合单价组成中发生变化的</w:t>
      </w:r>
    </w:p>
    <w:p w14:paraId="21C69AB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主要材料价差，其余人工、机械、间接费用及辅材费用不变。主要材料价差由监理、采购人共同核定的材料价格（其中最低者）与乙方的成交材料价的差值。其中工程消耗量的计算，若</w:t>
      </w:r>
      <w:r>
        <w:rPr>
          <w:rFonts w:hint="eastAsia" w:ascii="宋体" w:hAnsi="宋体" w:eastAsia="宋体" w:cs="宋体"/>
          <w:color w:val="auto"/>
          <w:sz w:val="24"/>
          <w:szCs w:val="24"/>
          <w:highlight w:val="none"/>
          <w:lang w:val="en-US" w:eastAsia="zh-CN"/>
        </w:rPr>
        <w:t>竞选</w:t>
      </w:r>
      <w:r>
        <w:rPr>
          <w:rFonts w:hint="eastAsia" w:ascii="宋体" w:hAnsi="宋体" w:eastAsia="宋体" w:cs="宋体"/>
          <w:color w:val="auto"/>
          <w:sz w:val="24"/>
          <w:szCs w:val="24"/>
          <w:highlight w:val="none"/>
        </w:rPr>
        <w:t>时的消耗量小于定额预算量，以</w:t>
      </w:r>
      <w:r>
        <w:rPr>
          <w:rFonts w:hint="eastAsia" w:ascii="宋体" w:hAnsi="宋体" w:eastAsia="宋体" w:cs="宋体"/>
          <w:color w:val="auto"/>
          <w:sz w:val="24"/>
          <w:szCs w:val="24"/>
          <w:highlight w:val="none"/>
          <w:lang w:val="en-US" w:eastAsia="zh-CN"/>
        </w:rPr>
        <w:t>竞选</w:t>
      </w:r>
      <w:r>
        <w:rPr>
          <w:rFonts w:hint="eastAsia" w:ascii="宋体" w:hAnsi="宋体" w:eastAsia="宋体" w:cs="宋体"/>
          <w:color w:val="auto"/>
          <w:sz w:val="24"/>
          <w:szCs w:val="24"/>
          <w:highlight w:val="none"/>
        </w:rPr>
        <w:t>的消耗量为准；若</w:t>
      </w:r>
      <w:r>
        <w:rPr>
          <w:rFonts w:hint="eastAsia" w:ascii="宋体" w:hAnsi="宋体" w:eastAsia="宋体" w:cs="宋体"/>
          <w:color w:val="auto"/>
          <w:sz w:val="24"/>
          <w:szCs w:val="24"/>
          <w:highlight w:val="none"/>
          <w:lang w:val="en-US" w:eastAsia="zh-CN"/>
        </w:rPr>
        <w:t>竞选</w:t>
      </w:r>
      <w:r>
        <w:rPr>
          <w:rFonts w:hint="eastAsia" w:ascii="宋体" w:hAnsi="宋体" w:eastAsia="宋体" w:cs="宋体"/>
          <w:color w:val="auto"/>
          <w:sz w:val="24"/>
          <w:szCs w:val="24"/>
          <w:highlight w:val="none"/>
        </w:rPr>
        <w:t>消耗量大于定额消耗量，以定额消耗量为准。</w:t>
      </w:r>
    </w:p>
    <w:p w14:paraId="79BF993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②成交价工程量清单中没有适用或类似的工程项目，按照</w:t>
      </w:r>
      <w:r>
        <w:rPr>
          <w:rFonts w:hint="eastAsia" w:ascii="宋体" w:hAnsi="宋体" w:eastAsia="宋体" w:cs="宋体"/>
          <w:color w:val="auto"/>
          <w:sz w:val="24"/>
          <w:szCs w:val="24"/>
          <w:highlight w:val="none"/>
          <w:lang w:eastAsia="zh-CN"/>
        </w:rPr>
        <w:t>《建设工程工程量清单计价规范》（GB50500-2013）、《重庆市建设工程工程量清单计价规则》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CQJJGZ-2013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、《重庆市建设工程工程量计算规则》(GQJLGZ-2013)、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房屋建筑与装饰工程工程量计算规范》(GB50854-2013)、《通用安装工程工程量计算规范》（GB50856-2013）、</w:t>
      </w:r>
      <w:r>
        <w:rPr>
          <w:rFonts w:hint="eastAsia" w:ascii="宋体" w:hAnsi="宋体" w:eastAsia="宋体" w:cs="宋体"/>
          <w:color w:val="auto"/>
          <w:sz w:val="24"/>
          <w:szCs w:val="24"/>
          <w:highlight w:val="none"/>
          <w:lang w:val="en-US" w:eastAsia="zh-CN"/>
        </w:rPr>
        <w:t>《重庆市房屋建筑与装饰工程计价定额》(CQJZZSDE-2018)、《重庆市房屋修缮工程计价定额》（CQXSDE-2018）、《重庆市通用安装工程计价定额》（CQAZDE-2018）、</w:t>
      </w:r>
      <w:r>
        <w:rPr>
          <w:rFonts w:hint="eastAsia" w:ascii="宋体" w:hAnsi="宋体" w:eastAsia="宋体" w:cs="宋体"/>
          <w:color w:val="auto"/>
          <w:sz w:val="24"/>
          <w:szCs w:val="24"/>
          <w:highlight w:val="none"/>
          <w:lang w:eastAsia="zh-CN"/>
        </w:rPr>
        <w:t>《重庆市建设工程费用定额》（CQFYDE-2018）</w:t>
      </w:r>
      <w:r>
        <w:rPr>
          <w:rFonts w:hint="eastAsia" w:ascii="宋体" w:hAnsi="宋体" w:eastAsia="宋体" w:cs="宋体"/>
          <w:color w:val="auto"/>
          <w:sz w:val="24"/>
          <w:szCs w:val="24"/>
          <w:highlight w:val="none"/>
          <w:lang w:val="en-US" w:eastAsia="zh-CN"/>
        </w:rPr>
        <w:t>、《重庆市住房和城乡建设委员会关于适用增值税新税率调整建设工程计价依据的通知》（渝建发〔2019〕143号）、《2018年重庆市建设工程计价定额综合解释》（渝建价发〔2019〕16号）</w:t>
      </w:r>
      <w:r>
        <w:rPr>
          <w:rFonts w:hint="eastAsia" w:ascii="宋体" w:hAnsi="宋体" w:eastAsia="宋体" w:cs="宋体"/>
          <w:color w:val="auto"/>
          <w:sz w:val="24"/>
          <w:szCs w:val="24"/>
          <w:highlight w:val="none"/>
        </w:rPr>
        <w:t>及其配套文件执行。其中，人工、材料、机械的价格按照成交价格表中相同人工、材料、机械的最低单价执行，若成交价格表中没有相同的人工、材料、机械，人工单价参照施工当季（以开工日期为准）《重庆工程造价信息》上同种人工价格；材料、机械单价参照施工当期（以开工日期为准）《重庆工程造价信息》上同种材料、机械单价（不含税价）执行，若《重庆工程造价信息》上没有的人工、材料、机械价格由监理、采购人共同核定的材料价格（其中最低者）核定的人工、材料、机械单价执行；企业管理费和利润按成交人申请报价中的标准执行，但不得高于重庆市2018定额中的定额消耗量。新增项目综合单价须下浮10%（其中认质认价材料不下浮）。</w:t>
      </w:r>
    </w:p>
    <w:p w14:paraId="4498FA2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（4）安全文明施工费：按渝建发【2016】35号、渝建【2018】195号、渝建【2019】143号和《重庆市建设工程费用定额》（CQFYDE-2018）标准执行；</w:t>
      </w:r>
    </w:p>
    <w:p w14:paraId="6AA2C78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（5）规费、税金等不可竞争费用费率必须按照国家现行规定标准费率按实计取。</w:t>
      </w:r>
    </w:p>
    <w:p w14:paraId="40D410A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（6）其他项目费：以实际发生额为准，再计取规费和税金。</w:t>
      </w:r>
    </w:p>
    <w:p w14:paraId="0FB2255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（7）办理结算时，若审减额&gt;送审结算金额的5%，则审减效益费全部由成交人承担。</w:t>
      </w:r>
    </w:p>
    <w:p w14:paraId="5D8D9CB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（8）本工程结算价款，以</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人或委托的第三方中介机构审定的金额为最终结算依据。</w:t>
      </w:r>
    </w:p>
    <w:p w14:paraId="67925992">
      <w:pPr>
        <w:snapToGrid w:val="0"/>
        <w:spacing w:line="360" w:lineRule="auto"/>
        <w:rPr>
          <w:rFonts w:hint="eastAsia" w:ascii="宋体" w:hAnsi="宋体" w:eastAsia="宋体" w:cs="宋体"/>
          <w:b/>
          <w:bCs/>
          <w:color w:val="auto"/>
          <w:sz w:val="24"/>
          <w:szCs w:val="24"/>
          <w:highlight w:val="none"/>
          <w:lang w:val="en-US" w:eastAsia="zh-CN"/>
        </w:rPr>
      </w:pPr>
      <w:bookmarkStart w:id="76" w:name="_Toc23913"/>
      <w:bookmarkStart w:id="77" w:name="_Toc17787"/>
      <w:bookmarkStart w:id="78" w:name="_Toc17602"/>
      <w:bookmarkStart w:id="79" w:name="_Toc20722"/>
      <w:bookmarkStart w:id="80" w:name="_Toc32687"/>
      <w:r>
        <w:rPr>
          <w:rFonts w:hint="eastAsia" w:ascii="宋体" w:hAnsi="宋体" w:eastAsia="宋体" w:cs="宋体"/>
          <w:b/>
          <w:bCs/>
          <w:color w:val="auto"/>
          <w:sz w:val="24"/>
          <w:szCs w:val="24"/>
          <w:highlight w:val="none"/>
          <w:lang w:val="en-US" w:eastAsia="zh-CN"/>
        </w:rPr>
        <w:t>四、</w:t>
      </w:r>
      <w:bookmarkEnd w:id="76"/>
      <w:bookmarkEnd w:id="77"/>
      <w:bookmarkEnd w:id="78"/>
      <w:bookmarkEnd w:id="79"/>
      <w:r>
        <w:rPr>
          <w:rFonts w:hint="eastAsia" w:ascii="宋体" w:hAnsi="宋体" w:eastAsia="宋体" w:cs="宋体"/>
          <w:b/>
          <w:bCs/>
          <w:color w:val="auto"/>
          <w:sz w:val="24"/>
          <w:szCs w:val="24"/>
          <w:highlight w:val="none"/>
          <w:lang w:val="en-US" w:eastAsia="zh-CN"/>
        </w:rPr>
        <w:t>验收方式</w:t>
      </w:r>
      <w:bookmarkEnd w:id="80"/>
    </w:p>
    <w:p w14:paraId="11A2EE00">
      <w:pPr>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81" w:name="_Toc17175"/>
      <w:bookmarkStart w:id="82" w:name="_Toc14156"/>
      <w:bookmarkStart w:id="83" w:name="_Toc7803"/>
      <w:bookmarkStart w:id="84" w:name="_Toc267320054"/>
      <w:bookmarkStart w:id="85" w:name="_Toc20016"/>
      <w:r>
        <w:rPr>
          <w:rFonts w:hint="eastAsia" w:ascii="宋体" w:hAnsi="宋体" w:eastAsia="宋体" w:cs="宋体"/>
          <w:color w:val="auto"/>
          <w:sz w:val="24"/>
          <w:szCs w:val="24"/>
          <w:highlight w:val="none"/>
          <w:lang w:val="en-US" w:eastAsia="zh-CN"/>
        </w:rPr>
        <w:t>1.有关材料到货后成交人应通知采购人对货物进行验收，货到验收时如与招标承诺的要求不一致，采购人可拒绝收货，成交人应负责赔偿采购人由此造成的一切损失。设备和材料验收合格后才能进行后续施工工作。</w:t>
      </w:r>
    </w:p>
    <w:p w14:paraId="6BC5387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2.工程施工及验收，成交人应派遣有丰富经验和相应能力的工程师进行现场组织施工，并对施工操作不当或错误所导致的直接损失和间接损失承担全部赔偿责任。</w:t>
      </w:r>
    </w:p>
    <w:p w14:paraId="4CA4849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3.施工过程应遵照现行国家有关及规程规范进行施工，按照有关要求进行检查验收。成交人提供所有设备和材料应有完善的质量检测手段和质量保证体系，必须符合国家标准和行业标准。</w:t>
      </w:r>
    </w:p>
    <w:p w14:paraId="6ED38552">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4.本项目为交钥匙工程，工程完工后，按国家相关标准验收程序和规程进行验收，验收合格后双方认可签字。验收的相关费用由成交人负责。</w:t>
      </w:r>
    </w:p>
    <w:p w14:paraId="510DF532">
      <w:pPr>
        <w:pStyle w:val="4"/>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五、付款方式</w:t>
      </w:r>
    </w:p>
    <w:p w14:paraId="76A3F0D6">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1、工程竣工验收合格后，以发包人会同监理人（如有）、承包人根据有效资料共同确定竣工结算金额作为合同竣工结算价并支付至最终审定金额的97%。</w:t>
      </w:r>
    </w:p>
    <w:p w14:paraId="590ABB65">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2、质保到期后支付剩余款项。</w:t>
      </w:r>
    </w:p>
    <w:p w14:paraId="34C40C31">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3、施工单位要做好材料供应商及农民工工资支付。</w:t>
      </w:r>
    </w:p>
    <w:bookmarkEnd w:id="81"/>
    <w:bookmarkEnd w:id="82"/>
    <w:bookmarkEnd w:id="83"/>
    <w:bookmarkEnd w:id="84"/>
    <w:bookmarkEnd w:id="85"/>
    <w:p w14:paraId="7366F315">
      <w:pPr>
        <w:snapToGrid w:val="0"/>
        <w:spacing w:line="360" w:lineRule="auto"/>
        <w:rPr>
          <w:rFonts w:hint="eastAsia" w:ascii="宋体" w:hAnsi="宋体" w:eastAsia="宋体" w:cs="宋体"/>
          <w:color w:val="auto"/>
          <w:sz w:val="24"/>
          <w:szCs w:val="24"/>
          <w:highlight w:val="none"/>
          <w:lang w:val="en-US" w:eastAsia="zh-CN"/>
        </w:rPr>
      </w:pPr>
      <w:bookmarkStart w:id="86" w:name="_Toc9487"/>
      <w:bookmarkStart w:id="87" w:name="_Toc21124"/>
      <w:bookmarkStart w:id="88" w:name="_Toc518910008"/>
      <w:bookmarkStart w:id="89" w:name="_Toc527389144"/>
      <w:bookmarkStart w:id="90" w:name="_Toc529868531"/>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六、缺陷责任期</w:t>
      </w:r>
      <w:bookmarkEnd w:id="86"/>
      <w:bookmarkEnd w:id="87"/>
      <w:bookmarkEnd w:id="88"/>
      <w:bookmarkEnd w:id="89"/>
      <w:bookmarkEnd w:id="90"/>
    </w:p>
    <w:p w14:paraId="7C3A6702">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1.工程质保期需满足重庆市建设工程质量监督总站监制《重庆市建设工程质量保修书》相关要求，缺陷责任期为2年。</w:t>
      </w:r>
    </w:p>
    <w:p w14:paraId="5FF5448B">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2.保修期内，施工质量缺陷的维护及维修（非人为损坏）均为免费。</w:t>
      </w:r>
    </w:p>
    <w:p w14:paraId="7814CB43">
      <w:pPr>
        <w:snapToGrid w:val="0"/>
        <w:spacing w:line="360" w:lineRule="auto"/>
        <w:rPr>
          <w:rFonts w:hint="eastAsia" w:ascii="宋体" w:hAnsi="宋体" w:eastAsia="宋体" w:cs="宋体"/>
          <w:b/>
          <w:bCs/>
          <w:color w:val="auto"/>
          <w:sz w:val="24"/>
          <w:szCs w:val="24"/>
          <w:highlight w:val="none"/>
          <w:lang w:val="en-US" w:eastAsia="zh-CN"/>
        </w:rPr>
      </w:pPr>
      <w:bookmarkStart w:id="91" w:name="_Toc344475124"/>
      <w:bookmarkStart w:id="92" w:name="_Toc6436"/>
      <w:bookmarkStart w:id="93" w:name="_Toc525807947"/>
      <w:bookmarkStart w:id="94" w:name="_Toc31284"/>
      <w:bookmarkStart w:id="95" w:name="_Toc525652397"/>
      <w:bookmarkStart w:id="96" w:name="_Toc525643076"/>
      <w:bookmarkStart w:id="97" w:name="_Toc525932964"/>
      <w:r>
        <w:rPr>
          <w:rFonts w:hint="eastAsia" w:ascii="宋体" w:hAnsi="宋体" w:eastAsia="宋体" w:cs="宋体"/>
          <w:b/>
          <w:bCs/>
          <w:color w:val="auto"/>
          <w:sz w:val="24"/>
          <w:szCs w:val="24"/>
          <w:highlight w:val="none"/>
          <w:lang w:val="en-US" w:eastAsia="zh-CN"/>
        </w:rPr>
        <w:t>七、</w:t>
      </w:r>
      <w:bookmarkEnd w:id="91"/>
      <w:bookmarkStart w:id="98" w:name="_Toc344475125"/>
      <w:r>
        <w:rPr>
          <w:rFonts w:hint="eastAsia" w:ascii="宋体" w:hAnsi="宋体" w:eastAsia="宋体" w:cs="宋体"/>
          <w:b/>
          <w:bCs/>
          <w:color w:val="auto"/>
          <w:sz w:val="24"/>
          <w:szCs w:val="24"/>
          <w:highlight w:val="none"/>
          <w:lang w:val="en-US" w:eastAsia="zh-CN"/>
        </w:rPr>
        <w:t>其他</w:t>
      </w:r>
      <w:bookmarkEnd w:id="92"/>
      <w:bookmarkEnd w:id="93"/>
      <w:bookmarkEnd w:id="94"/>
      <w:bookmarkEnd w:id="95"/>
      <w:bookmarkEnd w:id="96"/>
      <w:bookmarkEnd w:id="97"/>
    </w:p>
    <w:bookmarkEnd w:id="98"/>
    <w:p w14:paraId="0377AAB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1.供应商必须在响应文件中对以上条款和服务承诺明确列出，承诺内容必须达到本篇及招标其他条款的要求。</w:t>
      </w:r>
    </w:p>
    <w:p w14:paraId="7E4D610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2.其他未尽事宜由供需双方在采购合同中详细约定。</w:t>
      </w:r>
    </w:p>
    <w:p w14:paraId="6173420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3EBB2F3">
      <w:pPr>
        <w:pStyle w:val="2"/>
        <w:bidi w:val="0"/>
        <w:rPr>
          <w:rFonts w:hint="eastAsia" w:ascii="宋体" w:hAnsi="宋体" w:eastAsia="宋体" w:cs="宋体"/>
          <w:color w:val="auto"/>
          <w:sz w:val="36"/>
          <w:szCs w:val="36"/>
          <w:highlight w:val="none"/>
        </w:rPr>
      </w:pPr>
      <w:bookmarkStart w:id="99" w:name="_Toc11767"/>
      <w:r>
        <w:rPr>
          <w:rFonts w:hint="eastAsia" w:ascii="宋体" w:hAnsi="宋体" w:eastAsia="宋体" w:cs="宋体"/>
          <w:color w:val="auto"/>
          <w:sz w:val="36"/>
          <w:szCs w:val="36"/>
          <w:highlight w:val="none"/>
        </w:rPr>
        <w:t>第四篇 资格审查及评审办法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99"/>
    </w:p>
    <w:p w14:paraId="02002E33">
      <w:pPr>
        <w:pStyle w:val="3"/>
        <w:bidi w:val="0"/>
        <w:rPr>
          <w:rFonts w:hint="eastAsia" w:ascii="宋体" w:hAnsi="宋体" w:eastAsia="宋体" w:cs="宋体"/>
          <w:color w:val="auto"/>
          <w:sz w:val="24"/>
          <w:szCs w:val="24"/>
          <w:highlight w:val="none"/>
        </w:rPr>
      </w:pPr>
      <w:bookmarkStart w:id="100" w:name="_Toc14564"/>
      <w:bookmarkStart w:id="101" w:name="_Toc20541"/>
      <w:bookmarkStart w:id="102" w:name="_Toc27081"/>
      <w:bookmarkStart w:id="103" w:name="_Toc75793518"/>
      <w:bookmarkStart w:id="104" w:name="_Toc28903"/>
      <w:bookmarkStart w:id="105" w:name="_Toc1497"/>
      <w:bookmarkStart w:id="106" w:name="_Toc26309"/>
      <w:bookmarkStart w:id="107" w:name="_Toc21859"/>
      <w:bookmarkStart w:id="108" w:name="_Toc4071"/>
      <w:bookmarkStart w:id="109" w:name="_Toc28360"/>
      <w:bookmarkStart w:id="110" w:name="_Toc29755"/>
      <w:bookmarkStart w:id="111" w:name="_Toc12641"/>
      <w:bookmarkStart w:id="112" w:name="_Toc25971"/>
      <w:bookmarkStart w:id="113" w:name="_Toc23973"/>
      <w:bookmarkStart w:id="114" w:name="_Toc8983"/>
      <w:bookmarkStart w:id="115" w:name="_Toc1763"/>
      <w:bookmarkStart w:id="116" w:name="_Toc106030394"/>
      <w:bookmarkStart w:id="117" w:name="_Toc10960"/>
      <w:bookmarkStart w:id="118" w:name="_Toc10022"/>
      <w:bookmarkStart w:id="119" w:name="_Toc15440"/>
      <w:r>
        <w:rPr>
          <w:rFonts w:hint="eastAsia" w:ascii="宋体" w:hAnsi="宋体" w:eastAsia="宋体" w:cs="宋体"/>
          <w:color w:val="auto"/>
          <w:sz w:val="24"/>
          <w:szCs w:val="24"/>
          <w:highlight w:val="none"/>
        </w:rPr>
        <w:t>一、资格审查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宋体" w:hAnsi="宋体" w:eastAsia="宋体" w:cs="宋体"/>
          <w:color w:val="auto"/>
          <w:sz w:val="24"/>
          <w:szCs w:val="24"/>
          <w:highlight w:val="none"/>
        </w:rPr>
        <w:t>及符合性审查</w:t>
      </w:r>
      <w:bookmarkEnd w:id="115"/>
      <w:bookmarkEnd w:id="116"/>
      <w:bookmarkEnd w:id="117"/>
      <w:bookmarkEnd w:id="118"/>
      <w:bookmarkEnd w:id="119"/>
    </w:p>
    <w:p w14:paraId="4160EBC1">
      <w:pPr>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若未通过资格审查及符合性审查的</w:t>
      </w:r>
      <w:r>
        <w:rPr>
          <w:rFonts w:hint="eastAsia" w:ascii="宋体" w:hAnsi="宋体" w:eastAsia="宋体" w:cs="宋体"/>
          <w:bCs/>
          <w:color w:val="auto"/>
          <w:sz w:val="24"/>
          <w:szCs w:val="24"/>
          <w:highlight w:val="none"/>
          <w:lang w:eastAsia="zh-CN"/>
        </w:rPr>
        <w:t>竞选文件</w:t>
      </w:r>
      <w:r>
        <w:rPr>
          <w:rFonts w:hint="eastAsia" w:ascii="宋体" w:hAnsi="宋体" w:eastAsia="宋体" w:cs="宋体"/>
          <w:bCs/>
          <w:color w:val="auto"/>
          <w:sz w:val="24"/>
          <w:szCs w:val="24"/>
          <w:highlight w:val="none"/>
        </w:rPr>
        <w:t>，不进入评审环节。</w:t>
      </w:r>
    </w:p>
    <w:p w14:paraId="4A24456D">
      <w:pPr>
        <w:snapToGrid w:val="0"/>
        <w:spacing w:line="480" w:lineRule="atLeas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（一）资格审查</w:t>
      </w:r>
    </w:p>
    <w:p w14:paraId="36742757">
      <w:pPr>
        <w:snapToGrid w:val="0"/>
        <w:spacing w:line="4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竞选文件</w:t>
      </w:r>
      <w:r>
        <w:rPr>
          <w:rFonts w:hint="eastAsia" w:ascii="宋体" w:hAnsi="宋体" w:eastAsia="宋体" w:cs="宋体"/>
          <w:color w:val="auto"/>
          <w:kern w:val="0"/>
          <w:sz w:val="24"/>
          <w:szCs w:val="24"/>
          <w:highlight w:val="none"/>
        </w:rPr>
        <w:t>中的资格证明文件进行审查。资格审查资料表如下：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7D3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96EF3A">
            <w:pPr>
              <w:spacing w:line="480" w:lineRule="atLeas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827" w:type="dxa"/>
            <w:gridSpan w:val="2"/>
            <w:vAlign w:val="center"/>
          </w:tcPr>
          <w:p w14:paraId="13A1C7F6">
            <w:pPr>
              <w:spacing w:line="480" w:lineRule="atLeas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984" w:type="dxa"/>
            <w:vAlign w:val="center"/>
          </w:tcPr>
          <w:p w14:paraId="4BF313A8">
            <w:pPr>
              <w:spacing w:line="480" w:lineRule="atLeas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0901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F3DA904">
            <w:pPr>
              <w:spacing w:line="48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09" w:type="dxa"/>
            <w:vMerge w:val="restart"/>
            <w:vAlign w:val="center"/>
          </w:tcPr>
          <w:p w14:paraId="1E92DC7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基本资格条件</w:t>
            </w:r>
          </w:p>
        </w:tc>
        <w:tc>
          <w:tcPr>
            <w:tcW w:w="3118" w:type="dxa"/>
            <w:vAlign w:val="center"/>
          </w:tcPr>
          <w:p w14:paraId="4A07724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984" w:type="dxa"/>
            <w:vAlign w:val="center"/>
          </w:tcPr>
          <w:p w14:paraId="3E7C1C3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05427AA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法定代表人身份证明和法定代表人授权代表委托书。</w:t>
            </w:r>
          </w:p>
        </w:tc>
      </w:tr>
      <w:tr w14:paraId="22D2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8CAA81E">
            <w:pPr>
              <w:spacing w:line="480" w:lineRule="atLeast"/>
              <w:jc w:val="center"/>
              <w:rPr>
                <w:rFonts w:hint="eastAsia" w:ascii="宋体" w:hAnsi="宋体" w:eastAsia="宋体" w:cs="宋体"/>
                <w:color w:val="auto"/>
                <w:sz w:val="24"/>
                <w:szCs w:val="24"/>
                <w:highlight w:val="none"/>
              </w:rPr>
            </w:pPr>
          </w:p>
        </w:tc>
        <w:tc>
          <w:tcPr>
            <w:tcW w:w="709" w:type="dxa"/>
            <w:vMerge w:val="continue"/>
            <w:vAlign w:val="center"/>
          </w:tcPr>
          <w:p w14:paraId="7974A387">
            <w:pPr>
              <w:rPr>
                <w:rFonts w:hint="eastAsia" w:ascii="宋体" w:hAnsi="宋体" w:eastAsia="宋体" w:cs="宋体"/>
                <w:color w:val="auto"/>
                <w:sz w:val="24"/>
                <w:szCs w:val="24"/>
                <w:highlight w:val="none"/>
                <w:lang w:val="zh-CN"/>
              </w:rPr>
            </w:pPr>
          </w:p>
        </w:tc>
        <w:tc>
          <w:tcPr>
            <w:tcW w:w="3118" w:type="dxa"/>
            <w:vAlign w:val="center"/>
          </w:tcPr>
          <w:p w14:paraId="28CCA9D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984" w:type="dxa"/>
            <w:vMerge w:val="restart"/>
            <w:vAlign w:val="center"/>
          </w:tcPr>
          <w:p w14:paraId="0BFF73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提供“基本资格条件承诺函”（格式详见第六篇）</w:t>
            </w:r>
          </w:p>
          <w:p w14:paraId="503ED96E">
            <w:pPr>
              <w:rPr>
                <w:rFonts w:hint="eastAsia" w:ascii="宋体" w:hAnsi="宋体" w:eastAsia="宋体" w:cs="宋体"/>
                <w:b/>
                <w:color w:val="auto"/>
                <w:sz w:val="24"/>
                <w:szCs w:val="24"/>
                <w:highlight w:val="none"/>
              </w:rPr>
            </w:pPr>
          </w:p>
        </w:tc>
      </w:tr>
      <w:tr w14:paraId="0D05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C8D190B">
            <w:pPr>
              <w:spacing w:line="480" w:lineRule="atLeast"/>
              <w:jc w:val="center"/>
              <w:rPr>
                <w:rFonts w:hint="eastAsia" w:ascii="宋体" w:hAnsi="宋体" w:eastAsia="宋体" w:cs="宋体"/>
                <w:color w:val="auto"/>
                <w:sz w:val="24"/>
                <w:szCs w:val="24"/>
                <w:highlight w:val="none"/>
              </w:rPr>
            </w:pPr>
          </w:p>
        </w:tc>
        <w:tc>
          <w:tcPr>
            <w:tcW w:w="709" w:type="dxa"/>
            <w:vMerge w:val="continue"/>
            <w:vAlign w:val="center"/>
          </w:tcPr>
          <w:p w14:paraId="7D145E44">
            <w:pPr>
              <w:rPr>
                <w:rFonts w:hint="eastAsia" w:ascii="宋体" w:hAnsi="宋体" w:eastAsia="宋体" w:cs="宋体"/>
                <w:color w:val="auto"/>
                <w:sz w:val="24"/>
                <w:szCs w:val="24"/>
                <w:highlight w:val="none"/>
                <w:lang w:val="zh-CN"/>
              </w:rPr>
            </w:pPr>
          </w:p>
        </w:tc>
        <w:tc>
          <w:tcPr>
            <w:tcW w:w="3118" w:type="dxa"/>
            <w:vAlign w:val="center"/>
          </w:tcPr>
          <w:p w14:paraId="2D04754B">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984" w:type="dxa"/>
            <w:vMerge w:val="continue"/>
            <w:vAlign w:val="center"/>
          </w:tcPr>
          <w:p w14:paraId="1A292A03">
            <w:pPr>
              <w:rPr>
                <w:rFonts w:hint="eastAsia" w:ascii="宋体" w:hAnsi="宋体" w:eastAsia="宋体" w:cs="宋体"/>
                <w:color w:val="auto"/>
                <w:sz w:val="24"/>
                <w:szCs w:val="24"/>
                <w:highlight w:val="none"/>
              </w:rPr>
            </w:pPr>
          </w:p>
        </w:tc>
      </w:tr>
      <w:tr w14:paraId="51FA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01186BB">
            <w:pPr>
              <w:spacing w:line="480" w:lineRule="atLeast"/>
              <w:jc w:val="center"/>
              <w:rPr>
                <w:rFonts w:hint="eastAsia" w:ascii="宋体" w:hAnsi="宋体" w:eastAsia="宋体" w:cs="宋体"/>
                <w:color w:val="auto"/>
                <w:sz w:val="24"/>
                <w:szCs w:val="24"/>
                <w:highlight w:val="none"/>
              </w:rPr>
            </w:pPr>
          </w:p>
        </w:tc>
        <w:tc>
          <w:tcPr>
            <w:tcW w:w="709" w:type="dxa"/>
            <w:vMerge w:val="continue"/>
            <w:vAlign w:val="center"/>
          </w:tcPr>
          <w:p w14:paraId="44EAA9F1">
            <w:pPr>
              <w:rPr>
                <w:rFonts w:hint="eastAsia" w:ascii="宋体" w:hAnsi="宋体" w:eastAsia="宋体" w:cs="宋体"/>
                <w:color w:val="auto"/>
                <w:sz w:val="24"/>
                <w:szCs w:val="24"/>
                <w:highlight w:val="none"/>
                <w:lang w:val="zh-CN"/>
              </w:rPr>
            </w:pPr>
          </w:p>
        </w:tc>
        <w:tc>
          <w:tcPr>
            <w:tcW w:w="3118" w:type="dxa"/>
            <w:vAlign w:val="center"/>
          </w:tcPr>
          <w:p w14:paraId="0BABDAE5">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984" w:type="dxa"/>
            <w:vMerge w:val="continue"/>
            <w:vAlign w:val="center"/>
          </w:tcPr>
          <w:p w14:paraId="46EF5C95">
            <w:pPr>
              <w:rPr>
                <w:rFonts w:hint="eastAsia" w:ascii="宋体" w:hAnsi="宋体" w:eastAsia="宋体" w:cs="宋体"/>
                <w:color w:val="auto"/>
                <w:sz w:val="24"/>
                <w:szCs w:val="24"/>
                <w:highlight w:val="none"/>
              </w:rPr>
            </w:pPr>
          </w:p>
        </w:tc>
      </w:tr>
      <w:tr w14:paraId="51D9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5DF742B">
            <w:pPr>
              <w:spacing w:line="480" w:lineRule="atLeast"/>
              <w:jc w:val="center"/>
              <w:rPr>
                <w:rFonts w:hint="eastAsia" w:ascii="宋体" w:hAnsi="宋体" w:eastAsia="宋体" w:cs="宋体"/>
                <w:color w:val="auto"/>
                <w:sz w:val="24"/>
                <w:szCs w:val="24"/>
                <w:highlight w:val="none"/>
              </w:rPr>
            </w:pPr>
          </w:p>
        </w:tc>
        <w:tc>
          <w:tcPr>
            <w:tcW w:w="709" w:type="dxa"/>
            <w:vMerge w:val="continue"/>
            <w:vAlign w:val="center"/>
          </w:tcPr>
          <w:p w14:paraId="21C5E153">
            <w:pPr>
              <w:rPr>
                <w:rFonts w:hint="eastAsia" w:ascii="宋体" w:hAnsi="宋体" w:eastAsia="宋体" w:cs="宋体"/>
                <w:color w:val="auto"/>
                <w:sz w:val="24"/>
                <w:szCs w:val="24"/>
                <w:highlight w:val="none"/>
                <w:lang w:val="zh-CN"/>
              </w:rPr>
            </w:pPr>
          </w:p>
        </w:tc>
        <w:tc>
          <w:tcPr>
            <w:tcW w:w="3118" w:type="dxa"/>
            <w:vAlign w:val="center"/>
          </w:tcPr>
          <w:p w14:paraId="0112A92F">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,1)</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4984" w:type="dxa"/>
            <w:vMerge w:val="continue"/>
            <w:vAlign w:val="center"/>
          </w:tcPr>
          <w:p w14:paraId="5ED3423B">
            <w:pPr>
              <w:rPr>
                <w:rFonts w:hint="eastAsia" w:ascii="宋体" w:hAnsi="宋体" w:eastAsia="宋体" w:cs="宋体"/>
                <w:b/>
                <w:color w:val="auto"/>
                <w:sz w:val="24"/>
                <w:szCs w:val="24"/>
                <w:highlight w:val="none"/>
              </w:rPr>
            </w:pPr>
          </w:p>
        </w:tc>
      </w:tr>
      <w:tr w14:paraId="1E5D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2909DFD">
            <w:pPr>
              <w:spacing w:line="480" w:lineRule="atLeast"/>
              <w:jc w:val="center"/>
              <w:rPr>
                <w:rFonts w:hint="eastAsia" w:ascii="宋体" w:hAnsi="宋体" w:eastAsia="宋体" w:cs="宋体"/>
                <w:color w:val="auto"/>
                <w:sz w:val="24"/>
                <w:szCs w:val="24"/>
                <w:highlight w:val="none"/>
              </w:rPr>
            </w:pPr>
          </w:p>
        </w:tc>
        <w:tc>
          <w:tcPr>
            <w:tcW w:w="709" w:type="dxa"/>
            <w:vMerge w:val="continue"/>
            <w:vAlign w:val="center"/>
          </w:tcPr>
          <w:p w14:paraId="3664EBFC">
            <w:pPr>
              <w:rPr>
                <w:rFonts w:hint="eastAsia" w:ascii="宋体" w:hAnsi="宋体" w:eastAsia="宋体" w:cs="宋体"/>
                <w:color w:val="auto"/>
                <w:sz w:val="24"/>
                <w:szCs w:val="24"/>
                <w:highlight w:val="none"/>
              </w:rPr>
            </w:pPr>
          </w:p>
        </w:tc>
        <w:tc>
          <w:tcPr>
            <w:tcW w:w="3118" w:type="dxa"/>
            <w:vAlign w:val="center"/>
          </w:tcPr>
          <w:p w14:paraId="158CC45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984" w:type="dxa"/>
            <w:vAlign w:val="center"/>
          </w:tcPr>
          <w:p w14:paraId="71A2CFF2">
            <w:pPr>
              <w:rPr>
                <w:rFonts w:hint="eastAsia" w:ascii="宋体" w:hAnsi="宋体" w:eastAsia="宋体" w:cs="宋体"/>
                <w:color w:val="auto"/>
                <w:sz w:val="24"/>
                <w:szCs w:val="24"/>
                <w:highlight w:val="none"/>
              </w:rPr>
            </w:pPr>
          </w:p>
        </w:tc>
      </w:tr>
      <w:tr w14:paraId="3836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784C964">
            <w:pPr>
              <w:spacing w:line="480" w:lineRule="atLeast"/>
              <w:jc w:val="center"/>
              <w:rPr>
                <w:rFonts w:hint="eastAsia" w:ascii="宋体" w:hAnsi="宋体" w:eastAsia="宋体" w:cs="宋体"/>
                <w:color w:val="auto"/>
                <w:sz w:val="24"/>
                <w:szCs w:val="24"/>
                <w:highlight w:val="none"/>
              </w:rPr>
            </w:pPr>
          </w:p>
        </w:tc>
        <w:tc>
          <w:tcPr>
            <w:tcW w:w="709" w:type="dxa"/>
            <w:vMerge w:val="continue"/>
            <w:vAlign w:val="center"/>
          </w:tcPr>
          <w:p w14:paraId="4871BF7F">
            <w:pPr>
              <w:rPr>
                <w:rFonts w:hint="eastAsia" w:ascii="宋体" w:hAnsi="宋体" w:eastAsia="宋体" w:cs="宋体"/>
                <w:color w:val="auto"/>
                <w:sz w:val="24"/>
                <w:szCs w:val="24"/>
                <w:highlight w:val="none"/>
              </w:rPr>
            </w:pPr>
          </w:p>
        </w:tc>
        <w:tc>
          <w:tcPr>
            <w:tcW w:w="3118" w:type="dxa"/>
            <w:vAlign w:val="center"/>
          </w:tcPr>
          <w:p w14:paraId="5E8F1CA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本项目的特定资格要求</w:t>
            </w:r>
          </w:p>
        </w:tc>
        <w:tc>
          <w:tcPr>
            <w:tcW w:w="4984" w:type="dxa"/>
            <w:vAlign w:val="center"/>
          </w:tcPr>
          <w:p w14:paraId="5871F5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、投标人资格要求（</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）本项目的特定资格要求”的要求提交。</w:t>
            </w:r>
          </w:p>
        </w:tc>
      </w:tr>
    </w:tbl>
    <w:p w14:paraId="320528AB">
      <w:pPr>
        <w:snapToGrid w:val="0"/>
        <w:spacing w:line="4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3477C57">
      <w:pPr>
        <w:snapToGrid w:val="0"/>
        <w:spacing w:line="4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,1)</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eastAsia="宋体" w:cs="宋体"/>
          <w:color w:val="auto"/>
          <w:kern w:val="0"/>
          <w:sz w:val="24"/>
          <w:szCs w:val="24"/>
          <w:highlight w:val="none"/>
          <w:lang w:eastAsia="zh-CN"/>
        </w:rPr>
        <w:t>竞选人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宋体" w:hAnsi="宋体" w:eastAsia="宋体" w:cs="宋体"/>
          <w:color w:val="auto"/>
          <w:kern w:val="0"/>
          <w:sz w:val="24"/>
          <w:szCs w:val="24"/>
          <w:highlight w:val="none"/>
          <w:lang w:eastAsia="zh-CN"/>
        </w:rPr>
        <w:t>竞选人</w:t>
      </w:r>
      <w:r>
        <w:rPr>
          <w:rFonts w:hint="eastAsia" w:ascii="宋体" w:hAnsi="宋体" w:eastAsia="宋体" w:cs="宋体"/>
          <w:color w:val="auto"/>
          <w:kern w:val="0"/>
          <w:sz w:val="24"/>
          <w:szCs w:val="24"/>
          <w:highlight w:val="none"/>
        </w:rPr>
        <w:t>可于</w:t>
      </w:r>
      <w:r>
        <w:rPr>
          <w:rFonts w:hint="eastAsia" w:ascii="宋体" w:hAnsi="宋体" w:eastAsia="宋体" w:cs="宋体"/>
          <w:color w:val="auto"/>
          <w:kern w:val="0"/>
          <w:sz w:val="24"/>
          <w:szCs w:val="24"/>
          <w:highlight w:val="none"/>
          <w:lang w:val="en-US" w:eastAsia="zh-CN"/>
        </w:rPr>
        <w:t>比选</w:t>
      </w:r>
      <w:r>
        <w:rPr>
          <w:rFonts w:hint="eastAsia" w:ascii="宋体" w:hAnsi="宋体" w:eastAsia="宋体" w:cs="宋体"/>
          <w:color w:val="auto"/>
          <w:kern w:val="0"/>
          <w:sz w:val="24"/>
          <w:szCs w:val="24"/>
          <w:highlight w:val="none"/>
        </w:rPr>
        <w:t>截止日期前通过 “信用中国”网站(www.creditchina.gov.cn)、"中国政府采购网"(www.ccgp.gov.cn)等渠道查询信用记录。</w:t>
      </w:r>
    </w:p>
    <w:p w14:paraId="3200211A">
      <w:pPr>
        <w:snapToGrid w:val="0"/>
        <w:spacing w:line="480" w:lineRule="atLeas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（二）符合性审查</w:t>
      </w:r>
    </w:p>
    <w:p w14:paraId="5F8280C1">
      <w:pPr>
        <w:snapToGrid w:val="0"/>
        <w:spacing w:line="4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color w:val="auto"/>
          <w:kern w:val="0"/>
          <w:sz w:val="24"/>
          <w:szCs w:val="24"/>
          <w:highlight w:val="none"/>
        </w:rPr>
        <w:t>应当对符合资格的</w:t>
      </w:r>
      <w:r>
        <w:rPr>
          <w:rFonts w:hint="eastAsia" w:ascii="宋体" w:hAnsi="宋体" w:eastAsia="宋体" w:cs="宋体"/>
          <w:color w:val="auto"/>
          <w:kern w:val="0"/>
          <w:sz w:val="24"/>
          <w:szCs w:val="24"/>
          <w:highlight w:val="none"/>
          <w:lang w:eastAsia="zh-CN"/>
        </w:rPr>
        <w:t>竞选人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竞选文件</w:t>
      </w:r>
      <w:r>
        <w:rPr>
          <w:rFonts w:hint="eastAsia" w:ascii="宋体" w:hAnsi="宋体" w:eastAsia="宋体" w:cs="宋体"/>
          <w:color w:val="auto"/>
          <w:kern w:val="0"/>
          <w:sz w:val="24"/>
          <w:szCs w:val="24"/>
          <w:highlight w:val="none"/>
        </w:rPr>
        <w:t>进行符合性审查，以确定其是否满足</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的实质性要求。符合性审查资料表如下：</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60"/>
        <w:gridCol w:w="1742"/>
        <w:gridCol w:w="5822"/>
      </w:tblGrid>
      <w:tr w14:paraId="6105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9" w:type="pct"/>
            <w:vAlign w:val="center"/>
          </w:tcPr>
          <w:p w14:paraId="49DECDFE">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625" w:type="pct"/>
            <w:gridSpan w:val="2"/>
            <w:vAlign w:val="center"/>
          </w:tcPr>
          <w:p w14:paraId="6DCC35B1">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2955" w:type="pct"/>
            <w:vAlign w:val="center"/>
          </w:tcPr>
          <w:p w14:paraId="6AA8A875">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70C7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19" w:type="pct"/>
            <w:vMerge w:val="restart"/>
            <w:vAlign w:val="center"/>
          </w:tcPr>
          <w:p w14:paraId="3503D78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41" w:type="pct"/>
            <w:vMerge w:val="restart"/>
            <w:vAlign w:val="center"/>
          </w:tcPr>
          <w:p w14:paraId="3297B90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883" w:type="pct"/>
            <w:vAlign w:val="center"/>
          </w:tcPr>
          <w:p w14:paraId="4055E46C">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签署或盖章</w:t>
            </w:r>
          </w:p>
        </w:tc>
        <w:tc>
          <w:tcPr>
            <w:tcW w:w="2955" w:type="pct"/>
            <w:vAlign w:val="center"/>
          </w:tcPr>
          <w:p w14:paraId="228D7328">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上法定代表人（或其授权代表）或自然人（</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为自然人）的签署或盖章齐全。</w:t>
            </w:r>
          </w:p>
        </w:tc>
      </w:tr>
      <w:tr w14:paraId="4851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19" w:type="pct"/>
            <w:vMerge w:val="continue"/>
            <w:vAlign w:val="center"/>
          </w:tcPr>
          <w:p w14:paraId="3E4D3A08">
            <w:pPr>
              <w:jc w:val="center"/>
              <w:rPr>
                <w:rFonts w:hint="eastAsia" w:ascii="宋体" w:hAnsi="宋体" w:eastAsia="宋体" w:cs="宋体"/>
                <w:color w:val="auto"/>
                <w:kern w:val="0"/>
                <w:sz w:val="24"/>
                <w:szCs w:val="24"/>
                <w:highlight w:val="none"/>
              </w:rPr>
            </w:pPr>
          </w:p>
        </w:tc>
        <w:tc>
          <w:tcPr>
            <w:tcW w:w="741" w:type="pct"/>
            <w:vMerge w:val="continue"/>
            <w:vAlign w:val="center"/>
          </w:tcPr>
          <w:p w14:paraId="6AFB9A80">
            <w:pPr>
              <w:rPr>
                <w:rFonts w:hint="eastAsia" w:ascii="宋体" w:hAnsi="宋体" w:eastAsia="宋体" w:cs="宋体"/>
                <w:color w:val="auto"/>
                <w:kern w:val="0"/>
                <w:sz w:val="24"/>
                <w:szCs w:val="24"/>
                <w:highlight w:val="none"/>
              </w:rPr>
            </w:pPr>
          </w:p>
        </w:tc>
        <w:tc>
          <w:tcPr>
            <w:tcW w:w="883" w:type="pct"/>
            <w:vAlign w:val="center"/>
          </w:tcPr>
          <w:p w14:paraId="76FF797C">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2955" w:type="pct"/>
            <w:vAlign w:val="center"/>
          </w:tcPr>
          <w:p w14:paraId="3B8F7E1A">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C51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19" w:type="pct"/>
            <w:vMerge w:val="continue"/>
            <w:vAlign w:val="center"/>
          </w:tcPr>
          <w:p w14:paraId="571946B7">
            <w:pPr>
              <w:jc w:val="center"/>
              <w:rPr>
                <w:rFonts w:hint="eastAsia" w:ascii="宋体" w:hAnsi="宋体" w:eastAsia="宋体" w:cs="宋体"/>
                <w:color w:val="auto"/>
                <w:kern w:val="0"/>
                <w:sz w:val="24"/>
                <w:szCs w:val="24"/>
                <w:highlight w:val="none"/>
              </w:rPr>
            </w:pPr>
          </w:p>
        </w:tc>
        <w:tc>
          <w:tcPr>
            <w:tcW w:w="741" w:type="pct"/>
            <w:vMerge w:val="continue"/>
            <w:vAlign w:val="center"/>
          </w:tcPr>
          <w:p w14:paraId="405BA461">
            <w:pPr>
              <w:rPr>
                <w:rFonts w:hint="eastAsia" w:ascii="宋体" w:hAnsi="宋体" w:eastAsia="宋体" w:cs="宋体"/>
                <w:color w:val="auto"/>
                <w:kern w:val="0"/>
                <w:sz w:val="24"/>
                <w:szCs w:val="24"/>
                <w:highlight w:val="none"/>
              </w:rPr>
            </w:pPr>
          </w:p>
        </w:tc>
        <w:tc>
          <w:tcPr>
            <w:tcW w:w="883" w:type="pct"/>
            <w:vAlign w:val="center"/>
          </w:tcPr>
          <w:p w14:paraId="01408DF3">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2955" w:type="pct"/>
            <w:vAlign w:val="center"/>
          </w:tcPr>
          <w:p w14:paraId="4D1DC7B6">
            <w:pP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zh-CN"/>
              </w:rPr>
              <w:t>单价和总价均在规定限价内报价；</w:t>
            </w:r>
            <w:r>
              <w:rPr>
                <w:rFonts w:hint="eastAsia" w:ascii="宋体" w:hAnsi="宋体" w:eastAsia="宋体" w:cs="宋体"/>
                <w:color w:val="auto"/>
                <w:sz w:val="24"/>
                <w:szCs w:val="24"/>
                <w:highlight w:val="none"/>
              </w:rPr>
              <w:t>只能有一个有效报价，不得提交选择性报价</w:t>
            </w:r>
            <w:r>
              <w:rPr>
                <w:rFonts w:hint="eastAsia" w:ascii="宋体" w:hAnsi="宋体" w:eastAsia="宋体" w:cs="宋体"/>
                <w:color w:val="auto"/>
                <w:sz w:val="24"/>
                <w:szCs w:val="24"/>
                <w:highlight w:val="none"/>
                <w:lang w:eastAsia="zh-CN"/>
              </w:rPr>
              <w:t>；出现非否决因素的计价错误的，按照“第五篇”规定的修正方式进行修正。</w:t>
            </w:r>
          </w:p>
        </w:tc>
      </w:tr>
      <w:tr w14:paraId="453E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9" w:type="pct"/>
            <w:vAlign w:val="center"/>
          </w:tcPr>
          <w:p w14:paraId="45847F3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41" w:type="pct"/>
            <w:vAlign w:val="center"/>
          </w:tcPr>
          <w:p w14:paraId="2315ECCD">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883" w:type="pct"/>
            <w:vAlign w:val="center"/>
          </w:tcPr>
          <w:p w14:paraId="3961A000">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竞选文件份数</w:t>
            </w:r>
          </w:p>
        </w:tc>
        <w:tc>
          <w:tcPr>
            <w:tcW w:w="2955" w:type="pct"/>
            <w:vAlign w:val="center"/>
          </w:tcPr>
          <w:p w14:paraId="6FC7380F">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满足竞争性比选文件的规定</w:t>
            </w:r>
            <w:r>
              <w:rPr>
                <w:rFonts w:hint="eastAsia" w:ascii="宋体" w:hAnsi="宋体" w:eastAsia="宋体" w:cs="宋体"/>
                <w:color w:val="auto"/>
                <w:sz w:val="24"/>
                <w:szCs w:val="24"/>
                <w:highlight w:val="none"/>
                <w:lang w:val="zh-CN"/>
              </w:rPr>
              <w:t>。</w:t>
            </w:r>
          </w:p>
        </w:tc>
      </w:tr>
      <w:tr w14:paraId="77F7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9" w:type="pct"/>
            <w:vAlign w:val="center"/>
          </w:tcPr>
          <w:p w14:paraId="2BEB0246">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41" w:type="pct"/>
            <w:vAlign w:val="center"/>
          </w:tcPr>
          <w:p w14:paraId="52CD079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p>
        </w:tc>
        <w:tc>
          <w:tcPr>
            <w:tcW w:w="883" w:type="pct"/>
            <w:vAlign w:val="center"/>
          </w:tcPr>
          <w:p w14:paraId="46A58FC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竞选文件</w:t>
            </w:r>
            <w:r>
              <w:rPr>
                <w:rFonts w:hint="eastAsia" w:ascii="宋体" w:hAnsi="宋体" w:eastAsia="宋体" w:cs="宋体"/>
                <w:color w:val="auto"/>
                <w:kern w:val="0"/>
                <w:sz w:val="24"/>
                <w:szCs w:val="24"/>
                <w:highlight w:val="none"/>
              </w:rPr>
              <w:t>内容</w:t>
            </w:r>
          </w:p>
        </w:tc>
        <w:tc>
          <w:tcPr>
            <w:tcW w:w="2955" w:type="pct"/>
            <w:vAlign w:val="center"/>
          </w:tcPr>
          <w:p w14:paraId="424D5D0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第二篇</w:t>
            </w:r>
            <w:r>
              <w:rPr>
                <w:rFonts w:hint="eastAsia" w:ascii="宋体" w:hAnsi="宋体" w:eastAsia="宋体" w:cs="宋体"/>
                <w:color w:val="auto"/>
                <w:kern w:val="0"/>
                <w:sz w:val="24"/>
                <w:szCs w:val="24"/>
                <w:highlight w:val="none"/>
                <w:lang w:val="en-US" w:eastAsia="zh-CN"/>
              </w:rPr>
              <w:t>以“</w:t>
            </w:r>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”标注的</w:t>
            </w:r>
            <w:r>
              <w:rPr>
                <w:rFonts w:hint="eastAsia" w:ascii="宋体" w:hAnsi="宋体" w:eastAsia="宋体" w:cs="宋体"/>
                <w:color w:val="auto"/>
                <w:kern w:val="0"/>
                <w:sz w:val="24"/>
                <w:szCs w:val="24"/>
                <w:highlight w:val="none"/>
              </w:rPr>
              <w:t>内容。</w:t>
            </w:r>
          </w:p>
        </w:tc>
      </w:tr>
      <w:tr w14:paraId="2DEC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9" w:type="pct"/>
            <w:vAlign w:val="center"/>
          </w:tcPr>
          <w:p w14:paraId="58952B43">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41" w:type="pct"/>
            <w:vAlign w:val="center"/>
          </w:tcPr>
          <w:p w14:paraId="662B2B6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tc>
        <w:tc>
          <w:tcPr>
            <w:tcW w:w="883" w:type="pct"/>
            <w:vAlign w:val="center"/>
          </w:tcPr>
          <w:p w14:paraId="43074E1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竞选文件</w:t>
            </w:r>
            <w:r>
              <w:rPr>
                <w:rFonts w:hint="eastAsia" w:ascii="宋体" w:hAnsi="宋体" w:eastAsia="宋体" w:cs="宋体"/>
                <w:color w:val="auto"/>
                <w:kern w:val="0"/>
                <w:sz w:val="24"/>
                <w:szCs w:val="24"/>
                <w:highlight w:val="none"/>
              </w:rPr>
              <w:t>内容</w:t>
            </w:r>
          </w:p>
        </w:tc>
        <w:tc>
          <w:tcPr>
            <w:tcW w:w="2955" w:type="pct"/>
            <w:vAlign w:val="center"/>
          </w:tcPr>
          <w:p w14:paraId="5271F6A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第三篇</w:t>
            </w:r>
            <w:r>
              <w:rPr>
                <w:rFonts w:hint="eastAsia" w:ascii="宋体" w:hAnsi="宋体" w:eastAsia="宋体" w:cs="宋体"/>
                <w:color w:val="auto"/>
                <w:kern w:val="0"/>
                <w:sz w:val="24"/>
                <w:szCs w:val="24"/>
                <w:highlight w:val="none"/>
                <w:lang w:val="en-US" w:eastAsia="zh-CN"/>
              </w:rPr>
              <w:t>以“</w:t>
            </w:r>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”标注的</w:t>
            </w:r>
            <w:r>
              <w:rPr>
                <w:rFonts w:hint="eastAsia" w:ascii="宋体" w:hAnsi="宋体" w:eastAsia="宋体" w:cs="宋体"/>
                <w:color w:val="auto"/>
                <w:kern w:val="0"/>
                <w:sz w:val="24"/>
                <w:szCs w:val="24"/>
                <w:highlight w:val="none"/>
              </w:rPr>
              <w:t>内容。</w:t>
            </w:r>
          </w:p>
        </w:tc>
      </w:tr>
      <w:tr w14:paraId="6045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19" w:type="pct"/>
            <w:vAlign w:val="center"/>
          </w:tcPr>
          <w:p w14:paraId="50ACDDA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41" w:type="pct"/>
            <w:vAlign w:val="center"/>
          </w:tcPr>
          <w:p w14:paraId="51E9D96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比选</w:t>
            </w:r>
            <w:r>
              <w:rPr>
                <w:rFonts w:hint="eastAsia" w:ascii="宋体" w:hAnsi="宋体" w:eastAsia="宋体" w:cs="宋体"/>
                <w:color w:val="auto"/>
                <w:kern w:val="0"/>
                <w:sz w:val="24"/>
                <w:szCs w:val="24"/>
                <w:highlight w:val="none"/>
              </w:rPr>
              <w:t>有效期</w:t>
            </w:r>
          </w:p>
        </w:tc>
        <w:tc>
          <w:tcPr>
            <w:tcW w:w="883" w:type="pct"/>
            <w:vAlign w:val="center"/>
          </w:tcPr>
          <w:p w14:paraId="6527BCC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竞选文件</w:t>
            </w:r>
            <w:r>
              <w:rPr>
                <w:rFonts w:hint="eastAsia" w:ascii="宋体" w:hAnsi="宋体" w:eastAsia="宋体" w:cs="宋体"/>
                <w:color w:val="auto"/>
                <w:kern w:val="0"/>
                <w:sz w:val="24"/>
                <w:szCs w:val="24"/>
                <w:highlight w:val="none"/>
              </w:rPr>
              <w:t>内容</w:t>
            </w:r>
          </w:p>
        </w:tc>
        <w:tc>
          <w:tcPr>
            <w:tcW w:w="2955" w:type="pct"/>
            <w:vAlign w:val="center"/>
          </w:tcPr>
          <w:p w14:paraId="32DF192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竞选文件递交</w:t>
            </w:r>
            <w:r>
              <w:rPr>
                <w:rFonts w:hint="eastAsia" w:ascii="宋体" w:hAnsi="宋体" w:eastAsia="宋体" w:cs="宋体"/>
                <w:color w:val="auto"/>
                <w:kern w:val="0"/>
                <w:sz w:val="24"/>
                <w:szCs w:val="24"/>
                <w:highlight w:val="none"/>
              </w:rPr>
              <w:t>截止时间起90天。</w:t>
            </w:r>
          </w:p>
        </w:tc>
      </w:tr>
    </w:tbl>
    <w:p w14:paraId="09D12567">
      <w:pPr>
        <w:pStyle w:val="3"/>
        <w:bidi w:val="0"/>
        <w:rPr>
          <w:rFonts w:hint="eastAsia" w:ascii="宋体" w:hAnsi="宋体" w:eastAsia="宋体" w:cs="宋体"/>
          <w:color w:val="auto"/>
          <w:sz w:val="24"/>
          <w:szCs w:val="24"/>
          <w:highlight w:val="none"/>
        </w:rPr>
      </w:pPr>
      <w:bookmarkStart w:id="120" w:name="_Toc25341"/>
      <w:bookmarkStart w:id="121" w:name="_Toc5620"/>
      <w:bookmarkStart w:id="122" w:name="_Toc30011"/>
      <w:bookmarkStart w:id="123" w:name="_Toc27633"/>
      <w:bookmarkStart w:id="124" w:name="_Toc9094"/>
      <w:bookmarkStart w:id="125" w:name="_Toc14824"/>
      <w:bookmarkStart w:id="126" w:name="_Toc16405"/>
      <w:bookmarkStart w:id="127" w:name="_Toc28526"/>
      <w:bookmarkStart w:id="128" w:name="_Toc106030395"/>
      <w:bookmarkStart w:id="129" w:name="_Toc75793519"/>
      <w:bookmarkStart w:id="130" w:name="_Toc31997"/>
      <w:bookmarkStart w:id="131" w:name="_Toc20171"/>
      <w:bookmarkStart w:id="132" w:name="_Toc26796"/>
      <w:bookmarkStart w:id="133" w:name="_Toc25222"/>
      <w:bookmarkStart w:id="134" w:name="_Toc30717"/>
      <w:bookmarkStart w:id="135" w:name="_Toc21650"/>
      <w:bookmarkStart w:id="136" w:name="_Toc29140"/>
      <w:bookmarkStart w:id="137" w:name="_Toc27015"/>
      <w:bookmarkStart w:id="138" w:name="_Toc26938"/>
      <w:bookmarkStart w:id="139" w:name="_Toc28549"/>
      <w:r>
        <w:rPr>
          <w:rFonts w:hint="eastAsia" w:ascii="宋体" w:hAnsi="宋体" w:eastAsia="宋体" w:cs="宋体"/>
          <w:color w:val="auto"/>
          <w:sz w:val="24"/>
          <w:szCs w:val="24"/>
          <w:highlight w:val="none"/>
        </w:rPr>
        <w:t>二、评审方法</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E938E31">
      <w:pPr>
        <w:snapToGrid w:val="0"/>
        <w:spacing w:line="4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本项目采用综合评分法进行评审。</w:t>
      </w:r>
    </w:p>
    <w:p w14:paraId="4160865D">
      <w:pPr>
        <w:snapToGrid w:val="0"/>
        <w:spacing w:line="4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综合评分法，是指</w:t>
      </w:r>
      <w:r>
        <w:rPr>
          <w:rFonts w:hint="eastAsia" w:ascii="宋体" w:hAnsi="宋体" w:eastAsia="宋体" w:cs="宋体"/>
          <w:color w:val="auto"/>
          <w:kern w:val="0"/>
          <w:sz w:val="24"/>
          <w:szCs w:val="24"/>
          <w:highlight w:val="none"/>
          <w:lang w:eastAsia="zh-CN"/>
        </w:rPr>
        <w:t>竞选文件</w:t>
      </w:r>
      <w:r>
        <w:rPr>
          <w:rFonts w:hint="eastAsia" w:ascii="宋体" w:hAnsi="宋体" w:eastAsia="宋体" w:cs="宋体"/>
          <w:color w:val="auto"/>
          <w:kern w:val="0"/>
          <w:sz w:val="24"/>
          <w:szCs w:val="24"/>
          <w:highlight w:val="none"/>
        </w:rPr>
        <w:t>满足</w:t>
      </w:r>
      <w:r>
        <w:rPr>
          <w:rFonts w:hint="eastAsia" w:ascii="宋体" w:hAnsi="宋体" w:eastAsia="宋体" w:cs="宋体"/>
          <w:color w:val="auto"/>
          <w:kern w:val="0"/>
          <w:sz w:val="24"/>
          <w:szCs w:val="24"/>
          <w:highlight w:val="none"/>
          <w:lang w:eastAsia="zh-CN"/>
        </w:rPr>
        <w:t>比选文件</w:t>
      </w:r>
      <w:r>
        <w:rPr>
          <w:rFonts w:hint="eastAsia" w:ascii="宋体" w:hAnsi="宋体" w:eastAsia="宋体" w:cs="宋体"/>
          <w:color w:val="auto"/>
          <w:kern w:val="0"/>
          <w:sz w:val="24"/>
          <w:szCs w:val="24"/>
          <w:highlight w:val="none"/>
        </w:rPr>
        <w:t>全部实质性要求且按照评审因素的量化指标评审得分最高的</w:t>
      </w:r>
      <w:r>
        <w:rPr>
          <w:rFonts w:hint="eastAsia" w:ascii="宋体" w:hAnsi="宋体" w:eastAsia="宋体" w:cs="宋体"/>
          <w:color w:val="auto"/>
          <w:kern w:val="0"/>
          <w:sz w:val="24"/>
          <w:szCs w:val="24"/>
          <w:highlight w:val="none"/>
          <w:lang w:eastAsia="zh-CN"/>
        </w:rPr>
        <w:t>竞选人</w:t>
      </w:r>
      <w:r>
        <w:rPr>
          <w:rFonts w:hint="eastAsia" w:ascii="宋体" w:hAnsi="宋体" w:eastAsia="宋体" w:cs="宋体"/>
          <w:color w:val="auto"/>
          <w:kern w:val="0"/>
          <w:sz w:val="24"/>
          <w:szCs w:val="24"/>
          <w:highlight w:val="none"/>
        </w:rPr>
        <w:t>为成交候选人的评审方法。</w:t>
      </w:r>
      <w:r>
        <w:rPr>
          <w:rFonts w:hint="eastAsia" w:ascii="宋体" w:hAnsi="宋体" w:eastAsia="宋体" w:cs="宋体"/>
          <w:color w:val="auto"/>
          <w:kern w:val="0"/>
          <w:sz w:val="24"/>
          <w:szCs w:val="24"/>
          <w:highlight w:val="none"/>
          <w:lang w:eastAsia="zh-CN"/>
        </w:rPr>
        <w:t>竞选人</w:t>
      </w:r>
      <w:r>
        <w:rPr>
          <w:rFonts w:hint="eastAsia" w:ascii="宋体" w:hAnsi="宋体" w:eastAsia="宋体" w:cs="宋体"/>
          <w:color w:val="auto"/>
          <w:kern w:val="0"/>
          <w:sz w:val="24"/>
          <w:szCs w:val="24"/>
          <w:highlight w:val="none"/>
        </w:rPr>
        <w:t>总得分为价格、技术等评定因素分别按照相应权重值计算分项得分后相加，满分为100分。</w:t>
      </w:r>
    </w:p>
    <w:p w14:paraId="73A8D716">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澄清有关问题。对</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中含义不明确、同类问题表述不一致或者有明显文字和计算错误的内容，</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可以书面形式（应当由</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成员签字）要求</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作出必要澄清、说明或者纠正。</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的澄清、说明或者补正应当采用书面形式，由其法定代表人（或其授权代表）或自然人（</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为自然人）签字，其澄清的内容不得超出</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的范围或者改变</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的实质性内容。</w:t>
      </w:r>
    </w:p>
    <w:p w14:paraId="5B9CFF91">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4AB95E58">
      <w:pPr>
        <w:snapToGrid w:val="0"/>
        <w:spacing w:line="48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（一）比较与评价</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中规定的评审方法和标准，对资格审查和符合性审查合格的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进行技术评估。</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各成员独立对每个有效</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（通过资格审查、符合性审查的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进行评价、打分，然后由</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对各成员打分情况进行核查及复核，个别成员对同一</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同一评分项的打分偏离较大的，应对</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进行再次核对，确属打分有误的，应及时进行修正。复核后，</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汇总每个</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每项评分因素的得分。</w:t>
      </w:r>
    </w:p>
    <w:p w14:paraId="4EED7A7E">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（二）推荐成交候选人名单。</w:t>
      </w:r>
    </w:p>
    <w:p w14:paraId="086E53BC">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按评审后得分由高到低的排列顺序推荐综合得分排名</w:t>
      </w:r>
      <w:r>
        <w:rPr>
          <w:rFonts w:hint="eastAsia" w:ascii="宋体" w:hAnsi="宋体" w:eastAsia="宋体" w:cs="宋体"/>
          <w:bCs/>
          <w:color w:val="auto"/>
          <w:sz w:val="24"/>
          <w:szCs w:val="24"/>
          <w:highlight w:val="none"/>
        </w:rPr>
        <w:t>前三</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为本</w:t>
      </w:r>
      <w:r>
        <w:rPr>
          <w:rFonts w:hint="eastAsia" w:ascii="宋体" w:hAnsi="宋体" w:eastAsia="宋体" w:cs="宋体"/>
          <w:color w:val="auto"/>
          <w:sz w:val="24"/>
          <w:szCs w:val="24"/>
          <w:highlight w:val="none"/>
          <w:lang w:val="en-US" w:eastAsia="zh-CN"/>
        </w:rPr>
        <w:t>项目或分包</w:t>
      </w:r>
      <w:r>
        <w:rPr>
          <w:rFonts w:hint="eastAsia" w:ascii="宋体" w:hAnsi="宋体" w:eastAsia="宋体" w:cs="宋体"/>
          <w:color w:val="auto"/>
          <w:sz w:val="24"/>
          <w:szCs w:val="24"/>
          <w:highlight w:val="none"/>
        </w:rPr>
        <w:t>成交候选人，排名第一的为第一成交候选人。得分相同的，按</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报价由低到高顺序排列，得分且</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报价相同的并列，但技术部分得分为0分的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失去成交候选人资格</w:t>
      </w:r>
      <w:r>
        <w:rPr>
          <w:rFonts w:hint="eastAsia" w:ascii="宋体" w:hAnsi="宋体" w:eastAsia="宋体" w:cs="宋体"/>
          <w:color w:val="auto"/>
          <w:sz w:val="24"/>
          <w:szCs w:val="24"/>
          <w:highlight w:val="none"/>
          <w:lang w:eastAsia="zh-CN"/>
        </w:rPr>
        <w:t>，仅保留其有效竞选人身份</w:t>
      </w:r>
      <w:r>
        <w:rPr>
          <w:rFonts w:hint="eastAsia" w:ascii="宋体" w:hAnsi="宋体" w:eastAsia="宋体" w:cs="宋体"/>
          <w:color w:val="auto"/>
          <w:sz w:val="24"/>
          <w:szCs w:val="24"/>
          <w:highlight w:val="none"/>
        </w:rPr>
        <w:t>。</w:t>
      </w:r>
    </w:p>
    <w:p w14:paraId="54501E3A">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rPr>
        <w:t>、或者在</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规定的时间内不提交履约保证金或不签定合同的，</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将依序确定第二成交候选人为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lang w:val="en-US" w:eastAsia="zh-CN"/>
        </w:rPr>
        <w:t>或重新组织比选</w:t>
      </w:r>
      <w:r>
        <w:rPr>
          <w:rFonts w:hint="eastAsia" w:ascii="宋体" w:hAnsi="宋体" w:eastAsia="宋体" w:cs="宋体"/>
          <w:color w:val="auto"/>
          <w:sz w:val="24"/>
          <w:szCs w:val="24"/>
          <w:highlight w:val="none"/>
        </w:rPr>
        <w:t>。</w:t>
      </w:r>
    </w:p>
    <w:p w14:paraId="03AE44B0">
      <w:pPr>
        <w:numPr>
          <w:ilvl w:val="0"/>
          <w:numId w:val="0"/>
        </w:numPr>
        <w:snapToGrid w:val="0"/>
        <w:spacing w:line="480" w:lineRule="atLeast"/>
        <w:ind w:firstLine="482" w:firstLineChars="200"/>
        <w:outlineLvl w:val="1"/>
        <w:rPr>
          <w:rFonts w:hint="eastAsia" w:ascii="宋体" w:hAnsi="宋体" w:eastAsia="宋体" w:cs="宋体"/>
          <w:b/>
          <w:bCs/>
          <w:color w:val="auto"/>
          <w:sz w:val="24"/>
          <w:szCs w:val="24"/>
          <w:highlight w:val="none"/>
        </w:rPr>
      </w:pPr>
      <w:bookmarkStart w:id="140" w:name="_Toc371"/>
      <w:bookmarkStart w:id="141" w:name="_Toc22772"/>
      <w:bookmarkStart w:id="142" w:name="_Toc25919"/>
      <w:bookmarkStart w:id="143" w:name="_Toc20800"/>
      <w:bookmarkStart w:id="144" w:name="_Toc75793520"/>
      <w:bookmarkStart w:id="145" w:name="_Toc6342"/>
      <w:bookmarkStart w:id="146" w:name="_Toc20699"/>
      <w:bookmarkStart w:id="147" w:name="_Toc20875"/>
      <w:bookmarkStart w:id="148" w:name="_Toc15716"/>
      <w:bookmarkStart w:id="149" w:name="_Toc7999"/>
      <w:bookmarkStart w:id="150" w:name="_Toc21142"/>
      <w:bookmarkStart w:id="151" w:name="_Toc4511"/>
      <w:bookmarkStart w:id="152" w:name="_Toc25814"/>
      <w:bookmarkStart w:id="153" w:name="_Toc17311"/>
      <w:bookmarkStart w:id="154" w:name="_Toc106030396"/>
      <w:bookmarkStart w:id="155" w:name="_Toc19924"/>
      <w:bookmarkStart w:id="156" w:name="_Toc17116"/>
      <w:bookmarkStart w:id="157" w:name="_Toc20354"/>
      <w:bookmarkStart w:id="158" w:name="_Toc1055"/>
      <w:bookmarkStart w:id="159" w:name="_Toc5799"/>
      <w:bookmarkStart w:id="160" w:name="_Toc267320057"/>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sz w:val="24"/>
          <w:szCs w:val="24"/>
          <w:highlight w:val="none"/>
        </w:rPr>
        <w:t>评审标准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4F0B4D7">
      <w:pPr>
        <w:numPr>
          <w:ilvl w:val="0"/>
          <w:numId w:val="0"/>
        </w:numPr>
        <w:snapToGrid w:val="0"/>
        <w:spacing w:line="48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（一）评审因素</w:t>
      </w:r>
    </w:p>
    <w:tbl>
      <w:tblPr>
        <w:tblStyle w:val="21"/>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89"/>
        <w:gridCol w:w="1282"/>
        <w:gridCol w:w="800"/>
        <w:gridCol w:w="4453"/>
        <w:gridCol w:w="1871"/>
      </w:tblGrid>
      <w:tr w14:paraId="12D8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23" w:type="dxa"/>
            <w:gridSpan w:val="2"/>
            <w:tcBorders>
              <w:top w:val="single" w:color="auto" w:sz="4" w:space="0"/>
              <w:left w:val="single" w:color="auto" w:sz="4" w:space="0"/>
              <w:bottom w:val="single" w:color="auto" w:sz="4" w:space="0"/>
              <w:right w:val="single" w:color="auto" w:sz="4" w:space="0"/>
            </w:tcBorders>
            <w:noWrap w:val="0"/>
            <w:vAlign w:val="center"/>
          </w:tcPr>
          <w:p w14:paraId="29B5E8F9">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D334F6E">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评分因素及权值</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BD55056">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4453" w:type="dxa"/>
            <w:tcBorders>
              <w:top w:val="single" w:color="auto" w:sz="4" w:space="0"/>
              <w:left w:val="single" w:color="auto" w:sz="4" w:space="0"/>
              <w:bottom w:val="single" w:color="auto" w:sz="4" w:space="0"/>
              <w:right w:val="single" w:color="auto" w:sz="4" w:space="0"/>
            </w:tcBorders>
            <w:noWrap w:val="0"/>
            <w:vAlign w:val="center"/>
          </w:tcPr>
          <w:p w14:paraId="61C925AB">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A9F22CE">
            <w:pPr>
              <w:pStyle w:val="31"/>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说明</w:t>
            </w:r>
          </w:p>
        </w:tc>
      </w:tr>
      <w:tr w14:paraId="06E6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51DA48E0">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483E6881">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经济部分</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D2A121E">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04354D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4453" w:type="dxa"/>
            <w:tcBorders>
              <w:top w:val="single" w:color="auto" w:sz="4" w:space="0"/>
              <w:left w:val="single" w:color="auto" w:sz="4" w:space="0"/>
              <w:bottom w:val="single" w:color="auto" w:sz="4" w:space="0"/>
              <w:right w:val="single" w:color="auto" w:sz="4" w:space="0"/>
            </w:tcBorders>
            <w:noWrap w:val="0"/>
            <w:vAlign w:val="center"/>
          </w:tcPr>
          <w:p w14:paraId="7DB5D08A">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满足资格性、符合性要求且报价最低的竞选人的竞标报价为评标基准价，其价格分为满分。其他竞选人的价格分统一按照下列公式计算：</w:t>
            </w:r>
          </w:p>
          <w:p w14:paraId="45A5C307">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竞标报价得分=（评标基准价/竞标报价）×价格权值×100</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54D697A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计算结果保留两位小数，第三位四舍五入。</w:t>
            </w:r>
          </w:p>
        </w:tc>
      </w:tr>
      <w:tr w14:paraId="5C3D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534" w:type="dxa"/>
            <w:vMerge w:val="restart"/>
            <w:tcBorders>
              <w:top w:val="single" w:color="auto" w:sz="4" w:space="0"/>
              <w:left w:val="single" w:color="auto" w:sz="4" w:space="0"/>
              <w:right w:val="single" w:color="auto" w:sz="4" w:space="0"/>
            </w:tcBorders>
            <w:noWrap w:val="0"/>
            <w:vAlign w:val="center"/>
          </w:tcPr>
          <w:p w14:paraId="67CC42A2">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89" w:type="dxa"/>
            <w:vMerge w:val="restart"/>
            <w:tcBorders>
              <w:top w:val="single" w:color="auto" w:sz="4" w:space="0"/>
              <w:left w:val="single" w:color="auto" w:sz="4" w:space="0"/>
              <w:right w:val="single" w:color="auto" w:sz="4" w:space="0"/>
            </w:tcBorders>
            <w:noWrap w:val="0"/>
            <w:vAlign w:val="center"/>
          </w:tcPr>
          <w:p w14:paraId="2B8DC2D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tc>
        <w:tc>
          <w:tcPr>
            <w:tcW w:w="1282" w:type="dxa"/>
            <w:vMerge w:val="restart"/>
            <w:tcBorders>
              <w:top w:val="single" w:color="auto" w:sz="4" w:space="0"/>
              <w:left w:val="single" w:color="auto" w:sz="4" w:space="0"/>
              <w:right w:val="single" w:color="auto" w:sz="4" w:space="0"/>
            </w:tcBorders>
            <w:noWrap w:val="0"/>
            <w:vAlign w:val="center"/>
          </w:tcPr>
          <w:p w14:paraId="3EB93B8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w:t>
            </w:r>
          </w:p>
        </w:tc>
        <w:tc>
          <w:tcPr>
            <w:tcW w:w="800" w:type="dxa"/>
            <w:tcBorders>
              <w:top w:val="single" w:color="auto" w:sz="4" w:space="0"/>
              <w:left w:val="single" w:color="auto" w:sz="4" w:space="0"/>
              <w:right w:val="single" w:color="auto" w:sz="4" w:space="0"/>
            </w:tcBorders>
            <w:noWrap w:val="0"/>
            <w:vAlign w:val="center"/>
          </w:tcPr>
          <w:p w14:paraId="03A7148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施工方案与技术措施（14分）</w:t>
            </w:r>
          </w:p>
        </w:tc>
        <w:tc>
          <w:tcPr>
            <w:tcW w:w="4453" w:type="dxa"/>
            <w:tcBorders>
              <w:top w:val="single" w:color="auto" w:sz="4" w:space="0"/>
              <w:left w:val="single" w:color="auto" w:sz="4" w:space="0"/>
              <w:right w:val="single" w:color="auto" w:sz="4" w:space="0"/>
            </w:tcBorders>
            <w:noWrap w:val="0"/>
            <w:vAlign w:val="center"/>
          </w:tcPr>
          <w:p w14:paraId="0D949D0D">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本项目施工方案合理且完整，对工程认识深刻、表述全面准确，解决方案系统、安全、经济，可操作性强，保障措施有效，对施工关键技术、工艺把握准确，应用到位，阐释清晰，其主要工程不能出现遗漏，施工工艺符合设计及相关技术规范要求等。</w:t>
            </w:r>
          </w:p>
          <w:p w14:paraId="09D2A672">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方案内容不存在瑕疵得14分。</w:t>
            </w:r>
          </w:p>
          <w:p w14:paraId="4409333C">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方案内容存在1处瑕疵得10分。</w:t>
            </w:r>
          </w:p>
          <w:p w14:paraId="71DB753D">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方案内容存在2处瑕疵得6分。</w:t>
            </w:r>
          </w:p>
          <w:p w14:paraId="00D950C7">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方案内容存在3处瑕疵及以上得2分。</w:t>
            </w:r>
          </w:p>
          <w:p w14:paraId="09C41D48">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不提供得0分。</w:t>
            </w:r>
          </w:p>
        </w:tc>
        <w:tc>
          <w:tcPr>
            <w:tcW w:w="1871" w:type="dxa"/>
            <w:vMerge w:val="restart"/>
            <w:tcBorders>
              <w:top w:val="single" w:color="auto" w:sz="4" w:space="0"/>
              <w:left w:val="single" w:color="auto" w:sz="4" w:space="0"/>
              <w:right w:val="single" w:color="auto" w:sz="4" w:space="0"/>
            </w:tcBorders>
            <w:noWrap w:val="0"/>
            <w:vAlign w:val="center"/>
          </w:tcPr>
          <w:p w14:paraId="44E3789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根据供应商提供的《技术方案》进行综合评分。提供技术方案，格式自拟，并加盖公章。</w:t>
            </w:r>
          </w:p>
          <w:p w14:paraId="5D8F142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备注:技术方案原则上不超过 200 页，但不得将页数作为评审因素。</w:t>
            </w:r>
          </w:p>
          <w:p w14:paraId="691DA9E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项内容中所称的“瑕疵”指方案内容缺项、内容表述不完整或缺少关键分析点，方案不具体，不完善、不完整、不合理、不可靠，现场考虑不充分、可实施程度低、关键性工序考虑不充分，现场实际情况勘查不全面、现状分析不透彻、解决方案不完善、不具体、不合理，方案内容表述前后矛盾、无连贯性，内容存在逻辑漏洞错误等任意一种情形。</w:t>
            </w:r>
          </w:p>
          <w:p w14:paraId="422BBA8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方案中出现不适用本项目特性或非专门针对本项目制定、方案中提出的措施举措不利于本项目目标的实现、现有技术条件下不可能的情形，得0分。</w:t>
            </w:r>
          </w:p>
          <w:p w14:paraId="0D0333A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2.评审专家对每份技术方案独立打分。</w:t>
            </w:r>
          </w:p>
        </w:tc>
      </w:tr>
      <w:tr w14:paraId="6647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34" w:type="dxa"/>
            <w:vMerge w:val="continue"/>
            <w:tcBorders>
              <w:left w:val="single" w:color="auto" w:sz="4" w:space="0"/>
              <w:right w:val="single" w:color="auto" w:sz="4" w:space="0"/>
            </w:tcBorders>
            <w:noWrap w:val="0"/>
            <w:vAlign w:val="center"/>
          </w:tcPr>
          <w:p w14:paraId="76B34E70">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kern w:val="0"/>
                <w:sz w:val="24"/>
                <w:szCs w:val="24"/>
                <w:highlight w:val="none"/>
              </w:rPr>
            </w:pPr>
          </w:p>
        </w:tc>
        <w:tc>
          <w:tcPr>
            <w:tcW w:w="1089" w:type="dxa"/>
            <w:vMerge w:val="continue"/>
            <w:tcBorders>
              <w:left w:val="single" w:color="auto" w:sz="4" w:space="0"/>
              <w:right w:val="single" w:color="auto" w:sz="4" w:space="0"/>
            </w:tcBorders>
            <w:noWrap w:val="0"/>
            <w:vAlign w:val="center"/>
          </w:tcPr>
          <w:p w14:paraId="7822C38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p>
        </w:tc>
        <w:tc>
          <w:tcPr>
            <w:tcW w:w="1282" w:type="dxa"/>
            <w:vMerge w:val="continue"/>
            <w:tcBorders>
              <w:left w:val="single" w:color="auto" w:sz="4" w:space="0"/>
              <w:right w:val="single" w:color="auto" w:sz="4" w:space="0"/>
            </w:tcBorders>
            <w:noWrap w:val="0"/>
            <w:vAlign w:val="center"/>
          </w:tcPr>
          <w:p w14:paraId="76341C8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p>
        </w:tc>
        <w:tc>
          <w:tcPr>
            <w:tcW w:w="800" w:type="dxa"/>
            <w:tcBorders>
              <w:left w:val="single" w:color="auto" w:sz="4" w:space="0"/>
              <w:right w:val="single" w:color="auto" w:sz="4" w:space="0"/>
            </w:tcBorders>
            <w:noWrap w:val="0"/>
            <w:vAlign w:val="center"/>
          </w:tcPr>
          <w:p w14:paraId="0E4E555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质量管理体系与措施（14分）</w:t>
            </w:r>
          </w:p>
        </w:tc>
        <w:tc>
          <w:tcPr>
            <w:tcW w:w="4453" w:type="dxa"/>
            <w:tcBorders>
              <w:top w:val="single" w:color="auto" w:sz="4" w:space="0"/>
              <w:left w:val="single" w:color="auto" w:sz="4" w:space="0"/>
              <w:bottom w:val="single" w:color="auto" w:sz="4" w:space="0"/>
              <w:right w:val="single" w:color="auto" w:sz="4" w:space="0"/>
            </w:tcBorders>
            <w:noWrap w:val="0"/>
            <w:vAlign w:val="center"/>
          </w:tcPr>
          <w:p w14:paraId="6A7D0BD9">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针对本项目的质量管理体系与措施（包括但不限于：施工质量保证体系、质量检查监督机构、并有有效的控制措施和手段等内容）。</w:t>
            </w:r>
          </w:p>
          <w:p w14:paraId="6070A84B">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方案内容不存在瑕疵得14分。</w:t>
            </w:r>
          </w:p>
          <w:p w14:paraId="0E2E705E">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方案内容存在1处瑕疵得10分。</w:t>
            </w:r>
          </w:p>
          <w:p w14:paraId="167CFA31">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方案内容存在2处瑕疵得6分。</w:t>
            </w:r>
          </w:p>
          <w:p w14:paraId="4E7A2AD4">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方案内容存在3处瑕疵及以上得2分。</w:t>
            </w:r>
          </w:p>
          <w:p w14:paraId="70BA86EE">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不提供得0分。</w:t>
            </w:r>
          </w:p>
        </w:tc>
        <w:tc>
          <w:tcPr>
            <w:tcW w:w="1871" w:type="dxa"/>
            <w:vMerge w:val="continue"/>
            <w:tcBorders>
              <w:left w:val="single" w:color="auto" w:sz="4" w:space="0"/>
              <w:right w:val="single" w:color="auto" w:sz="4" w:space="0"/>
            </w:tcBorders>
            <w:noWrap w:val="0"/>
            <w:vAlign w:val="center"/>
          </w:tcPr>
          <w:p w14:paraId="525B4E9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14:paraId="7EF9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534" w:type="dxa"/>
            <w:vMerge w:val="continue"/>
            <w:tcBorders>
              <w:left w:val="single" w:color="auto" w:sz="4" w:space="0"/>
              <w:right w:val="single" w:color="auto" w:sz="4" w:space="0"/>
            </w:tcBorders>
            <w:noWrap w:val="0"/>
            <w:vAlign w:val="center"/>
          </w:tcPr>
          <w:p w14:paraId="1BF07FF1">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kern w:val="0"/>
                <w:sz w:val="24"/>
                <w:szCs w:val="24"/>
                <w:highlight w:val="none"/>
              </w:rPr>
            </w:pPr>
          </w:p>
        </w:tc>
        <w:tc>
          <w:tcPr>
            <w:tcW w:w="1089" w:type="dxa"/>
            <w:vMerge w:val="continue"/>
            <w:tcBorders>
              <w:left w:val="single" w:color="auto" w:sz="4" w:space="0"/>
              <w:right w:val="single" w:color="auto" w:sz="4" w:space="0"/>
            </w:tcBorders>
            <w:noWrap w:val="0"/>
            <w:vAlign w:val="center"/>
          </w:tcPr>
          <w:p w14:paraId="33D2A80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p>
        </w:tc>
        <w:tc>
          <w:tcPr>
            <w:tcW w:w="1282" w:type="dxa"/>
            <w:vMerge w:val="continue"/>
            <w:tcBorders>
              <w:left w:val="single" w:color="auto" w:sz="4" w:space="0"/>
              <w:right w:val="single" w:color="auto" w:sz="4" w:space="0"/>
            </w:tcBorders>
            <w:noWrap w:val="0"/>
            <w:vAlign w:val="center"/>
          </w:tcPr>
          <w:p w14:paraId="0A9C3BB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p>
        </w:tc>
        <w:tc>
          <w:tcPr>
            <w:tcW w:w="800" w:type="dxa"/>
            <w:tcBorders>
              <w:left w:val="single" w:color="auto" w:sz="4" w:space="0"/>
              <w:right w:val="single" w:color="auto" w:sz="4" w:space="0"/>
            </w:tcBorders>
            <w:noWrap w:val="0"/>
            <w:vAlign w:val="center"/>
          </w:tcPr>
          <w:p w14:paraId="31D7746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安全管理体系与措施（14分）</w:t>
            </w:r>
          </w:p>
        </w:tc>
        <w:tc>
          <w:tcPr>
            <w:tcW w:w="4453" w:type="dxa"/>
            <w:tcBorders>
              <w:top w:val="single" w:color="auto" w:sz="4" w:space="0"/>
              <w:left w:val="single" w:color="auto" w:sz="4" w:space="0"/>
              <w:bottom w:val="single" w:color="auto" w:sz="4" w:space="0"/>
              <w:right w:val="single" w:color="auto" w:sz="4" w:space="0"/>
            </w:tcBorders>
            <w:noWrap w:val="0"/>
            <w:vAlign w:val="center"/>
          </w:tcPr>
          <w:p w14:paraId="4176630B">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针对本项目的安全管理体系与措施（包括但不限于建立了施工安全保障体系、施工现场管理人员安全生产职责明确、施工安全保证目标明确、针对工程特点和周边环境，确定危险源并制定具体的防护措施等内容）。</w:t>
            </w:r>
          </w:p>
          <w:p w14:paraId="14998004">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方案内容不存在瑕疵得14分。</w:t>
            </w:r>
          </w:p>
          <w:p w14:paraId="2023EE86">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方案内容存在1处瑕疵得10分。</w:t>
            </w:r>
          </w:p>
          <w:p w14:paraId="21CA49AD">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方案内容存在2处瑕疵得6分。</w:t>
            </w:r>
          </w:p>
          <w:p w14:paraId="320AC794">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方案内容存在3处瑕疵及以上得2分。</w:t>
            </w:r>
          </w:p>
          <w:p w14:paraId="17B5B03E">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不提供得0分。</w:t>
            </w:r>
          </w:p>
        </w:tc>
        <w:tc>
          <w:tcPr>
            <w:tcW w:w="1871" w:type="dxa"/>
            <w:vMerge w:val="continue"/>
            <w:tcBorders>
              <w:left w:val="single" w:color="auto" w:sz="4" w:space="0"/>
              <w:right w:val="single" w:color="auto" w:sz="4" w:space="0"/>
            </w:tcBorders>
            <w:noWrap w:val="0"/>
            <w:vAlign w:val="center"/>
          </w:tcPr>
          <w:p w14:paraId="3836676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14:paraId="0B3B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534" w:type="dxa"/>
            <w:vMerge w:val="continue"/>
            <w:tcBorders>
              <w:left w:val="single" w:color="auto" w:sz="4" w:space="0"/>
              <w:right w:val="single" w:color="auto" w:sz="4" w:space="0"/>
            </w:tcBorders>
            <w:noWrap w:val="0"/>
            <w:vAlign w:val="center"/>
          </w:tcPr>
          <w:p w14:paraId="7FE7F9BB">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kern w:val="0"/>
                <w:sz w:val="24"/>
                <w:szCs w:val="24"/>
                <w:highlight w:val="none"/>
              </w:rPr>
            </w:pPr>
          </w:p>
        </w:tc>
        <w:tc>
          <w:tcPr>
            <w:tcW w:w="1089" w:type="dxa"/>
            <w:vMerge w:val="continue"/>
            <w:tcBorders>
              <w:left w:val="single" w:color="auto" w:sz="4" w:space="0"/>
              <w:right w:val="single" w:color="auto" w:sz="4" w:space="0"/>
            </w:tcBorders>
            <w:noWrap w:val="0"/>
            <w:vAlign w:val="center"/>
          </w:tcPr>
          <w:p w14:paraId="6249164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p>
        </w:tc>
        <w:tc>
          <w:tcPr>
            <w:tcW w:w="1282" w:type="dxa"/>
            <w:vMerge w:val="continue"/>
            <w:tcBorders>
              <w:left w:val="single" w:color="auto" w:sz="4" w:space="0"/>
              <w:right w:val="single" w:color="auto" w:sz="4" w:space="0"/>
            </w:tcBorders>
            <w:noWrap w:val="0"/>
            <w:vAlign w:val="center"/>
          </w:tcPr>
          <w:p w14:paraId="231C074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p>
        </w:tc>
        <w:tc>
          <w:tcPr>
            <w:tcW w:w="800" w:type="dxa"/>
            <w:tcBorders>
              <w:left w:val="single" w:color="auto" w:sz="4" w:space="0"/>
              <w:right w:val="single" w:color="auto" w:sz="4" w:space="0"/>
            </w:tcBorders>
            <w:noWrap w:val="0"/>
            <w:vAlign w:val="center"/>
          </w:tcPr>
          <w:p w14:paraId="692AD88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环境保护管理体系措施（14分）</w:t>
            </w:r>
          </w:p>
        </w:tc>
        <w:tc>
          <w:tcPr>
            <w:tcW w:w="4453" w:type="dxa"/>
            <w:tcBorders>
              <w:top w:val="single" w:color="auto" w:sz="4" w:space="0"/>
              <w:left w:val="single" w:color="auto" w:sz="4" w:space="0"/>
              <w:bottom w:val="single" w:color="auto" w:sz="4" w:space="0"/>
              <w:right w:val="single" w:color="auto" w:sz="4" w:space="0"/>
            </w:tcBorders>
            <w:noWrap w:val="0"/>
            <w:vAlign w:val="center"/>
          </w:tcPr>
          <w:p w14:paraId="50533ABD">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针对本项目的环境保护管理体系措施（包括但不限于：对废弃物的管理和处理措施妥当、对施工车辆有效控制、周边环境和施工工艺等内容）。</w:t>
            </w:r>
          </w:p>
          <w:p w14:paraId="01E1D94F">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方案内容不存在瑕疵得14分。</w:t>
            </w:r>
          </w:p>
          <w:p w14:paraId="5309E4C3">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方案内容存在1处瑕疵得10分。</w:t>
            </w:r>
          </w:p>
          <w:p w14:paraId="1B784559">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方案内容存在2处瑕疵得6分。</w:t>
            </w:r>
          </w:p>
          <w:p w14:paraId="1DF00E3B">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方案内容存在3处瑕疵及以上得2分。</w:t>
            </w:r>
          </w:p>
          <w:p w14:paraId="435E9D30">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不提供得0分。</w:t>
            </w:r>
          </w:p>
        </w:tc>
        <w:tc>
          <w:tcPr>
            <w:tcW w:w="1871" w:type="dxa"/>
            <w:vMerge w:val="continue"/>
            <w:tcBorders>
              <w:left w:val="single" w:color="auto" w:sz="4" w:space="0"/>
              <w:right w:val="single" w:color="auto" w:sz="4" w:space="0"/>
            </w:tcBorders>
            <w:noWrap w:val="0"/>
            <w:vAlign w:val="center"/>
          </w:tcPr>
          <w:p w14:paraId="660F103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14:paraId="30D8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tcBorders>
              <w:left w:val="single" w:color="auto" w:sz="4" w:space="0"/>
              <w:right w:val="single" w:color="auto" w:sz="4" w:space="0"/>
            </w:tcBorders>
            <w:noWrap w:val="0"/>
            <w:vAlign w:val="center"/>
          </w:tcPr>
          <w:p w14:paraId="0D8A8622">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kern w:val="0"/>
                <w:sz w:val="24"/>
                <w:szCs w:val="24"/>
                <w:highlight w:val="none"/>
              </w:rPr>
            </w:pPr>
          </w:p>
        </w:tc>
        <w:tc>
          <w:tcPr>
            <w:tcW w:w="1089" w:type="dxa"/>
            <w:vMerge w:val="continue"/>
            <w:tcBorders>
              <w:left w:val="single" w:color="auto" w:sz="4" w:space="0"/>
              <w:right w:val="single" w:color="auto" w:sz="4" w:space="0"/>
            </w:tcBorders>
            <w:noWrap w:val="0"/>
            <w:vAlign w:val="center"/>
          </w:tcPr>
          <w:p w14:paraId="025EFE3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p>
        </w:tc>
        <w:tc>
          <w:tcPr>
            <w:tcW w:w="1282" w:type="dxa"/>
            <w:vMerge w:val="continue"/>
            <w:tcBorders>
              <w:left w:val="single" w:color="auto" w:sz="4" w:space="0"/>
              <w:right w:val="single" w:color="auto" w:sz="4" w:space="0"/>
            </w:tcBorders>
            <w:noWrap w:val="0"/>
            <w:vAlign w:val="center"/>
          </w:tcPr>
          <w:p w14:paraId="1A585C7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p>
        </w:tc>
        <w:tc>
          <w:tcPr>
            <w:tcW w:w="800" w:type="dxa"/>
            <w:tcBorders>
              <w:left w:val="single" w:color="auto" w:sz="4" w:space="0"/>
              <w:right w:val="single" w:color="auto" w:sz="4" w:space="0"/>
            </w:tcBorders>
            <w:noWrap w:val="0"/>
            <w:vAlign w:val="center"/>
          </w:tcPr>
          <w:p w14:paraId="3B15344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工程进度计划与措施（</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tc>
        <w:tc>
          <w:tcPr>
            <w:tcW w:w="4453" w:type="dxa"/>
            <w:tcBorders>
              <w:top w:val="single" w:color="auto" w:sz="4" w:space="0"/>
              <w:left w:val="single" w:color="auto" w:sz="4" w:space="0"/>
              <w:bottom w:val="single" w:color="auto" w:sz="4" w:space="0"/>
              <w:right w:val="single" w:color="auto" w:sz="4" w:space="0"/>
            </w:tcBorders>
            <w:noWrap w:val="0"/>
            <w:vAlign w:val="center"/>
          </w:tcPr>
          <w:p w14:paraId="52E26C99">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针对本项目的工程进度计划与措施（包括但不限于：具备有效的进度控制计划、赶工方案，冬雨季专项施工方案等内容）。</w:t>
            </w:r>
          </w:p>
          <w:p w14:paraId="52973810">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方案内容不存在瑕疵得14分。</w:t>
            </w:r>
          </w:p>
          <w:p w14:paraId="18C73F0A">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方案内容存在1处瑕疵得10分。</w:t>
            </w:r>
          </w:p>
          <w:p w14:paraId="4F93A79E">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方案内容存在2处瑕疵得6分。</w:t>
            </w:r>
          </w:p>
          <w:p w14:paraId="21E5C253">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方案内容存在3处瑕疵及以上得2分。</w:t>
            </w:r>
          </w:p>
          <w:p w14:paraId="0A3D6818">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不提供得0分。</w:t>
            </w:r>
          </w:p>
        </w:tc>
        <w:tc>
          <w:tcPr>
            <w:tcW w:w="1871" w:type="dxa"/>
            <w:vMerge w:val="continue"/>
            <w:tcBorders>
              <w:left w:val="single" w:color="auto" w:sz="4" w:space="0"/>
              <w:right w:val="single" w:color="auto" w:sz="4" w:space="0"/>
            </w:tcBorders>
            <w:noWrap w:val="0"/>
            <w:vAlign w:val="center"/>
          </w:tcPr>
          <w:p w14:paraId="05FB874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bl>
    <w:p w14:paraId="0E24904C">
      <w:pPr>
        <w:pStyle w:val="3"/>
        <w:bidi w:val="0"/>
        <w:rPr>
          <w:rFonts w:hint="eastAsia" w:ascii="宋体" w:hAnsi="宋体" w:eastAsia="宋体" w:cs="宋体"/>
          <w:color w:val="auto"/>
          <w:sz w:val="24"/>
          <w:szCs w:val="24"/>
          <w:highlight w:val="none"/>
        </w:rPr>
      </w:pPr>
      <w:bookmarkStart w:id="161" w:name="_Toc6898"/>
      <w:bookmarkStart w:id="162" w:name="_Toc7962"/>
      <w:bookmarkStart w:id="163" w:name="_Toc5891"/>
      <w:bookmarkStart w:id="164" w:name="_Toc30659"/>
      <w:bookmarkStart w:id="165" w:name="_Toc75793521"/>
      <w:bookmarkStart w:id="166" w:name="_Toc5010"/>
      <w:bookmarkStart w:id="167" w:name="_Toc29586"/>
      <w:bookmarkStart w:id="168" w:name="_Toc22167"/>
      <w:bookmarkStart w:id="169" w:name="_Toc26747"/>
      <w:bookmarkStart w:id="170" w:name="_Toc4045"/>
      <w:bookmarkStart w:id="171" w:name="_Toc13232"/>
      <w:bookmarkStart w:id="172" w:name="_Toc15200"/>
      <w:bookmarkStart w:id="173" w:name="_Toc18716"/>
      <w:bookmarkStart w:id="174" w:name="_Toc20423"/>
      <w:bookmarkStart w:id="175" w:name="_Toc27926"/>
      <w:bookmarkStart w:id="176" w:name="_Toc10923"/>
      <w:bookmarkStart w:id="177" w:name="_Toc17065"/>
      <w:bookmarkStart w:id="178" w:name="_Toc13045"/>
      <w:bookmarkStart w:id="179" w:name="_Toc12283"/>
      <w:bookmarkStart w:id="180" w:name="_Toc106030397"/>
      <w:r>
        <w:rPr>
          <w:rFonts w:hint="eastAsia" w:ascii="宋体" w:hAnsi="宋体" w:eastAsia="宋体" w:cs="宋体"/>
          <w:color w:val="auto"/>
          <w:sz w:val="24"/>
          <w:szCs w:val="24"/>
          <w:highlight w:val="none"/>
        </w:rPr>
        <w:t>四、无效响应条款</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4387DD7">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出现下列情况之一者，应为无效响应：</w:t>
      </w:r>
    </w:p>
    <w:p w14:paraId="3AD967FC">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lang w:val="en-US" w:eastAsia="zh-CN"/>
        </w:rPr>
        <w:t>未通过资格性评审或符合性评审</w:t>
      </w:r>
      <w:r>
        <w:rPr>
          <w:rFonts w:hint="eastAsia" w:ascii="宋体" w:hAnsi="宋体" w:eastAsia="宋体" w:cs="宋体"/>
          <w:color w:val="auto"/>
          <w:sz w:val="24"/>
          <w:szCs w:val="24"/>
          <w:highlight w:val="none"/>
        </w:rPr>
        <w:t>的；</w:t>
      </w:r>
    </w:p>
    <w:p w14:paraId="6BF6C923">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）法定代表人为同一个人的两个及两个以上法人，母公司、全资子公司及其控股公司，在同一</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中同时参与</w:t>
      </w:r>
      <w:r>
        <w:rPr>
          <w:rFonts w:hint="eastAsia" w:ascii="宋体" w:hAnsi="宋体" w:eastAsia="宋体" w:cs="宋体"/>
          <w:color w:val="auto"/>
          <w:sz w:val="24"/>
          <w:szCs w:val="24"/>
          <w:highlight w:val="none"/>
          <w:lang w:val="en-US" w:eastAsia="zh-CN"/>
        </w:rPr>
        <w:t>竞选的</w:t>
      </w:r>
      <w:r>
        <w:rPr>
          <w:rFonts w:hint="eastAsia" w:ascii="宋体" w:hAnsi="宋体" w:eastAsia="宋体" w:cs="宋体"/>
          <w:color w:val="auto"/>
          <w:sz w:val="24"/>
          <w:szCs w:val="24"/>
          <w:highlight w:val="none"/>
        </w:rPr>
        <w:t>；</w:t>
      </w:r>
    </w:p>
    <w:p w14:paraId="0ADB035D">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，参加同一合同项下的</w:t>
      </w:r>
      <w:r>
        <w:rPr>
          <w:rFonts w:hint="eastAsia" w:ascii="宋体" w:hAnsi="宋体" w:eastAsia="宋体" w:cs="宋体"/>
          <w:color w:val="auto"/>
          <w:sz w:val="24"/>
          <w:szCs w:val="24"/>
          <w:highlight w:val="none"/>
          <w:lang w:val="en-US" w:eastAsia="zh-CN"/>
        </w:rPr>
        <w:t>竞选</w:t>
      </w:r>
      <w:r>
        <w:rPr>
          <w:rFonts w:hint="eastAsia" w:ascii="宋体" w:hAnsi="宋体" w:eastAsia="宋体" w:cs="宋体"/>
          <w:color w:val="auto"/>
          <w:sz w:val="24"/>
          <w:szCs w:val="24"/>
          <w:highlight w:val="none"/>
        </w:rPr>
        <w:t>的；</w:t>
      </w:r>
    </w:p>
    <w:p w14:paraId="38A8D93D">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，再参加该项目</w:t>
      </w:r>
      <w:r>
        <w:rPr>
          <w:rFonts w:hint="eastAsia" w:ascii="宋体" w:hAnsi="宋体" w:eastAsia="宋体" w:cs="宋体"/>
          <w:color w:val="auto"/>
          <w:sz w:val="24"/>
          <w:szCs w:val="24"/>
          <w:highlight w:val="none"/>
          <w:lang w:val="en-US" w:eastAsia="zh-CN"/>
        </w:rPr>
        <w:t>施工比选的</w:t>
      </w:r>
      <w:r>
        <w:rPr>
          <w:rFonts w:hint="eastAsia" w:ascii="宋体" w:hAnsi="宋体" w:eastAsia="宋体" w:cs="宋体"/>
          <w:color w:val="auto"/>
          <w:sz w:val="24"/>
          <w:szCs w:val="24"/>
          <w:highlight w:val="none"/>
        </w:rPr>
        <w:t>；</w:t>
      </w:r>
    </w:p>
    <w:p w14:paraId="4D871C3A">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有效期不满足</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文件要求的；</w:t>
      </w:r>
    </w:p>
    <w:p w14:paraId="165877DE">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内容有与国家现行法律法规相违背的内容，或附有</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无法接受的条件；</w:t>
      </w:r>
    </w:p>
    <w:p w14:paraId="603DB1AB">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规定的其他无效情形。</w:t>
      </w:r>
    </w:p>
    <w:p w14:paraId="0DE12E33">
      <w:pPr>
        <w:pStyle w:val="3"/>
        <w:bidi w:val="0"/>
        <w:rPr>
          <w:rFonts w:hint="eastAsia" w:ascii="宋体" w:hAnsi="宋体" w:eastAsia="宋体" w:cs="宋体"/>
          <w:color w:val="auto"/>
          <w:sz w:val="24"/>
          <w:szCs w:val="24"/>
          <w:highlight w:val="none"/>
        </w:rPr>
      </w:pPr>
      <w:bookmarkStart w:id="181" w:name="_Toc1009"/>
      <w:bookmarkStart w:id="182" w:name="_Toc23533"/>
      <w:bookmarkStart w:id="183" w:name="_Toc7802"/>
      <w:bookmarkStart w:id="184" w:name="_Toc25549"/>
      <w:bookmarkStart w:id="185" w:name="_Toc6204"/>
      <w:bookmarkStart w:id="186" w:name="_Toc106030398"/>
      <w:bookmarkStart w:id="187" w:name="_Toc27133"/>
      <w:bookmarkStart w:id="188" w:name="_Toc27180"/>
      <w:bookmarkStart w:id="189" w:name="_Toc20005"/>
      <w:bookmarkStart w:id="190" w:name="_Toc20000"/>
      <w:bookmarkStart w:id="191" w:name="_Toc75793522"/>
      <w:bookmarkStart w:id="192" w:name="_Toc4422"/>
      <w:bookmarkStart w:id="193" w:name="_Toc11293"/>
      <w:bookmarkStart w:id="194" w:name="_Toc21946"/>
      <w:bookmarkStart w:id="195" w:name="_Toc6719"/>
      <w:bookmarkStart w:id="196" w:name="_Toc14355"/>
      <w:bookmarkStart w:id="197" w:name="_Toc15697"/>
      <w:bookmarkStart w:id="198" w:name="_Toc30605"/>
      <w:bookmarkStart w:id="199" w:name="_Toc25960"/>
      <w:bookmarkStart w:id="200" w:name="_Toc6956"/>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比选终止</w:t>
      </w:r>
      <w:r>
        <w:rPr>
          <w:rFonts w:hint="eastAsia" w:ascii="宋体" w:hAnsi="宋体" w:eastAsia="宋体" w:cs="宋体"/>
          <w:color w:val="auto"/>
          <w:sz w:val="24"/>
          <w:szCs w:val="24"/>
          <w:highlight w:val="none"/>
        </w:rPr>
        <w:t>条款</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F51C02F">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比选过程中</w:t>
      </w:r>
      <w:r>
        <w:rPr>
          <w:rFonts w:hint="eastAsia" w:ascii="宋体" w:hAnsi="宋体" w:eastAsia="宋体" w:cs="宋体"/>
          <w:color w:val="auto"/>
          <w:sz w:val="24"/>
          <w:szCs w:val="24"/>
          <w:highlight w:val="none"/>
        </w:rPr>
        <w:t>出现下列情形之一的，</w:t>
      </w:r>
      <w:r>
        <w:rPr>
          <w:rFonts w:hint="eastAsia" w:ascii="宋体" w:hAnsi="宋体" w:eastAsia="宋体" w:cs="宋体"/>
          <w:color w:val="auto"/>
          <w:sz w:val="24"/>
          <w:szCs w:val="24"/>
          <w:highlight w:val="none"/>
          <w:lang w:val="en-US" w:eastAsia="zh-CN"/>
        </w:rPr>
        <w:t>应予以</w:t>
      </w:r>
      <w:r>
        <w:rPr>
          <w:rFonts w:hint="eastAsia" w:ascii="宋体" w:hAnsi="宋体" w:eastAsia="宋体" w:cs="宋体"/>
          <w:color w:val="auto"/>
          <w:sz w:val="24"/>
          <w:szCs w:val="24"/>
          <w:highlight w:val="none"/>
        </w:rPr>
        <w:t>终止：</w:t>
      </w:r>
    </w:p>
    <w:p w14:paraId="1E6ED5E6">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（一）符合专业条件的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作实质响应的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p w14:paraId="6632CE3E">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）出现影响</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公正的违法、违规行为的；</w:t>
      </w:r>
    </w:p>
    <w:p w14:paraId="5A0FABBD">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）因重大变故，</w:t>
      </w:r>
      <w:r>
        <w:rPr>
          <w:rFonts w:hint="eastAsia" w:ascii="宋体" w:hAnsi="宋体" w:eastAsia="宋体" w:cs="宋体"/>
          <w:color w:val="auto"/>
          <w:sz w:val="24"/>
          <w:szCs w:val="24"/>
          <w:highlight w:val="none"/>
          <w:lang w:val="en-US" w:eastAsia="zh-CN"/>
        </w:rPr>
        <w:t>比选项目</w:t>
      </w:r>
      <w:r>
        <w:rPr>
          <w:rFonts w:hint="eastAsia" w:ascii="宋体" w:hAnsi="宋体" w:eastAsia="宋体" w:cs="宋体"/>
          <w:color w:val="auto"/>
          <w:sz w:val="24"/>
          <w:szCs w:val="24"/>
          <w:highlight w:val="none"/>
        </w:rPr>
        <w:t>取消的。</w:t>
      </w:r>
    </w:p>
    <w:p w14:paraId="3EFA840E">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终止后，除</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任务取消情形外，应当重新组织</w:t>
      </w:r>
      <w:r>
        <w:rPr>
          <w:rFonts w:hint="eastAsia" w:ascii="宋体" w:hAnsi="宋体" w:eastAsia="宋体" w:cs="宋体"/>
          <w:color w:val="auto"/>
          <w:sz w:val="24"/>
          <w:szCs w:val="24"/>
          <w:highlight w:val="none"/>
          <w:lang w:val="en-US" w:eastAsia="zh-CN"/>
        </w:rPr>
        <w:t>比选活动</w:t>
      </w:r>
      <w:r>
        <w:rPr>
          <w:rFonts w:hint="eastAsia" w:ascii="宋体" w:hAnsi="宋体" w:eastAsia="宋体" w:cs="宋体"/>
          <w:color w:val="auto"/>
          <w:sz w:val="24"/>
          <w:szCs w:val="24"/>
          <w:highlight w:val="none"/>
        </w:rPr>
        <w:t>。</w:t>
      </w:r>
    </w:p>
    <w:bookmarkEnd w:id="72"/>
    <w:p w14:paraId="08229984">
      <w:pPr>
        <w:pStyle w:val="2"/>
        <w:bidi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01" w:name="_Toc1982"/>
      <w:bookmarkStart w:id="202" w:name="_Toc32211"/>
      <w:bookmarkStart w:id="203" w:name="_Toc22201"/>
      <w:bookmarkStart w:id="204" w:name="_Toc22256"/>
      <w:bookmarkStart w:id="205" w:name="_Toc5106"/>
      <w:bookmarkStart w:id="206" w:name="_Toc75793523"/>
      <w:bookmarkStart w:id="207" w:name="_Toc18502"/>
      <w:bookmarkStart w:id="208" w:name="_Toc4735"/>
      <w:bookmarkStart w:id="209" w:name="_Toc20379"/>
      <w:bookmarkStart w:id="210" w:name="_Toc14416"/>
      <w:bookmarkStart w:id="211" w:name="_Toc25755"/>
      <w:bookmarkStart w:id="212" w:name="_Toc29546"/>
      <w:bookmarkStart w:id="213" w:name="_Toc21000"/>
      <w:bookmarkStart w:id="214" w:name="_Toc106030399"/>
      <w:bookmarkStart w:id="215" w:name="_Toc6994"/>
      <w:bookmarkStart w:id="216" w:name="_Toc13159"/>
      <w:bookmarkStart w:id="217" w:name="_Toc21720"/>
      <w:bookmarkStart w:id="218" w:name="_Toc25962"/>
      <w:bookmarkStart w:id="219" w:name="_Toc12533"/>
      <w:bookmarkStart w:id="220" w:name="_Toc19831"/>
      <w:bookmarkStart w:id="221" w:name="_Toc21360"/>
      <w:r>
        <w:rPr>
          <w:rFonts w:hint="eastAsia" w:ascii="宋体" w:hAnsi="宋体" w:eastAsia="宋体" w:cs="宋体"/>
          <w:color w:val="auto"/>
          <w:sz w:val="36"/>
          <w:szCs w:val="36"/>
          <w:highlight w:val="none"/>
        </w:rPr>
        <w:t xml:space="preserve">第五篇 </w:t>
      </w:r>
      <w:r>
        <w:rPr>
          <w:rFonts w:hint="eastAsia" w:ascii="宋体" w:hAnsi="宋体" w:eastAsia="宋体" w:cs="宋体"/>
          <w:color w:val="auto"/>
          <w:sz w:val="36"/>
          <w:szCs w:val="36"/>
          <w:highlight w:val="none"/>
          <w:lang w:eastAsia="zh-CN"/>
        </w:rPr>
        <w:t>竞选人</w:t>
      </w:r>
      <w:r>
        <w:rPr>
          <w:rFonts w:hint="eastAsia" w:ascii="宋体" w:hAnsi="宋体" w:eastAsia="宋体" w:cs="宋体"/>
          <w:color w:val="auto"/>
          <w:sz w:val="36"/>
          <w:szCs w:val="36"/>
          <w:highlight w:val="none"/>
        </w:rPr>
        <w:t>须知</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310B22D">
      <w:pPr>
        <w:pStyle w:val="3"/>
        <w:bidi w:val="0"/>
        <w:rPr>
          <w:rFonts w:hint="eastAsia" w:ascii="宋体" w:hAnsi="宋体" w:eastAsia="宋体" w:cs="宋体"/>
          <w:color w:val="auto"/>
          <w:sz w:val="24"/>
          <w:szCs w:val="24"/>
          <w:highlight w:val="none"/>
          <w:lang w:eastAsia="zh-CN"/>
        </w:rPr>
      </w:pPr>
      <w:bookmarkStart w:id="222" w:name="_Toc14797"/>
      <w:bookmarkStart w:id="223" w:name="_Toc9833"/>
      <w:bookmarkStart w:id="224" w:name="_Toc19328"/>
      <w:r>
        <w:rPr>
          <w:rFonts w:hint="eastAsia" w:ascii="宋体" w:hAnsi="宋体" w:eastAsia="宋体" w:cs="宋体"/>
          <w:color w:val="auto"/>
          <w:sz w:val="24"/>
          <w:szCs w:val="24"/>
          <w:highlight w:val="none"/>
        </w:rPr>
        <w:t>一、</w:t>
      </w:r>
      <w:bookmarkEnd w:id="222"/>
      <w:bookmarkEnd w:id="223"/>
      <w:r>
        <w:rPr>
          <w:rFonts w:hint="eastAsia" w:ascii="宋体" w:hAnsi="宋体" w:eastAsia="宋体" w:cs="宋体"/>
          <w:color w:val="auto"/>
          <w:sz w:val="24"/>
          <w:szCs w:val="24"/>
          <w:highlight w:val="none"/>
          <w:lang w:eastAsia="zh-CN"/>
        </w:rPr>
        <w:t>竞选人</w:t>
      </w:r>
      <w:bookmarkEnd w:id="224"/>
    </w:p>
    <w:p w14:paraId="24AC2272">
      <w:pPr>
        <w:snapToGrid w:val="0"/>
        <w:spacing w:line="480" w:lineRule="atLeas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竞选人</w:t>
      </w:r>
    </w:p>
    <w:p w14:paraId="4E137CDD">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是指响应</w:t>
      </w:r>
      <w:r>
        <w:rPr>
          <w:rFonts w:hint="eastAsia" w:ascii="宋体" w:hAnsi="宋体" w:eastAsia="宋体" w:cs="宋体"/>
          <w:color w:val="auto"/>
          <w:sz w:val="24"/>
          <w:szCs w:val="24"/>
          <w:highlight w:val="none"/>
          <w:lang w:val="en-US" w:eastAsia="zh-CN"/>
        </w:rPr>
        <w:t>比选文件</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比选活动</w:t>
      </w:r>
      <w:r>
        <w:rPr>
          <w:rFonts w:hint="eastAsia" w:ascii="宋体" w:hAnsi="宋体" w:eastAsia="宋体" w:cs="宋体"/>
          <w:color w:val="auto"/>
          <w:sz w:val="24"/>
          <w:szCs w:val="24"/>
          <w:highlight w:val="none"/>
        </w:rPr>
        <w:t>的法人、其他组织或者自然人。</w:t>
      </w:r>
    </w:p>
    <w:p w14:paraId="213A0F21">
      <w:pPr>
        <w:snapToGrid w:val="0"/>
        <w:spacing w:line="48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（二）合格</w:t>
      </w:r>
      <w:r>
        <w:rPr>
          <w:rFonts w:hint="eastAsia" w:ascii="宋体" w:hAnsi="宋体" w:eastAsia="宋体" w:cs="宋体"/>
          <w:b/>
          <w:bCs/>
          <w:color w:val="auto"/>
          <w:sz w:val="24"/>
          <w:szCs w:val="24"/>
          <w:highlight w:val="none"/>
          <w:lang w:eastAsia="zh-CN"/>
        </w:rPr>
        <w:t>竞选人</w:t>
      </w:r>
      <w:r>
        <w:rPr>
          <w:rFonts w:hint="eastAsia" w:ascii="宋体" w:hAnsi="宋体" w:eastAsia="宋体" w:cs="宋体"/>
          <w:b/>
          <w:bCs/>
          <w:color w:val="auto"/>
          <w:sz w:val="24"/>
          <w:szCs w:val="24"/>
          <w:highlight w:val="none"/>
        </w:rPr>
        <w:t>条件</w:t>
      </w:r>
    </w:p>
    <w:p w14:paraId="09FEB319">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应完全符合</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第一篇中规定的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资格条件，并对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作出实质性响应。</w:t>
      </w:r>
    </w:p>
    <w:p w14:paraId="1B1C21A2">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竞选人</w:t>
      </w:r>
      <w:r>
        <w:rPr>
          <w:rFonts w:hint="eastAsia" w:ascii="宋体" w:hAnsi="宋体" w:eastAsia="宋体" w:cs="宋体"/>
          <w:b/>
          <w:bCs/>
          <w:color w:val="auto"/>
          <w:sz w:val="24"/>
          <w:szCs w:val="24"/>
          <w:highlight w:val="none"/>
        </w:rPr>
        <w:t>的风险</w:t>
      </w:r>
    </w:p>
    <w:p w14:paraId="249BCC54">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没有按照</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要求提供全部资料，或者</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没有对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在各方面作出实质性响应，可能导致响应被拒绝或评定为无效响应。</w:t>
      </w:r>
    </w:p>
    <w:p w14:paraId="0895FF75">
      <w:pPr>
        <w:snapToGrid w:val="0"/>
        <w:spacing w:line="48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（四）法律责任</w:t>
      </w:r>
    </w:p>
    <w:p w14:paraId="153C935D">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违反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中华人民共和国招标投标法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中华人民共和国招标投标法实施条例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《中华人民共和国政府采购法》《中华人民共和国政府采购实施条例》等相关规定，将按规定追究</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法律责任。</w:t>
      </w:r>
    </w:p>
    <w:p w14:paraId="124F5C08">
      <w:pPr>
        <w:pStyle w:val="3"/>
        <w:bidi w:val="0"/>
        <w:rPr>
          <w:rFonts w:hint="eastAsia" w:ascii="宋体" w:hAnsi="宋体" w:eastAsia="宋体" w:cs="宋体"/>
          <w:color w:val="auto"/>
          <w:sz w:val="24"/>
          <w:szCs w:val="24"/>
          <w:highlight w:val="none"/>
          <w:lang w:eastAsia="zh-CN"/>
        </w:rPr>
      </w:pPr>
      <w:bookmarkStart w:id="225" w:name="_Toc29706"/>
      <w:bookmarkStart w:id="226" w:name="_Toc24271"/>
      <w:bookmarkStart w:id="227" w:name="_Toc26004"/>
      <w:r>
        <w:rPr>
          <w:rFonts w:hint="eastAsia" w:ascii="宋体" w:hAnsi="宋体" w:eastAsia="宋体" w:cs="宋体"/>
          <w:color w:val="auto"/>
          <w:sz w:val="24"/>
          <w:szCs w:val="24"/>
          <w:highlight w:val="none"/>
        </w:rPr>
        <w:t>二、</w:t>
      </w:r>
      <w:bookmarkEnd w:id="225"/>
      <w:bookmarkEnd w:id="226"/>
      <w:r>
        <w:rPr>
          <w:rFonts w:hint="eastAsia" w:ascii="宋体" w:hAnsi="宋体" w:eastAsia="宋体" w:cs="宋体"/>
          <w:color w:val="auto"/>
          <w:sz w:val="24"/>
          <w:szCs w:val="24"/>
          <w:highlight w:val="none"/>
          <w:lang w:eastAsia="zh-CN"/>
        </w:rPr>
        <w:t>比选文件</w:t>
      </w:r>
      <w:bookmarkEnd w:id="227"/>
    </w:p>
    <w:p w14:paraId="7C1173E1">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的依据，是</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评判依据和标准。</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也是</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签订合同的基础。</w:t>
      </w:r>
    </w:p>
    <w:p w14:paraId="2C7BA3CB">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比选邀请书</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技术需求</w:t>
      </w:r>
      <w:r>
        <w:rPr>
          <w:rFonts w:hint="eastAsia" w:ascii="宋体" w:hAnsi="宋体" w:eastAsia="宋体" w:cs="宋体"/>
          <w:color w:val="auto"/>
          <w:sz w:val="24"/>
          <w:szCs w:val="24"/>
          <w:highlight w:val="none"/>
        </w:rPr>
        <w:t>、项目商务需求、资格审查及评审办法、</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格式等六部分组成。</w:t>
      </w:r>
    </w:p>
    <w:p w14:paraId="1767B187">
      <w:pPr>
        <w:snapToGrid w:val="0"/>
        <w:spacing w:line="48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比选代理</w:t>
      </w:r>
      <w:r>
        <w:rPr>
          <w:rFonts w:hint="eastAsia" w:ascii="宋体" w:hAnsi="宋体" w:eastAsia="宋体" w:cs="宋体"/>
          <w:color w:val="auto"/>
          <w:sz w:val="24"/>
          <w:szCs w:val="24"/>
          <w:highlight w:val="none"/>
        </w:rPr>
        <w:t>机构对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所作的一切有效的书面通知、修改及补充，都是</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不可分割的部分。</w:t>
      </w:r>
    </w:p>
    <w:p w14:paraId="55541B2F">
      <w:pPr>
        <w:snapToGrid w:val="0"/>
        <w:spacing w:line="48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、澄清文件（如果有）一律在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网站</w:t>
      </w:r>
      <w:r>
        <w:rPr>
          <w:rFonts w:hint="eastAsia" w:ascii="宋体" w:hAnsi="宋体" w:eastAsia="宋体" w:cs="宋体"/>
          <w:color w:val="auto"/>
          <w:sz w:val="24"/>
          <w:szCs w:val="24"/>
          <w:highlight w:val="none"/>
        </w:rPr>
        <w:t>上发布，请各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注意下载；无论</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下载与否，均视同</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已知晓本项目</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、澄清文件的内容。</w:t>
      </w:r>
    </w:p>
    <w:p w14:paraId="4D4D4A60">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比选代理</w:t>
      </w:r>
      <w:r>
        <w:rPr>
          <w:rFonts w:hint="eastAsia" w:ascii="宋体" w:hAnsi="宋体" w:eastAsia="宋体" w:cs="宋体"/>
          <w:color w:val="auto"/>
          <w:sz w:val="24"/>
          <w:szCs w:val="24"/>
          <w:highlight w:val="none"/>
        </w:rPr>
        <w:t>机构对已发出的</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需要进行澄清或修改的，应以书面形式或公告形式通知所有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收受人。该澄清或者修改的内容为</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的组成部分。</w:t>
      </w:r>
    </w:p>
    <w:p w14:paraId="79C97E03">
      <w:pPr>
        <w:pStyle w:val="3"/>
        <w:bidi w:val="0"/>
        <w:rPr>
          <w:rFonts w:hint="eastAsia" w:ascii="宋体" w:hAnsi="宋体" w:eastAsia="宋体" w:cs="宋体"/>
          <w:color w:val="auto"/>
          <w:sz w:val="24"/>
          <w:szCs w:val="24"/>
          <w:highlight w:val="none"/>
          <w:lang w:eastAsia="zh-CN"/>
        </w:rPr>
      </w:pPr>
      <w:bookmarkStart w:id="228" w:name="_Toc31145"/>
      <w:bookmarkStart w:id="229" w:name="_Toc21372"/>
      <w:bookmarkStart w:id="230" w:name="_Toc15340"/>
      <w:r>
        <w:rPr>
          <w:rFonts w:hint="eastAsia" w:ascii="宋体" w:hAnsi="宋体" w:eastAsia="宋体" w:cs="宋体"/>
          <w:color w:val="auto"/>
          <w:sz w:val="24"/>
          <w:szCs w:val="24"/>
          <w:highlight w:val="none"/>
        </w:rPr>
        <w:t>三、</w:t>
      </w:r>
      <w:bookmarkEnd w:id="228"/>
      <w:bookmarkEnd w:id="229"/>
      <w:r>
        <w:rPr>
          <w:rFonts w:hint="eastAsia" w:ascii="宋体" w:hAnsi="宋体" w:eastAsia="宋体" w:cs="宋体"/>
          <w:color w:val="auto"/>
          <w:sz w:val="24"/>
          <w:szCs w:val="24"/>
          <w:highlight w:val="none"/>
          <w:lang w:eastAsia="zh-CN"/>
        </w:rPr>
        <w:t>竞选文件</w:t>
      </w:r>
      <w:bookmarkEnd w:id="230"/>
    </w:p>
    <w:p w14:paraId="7D01DAD1">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应当按照</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，并对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提出的要求和条件作出实质性响应。</w:t>
      </w:r>
    </w:p>
    <w:p w14:paraId="581C2D20">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竞选文件</w:t>
      </w:r>
      <w:r>
        <w:rPr>
          <w:rFonts w:hint="eastAsia" w:ascii="宋体" w:hAnsi="宋体" w:eastAsia="宋体" w:cs="宋体"/>
          <w:b/>
          <w:bCs/>
          <w:color w:val="auto"/>
          <w:sz w:val="24"/>
          <w:szCs w:val="24"/>
          <w:highlight w:val="none"/>
        </w:rPr>
        <w:t>组成</w:t>
      </w:r>
    </w:p>
    <w:p w14:paraId="2DCB2AA2">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由第六篇“</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格式”规定的部分和</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所作的一切有效补充、修改和承诺等文件组成，</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应按照第六篇“</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格式”规定的目录顺序组织编写和装订，否则有可能影响评委对</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的评审。</w:t>
      </w:r>
    </w:p>
    <w:p w14:paraId="20F58CEA">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比选</w:t>
      </w:r>
      <w:r>
        <w:rPr>
          <w:rFonts w:hint="eastAsia" w:ascii="宋体" w:hAnsi="宋体" w:eastAsia="宋体" w:cs="宋体"/>
          <w:b/>
          <w:bCs/>
          <w:color w:val="auto"/>
          <w:sz w:val="24"/>
          <w:szCs w:val="24"/>
          <w:highlight w:val="none"/>
        </w:rPr>
        <w:t>有效期</w:t>
      </w:r>
    </w:p>
    <w:p w14:paraId="46FF8C29">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竞选文件递交</w:t>
      </w:r>
      <w:r>
        <w:rPr>
          <w:rFonts w:hint="eastAsia" w:ascii="宋体" w:hAnsi="宋体" w:eastAsia="宋体" w:cs="宋体"/>
          <w:color w:val="auto"/>
          <w:sz w:val="24"/>
          <w:szCs w:val="24"/>
          <w:highlight w:val="none"/>
        </w:rPr>
        <w:t>截止时间起90天。</w:t>
      </w:r>
    </w:p>
    <w:p w14:paraId="0FE68C09">
      <w:pPr>
        <w:snapToGrid w:val="0"/>
        <w:spacing w:line="480" w:lineRule="atLeast"/>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竞选文件</w:t>
      </w:r>
      <w:r>
        <w:rPr>
          <w:rFonts w:hint="eastAsia" w:ascii="宋体" w:hAnsi="宋体" w:eastAsia="宋体" w:cs="宋体"/>
          <w:b/>
          <w:bCs/>
          <w:color w:val="auto"/>
          <w:sz w:val="24"/>
          <w:szCs w:val="24"/>
          <w:highlight w:val="none"/>
          <w:lang w:val="en-US" w:eastAsia="zh-CN"/>
        </w:rPr>
        <w:t>的签署、份数和递交</w:t>
      </w:r>
    </w:p>
    <w:p w14:paraId="4688FEDE">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第六篇</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格式中规定签署、盖章的地方必须按其规定签署、盖章。</w:t>
      </w:r>
    </w:p>
    <w:p w14:paraId="52D72159">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的错处作必要修改，则应在修改处加盖</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公章或由法定代表人（或其授权代表）或自然人（</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为自然人）签署确认。</w:t>
      </w:r>
    </w:p>
    <w:p w14:paraId="6284CCF0">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.电报、电话、传真形式的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概不接受。</w:t>
      </w:r>
    </w:p>
    <w:p w14:paraId="2772AD85">
      <w:pPr>
        <w:snapToGrid w:val="0"/>
        <w:spacing w:line="48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竞选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4504BE4">
      <w:pPr>
        <w:snapToGrid w:val="0"/>
        <w:spacing w:line="48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5.竞选文件的正本、副本以及电子文档均应密封送达比选地点，应在封套上注明项目名称、单位名称。若正本、副本以及电子文档分别进行密封的，还应在封套上注明“正本”、“副本”、“电子文档”字样。</w:t>
      </w:r>
    </w:p>
    <w:p w14:paraId="28EAC238">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竞选</w:t>
      </w:r>
      <w:r>
        <w:rPr>
          <w:rFonts w:hint="eastAsia" w:ascii="宋体" w:hAnsi="宋体" w:eastAsia="宋体" w:cs="宋体"/>
          <w:b/>
          <w:bCs/>
          <w:color w:val="auto"/>
          <w:sz w:val="24"/>
          <w:szCs w:val="24"/>
          <w:highlight w:val="none"/>
        </w:rPr>
        <w:t>报价</w:t>
      </w:r>
    </w:p>
    <w:p w14:paraId="55BBA8C2">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应严格按照“</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格式”中“报价一览表”的格式填写报价。</w:t>
      </w:r>
    </w:p>
    <w:p w14:paraId="0597C577">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的报价为一次性报价，即在</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固定不变。</w:t>
      </w:r>
    </w:p>
    <w:p w14:paraId="6523183E">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3.本项目只接受一个报价，有选择的或有条件的报价将不予接受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作无效竞选处理</w:t>
      </w:r>
      <w:r>
        <w:rPr>
          <w:rFonts w:hint="eastAsia" w:ascii="宋体" w:hAnsi="宋体" w:eastAsia="宋体" w:cs="宋体"/>
          <w:color w:val="auto"/>
          <w:sz w:val="24"/>
          <w:szCs w:val="24"/>
          <w:highlight w:val="none"/>
        </w:rPr>
        <w:t>。</w:t>
      </w:r>
    </w:p>
    <w:p w14:paraId="4F8AC4CA">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）修正错误</w:t>
      </w:r>
    </w:p>
    <w:p w14:paraId="760437C3">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出现计算或表达上的错误，修正错误的原则如下：</w:t>
      </w:r>
    </w:p>
    <w:p w14:paraId="6FBDCED9">
      <w:pPr>
        <w:snapToGrid w:val="0"/>
        <w:spacing w:line="480" w:lineRule="atLeas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出现大写不规范（例如“壹万壹仟元”写作“壹点壹万元”）或少数错别字（例如“玖”写作“九”）等不影响判断其实质意义的情况，可视同有效。</w:t>
      </w:r>
    </w:p>
    <w:p w14:paraId="055D51DE">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总价金额与按单价汇总金额不一致的，以单价金额计算结果为准。</w:t>
      </w:r>
    </w:p>
    <w:p w14:paraId="1430F1A6">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eastAsia="宋体" w:cs="宋体"/>
          <w:color w:val="auto"/>
          <w:sz w:val="24"/>
          <w:szCs w:val="24"/>
          <w:highlight w:val="none"/>
          <w:lang w:eastAsia="zh-CN"/>
        </w:rPr>
        <w:t>修正</w:t>
      </w:r>
      <w:r>
        <w:rPr>
          <w:rFonts w:hint="eastAsia" w:ascii="宋体" w:hAnsi="宋体" w:eastAsia="宋体" w:cs="宋体"/>
          <w:color w:val="auto"/>
          <w:sz w:val="24"/>
          <w:szCs w:val="24"/>
          <w:highlight w:val="none"/>
        </w:rPr>
        <w:t>后的报价对</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具有约束作用。</w:t>
      </w:r>
    </w:p>
    <w:p w14:paraId="483BC9F1">
      <w:pPr>
        <w:pStyle w:val="3"/>
        <w:bidi w:val="0"/>
        <w:rPr>
          <w:rFonts w:hint="eastAsia" w:ascii="宋体" w:hAnsi="宋体" w:eastAsia="宋体" w:cs="宋体"/>
          <w:color w:val="auto"/>
          <w:sz w:val="24"/>
          <w:szCs w:val="24"/>
          <w:highlight w:val="none"/>
          <w:lang w:val="en-US" w:eastAsia="zh-CN"/>
        </w:rPr>
      </w:pPr>
      <w:bookmarkStart w:id="231" w:name="_Toc27146"/>
      <w:bookmarkStart w:id="232" w:name="_Toc2488"/>
      <w:bookmarkStart w:id="233" w:name="_Toc7638"/>
      <w:r>
        <w:rPr>
          <w:rFonts w:hint="eastAsia" w:ascii="宋体" w:hAnsi="宋体" w:eastAsia="宋体" w:cs="宋体"/>
          <w:color w:val="auto"/>
          <w:sz w:val="24"/>
          <w:szCs w:val="24"/>
          <w:highlight w:val="none"/>
        </w:rPr>
        <w:t>四、评审</w:t>
      </w:r>
      <w:r>
        <w:rPr>
          <w:rFonts w:hint="eastAsia" w:ascii="宋体" w:hAnsi="宋体" w:eastAsia="宋体" w:cs="宋体"/>
          <w:color w:val="auto"/>
          <w:sz w:val="24"/>
          <w:szCs w:val="24"/>
          <w:highlight w:val="none"/>
          <w:lang w:val="en-US" w:eastAsia="zh-CN"/>
        </w:rPr>
        <w:t>流程</w:t>
      </w:r>
      <w:bookmarkEnd w:id="231"/>
      <w:bookmarkEnd w:id="232"/>
      <w:r>
        <w:rPr>
          <w:rFonts w:hint="eastAsia" w:ascii="宋体" w:hAnsi="宋体" w:eastAsia="宋体" w:cs="宋体"/>
          <w:color w:val="auto"/>
          <w:sz w:val="24"/>
          <w:szCs w:val="24"/>
          <w:highlight w:val="none"/>
          <w:lang w:val="en-US" w:eastAsia="zh-CN"/>
        </w:rPr>
        <w:t>及标准</w:t>
      </w:r>
      <w:bookmarkEnd w:id="233"/>
    </w:p>
    <w:p w14:paraId="1B430FB3">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见第四篇。</w:t>
      </w:r>
    </w:p>
    <w:p w14:paraId="2164FED2">
      <w:pPr>
        <w:pStyle w:val="3"/>
        <w:bidi w:val="0"/>
        <w:rPr>
          <w:rFonts w:hint="eastAsia" w:ascii="宋体" w:hAnsi="宋体" w:eastAsia="宋体" w:cs="宋体"/>
          <w:color w:val="auto"/>
          <w:sz w:val="24"/>
          <w:szCs w:val="24"/>
          <w:highlight w:val="none"/>
          <w:lang w:eastAsia="zh-CN"/>
        </w:rPr>
      </w:pPr>
      <w:bookmarkStart w:id="234" w:name="_Toc26213"/>
      <w:bookmarkStart w:id="235" w:name="_Toc23216"/>
      <w:bookmarkStart w:id="236" w:name="_Toc4404"/>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、确认</w:t>
      </w:r>
      <w:bookmarkEnd w:id="234"/>
      <w:bookmarkEnd w:id="235"/>
      <w:r>
        <w:rPr>
          <w:rFonts w:hint="eastAsia" w:ascii="宋体" w:hAnsi="宋体" w:eastAsia="宋体" w:cs="宋体"/>
          <w:color w:val="auto"/>
          <w:sz w:val="24"/>
          <w:szCs w:val="24"/>
          <w:highlight w:val="none"/>
          <w:lang w:eastAsia="zh-CN"/>
        </w:rPr>
        <w:t>中选人</w:t>
      </w:r>
      <w:bookmarkEnd w:id="236"/>
    </w:p>
    <w:p w14:paraId="2CB63038">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（一）原则</w:t>
      </w:r>
    </w:p>
    <w:p w14:paraId="7F0EF14A">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或其授权的</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应按照评审报告中推荐的</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rPr>
        <w:t>候选人排名顺序确定</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w:t>
      </w:r>
    </w:p>
    <w:p w14:paraId="32282CA9">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（二）程序</w:t>
      </w:r>
    </w:p>
    <w:p w14:paraId="07F385AC">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比选代理</w:t>
      </w:r>
      <w:r>
        <w:rPr>
          <w:rFonts w:hint="eastAsia" w:ascii="宋体" w:hAnsi="宋体" w:eastAsia="宋体" w:cs="宋体"/>
          <w:color w:val="auto"/>
          <w:sz w:val="24"/>
          <w:szCs w:val="24"/>
          <w:highlight w:val="none"/>
        </w:rPr>
        <w:t>机构应当在评审结束之日起2个工作日内将评审报告送</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w:t>
      </w:r>
    </w:p>
    <w:p w14:paraId="1B41D8C2">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应当自收到评审报告之日起5个工作日内按评审报告推荐的成交候选人顺序确定</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w:t>
      </w:r>
    </w:p>
    <w:p w14:paraId="191CC3AF">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比选代理</w:t>
      </w:r>
      <w:r>
        <w:rPr>
          <w:rFonts w:hint="eastAsia" w:ascii="宋体" w:hAnsi="宋体" w:eastAsia="宋体" w:cs="宋体"/>
          <w:color w:val="auto"/>
          <w:sz w:val="24"/>
          <w:szCs w:val="24"/>
          <w:highlight w:val="none"/>
        </w:rPr>
        <w:t>机构应当自</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确定之日起2个工作日内，在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rPr>
        <w:t>结果。</w:t>
      </w:r>
    </w:p>
    <w:p w14:paraId="09ACE6F6">
      <w:pPr>
        <w:pStyle w:val="3"/>
        <w:bidi w:val="0"/>
        <w:rPr>
          <w:rFonts w:hint="eastAsia" w:ascii="宋体" w:hAnsi="宋体" w:eastAsia="宋体" w:cs="宋体"/>
          <w:color w:val="auto"/>
          <w:sz w:val="24"/>
          <w:szCs w:val="24"/>
          <w:highlight w:val="none"/>
          <w:lang w:val="en-US" w:eastAsia="zh-CN"/>
        </w:rPr>
      </w:pPr>
      <w:bookmarkStart w:id="237" w:name="_Toc7093"/>
      <w:bookmarkStart w:id="238" w:name="_Toc6219"/>
      <w:bookmarkStart w:id="239" w:name="_Toc21494"/>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bookmarkEnd w:id="237"/>
      <w:bookmarkEnd w:id="238"/>
      <w:r>
        <w:rPr>
          <w:rFonts w:hint="eastAsia" w:ascii="宋体" w:hAnsi="宋体" w:eastAsia="宋体" w:cs="宋体"/>
          <w:color w:val="auto"/>
          <w:sz w:val="24"/>
          <w:szCs w:val="24"/>
          <w:highlight w:val="none"/>
          <w:lang w:val="en-US" w:eastAsia="zh-CN"/>
        </w:rPr>
        <w:t>中选</w:t>
      </w:r>
      <w:bookmarkEnd w:id="239"/>
    </w:p>
    <w:p w14:paraId="25D8E5E9">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依法确定</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比选代理</w:t>
      </w:r>
      <w:r>
        <w:rPr>
          <w:rFonts w:hint="eastAsia" w:ascii="宋体" w:hAnsi="宋体" w:eastAsia="宋体" w:cs="宋体"/>
          <w:color w:val="auto"/>
          <w:sz w:val="24"/>
          <w:szCs w:val="24"/>
          <w:highlight w:val="none"/>
        </w:rPr>
        <w:t>机构进行结果</w:t>
      </w:r>
      <w:r>
        <w:rPr>
          <w:rFonts w:hint="eastAsia" w:ascii="宋体" w:hAnsi="宋体" w:eastAsia="宋体" w:cs="宋体"/>
          <w:color w:val="auto"/>
          <w:sz w:val="24"/>
          <w:szCs w:val="24"/>
          <w:highlight w:val="none"/>
          <w:lang w:val="en-US" w:eastAsia="zh-CN"/>
        </w:rPr>
        <w:t>公示</w:t>
      </w:r>
      <w:r>
        <w:rPr>
          <w:rFonts w:hint="eastAsia" w:ascii="宋体" w:hAnsi="宋体" w:eastAsia="宋体" w:cs="宋体"/>
          <w:color w:val="auto"/>
          <w:sz w:val="24"/>
          <w:szCs w:val="24"/>
          <w:highlight w:val="none"/>
        </w:rPr>
        <w:t>。</w:t>
      </w:r>
    </w:p>
    <w:p w14:paraId="7C81393F">
      <w:pPr>
        <w:snapToGrid w:val="0"/>
        <w:spacing w:line="480" w:lineRule="atLeas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lang w:val="en-US" w:eastAsia="zh-CN"/>
        </w:rPr>
        <w:t>无正当理由</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val="en-US" w:eastAsia="zh-CN"/>
        </w:rPr>
        <w:t>中选资格的</w:t>
      </w:r>
      <w:r>
        <w:rPr>
          <w:rFonts w:hint="eastAsia" w:ascii="宋体" w:hAnsi="宋体" w:eastAsia="宋体" w:cs="宋体"/>
          <w:color w:val="auto"/>
          <w:sz w:val="24"/>
          <w:szCs w:val="24"/>
          <w:highlight w:val="none"/>
        </w:rPr>
        <w:t>应当承担相应的法律责任。</w:t>
      </w:r>
    </w:p>
    <w:p w14:paraId="72F3DD24">
      <w:pPr>
        <w:snapToGrid w:val="0"/>
        <w:spacing w:line="480" w:lineRule="atLeas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拒绝与</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签订合同的，</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可以按照评审报告推荐的</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rPr>
        <w:t>候选人顺序，确定排名下一位的候选人为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，也可以重新开展</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p>
    <w:p w14:paraId="084E78CE">
      <w:pPr>
        <w:snapToGrid w:val="0"/>
        <w:spacing w:line="480" w:lineRule="atLeast"/>
        <w:ind w:firstLine="482" w:firstLineChars="200"/>
        <w:rPr>
          <w:rFonts w:hint="eastAsia" w:ascii="宋体" w:hAnsi="宋体" w:eastAsia="宋体" w:cs="宋体"/>
          <w:b/>
          <w:bCs/>
          <w:color w:val="auto"/>
          <w:sz w:val="24"/>
          <w:szCs w:val="24"/>
          <w:highlight w:val="none"/>
        </w:rPr>
      </w:pPr>
      <w:bookmarkStart w:id="240" w:name="_Toc12557"/>
      <w:bookmarkStart w:id="241" w:name="_Toc15504"/>
      <w:bookmarkStart w:id="242" w:name="_Toc20725"/>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比选代理</w:t>
      </w:r>
      <w:r>
        <w:rPr>
          <w:rFonts w:hint="eastAsia" w:ascii="宋体" w:hAnsi="宋体" w:eastAsia="宋体" w:cs="宋体"/>
          <w:b/>
          <w:bCs/>
          <w:color w:val="auto"/>
          <w:sz w:val="24"/>
          <w:szCs w:val="24"/>
          <w:highlight w:val="none"/>
        </w:rPr>
        <w:t>服务费</w:t>
      </w:r>
      <w:bookmarkEnd w:id="240"/>
      <w:bookmarkEnd w:id="241"/>
      <w:bookmarkEnd w:id="242"/>
    </w:p>
    <w:p w14:paraId="67B2429A">
      <w:pPr>
        <w:snapToGrid w:val="0"/>
        <w:spacing w:line="480" w:lineRule="atLeast"/>
        <w:ind w:firstLine="480" w:firstLineChars="200"/>
        <w:rPr>
          <w:rFonts w:hint="eastAsia" w:ascii="宋体" w:hAnsi="宋体" w:eastAsia="宋体" w:cs="宋体"/>
          <w:color w:val="auto"/>
          <w:sz w:val="24"/>
          <w:szCs w:val="24"/>
          <w:highlight w:val="none"/>
          <w:lang w:val="en-US" w:eastAsia="zh-CN"/>
        </w:rPr>
      </w:pPr>
      <w:bookmarkStart w:id="243" w:name="_Toc6613"/>
      <w:bookmarkStart w:id="244" w:name="_Toc12565"/>
      <w:bookmarkStart w:id="245" w:name="_Toc28733"/>
      <w:r>
        <w:rPr>
          <w:rFonts w:hint="eastAsia" w:ascii="宋体" w:hAnsi="宋体" w:eastAsia="宋体" w:cs="宋体"/>
          <w:color w:val="auto"/>
          <w:sz w:val="24"/>
          <w:szCs w:val="24"/>
          <w:highlight w:val="none"/>
          <w:lang w:val="en-US" w:eastAsia="zh-CN"/>
        </w:rPr>
        <w:t>本项目采购代理服务费包干价为4000元整，由成交供应商在领取成交通知书之前一次性向代理机构支付。</w:t>
      </w:r>
    </w:p>
    <w:p w14:paraId="4F3E4160">
      <w:pPr>
        <w:pStyle w:val="3"/>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、签订合同</w:t>
      </w:r>
      <w:bookmarkEnd w:id="243"/>
      <w:bookmarkEnd w:id="244"/>
      <w:bookmarkEnd w:id="245"/>
    </w:p>
    <w:p w14:paraId="695087EA">
      <w:pPr>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原则上应在成交确认书发出之日起二十日内和</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签订合同，无正当理由不得拒绝或拖延合同签订。所签订的合同不得对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中选人竞选文件</w:t>
      </w:r>
      <w:r>
        <w:rPr>
          <w:rFonts w:hint="eastAsia" w:ascii="宋体" w:hAnsi="宋体" w:eastAsia="宋体" w:cs="宋体"/>
          <w:color w:val="auto"/>
          <w:sz w:val="24"/>
          <w:szCs w:val="24"/>
          <w:highlight w:val="none"/>
        </w:rPr>
        <w:t>作实质性修改。</w:t>
      </w:r>
      <w:r>
        <w:rPr>
          <w:rFonts w:hint="eastAsia" w:ascii="宋体" w:hAnsi="宋体" w:eastAsia="宋体" w:cs="宋体"/>
          <w:color w:val="auto"/>
          <w:kern w:val="0"/>
          <w:sz w:val="24"/>
          <w:szCs w:val="24"/>
          <w:highlight w:val="none"/>
        </w:rPr>
        <w:t>其他未尽事宜由</w:t>
      </w:r>
      <w:r>
        <w:rPr>
          <w:rFonts w:hint="eastAsia" w:ascii="宋体" w:hAnsi="宋体" w:eastAsia="宋体" w:cs="宋体"/>
          <w:color w:val="auto"/>
          <w:kern w:val="0"/>
          <w:sz w:val="24"/>
          <w:szCs w:val="24"/>
          <w:highlight w:val="none"/>
          <w:lang w:eastAsia="zh-CN"/>
        </w:rPr>
        <w:t>比选人</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中选人</w:t>
      </w:r>
      <w:r>
        <w:rPr>
          <w:rFonts w:hint="eastAsia" w:ascii="宋体" w:hAnsi="宋体" w:eastAsia="宋体" w:cs="宋体"/>
          <w:color w:val="auto"/>
          <w:kern w:val="0"/>
          <w:sz w:val="24"/>
          <w:szCs w:val="24"/>
          <w:highlight w:val="none"/>
        </w:rPr>
        <w:t>在合同中详细约定。</w:t>
      </w:r>
    </w:p>
    <w:p w14:paraId="54262CA6">
      <w:pPr>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及澄清文件等，均为签订合同的依据。</w:t>
      </w:r>
    </w:p>
    <w:p w14:paraId="3D49C1B8">
      <w:pPr>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62EB1953">
      <w:pPr>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合同版式在双方签订合同时自行选用</w:t>
      </w:r>
      <w:r>
        <w:rPr>
          <w:rFonts w:hint="eastAsia" w:ascii="宋体" w:hAnsi="宋体" w:eastAsia="宋体" w:cs="宋体"/>
          <w:color w:val="auto"/>
          <w:sz w:val="24"/>
          <w:szCs w:val="24"/>
          <w:highlight w:val="none"/>
        </w:rPr>
        <w:t>。</w:t>
      </w:r>
    </w:p>
    <w:p w14:paraId="6E60BE62">
      <w:pPr>
        <w:pStyle w:val="3"/>
        <w:bidi w:val="0"/>
        <w:rPr>
          <w:rFonts w:hint="eastAsia" w:ascii="宋体" w:hAnsi="宋体" w:eastAsia="宋体" w:cs="宋体"/>
          <w:color w:val="auto"/>
          <w:sz w:val="24"/>
          <w:szCs w:val="24"/>
          <w:highlight w:val="none"/>
        </w:rPr>
      </w:pPr>
      <w:bookmarkStart w:id="246" w:name="_Toc23671"/>
      <w:bookmarkStart w:id="247" w:name="_Toc11558"/>
      <w:bookmarkStart w:id="248" w:name="_Toc11349"/>
      <w:bookmarkStart w:id="249" w:name="_Toc23965"/>
      <w:bookmarkStart w:id="250" w:name="_Toc1406"/>
      <w:bookmarkStart w:id="251" w:name="_Toc23473"/>
      <w:bookmarkStart w:id="252" w:name="_Toc13934"/>
      <w:bookmarkStart w:id="253" w:name="_Toc32698"/>
      <w:bookmarkStart w:id="254" w:name="_Toc9393"/>
      <w:bookmarkStart w:id="255" w:name="_Toc4207"/>
      <w:bookmarkStart w:id="256" w:name="_Toc29139"/>
      <w:bookmarkStart w:id="257" w:name="_Toc26438"/>
      <w:bookmarkStart w:id="258" w:name="_Toc4923"/>
      <w:bookmarkStart w:id="259" w:name="_Toc106030411"/>
      <w:bookmarkStart w:id="260" w:name="_Toc21197"/>
      <w:bookmarkStart w:id="261" w:name="_Toc25795"/>
      <w:bookmarkStart w:id="262" w:name="_Toc13027"/>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bookmarkEnd w:id="246"/>
      <w:bookmarkEnd w:id="247"/>
      <w:bookmarkEnd w:id="248"/>
      <w:bookmarkEnd w:id="249"/>
      <w:r>
        <w:rPr>
          <w:rFonts w:hint="eastAsia" w:ascii="宋体" w:hAnsi="宋体" w:eastAsia="宋体" w:cs="宋体"/>
          <w:color w:val="auto"/>
          <w:sz w:val="24"/>
          <w:szCs w:val="24"/>
          <w:highlight w:val="none"/>
        </w:rPr>
        <w:t>项目验收</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4FE39354">
      <w:pPr>
        <w:spacing w:line="480" w:lineRule="atLeas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合同执行完毕，</w:t>
      </w:r>
      <w:r>
        <w:rPr>
          <w:rFonts w:hint="eastAsia" w:ascii="宋体" w:hAnsi="宋体" w:eastAsia="宋体" w:cs="宋体"/>
          <w:color w:val="auto"/>
          <w:sz w:val="24"/>
          <w:szCs w:val="24"/>
          <w:highlight w:val="none"/>
          <w:lang w:eastAsia="zh-CN"/>
        </w:rPr>
        <w:t>由比选人</w:t>
      </w:r>
      <w:r>
        <w:rPr>
          <w:rFonts w:hint="eastAsia" w:ascii="宋体" w:hAnsi="宋体" w:eastAsia="宋体" w:cs="宋体"/>
          <w:color w:val="auto"/>
          <w:sz w:val="24"/>
          <w:szCs w:val="24"/>
          <w:highlight w:val="none"/>
        </w:rPr>
        <w:t>组织履约情况验收，不得无故拖延或附加额外条件。</w:t>
      </w:r>
      <w:bookmarkStart w:id="263" w:name="_Toc20328"/>
      <w:bookmarkStart w:id="264" w:name="_Toc21850"/>
      <w:bookmarkStart w:id="265" w:name="_Toc75793535"/>
      <w:bookmarkStart w:id="266" w:name="_Toc13368"/>
      <w:bookmarkStart w:id="267" w:name="_Toc31578"/>
      <w:bookmarkStart w:id="268" w:name="_Toc31383"/>
      <w:bookmarkStart w:id="269" w:name="_Toc13002"/>
      <w:bookmarkStart w:id="270" w:name="_Toc19188"/>
      <w:bookmarkStart w:id="271" w:name="_Toc15435"/>
      <w:bookmarkStart w:id="272" w:name="_Toc13050"/>
      <w:bookmarkStart w:id="273" w:name="_Toc3421"/>
      <w:bookmarkStart w:id="274" w:name="_Toc2195"/>
    </w:p>
    <w:bookmarkEnd w:id="263"/>
    <w:bookmarkEnd w:id="264"/>
    <w:bookmarkEnd w:id="265"/>
    <w:bookmarkEnd w:id="266"/>
    <w:bookmarkEnd w:id="267"/>
    <w:bookmarkEnd w:id="268"/>
    <w:bookmarkEnd w:id="269"/>
    <w:bookmarkEnd w:id="270"/>
    <w:bookmarkEnd w:id="271"/>
    <w:bookmarkEnd w:id="272"/>
    <w:bookmarkEnd w:id="273"/>
    <w:bookmarkEnd w:id="274"/>
    <w:p w14:paraId="259654C2">
      <w:pPr>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rPr>
        <w:br w:type="page"/>
      </w:r>
    </w:p>
    <w:p w14:paraId="5A1B5962">
      <w:pPr>
        <w:pStyle w:val="2"/>
        <w:bidi w:val="0"/>
        <w:rPr>
          <w:rFonts w:hint="eastAsia" w:ascii="宋体" w:hAnsi="宋体" w:eastAsia="宋体" w:cs="宋体"/>
          <w:color w:val="auto"/>
          <w:sz w:val="36"/>
          <w:szCs w:val="36"/>
          <w:highlight w:val="none"/>
        </w:rPr>
      </w:pPr>
      <w:bookmarkStart w:id="275" w:name="_Toc6070"/>
      <w:bookmarkStart w:id="276" w:name="_Toc19486"/>
      <w:bookmarkStart w:id="277" w:name="_Toc27199"/>
      <w:bookmarkStart w:id="278" w:name="_Toc24661"/>
      <w:r>
        <w:rPr>
          <w:rFonts w:hint="eastAsia" w:ascii="宋体" w:hAnsi="宋体" w:eastAsia="宋体" w:cs="宋体"/>
          <w:color w:val="auto"/>
          <w:sz w:val="36"/>
          <w:szCs w:val="36"/>
          <w:highlight w:val="none"/>
        </w:rPr>
        <w:t xml:space="preserve">第六篇 </w:t>
      </w:r>
      <w:bookmarkEnd w:id="221"/>
      <w:bookmarkEnd w:id="275"/>
      <w:r>
        <w:rPr>
          <w:rFonts w:hint="eastAsia" w:ascii="宋体" w:hAnsi="宋体" w:eastAsia="宋体" w:cs="宋体"/>
          <w:color w:val="auto"/>
          <w:sz w:val="36"/>
          <w:szCs w:val="36"/>
          <w:highlight w:val="none"/>
          <w:lang w:eastAsia="zh-CN"/>
        </w:rPr>
        <w:t>竞选文件</w:t>
      </w:r>
      <w:r>
        <w:rPr>
          <w:rFonts w:hint="eastAsia" w:ascii="宋体" w:hAnsi="宋体" w:eastAsia="宋体" w:cs="宋体"/>
          <w:color w:val="auto"/>
          <w:sz w:val="36"/>
          <w:szCs w:val="36"/>
          <w:highlight w:val="none"/>
        </w:rPr>
        <w:t>格式</w:t>
      </w:r>
      <w:bookmarkEnd w:id="276"/>
      <w:bookmarkEnd w:id="277"/>
      <w:bookmarkEnd w:id="278"/>
    </w:p>
    <w:p w14:paraId="7A5F4B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rPr>
      </w:pPr>
      <w:bookmarkStart w:id="279" w:name="_Toc22811"/>
      <w:bookmarkStart w:id="280" w:name="_Toc15251"/>
      <w:bookmarkStart w:id="281" w:name="_Toc30939"/>
      <w:bookmarkStart w:id="282" w:name="_Toc9790"/>
      <w:bookmarkStart w:id="283" w:name="_Toc10248"/>
    </w:p>
    <w:p w14:paraId="2BABDF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w:t>
      </w:r>
      <w:bookmarkEnd w:id="279"/>
      <w:bookmarkEnd w:id="280"/>
      <w:bookmarkEnd w:id="281"/>
      <w:bookmarkEnd w:id="282"/>
      <w:bookmarkEnd w:id="283"/>
      <w:r>
        <w:rPr>
          <w:rFonts w:hint="eastAsia" w:ascii="宋体" w:hAnsi="宋体" w:eastAsia="宋体" w:cs="宋体"/>
          <w:b/>
          <w:bCs/>
          <w:color w:val="auto"/>
          <w:sz w:val="24"/>
          <w:szCs w:val="24"/>
          <w:highlight w:val="none"/>
          <w:lang w:eastAsia="zh-CN"/>
        </w:rPr>
        <w:t>经济部分</w:t>
      </w:r>
    </w:p>
    <w:p w14:paraId="110822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rPr>
      </w:pPr>
      <w:bookmarkStart w:id="284" w:name="_Toc26419"/>
      <w:bookmarkStart w:id="285" w:name="_Toc254"/>
      <w:bookmarkStart w:id="286" w:name="_Toc26002"/>
      <w:bookmarkStart w:id="287" w:name="_Toc18890"/>
      <w:bookmarkStart w:id="288" w:name="_Toc24000"/>
      <w:r>
        <w:rPr>
          <w:rFonts w:hint="eastAsia" w:ascii="宋体" w:hAnsi="宋体" w:eastAsia="宋体" w:cs="宋体"/>
          <w:b/>
          <w:bCs/>
          <w:color w:val="auto"/>
          <w:sz w:val="24"/>
          <w:szCs w:val="24"/>
          <w:highlight w:val="none"/>
        </w:rPr>
        <w:t>二、资格</w:t>
      </w:r>
      <w:bookmarkEnd w:id="284"/>
      <w:bookmarkEnd w:id="285"/>
      <w:bookmarkEnd w:id="286"/>
      <w:bookmarkEnd w:id="287"/>
      <w:r>
        <w:rPr>
          <w:rFonts w:hint="eastAsia" w:ascii="宋体" w:hAnsi="宋体" w:eastAsia="宋体" w:cs="宋体"/>
          <w:b/>
          <w:bCs/>
          <w:color w:val="auto"/>
          <w:sz w:val="24"/>
          <w:szCs w:val="24"/>
          <w:highlight w:val="none"/>
        </w:rPr>
        <w:t>文件</w:t>
      </w:r>
      <w:bookmarkEnd w:id="288"/>
    </w:p>
    <w:p w14:paraId="43FF4DE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eastAsia="zh-CN"/>
        </w:rPr>
      </w:pPr>
      <w:bookmarkStart w:id="289" w:name="_Toc19972"/>
      <w:bookmarkStart w:id="290" w:name="_Toc16080"/>
      <w:bookmarkStart w:id="291" w:name="_Toc6114"/>
      <w:bookmarkStart w:id="292" w:name="_Toc11535"/>
      <w:bookmarkStart w:id="293" w:name="_Toc7698"/>
      <w:r>
        <w:rPr>
          <w:rFonts w:hint="eastAsia" w:ascii="宋体" w:hAnsi="宋体" w:eastAsia="宋体" w:cs="宋体"/>
          <w:b/>
          <w:bCs/>
          <w:color w:val="auto"/>
          <w:sz w:val="24"/>
          <w:szCs w:val="24"/>
          <w:highlight w:val="none"/>
        </w:rPr>
        <w:t>三、</w:t>
      </w:r>
      <w:bookmarkEnd w:id="289"/>
      <w:bookmarkEnd w:id="290"/>
      <w:bookmarkEnd w:id="291"/>
      <w:bookmarkEnd w:id="292"/>
      <w:bookmarkEnd w:id="293"/>
      <w:r>
        <w:rPr>
          <w:rFonts w:hint="eastAsia" w:ascii="宋体" w:hAnsi="宋体" w:eastAsia="宋体" w:cs="宋体"/>
          <w:b/>
          <w:bCs/>
          <w:color w:val="auto"/>
          <w:sz w:val="24"/>
          <w:szCs w:val="24"/>
          <w:highlight w:val="none"/>
          <w:lang w:eastAsia="zh-CN"/>
        </w:rPr>
        <w:t>技术部分</w:t>
      </w:r>
    </w:p>
    <w:p w14:paraId="1CC101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eastAsia="zh-CN"/>
        </w:rPr>
      </w:pPr>
      <w:bookmarkStart w:id="294" w:name="_Toc32049"/>
      <w:bookmarkStart w:id="295" w:name="_Toc29874"/>
      <w:bookmarkStart w:id="296" w:name="_Toc15817"/>
      <w:bookmarkStart w:id="297" w:name="_Toc8479"/>
      <w:bookmarkStart w:id="298" w:name="_Toc29209"/>
      <w:r>
        <w:rPr>
          <w:rFonts w:hint="eastAsia" w:ascii="宋体" w:hAnsi="宋体" w:eastAsia="宋体" w:cs="宋体"/>
          <w:b/>
          <w:bCs/>
          <w:color w:val="auto"/>
          <w:sz w:val="24"/>
          <w:szCs w:val="24"/>
          <w:highlight w:val="none"/>
        </w:rPr>
        <w:t>四、</w:t>
      </w:r>
      <w:bookmarkEnd w:id="294"/>
      <w:bookmarkEnd w:id="295"/>
      <w:bookmarkEnd w:id="296"/>
      <w:bookmarkEnd w:id="297"/>
      <w:bookmarkEnd w:id="298"/>
      <w:r>
        <w:rPr>
          <w:rFonts w:hint="eastAsia" w:ascii="宋体" w:hAnsi="宋体" w:eastAsia="宋体" w:cs="宋体"/>
          <w:b/>
          <w:bCs/>
          <w:color w:val="auto"/>
          <w:sz w:val="24"/>
          <w:szCs w:val="24"/>
          <w:highlight w:val="none"/>
          <w:lang w:eastAsia="zh-CN"/>
        </w:rPr>
        <w:t>商务部分</w:t>
      </w:r>
    </w:p>
    <w:p w14:paraId="60E807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rPr>
      </w:pPr>
      <w:bookmarkStart w:id="299" w:name="_Toc19746"/>
      <w:bookmarkStart w:id="300" w:name="_Toc8893"/>
      <w:bookmarkStart w:id="301" w:name="_Toc28431"/>
      <w:bookmarkStart w:id="302" w:name="_Toc29564"/>
      <w:bookmarkStart w:id="303" w:name="_Toc10309"/>
      <w:r>
        <w:rPr>
          <w:rFonts w:hint="eastAsia" w:ascii="宋体" w:hAnsi="宋体" w:eastAsia="宋体" w:cs="宋体"/>
          <w:b/>
          <w:bCs/>
          <w:color w:val="auto"/>
          <w:sz w:val="24"/>
          <w:szCs w:val="24"/>
          <w:highlight w:val="none"/>
        </w:rPr>
        <w:t>五、</w:t>
      </w:r>
      <w:bookmarkEnd w:id="299"/>
      <w:bookmarkEnd w:id="300"/>
      <w:bookmarkEnd w:id="301"/>
      <w:r>
        <w:rPr>
          <w:rFonts w:hint="eastAsia" w:ascii="宋体" w:hAnsi="宋体" w:eastAsia="宋体" w:cs="宋体"/>
          <w:b/>
          <w:bCs/>
          <w:color w:val="auto"/>
          <w:sz w:val="24"/>
          <w:szCs w:val="24"/>
          <w:highlight w:val="none"/>
        </w:rPr>
        <w:t>其他与项目有关的</w:t>
      </w:r>
      <w:bookmarkEnd w:id="302"/>
      <w:r>
        <w:rPr>
          <w:rFonts w:hint="eastAsia" w:ascii="宋体" w:hAnsi="宋体" w:eastAsia="宋体" w:cs="宋体"/>
          <w:b/>
          <w:bCs/>
          <w:color w:val="auto"/>
          <w:sz w:val="24"/>
          <w:szCs w:val="24"/>
          <w:highlight w:val="none"/>
        </w:rPr>
        <w:t>资料</w:t>
      </w:r>
      <w:bookmarkEnd w:id="303"/>
    </w:p>
    <w:p w14:paraId="54512BDE">
      <w:pPr>
        <w:rPr>
          <w:rFonts w:hint="eastAsia" w:ascii="宋体" w:hAnsi="宋体" w:eastAsia="宋体" w:cs="宋体"/>
          <w:b/>
          <w:bCs/>
          <w:color w:val="auto"/>
          <w:sz w:val="24"/>
          <w:szCs w:val="24"/>
          <w:highlight w:val="none"/>
        </w:rPr>
      </w:pPr>
    </w:p>
    <w:p w14:paraId="667A8BF2">
      <w:pPr>
        <w:rPr>
          <w:rFonts w:hint="eastAsia" w:ascii="宋体" w:hAnsi="宋体" w:eastAsia="宋体" w:cs="宋体"/>
          <w:b/>
          <w:color w:val="auto"/>
          <w:sz w:val="24"/>
          <w:szCs w:val="24"/>
          <w:highlight w:val="none"/>
        </w:rPr>
      </w:pPr>
      <w:bookmarkStart w:id="304" w:name="_Toc15893"/>
      <w:bookmarkStart w:id="305" w:name="_Toc75793540"/>
      <w:bookmarkStart w:id="306" w:name="_Toc27943"/>
      <w:bookmarkStart w:id="307" w:name="_Toc13547"/>
      <w:bookmarkStart w:id="308" w:name="_Toc14568"/>
      <w:bookmarkStart w:id="309" w:name="_Toc21561"/>
      <w:bookmarkStart w:id="310" w:name="_Toc23361"/>
      <w:bookmarkStart w:id="311" w:name="_Toc106030417"/>
      <w:bookmarkStart w:id="312" w:name="_Toc429584884"/>
      <w:bookmarkStart w:id="313" w:name="_Toc10124"/>
      <w:bookmarkStart w:id="314" w:name="_Toc29821"/>
      <w:bookmarkStart w:id="315" w:name="_Toc14552"/>
      <w:bookmarkStart w:id="316" w:name="_Toc31828"/>
      <w:bookmarkStart w:id="317" w:name="_Toc31914"/>
      <w:bookmarkStart w:id="318" w:name="_Toc25659"/>
      <w:bookmarkStart w:id="319" w:name="_Toc27612"/>
      <w:bookmarkStart w:id="320" w:name="_Toc17074"/>
      <w:r>
        <w:rPr>
          <w:rFonts w:hint="eastAsia" w:ascii="宋体" w:hAnsi="宋体" w:eastAsia="宋体" w:cs="宋体"/>
          <w:b/>
          <w:color w:val="auto"/>
          <w:sz w:val="24"/>
          <w:szCs w:val="24"/>
          <w:highlight w:val="none"/>
        </w:rPr>
        <w:br w:type="page"/>
      </w:r>
    </w:p>
    <w:p w14:paraId="6778E6AE">
      <w:pPr>
        <w:rPr>
          <w:rFonts w:hint="eastAsia" w:ascii="宋体" w:hAnsi="宋体" w:eastAsia="宋体" w:cs="宋体"/>
          <w:b/>
          <w:bCs/>
          <w:color w:val="auto"/>
          <w:kern w:val="2"/>
          <w:sz w:val="24"/>
          <w:szCs w:val="24"/>
          <w:highlight w:val="none"/>
          <w:lang w:val="en-US" w:eastAsia="zh-CN" w:bidi="ar-SA"/>
        </w:rPr>
      </w:pPr>
      <w:bookmarkStart w:id="321" w:name="_Toc23145"/>
      <w:bookmarkStart w:id="322" w:name="_Toc27722"/>
      <w:bookmarkStart w:id="323" w:name="_Toc11398"/>
      <w:bookmarkStart w:id="324" w:name="_Toc18181"/>
      <w:r>
        <w:rPr>
          <w:rFonts w:hint="eastAsia" w:ascii="宋体" w:hAnsi="宋体" w:eastAsia="宋体" w:cs="宋体"/>
          <w:b/>
          <w:bCs/>
          <w:color w:val="auto"/>
          <w:kern w:val="2"/>
          <w:sz w:val="24"/>
          <w:szCs w:val="24"/>
          <w:highlight w:val="none"/>
          <w:lang w:val="en-US" w:eastAsia="zh-CN" w:bidi="ar-SA"/>
        </w:rPr>
        <w:t>（封面格式参考）</w:t>
      </w:r>
    </w:p>
    <w:p w14:paraId="0DB321D2">
      <w:pPr>
        <w:rPr>
          <w:rFonts w:hint="eastAsia" w:ascii="宋体" w:hAnsi="宋体" w:eastAsia="宋体" w:cs="宋体"/>
          <w:b/>
          <w:bCs/>
          <w:color w:val="auto"/>
          <w:kern w:val="2"/>
          <w:sz w:val="24"/>
          <w:szCs w:val="24"/>
          <w:highlight w:val="none"/>
          <w:lang w:val="en-US" w:eastAsia="zh-CN" w:bidi="ar-SA"/>
        </w:rPr>
      </w:pPr>
    </w:p>
    <w:p w14:paraId="28A1F52A">
      <w:pPr>
        <w:rPr>
          <w:rFonts w:hint="eastAsia" w:ascii="宋体" w:hAnsi="宋体" w:eastAsia="宋体" w:cs="宋体"/>
          <w:b/>
          <w:bCs/>
          <w:color w:val="auto"/>
          <w:kern w:val="2"/>
          <w:sz w:val="24"/>
          <w:szCs w:val="24"/>
          <w:highlight w:val="none"/>
          <w:lang w:val="en-US" w:eastAsia="zh-CN" w:bidi="ar-SA"/>
        </w:rPr>
      </w:pPr>
    </w:p>
    <w:p w14:paraId="1E5453DC">
      <w:pPr>
        <w:rPr>
          <w:rFonts w:hint="eastAsia" w:ascii="宋体" w:hAnsi="宋体" w:eastAsia="宋体" w:cs="宋体"/>
          <w:b/>
          <w:bCs/>
          <w:color w:val="auto"/>
          <w:kern w:val="2"/>
          <w:sz w:val="24"/>
          <w:szCs w:val="24"/>
          <w:highlight w:val="none"/>
          <w:lang w:val="en-US" w:eastAsia="zh-CN" w:bidi="ar-SA"/>
        </w:rPr>
      </w:pPr>
    </w:p>
    <w:p w14:paraId="57E19F9A">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大渡口区疾控中心B栋民兵活动中心建设工程</w:t>
      </w:r>
    </w:p>
    <w:p w14:paraId="15699D2B">
      <w:pPr>
        <w:rPr>
          <w:rFonts w:hint="eastAsia" w:ascii="宋体" w:hAnsi="宋体" w:eastAsia="宋体" w:cs="宋体"/>
          <w:b/>
          <w:bCs/>
          <w:color w:val="auto"/>
          <w:kern w:val="2"/>
          <w:sz w:val="24"/>
          <w:szCs w:val="24"/>
          <w:highlight w:val="none"/>
          <w:lang w:val="en-US" w:eastAsia="zh-CN" w:bidi="ar-SA"/>
        </w:rPr>
      </w:pPr>
    </w:p>
    <w:p w14:paraId="57A2F51B">
      <w:pPr>
        <w:pStyle w:val="4"/>
        <w:rPr>
          <w:rFonts w:hint="eastAsia" w:ascii="宋体" w:hAnsi="宋体" w:eastAsia="宋体" w:cs="宋体"/>
          <w:b/>
          <w:bCs/>
          <w:color w:val="auto"/>
          <w:kern w:val="2"/>
          <w:sz w:val="24"/>
          <w:szCs w:val="24"/>
          <w:highlight w:val="none"/>
          <w:lang w:val="en-US" w:eastAsia="zh-CN" w:bidi="ar-SA"/>
        </w:rPr>
      </w:pPr>
    </w:p>
    <w:p w14:paraId="16455238">
      <w:pPr>
        <w:rPr>
          <w:rFonts w:hint="eastAsia" w:ascii="宋体" w:hAnsi="宋体" w:eastAsia="宋体" w:cs="宋体"/>
          <w:color w:val="auto"/>
          <w:sz w:val="24"/>
          <w:szCs w:val="24"/>
          <w:highlight w:val="none"/>
          <w:lang w:val="en-US" w:eastAsia="zh-CN"/>
        </w:rPr>
      </w:pPr>
    </w:p>
    <w:p w14:paraId="1AC341ED">
      <w:pPr>
        <w:rPr>
          <w:rFonts w:hint="eastAsia" w:ascii="宋体" w:hAnsi="宋体" w:eastAsia="宋体" w:cs="宋体"/>
          <w:b/>
          <w:bCs/>
          <w:color w:val="auto"/>
          <w:kern w:val="2"/>
          <w:sz w:val="24"/>
          <w:szCs w:val="24"/>
          <w:highlight w:val="none"/>
          <w:lang w:val="en-US" w:eastAsia="zh-CN" w:bidi="ar-SA"/>
        </w:rPr>
      </w:pPr>
    </w:p>
    <w:p w14:paraId="088A53A8">
      <w:pPr>
        <w:rPr>
          <w:rFonts w:hint="eastAsia" w:ascii="宋体" w:hAnsi="宋体" w:eastAsia="宋体" w:cs="宋体"/>
          <w:b/>
          <w:bCs/>
          <w:color w:val="auto"/>
          <w:kern w:val="2"/>
          <w:sz w:val="24"/>
          <w:szCs w:val="24"/>
          <w:highlight w:val="none"/>
          <w:lang w:val="en-US" w:eastAsia="zh-CN" w:bidi="ar-SA"/>
        </w:rPr>
      </w:pPr>
    </w:p>
    <w:p w14:paraId="0820D237">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竞选文件</w:t>
      </w:r>
    </w:p>
    <w:p w14:paraId="66A95476">
      <w:pPr>
        <w:jc w:val="center"/>
        <w:rPr>
          <w:rFonts w:hint="eastAsia" w:ascii="宋体" w:hAnsi="宋体" w:eastAsia="宋体" w:cs="宋体"/>
          <w:b/>
          <w:bCs/>
          <w:color w:val="auto"/>
          <w:kern w:val="2"/>
          <w:sz w:val="24"/>
          <w:szCs w:val="24"/>
          <w:highlight w:val="none"/>
          <w:lang w:val="en-US" w:eastAsia="zh-CN" w:bidi="ar-SA"/>
        </w:rPr>
      </w:pPr>
    </w:p>
    <w:p w14:paraId="1B944514">
      <w:pPr>
        <w:jc w:val="center"/>
        <w:rPr>
          <w:rFonts w:hint="eastAsia" w:ascii="宋体" w:hAnsi="宋体" w:eastAsia="宋体" w:cs="宋体"/>
          <w:b/>
          <w:bCs/>
          <w:color w:val="auto"/>
          <w:kern w:val="2"/>
          <w:sz w:val="24"/>
          <w:szCs w:val="24"/>
          <w:highlight w:val="none"/>
          <w:lang w:val="en-US" w:eastAsia="zh-CN" w:bidi="ar-SA"/>
        </w:rPr>
      </w:pPr>
    </w:p>
    <w:p w14:paraId="5B166F1C">
      <w:pPr>
        <w:pStyle w:val="4"/>
        <w:rPr>
          <w:rFonts w:hint="eastAsia" w:ascii="宋体" w:hAnsi="宋体" w:eastAsia="宋体" w:cs="宋体"/>
          <w:b/>
          <w:bCs/>
          <w:color w:val="auto"/>
          <w:kern w:val="2"/>
          <w:sz w:val="24"/>
          <w:szCs w:val="24"/>
          <w:highlight w:val="none"/>
          <w:lang w:val="en-US" w:eastAsia="zh-CN" w:bidi="ar-SA"/>
        </w:rPr>
      </w:pPr>
    </w:p>
    <w:p w14:paraId="2E05F2F3">
      <w:pPr>
        <w:rPr>
          <w:rFonts w:hint="eastAsia" w:ascii="宋体" w:hAnsi="宋体" w:eastAsia="宋体" w:cs="宋体"/>
          <w:b/>
          <w:bCs/>
          <w:color w:val="auto"/>
          <w:kern w:val="2"/>
          <w:sz w:val="24"/>
          <w:szCs w:val="24"/>
          <w:highlight w:val="none"/>
          <w:lang w:val="en-US" w:eastAsia="zh-CN" w:bidi="ar-SA"/>
        </w:rPr>
      </w:pPr>
    </w:p>
    <w:p w14:paraId="260F1D53">
      <w:pPr>
        <w:pStyle w:val="4"/>
        <w:rPr>
          <w:rFonts w:hint="eastAsia" w:ascii="宋体" w:hAnsi="宋体" w:eastAsia="宋体" w:cs="宋体"/>
          <w:b/>
          <w:bCs/>
          <w:color w:val="auto"/>
          <w:kern w:val="2"/>
          <w:sz w:val="24"/>
          <w:szCs w:val="24"/>
          <w:highlight w:val="none"/>
          <w:lang w:val="en-US" w:eastAsia="zh-CN" w:bidi="ar-SA"/>
        </w:rPr>
      </w:pPr>
    </w:p>
    <w:p w14:paraId="70322886">
      <w:pPr>
        <w:ind w:firstLine="1446" w:firstLineChars="600"/>
        <w:jc w:val="both"/>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lang w:val="en-US" w:eastAsia="zh-CN" w:bidi="ar-SA"/>
        </w:rPr>
        <w:t>竞选人名称（公章）：</w:t>
      </w:r>
      <w:r>
        <w:rPr>
          <w:rFonts w:hint="eastAsia" w:ascii="宋体" w:hAnsi="宋体" w:eastAsia="宋体" w:cs="宋体"/>
          <w:b/>
          <w:bCs/>
          <w:color w:val="auto"/>
          <w:kern w:val="2"/>
          <w:sz w:val="24"/>
          <w:szCs w:val="24"/>
          <w:highlight w:val="none"/>
          <w:u w:val="single"/>
          <w:lang w:val="en-US" w:eastAsia="zh-CN" w:bidi="ar-SA"/>
        </w:rPr>
        <w:t xml:space="preserve">             </w:t>
      </w:r>
    </w:p>
    <w:p w14:paraId="62D72C72">
      <w:pPr>
        <w:jc w:val="center"/>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 xml:space="preserve"> </w:t>
      </w:r>
    </w:p>
    <w:p w14:paraId="0626E5D8">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u w:val="none"/>
          <w:lang w:val="en-US" w:eastAsia="zh-CN" w:bidi="ar-SA"/>
        </w:rPr>
        <w:t>年   月   日</w:t>
      </w:r>
      <w:r>
        <w:rPr>
          <w:rFonts w:hint="eastAsia" w:ascii="宋体" w:hAnsi="宋体" w:eastAsia="宋体" w:cs="宋体"/>
          <w:b/>
          <w:bCs/>
          <w:color w:val="auto"/>
          <w:kern w:val="2"/>
          <w:sz w:val="24"/>
          <w:szCs w:val="24"/>
          <w:highlight w:val="none"/>
          <w:lang w:val="en-US" w:eastAsia="zh-CN" w:bidi="ar-SA"/>
        </w:rPr>
        <w:br w:type="page"/>
      </w:r>
    </w:p>
    <w:p w14:paraId="67E8B221">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目 录</w:t>
      </w:r>
    </w:p>
    <w:p w14:paraId="4F3DDB75">
      <w:pPr>
        <w:jc w:val="center"/>
        <w:rPr>
          <w:rFonts w:hint="eastAsia" w:ascii="宋体" w:hAnsi="宋体" w:eastAsia="宋体" w:cs="宋体"/>
          <w:b w:val="0"/>
          <w:bCs w:val="0"/>
          <w:color w:val="auto"/>
          <w:kern w:val="2"/>
          <w:sz w:val="24"/>
          <w:szCs w:val="24"/>
          <w:highlight w:val="none"/>
          <w:lang w:val="en-US" w:eastAsia="zh-CN" w:bidi="ar-SA"/>
        </w:rPr>
      </w:pPr>
    </w:p>
    <w:p w14:paraId="50830423">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（竞选人自拟）</w:t>
      </w:r>
    </w:p>
    <w:p w14:paraId="75AC217A">
      <w:pPr>
        <w:pStyle w:val="3"/>
        <w:ind w:firstLine="562"/>
        <w:rPr>
          <w:rFonts w:hint="eastAsia" w:ascii="宋体" w:hAnsi="宋体" w:eastAsia="宋体" w:cs="宋体"/>
          <w:b/>
          <w:bCs/>
          <w:color w:val="auto"/>
          <w:kern w:val="2"/>
          <w:sz w:val="24"/>
          <w:szCs w:val="24"/>
          <w:highlight w:val="none"/>
          <w:lang w:val="en-US" w:eastAsia="zh-CN" w:bidi="ar-SA"/>
        </w:rPr>
        <w:sectPr>
          <w:footerReference r:id="rId4" w:type="default"/>
          <w:pgSz w:w="11905" w:h="16838"/>
          <w:pgMar w:top="1134" w:right="1134" w:bottom="1134" w:left="1134" w:header="850" w:footer="992" w:gutter="0"/>
          <w:pgNumType w:fmt="numberInDash"/>
          <w:cols w:space="720" w:num="1"/>
          <w:docGrid w:type="lines" w:linePitch="388" w:charSpace="0"/>
        </w:sectPr>
      </w:pPr>
    </w:p>
    <w:p w14:paraId="1F3A1897">
      <w:pPr>
        <w:pStyle w:val="3"/>
        <w:ind w:firstLine="562"/>
        <w:rPr>
          <w:rFonts w:hint="eastAsia" w:ascii="宋体" w:hAnsi="宋体" w:eastAsia="宋体" w:cs="宋体"/>
          <w:b/>
          <w:bCs/>
          <w:color w:val="auto"/>
          <w:kern w:val="2"/>
          <w:sz w:val="24"/>
          <w:szCs w:val="24"/>
          <w:highlight w:val="none"/>
          <w:lang w:val="en-US" w:eastAsia="zh-CN" w:bidi="ar-SA"/>
        </w:rPr>
      </w:pPr>
      <w:bookmarkStart w:id="325" w:name="_Toc18215"/>
      <w:r>
        <w:rPr>
          <w:rFonts w:hint="eastAsia" w:ascii="宋体" w:hAnsi="宋体" w:eastAsia="宋体" w:cs="宋体"/>
          <w:b/>
          <w:bCs/>
          <w:color w:val="auto"/>
          <w:kern w:val="2"/>
          <w:sz w:val="24"/>
          <w:szCs w:val="24"/>
          <w:highlight w:val="none"/>
          <w:lang w:val="en-US" w:eastAsia="zh-CN" w:bidi="ar-SA"/>
        </w:rPr>
        <w:t>一、</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1"/>
      <w:bookmarkEnd w:id="322"/>
      <w:bookmarkEnd w:id="323"/>
      <w:r>
        <w:rPr>
          <w:rFonts w:hint="eastAsia" w:ascii="宋体" w:hAnsi="宋体" w:eastAsia="宋体" w:cs="宋体"/>
          <w:b/>
          <w:bCs/>
          <w:color w:val="auto"/>
          <w:kern w:val="2"/>
          <w:sz w:val="24"/>
          <w:szCs w:val="24"/>
          <w:highlight w:val="none"/>
          <w:lang w:val="en-US" w:eastAsia="zh-CN" w:bidi="ar-SA"/>
        </w:rPr>
        <w:t>经济部分</w:t>
      </w:r>
      <w:bookmarkEnd w:id="324"/>
      <w:bookmarkEnd w:id="325"/>
    </w:p>
    <w:p w14:paraId="366F879C">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（一）报价</w:t>
      </w:r>
      <w:r>
        <w:rPr>
          <w:rFonts w:hint="eastAsia" w:ascii="宋体" w:hAnsi="宋体" w:eastAsia="宋体" w:cs="宋体"/>
          <w:b/>
          <w:bCs/>
          <w:color w:val="auto"/>
          <w:sz w:val="24"/>
          <w:szCs w:val="24"/>
          <w:highlight w:val="none"/>
          <w:lang w:val="en-US" w:eastAsia="zh-CN"/>
        </w:rPr>
        <w:t>函</w:t>
      </w:r>
    </w:p>
    <w:p w14:paraId="6C86FC08">
      <w:pPr>
        <w:spacing w:line="500" w:lineRule="exact"/>
        <w:rPr>
          <w:rFonts w:hint="eastAsia" w:ascii="宋体" w:hAnsi="宋体" w:eastAsia="宋体" w:cs="宋体"/>
          <w:color w:val="auto"/>
          <w:sz w:val="24"/>
          <w:szCs w:val="24"/>
          <w:highlight w:val="none"/>
        </w:rPr>
      </w:pPr>
    </w:p>
    <w:p w14:paraId="6C5B0E78">
      <w:pPr>
        <w:tabs>
          <w:tab w:val="left" w:pos="6300"/>
        </w:tabs>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比选人或比选代理</w:t>
      </w:r>
      <w:r>
        <w:rPr>
          <w:rFonts w:hint="eastAsia" w:ascii="宋体" w:hAnsi="宋体" w:eastAsia="宋体" w:cs="宋体"/>
          <w:color w:val="auto"/>
          <w:sz w:val="24"/>
          <w:szCs w:val="24"/>
          <w:highlight w:val="none"/>
          <w:u w:val="single"/>
        </w:rPr>
        <w:t>机构名称）</w:t>
      </w:r>
      <w:r>
        <w:rPr>
          <w:rFonts w:hint="eastAsia" w:ascii="宋体" w:hAnsi="宋体" w:eastAsia="宋体" w:cs="宋体"/>
          <w:color w:val="auto"/>
          <w:sz w:val="24"/>
          <w:szCs w:val="24"/>
          <w:highlight w:val="none"/>
        </w:rPr>
        <w:t>：</w:t>
      </w:r>
    </w:p>
    <w:p w14:paraId="37EF9E06">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，经详细研究，决定参加该项目的</w:t>
      </w:r>
      <w:r>
        <w:rPr>
          <w:rFonts w:hint="eastAsia" w:ascii="宋体" w:hAnsi="宋体" w:eastAsia="宋体" w:cs="宋体"/>
          <w:color w:val="auto"/>
          <w:sz w:val="24"/>
          <w:szCs w:val="24"/>
          <w:highlight w:val="none"/>
          <w:lang w:val="en-US" w:eastAsia="zh-CN"/>
        </w:rPr>
        <w:t>竞选</w:t>
      </w:r>
      <w:r>
        <w:rPr>
          <w:rFonts w:hint="eastAsia" w:ascii="宋体" w:hAnsi="宋体" w:eastAsia="宋体" w:cs="宋体"/>
          <w:color w:val="auto"/>
          <w:sz w:val="24"/>
          <w:szCs w:val="24"/>
          <w:highlight w:val="none"/>
        </w:rPr>
        <w:t>。</w:t>
      </w:r>
    </w:p>
    <w:p w14:paraId="3D2C54FB">
      <w:pPr>
        <w:numPr>
          <w:ilvl w:val="0"/>
          <w:numId w:val="1"/>
        </w:numPr>
        <w:tabs>
          <w:tab w:val="left" w:pos="6300"/>
        </w:tabs>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愿意按照</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中的一切要求，提供本项目的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总报价为人民币大写：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其中安全文明施工费</w:t>
      </w:r>
      <w:r>
        <w:rPr>
          <w:rFonts w:hint="eastAsia" w:ascii="宋体" w:hAnsi="宋体" w:eastAsia="宋体" w:cs="宋体"/>
          <w:color w:val="auto"/>
          <w:sz w:val="24"/>
          <w:szCs w:val="24"/>
          <w:highlight w:val="none"/>
        </w:rPr>
        <w:t>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7FC6DC72">
      <w:pPr>
        <w:numPr>
          <w:ilvl w:val="0"/>
          <w:numId w:val="0"/>
        </w:num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2、我方提交的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正本一份、副本二份、电子文档一份</w:t>
      </w:r>
      <w:r>
        <w:rPr>
          <w:rFonts w:hint="eastAsia" w:ascii="宋体" w:hAnsi="宋体" w:eastAsia="宋体" w:cs="宋体"/>
          <w:color w:val="auto"/>
          <w:sz w:val="24"/>
          <w:szCs w:val="24"/>
          <w:highlight w:val="none"/>
        </w:rPr>
        <w:t>。</w:t>
      </w:r>
    </w:p>
    <w:p w14:paraId="20545F8A">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的有效期为90天。</w:t>
      </w:r>
    </w:p>
    <w:p w14:paraId="53D2D19B">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的一切规定和要求及评审办法。</w:t>
      </w:r>
    </w:p>
    <w:p w14:paraId="7B506634">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过程中，我方若有违规行为，接受按照《中华人民共和国政府采购法》及其实施条例等规定给予惩罚。</w:t>
      </w:r>
    </w:p>
    <w:p w14:paraId="680357C1">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，将按照最终</w:t>
      </w: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结果签订合同，并且严格履行合同义务。本报价函将成为合同不可分割的一部分，与合同具有同等的法律效力。</w:t>
      </w:r>
    </w:p>
    <w:p w14:paraId="7B65511F">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7、我方理解，最低报价不是成交的唯一条件。</w:t>
      </w:r>
    </w:p>
    <w:p w14:paraId="0BEB8FAF">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8、我方未为</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项目提供整体设计、规范编制或者项目管理、监理、施工自检等服务。</w:t>
      </w:r>
    </w:p>
    <w:p w14:paraId="5822997D">
      <w:pPr>
        <w:tabs>
          <w:tab w:val="left" w:pos="6300"/>
        </w:tabs>
        <w:snapToGrid w:val="0"/>
        <w:spacing w:line="312" w:lineRule="auto"/>
        <w:ind w:firstLine="570"/>
        <w:rPr>
          <w:rFonts w:hint="eastAsia" w:ascii="宋体" w:hAnsi="宋体" w:eastAsia="宋体" w:cs="宋体"/>
          <w:color w:val="auto"/>
          <w:sz w:val="24"/>
          <w:szCs w:val="24"/>
          <w:highlight w:val="none"/>
        </w:rPr>
      </w:pPr>
    </w:p>
    <w:p w14:paraId="70B13D7A">
      <w:pPr>
        <w:tabs>
          <w:tab w:val="left" w:pos="6300"/>
        </w:tabs>
        <w:snapToGrid w:val="0"/>
        <w:spacing w:line="312" w:lineRule="auto"/>
        <w:ind w:firstLine="570"/>
        <w:rPr>
          <w:rFonts w:hint="eastAsia" w:ascii="宋体" w:hAnsi="宋体" w:eastAsia="宋体" w:cs="宋体"/>
          <w:color w:val="auto"/>
          <w:sz w:val="24"/>
          <w:szCs w:val="24"/>
          <w:highlight w:val="none"/>
        </w:rPr>
      </w:pPr>
    </w:p>
    <w:p w14:paraId="2EC10A74">
      <w:pPr>
        <w:tabs>
          <w:tab w:val="left" w:pos="6300"/>
        </w:tabs>
        <w:snapToGrid w:val="0"/>
        <w:spacing w:line="312" w:lineRule="auto"/>
        <w:ind w:firstLine="570"/>
        <w:rPr>
          <w:rFonts w:hint="eastAsia" w:ascii="宋体" w:hAnsi="宋体" w:eastAsia="宋体" w:cs="宋体"/>
          <w:color w:val="auto"/>
          <w:sz w:val="24"/>
          <w:szCs w:val="24"/>
          <w:highlight w:val="none"/>
        </w:rPr>
      </w:pPr>
    </w:p>
    <w:p w14:paraId="6408884F">
      <w:pPr>
        <w:tabs>
          <w:tab w:val="left" w:pos="6300"/>
        </w:tabs>
        <w:snapToGrid w:val="0"/>
        <w:spacing w:line="312" w:lineRule="auto"/>
        <w:ind w:firstLine="570"/>
        <w:rPr>
          <w:rFonts w:hint="eastAsia" w:ascii="宋体" w:hAnsi="宋体" w:eastAsia="宋体" w:cs="宋体"/>
          <w:color w:val="auto"/>
          <w:sz w:val="24"/>
          <w:szCs w:val="24"/>
          <w:highlight w:val="none"/>
        </w:rPr>
      </w:pPr>
    </w:p>
    <w:p w14:paraId="7ABAD1C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34F5D7F2">
      <w:pPr>
        <w:snapToGrid w:val="0"/>
        <w:spacing w:line="312" w:lineRule="auto"/>
        <w:ind w:firstLine="480" w:firstLineChars="200"/>
        <w:rPr>
          <w:rFonts w:hint="eastAsia" w:ascii="宋体" w:hAnsi="宋体" w:eastAsia="宋体" w:cs="宋体"/>
          <w:color w:val="auto"/>
          <w:sz w:val="24"/>
          <w:szCs w:val="24"/>
          <w:highlight w:val="none"/>
        </w:rPr>
        <w:sectPr>
          <w:pgSz w:w="11905" w:h="16838"/>
          <w:pgMar w:top="1247" w:right="1361" w:bottom="1247" w:left="1361" w:header="850" w:footer="992" w:gutter="0"/>
          <w:pgNumType w:fmt="numberInDash"/>
          <w:cols w:space="720" w:num="1"/>
          <w:docGrid w:type="lines" w:linePitch="388" w:charSpace="0"/>
        </w:sectPr>
      </w:pPr>
      <w:r>
        <w:rPr>
          <w:rFonts w:hint="eastAsia" w:ascii="宋体" w:hAnsi="宋体" w:eastAsia="宋体" w:cs="宋体"/>
          <w:color w:val="auto"/>
          <w:sz w:val="24"/>
          <w:szCs w:val="24"/>
          <w:highlight w:val="none"/>
        </w:rPr>
        <w:t xml:space="preserve">                                                  年   月   日</w:t>
      </w:r>
    </w:p>
    <w:p w14:paraId="77DA1008">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w:t>
      </w:r>
    </w:p>
    <w:p w14:paraId="25CD504C">
      <w:pPr>
        <w:rPr>
          <w:rFonts w:hint="eastAsia" w:ascii="宋体" w:hAnsi="宋体" w:eastAsia="宋体" w:cs="宋体"/>
          <w:b/>
          <w:bCs/>
          <w:color w:val="auto"/>
          <w:sz w:val="24"/>
          <w:szCs w:val="24"/>
          <w:highlight w:val="none"/>
          <w:lang w:val="en-US" w:eastAsia="zh-CN"/>
        </w:rPr>
      </w:pPr>
      <w:bookmarkStart w:id="326" w:name="_Toc17887"/>
      <w:bookmarkStart w:id="327" w:name="_Toc23238"/>
      <w:r>
        <w:rPr>
          <w:rFonts w:hint="eastAsia" w:ascii="宋体" w:hAnsi="宋体" w:eastAsia="宋体" w:cs="宋体"/>
          <w:b/>
          <w:bCs/>
          <w:color w:val="auto"/>
          <w:sz w:val="24"/>
          <w:szCs w:val="24"/>
          <w:highlight w:val="none"/>
        </w:rPr>
        <w:t>（二）</w:t>
      </w:r>
      <w:bookmarkEnd w:id="326"/>
      <w:bookmarkEnd w:id="327"/>
      <w:r>
        <w:rPr>
          <w:rFonts w:hint="eastAsia" w:ascii="宋体" w:hAnsi="宋体" w:eastAsia="宋体" w:cs="宋体"/>
          <w:b/>
          <w:bCs/>
          <w:color w:val="auto"/>
          <w:sz w:val="24"/>
          <w:szCs w:val="24"/>
          <w:highlight w:val="none"/>
          <w:lang w:val="en-US" w:eastAsia="zh-CN"/>
        </w:rPr>
        <w:t>已标价工程量清单</w:t>
      </w:r>
    </w:p>
    <w:p w14:paraId="36A36B58">
      <w:pPr>
        <w:spacing w:line="480" w:lineRule="atLeast"/>
        <w:ind w:firstLine="420"/>
        <w:rPr>
          <w:rFonts w:hint="eastAsia" w:ascii="宋体" w:hAnsi="宋体" w:eastAsia="宋体" w:cs="宋体"/>
          <w:b/>
          <w:color w:val="auto"/>
          <w:sz w:val="24"/>
          <w:szCs w:val="24"/>
          <w:highlight w:val="none"/>
        </w:rPr>
      </w:pPr>
    </w:p>
    <w:p w14:paraId="184615A4">
      <w:pPr>
        <w:spacing w:line="480" w:lineRule="atLeast"/>
        <w:rPr>
          <w:rFonts w:hint="eastAsia" w:ascii="宋体" w:hAnsi="宋体" w:eastAsia="宋体" w:cs="宋体"/>
          <w:color w:val="auto"/>
          <w:sz w:val="24"/>
          <w:szCs w:val="24"/>
          <w:highlight w:val="none"/>
        </w:rPr>
      </w:pPr>
    </w:p>
    <w:p w14:paraId="023E3BD7">
      <w:pPr>
        <w:pStyle w:val="4"/>
        <w:rPr>
          <w:rFonts w:hint="eastAsia" w:ascii="宋体" w:hAnsi="宋体" w:eastAsia="宋体" w:cs="宋体"/>
          <w:color w:val="auto"/>
          <w:sz w:val="24"/>
          <w:szCs w:val="24"/>
          <w:highlight w:val="none"/>
        </w:rPr>
      </w:pPr>
    </w:p>
    <w:p w14:paraId="6FD6CA76">
      <w:pPr>
        <w:jc w:val="center"/>
        <w:rPr>
          <w:rFonts w:hint="eastAsia" w:ascii="宋体" w:hAnsi="宋体" w:eastAsia="宋体" w:cs="宋体"/>
          <w:color w:val="auto"/>
          <w:sz w:val="24"/>
          <w:szCs w:val="24"/>
          <w:highlight w:val="none"/>
          <w:lang w:eastAsia="zh-CN"/>
        </w:rPr>
        <w:sectPr>
          <w:footerReference r:id="rId5" w:type="default"/>
          <w:pgSz w:w="11907" w:h="16840"/>
          <w:pgMar w:top="1134" w:right="1418" w:bottom="1134" w:left="1418" w:header="850" w:footer="992" w:gutter="0"/>
          <w:pgNumType w:fmt="numberInDash"/>
          <w:cols w:space="720" w:num="1"/>
          <w:docGrid w:linePitch="312" w:charSpace="0"/>
        </w:sect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竞选人自附，报价相关要求详见“第三篇”</w:t>
      </w:r>
      <w:r>
        <w:rPr>
          <w:rFonts w:hint="eastAsia" w:ascii="宋体" w:hAnsi="宋体" w:eastAsia="宋体" w:cs="宋体"/>
          <w:color w:val="auto"/>
          <w:sz w:val="24"/>
          <w:szCs w:val="24"/>
          <w:highlight w:val="none"/>
          <w:lang w:eastAsia="zh-CN"/>
        </w:rPr>
        <w:t>）</w:t>
      </w:r>
    </w:p>
    <w:p w14:paraId="77BFC010">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宋体" w:hAnsi="宋体" w:eastAsia="宋体" w:cs="宋体"/>
          <w:b/>
          <w:bCs/>
          <w:color w:val="auto"/>
          <w:kern w:val="2"/>
          <w:sz w:val="24"/>
          <w:szCs w:val="24"/>
          <w:highlight w:val="none"/>
          <w:lang w:val="en-US" w:eastAsia="zh-CN" w:bidi="ar-SA"/>
        </w:rPr>
      </w:pPr>
      <w:bookmarkStart w:id="328" w:name="_Toc14140"/>
      <w:bookmarkStart w:id="329" w:name="_Toc6124"/>
      <w:bookmarkStart w:id="330" w:name="_Toc4271"/>
      <w:bookmarkStart w:id="331" w:name="_Toc18471"/>
      <w:bookmarkStart w:id="332" w:name="_Toc23499"/>
      <w:bookmarkStart w:id="333" w:name="_Toc18310"/>
      <w:bookmarkStart w:id="334" w:name="_Toc18485"/>
      <w:bookmarkStart w:id="335" w:name="_Toc553"/>
      <w:bookmarkStart w:id="336" w:name="_Toc26143"/>
      <w:r>
        <w:rPr>
          <w:rFonts w:hint="eastAsia" w:ascii="宋体" w:hAnsi="宋体" w:eastAsia="宋体" w:cs="宋体"/>
          <w:b/>
          <w:bCs/>
          <w:color w:val="auto"/>
          <w:kern w:val="2"/>
          <w:sz w:val="24"/>
          <w:szCs w:val="24"/>
          <w:highlight w:val="none"/>
          <w:lang w:val="en-US" w:eastAsia="zh-CN" w:bidi="ar-SA"/>
        </w:rPr>
        <w:t>二、资格条件及其他</w:t>
      </w:r>
      <w:bookmarkEnd w:id="328"/>
      <w:bookmarkEnd w:id="329"/>
      <w:bookmarkEnd w:id="330"/>
      <w:bookmarkEnd w:id="331"/>
      <w:bookmarkEnd w:id="332"/>
      <w:bookmarkEnd w:id="333"/>
      <w:bookmarkEnd w:id="334"/>
      <w:bookmarkEnd w:id="335"/>
      <w:bookmarkEnd w:id="336"/>
    </w:p>
    <w:p w14:paraId="1B6C39D6">
      <w:pPr>
        <w:tabs>
          <w:tab w:val="left" w:pos="6300"/>
        </w:tabs>
        <w:snapToGrid w:val="0"/>
        <w:spacing w:line="480" w:lineRule="atLeast"/>
        <w:ind w:firstLine="57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（一）营业执照</w:t>
      </w:r>
    </w:p>
    <w:p w14:paraId="20865AB7">
      <w:pPr>
        <w:spacing w:line="480" w:lineRule="atLeast"/>
        <w:jc w:val="center"/>
        <w:rPr>
          <w:rFonts w:hint="eastAsia" w:ascii="宋体" w:hAnsi="宋体" w:eastAsia="宋体" w:cs="宋体"/>
          <w:color w:val="auto"/>
          <w:sz w:val="24"/>
          <w:szCs w:val="24"/>
          <w:highlight w:val="none"/>
          <w:u w:val="single"/>
        </w:rPr>
      </w:pPr>
    </w:p>
    <w:p w14:paraId="62F71BD0">
      <w:pPr>
        <w:rPr>
          <w:rFonts w:hint="eastAsia" w:ascii="宋体" w:hAnsi="宋体" w:eastAsia="宋体" w:cs="宋体"/>
          <w:color w:val="auto"/>
          <w:sz w:val="24"/>
          <w:szCs w:val="24"/>
          <w:highlight w:val="none"/>
        </w:rPr>
      </w:pPr>
    </w:p>
    <w:p w14:paraId="38CACB57">
      <w:pPr>
        <w:rPr>
          <w:rFonts w:hint="eastAsia" w:ascii="宋体" w:hAnsi="宋体" w:eastAsia="宋体" w:cs="宋体"/>
          <w:color w:val="auto"/>
          <w:sz w:val="24"/>
          <w:szCs w:val="24"/>
          <w:highlight w:val="none"/>
        </w:rPr>
      </w:pPr>
    </w:p>
    <w:p w14:paraId="3FA3AC75">
      <w:pPr>
        <w:rPr>
          <w:rFonts w:hint="eastAsia" w:ascii="宋体" w:hAnsi="宋体" w:eastAsia="宋体" w:cs="宋体"/>
          <w:color w:val="auto"/>
          <w:sz w:val="24"/>
          <w:szCs w:val="24"/>
          <w:highlight w:val="none"/>
        </w:rPr>
      </w:pPr>
    </w:p>
    <w:p w14:paraId="35835784">
      <w:pPr>
        <w:rPr>
          <w:rFonts w:hint="eastAsia" w:ascii="宋体" w:hAnsi="宋体" w:eastAsia="宋体" w:cs="宋体"/>
          <w:color w:val="auto"/>
          <w:sz w:val="24"/>
          <w:szCs w:val="24"/>
          <w:highlight w:val="none"/>
        </w:rPr>
      </w:pPr>
    </w:p>
    <w:p w14:paraId="3870B2E4">
      <w:pPr>
        <w:rPr>
          <w:rFonts w:hint="eastAsia" w:ascii="宋体" w:hAnsi="宋体" w:eastAsia="宋体" w:cs="宋体"/>
          <w:color w:val="auto"/>
          <w:sz w:val="24"/>
          <w:szCs w:val="24"/>
          <w:highlight w:val="none"/>
        </w:rPr>
      </w:pPr>
    </w:p>
    <w:p w14:paraId="372F849C">
      <w:pPr>
        <w:rPr>
          <w:rFonts w:hint="eastAsia" w:ascii="宋体" w:hAnsi="宋体" w:eastAsia="宋体" w:cs="宋体"/>
          <w:color w:val="auto"/>
          <w:sz w:val="24"/>
          <w:szCs w:val="24"/>
          <w:highlight w:val="none"/>
        </w:rPr>
      </w:pPr>
    </w:p>
    <w:p w14:paraId="60AA3920">
      <w:pPr>
        <w:rPr>
          <w:rFonts w:hint="eastAsia" w:ascii="宋体" w:hAnsi="宋体" w:eastAsia="宋体" w:cs="宋体"/>
          <w:color w:val="auto"/>
          <w:sz w:val="24"/>
          <w:szCs w:val="24"/>
          <w:highlight w:val="none"/>
        </w:rPr>
      </w:pPr>
    </w:p>
    <w:p w14:paraId="7C3B3FEA">
      <w:pPr>
        <w:rPr>
          <w:rFonts w:hint="eastAsia" w:ascii="宋体" w:hAnsi="宋体" w:eastAsia="宋体" w:cs="宋体"/>
          <w:color w:val="auto"/>
          <w:sz w:val="24"/>
          <w:szCs w:val="24"/>
          <w:highlight w:val="none"/>
        </w:rPr>
      </w:pPr>
    </w:p>
    <w:p w14:paraId="1017C77C">
      <w:pPr>
        <w:rPr>
          <w:rFonts w:hint="eastAsia" w:ascii="宋体" w:hAnsi="宋体" w:eastAsia="宋体" w:cs="宋体"/>
          <w:color w:val="auto"/>
          <w:sz w:val="24"/>
          <w:szCs w:val="24"/>
          <w:highlight w:val="none"/>
        </w:rPr>
      </w:pPr>
    </w:p>
    <w:p w14:paraId="17163CD5">
      <w:pPr>
        <w:rPr>
          <w:rFonts w:hint="eastAsia" w:ascii="宋体" w:hAnsi="宋体" w:eastAsia="宋体" w:cs="宋体"/>
          <w:color w:val="auto"/>
          <w:sz w:val="24"/>
          <w:szCs w:val="24"/>
          <w:highlight w:val="none"/>
        </w:rPr>
      </w:pPr>
    </w:p>
    <w:p w14:paraId="2F134190">
      <w:pPr>
        <w:rPr>
          <w:rFonts w:hint="eastAsia" w:ascii="宋体" w:hAnsi="宋体" w:eastAsia="宋体" w:cs="宋体"/>
          <w:color w:val="auto"/>
          <w:sz w:val="24"/>
          <w:szCs w:val="24"/>
          <w:highlight w:val="none"/>
        </w:rPr>
      </w:pPr>
    </w:p>
    <w:p w14:paraId="001F54A1">
      <w:pPr>
        <w:rPr>
          <w:rFonts w:hint="eastAsia" w:ascii="宋体" w:hAnsi="宋体" w:eastAsia="宋体" w:cs="宋体"/>
          <w:color w:val="auto"/>
          <w:sz w:val="24"/>
          <w:szCs w:val="24"/>
          <w:highlight w:val="none"/>
        </w:rPr>
      </w:pPr>
    </w:p>
    <w:p w14:paraId="0AB7FE3C">
      <w:pPr>
        <w:rPr>
          <w:rFonts w:hint="eastAsia" w:ascii="宋体" w:hAnsi="宋体" w:eastAsia="宋体" w:cs="宋体"/>
          <w:color w:val="auto"/>
          <w:sz w:val="24"/>
          <w:szCs w:val="24"/>
          <w:highlight w:val="none"/>
        </w:rPr>
      </w:pPr>
    </w:p>
    <w:p w14:paraId="0246715B">
      <w:pPr>
        <w:rPr>
          <w:rFonts w:hint="eastAsia" w:ascii="宋体" w:hAnsi="宋体" w:eastAsia="宋体" w:cs="宋体"/>
          <w:color w:val="auto"/>
          <w:sz w:val="24"/>
          <w:szCs w:val="24"/>
          <w:highlight w:val="none"/>
        </w:rPr>
      </w:pPr>
    </w:p>
    <w:p w14:paraId="03BBA60D">
      <w:pPr>
        <w:rPr>
          <w:rFonts w:hint="eastAsia" w:ascii="宋体" w:hAnsi="宋体" w:eastAsia="宋体" w:cs="宋体"/>
          <w:color w:val="auto"/>
          <w:sz w:val="24"/>
          <w:szCs w:val="24"/>
          <w:highlight w:val="none"/>
        </w:rPr>
      </w:pPr>
    </w:p>
    <w:p w14:paraId="5F2D9A18">
      <w:pPr>
        <w:rPr>
          <w:rFonts w:hint="eastAsia" w:ascii="宋体" w:hAnsi="宋体" w:eastAsia="宋体" w:cs="宋体"/>
          <w:color w:val="auto"/>
          <w:sz w:val="24"/>
          <w:szCs w:val="24"/>
          <w:highlight w:val="none"/>
        </w:rPr>
      </w:pPr>
    </w:p>
    <w:p w14:paraId="04DB26E4">
      <w:pPr>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337" w:name="_Toc13155"/>
      <w:bookmarkStart w:id="338" w:name="_Toc16414"/>
      <w:bookmarkStart w:id="339" w:name="_Toc22071"/>
      <w:bookmarkStart w:id="340" w:name="_Toc15489"/>
      <w:r>
        <w:rPr>
          <w:rFonts w:hint="eastAsia" w:ascii="宋体" w:hAnsi="宋体" w:eastAsia="宋体" w:cs="宋体"/>
          <w:b/>
          <w:bCs/>
          <w:color w:val="auto"/>
          <w:sz w:val="24"/>
          <w:szCs w:val="24"/>
          <w:highlight w:val="none"/>
        </w:rPr>
        <w:t>（二）法定代表人身份证明书</w:t>
      </w:r>
      <w:bookmarkEnd w:id="337"/>
      <w:r>
        <w:rPr>
          <w:rFonts w:hint="eastAsia" w:ascii="宋体" w:hAnsi="宋体" w:eastAsia="宋体" w:cs="宋体"/>
          <w:b/>
          <w:bCs/>
          <w:color w:val="auto"/>
          <w:sz w:val="24"/>
          <w:szCs w:val="24"/>
          <w:highlight w:val="none"/>
        </w:rPr>
        <w:t>（格式）</w:t>
      </w:r>
      <w:bookmarkEnd w:id="338"/>
      <w:bookmarkEnd w:id="339"/>
      <w:bookmarkEnd w:id="340"/>
    </w:p>
    <w:p w14:paraId="7AA3CD89">
      <w:pPr>
        <w:tabs>
          <w:tab w:val="left" w:pos="6300"/>
        </w:tabs>
        <w:snapToGrid w:val="0"/>
        <w:spacing w:line="480" w:lineRule="atLeast"/>
        <w:ind w:firstLine="480"/>
        <w:rPr>
          <w:rFonts w:hint="eastAsia" w:ascii="宋体" w:hAnsi="宋体" w:eastAsia="宋体" w:cs="宋体"/>
          <w:color w:val="auto"/>
          <w:sz w:val="24"/>
          <w:szCs w:val="24"/>
          <w:highlight w:val="none"/>
        </w:rPr>
      </w:pPr>
    </w:p>
    <w:p w14:paraId="5800C716">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69DA67FD">
      <w:pPr>
        <w:tabs>
          <w:tab w:val="left" w:pos="6300"/>
        </w:tabs>
        <w:snapToGrid w:val="0"/>
        <w:spacing w:line="480" w:lineRule="atLeast"/>
        <w:ind w:firstLine="570"/>
        <w:rPr>
          <w:rFonts w:hint="eastAsia" w:ascii="宋体" w:hAnsi="宋体" w:eastAsia="宋体" w:cs="宋体"/>
          <w:color w:val="auto"/>
          <w:sz w:val="24"/>
          <w:szCs w:val="24"/>
          <w:highlight w:val="none"/>
        </w:rPr>
      </w:pPr>
    </w:p>
    <w:p w14:paraId="4533E912">
      <w:pPr>
        <w:tabs>
          <w:tab w:val="left" w:pos="6300"/>
        </w:tabs>
        <w:snapToGrid w:val="0"/>
        <w:spacing w:line="48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比选人或</w:t>
      </w:r>
      <w:r>
        <w:rPr>
          <w:rFonts w:hint="eastAsia" w:ascii="宋体" w:hAnsi="宋体" w:eastAsia="宋体" w:cs="宋体"/>
          <w:color w:val="auto"/>
          <w:sz w:val="24"/>
          <w:szCs w:val="24"/>
          <w:highlight w:val="none"/>
        </w:rPr>
        <w:t>代理机构名称）：</w:t>
      </w:r>
    </w:p>
    <w:p w14:paraId="558254AB">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名称）的法定代表人。</w:t>
      </w:r>
    </w:p>
    <w:p w14:paraId="7A27FD00">
      <w:pPr>
        <w:tabs>
          <w:tab w:val="left" w:pos="6300"/>
        </w:tabs>
        <w:snapToGrid w:val="0"/>
        <w:spacing w:line="480" w:lineRule="atLeast"/>
        <w:ind w:firstLine="570"/>
        <w:rPr>
          <w:rFonts w:hint="eastAsia" w:ascii="宋体" w:hAnsi="宋体" w:eastAsia="宋体" w:cs="宋体"/>
          <w:color w:val="auto"/>
          <w:sz w:val="24"/>
          <w:szCs w:val="24"/>
          <w:highlight w:val="none"/>
        </w:rPr>
      </w:pPr>
    </w:p>
    <w:p w14:paraId="5DC5C6A8">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92ED160">
      <w:pPr>
        <w:tabs>
          <w:tab w:val="left" w:pos="6300"/>
        </w:tabs>
        <w:snapToGrid w:val="0"/>
        <w:spacing w:line="480" w:lineRule="atLeast"/>
        <w:ind w:firstLine="570"/>
        <w:rPr>
          <w:rFonts w:hint="eastAsia" w:ascii="宋体" w:hAnsi="宋体" w:eastAsia="宋体" w:cs="宋体"/>
          <w:color w:val="auto"/>
          <w:sz w:val="24"/>
          <w:szCs w:val="24"/>
          <w:highlight w:val="none"/>
        </w:rPr>
      </w:pPr>
    </w:p>
    <w:p w14:paraId="3B5F2436">
      <w:pPr>
        <w:tabs>
          <w:tab w:val="left" w:pos="6300"/>
        </w:tabs>
        <w:snapToGrid w:val="0"/>
        <w:spacing w:line="480" w:lineRule="atLeast"/>
        <w:ind w:firstLine="570"/>
        <w:rPr>
          <w:rFonts w:hint="eastAsia" w:ascii="宋体" w:hAnsi="宋体" w:eastAsia="宋体" w:cs="宋体"/>
          <w:color w:val="auto"/>
          <w:sz w:val="24"/>
          <w:szCs w:val="24"/>
          <w:highlight w:val="none"/>
        </w:rPr>
      </w:pPr>
    </w:p>
    <w:p w14:paraId="107D9989">
      <w:pPr>
        <w:tabs>
          <w:tab w:val="left" w:pos="6300"/>
        </w:tabs>
        <w:snapToGrid w:val="0"/>
        <w:spacing w:line="480" w:lineRule="atLeast"/>
        <w:ind w:firstLine="570"/>
        <w:rPr>
          <w:rFonts w:hint="eastAsia" w:ascii="宋体" w:hAnsi="宋体" w:eastAsia="宋体" w:cs="宋体"/>
          <w:color w:val="auto"/>
          <w:sz w:val="24"/>
          <w:szCs w:val="24"/>
          <w:highlight w:val="none"/>
        </w:rPr>
      </w:pPr>
    </w:p>
    <w:p w14:paraId="5EFBFDD0">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60B33D17">
      <w:pPr>
        <w:tabs>
          <w:tab w:val="left" w:pos="6300"/>
        </w:tabs>
        <w:snapToGrid w:val="0"/>
        <w:spacing w:line="480" w:lineRule="atLeast"/>
        <w:ind w:firstLine="570"/>
        <w:rPr>
          <w:rFonts w:hint="eastAsia" w:ascii="宋体" w:hAnsi="宋体" w:eastAsia="宋体" w:cs="宋体"/>
          <w:color w:val="auto"/>
          <w:sz w:val="24"/>
          <w:szCs w:val="24"/>
          <w:highlight w:val="none"/>
        </w:rPr>
      </w:pPr>
    </w:p>
    <w:p w14:paraId="3924A15D">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E10B1A7">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的可不填写）</w:t>
      </w:r>
    </w:p>
    <w:p w14:paraId="31AFB85E">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6F4180A2">
      <w:pPr>
        <w:spacing w:line="480" w:lineRule="atLeast"/>
        <w:rPr>
          <w:rFonts w:hint="eastAsia" w:ascii="宋体" w:hAnsi="宋体" w:eastAsia="宋体" w:cs="宋体"/>
          <w:b/>
          <w:bCs/>
          <w:color w:val="auto"/>
          <w:sz w:val="24"/>
          <w:szCs w:val="24"/>
          <w:highlight w:val="none"/>
        </w:rPr>
      </w:pPr>
    </w:p>
    <w:p w14:paraId="658BBCC5">
      <w:pPr>
        <w:spacing w:line="480" w:lineRule="atLeast"/>
        <w:rPr>
          <w:rFonts w:hint="eastAsia" w:ascii="宋体" w:hAnsi="宋体" w:eastAsia="宋体" w:cs="宋体"/>
          <w:color w:val="auto"/>
          <w:sz w:val="24"/>
          <w:szCs w:val="24"/>
          <w:highlight w:val="none"/>
        </w:rPr>
      </w:pPr>
    </w:p>
    <w:p w14:paraId="3CE5D25A">
      <w:pPr>
        <w:spacing w:line="480" w:lineRule="atLeast"/>
        <w:rPr>
          <w:rFonts w:hint="eastAsia" w:ascii="宋体" w:hAnsi="宋体" w:eastAsia="宋体" w:cs="宋体"/>
          <w:b/>
          <w:color w:val="auto"/>
          <w:sz w:val="24"/>
          <w:szCs w:val="24"/>
          <w:highlight w:val="none"/>
        </w:rPr>
      </w:pPr>
    </w:p>
    <w:p w14:paraId="3A0F7394">
      <w:pPr>
        <w:spacing w:line="480" w:lineRule="atLeast"/>
        <w:rPr>
          <w:rFonts w:hint="eastAsia" w:ascii="宋体" w:hAnsi="宋体" w:eastAsia="宋体" w:cs="宋体"/>
          <w:b/>
          <w:color w:val="auto"/>
          <w:sz w:val="24"/>
          <w:szCs w:val="24"/>
          <w:highlight w:val="none"/>
        </w:rPr>
      </w:pPr>
    </w:p>
    <w:p w14:paraId="20DBA48D">
      <w:pPr>
        <w:tabs>
          <w:tab w:val="left" w:pos="6300"/>
        </w:tabs>
        <w:snapToGrid w:val="0"/>
        <w:spacing w:line="480" w:lineRule="atLeast"/>
        <w:ind w:right="480" w:firstLine="570"/>
        <w:jc w:val="left"/>
        <w:rPr>
          <w:rFonts w:hint="eastAsia" w:ascii="宋体" w:hAnsi="宋体" w:eastAsia="宋体" w:cs="宋体"/>
          <w:color w:val="auto"/>
          <w:sz w:val="24"/>
          <w:szCs w:val="24"/>
          <w:highlight w:val="none"/>
        </w:rPr>
      </w:pPr>
    </w:p>
    <w:p w14:paraId="1921E979">
      <w:pPr>
        <w:tabs>
          <w:tab w:val="left" w:pos="6300"/>
        </w:tabs>
        <w:snapToGrid w:val="0"/>
        <w:spacing w:line="480" w:lineRule="atLeast"/>
        <w:ind w:right="480" w:firstLine="570"/>
        <w:jc w:val="left"/>
        <w:rPr>
          <w:rFonts w:hint="eastAsia" w:ascii="宋体" w:hAnsi="宋体" w:eastAsia="宋体" w:cs="宋体"/>
          <w:color w:val="auto"/>
          <w:sz w:val="24"/>
          <w:szCs w:val="24"/>
          <w:highlight w:val="none"/>
        </w:rPr>
      </w:pPr>
    </w:p>
    <w:p w14:paraId="17AAC0D1">
      <w:pPr>
        <w:tabs>
          <w:tab w:val="left" w:pos="6300"/>
        </w:tabs>
        <w:snapToGrid w:val="0"/>
        <w:spacing w:line="480" w:lineRule="atLeast"/>
        <w:ind w:right="480" w:firstLine="570"/>
        <w:jc w:val="left"/>
        <w:rPr>
          <w:rFonts w:hint="eastAsia" w:ascii="宋体" w:hAnsi="宋体" w:eastAsia="宋体" w:cs="宋体"/>
          <w:color w:val="auto"/>
          <w:sz w:val="24"/>
          <w:szCs w:val="24"/>
          <w:highlight w:val="none"/>
        </w:rPr>
      </w:pPr>
    </w:p>
    <w:p w14:paraId="22E640A1">
      <w:pPr>
        <w:spacing w:line="480" w:lineRule="atLeas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F414DDD">
      <w:pPr>
        <w:rPr>
          <w:rFonts w:hint="eastAsia" w:ascii="宋体" w:hAnsi="宋体" w:eastAsia="宋体" w:cs="宋体"/>
          <w:b/>
          <w:bCs/>
          <w:color w:val="auto"/>
          <w:sz w:val="24"/>
          <w:szCs w:val="24"/>
          <w:highlight w:val="none"/>
        </w:rPr>
      </w:pPr>
      <w:bookmarkStart w:id="341" w:name="_Toc5047"/>
      <w:bookmarkStart w:id="342" w:name="_Toc22622"/>
      <w:bookmarkStart w:id="343" w:name="_Toc13316"/>
      <w:bookmarkStart w:id="344" w:name="_Toc13955"/>
      <w:r>
        <w:rPr>
          <w:rFonts w:hint="eastAsia" w:ascii="宋体" w:hAnsi="宋体" w:eastAsia="宋体" w:cs="宋体"/>
          <w:b/>
          <w:bCs/>
          <w:color w:val="auto"/>
          <w:sz w:val="24"/>
          <w:szCs w:val="24"/>
          <w:highlight w:val="none"/>
        </w:rPr>
        <w:t>（三）法定代表人授权委托书</w:t>
      </w:r>
      <w:bookmarkEnd w:id="341"/>
      <w:r>
        <w:rPr>
          <w:rFonts w:hint="eastAsia" w:ascii="宋体" w:hAnsi="宋体" w:eastAsia="宋体" w:cs="宋体"/>
          <w:b/>
          <w:bCs/>
          <w:color w:val="auto"/>
          <w:sz w:val="24"/>
          <w:szCs w:val="24"/>
          <w:highlight w:val="none"/>
        </w:rPr>
        <w:t>（格式）</w:t>
      </w:r>
      <w:bookmarkEnd w:id="342"/>
      <w:bookmarkEnd w:id="343"/>
      <w:bookmarkEnd w:id="344"/>
    </w:p>
    <w:p w14:paraId="276AE417">
      <w:pPr>
        <w:tabs>
          <w:tab w:val="left" w:pos="6300"/>
        </w:tabs>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D59B80A">
      <w:pPr>
        <w:tabs>
          <w:tab w:val="left" w:pos="6300"/>
        </w:tabs>
        <w:snapToGrid w:val="0"/>
        <w:spacing w:line="480" w:lineRule="atLeast"/>
        <w:ind w:firstLine="570"/>
        <w:rPr>
          <w:rFonts w:hint="eastAsia" w:ascii="宋体" w:hAnsi="宋体" w:eastAsia="宋体" w:cs="宋体"/>
          <w:color w:val="auto"/>
          <w:sz w:val="24"/>
          <w:szCs w:val="24"/>
          <w:highlight w:val="none"/>
        </w:rPr>
      </w:pPr>
    </w:p>
    <w:p w14:paraId="68311F72">
      <w:pPr>
        <w:tabs>
          <w:tab w:val="left" w:pos="6300"/>
        </w:tabs>
        <w:snapToGrid w:val="0"/>
        <w:spacing w:line="48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比选人或</w:t>
      </w:r>
      <w:r>
        <w:rPr>
          <w:rFonts w:hint="eastAsia" w:ascii="宋体" w:hAnsi="宋体" w:eastAsia="宋体" w:cs="宋体"/>
          <w:color w:val="auto"/>
          <w:sz w:val="24"/>
          <w:szCs w:val="24"/>
          <w:highlight w:val="none"/>
        </w:rPr>
        <w:t>代理机构名称）：</w:t>
      </w:r>
    </w:p>
    <w:p w14:paraId="6D51F4CC">
      <w:pPr>
        <w:tabs>
          <w:tab w:val="left" w:pos="6300"/>
        </w:tabs>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姓名</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（被授权人姓名及身份证代码）代表我单位全权办理上述项目的的</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、签约等具体工作，并签署全部有关文件、协议及合同。</w:t>
      </w:r>
    </w:p>
    <w:p w14:paraId="7DD1A870">
      <w:pPr>
        <w:tabs>
          <w:tab w:val="left" w:pos="6300"/>
        </w:tabs>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我单位对被授权人的签署负全部责任。</w:t>
      </w:r>
    </w:p>
    <w:p w14:paraId="55D74D8F">
      <w:pPr>
        <w:tabs>
          <w:tab w:val="left" w:pos="6300"/>
        </w:tabs>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166ED306">
      <w:pPr>
        <w:tabs>
          <w:tab w:val="left" w:pos="6300"/>
        </w:tabs>
        <w:snapToGrid w:val="0"/>
        <w:spacing w:line="480" w:lineRule="atLeast"/>
        <w:ind w:firstLine="570"/>
        <w:rPr>
          <w:rFonts w:hint="eastAsia" w:ascii="宋体" w:hAnsi="宋体" w:eastAsia="宋体" w:cs="宋体"/>
          <w:color w:val="auto"/>
          <w:sz w:val="24"/>
          <w:szCs w:val="24"/>
          <w:highlight w:val="none"/>
        </w:rPr>
      </w:pPr>
    </w:p>
    <w:p w14:paraId="76D74555">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                                 </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法定代表人：</w:t>
      </w:r>
    </w:p>
    <w:p w14:paraId="2772007E">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（签署或盖章）                                （签署或盖章）</w:t>
      </w:r>
    </w:p>
    <w:p w14:paraId="396962B6">
      <w:pPr>
        <w:tabs>
          <w:tab w:val="left" w:pos="6300"/>
        </w:tabs>
        <w:snapToGrid w:val="0"/>
        <w:spacing w:line="480" w:lineRule="atLeast"/>
        <w:rPr>
          <w:rFonts w:hint="eastAsia" w:ascii="宋体" w:hAnsi="宋体" w:eastAsia="宋体" w:cs="宋体"/>
          <w:color w:val="auto"/>
          <w:sz w:val="24"/>
          <w:szCs w:val="24"/>
          <w:highlight w:val="none"/>
        </w:rPr>
      </w:pPr>
    </w:p>
    <w:p w14:paraId="6FE9E556">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483D9A3A">
      <w:pPr>
        <w:tabs>
          <w:tab w:val="left" w:pos="6300"/>
        </w:tabs>
        <w:snapToGrid w:val="0"/>
        <w:spacing w:line="480" w:lineRule="atLeas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1103A50">
      <w:pPr>
        <w:tabs>
          <w:tab w:val="left" w:pos="6300"/>
        </w:tabs>
        <w:snapToGrid w:val="0"/>
        <w:spacing w:line="480" w:lineRule="atLeast"/>
        <w:ind w:firstLine="570"/>
        <w:rPr>
          <w:rFonts w:hint="eastAsia" w:ascii="宋体" w:hAnsi="宋体" w:eastAsia="宋体" w:cs="宋体"/>
          <w:color w:val="auto"/>
          <w:sz w:val="24"/>
          <w:szCs w:val="24"/>
          <w:highlight w:val="none"/>
        </w:rPr>
      </w:pPr>
    </w:p>
    <w:p w14:paraId="06E4CA03">
      <w:pPr>
        <w:tabs>
          <w:tab w:val="left" w:pos="6300"/>
        </w:tabs>
        <w:snapToGrid w:val="0"/>
        <w:spacing w:line="480" w:lineRule="atLeast"/>
        <w:ind w:firstLine="570"/>
        <w:rPr>
          <w:rFonts w:hint="eastAsia" w:ascii="宋体" w:hAnsi="宋体" w:eastAsia="宋体" w:cs="宋体"/>
          <w:color w:val="auto"/>
          <w:sz w:val="24"/>
          <w:szCs w:val="24"/>
          <w:highlight w:val="none"/>
        </w:rPr>
      </w:pPr>
    </w:p>
    <w:p w14:paraId="0D544532">
      <w:pPr>
        <w:tabs>
          <w:tab w:val="left" w:pos="6300"/>
        </w:tabs>
        <w:snapToGrid w:val="0"/>
        <w:spacing w:line="480" w:lineRule="atLeas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7E156DAB">
      <w:pPr>
        <w:tabs>
          <w:tab w:val="left" w:pos="6300"/>
        </w:tabs>
        <w:snapToGrid w:val="0"/>
        <w:spacing w:line="480" w:lineRule="atLeas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A87FA5F">
      <w:pPr>
        <w:tabs>
          <w:tab w:val="left" w:pos="6300"/>
        </w:tabs>
        <w:snapToGrid w:val="0"/>
        <w:spacing w:line="480" w:lineRule="atLeas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w:t>
      </w:r>
      <w:r>
        <w:rPr>
          <w:rFonts w:hint="eastAsia" w:ascii="宋体" w:hAnsi="宋体" w:eastAsia="宋体" w:cs="宋体"/>
          <w:color w:val="auto"/>
          <w:sz w:val="24"/>
          <w:szCs w:val="24"/>
          <w:highlight w:val="none"/>
          <w:lang w:eastAsia="zh-CN"/>
        </w:rPr>
        <w:t>（手机）</w:t>
      </w:r>
      <w:r>
        <w:rPr>
          <w:rFonts w:hint="eastAsia" w:ascii="宋体" w:hAnsi="宋体" w:eastAsia="宋体" w:cs="宋体"/>
          <w:color w:val="auto"/>
          <w:sz w:val="24"/>
          <w:szCs w:val="24"/>
          <w:highlight w:val="none"/>
        </w:rPr>
        <w:t>：XXXXXXX     电子邮箱：XXXXXX@XXXXX（若法定代表人办理并签署</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的可不填写）</w:t>
      </w:r>
    </w:p>
    <w:p w14:paraId="76AD3047">
      <w:pPr>
        <w:snapToGrid w:val="0"/>
        <w:spacing w:line="480" w:lineRule="atLeast"/>
        <w:ind w:firstLine="480" w:firstLineChars="200"/>
        <w:rPr>
          <w:rFonts w:hint="eastAsia" w:ascii="宋体" w:hAnsi="宋体" w:eastAsia="宋体" w:cs="宋体"/>
          <w:color w:val="auto"/>
          <w:sz w:val="24"/>
          <w:szCs w:val="24"/>
          <w:highlight w:val="none"/>
        </w:rPr>
      </w:pPr>
    </w:p>
    <w:p w14:paraId="532067F2">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注：1.若为法定代表人办理并签署</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的，不提供此文件。</w:t>
      </w:r>
    </w:p>
    <w:p w14:paraId="57E6C33A">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F125477">
      <w:pPr>
        <w:rPr>
          <w:rFonts w:hint="eastAsia" w:ascii="宋体" w:hAnsi="宋体" w:eastAsia="宋体" w:cs="宋体"/>
          <w:b/>
          <w:bCs/>
          <w:color w:val="auto"/>
          <w:sz w:val="24"/>
          <w:szCs w:val="24"/>
          <w:highlight w:val="none"/>
        </w:rPr>
      </w:pPr>
      <w:bookmarkStart w:id="345" w:name="_Toc16943"/>
      <w:bookmarkStart w:id="346" w:name="_Toc6935"/>
      <w:bookmarkStart w:id="347" w:name="_Toc10882"/>
      <w:bookmarkStart w:id="348" w:name="_Toc14569"/>
      <w:bookmarkStart w:id="349" w:name="_Toc30268"/>
      <w:r>
        <w:rPr>
          <w:rFonts w:hint="eastAsia" w:ascii="宋体" w:hAnsi="宋体" w:eastAsia="宋体" w:cs="宋体"/>
          <w:b/>
          <w:bCs/>
          <w:color w:val="auto"/>
          <w:sz w:val="24"/>
          <w:szCs w:val="24"/>
          <w:highlight w:val="none"/>
        </w:rPr>
        <w:t>（四）</w:t>
      </w:r>
      <w:bookmarkEnd w:id="345"/>
      <w:r>
        <w:rPr>
          <w:rFonts w:hint="eastAsia" w:ascii="宋体" w:hAnsi="宋体" w:eastAsia="宋体" w:cs="宋体"/>
          <w:b/>
          <w:bCs/>
          <w:color w:val="auto"/>
          <w:sz w:val="24"/>
          <w:szCs w:val="24"/>
          <w:highlight w:val="none"/>
        </w:rPr>
        <w:t>基本资格条件承诺函</w:t>
      </w:r>
      <w:bookmarkEnd w:id="346"/>
      <w:r>
        <w:rPr>
          <w:rFonts w:hint="eastAsia" w:ascii="宋体" w:hAnsi="宋体" w:eastAsia="宋体" w:cs="宋体"/>
          <w:b/>
          <w:bCs/>
          <w:color w:val="auto"/>
          <w:sz w:val="24"/>
          <w:szCs w:val="24"/>
          <w:highlight w:val="none"/>
        </w:rPr>
        <w:t>（格式）</w:t>
      </w:r>
      <w:bookmarkEnd w:id="347"/>
      <w:bookmarkEnd w:id="348"/>
      <w:bookmarkEnd w:id="349"/>
    </w:p>
    <w:p w14:paraId="10816D8B">
      <w:pPr>
        <w:spacing w:line="480" w:lineRule="atLeast"/>
        <w:ind w:firstLine="482" w:firstLineChars="200"/>
        <w:jc w:val="center"/>
        <w:rPr>
          <w:rFonts w:hint="eastAsia" w:ascii="宋体" w:hAnsi="宋体" w:eastAsia="宋体" w:cs="宋体"/>
          <w:b/>
          <w:bCs/>
          <w:color w:val="auto"/>
          <w:sz w:val="24"/>
          <w:szCs w:val="24"/>
          <w:highlight w:val="none"/>
        </w:rPr>
      </w:pPr>
    </w:p>
    <w:p w14:paraId="7718A53F">
      <w:pPr>
        <w:spacing w:line="480" w:lineRule="atLeast"/>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基本资格条件承诺函</w:t>
      </w:r>
    </w:p>
    <w:p w14:paraId="43C756F7">
      <w:pPr>
        <w:tabs>
          <w:tab w:val="left" w:pos="6300"/>
        </w:tabs>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62287F32">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名称）郑重承诺：</w:t>
      </w:r>
    </w:p>
    <w:p w14:paraId="009B0CD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481C653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2.我方未列入在信用中国网站（www.creditchina.gov.cn）“失信被执行人”、“重大税收违法案件当事人名单”中，也未列入中国政府采购（www.ccgp.gov.cn）“政府采购严重违法失信行为记录名单”中。</w:t>
      </w:r>
    </w:p>
    <w:p w14:paraId="3F321C4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3.我方在项目评审（评标）环节结束后，随时接受</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比选代理</w:t>
      </w:r>
      <w:r>
        <w:rPr>
          <w:rFonts w:hint="eastAsia" w:ascii="宋体" w:hAnsi="宋体" w:eastAsia="宋体" w:cs="宋体"/>
          <w:color w:val="auto"/>
          <w:sz w:val="24"/>
          <w:szCs w:val="24"/>
          <w:highlight w:val="none"/>
        </w:rPr>
        <w:t>机构的检查验证，配合提供相关证明材料，证明符合《中华人民共和国政府采购法》规定的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基本资格条件。</w:t>
      </w:r>
    </w:p>
    <w:p w14:paraId="335A1FA1">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192EA79F">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AFB28EA">
      <w:pPr>
        <w:tabs>
          <w:tab w:val="left" w:pos="6300"/>
        </w:tabs>
        <w:snapToGrid w:val="0"/>
        <w:spacing w:line="480" w:lineRule="atLeast"/>
        <w:rPr>
          <w:rFonts w:hint="eastAsia" w:ascii="宋体" w:hAnsi="宋体" w:eastAsia="宋体" w:cs="宋体"/>
          <w:color w:val="auto"/>
          <w:sz w:val="24"/>
          <w:szCs w:val="24"/>
          <w:highlight w:val="none"/>
        </w:rPr>
      </w:pPr>
    </w:p>
    <w:p w14:paraId="0CE2806A">
      <w:pPr>
        <w:tabs>
          <w:tab w:val="left" w:pos="6300"/>
        </w:tabs>
        <w:snapToGrid w:val="0"/>
        <w:spacing w:line="480" w:lineRule="atLeast"/>
        <w:ind w:right="424" w:firstLine="570"/>
        <w:jc w:val="right"/>
        <w:rPr>
          <w:rFonts w:hint="eastAsia" w:ascii="宋体" w:hAnsi="宋体" w:eastAsia="宋体" w:cs="宋体"/>
          <w:color w:val="auto"/>
          <w:sz w:val="24"/>
          <w:szCs w:val="24"/>
          <w:highlight w:val="none"/>
        </w:rPr>
      </w:pPr>
    </w:p>
    <w:p w14:paraId="7D1AE951">
      <w:pPr>
        <w:tabs>
          <w:tab w:val="left" w:pos="6300"/>
        </w:tabs>
        <w:snapToGrid w:val="0"/>
        <w:spacing w:line="480" w:lineRule="atLeast"/>
        <w:ind w:right="424" w:firstLine="570"/>
        <w:jc w:val="right"/>
        <w:rPr>
          <w:rFonts w:hint="eastAsia" w:ascii="宋体" w:hAnsi="宋体" w:eastAsia="宋体" w:cs="宋体"/>
          <w:color w:val="auto"/>
          <w:sz w:val="24"/>
          <w:szCs w:val="24"/>
          <w:highlight w:val="none"/>
        </w:rPr>
      </w:pPr>
    </w:p>
    <w:p w14:paraId="3A87BEDE">
      <w:pPr>
        <w:tabs>
          <w:tab w:val="left" w:pos="6300"/>
        </w:tabs>
        <w:snapToGrid w:val="0"/>
        <w:spacing w:line="480" w:lineRule="atLeast"/>
        <w:ind w:right="424" w:firstLine="570"/>
        <w:jc w:val="right"/>
        <w:rPr>
          <w:rFonts w:hint="eastAsia" w:ascii="宋体" w:hAnsi="宋体" w:eastAsia="宋体" w:cs="宋体"/>
          <w:color w:val="auto"/>
          <w:sz w:val="24"/>
          <w:szCs w:val="24"/>
          <w:highlight w:val="none"/>
        </w:rPr>
      </w:pPr>
    </w:p>
    <w:p w14:paraId="58B0F487">
      <w:pPr>
        <w:tabs>
          <w:tab w:val="left" w:pos="6300"/>
        </w:tabs>
        <w:snapToGrid w:val="0"/>
        <w:spacing w:line="480" w:lineRule="atLeast"/>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47C58381">
      <w:pPr>
        <w:tabs>
          <w:tab w:val="left" w:pos="6300"/>
        </w:tabs>
        <w:snapToGrid w:val="0"/>
        <w:spacing w:line="480" w:lineRule="atLeas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1AA38B0">
      <w:pPr>
        <w:spacing w:line="480" w:lineRule="atLeast"/>
        <w:ind w:right="540" w:firstLine="2640" w:firstLineChars="1100"/>
        <w:jc w:val="right"/>
        <w:rPr>
          <w:rFonts w:hint="eastAsia" w:ascii="宋体" w:hAnsi="宋体" w:eastAsia="宋体" w:cs="宋体"/>
          <w:color w:val="auto"/>
          <w:sz w:val="24"/>
          <w:szCs w:val="24"/>
          <w:highlight w:val="none"/>
        </w:rPr>
      </w:pPr>
    </w:p>
    <w:bookmarkEnd w:id="320"/>
    <w:p w14:paraId="7C9499A3">
      <w:pPr>
        <w:spacing w:line="480" w:lineRule="atLeast"/>
        <w:rPr>
          <w:rFonts w:hint="eastAsia" w:ascii="宋体" w:hAnsi="宋体" w:eastAsia="宋体" w:cs="宋体"/>
          <w:b/>
          <w:bCs/>
          <w:color w:val="auto"/>
          <w:sz w:val="24"/>
          <w:szCs w:val="24"/>
          <w:highlight w:val="none"/>
        </w:rPr>
      </w:pPr>
      <w:bookmarkStart w:id="350" w:name="_Toc22450"/>
      <w:bookmarkStart w:id="351" w:name="_Toc32708"/>
      <w:bookmarkStart w:id="352" w:name="_Toc1814"/>
      <w:bookmarkStart w:id="353" w:name="_Toc19365"/>
      <w:bookmarkStart w:id="354" w:name="_Toc9726"/>
    </w:p>
    <w:p w14:paraId="7D4FD6DF">
      <w:pPr>
        <w:ind w:firstLine="482" w:firstLineChars="200"/>
        <w:rPr>
          <w:rFonts w:hint="eastAsia" w:ascii="宋体" w:hAnsi="宋体" w:eastAsia="宋体" w:cs="宋体"/>
          <w:b/>
          <w:bCs/>
          <w:color w:val="auto"/>
          <w:sz w:val="24"/>
          <w:szCs w:val="24"/>
          <w:highlight w:val="none"/>
        </w:rPr>
      </w:pPr>
      <w:bookmarkStart w:id="355" w:name="_Toc13006"/>
      <w:r>
        <w:rPr>
          <w:rFonts w:hint="eastAsia" w:ascii="宋体" w:hAnsi="宋体" w:eastAsia="宋体" w:cs="宋体"/>
          <w:b/>
          <w:bCs/>
          <w:color w:val="auto"/>
          <w:sz w:val="24"/>
          <w:szCs w:val="24"/>
          <w:highlight w:val="none"/>
        </w:rPr>
        <w:br w:type="page"/>
      </w:r>
      <w:bookmarkStart w:id="356" w:name="_Toc31862"/>
      <w:bookmarkStart w:id="357" w:name="_Toc23748"/>
      <w:bookmarkStart w:id="358" w:name="_Toc10274"/>
    </w:p>
    <w:bookmarkEnd w:id="356"/>
    <w:bookmarkEnd w:id="357"/>
    <w:bookmarkEnd w:id="358"/>
    <w:p w14:paraId="2D0CE61C">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宋体" w:hAnsi="宋体" w:eastAsia="宋体" w:cs="宋体"/>
          <w:color w:val="auto"/>
          <w:sz w:val="24"/>
          <w:szCs w:val="24"/>
          <w:highlight w:val="none"/>
          <w:lang w:val="en-US" w:eastAsia="zh-CN"/>
        </w:rPr>
      </w:pPr>
      <w:bookmarkStart w:id="359" w:name="_Toc15378"/>
      <w:bookmarkStart w:id="360" w:name="_Toc29622"/>
      <w:bookmarkStart w:id="361" w:name="_Toc12587"/>
      <w:bookmarkStart w:id="362" w:name="_Toc1776"/>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特定资格条件</w:t>
      </w:r>
    </w:p>
    <w:p w14:paraId="71483E8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5E62D693">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w:t>
      </w:r>
      <w:bookmarkEnd w:id="350"/>
      <w:bookmarkEnd w:id="351"/>
      <w:bookmarkEnd w:id="352"/>
      <w:bookmarkEnd w:id="353"/>
      <w:bookmarkEnd w:id="355"/>
      <w:bookmarkEnd w:id="359"/>
      <w:bookmarkEnd w:id="360"/>
      <w:bookmarkEnd w:id="361"/>
      <w:r>
        <w:rPr>
          <w:rFonts w:hint="eastAsia" w:ascii="宋体" w:hAnsi="宋体" w:eastAsia="宋体" w:cs="宋体"/>
          <w:color w:val="auto"/>
          <w:sz w:val="24"/>
          <w:szCs w:val="24"/>
          <w:highlight w:val="none"/>
          <w:lang w:eastAsia="zh-CN"/>
        </w:rPr>
        <w:t>技术部分</w:t>
      </w:r>
      <w:bookmarkEnd w:id="362"/>
    </w:p>
    <w:p w14:paraId="0AD2FA82">
      <w:pPr>
        <w:jc w:val="center"/>
        <w:rPr>
          <w:rFonts w:hint="eastAsia" w:ascii="宋体" w:hAnsi="宋体" w:eastAsia="宋体" w:cs="宋体"/>
          <w:b/>
          <w:bCs/>
          <w:color w:val="auto"/>
          <w:sz w:val="24"/>
          <w:szCs w:val="24"/>
          <w:highlight w:val="none"/>
        </w:rPr>
      </w:pPr>
      <w:bookmarkStart w:id="363" w:name="_Toc17114"/>
      <w:bookmarkStart w:id="364" w:name="_Toc8181"/>
      <w:bookmarkStart w:id="365" w:name="_Toc13297"/>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技术条款</w:t>
      </w:r>
      <w:r>
        <w:rPr>
          <w:rFonts w:hint="eastAsia" w:ascii="宋体" w:hAnsi="宋体" w:eastAsia="宋体" w:cs="宋体"/>
          <w:b/>
          <w:bCs/>
          <w:color w:val="auto"/>
          <w:sz w:val="24"/>
          <w:szCs w:val="24"/>
          <w:highlight w:val="none"/>
        </w:rPr>
        <w:t>差异表</w:t>
      </w:r>
      <w:bookmarkEnd w:id="363"/>
      <w:bookmarkEnd w:id="364"/>
      <w:bookmarkEnd w:id="365"/>
    </w:p>
    <w:bookmarkEnd w:id="354"/>
    <w:p w14:paraId="45383A24">
      <w:pPr>
        <w:tabs>
          <w:tab w:val="left" w:pos="720"/>
        </w:tabs>
        <w:spacing w:line="48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技术条款</w:t>
      </w:r>
      <w:r>
        <w:rPr>
          <w:rFonts w:hint="eastAsia" w:ascii="宋体" w:hAnsi="宋体" w:eastAsia="宋体" w:cs="宋体"/>
          <w:color w:val="auto"/>
          <w:sz w:val="24"/>
          <w:szCs w:val="24"/>
          <w:highlight w:val="none"/>
        </w:rPr>
        <w:t>差异表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69"/>
        <w:gridCol w:w="3188"/>
        <w:gridCol w:w="2390"/>
      </w:tblGrid>
      <w:tr w14:paraId="6379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1B7E8EE3">
            <w:pPr>
              <w:jc w:val="center"/>
              <w:rPr>
                <w:rFonts w:hint="eastAsia" w:ascii="宋体" w:hAnsi="宋体" w:eastAsia="宋体" w:cs="宋体"/>
                <w:color w:val="auto"/>
                <w:sz w:val="24"/>
                <w:szCs w:val="24"/>
                <w:highlight w:val="none"/>
              </w:rPr>
            </w:pPr>
            <w:bookmarkStart w:id="366" w:name="_Toc26811"/>
            <w:bookmarkStart w:id="367" w:name="_Toc11598"/>
            <w:bookmarkStart w:id="368" w:name="_Toc32321"/>
            <w:bookmarkStart w:id="369" w:name="_Toc19618"/>
            <w:bookmarkStart w:id="370" w:name="_Toc20881"/>
            <w:bookmarkStart w:id="371" w:name="_Toc11785"/>
            <w:r>
              <w:rPr>
                <w:rFonts w:hint="eastAsia" w:ascii="宋体" w:hAnsi="宋体" w:eastAsia="宋体" w:cs="宋体"/>
                <w:color w:val="auto"/>
                <w:sz w:val="24"/>
                <w:szCs w:val="24"/>
                <w:highlight w:val="none"/>
              </w:rPr>
              <w:t>序号</w:t>
            </w:r>
            <w:bookmarkEnd w:id="366"/>
            <w:bookmarkEnd w:id="367"/>
            <w:bookmarkEnd w:id="368"/>
            <w:bookmarkEnd w:id="369"/>
            <w:bookmarkEnd w:id="370"/>
            <w:bookmarkEnd w:id="371"/>
          </w:p>
        </w:tc>
        <w:tc>
          <w:tcPr>
            <w:tcW w:w="1540" w:type="pct"/>
            <w:vAlign w:val="center"/>
          </w:tcPr>
          <w:p w14:paraId="145109E0">
            <w:pPr>
              <w:jc w:val="center"/>
              <w:rPr>
                <w:rFonts w:hint="eastAsia" w:ascii="宋体" w:hAnsi="宋体" w:eastAsia="宋体" w:cs="宋体"/>
                <w:color w:val="auto"/>
                <w:sz w:val="24"/>
                <w:szCs w:val="24"/>
                <w:highlight w:val="none"/>
                <w:lang w:val="en-US"/>
              </w:rPr>
            </w:pPr>
            <w:bookmarkStart w:id="372" w:name="_Toc18303"/>
            <w:bookmarkStart w:id="373" w:name="_Toc22837"/>
            <w:bookmarkStart w:id="374" w:name="_Toc25371"/>
            <w:bookmarkStart w:id="375" w:name="_Toc23124"/>
            <w:bookmarkStart w:id="376" w:name="_Toc22352"/>
            <w:bookmarkStart w:id="377" w:name="_Toc10531"/>
            <w:r>
              <w:rPr>
                <w:rFonts w:hint="eastAsia" w:ascii="宋体" w:hAnsi="宋体" w:eastAsia="宋体" w:cs="宋体"/>
                <w:color w:val="auto"/>
                <w:sz w:val="24"/>
                <w:szCs w:val="24"/>
                <w:highlight w:val="none"/>
                <w:lang w:val="en-US" w:eastAsia="zh-CN"/>
              </w:rPr>
              <w:t>项目</w:t>
            </w:r>
            <w:bookmarkEnd w:id="372"/>
            <w:bookmarkEnd w:id="373"/>
            <w:bookmarkEnd w:id="374"/>
            <w:bookmarkEnd w:id="375"/>
            <w:bookmarkEnd w:id="376"/>
            <w:bookmarkEnd w:id="377"/>
            <w:r>
              <w:rPr>
                <w:rFonts w:hint="eastAsia" w:ascii="宋体" w:hAnsi="宋体" w:eastAsia="宋体" w:cs="宋体"/>
                <w:color w:val="auto"/>
                <w:sz w:val="24"/>
                <w:szCs w:val="24"/>
                <w:highlight w:val="none"/>
                <w:lang w:val="en-US" w:eastAsia="zh-CN"/>
              </w:rPr>
              <w:t>要求</w:t>
            </w:r>
          </w:p>
        </w:tc>
        <w:tc>
          <w:tcPr>
            <w:tcW w:w="1600" w:type="pct"/>
            <w:vAlign w:val="center"/>
          </w:tcPr>
          <w:p w14:paraId="6080CF16">
            <w:pPr>
              <w:jc w:val="center"/>
              <w:rPr>
                <w:rFonts w:hint="eastAsia" w:ascii="宋体" w:hAnsi="宋体" w:eastAsia="宋体" w:cs="宋体"/>
                <w:color w:val="auto"/>
                <w:sz w:val="24"/>
                <w:szCs w:val="24"/>
                <w:highlight w:val="none"/>
              </w:rPr>
            </w:pPr>
            <w:bookmarkStart w:id="378" w:name="_Toc11743"/>
            <w:bookmarkStart w:id="379" w:name="_Toc27763"/>
            <w:bookmarkStart w:id="380" w:name="_Toc2096"/>
            <w:bookmarkStart w:id="381" w:name="_Toc2477"/>
            <w:bookmarkStart w:id="382" w:name="_Toc23328"/>
            <w:bookmarkStart w:id="383" w:name="_Toc22442"/>
            <w:r>
              <w:rPr>
                <w:rFonts w:hint="eastAsia" w:ascii="宋体" w:hAnsi="宋体" w:eastAsia="宋体" w:cs="宋体"/>
                <w:color w:val="auto"/>
                <w:sz w:val="24"/>
                <w:szCs w:val="24"/>
                <w:highlight w:val="none"/>
              </w:rPr>
              <w:t>响应情况</w:t>
            </w:r>
            <w:bookmarkEnd w:id="378"/>
            <w:bookmarkEnd w:id="379"/>
            <w:bookmarkEnd w:id="380"/>
            <w:bookmarkEnd w:id="381"/>
            <w:bookmarkEnd w:id="382"/>
            <w:bookmarkEnd w:id="383"/>
          </w:p>
        </w:tc>
        <w:tc>
          <w:tcPr>
            <w:tcW w:w="1199" w:type="pct"/>
            <w:vAlign w:val="center"/>
          </w:tcPr>
          <w:p w14:paraId="68A06EC0">
            <w:pPr>
              <w:jc w:val="center"/>
              <w:rPr>
                <w:rFonts w:hint="eastAsia" w:ascii="宋体" w:hAnsi="宋体" w:eastAsia="宋体" w:cs="宋体"/>
                <w:color w:val="auto"/>
                <w:sz w:val="24"/>
                <w:szCs w:val="24"/>
                <w:highlight w:val="none"/>
              </w:rPr>
            </w:pPr>
            <w:bookmarkStart w:id="384" w:name="_Toc16701"/>
            <w:bookmarkStart w:id="385" w:name="_Toc10595"/>
            <w:bookmarkStart w:id="386" w:name="_Toc14056"/>
            <w:bookmarkStart w:id="387" w:name="_Toc3009"/>
            <w:bookmarkStart w:id="388" w:name="_Toc5026"/>
            <w:bookmarkStart w:id="389" w:name="_Toc30250"/>
            <w:r>
              <w:rPr>
                <w:rFonts w:hint="eastAsia" w:ascii="宋体" w:hAnsi="宋体" w:eastAsia="宋体" w:cs="宋体"/>
                <w:color w:val="auto"/>
                <w:sz w:val="24"/>
                <w:szCs w:val="24"/>
                <w:highlight w:val="none"/>
              </w:rPr>
              <w:t>差异说明</w:t>
            </w:r>
            <w:bookmarkEnd w:id="384"/>
            <w:bookmarkEnd w:id="385"/>
            <w:bookmarkEnd w:id="386"/>
            <w:bookmarkEnd w:id="387"/>
            <w:bookmarkEnd w:id="388"/>
            <w:bookmarkEnd w:id="389"/>
          </w:p>
        </w:tc>
      </w:tr>
      <w:tr w14:paraId="79CA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7940603">
            <w:pPr>
              <w:jc w:val="center"/>
              <w:rPr>
                <w:rFonts w:hint="eastAsia" w:ascii="宋体" w:hAnsi="宋体" w:eastAsia="宋体" w:cs="宋体"/>
                <w:color w:val="auto"/>
                <w:sz w:val="24"/>
                <w:szCs w:val="24"/>
                <w:highlight w:val="none"/>
              </w:rPr>
            </w:pPr>
          </w:p>
        </w:tc>
        <w:tc>
          <w:tcPr>
            <w:tcW w:w="1540" w:type="pct"/>
            <w:vAlign w:val="center"/>
          </w:tcPr>
          <w:p w14:paraId="5E8D11C6">
            <w:pPr>
              <w:jc w:val="center"/>
              <w:rPr>
                <w:rFonts w:hint="eastAsia" w:ascii="宋体" w:hAnsi="宋体" w:eastAsia="宋体" w:cs="宋体"/>
                <w:color w:val="auto"/>
                <w:sz w:val="24"/>
                <w:szCs w:val="24"/>
                <w:highlight w:val="none"/>
              </w:rPr>
            </w:pPr>
          </w:p>
        </w:tc>
        <w:tc>
          <w:tcPr>
            <w:tcW w:w="1600" w:type="pct"/>
            <w:vAlign w:val="center"/>
          </w:tcPr>
          <w:p w14:paraId="51B5FE47">
            <w:pPr>
              <w:jc w:val="center"/>
              <w:rPr>
                <w:rFonts w:hint="eastAsia" w:ascii="宋体" w:hAnsi="宋体" w:eastAsia="宋体" w:cs="宋体"/>
                <w:color w:val="auto"/>
                <w:sz w:val="24"/>
                <w:szCs w:val="24"/>
                <w:highlight w:val="none"/>
              </w:rPr>
            </w:pPr>
          </w:p>
        </w:tc>
        <w:tc>
          <w:tcPr>
            <w:tcW w:w="1199" w:type="pct"/>
            <w:vAlign w:val="center"/>
          </w:tcPr>
          <w:p w14:paraId="5E50DD3B">
            <w:pPr>
              <w:jc w:val="center"/>
              <w:rPr>
                <w:rFonts w:hint="eastAsia" w:ascii="宋体" w:hAnsi="宋体" w:eastAsia="宋体" w:cs="宋体"/>
                <w:color w:val="auto"/>
                <w:sz w:val="24"/>
                <w:szCs w:val="24"/>
                <w:highlight w:val="none"/>
              </w:rPr>
            </w:pPr>
          </w:p>
        </w:tc>
      </w:tr>
      <w:tr w14:paraId="018A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46F9AC4">
            <w:pPr>
              <w:jc w:val="center"/>
              <w:rPr>
                <w:rFonts w:hint="eastAsia" w:ascii="宋体" w:hAnsi="宋体" w:eastAsia="宋体" w:cs="宋体"/>
                <w:color w:val="auto"/>
                <w:sz w:val="24"/>
                <w:szCs w:val="24"/>
                <w:highlight w:val="none"/>
              </w:rPr>
            </w:pPr>
          </w:p>
        </w:tc>
        <w:tc>
          <w:tcPr>
            <w:tcW w:w="1540" w:type="pct"/>
            <w:vAlign w:val="center"/>
          </w:tcPr>
          <w:p w14:paraId="50348FB4">
            <w:pPr>
              <w:jc w:val="center"/>
              <w:rPr>
                <w:rFonts w:hint="eastAsia" w:ascii="宋体" w:hAnsi="宋体" w:eastAsia="宋体" w:cs="宋体"/>
                <w:color w:val="auto"/>
                <w:sz w:val="24"/>
                <w:szCs w:val="24"/>
                <w:highlight w:val="none"/>
              </w:rPr>
            </w:pPr>
          </w:p>
        </w:tc>
        <w:tc>
          <w:tcPr>
            <w:tcW w:w="1600" w:type="pct"/>
            <w:vAlign w:val="center"/>
          </w:tcPr>
          <w:p w14:paraId="78150656">
            <w:pPr>
              <w:jc w:val="center"/>
              <w:rPr>
                <w:rFonts w:hint="eastAsia" w:ascii="宋体" w:hAnsi="宋体" w:eastAsia="宋体" w:cs="宋体"/>
                <w:color w:val="auto"/>
                <w:sz w:val="24"/>
                <w:szCs w:val="24"/>
                <w:highlight w:val="none"/>
              </w:rPr>
            </w:pPr>
          </w:p>
        </w:tc>
        <w:tc>
          <w:tcPr>
            <w:tcW w:w="1199" w:type="pct"/>
            <w:vAlign w:val="center"/>
          </w:tcPr>
          <w:p w14:paraId="59B7FE11">
            <w:pPr>
              <w:jc w:val="center"/>
              <w:rPr>
                <w:rFonts w:hint="eastAsia" w:ascii="宋体" w:hAnsi="宋体" w:eastAsia="宋体" w:cs="宋体"/>
                <w:color w:val="auto"/>
                <w:sz w:val="24"/>
                <w:szCs w:val="24"/>
                <w:highlight w:val="none"/>
              </w:rPr>
            </w:pPr>
          </w:p>
        </w:tc>
      </w:tr>
      <w:tr w14:paraId="408C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148F1B5">
            <w:pPr>
              <w:jc w:val="center"/>
              <w:rPr>
                <w:rFonts w:hint="eastAsia" w:ascii="宋体" w:hAnsi="宋体" w:eastAsia="宋体" w:cs="宋体"/>
                <w:color w:val="auto"/>
                <w:sz w:val="24"/>
                <w:szCs w:val="24"/>
                <w:highlight w:val="none"/>
              </w:rPr>
            </w:pPr>
          </w:p>
        </w:tc>
        <w:tc>
          <w:tcPr>
            <w:tcW w:w="1540" w:type="pct"/>
            <w:vAlign w:val="center"/>
          </w:tcPr>
          <w:p w14:paraId="4EBA5A51">
            <w:pPr>
              <w:jc w:val="center"/>
              <w:rPr>
                <w:rFonts w:hint="eastAsia" w:ascii="宋体" w:hAnsi="宋体" w:eastAsia="宋体" w:cs="宋体"/>
                <w:color w:val="auto"/>
                <w:sz w:val="24"/>
                <w:szCs w:val="24"/>
                <w:highlight w:val="none"/>
              </w:rPr>
            </w:pPr>
          </w:p>
        </w:tc>
        <w:tc>
          <w:tcPr>
            <w:tcW w:w="1600" w:type="pct"/>
            <w:vAlign w:val="center"/>
          </w:tcPr>
          <w:p w14:paraId="5EB31977">
            <w:pPr>
              <w:jc w:val="center"/>
              <w:rPr>
                <w:rFonts w:hint="eastAsia" w:ascii="宋体" w:hAnsi="宋体" w:eastAsia="宋体" w:cs="宋体"/>
                <w:color w:val="auto"/>
                <w:sz w:val="24"/>
                <w:szCs w:val="24"/>
                <w:highlight w:val="none"/>
              </w:rPr>
            </w:pPr>
          </w:p>
        </w:tc>
        <w:tc>
          <w:tcPr>
            <w:tcW w:w="1199" w:type="pct"/>
            <w:vAlign w:val="center"/>
          </w:tcPr>
          <w:p w14:paraId="647076D3">
            <w:pPr>
              <w:jc w:val="center"/>
              <w:rPr>
                <w:rFonts w:hint="eastAsia" w:ascii="宋体" w:hAnsi="宋体" w:eastAsia="宋体" w:cs="宋体"/>
                <w:color w:val="auto"/>
                <w:sz w:val="24"/>
                <w:szCs w:val="24"/>
                <w:highlight w:val="none"/>
              </w:rPr>
            </w:pPr>
          </w:p>
        </w:tc>
      </w:tr>
      <w:tr w14:paraId="66BC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DD033EC">
            <w:pPr>
              <w:jc w:val="center"/>
              <w:rPr>
                <w:rFonts w:hint="eastAsia" w:ascii="宋体" w:hAnsi="宋体" w:eastAsia="宋体" w:cs="宋体"/>
                <w:color w:val="auto"/>
                <w:sz w:val="24"/>
                <w:szCs w:val="24"/>
                <w:highlight w:val="none"/>
              </w:rPr>
            </w:pPr>
          </w:p>
        </w:tc>
        <w:tc>
          <w:tcPr>
            <w:tcW w:w="1540" w:type="pct"/>
            <w:vAlign w:val="center"/>
          </w:tcPr>
          <w:p w14:paraId="76452389">
            <w:pPr>
              <w:jc w:val="center"/>
              <w:rPr>
                <w:rFonts w:hint="eastAsia" w:ascii="宋体" w:hAnsi="宋体" w:eastAsia="宋体" w:cs="宋体"/>
                <w:color w:val="auto"/>
                <w:sz w:val="24"/>
                <w:szCs w:val="24"/>
                <w:highlight w:val="none"/>
              </w:rPr>
            </w:pPr>
          </w:p>
        </w:tc>
        <w:tc>
          <w:tcPr>
            <w:tcW w:w="1600" w:type="pct"/>
            <w:vAlign w:val="center"/>
          </w:tcPr>
          <w:p w14:paraId="0383FA61">
            <w:pPr>
              <w:jc w:val="center"/>
              <w:rPr>
                <w:rFonts w:hint="eastAsia" w:ascii="宋体" w:hAnsi="宋体" w:eastAsia="宋体" w:cs="宋体"/>
                <w:color w:val="auto"/>
                <w:sz w:val="24"/>
                <w:szCs w:val="24"/>
                <w:highlight w:val="none"/>
              </w:rPr>
            </w:pPr>
          </w:p>
        </w:tc>
        <w:tc>
          <w:tcPr>
            <w:tcW w:w="1199" w:type="pct"/>
            <w:vAlign w:val="center"/>
          </w:tcPr>
          <w:p w14:paraId="65423BFD">
            <w:pPr>
              <w:jc w:val="center"/>
              <w:rPr>
                <w:rFonts w:hint="eastAsia" w:ascii="宋体" w:hAnsi="宋体" w:eastAsia="宋体" w:cs="宋体"/>
                <w:color w:val="auto"/>
                <w:sz w:val="24"/>
                <w:szCs w:val="24"/>
                <w:highlight w:val="none"/>
              </w:rPr>
            </w:pPr>
          </w:p>
        </w:tc>
      </w:tr>
      <w:tr w14:paraId="16A7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9AE46EA">
            <w:pPr>
              <w:jc w:val="center"/>
              <w:rPr>
                <w:rFonts w:hint="eastAsia" w:ascii="宋体" w:hAnsi="宋体" w:eastAsia="宋体" w:cs="宋体"/>
                <w:color w:val="auto"/>
                <w:sz w:val="24"/>
                <w:szCs w:val="24"/>
                <w:highlight w:val="none"/>
              </w:rPr>
            </w:pPr>
          </w:p>
        </w:tc>
        <w:tc>
          <w:tcPr>
            <w:tcW w:w="1540" w:type="pct"/>
            <w:vAlign w:val="center"/>
          </w:tcPr>
          <w:p w14:paraId="47447704">
            <w:pPr>
              <w:jc w:val="center"/>
              <w:rPr>
                <w:rFonts w:hint="eastAsia" w:ascii="宋体" w:hAnsi="宋体" w:eastAsia="宋体" w:cs="宋体"/>
                <w:color w:val="auto"/>
                <w:sz w:val="24"/>
                <w:szCs w:val="24"/>
                <w:highlight w:val="none"/>
              </w:rPr>
            </w:pPr>
          </w:p>
        </w:tc>
        <w:tc>
          <w:tcPr>
            <w:tcW w:w="1600" w:type="pct"/>
            <w:vAlign w:val="center"/>
          </w:tcPr>
          <w:p w14:paraId="14268FDD">
            <w:pPr>
              <w:jc w:val="center"/>
              <w:rPr>
                <w:rFonts w:hint="eastAsia" w:ascii="宋体" w:hAnsi="宋体" w:eastAsia="宋体" w:cs="宋体"/>
                <w:color w:val="auto"/>
                <w:sz w:val="24"/>
                <w:szCs w:val="24"/>
                <w:highlight w:val="none"/>
              </w:rPr>
            </w:pPr>
          </w:p>
        </w:tc>
        <w:tc>
          <w:tcPr>
            <w:tcW w:w="1199" w:type="pct"/>
            <w:vAlign w:val="center"/>
          </w:tcPr>
          <w:p w14:paraId="4C1C9FCF">
            <w:pPr>
              <w:jc w:val="center"/>
              <w:rPr>
                <w:rFonts w:hint="eastAsia" w:ascii="宋体" w:hAnsi="宋体" w:eastAsia="宋体" w:cs="宋体"/>
                <w:color w:val="auto"/>
                <w:sz w:val="24"/>
                <w:szCs w:val="24"/>
                <w:highlight w:val="none"/>
              </w:rPr>
            </w:pPr>
          </w:p>
        </w:tc>
      </w:tr>
      <w:tr w14:paraId="565A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4EAB63D">
            <w:pPr>
              <w:jc w:val="center"/>
              <w:rPr>
                <w:rFonts w:hint="eastAsia" w:ascii="宋体" w:hAnsi="宋体" w:eastAsia="宋体" w:cs="宋体"/>
                <w:color w:val="auto"/>
                <w:sz w:val="24"/>
                <w:szCs w:val="24"/>
                <w:highlight w:val="none"/>
              </w:rPr>
            </w:pPr>
          </w:p>
        </w:tc>
        <w:tc>
          <w:tcPr>
            <w:tcW w:w="1540" w:type="pct"/>
            <w:vAlign w:val="center"/>
          </w:tcPr>
          <w:p w14:paraId="1F52B6EE">
            <w:pPr>
              <w:jc w:val="center"/>
              <w:rPr>
                <w:rFonts w:hint="eastAsia" w:ascii="宋体" w:hAnsi="宋体" w:eastAsia="宋体" w:cs="宋体"/>
                <w:color w:val="auto"/>
                <w:sz w:val="24"/>
                <w:szCs w:val="24"/>
                <w:highlight w:val="none"/>
              </w:rPr>
            </w:pPr>
          </w:p>
        </w:tc>
        <w:tc>
          <w:tcPr>
            <w:tcW w:w="1600" w:type="pct"/>
            <w:vAlign w:val="center"/>
          </w:tcPr>
          <w:p w14:paraId="1DE3C0D9">
            <w:pPr>
              <w:jc w:val="center"/>
              <w:rPr>
                <w:rFonts w:hint="eastAsia" w:ascii="宋体" w:hAnsi="宋体" w:eastAsia="宋体" w:cs="宋体"/>
                <w:color w:val="auto"/>
                <w:sz w:val="24"/>
                <w:szCs w:val="24"/>
                <w:highlight w:val="none"/>
              </w:rPr>
            </w:pPr>
          </w:p>
        </w:tc>
        <w:tc>
          <w:tcPr>
            <w:tcW w:w="1199" w:type="pct"/>
            <w:vAlign w:val="center"/>
          </w:tcPr>
          <w:p w14:paraId="4C19AB20">
            <w:pPr>
              <w:jc w:val="center"/>
              <w:rPr>
                <w:rFonts w:hint="eastAsia" w:ascii="宋体" w:hAnsi="宋体" w:eastAsia="宋体" w:cs="宋体"/>
                <w:color w:val="auto"/>
                <w:sz w:val="24"/>
                <w:szCs w:val="24"/>
                <w:highlight w:val="none"/>
              </w:rPr>
            </w:pPr>
          </w:p>
        </w:tc>
      </w:tr>
      <w:tr w14:paraId="1C1C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1AEA5B0">
            <w:pPr>
              <w:jc w:val="center"/>
              <w:rPr>
                <w:rFonts w:hint="eastAsia" w:ascii="宋体" w:hAnsi="宋体" w:eastAsia="宋体" w:cs="宋体"/>
                <w:color w:val="auto"/>
                <w:sz w:val="24"/>
                <w:szCs w:val="24"/>
                <w:highlight w:val="none"/>
              </w:rPr>
            </w:pPr>
          </w:p>
        </w:tc>
        <w:tc>
          <w:tcPr>
            <w:tcW w:w="1540" w:type="pct"/>
            <w:vAlign w:val="center"/>
          </w:tcPr>
          <w:p w14:paraId="27B636B1">
            <w:pPr>
              <w:jc w:val="center"/>
              <w:rPr>
                <w:rFonts w:hint="eastAsia" w:ascii="宋体" w:hAnsi="宋体" w:eastAsia="宋体" w:cs="宋体"/>
                <w:color w:val="auto"/>
                <w:sz w:val="24"/>
                <w:szCs w:val="24"/>
                <w:highlight w:val="none"/>
              </w:rPr>
            </w:pPr>
          </w:p>
        </w:tc>
        <w:tc>
          <w:tcPr>
            <w:tcW w:w="1600" w:type="pct"/>
            <w:vAlign w:val="center"/>
          </w:tcPr>
          <w:p w14:paraId="0D1C4032">
            <w:pPr>
              <w:jc w:val="center"/>
              <w:rPr>
                <w:rFonts w:hint="eastAsia" w:ascii="宋体" w:hAnsi="宋体" w:eastAsia="宋体" w:cs="宋体"/>
                <w:color w:val="auto"/>
                <w:sz w:val="24"/>
                <w:szCs w:val="24"/>
                <w:highlight w:val="none"/>
              </w:rPr>
            </w:pPr>
          </w:p>
        </w:tc>
        <w:tc>
          <w:tcPr>
            <w:tcW w:w="1199" w:type="pct"/>
            <w:vAlign w:val="center"/>
          </w:tcPr>
          <w:p w14:paraId="394D99DA">
            <w:pPr>
              <w:jc w:val="center"/>
              <w:rPr>
                <w:rFonts w:hint="eastAsia" w:ascii="宋体" w:hAnsi="宋体" w:eastAsia="宋体" w:cs="宋体"/>
                <w:color w:val="auto"/>
                <w:sz w:val="24"/>
                <w:szCs w:val="24"/>
                <w:highlight w:val="none"/>
              </w:rPr>
            </w:pPr>
          </w:p>
        </w:tc>
      </w:tr>
      <w:tr w14:paraId="16FE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34236DA">
            <w:pPr>
              <w:jc w:val="center"/>
              <w:rPr>
                <w:rFonts w:hint="eastAsia" w:ascii="宋体" w:hAnsi="宋体" w:eastAsia="宋体" w:cs="宋体"/>
                <w:color w:val="auto"/>
                <w:sz w:val="24"/>
                <w:szCs w:val="24"/>
                <w:highlight w:val="none"/>
              </w:rPr>
            </w:pPr>
          </w:p>
        </w:tc>
        <w:tc>
          <w:tcPr>
            <w:tcW w:w="1540" w:type="pct"/>
            <w:vAlign w:val="center"/>
          </w:tcPr>
          <w:p w14:paraId="5D97002A">
            <w:pPr>
              <w:jc w:val="center"/>
              <w:rPr>
                <w:rFonts w:hint="eastAsia" w:ascii="宋体" w:hAnsi="宋体" w:eastAsia="宋体" w:cs="宋体"/>
                <w:color w:val="auto"/>
                <w:sz w:val="24"/>
                <w:szCs w:val="24"/>
                <w:highlight w:val="none"/>
              </w:rPr>
            </w:pPr>
          </w:p>
        </w:tc>
        <w:tc>
          <w:tcPr>
            <w:tcW w:w="1600" w:type="pct"/>
            <w:vAlign w:val="center"/>
          </w:tcPr>
          <w:p w14:paraId="309BC82D">
            <w:pPr>
              <w:jc w:val="center"/>
              <w:rPr>
                <w:rFonts w:hint="eastAsia" w:ascii="宋体" w:hAnsi="宋体" w:eastAsia="宋体" w:cs="宋体"/>
                <w:color w:val="auto"/>
                <w:sz w:val="24"/>
                <w:szCs w:val="24"/>
                <w:highlight w:val="none"/>
              </w:rPr>
            </w:pPr>
          </w:p>
        </w:tc>
        <w:tc>
          <w:tcPr>
            <w:tcW w:w="1199" w:type="pct"/>
            <w:vAlign w:val="center"/>
          </w:tcPr>
          <w:p w14:paraId="4E969213">
            <w:pPr>
              <w:jc w:val="center"/>
              <w:rPr>
                <w:rFonts w:hint="eastAsia" w:ascii="宋体" w:hAnsi="宋体" w:eastAsia="宋体" w:cs="宋体"/>
                <w:color w:val="auto"/>
                <w:sz w:val="24"/>
                <w:szCs w:val="24"/>
                <w:highlight w:val="none"/>
              </w:rPr>
            </w:pPr>
          </w:p>
        </w:tc>
      </w:tr>
    </w:tbl>
    <w:p w14:paraId="3986F2C4">
      <w:pPr>
        <w:spacing w:line="480" w:lineRule="atLeas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名称（公章）：</w:t>
      </w:r>
    </w:p>
    <w:p w14:paraId="6B5EF2CA">
      <w:pPr>
        <w:spacing w:line="480" w:lineRule="atLeast"/>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96F682E">
      <w:pPr>
        <w:spacing w:line="48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项目技术需求”中所列条款进行比较和响应；</w:t>
      </w:r>
    </w:p>
    <w:p w14:paraId="272FAC22">
      <w:pPr>
        <w:spacing w:line="48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文件要求逐条如实填写，“响应情况”栏需逐条填写具体内容，并在“差异说明”项填写正偏离或负偏离，完全符合的填写“无差异”，如“响应情况”栏未填写具体内容或与“</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栏</w:t>
      </w:r>
      <w:r>
        <w:rPr>
          <w:rFonts w:hint="eastAsia" w:ascii="宋体" w:hAnsi="宋体" w:eastAsia="宋体" w:cs="宋体"/>
          <w:color w:val="auto"/>
          <w:sz w:val="24"/>
          <w:szCs w:val="24"/>
          <w:highlight w:val="none"/>
        </w:rPr>
        <w:t>的内容不完全一致，则该</w:t>
      </w:r>
      <w:r>
        <w:rPr>
          <w:rFonts w:hint="eastAsia" w:ascii="宋体" w:hAnsi="宋体" w:eastAsia="宋体" w:cs="宋体"/>
          <w:color w:val="auto"/>
          <w:sz w:val="24"/>
          <w:szCs w:val="24"/>
          <w:highlight w:val="none"/>
          <w:lang w:val="en-US" w:eastAsia="zh-CN"/>
        </w:rPr>
        <w:t>竞选人</w:t>
      </w:r>
      <w:r>
        <w:rPr>
          <w:rFonts w:hint="eastAsia" w:ascii="宋体" w:hAnsi="宋体" w:eastAsia="宋体" w:cs="宋体"/>
          <w:color w:val="auto"/>
          <w:sz w:val="24"/>
          <w:szCs w:val="24"/>
          <w:highlight w:val="none"/>
        </w:rPr>
        <w:t>不能通过本项目的符合性审查。如“响应情况”栏具体内容和“</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要求”栏具体内容一致但“差异说明”栏未填写则视为无差异。</w:t>
      </w:r>
    </w:p>
    <w:p w14:paraId="5983C1D0">
      <w:pPr>
        <w:spacing w:line="48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2A0CB557">
      <w:pPr>
        <w:spacing w:line="48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1B2E29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C41C870">
      <w:pPr>
        <w:jc w:val="center"/>
        <w:rPr>
          <w:rFonts w:hint="eastAsia" w:ascii="宋体" w:hAnsi="宋体" w:eastAsia="宋体" w:cs="宋体"/>
          <w:b/>
          <w:bCs/>
          <w:color w:val="auto"/>
          <w:sz w:val="24"/>
          <w:szCs w:val="24"/>
          <w:highlight w:val="none"/>
        </w:rPr>
      </w:pPr>
      <w:bookmarkStart w:id="390" w:name="_Toc13717"/>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rPr>
        <w:t>方案</w:t>
      </w:r>
      <w:bookmarkEnd w:id="390"/>
    </w:p>
    <w:p w14:paraId="099C5BE8">
      <w:pPr>
        <w:spacing w:line="48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br w:type="page"/>
      </w:r>
    </w:p>
    <w:p w14:paraId="53CEC1A6">
      <w:pPr>
        <w:jc w:val="center"/>
        <w:rPr>
          <w:rFonts w:hint="eastAsia" w:ascii="宋体" w:hAnsi="宋体" w:eastAsia="宋体" w:cs="宋体"/>
          <w:b/>
          <w:bCs/>
          <w:color w:val="auto"/>
          <w:sz w:val="24"/>
          <w:szCs w:val="24"/>
          <w:highlight w:val="none"/>
        </w:rPr>
      </w:pPr>
      <w:bookmarkStart w:id="391" w:name="_Toc20158"/>
      <w:bookmarkStart w:id="392" w:name="_Toc5262"/>
      <w:bookmarkStart w:id="393" w:name="_Toc16264"/>
      <w:bookmarkStart w:id="394" w:name="_Toc27337"/>
      <w:bookmarkStart w:id="395" w:name="_Toc18349"/>
      <w:bookmarkStart w:id="396" w:name="_Toc2630"/>
      <w:r>
        <w:rPr>
          <w:rFonts w:hint="eastAsia" w:ascii="宋体" w:hAnsi="宋体" w:eastAsia="宋体" w:cs="宋体"/>
          <w:b/>
          <w:color w:val="auto"/>
          <w:kern w:val="44"/>
          <w:sz w:val="24"/>
          <w:szCs w:val="24"/>
          <w:highlight w:val="none"/>
        </w:rPr>
        <w:t>（</w:t>
      </w:r>
      <w:r>
        <w:rPr>
          <w:rFonts w:hint="eastAsia" w:ascii="宋体" w:hAnsi="宋体" w:eastAsia="宋体" w:cs="宋体"/>
          <w:b/>
          <w:color w:val="auto"/>
          <w:kern w:val="44"/>
          <w:sz w:val="24"/>
          <w:szCs w:val="24"/>
          <w:highlight w:val="none"/>
          <w:lang w:val="en-US" w:eastAsia="zh-CN"/>
        </w:rPr>
        <w:t>三</w:t>
      </w:r>
      <w:r>
        <w:rPr>
          <w:rFonts w:hint="eastAsia" w:ascii="宋体" w:hAnsi="宋体" w:eastAsia="宋体" w:cs="宋体"/>
          <w:b/>
          <w:color w:val="auto"/>
          <w:kern w:val="44"/>
          <w:sz w:val="24"/>
          <w:szCs w:val="24"/>
          <w:highlight w:val="none"/>
        </w:rPr>
        <w:t>）</w:t>
      </w:r>
      <w:r>
        <w:rPr>
          <w:rFonts w:hint="eastAsia" w:ascii="宋体" w:hAnsi="宋体" w:eastAsia="宋体" w:cs="宋体"/>
          <w:b/>
          <w:color w:val="auto"/>
          <w:kern w:val="44"/>
          <w:sz w:val="24"/>
          <w:szCs w:val="24"/>
          <w:highlight w:val="none"/>
          <w:lang w:val="en-US" w:eastAsia="zh-CN"/>
        </w:rPr>
        <w:t>其他技术部分相关材料（如有，自附。）</w:t>
      </w:r>
      <w:r>
        <w:rPr>
          <w:rFonts w:hint="eastAsia" w:ascii="宋体" w:hAnsi="宋体" w:eastAsia="宋体" w:cs="宋体"/>
          <w:b/>
          <w:bCs/>
          <w:color w:val="auto"/>
          <w:sz w:val="24"/>
          <w:szCs w:val="24"/>
          <w:highlight w:val="none"/>
        </w:rPr>
        <w:br w:type="page"/>
      </w:r>
      <w:bookmarkEnd w:id="391"/>
    </w:p>
    <w:p w14:paraId="1F5CF904">
      <w:pPr>
        <w:pStyle w:val="3"/>
        <w:ind w:firstLine="562"/>
        <w:rPr>
          <w:rFonts w:hint="eastAsia" w:ascii="宋体" w:hAnsi="宋体" w:eastAsia="宋体" w:cs="宋体"/>
          <w:color w:val="auto"/>
          <w:sz w:val="24"/>
          <w:szCs w:val="24"/>
          <w:highlight w:val="none"/>
          <w:lang w:eastAsia="zh-CN"/>
        </w:rPr>
      </w:pPr>
      <w:bookmarkStart w:id="397" w:name="_Toc28286"/>
      <w:bookmarkStart w:id="398" w:name="_Toc17521"/>
      <w:bookmarkStart w:id="399" w:name="_Toc24965"/>
      <w:bookmarkStart w:id="400" w:name="_Toc12301"/>
      <w:r>
        <w:rPr>
          <w:rFonts w:hint="eastAsia" w:ascii="宋体" w:hAnsi="宋体" w:eastAsia="宋体" w:cs="宋体"/>
          <w:color w:val="auto"/>
          <w:sz w:val="24"/>
          <w:szCs w:val="24"/>
          <w:highlight w:val="none"/>
        </w:rPr>
        <w:t>四、</w:t>
      </w:r>
      <w:bookmarkEnd w:id="392"/>
      <w:bookmarkEnd w:id="393"/>
      <w:bookmarkEnd w:id="394"/>
      <w:bookmarkEnd w:id="395"/>
      <w:bookmarkEnd w:id="396"/>
      <w:bookmarkEnd w:id="397"/>
      <w:bookmarkEnd w:id="398"/>
      <w:r>
        <w:rPr>
          <w:rFonts w:hint="eastAsia" w:ascii="宋体" w:hAnsi="宋体" w:eastAsia="宋体" w:cs="宋体"/>
          <w:color w:val="auto"/>
          <w:sz w:val="24"/>
          <w:szCs w:val="24"/>
          <w:highlight w:val="none"/>
          <w:lang w:eastAsia="zh-CN"/>
        </w:rPr>
        <w:t>商务部分</w:t>
      </w:r>
      <w:bookmarkEnd w:id="399"/>
      <w:bookmarkEnd w:id="400"/>
    </w:p>
    <w:p w14:paraId="5F13FB4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函</w:t>
      </w:r>
    </w:p>
    <w:p w14:paraId="377089D3">
      <w:pPr>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1AF8EE4C">
      <w:pPr>
        <w:tabs>
          <w:tab w:val="left" w:pos="6300"/>
        </w:tabs>
        <w:snapToGrid w:val="0"/>
        <w:spacing w:line="48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比选人或</w:t>
      </w:r>
      <w:r>
        <w:rPr>
          <w:rFonts w:hint="eastAsia" w:ascii="宋体" w:hAnsi="宋体" w:eastAsia="宋体" w:cs="宋体"/>
          <w:color w:val="auto"/>
          <w:sz w:val="24"/>
          <w:szCs w:val="24"/>
          <w:highlight w:val="none"/>
        </w:rPr>
        <w:t>代理机构名称）：</w:t>
      </w:r>
    </w:p>
    <w:p w14:paraId="21B17578">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名称）系中华人民共和国合法企业，注册地址：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。我方就参加本次</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有关事项郑重声明如下：</w:t>
      </w:r>
    </w:p>
    <w:p w14:paraId="41894216">
      <w:pPr>
        <w:snapToGrid w:val="0"/>
        <w:spacing w:line="480" w:lineRule="atLeast"/>
        <w:ind w:firstLine="480" w:firstLineChars="200"/>
        <w:rPr>
          <w:rFonts w:hint="eastAsia" w:ascii="宋体" w:hAnsi="宋体" w:eastAsia="宋体" w:cs="宋体"/>
          <w:color w:val="auto"/>
          <w:sz w:val="24"/>
          <w:szCs w:val="24"/>
          <w:highlight w:val="none"/>
        </w:rPr>
      </w:pPr>
      <w:bookmarkStart w:id="401" w:name="_Toc15412"/>
      <w:bookmarkStart w:id="402" w:name="_Toc8065"/>
      <w:r>
        <w:rPr>
          <w:rFonts w:hint="eastAsia" w:ascii="宋体" w:hAnsi="宋体" w:eastAsia="宋体" w:cs="宋体"/>
          <w:color w:val="auto"/>
          <w:sz w:val="24"/>
          <w:szCs w:val="24"/>
          <w:highlight w:val="none"/>
        </w:rPr>
        <w:t>一、我方完全理解并接受该项目</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所有要求。</w:t>
      </w:r>
      <w:bookmarkEnd w:id="401"/>
      <w:bookmarkEnd w:id="402"/>
    </w:p>
    <w:p w14:paraId="1F8135D2">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二、我方提交的所有</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、资料都是准确和真实的，如有虚假或隐瞒，我方愿意承担一切法律责任。</w:t>
      </w:r>
    </w:p>
    <w:p w14:paraId="71153CBE">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三、我方承诺按照</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要求，提供</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w:t>
      </w:r>
    </w:p>
    <w:p w14:paraId="0F1A156F">
      <w:pPr>
        <w:snapToGrid w:val="0"/>
        <w:spacing w:line="48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四、我方按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要求提交的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完整的竞选文件电子档格式。</w:t>
      </w:r>
    </w:p>
    <w:p w14:paraId="45113707">
      <w:pPr>
        <w:snapToGrid w:val="0"/>
        <w:spacing w:line="480" w:lineRule="atLeast"/>
        <w:ind w:firstLine="480" w:firstLineChars="200"/>
        <w:rPr>
          <w:rFonts w:hint="eastAsia" w:ascii="宋体" w:hAnsi="宋体" w:eastAsia="宋体" w:cs="宋体"/>
          <w:color w:val="auto"/>
          <w:sz w:val="24"/>
          <w:szCs w:val="24"/>
          <w:highlight w:val="none"/>
        </w:rPr>
      </w:pPr>
      <w:bookmarkStart w:id="403" w:name="_Toc10192"/>
      <w:bookmarkStart w:id="404" w:name="_Toc5527"/>
      <w:r>
        <w:rPr>
          <w:rFonts w:hint="eastAsia" w:ascii="宋体" w:hAnsi="宋体" w:eastAsia="宋体" w:cs="宋体"/>
          <w:color w:val="auto"/>
          <w:sz w:val="24"/>
          <w:szCs w:val="24"/>
          <w:highlight w:val="none"/>
        </w:rPr>
        <w:t>五、我方承诺：本次</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有效期为</w:t>
      </w:r>
      <w:r>
        <w:rPr>
          <w:rFonts w:hint="eastAsia" w:ascii="宋体" w:hAnsi="宋体" w:eastAsia="宋体" w:cs="宋体"/>
          <w:color w:val="auto"/>
          <w:sz w:val="24"/>
          <w:szCs w:val="24"/>
          <w:highlight w:val="none"/>
          <w:lang w:val="en-US" w:eastAsia="zh-CN"/>
        </w:rPr>
        <w:t>递交竞选文件截止</w:t>
      </w:r>
      <w:r>
        <w:rPr>
          <w:rFonts w:hint="eastAsia" w:ascii="宋体" w:hAnsi="宋体" w:eastAsia="宋体" w:cs="宋体"/>
          <w:color w:val="auto"/>
          <w:sz w:val="24"/>
          <w:szCs w:val="24"/>
          <w:highlight w:val="none"/>
        </w:rPr>
        <w:t>起90天。</w:t>
      </w:r>
      <w:bookmarkEnd w:id="403"/>
      <w:bookmarkEnd w:id="404"/>
    </w:p>
    <w:p w14:paraId="17BDDE79">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六、我方报价</w:t>
      </w:r>
      <w:r>
        <w:rPr>
          <w:rFonts w:hint="eastAsia" w:ascii="宋体" w:hAnsi="宋体" w:eastAsia="宋体" w:cs="宋体"/>
          <w:b/>
          <w:bCs/>
          <w:color w:val="auto"/>
          <w:sz w:val="24"/>
          <w:szCs w:val="24"/>
          <w:highlight w:val="none"/>
          <w:lang w:val="en-US" w:eastAsia="zh-CN"/>
        </w:rPr>
        <w:t>中的单价</w:t>
      </w:r>
      <w:r>
        <w:rPr>
          <w:rFonts w:hint="eastAsia" w:ascii="宋体" w:hAnsi="宋体" w:eastAsia="宋体" w:cs="宋体"/>
          <w:b/>
          <w:bCs/>
          <w:color w:val="auto"/>
          <w:sz w:val="24"/>
          <w:szCs w:val="24"/>
          <w:highlight w:val="none"/>
        </w:rPr>
        <w:t>为闭口价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即在</w:t>
      </w:r>
      <w:r>
        <w:rPr>
          <w:rFonts w:hint="eastAsia" w:ascii="宋体" w:hAnsi="宋体" w:eastAsia="宋体" w:cs="宋体"/>
          <w:b/>
          <w:bCs/>
          <w:color w:val="auto"/>
          <w:sz w:val="24"/>
          <w:szCs w:val="24"/>
          <w:highlight w:val="none"/>
          <w:lang w:val="en-US" w:eastAsia="zh-CN"/>
        </w:rPr>
        <w:t>比选</w:t>
      </w:r>
      <w:r>
        <w:rPr>
          <w:rFonts w:hint="eastAsia" w:ascii="宋体" w:hAnsi="宋体" w:eastAsia="宋体" w:cs="宋体"/>
          <w:b/>
          <w:bCs/>
          <w:color w:val="auto"/>
          <w:sz w:val="24"/>
          <w:szCs w:val="24"/>
          <w:highlight w:val="none"/>
        </w:rPr>
        <w:t>有效期和合同有效期内，</w:t>
      </w:r>
      <w:r>
        <w:rPr>
          <w:rFonts w:hint="eastAsia" w:ascii="宋体" w:hAnsi="宋体" w:eastAsia="宋体" w:cs="宋体"/>
          <w:b/>
          <w:bCs/>
          <w:color w:val="auto"/>
          <w:sz w:val="24"/>
          <w:szCs w:val="24"/>
          <w:highlight w:val="none"/>
          <w:lang w:val="en-US" w:eastAsia="zh-CN"/>
        </w:rPr>
        <w:t>结算时单价</w:t>
      </w:r>
      <w:r>
        <w:rPr>
          <w:rFonts w:hint="eastAsia" w:ascii="宋体" w:hAnsi="宋体" w:eastAsia="宋体" w:cs="宋体"/>
          <w:b/>
          <w:bCs/>
          <w:color w:val="auto"/>
          <w:sz w:val="24"/>
          <w:szCs w:val="24"/>
          <w:highlight w:val="none"/>
        </w:rPr>
        <w:t>不变</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根据工程量进行据实结算</w:t>
      </w:r>
      <w:r>
        <w:rPr>
          <w:rFonts w:hint="eastAsia" w:ascii="宋体" w:hAnsi="宋体" w:eastAsia="宋体" w:cs="宋体"/>
          <w:b/>
          <w:bCs/>
          <w:color w:val="auto"/>
          <w:sz w:val="24"/>
          <w:szCs w:val="24"/>
          <w:highlight w:val="none"/>
        </w:rPr>
        <w:t>。</w:t>
      </w:r>
    </w:p>
    <w:p w14:paraId="0995CA9D">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七、如果我方成为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，我方将履行</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中规定的各项要求以及我方</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的各项承诺，</w:t>
      </w:r>
      <w:r>
        <w:rPr>
          <w:rFonts w:hint="eastAsia" w:ascii="宋体" w:hAnsi="宋体" w:eastAsia="宋体" w:cs="宋体"/>
          <w:color w:val="auto"/>
          <w:sz w:val="24"/>
          <w:szCs w:val="24"/>
          <w:highlight w:val="none"/>
          <w:lang w:val="en-US" w:eastAsia="zh-CN"/>
        </w:rPr>
        <w:t>按相关法律法规及</w:t>
      </w:r>
      <w:r>
        <w:rPr>
          <w:rFonts w:hint="eastAsia" w:ascii="宋体" w:hAnsi="宋体" w:eastAsia="宋体" w:cs="宋体"/>
          <w:color w:val="auto"/>
          <w:sz w:val="24"/>
          <w:szCs w:val="24"/>
          <w:highlight w:val="none"/>
        </w:rPr>
        <w:t>合同约定条款承担我方责任。</w:t>
      </w:r>
    </w:p>
    <w:p w14:paraId="0C63D2C1">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八、我方未为</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项目提供整体设计、规范编制或者项目管理、监理、检测等服务。</w:t>
      </w:r>
    </w:p>
    <w:p w14:paraId="5E81529E">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九、我方理解，最低报价不是成交的唯一条件。</w:t>
      </w:r>
    </w:p>
    <w:p w14:paraId="0D28D273">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十、若我方成为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，愿意按有关规定及</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要求缴纳</w:t>
      </w:r>
      <w:r>
        <w:rPr>
          <w:rFonts w:hint="eastAsia" w:ascii="宋体" w:hAnsi="宋体" w:eastAsia="宋体" w:cs="宋体"/>
          <w:color w:val="auto"/>
          <w:sz w:val="24"/>
          <w:szCs w:val="24"/>
          <w:highlight w:val="none"/>
          <w:lang w:eastAsia="zh-CN"/>
        </w:rPr>
        <w:t>比选代理</w:t>
      </w:r>
      <w:r>
        <w:rPr>
          <w:rFonts w:hint="eastAsia" w:ascii="宋体" w:hAnsi="宋体" w:eastAsia="宋体" w:cs="宋体"/>
          <w:color w:val="auto"/>
          <w:sz w:val="24"/>
          <w:szCs w:val="24"/>
          <w:highlight w:val="none"/>
        </w:rPr>
        <w:t>服务费。</w:t>
      </w:r>
    </w:p>
    <w:p w14:paraId="77241999">
      <w:pPr>
        <w:tabs>
          <w:tab w:val="left" w:pos="6300"/>
        </w:tabs>
        <w:snapToGrid w:val="0"/>
        <w:spacing w:line="480" w:lineRule="atLeast"/>
        <w:ind w:firstLine="5460" w:firstLineChars="2275"/>
        <w:rPr>
          <w:rFonts w:hint="eastAsia" w:ascii="宋体" w:hAnsi="宋体" w:eastAsia="宋体" w:cs="宋体"/>
          <w:color w:val="auto"/>
          <w:sz w:val="24"/>
          <w:szCs w:val="24"/>
          <w:highlight w:val="none"/>
        </w:rPr>
      </w:pPr>
    </w:p>
    <w:p w14:paraId="0844B6AB">
      <w:pPr>
        <w:tabs>
          <w:tab w:val="left" w:pos="6300"/>
        </w:tabs>
        <w:snapToGrid w:val="0"/>
        <w:spacing w:line="480" w:lineRule="atLeast"/>
        <w:ind w:firstLine="5460" w:firstLineChars="2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公章或自然人签署）</w:t>
      </w:r>
    </w:p>
    <w:p w14:paraId="621A6939">
      <w:pPr>
        <w:tabs>
          <w:tab w:val="left" w:pos="6300"/>
        </w:tabs>
        <w:snapToGrid w:val="0"/>
        <w:spacing w:line="480" w:lineRule="atLeast"/>
        <w:ind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7EFAC7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05" w:name="_Toc19167"/>
      <w:bookmarkStart w:id="406" w:name="_Toc17279"/>
      <w:bookmarkStart w:id="407" w:name="_Toc10242"/>
      <w:r>
        <w:rPr>
          <w:rFonts w:hint="eastAsia" w:ascii="宋体" w:hAnsi="宋体" w:eastAsia="宋体" w:cs="宋体"/>
          <w:b/>
          <w:bCs/>
          <w:color w:val="auto"/>
          <w:sz w:val="24"/>
          <w:szCs w:val="24"/>
          <w:highlight w:val="none"/>
        </w:rPr>
        <w:t>（二）商务条款差异表</w:t>
      </w:r>
      <w:bookmarkEnd w:id="405"/>
      <w:bookmarkEnd w:id="406"/>
      <w:bookmarkEnd w:id="407"/>
    </w:p>
    <w:p w14:paraId="69D50F86">
      <w:pPr>
        <w:tabs>
          <w:tab w:val="left" w:pos="720"/>
        </w:tabs>
        <w:spacing w:line="480" w:lineRule="atLeast"/>
        <w:ind w:firstLine="5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商务条款差异表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70"/>
        <w:gridCol w:w="3188"/>
        <w:gridCol w:w="2389"/>
      </w:tblGrid>
      <w:tr w14:paraId="21CD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66A6CA66">
            <w:pPr>
              <w:jc w:val="center"/>
              <w:rPr>
                <w:rFonts w:hint="eastAsia" w:ascii="宋体" w:hAnsi="宋体" w:eastAsia="宋体" w:cs="宋体"/>
                <w:color w:val="auto"/>
                <w:sz w:val="24"/>
                <w:szCs w:val="24"/>
                <w:highlight w:val="none"/>
              </w:rPr>
            </w:pPr>
            <w:bookmarkStart w:id="408" w:name="_Toc3165"/>
            <w:bookmarkStart w:id="409" w:name="_Toc26650"/>
            <w:bookmarkStart w:id="410" w:name="_Toc12928"/>
            <w:bookmarkStart w:id="411" w:name="_Toc30909"/>
            <w:r>
              <w:rPr>
                <w:rFonts w:hint="eastAsia" w:ascii="宋体" w:hAnsi="宋体" w:eastAsia="宋体" w:cs="宋体"/>
                <w:color w:val="auto"/>
                <w:sz w:val="24"/>
                <w:szCs w:val="24"/>
                <w:highlight w:val="none"/>
              </w:rPr>
              <w:t>序号</w:t>
            </w:r>
            <w:bookmarkEnd w:id="408"/>
            <w:bookmarkEnd w:id="409"/>
            <w:bookmarkEnd w:id="410"/>
            <w:bookmarkEnd w:id="411"/>
          </w:p>
        </w:tc>
        <w:tc>
          <w:tcPr>
            <w:tcW w:w="1541" w:type="pct"/>
            <w:vAlign w:val="center"/>
          </w:tcPr>
          <w:p w14:paraId="2FD9192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项目要求</w:t>
            </w:r>
          </w:p>
        </w:tc>
        <w:tc>
          <w:tcPr>
            <w:tcW w:w="1600" w:type="pct"/>
            <w:vAlign w:val="center"/>
          </w:tcPr>
          <w:p w14:paraId="18B21B41">
            <w:pPr>
              <w:jc w:val="center"/>
              <w:rPr>
                <w:rFonts w:hint="eastAsia" w:ascii="宋体" w:hAnsi="宋体" w:eastAsia="宋体" w:cs="宋体"/>
                <w:color w:val="auto"/>
                <w:sz w:val="24"/>
                <w:szCs w:val="24"/>
                <w:highlight w:val="none"/>
              </w:rPr>
            </w:pPr>
            <w:bookmarkStart w:id="412" w:name="_Toc3511"/>
            <w:bookmarkStart w:id="413" w:name="_Toc24660"/>
            <w:bookmarkStart w:id="414" w:name="_Toc4456"/>
            <w:bookmarkStart w:id="415" w:name="_Toc22122"/>
            <w:r>
              <w:rPr>
                <w:rFonts w:hint="eastAsia" w:ascii="宋体" w:hAnsi="宋体" w:eastAsia="宋体" w:cs="宋体"/>
                <w:color w:val="auto"/>
                <w:sz w:val="24"/>
                <w:szCs w:val="24"/>
                <w:highlight w:val="none"/>
              </w:rPr>
              <w:t>响应情况</w:t>
            </w:r>
            <w:bookmarkEnd w:id="412"/>
            <w:bookmarkEnd w:id="413"/>
            <w:bookmarkEnd w:id="414"/>
            <w:bookmarkEnd w:id="415"/>
          </w:p>
        </w:tc>
        <w:tc>
          <w:tcPr>
            <w:tcW w:w="1199" w:type="pct"/>
            <w:vAlign w:val="center"/>
          </w:tcPr>
          <w:p w14:paraId="68FF9F75">
            <w:pPr>
              <w:jc w:val="center"/>
              <w:rPr>
                <w:rFonts w:hint="eastAsia" w:ascii="宋体" w:hAnsi="宋体" w:eastAsia="宋体" w:cs="宋体"/>
                <w:color w:val="auto"/>
                <w:sz w:val="24"/>
                <w:szCs w:val="24"/>
                <w:highlight w:val="none"/>
              </w:rPr>
            </w:pPr>
            <w:bookmarkStart w:id="416" w:name="_Toc15020"/>
            <w:bookmarkStart w:id="417" w:name="_Toc11128"/>
            <w:bookmarkStart w:id="418" w:name="_Toc14571"/>
            <w:bookmarkStart w:id="419" w:name="_Toc13230"/>
            <w:r>
              <w:rPr>
                <w:rFonts w:hint="eastAsia" w:ascii="宋体" w:hAnsi="宋体" w:eastAsia="宋体" w:cs="宋体"/>
                <w:color w:val="auto"/>
                <w:sz w:val="24"/>
                <w:szCs w:val="24"/>
                <w:highlight w:val="none"/>
              </w:rPr>
              <w:t>差异说明</w:t>
            </w:r>
            <w:bookmarkEnd w:id="416"/>
            <w:bookmarkEnd w:id="417"/>
            <w:bookmarkEnd w:id="418"/>
            <w:bookmarkEnd w:id="419"/>
          </w:p>
        </w:tc>
      </w:tr>
      <w:tr w14:paraId="0743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53F891E">
            <w:pPr>
              <w:jc w:val="center"/>
              <w:rPr>
                <w:rFonts w:hint="eastAsia" w:ascii="宋体" w:hAnsi="宋体" w:eastAsia="宋体" w:cs="宋体"/>
                <w:color w:val="auto"/>
                <w:sz w:val="24"/>
                <w:szCs w:val="24"/>
                <w:highlight w:val="none"/>
              </w:rPr>
            </w:pPr>
          </w:p>
        </w:tc>
        <w:tc>
          <w:tcPr>
            <w:tcW w:w="1541" w:type="pct"/>
            <w:vAlign w:val="center"/>
          </w:tcPr>
          <w:p w14:paraId="7EA424E0">
            <w:pPr>
              <w:jc w:val="center"/>
              <w:rPr>
                <w:rFonts w:hint="eastAsia" w:ascii="宋体" w:hAnsi="宋体" w:eastAsia="宋体" w:cs="宋体"/>
                <w:color w:val="auto"/>
                <w:sz w:val="24"/>
                <w:szCs w:val="24"/>
                <w:highlight w:val="none"/>
              </w:rPr>
            </w:pPr>
          </w:p>
        </w:tc>
        <w:tc>
          <w:tcPr>
            <w:tcW w:w="1600" w:type="pct"/>
            <w:vAlign w:val="center"/>
          </w:tcPr>
          <w:p w14:paraId="563FCF1B">
            <w:pPr>
              <w:jc w:val="center"/>
              <w:rPr>
                <w:rFonts w:hint="eastAsia" w:ascii="宋体" w:hAnsi="宋体" w:eastAsia="宋体" w:cs="宋体"/>
                <w:color w:val="auto"/>
                <w:sz w:val="24"/>
                <w:szCs w:val="24"/>
                <w:highlight w:val="none"/>
              </w:rPr>
            </w:pPr>
          </w:p>
        </w:tc>
        <w:tc>
          <w:tcPr>
            <w:tcW w:w="1199" w:type="pct"/>
            <w:vAlign w:val="center"/>
          </w:tcPr>
          <w:p w14:paraId="22921B7D">
            <w:pPr>
              <w:jc w:val="center"/>
              <w:rPr>
                <w:rFonts w:hint="eastAsia" w:ascii="宋体" w:hAnsi="宋体" w:eastAsia="宋体" w:cs="宋体"/>
                <w:color w:val="auto"/>
                <w:sz w:val="24"/>
                <w:szCs w:val="24"/>
                <w:highlight w:val="none"/>
              </w:rPr>
            </w:pPr>
          </w:p>
        </w:tc>
      </w:tr>
      <w:tr w14:paraId="4106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EE5A818">
            <w:pPr>
              <w:jc w:val="center"/>
              <w:rPr>
                <w:rFonts w:hint="eastAsia" w:ascii="宋体" w:hAnsi="宋体" w:eastAsia="宋体" w:cs="宋体"/>
                <w:color w:val="auto"/>
                <w:sz w:val="24"/>
                <w:szCs w:val="24"/>
                <w:highlight w:val="none"/>
              </w:rPr>
            </w:pPr>
          </w:p>
        </w:tc>
        <w:tc>
          <w:tcPr>
            <w:tcW w:w="1541" w:type="pct"/>
            <w:vAlign w:val="center"/>
          </w:tcPr>
          <w:p w14:paraId="715E03D4">
            <w:pPr>
              <w:jc w:val="center"/>
              <w:rPr>
                <w:rFonts w:hint="eastAsia" w:ascii="宋体" w:hAnsi="宋体" w:eastAsia="宋体" w:cs="宋体"/>
                <w:color w:val="auto"/>
                <w:sz w:val="24"/>
                <w:szCs w:val="24"/>
                <w:highlight w:val="none"/>
              </w:rPr>
            </w:pPr>
          </w:p>
        </w:tc>
        <w:tc>
          <w:tcPr>
            <w:tcW w:w="1600" w:type="pct"/>
            <w:vAlign w:val="center"/>
          </w:tcPr>
          <w:p w14:paraId="05A40478">
            <w:pPr>
              <w:jc w:val="center"/>
              <w:rPr>
                <w:rFonts w:hint="eastAsia" w:ascii="宋体" w:hAnsi="宋体" w:eastAsia="宋体" w:cs="宋体"/>
                <w:color w:val="auto"/>
                <w:sz w:val="24"/>
                <w:szCs w:val="24"/>
                <w:highlight w:val="none"/>
              </w:rPr>
            </w:pPr>
          </w:p>
        </w:tc>
        <w:tc>
          <w:tcPr>
            <w:tcW w:w="1199" w:type="pct"/>
            <w:vAlign w:val="center"/>
          </w:tcPr>
          <w:p w14:paraId="02918CA5">
            <w:pPr>
              <w:jc w:val="center"/>
              <w:rPr>
                <w:rFonts w:hint="eastAsia" w:ascii="宋体" w:hAnsi="宋体" w:eastAsia="宋体" w:cs="宋体"/>
                <w:color w:val="auto"/>
                <w:sz w:val="24"/>
                <w:szCs w:val="24"/>
                <w:highlight w:val="none"/>
              </w:rPr>
            </w:pPr>
          </w:p>
        </w:tc>
      </w:tr>
      <w:tr w14:paraId="1B38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0CADCDA">
            <w:pPr>
              <w:jc w:val="center"/>
              <w:rPr>
                <w:rFonts w:hint="eastAsia" w:ascii="宋体" w:hAnsi="宋体" w:eastAsia="宋体" w:cs="宋体"/>
                <w:color w:val="auto"/>
                <w:sz w:val="24"/>
                <w:szCs w:val="24"/>
                <w:highlight w:val="none"/>
              </w:rPr>
            </w:pPr>
          </w:p>
        </w:tc>
        <w:tc>
          <w:tcPr>
            <w:tcW w:w="1541" w:type="pct"/>
            <w:vAlign w:val="center"/>
          </w:tcPr>
          <w:p w14:paraId="5FDA6197">
            <w:pPr>
              <w:jc w:val="center"/>
              <w:rPr>
                <w:rFonts w:hint="eastAsia" w:ascii="宋体" w:hAnsi="宋体" w:eastAsia="宋体" w:cs="宋体"/>
                <w:color w:val="auto"/>
                <w:sz w:val="24"/>
                <w:szCs w:val="24"/>
                <w:highlight w:val="none"/>
              </w:rPr>
            </w:pPr>
          </w:p>
        </w:tc>
        <w:tc>
          <w:tcPr>
            <w:tcW w:w="1600" w:type="pct"/>
            <w:vAlign w:val="center"/>
          </w:tcPr>
          <w:p w14:paraId="65123B00">
            <w:pPr>
              <w:jc w:val="center"/>
              <w:rPr>
                <w:rFonts w:hint="eastAsia" w:ascii="宋体" w:hAnsi="宋体" w:eastAsia="宋体" w:cs="宋体"/>
                <w:color w:val="auto"/>
                <w:sz w:val="24"/>
                <w:szCs w:val="24"/>
                <w:highlight w:val="none"/>
              </w:rPr>
            </w:pPr>
          </w:p>
        </w:tc>
        <w:tc>
          <w:tcPr>
            <w:tcW w:w="1199" w:type="pct"/>
            <w:vAlign w:val="center"/>
          </w:tcPr>
          <w:p w14:paraId="5467B3FC">
            <w:pPr>
              <w:jc w:val="center"/>
              <w:rPr>
                <w:rFonts w:hint="eastAsia" w:ascii="宋体" w:hAnsi="宋体" w:eastAsia="宋体" w:cs="宋体"/>
                <w:color w:val="auto"/>
                <w:sz w:val="24"/>
                <w:szCs w:val="24"/>
                <w:highlight w:val="none"/>
              </w:rPr>
            </w:pPr>
          </w:p>
        </w:tc>
      </w:tr>
      <w:tr w14:paraId="2439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50C87BA">
            <w:pPr>
              <w:jc w:val="center"/>
              <w:rPr>
                <w:rFonts w:hint="eastAsia" w:ascii="宋体" w:hAnsi="宋体" w:eastAsia="宋体" w:cs="宋体"/>
                <w:color w:val="auto"/>
                <w:sz w:val="24"/>
                <w:szCs w:val="24"/>
                <w:highlight w:val="none"/>
              </w:rPr>
            </w:pPr>
          </w:p>
        </w:tc>
        <w:tc>
          <w:tcPr>
            <w:tcW w:w="1541" w:type="pct"/>
            <w:vAlign w:val="center"/>
          </w:tcPr>
          <w:p w14:paraId="73143DCC">
            <w:pPr>
              <w:jc w:val="center"/>
              <w:rPr>
                <w:rFonts w:hint="eastAsia" w:ascii="宋体" w:hAnsi="宋体" w:eastAsia="宋体" w:cs="宋体"/>
                <w:color w:val="auto"/>
                <w:sz w:val="24"/>
                <w:szCs w:val="24"/>
                <w:highlight w:val="none"/>
              </w:rPr>
            </w:pPr>
          </w:p>
        </w:tc>
        <w:tc>
          <w:tcPr>
            <w:tcW w:w="1600" w:type="pct"/>
            <w:vAlign w:val="center"/>
          </w:tcPr>
          <w:p w14:paraId="6ED905FC">
            <w:pPr>
              <w:jc w:val="center"/>
              <w:rPr>
                <w:rFonts w:hint="eastAsia" w:ascii="宋体" w:hAnsi="宋体" w:eastAsia="宋体" w:cs="宋体"/>
                <w:color w:val="auto"/>
                <w:sz w:val="24"/>
                <w:szCs w:val="24"/>
                <w:highlight w:val="none"/>
              </w:rPr>
            </w:pPr>
          </w:p>
        </w:tc>
        <w:tc>
          <w:tcPr>
            <w:tcW w:w="1199" w:type="pct"/>
            <w:vAlign w:val="center"/>
          </w:tcPr>
          <w:p w14:paraId="6BF0A787">
            <w:pPr>
              <w:jc w:val="center"/>
              <w:rPr>
                <w:rFonts w:hint="eastAsia" w:ascii="宋体" w:hAnsi="宋体" w:eastAsia="宋体" w:cs="宋体"/>
                <w:color w:val="auto"/>
                <w:sz w:val="24"/>
                <w:szCs w:val="24"/>
                <w:highlight w:val="none"/>
              </w:rPr>
            </w:pPr>
          </w:p>
        </w:tc>
      </w:tr>
      <w:tr w14:paraId="09F7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9518E49">
            <w:pPr>
              <w:jc w:val="center"/>
              <w:rPr>
                <w:rFonts w:hint="eastAsia" w:ascii="宋体" w:hAnsi="宋体" w:eastAsia="宋体" w:cs="宋体"/>
                <w:color w:val="auto"/>
                <w:sz w:val="24"/>
                <w:szCs w:val="24"/>
                <w:highlight w:val="none"/>
              </w:rPr>
            </w:pPr>
          </w:p>
        </w:tc>
        <w:tc>
          <w:tcPr>
            <w:tcW w:w="1541" w:type="pct"/>
            <w:vAlign w:val="center"/>
          </w:tcPr>
          <w:p w14:paraId="012FF118">
            <w:pPr>
              <w:jc w:val="center"/>
              <w:rPr>
                <w:rFonts w:hint="eastAsia" w:ascii="宋体" w:hAnsi="宋体" w:eastAsia="宋体" w:cs="宋体"/>
                <w:color w:val="auto"/>
                <w:sz w:val="24"/>
                <w:szCs w:val="24"/>
                <w:highlight w:val="none"/>
              </w:rPr>
            </w:pPr>
          </w:p>
        </w:tc>
        <w:tc>
          <w:tcPr>
            <w:tcW w:w="1600" w:type="pct"/>
            <w:vAlign w:val="center"/>
          </w:tcPr>
          <w:p w14:paraId="03C24A04">
            <w:pPr>
              <w:jc w:val="center"/>
              <w:rPr>
                <w:rFonts w:hint="eastAsia" w:ascii="宋体" w:hAnsi="宋体" w:eastAsia="宋体" w:cs="宋体"/>
                <w:color w:val="auto"/>
                <w:sz w:val="24"/>
                <w:szCs w:val="24"/>
                <w:highlight w:val="none"/>
              </w:rPr>
            </w:pPr>
          </w:p>
        </w:tc>
        <w:tc>
          <w:tcPr>
            <w:tcW w:w="1199" w:type="pct"/>
            <w:vAlign w:val="center"/>
          </w:tcPr>
          <w:p w14:paraId="7E017E49">
            <w:pPr>
              <w:jc w:val="center"/>
              <w:rPr>
                <w:rFonts w:hint="eastAsia" w:ascii="宋体" w:hAnsi="宋体" w:eastAsia="宋体" w:cs="宋体"/>
                <w:color w:val="auto"/>
                <w:sz w:val="24"/>
                <w:szCs w:val="24"/>
                <w:highlight w:val="none"/>
              </w:rPr>
            </w:pPr>
          </w:p>
        </w:tc>
      </w:tr>
      <w:tr w14:paraId="36FB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F5AEA45">
            <w:pPr>
              <w:jc w:val="center"/>
              <w:rPr>
                <w:rFonts w:hint="eastAsia" w:ascii="宋体" w:hAnsi="宋体" w:eastAsia="宋体" w:cs="宋体"/>
                <w:color w:val="auto"/>
                <w:sz w:val="24"/>
                <w:szCs w:val="24"/>
                <w:highlight w:val="none"/>
              </w:rPr>
            </w:pPr>
          </w:p>
        </w:tc>
        <w:tc>
          <w:tcPr>
            <w:tcW w:w="1541" w:type="pct"/>
            <w:vAlign w:val="center"/>
          </w:tcPr>
          <w:p w14:paraId="5D4DAB82">
            <w:pPr>
              <w:jc w:val="center"/>
              <w:rPr>
                <w:rFonts w:hint="eastAsia" w:ascii="宋体" w:hAnsi="宋体" w:eastAsia="宋体" w:cs="宋体"/>
                <w:color w:val="auto"/>
                <w:sz w:val="24"/>
                <w:szCs w:val="24"/>
                <w:highlight w:val="none"/>
              </w:rPr>
            </w:pPr>
          </w:p>
        </w:tc>
        <w:tc>
          <w:tcPr>
            <w:tcW w:w="1600" w:type="pct"/>
            <w:vAlign w:val="center"/>
          </w:tcPr>
          <w:p w14:paraId="73CF95F0">
            <w:pPr>
              <w:jc w:val="center"/>
              <w:rPr>
                <w:rFonts w:hint="eastAsia" w:ascii="宋体" w:hAnsi="宋体" w:eastAsia="宋体" w:cs="宋体"/>
                <w:color w:val="auto"/>
                <w:sz w:val="24"/>
                <w:szCs w:val="24"/>
                <w:highlight w:val="none"/>
              </w:rPr>
            </w:pPr>
          </w:p>
        </w:tc>
        <w:tc>
          <w:tcPr>
            <w:tcW w:w="1199" w:type="pct"/>
            <w:vAlign w:val="center"/>
          </w:tcPr>
          <w:p w14:paraId="34CF6740">
            <w:pPr>
              <w:jc w:val="center"/>
              <w:rPr>
                <w:rFonts w:hint="eastAsia" w:ascii="宋体" w:hAnsi="宋体" w:eastAsia="宋体" w:cs="宋体"/>
                <w:color w:val="auto"/>
                <w:sz w:val="24"/>
                <w:szCs w:val="24"/>
                <w:highlight w:val="none"/>
              </w:rPr>
            </w:pPr>
          </w:p>
        </w:tc>
      </w:tr>
      <w:tr w14:paraId="5E78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11BA781">
            <w:pPr>
              <w:jc w:val="center"/>
              <w:rPr>
                <w:rFonts w:hint="eastAsia" w:ascii="宋体" w:hAnsi="宋体" w:eastAsia="宋体" w:cs="宋体"/>
                <w:color w:val="auto"/>
                <w:sz w:val="24"/>
                <w:szCs w:val="24"/>
                <w:highlight w:val="none"/>
              </w:rPr>
            </w:pPr>
          </w:p>
        </w:tc>
        <w:tc>
          <w:tcPr>
            <w:tcW w:w="1541" w:type="pct"/>
            <w:vAlign w:val="center"/>
          </w:tcPr>
          <w:p w14:paraId="5B96AD7B">
            <w:pPr>
              <w:jc w:val="center"/>
              <w:rPr>
                <w:rFonts w:hint="eastAsia" w:ascii="宋体" w:hAnsi="宋体" w:eastAsia="宋体" w:cs="宋体"/>
                <w:color w:val="auto"/>
                <w:sz w:val="24"/>
                <w:szCs w:val="24"/>
                <w:highlight w:val="none"/>
              </w:rPr>
            </w:pPr>
          </w:p>
        </w:tc>
        <w:tc>
          <w:tcPr>
            <w:tcW w:w="1600" w:type="pct"/>
            <w:vAlign w:val="center"/>
          </w:tcPr>
          <w:p w14:paraId="25E61D05">
            <w:pPr>
              <w:jc w:val="center"/>
              <w:rPr>
                <w:rFonts w:hint="eastAsia" w:ascii="宋体" w:hAnsi="宋体" w:eastAsia="宋体" w:cs="宋体"/>
                <w:color w:val="auto"/>
                <w:sz w:val="24"/>
                <w:szCs w:val="24"/>
                <w:highlight w:val="none"/>
              </w:rPr>
            </w:pPr>
          </w:p>
        </w:tc>
        <w:tc>
          <w:tcPr>
            <w:tcW w:w="1199" w:type="pct"/>
            <w:vAlign w:val="center"/>
          </w:tcPr>
          <w:p w14:paraId="35EA20F3">
            <w:pPr>
              <w:jc w:val="center"/>
              <w:rPr>
                <w:rFonts w:hint="eastAsia" w:ascii="宋体" w:hAnsi="宋体" w:eastAsia="宋体" w:cs="宋体"/>
                <w:color w:val="auto"/>
                <w:sz w:val="24"/>
                <w:szCs w:val="24"/>
                <w:highlight w:val="none"/>
              </w:rPr>
            </w:pPr>
          </w:p>
        </w:tc>
      </w:tr>
      <w:tr w14:paraId="1EA5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531139E">
            <w:pPr>
              <w:jc w:val="center"/>
              <w:rPr>
                <w:rFonts w:hint="eastAsia" w:ascii="宋体" w:hAnsi="宋体" w:eastAsia="宋体" w:cs="宋体"/>
                <w:color w:val="auto"/>
                <w:sz w:val="24"/>
                <w:szCs w:val="24"/>
                <w:highlight w:val="none"/>
              </w:rPr>
            </w:pPr>
          </w:p>
        </w:tc>
        <w:tc>
          <w:tcPr>
            <w:tcW w:w="1541" w:type="pct"/>
            <w:vAlign w:val="center"/>
          </w:tcPr>
          <w:p w14:paraId="09AF3B71">
            <w:pPr>
              <w:jc w:val="center"/>
              <w:rPr>
                <w:rFonts w:hint="eastAsia" w:ascii="宋体" w:hAnsi="宋体" w:eastAsia="宋体" w:cs="宋体"/>
                <w:color w:val="auto"/>
                <w:sz w:val="24"/>
                <w:szCs w:val="24"/>
                <w:highlight w:val="none"/>
              </w:rPr>
            </w:pPr>
          </w:p>
        </w:tc>
        <w:tc>
          <w:tcPr>
            <w:tcW w:w="1600" w:type="pct"/>
            <w:vAlign w:val="center"/>
          </w:tcPr>
          <w:p w14:paraId="6B839481">
            <w:pPr>
              <w:jc w:val="center"/>
              <w:rPr>
                <w:rFonts w:hint="eastAsia" w:ascii="宋体" w:hAnsi="宋体" w:eastAsia="宋体" w:cs="宋体"/>
                <w:color w:val="auto"/>
                <w:sz w:val="24"/>
                <w:szCs w:val="24"/>
                <w:highlight w:val="none"/>
              </w:rPr>
            </w:pPr>
          </w:p>
        </w:tc>
        <w:tc>
          <w:tcPr>
            <w:tcW w:w="1199" w:type="pct"/>
            <w:vAlign w:val="center"/>
          </w:tcPr>
          <w:p w14:paraId="3A3EC78F">
            <w:pPr>
              <w:jc w:val="center"/>
              <w:rPr>
                <w:rFonts w:hint="eastAsia" w:ascii="宋体" w:hAnsi="宋体" w:eastAsia="宋体" w:cs="宋体"/>
                <w:color w:val="auto"/>
                <w:sz w:val="24"/>
                <w:szCs w:val="24"/>
                <w:highlight w:val="none"/>
              </w:rPr>
            </w:pPr>
          </w:p>
        </w:tc>
      </w:tr>
      <w:tr w14:paraId="0015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0FFFD96">
            <w:pPr>
              <w:jc w:val="center"/>
              <w:rPr>
                <w:rFonts w:hint="eastAsia" w:ascii="宋体" w:hAnsi="宋体" w:eastAsia="宋体" w:cs="宋体"/>
                <w:color w:val="auto"/>
                <w:sz w:val="24"/>
                <w:szCs w:val="24"/>
                <w:highlight w:val="none"/>
              </w:rPr>
            </w:pPr>
          </w:p>
        </w:tc>
        <w:tc>
          <w:tcPr>
            <w:tcW w:w="1541" w:type="pct"/>
            <w:vAlign w:val="center"/>
          </w:tcPr>
          <w:p w14:paraId="3CD4ABC3">
            <w:pPr>
              <w:jc w:val="center"/>
              <w:rPr>
                <w:rFonts w:hint="eastAsia" w:ascii="宋体" w:hAnsi="宋体" w:eastAsia="宋体" w:cs="宋体"/>
                <w:color w:val="auto"/>
                <w:sz w:val="24"/>
                <w:szCs w:val="24"/>
                <w:highlight w:val="none"/>
              </w:rPr>
            </w:pPr>
          </w:p>
        </w:tc>
        <w:tc>
          <w:tcPr>
            <w:tcW w:w="1600" w:type="pct"/>
            <w:vAlign w:val="center"/>
          </w:tcPr>
          <w:p w14:paraId="5D30789E">
            <w:pPr>
              <w:jc w:val="center"/>
              <w:rPr>
                <w:rFonts w:hint="eastAsia" w:ascii="宋体" w:hAnsi="宋体" w:eastAsia="宋体" w:cs="宋体"/>
                <w:color w:val="auto"/>
                <w:sz w:val="24"/>
                <w:szCs w:val="24"/>
                <w:highlight w:val="none"/>
              </w:rPr>
            </w:pPr>
          </w:p>
        </w:tc>
        <w:tc>
          <w:tcPr>
            <w:tcW w:w="1199" w:type="pct"/>
            <w:vAlign w:val="center"/>
          </w:tcPr>
          <w:p w14:paraId="473B2279">
            <w:pPr>
              <w:jc w:val="center"/>
              <w:rPr>
                <w:rFonts w:hint="eastAsia" w:ascii="宋体" w:hAnsi="宋体" w:eastAsia="宋体" w:cs="宋体"/>
                <w:color w:val="auto"/>
                <w:sz w:val="24"/>
                <w:szCs w:val="24"/>
                <w:highlight w:val="none"/>
              </w:rPr>
            </w:pPr>
          </w:p>
        </w:tc>
      </w:tr>
      <w:tr w14:paraId="6545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BE4131F">
            <w:pPr>
              <w:jc w:val="center"/>
              <w:rPr>
                <w:rFonts w:hint="eastAsia" w:ascii="宋体" w:hAnsi="宋体" w:eastAsia="宋体" w:cs="宋体"/>
                <w:color w:val="auto"/>
                <w:sz w:val="24"/>
                <w:szCs w:val="24"/>
                <w:highlight w:val="none"/>
              </w:rPr>
            </w:pPr>
          </w:p>
        </w:tc>
        <w:tc>
          <w:tcPr>
            <w:tcW w:w="1541" w:type="pct"/>
            <w:vAlign w:val="center"/>
          </w:tcPr>
          <w:p w14:paraId="34E446C1">
            <w:pPr>
              <w:jc w:val="center"/>
              <w:rPr>
                <w:rFonts w:hint="eastAsia" w:ascii="宋体" w:hAnsi="宋体" w:eastAsia="宋体" w:cs="宋体"/>
                <w:color w:val="auto"/>
                <w:sz w:val="24"/>
                <w:szCs w:val="24"/>
                <w:highlight w:val="none"/>
              </w:rPr>
            </w:pPr>
          </w:p>
        </w:tc>
        <w:tc>
          <w:tcPr>
            <w:tcW w:w="1600" w:type="pct"/>
            <w:vAlign w:val="center"/>
          </w:tcPr>
          <w:p w14:paraId="161CA116">
            <w:pPr>
              <w:jc w:val="center"/>
              <w:rPr>
                <w:rFonts w:hint="eastAsia" w:ascii="宋体" w:hAnsi="宋体" w:eastAsia="宋体" w:cs="宋体"/>
                <w:color w:val="auto"/>
                <w:sz w:val="24"/>
                <w:szCs w:val="24"/>
                <w:highlight w:val="none"/>
              </w:rPr>
            </w:pPr>
          </w:p>
        </w:tc>
        <w:tc>
          <w:tcPr>
            <w:tcW w:w="1199" w:type="pct"/>
            <w:vAlign w:val="center"/>
          </w:tcPr>
          <w:p w14:paraId="560FCA1A">
            <w:pPr>
              <w:jc w:val="center"/>
              <w:rPr>
                <w:rFonts w:hint="eastAsia" w:ascii="宋体" w:hAnsi="宋体" w:eastAsia="宋体" w:cs="宋体"/>
                <w:color w:val="auto"/>
                <w:sz w:val="24"/>
                <w:szCs w:val="24"/>
                <w:highlight w:val="none"/>
              </w:rPr>
            </w:pPr>
          </w:p>
        </w:tc>
      </w:tr>
    </w:tbl>
    <w:p w14:paraId="0C0B40DF">
      <w:pPr>
        <w:spacing w:line="480" w:lineRule="atLeas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名称（公章）：</w:t>
      </w:r>
    </w:p>
    <w:p w14:paraId="507A3452">
      <w:pPr>
        <w:spacing w:line="480" w:lineRule="atLeast"/>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08D6867">
      <w:pPr>
        <w:spacing w:line="48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篇 项目</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需求”中所列条款进行比较和响应；</w:t>
      </w:r>
    </w:p>
    <w:p w14:paraId="4DA57191">
      <w:pPr>
        <w:spacing w:line="48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文件要求逐条如实填写，“响应情况”栏需逐条填写具体内容，并在“差异说明”项填写正偏离或负偏离，完全符合的填写“无差异”，如“响应情况”栏未填写具体内容或与“</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栏</w:t>
      </w:r>
      <w:r>
        <w:rPr>
          <w:rFonts w:hint="eastAsia" w:ascii="宋体" w:hAnsi="宋体" w:eastAsia="宋体" w:cs="宋体"/>
          <w:color w:val="auto"/>
          <w:sz w:val="24"/>
          <w:szCs w:val="24"/>
          <w:highlight w:val="none"/>
        </w:rPr>
        <w:t>的内容不完全一致，则该</w:t>
      </w:r>
      <w:r>
        <w:rPr>
          <w:rFonts w:hint="eastAsia" w:ascii="宋体" w:hAnsi="宋体" w:eastAsia="宋体" w:cs="宋体"/>
          <w:color w:val="auto"/>
          <w:sz w:val="24"/>
          <w:szCs w:val="24"/>
          <w:highlight w:val="none"/>
          <w:lang w:val="en-US" w:eastAsia="zh-CN"/>
        </w:rPr>
        <w:t>竞选人</w:t>
      </w:r>
      <w:r>
        <w:rPr>
          <w:rFonts w:hint="eastAsia" w:ascii="宋体" w:hAnsi="宋体" w:eastAsia="宋体" w:cs="宋体"/>
          <w:color w:val="auto"/>
          <w:sz w:val="24"/>
          <w:szCs w:val="24"/>
          <w:highlight w:val="none"/>
        </w:rPr>
        <w:t>不能通过本项目的符合性审查。如“响应情况”栏具体内容和“</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要求”栏具体内容一致但“差异说明”栏未填写则视为无差异。</w:t>
      </w:r>
    </w:p>
    <w:p w14:paraId="2CBDE871">
      <w:pPr>
        <w:spacing w:line="480" w:lineRule="atLeas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3.该表可扩展。</w:t>
      </w:r>
      <w:bookmarkStart w:id="420" w:name="_Toc25826"/>
      <w:bookmarkStart w:id="421" w:name="_Toc28259"/>
      <w:bookmarkStart w:id="422" w:name="_Toc20137"/>
      <w:bookmarkStart w:id="423" w:name="_Toc13132"/>
      <w:bookmarkStart w:id="424" w:name="_Toc30526"/>
      <w:bookmarkStart w:id="425" w:name="_Toc13056"/>
    </w:p>
    <w:p w14:paraId="606267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733CED">
      <w:pPr>
        <w:pStyle w:val="3"/>
        <w:ind w:firstLine="562"/>
        <w:rPr>
          <w:rFonts w:hint="eastAsia" w:ascii="宋体" w:hAnsi="宋体" w:eastAsia="宋体" w:cs="宋体"/>
          <w:color w:val="auto"/>
          <w:sz w:val="24"/>
          <w:szCs w:val="24"/>
          <w:highlight w:val="none"/>
        </w:rPr>
      </w:pPr>
      <w:bookmarkStart w:id="426" w:name="_Toc14363"/>
      <w:bookmarkStart w:id="427" w:name="_Toc2353"/>
      <w:bookmarkStart w:id="428" w:name="_Toc985"/>
      <w:r>
        <w:rPr>
          <w:rFonts w:hint="eastAsia" w:ascii="宋体" w:hAnsi="宋体" w:eastAsia="宋体" w:cs="宋体"/>
          <w:color w:val="auto"/>
          <w:sz w:val="24"/>
          <w:szCs w:val="24"/>
          <w:highlight w:val="none"/>
        </w:rPr>
        <w:t>五、</w:t>
      </w:r>
      <w:bookmarkEnd w:id="420"/>
      <w:bookmarkEnd w:id="421"/>
      <w:bookmarkEnd w:id="422"/>
      <w:r>
        <w:rPr>
          <w:rFonts w:hint="eastAsia" w:ascii="宋体" w:hAnsi="宋体" w:eastAsia="宋体" w:cs="宋体"/>
          <w:color w:val="auto"/>
          <w:sz w:val="24"/>
          <w:szCs w:val="24"/>
          <w:highlight w:val="none"/>
        </w:rPr>
        <w:t>其他与项目有关的资料</w:t>
      </w:r>
      <w:bookmarkEnd w:id="423"/>
      <w:bookmarkEnd w:id="424"/>
      <w:bookmarkEnd w:id="425"/>
      <w:bookmarkEnd w:id="426"/>
      <w:bookmarkEnd w:id="427"/>
      <w:bookmarkEnd w:id="428"/>
    </w:p>
    <w:p w14:paraId="70C7E36B">
      <w:pPr>
        <w:snapToGrid w:val="0"/>
        <w:spacing w:line="40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）其他与项目有关的资料</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如有，自附。</w:t>
      </w:r>
      <w:r>
        <w:rPr>
          <w:rFonts w:hint="eastAsia" w:ascii="宋体" w:hAnsi="宋体" w:eastAsia="宋体" w:cs="宋体"/>
          <w:b w:val="0"/>
          <w:bCs w:val="0"/>
          <w:color w:val="auto"/>
          <w:sz w:val="24"/>
          <w:szCs w:val="24"/>
          <w:highlight w:val="none"/>
          <w:lang w:eastAsia="zh-CN"/>
        </w:rPr>
        <w:t>）</w:t>
      </w:r>
    </w:p>
    <w:p w14:paraId="38E5B8A3">
      <w:pPr>
        <w:rPr>
          <w:rFonts w:hint="eastAsia" w:ascii="宋体" w:hAnsi="宋体" w:eastAsia="宋体" w:cs="宋体"/>
          <w:color w:val="auto"/>
          <w:sz w:val="24"/>
          <w:szCs w:val="24"/>
          <w:highlight w:val="none"/>
        </w:rPr>
      </w:pPr>
    </w:p>
    <w:p w14:paraId="304FDE62">
      <w:pPr>
        <w:rPr>
          <w:rFonts w:hint="eastAsia" w:ascii="宋体" w:hAnsi="宋体" w:eastAsia="宋体" w:cs="宋体"/>
          <w:color w:val="auto"/>
          <w:sz w:val="24"/>
          <w:szCs w:val="24"/>
          <w:highlight w:val="none"/>
        </w:rPr>
      </w:pPr>
    </w:p>
    <w:p w14:paraId="114DB846">
      <w:pPr>
        <w:rPr>
          <w:rFonts w:hint="eastAsia" w:ascii="宋体" w:hAnsi="宋体" w:eastAsia="宋体" w:cs="宋体"/>
          <w:color w:val="auto"/>
          <w:sz w:val="24"/>
          <w:szCs w:val="24"/>
          <w:highlight w:val="none"/>
        </w:rPr>
      </w:pPr>
    </w:p>
    <w:p w14:paraId="4BF77C34">
      <w:pPr>
        <w:rPr>
          <w:rFonts w:hint="eastAsia" w:ascii="宋体" w:hAnsi="宋体" w:eastAsia="宋体" w:cs="宋体"/>
          <w:color w:val="auto"/>
          <w:sz w:val="24"/>
          <w:szCs w:val="24"/>
          <w:highlight w:val="none"/>
        </w:rPr>
      </w:pPr>
    </w:p>
    <w:p w14:paraId="26F0245A">
      <w:pPr>
        <w:pStyle w:val="4"/>
        <w:rPr>
          <w:rFonts w:hint="eastAsia" w:ascii="宋体" w:hAnsi="宋体" w:eastAsia="宋体" w:cs="宋体"/>
          <w:color w:val="auto"/>
          <w:sz w:val="24"/>
          <w:szCs w:val="24"/>
          <w:highlight w:val="none"/>
        </w:rPr>
      </w:pPr>
    </w:p>
    <w:p w14:paraId="37962812">
      <w:pPr>
        <w:rPr>
          <w:rFonts w:hint="eastAsia" w:ascii="宋体" w:hAnsi="宋体" w:eastAsia="宋体" w:cs="宋体"/>
          <w:color w:val="auto"/>
          <w:sz w:val="24"/>
          <w:szCs w:val="24"/>
          <w:highlight w:val="none"/>
        </w:rPr>
      </w:pPr>
    </w:p>
    <w:p w14:paraId="431EFC44">
      <w:pPr>
        <w:pStyle w:val="4"/>
        <w:rPr>
          <w:rFonts w:hint="eastAsia" w:ascii="宋体" w:hAnsi="宋体" w:eastAsia="宋体" w:cs="宋体"/>
          <w:color w:val="auto"/>
          <w:sz w:val="24"/>
          <w:szCs w:val="24"/>
          <w:highlight w:val="none"/>
        </w:rPr>
      </w:pPr>
    </w:p>
    <w:p w14:paraId="19EFF47E">
      <w:pPr>
        <w:rPr>
          <w:rFonts w:hint="eastAsia" w:ascii="宋体" w:hAnsi="宋体" w:eastAsia="宋体" w:cs="宋体"/>
          <w:color w:val="auto"/>
          <w:sz w:val="24"/>
          <w:szCs w:val="24"/>
          <w:highlight w:val="none"/>
        </w:rPr>
      </w:pPr>
    </w:p>
    <w:p w14:paraId="7BAA705B">
      <w:pPr>
        <w:pStyle w:val="4"/>
        <w:rPr>
          <w:rFonts w:hint="eastAsia" w:ascii="宋体" w:hAnsi="宋体" w:eastAsia="宋体" w:cs="宋体"/>
          <w:color w:val="auto"/>
          <w:sz w:val="24"/>
          <w:szCs w:val="24"/>
          <w:highlight w:val="none"/>
        </w:rPr>
      </w:pPr>
    </w:p>
    <w:p w14:paraId="48DF477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结  束</w:t>
      </w:r>
      <w:r>
        <w:rPr>
          <w:rFonts w:hint="eastAsia" w:ascii="宋体" w:hAnsi="宋体" w:eastAsia="宋体" w:cs="宋体"/>
          <w:color w:val="auto"/>
          <w:sz w:val="24"/>
          <w:szCs w:val="24"/>
          <w:highlight w:val="none"/>
          <w:lang w:eastAsia="zh-CN"/>
        </w:rPr>
        <w:t>）</w:t>
      </w:r>
    </w:p>
    <w:sectPr>
      <w:headerReference r:id="rId6" w:type="default"/>
      <w:footerReference r:id="rId7" w:type="default"/>
      <w:pgSz w:w="11906" w:h="16838"/>
      <w:pgMar w:top="1440" w:right="1080" w:bottom="1440" w:left="1080" w:header="1157"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1B64700-0D5A-4264-97BB-CD24256ED382}"/>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7BC4">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E314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5E314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F4D3">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95AFE">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B95AFE">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731C6">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C0C87">
                          <w:pPr>
                            <w:pStyle w:val="12"/>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4C0C87">
                    <w:pPr>
                      <w:pStyle w:val="12"/>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0AAEC">
    <w:pPr>
      <w:snapToGrid w:val="0"/>
      <w:ind w:firstLine="360"/>
      <w:rPr>
        <w:rFonts w:ascii="Calibri" w:hAnsi="Calibri"/>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1B003">
                          <w:pPr>
                            <w:pStyle w:val="12"/>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11B003">
                    <w:pPr>
                      <w:pStyle w:val="12"/>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3664">
    <w:pPr>
      <w:pStyle w:val="14"/>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2149C"/>
    <w:multiLevelType w:val="singleLevel"/>
    <w:tmpl w:val="025214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ODgyNzBlNzFkNTNmMWJiMjU5MGFmMzk0OWUwZWUifQ=="/>
    <w:docVar w:name="KSO_WPS_MARK_KEY" w:val="9087ff63-0138-4303-81b6-56e75a67d81b"/>
  </w:docVars>
  <w:rsids>
    <w:rsidRoot w:val="00000000"/>
    <w:rsid w:val="002B6923"/>
    <w:rsid w:val="004D59BD"/>
    <w:rsid w:val="005749D1"/>
    <w:rsid w:val="0069744B"/>
    <w:rsid w:val="0075194C"/>
    <w:rsid w:val="00991ADF"/>
    <w:rsid w:val="009D033E"/>
    <w:rsid w:val="00B057ED"/>
    <w:rsid w:val="00BB0ABD"/>
    <w:rsid w:val="00E30FAC"/>
    <w:rsid w:val="00FC02BF"/>
    <w:rsid w:val="01121891"/>
    <w:rsid w:val="01203FAE"/>
    <w:rsid w:val="01237FC0"/>
    <w:rsid w:val="012D6424"/>
    <w:rsid w:val="013F0E84"/>
    <w:rsid w:val="014A20C9"/>
    <w:rsid w:val="016073E8"/>
    <w:rsid w:val="01944054"/>
    <w:rsid w:val="01C34939"/>
    <w:rsid w:val="01C761D7"/>
    <w:rsid w:val="01D34B7C"/>
    <w:rsid w:val="01F9035B"/>
    <w:rsid w:val="01FD42EF"/>
    <w:rsid w:val="01FF3BC3"/>
    <w:rsid w:val="027D2D3A"/>
    <w:rsid w:val="02C473C4"/>
    <w:rsid w:val="02C72207"/>
    <w:rsid w:val="02CB1CF7"/>
    <w:rsid w:val="02D53891"/>
    <w:rsid w:val="02D908B8"/>
    <w:rsid w:val="03060419"/>
    <w:rsid w:val="0313544C"/>
    <w:rsid w:val="031713E0"/>
    <w:rsid w:val="032612CE"/>
    <w:rsid w:val="0334549D"/>
    <w:rsid w:val="034A5F18"/>
    <w:rsid w:val="034D1CC8"/>
    <w:rsid w:val="034D4E02"/>
    <w:rsid w:val="03685798"/>
    <w:rsid w:val="0369560D"/>
    <w:rsid w:val="0371289F"/>
    <w:rsid w:val="03BC224B"/>
    <w:rsid w:val="03D772ED"/>
    <w:rsid w:val="03E7176B"/>
    <w:rsid w:val="03EC7C9F"/>
    <w:rsid w:val="0400043D"/>
    <w:rsid w:val="040B7E59"/>
    <w:rsid w:val="040D00EE"/>
    <w:rsid w:val="040F0399"/>
    <w:rsid w:val="040F3E66"/>
    <w:rsid w:val="041B280B"/>
    <w:rsid w:val="04344118"/>
    <w:rsid w:val="044A3E16"/>
    <w:rsid w:val="045D1075"/>
    <w:rsid w:val="04605A23"/>
    <w:rsid w:val="04697A1A"/>
    <w:rsid w:val="049B394B"/>
    <w:rsid w:val="049C7A2E"/>
    <w:rsid w:val="04DF1A8A"/>
    <w:rsid w:val="04E34884"/>
    <w:rsid w:val="04F05A45"/>
    <w:rsid w:val="04F141F9"/>
    <w:rsid w:val="050140F6"/>
    <w:rsid w:val="05025778"/>
    <w:rsid w:val="052971A9"/>
    <w:rsid w:val="053D1916"/>
    <w:rsid w:val="05685F23"/>
    <w:rsid w:val="0595200F"/>
    <w:rsid w:val="05A05EB3"/>
    <w:rsid w:val="05A21435"/>
    <w:rsid w:val="05C649F8"/>
    <w:rsid w:val="05D37841"/>
    <w:rsid w:val="05D830A9"/>
    <w:rsid w:val="05E41A4E"/>
    <w:rsid w:val="05F652DD"/>
    <w:rsid w:val="06145547"/>
    <w:rsid w:val="06173ED7"/>
    <w:rsid w:val="061B11E8"/>
    <w:rsid w:val="063F4ED6"/>
    <w:rsid w:val="064E336B"/>
    <w:rsid w:val="066163F9"/>
    <w:rsid w:val="06B331CE"/>
    <w:rsid w:val="06B807E5"/>
    <w:rsid w:val="06CB4FA1"/>
    <w:rsid w:val="06D30538"/>
    <w:rsid w:val="06D34FED"/>
    <w:rsid w:val="06FE3E1E"/>
    <w:rsid w:val="07035F04"/>
    <w:rsid w:val="07140111"/>
    <w:rsid w:val="0717375D"/>
    <w:rsid w:val="0769447D"/>
    <w:rsid w:val="076F1953"/>
    <w:rsid w:val="0784456A"/>
    <w:rsid w:val="07852DBD"/>
    <w:rsid w:val="078608E3"/>
    <w:rsid w:val="0789477F"/>
    <w:rsid w:val="07934F2A"/>
    <w:rsid w:val="0797489E"/>
    <w:rsid w:val="07A07E80"/>
    <w:rsid w:val="07D96C64"/>
    <w:rsid w:val="07E07FF3"/>
    <w:rsid w:val="084367D4"/>
    <w:rsid w:val="084A1910"/>
    <w:rsid w:val="084E1932"/>
    <w:rsid w:val="08564759"/>
    <w:rsid w:val="08EF38F7"/>
    <w:rsid w:val="0913264A"/>
    <w:rsid w:val="09336848"/>
    <w:rsid w:val="093F343F"/>
    <w:rsid w:val="096E162E"/>
    <w:rsid w:val="09764E34"/>
    <w:rsid w:val="09774987"/>
    <w:rsid w:val="097A4477"/>
    <w:rsid w:val="097C3D4B"/>
    <w:rsid w:val="0A067AB9"/>
    <w:rsid w:val="0A072A97"/>
    <w:rsid w:val="0A0855DF"/>
    <w:rsid w:val="0A2134F6"/>
    <w:rsid w:val="0A4D717D"/>
    <w:rsid w:val="0A51342A"/>
    <w:rsid w:val="0A984BB5"/>
    <w:rsid w:val="0AA70248"/>
    <w:rsid w:val="0AD23916"/>
    <w:rsid w:val="0AEB20D2"/>
    <w:rsid w:val="0B0E4E77"/>
    <w:rsid w:val="0B3F3C9B"/>
    <w:rsid w:val="0B464611"/>
    <w:rsid w:val="0B4D5164"/>
    <w:rsid w:val="0B4E7969"/>
    <w:rsid w:val="0B521208"/>
    <w:rsid w:val="0B667275"/>
    <w:rsid w:val="0B8213C1"/>
    <w:rsid w:val="0B8E420A"/>
    <w:rsid w:val="0B957346"/>
    <w:rsid w:val="0B9B6CCA"/>
    <w:rsid w:val="0BB43C70"/>
    <w:rsid w:val="0BC814CA"/>
    <w:rsid w:val="0BDA11FD"/>
    <w:rsid w:val="0BE702AE"/>
    <w:rsid w:val="0BE709FC"/>
    <w:rsid w:val="0BED7182"/>
    <w:rsid w:val="0C05627A"/>
    <w:rsid w:val="0C1622A5"/>
    <w:rsid w:val="0C1F4E62"/>
    <w:rsid w:val="0C2421D9"/>
    <w:rsid w:val="0C452B1A"/>
    <w:rsid w:val="0C637445"/>
    <w:rsid w:val="0CA3639F"/>
    <w:rsid w:val="0CC021A1"/>
    <w:rsid w:val="0CC872A8"/>
    <w:rsid w:val="0CE340E1"/>
    <w:rsid w:val="0CEF17A8"/>
    <w:rsid w:val="0CFA3905"/>
    <w:rsid w:val="0D611BD6"/>
    <w:rsid w:val="0D674D12"/>
    <w:rsid w:val="0D786F20"/>
    <w:rsid w:val="0D7C256C"/>
    <w:rsid w:val="0D894C89"/>
    <w:rsid w:val="0DC52BE4"/>
    <w:rsid w:val="0DCD5192"/>
    <w:rsid w:val="0DEF0A31"/>
    <w:rsid w:val="0DF26CD2"/>
    <w:rsid w:val="0DFA594D"/>
    <w:rsid w:val="0E074D47"/>
    <w:rsid w:val="0E2A1E00"/>
    <w:rsid w:val="0E67321C"/>
    <w:rsid w:val="0E9438E5"/>
    <w:rsid w:val="0EA0672E"/>
    <w:rsid w:val="0EC3241C"/>
    <w:rsid w:val="0EC95C85"/>
    <w:rsid w:val="0ECC307F"/>
    <w:rsid w:val="0EDB32C2"/>
    <w:rsid w:val="0F23192D"/>
    <w:rsid w:val="0F7200CA"/>
    <w:rsid w:val="0F76123D"/>
    <w:rsid w:val="0F865924"/>
    <w:rsid w:val="0F9067A2"/>
    <w:rsid w:val="0F9470D3"/>
    <w:rsid w:val="0F9E52D1"/>
    <w:rsid w:val="0FB44876"/>
    <w:rsid w:val="0FFF56D6"/>
    <w:rsid w:val="102869DB"/>
    <w:rsid w:val="10321608"/>
    <w:rsid w:val="103709CC"/>
    <w:rsid w:val="103C4234"/>
    <w:rsid w:val="104355C3"/>
    <w:rsid w:val="104D01F0"/>
    <w:rsid w:val="10587DF7"/>
    <w:rsid w:val="105B0B5E"/>
    <w:rsid w:val="107A6B0B"/>
    <w:rsid w:val="107C5A41"/>
    <w:rsid w:val="10BC578F"/>
    <w:rsid w:val="10C33691"/>
    <w:rsid w:val="10F20B4A"/>
    <w:rsid w:val="11016862"/>
    <w:rsid w:val="119D7604"/>
    <w:rsid w:val="119F0F1F"/>
    <w:rsid w:val="11A402E3"/>
    <w:rsid w:val="11E701D0"/>
    <w:rsid w:val="11F22685"/>
    <w:rsid w:val="11F624FE"/>
    <w:rsid w:val="12006ACF"/>
    <w:rsid w:val="12323B41"/>
    <w:rsid w:val="124F73DC"/>
    <w:rsid w:val="125F095F"/>
    <w:rsid w:val="12641821"/>
    <w:rsid w:val="127203E1"/>
    <w:rsid w:val="128019F0"/>
    <w:rsid w:val="12863E8D"/>
    <w:rsid w:val="12922832"/>
    <w:rsid w:val="129E2F84"/>
    <w:rsid w:val="12AA1929"/>
    <w:rsid w:val="12BF7AEF"/>
    <w:rsid w:val="12CA1FCB"/>
    <w:rsid w:val="12F86309"/>
    <w:rsid w:val="12FE1C75"/>
    <w:rsid w:val="13044E54"/>
    <w:rsid w:val="130B0801"/>
    <w:rsid w:val="131B7A00"/>
    <w:rsid w:val="131C20FB"/>
    <w:rsid w:val="1323036D"/>
    <w:rsid w:val="13573133"/>
    <w:rsid w:val="136C6BDF"/>
    <w:rsid w:val="13785584"/>
    <w:rsid w:val="137F156C"/>
    <w:rsid w:val="138C7281"/>
    <w:rsid w:val="139307D9"/>
    <w:rsid w:val="1399374C"/>
    <w:rsid w:val="139F5206"/>
    <w:rsid w:val="139F6FB4"/>
    <w:rsid w:val="13DD5D2E"/>
    <w:rsid w:val="13E470BD"/>
    <w:rsid w:val="13F84916"/>
    <w:rsid w:val="141334FE"/>
    <w:rsid w:val="14264FE0"/>
    <w:rsid w:val="144E4536"/>
    <w:rsid w:val="14693FA2"/>
    <w:rsid w:val="14756412"/>
    <w:rsid w:val="14860174"/>
    <w:rsid w:val="14917DF8"/>
    <w:rsid w:val="14931B37"/>
    <w:rsid w:val="14A16D5C"/>
    <w:rsid w:val="14A64372"/>
    <w:rsid w:val="14C2372B"/>
    <w:rsid w:val="14E3763A"/>
    <w:rsid w:val="15190FE8"/>
    <w:rsid w:val="151B4D60"/>
    <w:rsid w:val="152534E9"/>
    <w:rsid w:val="1526760E"/>
    <w:rsid w:val="152A7C39"/>
    <w:rsid w:val="153D78B4"/>
    <w:rsid w:val="15802E15"/>
    <w:rsid w:val="15997A33"/>
    <w:rsid w:val="15AC7766"/>
    <w:rsid w:val="15AD4406"/>
    <w:rsid w:val="15D53161"/>
    <w:rsid w:val="15E200FD"/>
    <w:rsid w:val="15EF417B"/>
    <w:rsid w:val="160E6673"/>
    <w:rsid w:val="1629423D"/>
    <w:rsid w:val="163D4862"/>
    <w:rsid w:val="164B6F7F"/>
    <w:rsid w:val="1658169C"/>
    <w:rsid w:val="1666025D"/>
    <w:rsid w:val="16913548"/>
    <w:rsid w:val="16ED44DA"/>
    <w:rsid w:val="17306DEE"/>
    <w:rsid w:val="174E4CFE"/>
    <w:rsid w:val="175E2CE2"/>
    <w:rsid w:val="17EE4066"/>
    <w:rsid w:val="17FD699F"/>
    <w:rsid w:val="18267CA4"/>
    <w:rsid w:val="18295325"/>
    <w:rsid w:val="18363C5F"/>
    <w:rsid w:val="184E0FA9"/>
    <w:rsid w:val="185D743E"/>
    <w:rsid w:val="187F0273"/>
    <w:rsid w:val="188D7D23"/>
    <w:rsid w:val="18B37049"/>
    <w:rsid w:val="18B8458C"/>
    <w:rsid w:val="18C81548"/>
    <w:rsid w:val="19061883"/>
    <w:rsid w:val="190B6E9A"/>
    <w:rsid w:val="19137AFC"/>
    <w:rsid w:val="191C4C03"/>
    <w:rsid w:val="192166BD"/>
    <w:rsid w:val="19457408"/>
    <w:rsid w:val="19467ED2"/>
    <w:rsid w:val="194D1260"/>
    <w:rsid w:val="194D2DC1"/>
    <w:rsid w:val="196E5FF2"/>
    <w:rsid w:val="197D7D98"/>
    <w:rsid w:val="19874772"/>
    <w:rsid w:val="19EA4D01"/>
    <w:rsid w:val="1A18186E"/>
    <w:rsid w:val="1A18361C"/>
    <w:rsid w:val="1A4A57A0"/>
    <w:rsid w:val="1A654388"/>
    <w:rsid w:val="1A6732D4"/>
    <w:rsid w:val="1A6844D4"/>
    <w:rsid w:val="1AA15B04"/>
    <w:rsid w:val="1AAB7407"/>
    <w:rsid w:val="1AAD1F3F"/>
    <w:rsid w:val="1AD559B1"/>
    <w:rsid w:val="1ADB7C95"/>
    <w:rsid w:val="1B0E2C71"/>
    <w:rsid w:val="1B215345"/>
    <w:rsid w:val="1B285AE1"/>
    <w:rsid w:val="1B371D78"/>
    <w:rsid w:val="1B3D6387"/>
    <w:rsid w:val="1B6B6201"/>
    <w:rsid w:val="1B701236"/>
    <w:rsid w:val="1B9E7E6B"/>
    <w:rsid w:val="1BA875D4"/>
    <w:rsid w:val="1BFB4FA4"/>
    <w:rsid w:val="1BFE4A94"/>
    <w:rsid w:val="1C0336FB"/>
    <w:rsid w:val="1C063DFC"/>
    <w:rsid w:val="1C0A51E7"/>
    <w:rsid w:val="1C146065"/>
    <w:rsid w:val="1C3D1800"/>
    <w:rsid w:val="1C493F61"/>
    <w:rsid w:val="1C512E16"/>
    <w:rsid w:val="1C542199"/>
    <w:rsid w:val="1C5446B4"/>
    <w:rsid w:val="1C5B5A42"/>
    <w:rsid w:val="1C713600"/>
    <w:rsid w:val="1C9758FA"/>
    <w:rsid w:val="1CAA4DE2"/>
    <w:rsid w:val="1CAE0268"/>
    <w:rsid w:val="1D0460DA"/>
    <w:rsid w:val="1D4221F0"/>
    <w:rsid w:val="1D445881"/>
    <w:rsid w:val="1D4D5CD3"/>
    <w:rsid w:val="1D5A5F73"/>
    <w:rsid w:val="1D5E639E"/>
    <w:rsid w:val="1D864D41"/>
    <w:rsid w:val="1DB00CE3"/>
    <w:rsid w:val="1DE859FC"/>
    <w:rsid w:val="1E087E4C"/>
    <w:rsid w:val="1E0A7720"/>
    <w:rsid w:val="1E200CF1"/>
    <w:rsid w:val="1E25455A"/>
    <w:rsid w:val="1E2F7187"/>
    <w:rsid w:val="1E3173A3"/>
    <w:rsid w:val="1E607CAE"/>
    <w:rsid w:val="1E6905F2"/>
    <w:rsid w:val="1E7156D9"/>
    <w:rsid w:val="1E803E86"/>
    <w:rsid w:val="1EA90CE7"/>
    <w:rsid w:val="1EC93137"/>
    <w:rsid w:val="1EDF295B"/>
    <w:rsid w:val="1F105A12"/>
    <w:rsid w:val="1F1E7942"/>
    <w:rsid w:val="1F244811"/>
    <w:rsid w:val="1F264A2D"/>
    <w:rsid w:val="1F274C01"/>
    <w:rsid w:val="1F310AF0"/>
    <w:rsid w:val="1F313080"/>
    <w:rsid w:val="1F382194"/>
    <w:rsid w:val="1F3E1D77"/>
    <w:rsid w:val="1F510282"/>
    <w:rsid w:val="1F6A2B6C"/>
    <w:rsid w:val="1F6D77C8"/>
    <w:rsid w:val="1F7532BF"/>
    <w:rsid w:val="1F90634B"/>
    <w:rsid w:val="1FA20DCC"/>
    <w:rsid w:val="1FA47700"/>
    <w:rsid w:val="1FB50B51"/>
    <w:rsid w:val="1FE741BD"/>
    <w:rsid w:val="20120B0E"/>
    <w:rsid w:val="201E16E6"/>
    <w:rsid w:val="20346CD6"/>
    <w:rsid w:val="20407429"/>
    <w:rsid w:val="204D7D98"/>
    <w:rsid w:val="20542ED4"/>
    <w:rsid w:val="206550E2"/>
    <w:rsid w:val="20692E24"/>
    <w:rsid w:val="206A6B9C"/>
    <w:rsid w:val="208A2D9A"/>
    <w:rsid w:val="209B3251"/>
    <w:rsid w:val="20A0611A"/>
    <w:rsid w:val="20A21E92"/>
    <w:rsid w:val="20B17B77"/>
    <w:rsid w:val="20D14525"/>
    <w:rsid w:val="21132D8F"/>
    <w:rsid w:val="211C60E8"/>
    <w:rsid w:val="213435D0"/>
    <w:rsid w:val="21751354"/>
    <w:rsid w:val="21933ED0"/>
    <w:rsid w:val="21983295"/>
    <w:rsid w:val="220B70F2"/>
    <w:rsid w:val="221A508B"/>
    <w:rsid w:val="221E19EC"/>
    <w:rsid w:val="22261312"/>
    <w:rsid w:val="223B434C"/>
    <w:rsid w:val="223C6316"/>
    <w:rsid w:val="224A27E1"/>
    <w:rsid w:val="224C6559"/>
    <w:rsid w:val="2257755E"/>
    <w:rsid w:val="22592A24"/>
    <w:rsid w:val="22AC349C"/>
    <w:rsid w:val="22B20386"/>
    <w:rsid w:val="22E36792"/>
    <w:rsid w:val="22F866E1"/>
    <w:rsid w:val="22F95FB5"/>
    <w:rsid w:val="22FE4E63"/>
    <w:rsid w:val="231B417D"/>
    <w:rsid w:val="232A43C0"/>
    <w:rsid w:val="23566F63"/>
    <w:rsid w:val="2375388E"/>
    <w:rsid w:val="2382763C"/>
    <w:rsid w:val="23AE6D9F"/>
    <w:rsid w:val="23B26890"/>
    <w:rsid w:val="23CB5BA3"/>
    <w:rsid w:val="23DD1433"/>
    <w:rsid w:val="23DE7685"/>
    <w:rsid w:val="241906BD"/>
    <w:rsid w:val="24254DAE"/>
    <w:rsid w:val="242B03F0"/>
    <w:rsid w:val="24311EAA"/>
    <w:rsid w:val="24327E0A"/>
    <w:rsid w:val="24915A4E"/>
    <w:rsid w:val="2492046F"/>
    <w:rsid w:val="24A653FA"/>
    <w:rsid w:val="24B16B47"/>
    <w:rsid w:val="24BD373E"/>
    <w:rsid w:val="24C70119"/>
    <w:rsid w:val="24ED38F7"/>
    <w:rsid w:val="250C6474"/>
    <w:rsid w:val="2527505B"/>
    <w:rsid w:val="25333A00"/>
    <w:rsid w:val="25341526"/>
    <w:rsid w:val="253728AF"/>
    <w:rsid w:val="254F010E"/>
    <w:rsid w:val="25583467"/>
    <w:rsid w:val="25695F41"/>
    <w:rsid w:val="259D7067"/>
    <w:rsid w:val="25A91362"/>
    <w:rsid w:val="25C20003"/>
    <w:rsid w:val="25F211C5"/>
    <w:rsid w:val="260B672B"/>
    <w:rsid w:val="261A071C"/>
    <w:rsid w:val="263F0183"/>
    <w:rsid w:val="26485289"/>
    <w:rsid w:val="26597496"/>
    <w:rsid w:val="26995AE5"/>
    <w:rsid w:val="26AD333E"/>
    <w:rsid w:val="26BA5C25"/>
    <w:rsid w:val="26BD5C77"/>
    <w:rsid w:val="26E054C2"/>
    <w:rsid w:val="27024388"/>
    <w:rsid w:val="272D6CD8"/>
    <w:rsid w:val="274243CE"/>
    <w:rsid w:val="275A34C6"/>
    <w:rsid w:val="275E1D48"/>
    <w:rsid w:val="27677991"/>
    <w:rsid w:val="277125D2"/>
    <w:rsid w:val="277327DA"/>
    <w:rsid w:val="27A3569D"/>
    <w:rsid w:val="27B01338"/>
    <w:rsid w:val="27D1743C"/>
    <w:rsid w:val="27E40FE2"/>
    <w:rsid w:val="28070614"/>
    <w:rsid w:val="283A0396"/>
    <w:rsid w:val="283B73C3"/>
    <w:rsid w:val="28481571"/>
    <w:rsid w:val="284F6542"/>
    <w:rsid w:val="285D414E"/>
    <w:rsid w:val="28620159"/>
    <w:rsid w:val="28787579"/>
    <w:rsid w:val="288B4085"/>
    <w:rsid w:val="28A30E9D"/>
    <w:rsid w:val="28B05368"/>
    <w:rsid w:val="28B27CA3"/>
    <w:rsid w:val="28C72DDD"/>
    <w:rsid w:val="28CD5F1A"/>
    <w:rsid w:val="28F16026"/>
    <w:rsid w:val="28FE2577"/>
    <w:rsid w:val="290336EA"/>
    <w:rsid w:val="290D4568"/>
    <w:rsid w:val="290F208E"/>
    <w:rsid w:val="29193321"/>
    <w:rsid w:val="29476954"/>
    <w:rsid w:val="295464C2"/>
    <w:rsid w:val="299D769A"/>
    <w:rsid w:val="299F3927"/>
    <w:rsid w:val="29AC3D81"/>
    <w:rsid w:val="29AF73CD"/>
    <w:rsid w:val="29B34495"/>
    <w:rsid w:val="29BB3FC4"/>
    <w:rsid w:val="29DE193E"/>
    <w:rsid w:val="2A0239A1"/>
    <w:rsid w:val="2A263B34"/>
    <w:rsid w:val="2A6102EC"/>
    <w:rsid w:val="2A7C7BF7"/>
    <w:rsid w:val="2A88034A"/>
    <w:rsid w:val="2AA84D3E"/>
    <w:rsid w:val="2AB033FD"/>
    <w:rsid w:val="2AB845D9"/>
    <w:rsid w:val="2ACC030F"/>
    <w:rsid w:val="2AD25A69"/>
    <w:rsid w:val="2AD96DF8"/>
    <w:rsid w:val="2B05199B"/>
    <w:rsid w:val="2B1E2A5D"/>
    <w:rsid w:val="2B406E77"/>
    <w:rsid w:val="2B747F71"/>
    <w:rsid w:val="2BD0298D"/>
    <w:rsid w:val="2BD355F5"/>
    <w:rsid w:val="2BDF3BA3"/>
    <w:rsid w:val="2BE912BD"/>
    <w:rsid w:val="2BF235A7"/>
    <w:rsid w:val="2C077995"/>
    <w:rsid w:val="2C165AE7"/>
    <w:rsid w:val="2C3406FF"/>
    <w:rsid w:val="2C475FE3"/>
    <w:rsid w:val="2C506C46"/>
    <w:rsid w:val="2C6E4C6A"/>
    <w:rsid w:val="2C9B7CA1"/>
    <w:rsid w:val="2CB10399"/>
    <w:rsid w:val="2CB82A3D"/>
    <w:rsid w:val="2CBF201D"/>
    <w:rsid w:val="2D037E50"/>
    <w:rsid w:val="2D3227EF"/>
    <w:rsid w:val="2D452523"/>
    <w:rsid w:val="2D6A1F89"/>
    <w:rsid w:val="2D6D1A79"/>
    <w:rsid w:val="2D720E3E"/>
    <w:rsid w:val="2D8F7C42"/>
    <w:rsid w:val="2DAA4A7C"/>
    <w:rsid w:val="2DAC07F4"/>
    <w:rsid w:val="2DBB4593"/>
    <w:rsid w:val="2DD90EBD"/>
    <w:rsid w:val="2DEC299E"/>
    <w:rsid w:val="2EB04DF3"/>
    <w:rsid w:val="2EB23BE8"/>
    <w:rsid w:val="2EC67693"/>
    <w:rsid w:val="2ED81174"/>
    <w:rsid w:val="2EDE1C71"/>
    <w:rsid w:val="2EE44DA7"/>
    <w:rsid w:val="2EE45D6B"/>
    <w:rsid w:val="2EFF2BA5"/>
    <w:rsid w:val="2F125972"/>
    <w:rsid w:val="2F192425"/>
    <w:rsid w:val="2F3C7955"/>
    <w:rsid w:val="2F5527C5"/>
    <w:rsid w:val="2F5C3B54"/>
    <w:rsid w:val="2F6C3552"/>
    <w:rsid w:val="2F700004"/>
    <w:rsid w:val="2F750AF6"/>
    <w:rsid w:val="2F776BDF"/>
    <w:rsid w:val="2F837332"/>
    <w:rsid w:val="2F8512FC"/>
    <w:rsid w:val="2F994DA8"/>
    <w:rsid w:val="2FB674D6"/>
    <w:rsid w:val="2FB90FA6"/>
    <w:rsid w:val="2FBE036A"/>
    <w:rsid w:val="2FD656B4"/>
    <w:rsid w:val="2FE57FED"/>
    <w:rsid w:val="2FE73D65"/>
    <w:rsid w:val="2FF47598"/>
    <w:rsid w:val="302F1268"/>
    <w:rsid w:val="302F3016"/>
    <w:rsid w:val="303643A5"/>
    <w:rsid w:val="30406620"/>
    <w:rsid w:val="30556F21"/>
    <w:rsid w:val="305D5DD5"/>
    <w:rsid w:val="3062163D"/>
    <w:rsid w:val="30EB33E1"/>
    <w:rsid w:val="31053E7C"/>
    <w:rsid w:val="31083F93"/>
    <w:rsid w:val="31093867"/>
    <w:rsid w:val="31104E90"/>
    <w:rsid w:val="31190263"/>
    <w:rsid w:val="31642CFA"/>
    <w:rsid w:val="31945827"/>
    <w:rsid w:val="319E0453"/>
    <w:rsid w:val="31C61758"/>
    <w:rsid w:val="31D40319"/>
    <w:rsid w:val="31E06CBE"/>
    <w:rsid w:val="31F10E53"/>
    <w:rsid w:val="31F84007"/>
    <w:rsid w:val="32002EBC"/>
    <w:rsid w:val="321D3A6E"/>
    <w:rsid w:val="32472899"/>
    <w:rsid w:val="32494863"/>
    <w:rsid w:val="32573730"/>
    <w:rsid w:val="325A019F"/>
    <w:rsid w:val="3267118D"/>
    <w:rsid w:val="326A3B99"/>
    <w:rsid w:val="32CC0FF0"/>
    <w:rsid w:val="32D13762"/>
    <w:rsid w:val="32E620B2"/>
    <w:rsid w:val="32EE540A"/>
    <w:rsid w:val="32F522F5"/>
    <w:rsid w:val="32F742BF"/>
    <w:rsid w:val="32F81DE5"/>
    <w:rsid w:val="32FB6D81"/>
    <w:rsid w:val="32FC18D5"/>
    <w:rsid w:val="32FF3174"/>
    <w:rsid w:val="330A3CD4"/>
    <w:rsid w:val="331B6791"/>
    <w:rsid w:val="33332E1D"/>
    <w:rsid w:val="333A23FE"/>
    <w:rsid w:val="338813BB"/>
    <w:rsid w:val="33BE4DDD"/>
    <w:rsid w:val="340D1B3C"/>
    <w:rsid w:val="34376474"/>
    <w:rsid w:val="34480B4A"/>
    <w:rsid w:val="346E6803"/>
    <w:rsid w:val="347B74B6"/>
    <w:rsid w:val="34CB5A03"/>
    <w:rsid w:val="34E8105C"/>
    <w:rsid w:val="34F0546A"/>
    <w:rsid w:val="353600E4"/>
    <w:rsid w:val="35387D63"/>
    <w:rsid w:val="356D6ABA"/>
    <w:rsid w:val="35917E40"/>
    <w:rsid w:val="359E4EC6"/>
    <w:rsid w:val="35A87AF3"/>
    <w:rsid w:val="35BC534C"/>
    <w:rsid w:val="35EF5721"/>
    <w:rsid w:val="36174C78"/>
    <w:rsid w:val="361E1B63"/>
    <w:rsid w:val="36347C65"/>
    <w:rsid w:val="364517E5"/>
    <w:rsid w:val="36A95955"/>
    <w:rsid w:val="36B64491"/>
    <w:rsid w:val="36B6623F"/>
    <w:rsid w:val="36C7763D"/>
    <w:rsid w:val="36CA1CEB"/>
    <w:rsid w:val="36D14E27"/>
    <w:rsid w:val="36D30B9F"/>
    <w:rsid w:val="37024FE0"/>
    <w:rsid w:val="37054AD1"/>
    <w:rsid w:val="37060F75"/>
    <w:rsid w:val="373A6E70"/>
    <w:rsid w:val="374E6594"/>
    <w:rsid w:val="377E4FAF"/>
    <w:rsid w:val="379C3687"/>
    <w:rsid w:val="37B207B5"/>
    <w:rsid w:val="37C91822"/>
    <w:rsid w:val="37EE498D"/>
    <w:rsid w:val="3810197F"/>
    <w:rsid w:val="38211DDE"/>
    <w:rsid w:val="3825367C"/>
    <w:rsid w:val="38325D99"/>
    <w:rsid w:val="385775AE"/>
    <w:rsid w:val="38604049"/>
    <w:rsid w:val="38966328"/>
    <w:rsid w:val="389F58C0"/>
    <w:rsid w:val="38A65E3F"/>
    <w:rsid w:val="38B8629F"/>
    <w:rsid w:val="38C56C0D"/>
    <w:rsid w:val="38CF5396"/>
    <w:rsid w:val="38D53385"/>
    <w:rsid w:val="38E52E0C"/>
    <w:rsid w:val="38EC3ACE"/>
    <w:rsid w:val="38F31085"/>
    <w:rsid w:val="38FB618B"/>
    <w:rsid w:val="390C16F6"/>
    <w:rsid w:val="39267E6B"/>
    <w:rsid w:val="39292CF8"/>
    <w:rsid w:val="394B7113"/>
    <w:rsid w:val="39557F91"/>
    <w:rsid w:val="39761CB6"/>
    <w:rsid w:val="39846389"/>
    <w:rsid w:val="39963C07"/>
    <w:rsid w:val="39965EB4"/>
    <w:rsid w:val="39BA6046"/>
    <w:rsid w:val="39C96289"/>
    <w:rsid w:val="39E66E3B"/>
    <w:rsid w:val="39EB4452"/>
    <w:rsid w:val="3A192D6D"/>
    <w:rsid w:val="3A2319B1"/>
    <w:rsid w:val="3A27015C"/>
    <w:rsid w:val="3A39033A"/>
    <w:rsid w:val="3A4E3DF5"/>
    <w:rsid w:val="3A9E7870"/>
    <w:rsid w:val="3ABB3E24"/>
    <w:rsid w:val="3AC23405"/>
    <w:rsid w:val="3AD302F2"/>
    <w:rsid w:val="3AF235BE"/>
    <w:rsid w:val="3B07350D"/>
    <w:rsid w:val="3B0A4CF0"/>
    <w:rsid w:val="3B0D21A6"/>
    <w:rsid w:val="3B137123"/>
    <w:rsid w:val="3B1C4F63"/>
    <w:rsid w:val="3B530501"/>
    <w:rsid w:val="3B581673"/>
    <w:rsid w:val="3B5E72AB"/>
    <w:rsid w:val="3B65253E"/>
    <w:rsid w:val="3B794D01"/>
    <w:rsid w:val="3B8561E0"/>
    <w:rsid w:val="3B9603ED"/>
    <w:rsid w:val="3BA42B0A"/>
    <w:rsid w:val="3BCA3066"/>
    <w:rsid w:val="3BF07AFD"/>
    <w:rsid w:val="3BF13876"/>
    <w:rsid w:val="3BF84C04"/>
    <w:rsid w:val="3C214F04"/>
    <w:rsid w:val="3C2A2785"/>
    <w:rsid w:val="3C3A521C"/>
    <w:rsid w:val="3C6A3D54"/>
    <w:rsid w:val="3C84495E"/>
    <w:rsid w:val="3C8753CF"/>
    <w:rsid w:val="3C9F32D2"/>
    <w:rsid w:val="3CB50CFF"/>
    <w:rsid w:val="3CC33439"/>
    <w:rsid w:val="3CDD2778"/>
    <w:rsid w:val="3CF96E86"/>
    <w:rsid w:val="3D0A1093"/>
    <w:rsid w:val="3D131BCB"/>
    <w:rsid w:val="3D2106A9"/>
    <w:rsid w:val="3D280711"/>
    <w:rsid w:val="3D65276D"/>
    <w:rsid w:val="3D670293"/>
    <w:rsid w:val="3D755FB3"/>
    <w:rsid w:val="3D8B74C8"/>
    <w:rsid w:val="3D9A41C5"/>
    <w:rsid w:val="3D9F17DB"/>
    <w:rsid w:val="3DBD311F"/>
    <w:rsid w:val="3DC41242"/>
    <w:rsid w:val="3DEE62BF"/>
    <w:rsid w:val="3E012496"/>
    <w:rsid w:val="3E104487"/>
    <w:rsid w:val="3E2241BA"/>
    <w:rsid w:val="3E481E73"/>
    <w:rsid w:val="3E6A003B"/>
    <w:rsid w:val="3E733D99"/>
    <w:rsid w:val="3E9A1FA2"/>
    <w:rsid w:val="3EB158B4"/>
    <w:rsid w:val="3EBE3EE3"/>
    <w:rsid w:val="3EC27ECB"/>
    <w:rsid w:val="3EC6723B"/>
    <w:rsid w:val="3EEA1054"/>
    <w:rsid w:val="3F210422"/>
    <w:rsid w:val="3F281CA4"/>
    <w:rsid w:val="3F3A623E"/>
    <w:rsid w:val="3F402B4A"/>
    <w:rsid w:val="3F450160"/>
    <w:rsid w:val="3F5B3E28"/>
    <w:rsid w:val="3F60143E"/>
    <w:rsid w:val="3F734AEB"/>
    <w:rsid w:val="3F7A2278"/>
    <w:rsid w:val="3FA01B56"/>
    <w:rsid w:val="3FA16FFD"/>
    <w:rsid w:val="3FE2019B"/>
    <w:rsid w:val="3FE94F8F"/>
    <w:rsid w:val="3FFF2A05"/>
    <w:rsid w:val="400022D9"/>
    <w:rsid w:val="4001677D"/>
    <w:rsid w:val="401677F1"/>
    <w:rsid w:val="401F6C03"/>
    <w:rsid w:val="40510BF2"/>
    <w:rsid w:val="40511FF8"/>
    <w:rsid w:val="4057539C"/>
    <w:rsid w:val="407F3756"/>
    <w:rsid w:val="40C07908"/>
    <w:rsid w:val="41135599"/>
    <w:rsid w:val="411C1395"/>
    <w:rsid w:val="413F5BE3"/>
    <w:rsid w:val="414813D4"/>
    <w:rsid w:val="41752C17"/>
    <w:rsid w:val="41B56B45"/>
    <w:rsid w:val="41BE41FA"/>
    <w:rsid w:val="41EA2B46"/>
    <w:rsid w:val="42156510"/>
    <w:rsid w:val="42206C63"/>
    <w:rsid w:val="422A188F"/>
    <w:rsid w:val="4234125C"/>
    <w:rsid w:val="42576B28"/>
    <w:rsid w:val="425F778B"/>
    <w:rsid w:val="42703746"/>
    <w:rsid w:val="428D4052"/>
    <w:rsid w:val="42A0764D"/>
    <w:rsid w:val="42CA554C"/>
    <w:rsid w:val="42E20147"/>
    <w:rsid w:val="430640AA"/>
    <w:rsid w:val="430C5341"/>
    <w:rsid w:val="432254DF"/>
    <w:rsid w:val="434F15AD"/>
    <w:rsid w:val="43510478"/>
    <w:rsid w:val="43560B8E"/>
    <w:rsid w:val="43635059"/>
    <w:rsid w:val="43721740"/>
    <w:rsid w:val="437B6F4A"/>
    <w:rsid w:val="43986235"/>
    <w:rsid w:val="43AD4526"/>
    <w:rsid w:val="43AF64F0"/>
    <w:rsid w:val="43B17484"/>
    <w:rsid w:val="43B24586"/>
    <w:rsid w:val="43F6411F"/>
    <w:rsid w:val="43F91FF0"/>
    <w:rsid w:val="442B0A71"/>
    <w:rsid w:val="442C2A84"/>
    <w:rsid w:val="442F63D8"/>
    <w:rsid w:val="44480F49"/>
    <w:rsid w:val="44621098"/>
    <w:rsid w:val="446472DA"/>
    <w:rsid w:val="449D0A3E"/>
    <w:rsid w:val="449D459A"/>
    <w:rsid w:val="44CC6C2E"/>
    <w:rsid w:val="44CD1324"/>
    <w:rsid w:val="44D02BC2"/>
    <w:rsid w:val="45050ABD"/>
    <w:rsid w:val="450C4AD6"/>
    <w:rsid w:val="451C1963"/>
    <w:rsid w:val="451E30B0"/>
    <w:rsid w:val="45230F44"/>
    <w:rsid w:val="453B25D8"/>
    <w:rsid w:val="454C17CB"/>
    <w:rsid w:val="4571330C"/>
    <w:rsid w:val="457F1E24"/>
    <w:rsid w:val="4582210E"/>
    <w:rsid w:val="4588524B"/>
    <w:rsid w:val="458F482B"/>
    <w:rsid w:val="459E0E35"/>
    <w:rsid w:val="45C1250B"/>
    <w:rsid w:val="45D64DA2"/>
    <w:rsid w:val="46207231"/>
    <w:rsid w:val="463B1919"/>
    <w:rsid w:val="464078D3"/>
    <w:rsid w:val="4654512D"/>
    <w:rsid w:val="4674757D"/>
    <w:rsid w:val="467A2DE5"/>
    <w:rsid w:val="46946C63"/>
    <w:rsid w:val="469D4D26"/>
    <w:rsid w:val="46EA6DCA"/>
    <w:rsid w:val="472F1E22"/>
    <w:rsid w:val="4736606C"/>
    <w:rsid w:val="47490A0A"/>
    <w:rsid w:val="47507FEA"/>
    <w:rsid w:val="478B1022"/>
    <w:rsid w:val="479C322F"/>
    <w:rsid w:val="479C7295"/>
    <w:rsid w:val="47E81FD1"/>
    <w:rsid w:val="48184616"/>
    <w:rsid w:val="481C4B4D"/>
    <w:rsid w:val="48217291"/>
    <w:rsid w:val="48367BDF"/>
    <w:rsid w:val="48561630"/>
    <w:rsid w:val="48780FA3"/>
    <w:rsid w:val="4893018E"/>
    <w:rsid w:val="48934632"/>
    <w:rsid w:val="48BB1493"/>
    <w:rsid w:val="49060960"/>
    <w:rsid w:val="49380A58"/>
    <w:rsid w:val="494E2307"/>
    <w:rsid w:val="49830203"/>
    <w:rsid w:val="49951CE4"/>
    <w:rsid w:val="49C425C9"/>
    <w:rsid w:val="49D071C0"/>
    <w:rsid w:val="49D817D0"/>
    <w:rsid w:val="49E54A1A"/>
    <w:rsid w:val="4A0B01F8"/>
    <w:rsid w:val="4A161077"/>
    <w:rsid w:val="4A2F038B"/>
    <w:rsid w:val="4A541B9F"/>
    <w:rsid w:val="4A54747B"/>
    <w:rsid w:val="4A6718D3"/>
    <w:rsid w:val="4A8D3685"/>
    <w:rsid w:val="4A9D2749"/>
    <w:rsid w:val="4ABC1023"/>
    <w:rsid w:val="4AD056CA"/>
    <w:rsid w:val="4ADF3B5F"/>
    <w:rsid w:val="4AE21479"/>
    <w:rsid w:val="4B0940A8"/>
    <w:rsid w:val="4B115AA3"/>
    <w:rsid w:val="4B161640"/>
    <w:rsid w:val="4B1A4B97"/>
    <w:rsid w:val="4B26353C"/>
    <w:rsid w:val="4B393CE2"/>
    <w:rsid w:val="4B4A3BBE"/>
    <w:rsid w:val="4B4B4D50"/>
    <w:rsid w:val="4B7A73E4"/>
    <w:rsid w:val="4B9D6A2F"/>
    <w:rsid w:val="4BD70856"/>
    <w:rsid w:val="4BF058F8"/>
    <w:rsid w:val="4C03477A"/>
    <w:rsid w:val="4C0E5B16"/>
    <w:rsid w:val="4C1330DF"/>
    <w:rsid w:val="4C4C5224"/>
    <w:rsid w:val="4C545E87"/>
    <w:rsid w:val="4C5F36AF"/>
    <w:rsid w:val="4C714C8A"/>
    <w:rsid w:val="4C76404F"/>
    <w:rsid w:val="4CC50B32"/>
    <w:rsid w:val="4CC76658"/>
    <w:rsid w:val="4CC92CDF"/>
    <w:rsid w:val="4CCE170B"/>
    <w:rsid w:val="4CD174D7"/>
    <w:rsid w:val="4CDD429D"/>
    <w:rsid w:val="4DAE3F37"/>
    <w:rsid w:val="4DF924BF"/>
    <w:rsid w:val="4E013DEC"/>
    <w:rsid w:val="4E3D70E2"/>
    <w:rsid w:val="4E4C33F2"/>
    <w:rsid w:val="4E8572ED"/>
    <w:rsid w:val="4F075432"/>
    <w:rsid w:val="4F0973FC"/>
    <w:rsid w:val="4F2935FA"/>
    <w:rsid w:val="4F4026F2"/>
    <w:rsid w:val="4F495A4B"/>
    <w:rsid w:val="4F5A3D7E"/>
    <w:rsid w:val="4F9053B1"/>
    <w:rsid w:val="4F905428"/>
    <w:rsid w:val="4F9A44F8"/>
    <w:rsid w:val="4FB54E8E"/>
    <w:rsid w:val="4FB56C3C"/>
    <w:rsid w:val="4FBF3F5F"/>
    <w:rsid w:val="4FC21359"/>
    <w:rsid w:val="4FC357FD"/>
    <w:rsid w:val="4FFC2ABD"/>
    <w:rsid w:val="50216A4B"/>
    <w:rsid w:val="50355FCF"/>
    <w:rsid w:val="50440650"/>
    <w:rsid w:val="50566671"/>
    <w:rsid w:val="50883173"/>
    <w:rsid w:val="50BC224C"/>
    <w:rsid w:val="50BE5FC4"/>
    <w:rsid w:val="50C36206"/>
    <w:rsid w:val="50C80047"/>
    <w:rsid w:val="50CE26AB"/>
    <w:rsid w:val="50F6750C"/>
    <w:rsid w:val="510F4A72"/>
    <w:rsid w:val="511B6F73"/>
    <w:rsid w:val="51220301"/>
    <w:rsid w:val="515D0FE2"/>
    <w:rsid w:val="516052CE"/>
    <w:rsid w:val="5160707C"/>
    <w:rsid w:val="51646882"/>
    <w:rsid w:val="516721B8"/>
    <w:rsid w:val="51861823"/>
    <w:rsid w:val="51A0391C"/>
    <w:rsid w:val="51A21442"/>
    <w:rsid w:val="51E11F6A"/>
    <w:rsid w:val="52196A42"/>
    <w:rsid w:val="523C53F3"/>
    <w:rsid w:val="523F4EE3"/>
    <w:rsid w:val="525B14DE"/>
    <w:rsid w:val="525B6CEF"/>
    <w:rsid w:val="52677ACD"/>
    <w:rsid w:val="52A31916"/>
    <w:rsid w:val="52A82A88"/>
    <w:rsid w:val="52D01FDF"/>
    <w:rsid w:val="52E37F64"/>
    <w:rsid w:val="52E94FF6"/>
    <w:rsid w:val="52FC4B82"/>
    <w:rsid w:val="530F48B5"/>
    <w:rsid w:val="53277E51"/>
    <w:rsid w:val="53764934"/>
    <w:rsid w:val="537E2EA2"/>
    <w:rsid w:val="538460DE"/>
    <w:rsid w:val="53876B42"/>
    <w:rsid w:val="53966D85"/>
    <w:rsid w:val="539B439B"/>
    <w:rsid w:val="53A414A2"/>
    <w:rsid w:val="53A4298E"/>
    <w:rsid w:val="53AF1757"/>
    <w:rsid w:val="53BA0CC5"/>
    <w:rsid w:val="53DD2CA6"/>
    <w:rsid w:val="53E159C4"/>
    <w:rsid w:val="53E775E0"/>
    <w:rsid w:val="53EB5322"/>
    <w:rsid w:val="5403676A"/>
    <w:rsid w:val="54104D89"/>
    <w:rsid w:val="541805B7"/>
    <w:rsid w:val="543177F1"/>
    <w:rsid w:val="543A3B0B"/>
    <w:rsid w:val="543B5786"/>
    <w:rsid w:val="54492049"/>
    <w:rsid w:val="54640C31"/>
    <w:rsid w:val="54642849"/>
    <w:rsid w:val="547F1F0F"/>
    <w:rsid w:val="548D63DA"/>
    <w:rsid w:val="54B0392B"/>
    <w:rsid w:val="54D2203E"/>
    <w:rsid w:val="550B5550"/>
    <w:rsid w:val="55222FC6"/>
    <w:rsid w:val="55306D65"/>
    <w:rsid w:val="553B7BE4"/>
    <w:rsid w:val="5548346E"/>
    <w:rsid w:val="556829A3"/>
    <w:rsid w:val="557355CF"/>
    <w:rsid w:val="55B22FA5"/>
    <w:rsid w:val="55BF3C5C"/>
    <w:rsid w:val="55CC7E02"/>
    <w:rsid w:val="55CE0A58"/>
    <w:rsid w:val="55FD3C3F"/>
    <w:rsid w:val="56075D18"/>
    <w:rsid w:val="561A1F82"/>
    <w:rsid w:val="56226FF5"/>
    <w:rsid w:val="56334D5F"/>
    <w:rsid w:val="56530F5D"/>
    <w:rsid w:val="56586573"/>
    <w:rsid w:val="56665134"/>
    <w:rsid w:val="56725887"/>
    <w:rsid w:val="56C37E91"/>
    <w:rsid w:val="56D71B8E"/>
    <w:rsid w:val="57064221"/>
    <w:rsid w:val="57064403"/>
    <w:rsid w:val="570E435D"/>
    <w:rsid w:val="57266671"/>
    <w:rsid w:val="573214BA"/>
    <w:rsid w:val="573B0E59"/>
    <w:rsid w:val="57407733"/>
    <w:rsid w:val="57530A0F"/>
    <w:rsid w:val="577D0987"/>
    <w:rsid w:val="57833AC4"/>
    <w:rsid w:val="57957FD1"/>
    <w:rsid w:val="57A803B9"/>
    <w:rsid w:val="57B45A75"/>
    <w:rsid w:val="57B746AC"/>
    <w:rsid w:val="57C02622"/>
    <w:rsid w:val="58022C3B"/>
    <w:rsid w:val="580943E3"/>
    <w:rsid w:val="584119B5"/>
    <w:rsid w:val="584C41EB"/>
    <w:rsid w:val="58612B92"/>
    <w:rsid w:val="58950E5A"/>
    <w:rsid w:val="589B466B"/>
    <w:rsid w:val="58DF11CE"/>
    <w:rsid w:val="58FA5C29"/>
    <w:rsid w:val="591E3224"/>
    <w:rsid w:val="59233F16"/>
    <w:rsid w:val="59417793"/>
    <w:rsid w:val="594C2FB0"/>
    <w:rsid w:val="595347AB"/>
    <w:rsid w:val="597933D0"/>
    <w:rsid w:val="59821A6D"/>
    <w:rsid w:val="598D29D8"/>
    <w:rsid w:val="598D4786"/>
    <w:rsid w:val="59C53F20"/>
    <w:rsid w:val="59D44AE4"/>
    <w:rsid w:val="59FE19ED"/>
    <w:rsid w:val="5A0A04CC"/>
    <w:rsid w:val="5A3B7DEC"/>
    <w:rsid w:val="5A4A2677"/>
    <w:rsid w:val="5A623E64"/>
    <w:rsid w:val="5A646500"/>
    <w:rsid w:val="5A6F20DD"/>
    <w:rsid w:val="5A7C1BE0"/>
    <w:rsid w:val="5AB13AE4"/>
    <w:rsid w:val="5AB3646E"/>
    <w:rsid w:val="5AB74E18"/>
    <w:rsid w:val="5AC643F3"/>
    <w:rsid w:val="5AEE74A6"/>
    <w:rsid w:val="5AF251E8"/>
    <w:rsid w:val="5B0A0784"/>
    <w:rsid w:val="5B172EA1"/>
    <w:rsid w:val="5B2D18D4"/>
    <w:rsid w:val="5B565263"/>
    <w:rsid w:val="5B5C49B4"/>
    <w:rsid w:val="5B94004E"/>
    <w:rsid w:val="5BA069F2"/>
    <w:rsid w:val="5BA74225"/>
    <w:rsid w:val="5BB93F58"/>
    <w:rsid w:val="5BBA09F3"/>
    <w:rsid w:val="5BD20B76"/>
    <w:rsid w:val="5C1178F0"/>
    <w:rsid w:val="5C1318BA"/>
    <w:rsid w:val="5C3435DF"/>
    <w:rsid w:val="5C4849EC"/>
    <w:rsid w:val="5C4952DC"/>
    <w:rsid w:val="5C50666A"/>
    <w:rsid w:val="5C58107B"/>
    <w:rsid w:val="5C5D0D87"/>
    <w:rsid w:val="5C6D0731"/>
    <w:rsid w:val="5C902F0B"/>
    <w:rsid w:val="5C983B6D"/>
    <w:rsid w:val="5CA73DB1"/>
    <w:rsid w:val="5CAA564F"/>
    <w:rsid w:val="5CC52489"/>
    <w:rsid w:val="5CC70544"/>
    <w:rsid w:val="5CCE758F"/>
    <w:rsid w:val="5CE648D9"/>
    <w:rsid w:val="5D227715"/>
    <w:rsid w:val="5D421A95"/>
    <w:rsid w:val="5D4D372F"/>
    <w:rsid w:val="5D663C6C"/>
    <w:rsid w:val="5D8660BC"/>
    <w:rsid w:val="5DD619A0"/>
    <w:rsid w:val="5DF748C4"/>
    <w:rsid w:val="5E0349DE"/>
    <w:rsid w:val="5E1D07CE"/>
    <w:rsid w:val="5E3B2A02"/>
    <w:rsid w:val="5E451AD3"/>
    <w:rsid w:val="5E594668"/>
    <w:rsid w:val="5E7D126D"/>
    <w:rsid w:val="5E987E55"/>
    <w:rsid w:val="5EA94026"/>
    <w:rsid w:val="5EAB402C"/>
    <w:rsid w:val="5EDF3CD6"/>
    <w:rsid w:val="5EDF7832"/>
    <w:rsid w:val="5F047298"/>
    <w:rsid w:val="5F2D2C93"/>
    <w:rsid w:val="5F49114F"/>
    <w:rsid w:val="5F673A20"/>
    <w:rsid w:val="5F6917F1"/>
    <w:rsid w:val="5F6C02C9"/>
    <w:rsid w:val="5F7A755A"/>
    <w:rsid w:val="5FAA42E4"/>
    <w:rsid w:val="5FBE38EB"/>
    <w:rsid w:val="5FD01870"/>
    <w:rsid w:val="6025396A"/>
    <w:rsid w:val="602A5424"/>
    <w:rsid w:val="602D281F"/>
    <w:rsid w:val="602F6597"/>
    <w:rsid w:val="604527D6"/>
    <w:rsid w:val="6057789C"/>
    <w:rsid w:val="605D3104"/>
    <w:rsid w:val="60C05441"/>
    <w:rsid w:val="60C35DB8"/>
    <w:rsid w:val="60CC028A"/>
    <w:rsid w:val="60E07891"/>
    <w:rsid w:val="61137C66"/>
    <w:rsid w:val="6118702B"/>
    <w:rsid w:val="61206FA0"/>
    <w:rsid w:val="61447E20"/>
    <w:rsid w:val="61481125"/>
    <w:rsid w:val="61483DB4"/>
    <w:rsid w:val="615C0C4D"/>
    <w:rsid w:val="615F567B"/>
    <w:rsid w:val="61630BEE"/>
    <w:rsid w:val="61835B97"/>
    <w:rsid w:val="618D5C6B"/>
    <w:rsid w:val="61A255D6"/>
    <w:rsid w:val="61B50D1E"/>
    <w:rsid w:val="61CD250B"/>
    <w:rsid w:val="61DA565F"/>
    <w:rsid w:val="61FE0917"/>
    <w:rsid w:val="61FE4668"/>
    <w:rsid w:val="624778AB"/>
    <w:rsid w:val="62533427"/>
    <w:rsid w:val="626926F0"/>
    <w:rsid w:val="629923ED"/>
    <w:rsid w:val="629E7A04"/>
    <w:rsid w:val="62CA25A7"/>
    <w:rsid w:val="62EA2C49"/>
    <w:rsid w:val="62F13FD7"/>
    <w:rsid w:val="6344075B"/>
    <w:rsid w:val="634560D1"/>
    <w:rsid w:val="63514A76"/>
    <w:rsid w:val="6353259C"/>
    <w:rsid w:val="636B3D8A"/>
    <w:rsid w:val="637075F2"/>
    <w:rsid w:val="63A728E8"/>
    <w:rsid w:val="63C46E4C"/>
    <w:rsid w:val="64110A16"/>
    <w:rsid w:val="642301C1"/>
    <w:rsid w:val="64713622"/>
    <w:rsid w:val="6476316D"/>
    <w:rsid w:val="649B244D"/>
    <w:rsid w:val="64AD1B28"/>
    <w:rsid w:val="64EA5182"/>
    <w:rsid w:val="64EB69CB"/>
    <w:rsid w:val="65026B6B"/>
    <w:rsid w:val="65071890"/>
    <w:rsid w:val="650A1380"/>
    <w:rsid w:val="65200BA4"/>
    <w:rsid w:val="65202952"/>
    <w:rsid w:val="65295CAB"/>
    <w:rsid w:val="653D3504"/>
    <w:rsid w:val="6569254B"/>
    <w:rsid w:val="65893695"/>
    <w:rsid w:val="65B04206"/>
    <w:rsid w:val="65F703CD"/>
    <w:rsid w:val="66056E07"/>
    <w:rsid w:val="660D2ED6"/>
    <w:rsid w:val="66187ACD"/>
    <w:rsid w:val="661C136B"/>
    <w:rsid w:val="663568D1"/>
    <w:rsid w:val="66546D57"/>
    <w:rsid w:val="66651D93"/>
    <w:rsid w:val="66747DFB"/>
    <w:rsid w:val="668F1B3D"/>
    <w:rsid w:val="66C814F3"/>
    <w:rsid w:val="66EF4B6F"/>
    <w:rsid w:val="670E6B05"/>
    <w:rsid w:val="6712022A"/>
    <w:rsid w:val="671A0817"/>
    <w:rsid w:val="67262C9D"/>
    <w:rsid w:val="677D408C"/>
    <w:rsid w:val="677F5452"/>
    <w:rsid w:val="67A34CD2"/>
    <w:rsid w:val="67A61834"/>
    <w:rsid w:val="67AF7F23"/>
    <w:rsid w:val="67B6134C"/>
    <w:rsid w:val="67EA3F6E"/>
    <w:rsid w:val="67EB36EB"/>
    <w:rsid w:val="67F00D02"/>
    <w:rsid w:val="68126ECA"/>
    <w:rsid w:val="68141711"/>
    <w:rsid w:val="682D5AB2"/>
    <w:rsid w:val="684E5A28"/>
    <w:rsid w:val="686A3BC2"/>
    <w:rsid w:val="688B54CF"/>
    <w:rsid w:val="68B95597"/>
    <w:rsid w:val="68CD4B9F"/>
    <w:rsid w:val="68E11D62"/>
    <w:rsid w:val="691B590A"/>
    <w:rsid w:val="6921361E"/>
    <w:rsid w:val="69272501"/>
    <w:rsid w:val="698B1D32"/>
    <w:rsid w:val="698C2CAC"/>
    <w:rsid w:val="699D0A15"/>
    <w:rsid w:val="69B3181A"/>
    <w:rsid w:val="6A6B3457"/>
    <w:rsid w:val="6A9E2C97"/>
    <w:rsid w:val="6AA656A7"/>
    <w:rsid w:val="6AC36622"/>
    <w:rsid w:val="6AC47442"/>
    <w:rsid w:val="6AC50223"/>
    <w:rsid w:val="6AD20B92"/>
    <w:rsid w:val="6AF26367"/>
    <w:rsid w:val="6B006E89"/>
    <w:rsid w:val="6B1B64B0"/>
    <w:rsid w:val="6B1D005F"/>
    <w:rsid w:val="6B386B50"/>
    <w:rsid w:val="6B6E08BB"/>
    <w:rsid w:val="6B7834E8"/>
    <w:rsid w:val="6BC07C08"/>
    <w:rsid w:val="6BCA3618"/>
    <w:rsid w:val="6BEC7A32"/>
    <w:rsid w:val="6BFD1C3F"/>
    <w:rsid w:val="6C3A079D"/>
    <w:rsid w:val="6C4C52F4"/>
    <w:rsid w:val="6C580C23"/>
    <w:rsid w:val="6C59228F"/>
    <w:rsid w:val="6C8B1333"/>
    <w:rsid w:val="6CA976D1"/>
    <w:rsid w:val="6CDB1F80"/>
    <w:rsid w:val="6CDE55CC"/>
    <w:rsid w:val="6CEF78BE"/>
    <w:rsid w:val="6D170ADE"/>
    <w:rsid w:val="6D17288C"/>
    <w:rsid w:val="6D1F1741"/>
    <w:rsid w:val="6D340359"/>
    <w:rsid w:val="6D4A72D1"/>
    <w:rsid w:val="6D5C3AC4"/>
    <w:rsid w:val="6D8368EC"/>
    <w:rsid w:val="6D8617C0"/>
    <w:rsid w:val="6DB12CE1"/>
    <w:rsid w:val="6DCF13B9"/>
    <w:rsid w:val="6DE05981"/>
    <w:rsid w:val="6DE2733E"/>
    <w:rsid w:val="6DED797A"/>
    <w:rsid w:val="6E0B0643"/>
    <w:rsid w:val="6E184B0E"/>
    <w:rsid w:val="6E3934E2"/>
    <w:rsid w:val="6E755ABD"/>
    <w:rsid w:val="6E7F693B"/>
    <w:rsid w:val="6EA175A1"/>
    <w:rsid w:val="6ED21161"/>
    <w:rsid w:val="6EDD4CB9"/>
    <w:rsid w:val="6EE964AB"/>
    <w:rsid w:val="6EED5F9B"/>
    <w:rsid w:val="6F42021D"/>
    <w:rsid w:val="6F5E29F5"/>
    <w:rsid w:val="6F6124E5"/>
    <w:rsid w:val="6F6F075E"/>
    <w:rsid w:val="6F7044D6"/>
    <w:rsid w:val="6F774BAC"/>
    <w:rsid w:val="6F80296B"/>
    <w:rsid w:val="6FA7614A"/>
    <w:rsid w:val="6FD827A7"/>
    <w:rsid w:val="700323DB"/>
    <w:rsid w:val="704561B0"/>
    <w:rsid w:val="704718D2"/>
    <w:rsid w:val="70AF6726"/>
    <w:rsid w:val="70B96FA9"/>
    <w:rsid w:val="70CB2853"/>
    <w:rsid w:val="70DF157B"/>
    <w:rsid w:val="70E4296C"/>
    <w:rsid w:val="70EE7DA8"/>
    <w:rsid w:val="70FF1FB5"/>
    <w:rsid w:val="710C022E"/>
    <w:rsid w:val="71105708"/>
    <w:rsid w:val="7121252E"/>
    <w:rsid w:val="715E2BBD"/>
    <w:rsid w:val="71A36DE5"/>
    <w:rsid w:val="71C726AC"/>
    <w:rsid w:val="71CB1E97"/>
    <w:rsid w:val="71D64AC4"/>
    <w:rsid w:val="71E15AA3"/>
    <w:rsid w:val="71E52F59"/>
    <w:rsid w:val="71E74F23"/>
    <w:rsid w:val="721E62BD"/>
    <w:rsid w:val="72331F17"/>
    <w:rsid w:val="72347A3D"/>
    <w:rsid w:val="72417DAB"/>
    <w:rsid w:val="72807126"/>
    <w:rsid w:val="72AF5315"/>
    <w:rsid w:val="72B312A9"/>
    <w:rsid w:val="72C62D8B"/>
    <w:rsid w:val="72F86CBC"/>
    <w:rsid w:val="72FC46DC"/>
    <w:rsid w:val="72FC49FE"/>
    <w:rsid w:val="7318735E"/>
    <w:rsid w:val="73273E68"/>
    <w:rsid w:val="73335F46"/>
    <w:rsid w:val="73634A7D"/>
    <w:rsid w:val="73734595"/>
    <w:rsid w:val="737F73DD"/>
    <w:rsid w:val="738F7621"/>
    <w:rsid w:val="7399224D"/>
    <w:rsid w:val="73AA23BA"/>
    <w:rsid w:val="73BC7B7C"/>
    <w:rsid w:val="73BE73D7"/>
    <w:rsid w:val="73E84141"/>
    <w:rsid w:val="73EA4B55"/>
    <w:rsid w:val="740578E3"/>
    <w:rsid w:val="744F5002"/>
    <w:rsid w:val="745B5755"/>
    <w:rsid w:val="746F4033"/>
    <w:rsid w:val="748E78D8"/>
    <w:rsid w:val="74AA048A"/>
    <w:rsid w:val="74CB5A00"/>
    <w:rsid w:val="74CC6652"/>
    <w:rsid w:val="74E26F54"/>
    <w:rsid w:val="74F160B9"/>
    <w:rsid w:val="74FC0CE6"/>
    <w:rsid w:val="750F1338"/>
    <w:rsid w:val="751029E3"/>
    <w:rsid w:val="75345D30"/>
    <w:rsid w:val="755448DA"/>
    <w:rsid w:val="75580C3E"/>
    <w:rsid w:val="755C1784"/>
    <w:rsid w:val="75610C32"/>
    <w:rsid w:val="7564635F"/>
    <w:rsid w:val="757765BE"/>
    <w:rsid w:val="75DB4D9F"/>
    <w:rsid w:val="76311753"/>
    <w:rsid w:val="765132FA"/>
    <w:rsid w:val="765468FF"/>
    <w:rsid w:val="766C3848"/>
    <w:rsid w:val="76872831"/>
    <w:rsid w:val="76AF7FDA"/>
    <w:rsid w:val="76BE2727"/>
    <w:rsid w:val="76C45833"/>
    <w:rsid w:val="76CC46E8"/>
    <w:rsid w:val="76E41A31"/>
    <w:rsid w:val="76EA3433"/>
    <w:rsid w:val="76EC6B38"/>
    <w:rsid w:val="76F1414E"/>
    <w:rsid w:val="77000835"/>
    <w:rsid w:val="770D2941"/>
    <w:rsid w:val="771B11CB"/>
    <w:rsid w:val="773D55E5"/>
    <w:rsid w:val="77626DFA"/>
    <w:rsid w:val="77916B9F"/>
    <w:rsid w:val="77AE203F"/>
    <w:rsid w:val="780D3305"/>
    <w:rsid w:val="782115C4"/>
    <w:rsid w:val="78252301"/>
    <w:rsid w:val="78280044"/>
    <w:rsid w:val="782B3839"/>
    <w:rsid w:val="7831514A"/>
    <w:rsid w:val="78411105"/>
    <w:rsid w:val="78415070"/>
    <w:rsid w:val="784C1F84"/>
    <w:rsid w:val="784C5973"/>
    <w:rsid w:val="785D5F3F"/>
    <w:rsid w:val="78697682"/>
    <w:rsid w:val="786F450E"/>
    <w:rsid w:val="787B63C5"/>
    <w:rsid w:val="788566A9"/>
    <w:rsid w:val="78EF0B61"/>
    <w:rsid w:val="78FD6DDA"/>
    <w:rsid w:val="79052133"/>
    <w:rsid w:val="79134850"/>
    <w:rsid w:val="791D747D"/>
    <w:rsid w:val="79202AC9"/>
    <w:rsid w:val="792C3B64"/>
    <w:rsid w:val="795167E8"/>
    <w:rsid w:val="796926C2"/>
    <w:rsid w:val="79A66D50"/>
    <w:rsid w:val="79BA116F"/>
    <w:rsid w:val="79D12015"/>
    <w:rsid w:val="79E166FC"/>
    <w:rsid w:val="7A1940E8"/>
    <w:rsid w:val="7A232871"/>
    <w:rsid w:val="7A2605B3"/>
    <w:rsid w:val="7A2776B7"/>
    <w:rsid w:val="7A5F138C"/>
    <w:rsid w:val="7A6C36E3"/>
    <w:rsid w:val="7A7C01D3"/>
    <w:rsid w:val="7AB47064"/>
    <w:rsid w:val="7AB91427"/>
    <w:rsid w:val="7AC47FDA"/>
    <w:rsid w:val="7B3960C4"/>
    <w:rsid w:val="7B3A4316"/>
    <w:rsid w:val="7B3B62E0"/>
    <w:rsid w:val="7B4038F6"/>
    <w:rsid w:val="7B4A367A"/>
    <w:rsid w:val="7B560A24"/>
    <w:rsid w:val="7B8B4B71"/>
    <w:rsid w:val="7BA34766"/>
    <w:rsid w:val="7BA522FF"/>
    <w:rsid w:val="7BFD3595"/>
    <w:rsid w:val="7C1032C9"/>
    <w:rsid w:val="7C4B2553"/>
    <w:rsid w:val="7C5546E4"/>
    <w:rsid w:val="7C5A68F7"/>
    <w:rsid w:val="7C885555"/>
    <w:rsid w:val="7CD75B94"/>
    <w:rsid w:val="7CE3278B"/>
    <w:rsid w:val="7CF83BBE"/>
    <w:rsid w:val="7D1312C2"/>
    <w:rsid w:val="7D4F3BFE"/>
    <w:rsid w:val="7D697134"/>
    <w:rsid w:val="7D7A30EF"/>
    <w:rsid w:val="7D7C2BAC"/>
    <w:rsid w:val="7D9F168F"/>
    <w:rsid w:val="7DD766F1"/>
    <w:rsid w:val="7E2D1F10"/>
    <w:rsid w:val="7E3736C1"/>
    <w:rsid w:val="7E500C29"/>
    <w:rsid w:val="7E6416AA"/>
    <w:rsid w:val="7E6478FC"/>
    <w:rsid w:val="7E9922C1"/>
    <w:rsid w:val="7EBE3149"/>
    <w:rsid w:val="7ECF1219"/>
    <w:rsid w:val="7EED78F1"/>
    <w:rsid w:val="7EF46ED2"/>
    <w:rsid w:val="7F631961"/>
    <w:rsid w:val="7F7D2A23"/>
    <w:rsid w:val="7F8114E6"/>
    <w:rsid w:val="7F8F56A4"/>
    <w:rsid w:val="7F9A1827"/>
    <w:rsid w:val="7FAC50B6"/>
    <w:rsid w:val="7FB72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2"/>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宋体"/>
      <w:b/>
      <w:kern w:val="44"/>
      <w:sz w:val="30"/>
    </w:rPr>
  </w:style>
  <w:style w:type="paragraph" w:styleId="3">
    <w:name w:val="heading 2"/>
    <w:basedOn w:val="1"/>
    <w:next w:val="1"/>
    <w:link w:val="28"/>
    <w:unhideWhenUsed/>
    <w:qFormat/>
    <w:uiPriority w:val="0"/>
    <w:pPr>
      <w:keepNext/>
      <w:keepLines/>
      <w:spacing w:before="50" w:beforeLines="50" w:beforeAutospacing="0" w:afterLines="0" w:afterAutospacing="0" w:line="240" w:lineRule="auto"/>
      <w:ind w:left="0" w:leftChars="0" w:right="0" w:rightChars="0" w:firstLine="1680" w:firstLineChars="200"/>
      <w:outlineLvl w:val="1"/>
    </w:pPr>
    <w:rPr>
      <w:rFonts w:ascii="Arial" w:hAnsi="Arial" w:eastAsia="宋体"/>
      <w:b/>
    </w:rPr>
  </w:style>
  <w:style w:type="paragraph" w:styleId="4">
    <w:name w:val="heading 3"/>
    <w:basedOn w:val="1"/>
    <w:next w:val="1"/>
    <w:link w:val="30"/>
    <w:semiHidden/>
    <w:unhideWhenUsed/>
    <w:qFormat/>
    <w:uiPriority w:val="0"/>
    <w:pPr>
      <w:keepNext/>
      <w:keepLines/>
      <w:spacing w:line="360" w:lineRule="auto"/>
      <w:ind w:firstLine="560" w:firstLineChars="200"/>
      <w:jc w:val="left"/>
      <w:outlineLvl w:val="2"/>
    </w:pPr>
    <w:rPr>
      <w:rFonts w:ascii="Times New Roman" w:hAnsi="Times New Roman" w:eastAsia="宋体"/>
      <w:b/>
    </w:rPr>
  </w:style>
  <w:style w:type="paragraph" w:styleId="5">
    <w:name w:val="heading 4"/>
    <w:basedOn w:val="1"/>
    <w:next w:val="1"/>
    <w:link w:val="29"/>
    <w:semiHidden/>
    <w:unhideWhenUsed/>
    <w:qFormat/>
    <w:uiPriority w:val="0"/>
    <w:pPr>
      <w:keepNext/>
      <w:keepLines/>
      <w:spacing w:beforeLines="0" w:beforeAutospacing="0" w:afterLines="0" w:afterAutospacing="0" w:line="360" w:lineRule="auto"/>
      <w:ind w:firstLine="562" w:firstLineChars="200"/>
      <w:jc w:val="left"/>
      <w:outlineLvl w:val="3"/>
    </w:pPr>
    <w:rPr>
      <w:rFonts w:ascii="Arial" w:hAnsi="Arial"/>
      <w:b/>
    </w:rPr>
  </w:style>
  <w:style w:type="paragraph" w:styleId="6">
    <w:name w:val="heading 5"/>
    <w:basedOn w:val="1"/>
    <w:next w:val="1"/>
    <w:semiHidden/>
    <w:unhideWhenUsed/>
    <w:qFormat/>
    <w:uiPriority w:val="0"/>
    <w:pPr>
      <w:keepNext/>
      <w:keepLines/>
      <w:spacing w:beforeLines="0" w:beforeAutospacing="0" w:afterLines="0" w:afterAutospacing="0" w:line="360" w:lineRule="auto"/>
      <w:jc w:val="center"/>
      <w:outlineLvl w:val="4"/>
    </w:pPr>
    <w:rPr>
      <w:rFonts w:ascii="Times New Roman" w:hAnsi="Times New Roman"/>
      <w:b/>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1"/>
    <w:qFormat/>
    <w:uiPriority w:val="0"/>
    <w:pPr>
      <w:spacing w:after="120" w:afterLines="0" w:afterAutospacing="0"/>
    </w:pPr>
  </w:style>
  <w:style w:type="paragraph" w:styleId="9">
    <w:name w:val="Body Text Indent"/>
    <w:basedOn w:val="1"/>
    <w:next w:val="1"/>
    <w:qFormat/>
    <w:uiPriority w:val="0"/>
    <w:pPr>
      <w:spacing w:after="120"/>
      <w:ind w:left="420" w:leftChars="200"/>
    </w:p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envelope return"/>
    <w:basedOn w:val="1"/>
    <w:semiHidden/>
    <w:qFormat/>
    <w:uiPriority w:val="0"/>
    <w:pPr>
      <w:snapToGrid w:val="0"/>
    </w:pPr>
    <w:rPr>
      <w:rFonts w:ascii="Arial" w:hAnsi="Arial" w:cs="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320" w:lineRule="exact"/>
      <w:jc w:val="left"/>
    </w:pPr>
    <w:rPr>
      <w:rFonts w:ascii="宋体" w:hAnsi="宋体"/>
      <w:sz w:val="24"/>
    </w:rPr>
  </w:style>
  <w:style w:type="paragraph" w:styleId="16">
    <w:name w:val="Body Text Indent 3"/>
    <w:basedOn w:val="1"/>
    <w:qFormat/>
    <w:uiPriority w:val="0"/>
    <w:pPr>
      <w:spacing w:line="360" w:lineRule="auto"/>
      <w:ind w:firstLine="632"/>
    </w:pPr>
    <w:rPr>
      <w:rFonts w:ascii="黑体" w:eastAsia="黑体"/>
    </w:rPr>
  </w:style>
  <w:style w:type="paragraph" w:styleId="17">
    <w:name w:val="toc 2"/>
    <w:basedOn w:val="1"/>
    <w:next w:val="1"/>
    <w:qFormat/>
    <w:uiPriority w:val="0"/>
    <w:pPr>
      <w:ind w:left="420" w:leftChars="200"/>
    </w:pPr>
  </w:style>
  <w:style w:type="paragraph" w:styleId="18">
    <w:name w:val="HTML Preformatted"/>
    <w:qFormat/>
    <w:uiPriority w:val="0"/>
    <w:pPr>
      <w:widowControl w:val="0"/>
      <w:jc w:val="both"/>
    </w:pPr>
    <w:rPr>
      <w:rFonts w:ascii="Courier New" w:hAnsi="Courier New" w:eastAsia="宋体" w:cs="Times New Roman"/>
      <w:kern w:val="2"/>
      <w:sz w:val="21"/>
      <w:szCs w:val="24"/>
      <w:lang w:val="en-US" w:eastAsia="zh-CN" w:bidi="ar-SA"/>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9"/>
    <w:qFormat/>
    <w:uiPriority w:val="0"/>
    <w:pPr>
      <w:ind w:firstLine="420" w:firstLineChars="200"/>
    </w:pPr>
  </w:style>
  <w:style w:type="table" w:styleId="22">
    <w:name w:val="Table Grid"/>
    <w:basedOn w:val="21"/>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paragraph" w:customStyle="1" w:styleId="25">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6">
    <w:name w:val="_Style 3"/>
    <w:next w:val="16"/>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标题 1 Char"/>
    <w:link w:val="2"/>
    <w:qFormat/>
    <w:locked/>
    <w:uiPriority w:val="0"/>
    <w:rPr>
      <w:rFonts w:ascii="Times New Roman" w:hAnsi="Times New Roman" w:eastAsia="宋体" w:cs="Times New Roman"/>
      <w:b/>
      <w:bCs/>
      <w:kern w:val="2"/>
      <w:sz w:val="32"/>
      <w:szCs w:val="32"/>
      <w:lang w:val="en-US" w:eastAsia="zh-CN" w:bidi="ar-SA"/>
    </w:rPr>
  </w:style>
  <w:style w:type="character" w:customStyle="1" w:styleId="28">
    <w:name w:val="标题 2 Char"/>
    <w:link w:val="3"/>
    <w:qFormat/>
    <w:uiPriority w:val="0"/>
    <w:rPr>
      <w:rFonts w:ascii="Arial" w:hAnsi="Arial" w:eastAsia="宋体" w:cs="Times New Roman"/>
      <w:b/>
      <w:bCs/>
      <w:kern w:val="2"/>
      <w:sz w:val="28"/>
      <w:szCs w:val="32"/>
      <w:lang w:val="en-US" w:eastAsia="zh-CN" w:bidi="ar-SA"/>
    </w:rPr>
  </w:style>
  <w:style w:type="character" w:customStyle="1" w:styleId="29">
    <w:name w:val="标题 4 Char"/>
    <w:link w:val="5"/>
    <w:qFormat/>
    <w:uiPriority w:val="0"/>
    <w:rPr>
      <w:rFonts w:ascii="Arial" w:hAnsi="Arial" w:eastAsia="宋体"/>
      <w:b/>
    </w:rPr>
  </w:style>
  <w:style w:type="character" w:customStyle="1" w:styleId="30">
    <w:name w:val="标题 3 Char"/>
    <w:link w:val="4"/>
    <w:qFormat/>
    <w:uiPriority w:val="0"/>
    <w:rPr>
      <w:rFonts w:ascii="Times New Roman" w:hAnsi="Times New Roman" w:eastAsia="宋体"/>
      <w:b/>
    </w:rPr>
  </w:style>
  <w:style w:type="paragraph" w:customStyle="1" w:styleId="31">
    <w:name w:val="图例"/>
    <w:basedOn w:val="1"/>
    <w:qFormat/>
    <w:uiPriority w:val="0"/>
    <w:pPr>
      <w:spacing w:before="120" w:after="120" w:line="360" w:lineRule="auto"/>
      <w:jc w:val="center"/>
    </w:pPr>
    <w:rPr>
      <w:rFonts w:eastAsia="仿宋_GB2312"/>
      <w:b/>
      <w:sz w:val="24"/>
    </w:rPr>
  </w:style>
  <w:style w:type="character" w:customStyle="1" w:styleId="32">
    <w:name w:val="标题 1 字符"/>
    <w:link w:val="2"/>
    <w:qFormat/>
    <w:uiPriority w:val="0"/>
    <w:rPr>
      <w:rFonts w:ascii="Times New Roman" w:hAnsi="Times New Roman" w:eastAsia="宋体" w:cs="Times New Roman"/>
      <w:kern w:val="44"/>
      <w:sz w:val="32"/>
    </w:rPr>
  </w:style>
  <w:style w:type="paragraph" w:customStyle="1" w:styleId="33">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5">
    <w:name w:val="font11"/>
    <w:basedOn w:val="23"/>
    <w:qFormat/>
    <w:uiPriority w:val="0"/>
    <w:rPr>
      <w:rFonts w:hint="default" w:ascii="Segoe UI" w:hAnsi="Segoe UI" w:eastAsia="Segoe UI" w:cs="Segoe UI"/>
      <w:color w:val="000000"/>
      <w:sz w:val="22"/>
      <w:szCs w:val="22"/>
      <w:u w:val="none"/>
    </w:rPr>
  </w:style>
  <w:style w:type="character" w:customStyle="1" w:styleId="36">
    <w:name w:val="font21"/>
    <w:basedOn w:val="23"/>
    <w:qFormat/>
    <w:uiPriority w:val="0"/>
    <w:rPr>
      <w:rFonts w:hint="default" w:ascii="Segoe UI" w:hAnsi="Segoe UI" w:eastAsia="Segoe UI" w:cs="Segoe UI"/>
      <w:color w:val="000000"/>
      <w:sz w:val="21"/>
      <w:szCs w:val="21"/>
      <w:u w:val="none"/>
    </w:rPr>
  </w:style>
  <w:style w:type="character" w:customStyle="1" w:styleId="37">
    <w:name w:val="font51"/>
    <w:basedOn w:val="23"/>
    <w:qFormat/>
    <w:uiPriority w:val="0"/>
    <w:rPr>
      <w:rFonts w:hint="eastAsia" w:ascii="微软雅黑" w:hAnsi="微软雅黑" w:eastAsia="微软雅黑" w:cs="微软雅黑"/>
      <w:color w:val="000000"/>
      <w:sz w:val="20"/>
      <w:szCs w:val="20"/>
      <w:u w:val="none"/>
    </w:rPr>
  </w:style>
  <w:style w:type="character" w:customStyle="1" w:styleId="38">
    <w:name w:val="font61"/>
    <w:basedOn w:val="23"/>
    <w:qFormat/>
    <w:uiPriority w:val="0"/>
    <w:rPr>
      <w:rFonts w:ascii="宋体" w:hAnsi="宋体" w:eastAsia="宋体" w:cs="宋体"/>
      <w:color w:val="000000"/>
      <w:sz w:val="20"/>
      <w:szCs w:val="20"/>
      <w:u w:val="none"/>
    </w:rPr>
  </w:style>
  <w:style w:type="character" w:customStyle="1" w:styleId="39">
    <w:name w:val="font01"/>
    <w:basedOn w:val="23"/>
    <w:qFormat/>
    <w:uiPriority w:val="0"/>
    <w:rPr>
      <w:rFonts w:hint="eastAsia" w:ascii="宋体" w:hAnsi="宋体" w:eastAsia="宋体" w:cs="宋体"/>
      <w:color w:val="000000"/>
      <w:sz w:val="20"/>
      <w:szCs w:val="20"/>
      <w:u w:val="none"/>
    </w:rPr>
  </w:style>
  <w:style w:type="paragraph" w:customStyle="1" w:styleId="40">
    <w:name w:val="Normal"/>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1">
    <w:name w:val="Body Text First Indent"/>
    <w:basedOn w:val="1"/>
    <w:next w:val="1"/>
    <w:qFormat/>
    <w:uiPriority w:val="0"/>
    <w:pPr>
      <w:spacing w:line="360" w:lineRule="auto"/>
      <w:ind w:firstLine="420"/>
    </w:pPr>
    <w:rPr>
      <w:rFonts w:ascii="宋体" w:hAnsi="宋体" w:eastAsia="仿宋_GB2312"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14227</Words>
  <Characters>15028</Characters>
  <Lines>0</Lines>
  <Paragraphs>0</Paragraphs>
  <TotalTime>18</TotalTime>
  <ScaleCrop>false</ScaleCrop>
  <LinksUpToDate>false</LinksUpToDate>
  <CharactersWithSpaces>15744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2022-05-17T08:32:00Z</dcterms:created>
  <dc:creator>Admin</dc:creator>
  <cp:lastModifiedBy>wcq</cp:lastModifiedBy>
  <dcterms:modified xsi:type="dcterms:W3CDTF">2025-08-13T09:36:44Z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21B142E64DA2401782F9A32E2B21627F_13</vt:lpwstr>
  </property>
  <property fmtid="{D5CDD505-2E9C-101B-9397-08002B2CF9AE}" pid="4" name="KSOTemplateDocerSaveRecord">
    <vt:lpwstr>eyJoZGlkIjoiOTE0NGVkYmNhODMyODYwZDIyZTUzODQ1YWE4OGZmMTQiLCJ1c2VySWQiOiI4NzMzNjUxMTAifQ==</vt:lpwstr>
  </property>
</Properties>
</file>