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82272">
      <w:pPr>
        <w:rPr>
          <w:rFonts w:ascii="宋体" w:hAnsi="宋体"/>
          <w:b/>
          <w:color w:val="auto"/>
          <w:sz w:val="44"/>
          <w:szCs w:val="44"/>
          <w:highlight w:val="none"/>
        </w:rPr>
      </w:pPr>
      <w:bookmarkStart w:id="0" w:name="_Toc287620665"/>
    </w:p>
    <w:p w14:paraId="1B1E5AF0">
      <w:pPr>
        <w:spacing w:line="360" w:lineRule="auto"/>
        <w:jc w:val="center"/>
        <w:rPr>
          <w:rFonts w:hint="eastAsia" w:ascii="宋体" w:hAnsi="宋体" w:eastAsia="宋体"/>
          <w:color w:val="auto"/>
          <w:kern w:val="0"/>
          <w:sz w:val="32"/>
          <w:szCs w:val="32"/>
          <w:highlight w:val="none"/>
          <w:u w:val="single"/>
          <w:lang w:eastAsia="zh-CN"/>
        </w:rPr>
      </w:pPr>
      <w:r>
        <w:rPr>
          <w:rFonts w:hint="eastAsia" w:ascii="宋体" w:hAnsi="宋体"/>
          <w:color w:val="auto"/>
          <w:kern w:val="0"/>
          <w:sz w:val="32"/>
          <w:szCs w:val="32"/>
          <w:highlight w:val="none"/>
          <w:u w:val="single"/>
          <w:lang w:eastAsia="zh-CN"/>
        </w:rPr>
        <w:t>南岸区安全生产基础设施建设项目可研编制</w:t>
      </w:r>
    </w:p>
    <w:p w14:paraId="769375C3">
      <w:pPr>
        <w:autoSpaceDE w:val="0"/>
        <w:autoSpaceDN w:val="0"/>
        <w:adjustRightInd w:val="0"/>
        <w:snapToGrid w:val="0"/>
        <w:spacing w:line="360" w:lineRule="auto"/>
        <w:jc w:val="left"/>
        <w:rPr>
          <w:rFonts w:ascii="宋体" w:hAnsi="宋体"/>
          <w:color w:val="auto"/>
          <w:kern w:val="0"/>
          <w:sz w:val="20"/>
          <w:szCs w:val="20"/>
          <w:highlight w:val="none"/>
        </w:rPr>
      </w:pPr>
    </w:p>
    <w:p w14:paraId="1219AC1C">
      <w:pPr>
        <w:autoSpaceDE w:val="0"/>
        <w:autoSpaceDN w:val="0"/>
        <w:adjustRightInd w:val="0"/>
        <w:snapToGrid w:val="0"/>
        <w:spacing w:line="360" w:lineRule="auto"/>
        <w:jc w:val="left"/>
        <w:rPr>
          <w:rFonts w:ascii="宋体" w:hAnsi="宋体"/>
          <w:color w:val="auto"/>
          <w:kern w:val="0"/>
          <w:sz w:val="20"/>
          <w:szCs w:val="20"/>
          <w:highlight w:val="none"/>
        </w:rPr>
      </w:pPr>
    </w:p>
    <w:p w14:paraId="7DEC61CB">
      <w:pPr>
        <w:autoSpaceDE w:val="0"/>
        <w:autoSpaceDN w:val="0"/>
        <w:adjustRightInd w:val="0"/>
        <w:snapToGrid w:val="0"/>
        <w:spacing w:line="360" w:lineRule="auto"/>
        <w:jc w:val="left"/>
        <w:rPr>
          <w:rFonts w:ascii="宋体" w:hAnsi="宋体"/>
          <w:color w:val="auto"/>
          <w:kern w:val="0"/>
          <w:sz w:val="20"/>
          <w:szCs w:val="20"/>
          <w:highlight w:val="none"/>
        </w:rPr>
      </w:pPr>
    </w:p>
    <w:p w14:paraId="7070AEB7">
      <w:pPr>
        <w:autoSpaceDE w:val="0"/>
        <w:autoSpaceDN w:val="0"/>
        <w:adjustRightInd w:val="0"/>
        <w:snapToGrid w:val="0"/>
        <w:spacing w:line="360" w:lineRule="auto"/>
        <w:jc w:val="left"/>
        <w:rPr>
          <w:rFonts w:ascii="宋体" w:hAnsi="宋体"/>
          <w:color w:val="auto"/>
          <w:kern w:val="0"/>
          <w:sz w:val="20"/>
          <w:szCs w:val="20"/>
          <w:highlight w:val="none"/>
        </w:rPr>
      </w:pPr>
    </w:p>
    <w:p w14:paraId="2DEB99FE">
      <w:pPr>
        <w:pStyle w:val="4"/>
        <w:rPr>
          <w:rFonts w:ascii="宋体" w:hAnsi="宋体"/>
          <w:color w:val="auto"/>
          <w:kern w:val="0"/>
          <w:sz w:val="20"/>
          <w:szCs w:val="20"/>
          <w:highlight w:val="none"/>
        </w:rPr>
      </w:pPr>
    </w:p>
    <w:p w14:paraId="427F7453">
      <w:pPr>
        <w:rPr>
          <w:color w:val="auto"/>
          <w:highlight w:val="none"/>
        </w:rPr>
      </w:pPr>
    </w:p>
    <w:p w14:paraId="2E9E5FD5">
      <w:pPr>
        <w:autoSpaceDE w:val="0"/>
        <w:autoSpaceDN w:val="0"/>
        <w:adjustRightInd w:val="0"/>
        <w:snapToGrid w:val="0"/>
        <w:spacing w:line="360" w:lineRule="auto"/>
        <w:jc w:val="left"/>
        <w:rPr>
          <w:rFonts w:ascii="宋体" w:hAnsi="宋体"/>
          <w:color w:val="auto"/>
          <w:kern w:val="0"/>
          <w:sz w:val="20"/>
          <w:szCs w:val="20"/>
          <w:highlight w:val="none"/>
        </w:rPr>
      </w:pPr>
    </w:p>
    <w:p w14:paraId="0CCF3364">
      <w:pPr>
        <w:autoSpaceDE w:val="0"/>
        <w:autoSpaceDN w:val="0"/>
        <w:adjustRightInd w:val="0"/>
        <w:snapToGrid w:val="0"/>
        <w:spacing w:line="360" w:lineRule="auto"/>
        <w:jc w:val="left"/>
        <w:rPr>
          <w:rFonts w:ascii="宋体" w:hAnsi="宋体"/>
          <w:color w:val="auto"/>
          <w:kern w:val="0"/>
          <w:sz w:val="20"/>
          <w:szCs w:val="20"/>
          <w:highlight w:val="none"/>
        </w:rPr>
      </w:pPr>
    </w:p>
    <w:p w14:paraId="03F341F9">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竞争性比选</w:t>
      </w:r>
      <w:r>
        <w:rPr>
          <w:rFonts w:ascii="宋体" w:hAnsi="宋体"/>
          <w:color w:val="auto"/>
          <w:kern w:val="0"/>
          <w:sz w:val="72"/>
          <w:szCs w:val="72"/>
          <w:highlight w:val="none"/>
        </w:rPr>
        <w:t>文件</w:t>
      </w:r>
    </w:p>
    <w:p w14:paraId="26369B3D">
      <w:pPr>
        <w:autoSpaceDE w:val="0"/>
        <w:autoSpaceDN w:val="0"/>
        <w:adjustRightInd w:val="0"/>
        <w:snapToGrid w:val="0"/>
        <w:spacing w:line="360" w:lineRule="auto"/>
        <w:jc w:val="left"/>
        <w:rPr>
          <w:rFonts w:ascii="宋体" w:hAnsi="宋体"/>
          <w:color w:val="auto"/>
          <w:kern w:val="0"/>
          <w:sz w:val="10"/>
          <w:szCs w:val="10"/>
          <w:highlight w:val="none"/>
        </w:rPr>
      </w:pPr>
    </w:p>
    <w:p w14:paraId="17EE4C54">
      <w:pPr>
        <w:autoSpaceDE w:val="0"/>
        <w:autoSpaceDN w:val="0"/>
        <w:adjustRightInd w:val="0"/>
        <w:snapToGrid w:val="0"/>
        <w:spacing w:line="360" w:lineRule="auto"/>
        <w:jc w:val="left"/>
        <w:rPr>
          <w:rFonts w:ascii="宋体" w:hAnsi="宋体"/>
          <w:color w:val="auto"/>
          <w:kern w:val="0"/>
          <w:sz w:val="20"/>
          <w:szCs w:val="20"/>
          <w:highlight w:val="none"/>
        </w:rPr>
      </w:pPr>
    </w:p>
    <w:p w14:paraId="2BF2EBD6">
      <w:pPr>
        <w:autoSpaceDE w:val="0"/>
        <w:autoSpaceDN w:val="0"/>
        <w:adjustRightInd w:val="0"/>
        <w:snapToGrid w:val="0"/>
        <w:spacing w:line="360" w:lineRule="auto"/>
        <w:jc w:val="left"/>
        <w:rPr>
          <w:rFonts w:ascii="宋体" w:hAnsi="宋体"/>
          <w:color w:val="auto"/>
          <w:kern w:val="0"/>
          <w:sz w:val="20"/>
          <w:szCs w:val="20"/>
          <w:highlight w:val="none"/>
        </w:rPr>
      </w:pPr>
    </w:p>
    <w:p w14:paraId="214E48DC">
      <w:pPr>
        <w:autoSpaceDE w:val="0"/>
        <w:autoSpaceDN w:val="0"/>
        <w:adjustRightInd w:val="0"/>
        <w:snapToGrid w:val="0"/>
        <w:spacing w:line="360" w:lineRule="auto"/>
        <w:jc w:val="left"/>
        <w:rPr>
          <w:rFonts w:ascii="宋体" w:hAnsi="宋体"/>
          <w:color w:val="auto"/>
          <w:kern w:val="0"/>
          <w:sz w:val="20"/>
          <w:szCs w:val="20"/>
          <w:highlight w:val="none"/>
        </w:rPr>
      </w:pPr>
    </w:p>
    <w:p w14:paraId="534DEAC6">
      <w:pPr>
        <w:autoSpaceDE w:val="0"/>
        <w:autoSpaceDN w:val="0"/>
        <w:adjustRightInd w:val="0"/>
        <w:snapToGrid w:val="0"/>
        <w:spacing w:line="360" w:lineRule="auto"/>
        <w:jc w:val="left"/>
        <w:rPr>
          <w:rFonts w:ascii="宋体" w:hAnsi="宋体"/>
          <w:color w:val="auto"/>
          <w:kern w:val="0"/>
          <w:sz w:val="20"/>
          <w:szCs w:val="20"/>
          <w:highlight w:val="none"/>
        </w:rPr>
      </w:pPr>
    </w:p>
    <w:p w14:paraId="6F349960">
      <w:pPr>
        <w:autoSpaceDE w:val="0"/>
        <w:autoSpaceDN w:val="0"/>
        <w:adjustRightInd w:val="0"/>
        <w:snapToGrid w:val="0"/>
        <w:spacing w:line="360" w:lineRule="auto"/>
        <w:jc w:val="left"/>
        <w:rPr>
          <w:rFonts w:ascii="宋体" w:hAnsi="宋体"/>
          <w:color w:val="auto"/>
          <w:kern w:val="0"/>
          <w:sz w:val="20"/>
          <w:szCs w:val="20"/>
          <w:highlight w:val="none"/>
        </w:rPr>
      </w:pPr>
    </w:p>
    <w:p w14:paraId="4FECE3D9">
      <w:pPr>
        <w:autoSpaceDE w:val="0"/>
        <w:autoSpaceDN w:val="0"/>
        <w:adjustRightInd w:val="0"/>
        <w:snapToGrid w:val="0"/>
        <w:spacing w:line="360" w:lineRule="auto"/>
        <w:rPr>
          <w:rFonts w:ascii="宋体" w:hAnsi="宋体"/>
          <w:color w:val="auto"/>
          <w:kern w:val="0"/>
          <w:sz w:val="20"/>
          <w:szCs w:val="20"/>
          <w:highlight w:val="none"/>
        </w:rPr>
      </w:pPr>
    </w:p>
    <w:p w14:paraId="4DEDCBEE">
      <w:pPr>
        <w:autoSpaceDE w:val="0"/>
        <w:autoSpaceDN w:val="0"/>
        <w:adjustRightInd w:val="0"/>
        <w:snapToGrid w:val="0"/>
        <w:spacing w:line="360" w:lineRule="auto"/>
        <w:jc w:val="left"/>
        <w:rPr>
          <w:rFonts w:ascii="宋体" w:hAnsi="宋体"/>
          <w:color w:val="auto"/>
          <w:kern w:val="0"/>
          <w:sz w:val="20"/>
          <w:szCs w:val="20"/>
          <w:highlight w:val="none"/>
        </w:rPr>
      </w:pPr>
    </w:p>
    <w:p w14:paraId="36B549F8">
      <w:pPr>
        <w:autoSpaceDE w:val="0"/>
        <w:autoSpaceDN w:val="0"/>
        <w:adjustRightInd w:val="0"/>
        <w:snapToGrid w:val="0"/>
        <w:spacing w:line="360" w:lineRule="auto"/>
        <w:rPr>
          <w:rFonts w:ascii="宋体" w:hAnsi="宋体"/>
          <w:color w:val="auto"/>
          <w:kern w:val="0"/>
          <w:sz w:val="20"/>
          <w:szCs w:val="20"/>
          <w:highlight w:val="none"/>
        </w:rPr>
      </w:pPr>
    </w:p>
    <w:p w14:paraId="63E38722">
      <w:pPr>
        <w:autoSpaceDE w:val="0"/>
        <w:autoSpaceDN w:val="0"/>
        <w:adjustRightInd w:val="0"/>
        <w:snapToGrid w:val="0"/>
        <w:spacing w:line="360" w:lineRule="auto"/>
        <w:rPr>
          <w:rFonts w:ascii="宋体" w:hAnsi="宋体"/>
          <w:color w:val="auto"/>
          <w:kern w:val="0"/>
          <w:sz w:val="20"/>
          <w:szCs w:val="20"/>
          <w:highlight w:val="none"/>
        </w:rPr>
      </w:pPr>
    </w:p>
    <w:p w14:paraId="2AC40D9A">
      <w:pPr>
        <w:autoSpaceDE w:val="0"/>
        <w:autoSpaceDN w:val="0"/>
        <w:adjustRightInd w:val="0"/>
        <w:snapToGrid w:val="0"/>
        <w:spacing w:line="360" w:lineRule="auto"/>
        <w:rPr>
          <w:rFonts w:ascii="宋体" w:hAnsi="宋体"/>
          <w:color w:val="auto"/>
          <w:kern w:val="0"/>
          <w:sz w:val="20"/>
          <w:szCs w:val="20"/>
          <w:highlight w:val="none"/>
        </w:rPr>
      </w:pPr>
    </w:p>
    <w:p w14:paraId="3E4A9627">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w w:val="99"/>
          <w:kern w:val="0"/>
          <w:sz w:val="28"/>
          <w:szCs w:val="28"/>
          <w:highlight w:val="none"/>
        </w:rPr>
        <w:t>比选</w:t>
      </w:r>
      <w:r>
        <w:rPr>
          <w:rFonts w:ascii="宋体" w:hAnsi="宋体"/>
          <w:b/>
          <w:color w:val="auto"/>
          <w:w w:val="99"/>
          <w:kern w:val="0"/>
          <w:sz w:val="28"/>
          <w:szCs w:val="28"/>
          <w:highlight w:val="none"/>
        </w:rPr>
        <w:t>人：</w:t>
      </w:r>
      <w:r>
        <w:rPr>
          <w:rFonts w:hint="eastAsia" w:ascii="宋体" w:hAnsi="宋体"/>
          <w:b/>
          <w:color w:val="auto"/>
          <w:spacing w:val="8"/>
          <w:sz w:val="28"/>
          <w:highlight w:val="none"/>
          <w:u w:val="single"/>
          <w:lang w:eastAsia="zh-CN"/>
        </w:rPr>
        <w:t xml:space="preserve">重庆市江南城市建设发展（集团）有限公司 </w:t>
      </w:r>
      <w:r>
        <w:rPr>
          <w:rFonts w:ascii="宋体" w:hAnsi="宋体"/>
          <w:b/>
          <w:color w:val="auto"/>
          <w:w w:val="99"/>
          <w:kern w:val="0"/>
          <w:sz w:val="28"/>
          <w:szCs w:val="28"/>
          <w:highlight w:val="none"/>
        </w:rPr>
        <w:t>（盖单位法人章）</w:t>
      </w:r>
    </w:p>
    <w:p w14:paraId="4E6F1B67">
      <w:pPr>
        <w:pStyle w:val="18"/>
        <w:rPr>
          <w:color w:val="auto"/>
          <w:highlight w:val="none"/>
        </w:rPr>
      </w:pPr>
    </w:p>
    <w:p w14:paraId="177B11F7">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rPr>
        <w:t>比选</w:t>
      </w:r>
      <w:r>
        <w:rPr>
          <w:rFonts w:ascii="宋体" w:hAnsi="宋体"/>
          <w:b/>
          <w:color w:val="auto"/>
          <w:spacing w:val="8"/>
          <w:kern w:val="0"/>
          <w:sz w:val="28"/>
          <w:szCs w:val="28"/>
          <w:highlight w:val="none"/>
        </w:rPr>
        <w:t>代理机构：</w:t>
      </w:r>
      <w:r>
        <w:rPr>
          <w:rFonts w:hint="eastAsia"/>
          <w:b/>
          <w:bCs/>
          <w:color w:val="auto"/>
          <w:sz w:val="28"/>
          <w:szCs w:val="28"/>
          <w:highlight w:val="none"/>
          <w:u w:val="single"/>
          <w:lang w:eastAsia="zh-CN"/>
        </w:rPr>
        <w:t>天之瓴建设股份有限公司</w:t>
      </w:r>
      <w:r>
        <w:rPr>
          <w:rFonts w:ascii="宋体" w:hAnsi="宋体"/>
          <w:b/>
          <w:color w:val="auto"/>
          <w:w w:val="99"/>
          <w:kern w:val="0"/>
          <w:sz w:val="28"/>
          <w:szCs w:val="28"/>
          <w:highlight w:val="none"/>
        </w:rPr>
        <w:t>（盖单位法人章）</w:t>
      </w:r>
    </w:p>
    <w:p w14:paraId="676CF882">
      <w:pPr>
        <w:autoSpaceDE w:val="0"/>
        <w:autoSpaceDN w:val="0"/>
        <w:adjustRightInd w:val="0"/>
        <w:snapToGrid w:val="0"/>
        <w:spacing w:line="360" w:lineRule="auto"/>
        <w:rPr>
          <w:rFonts w:ascii="宋体" w:hAnsi="宋体"/>
          <w:b/>
          <w:color w:val="auto"/>
          <w:kern w:val="0"/>
          <w:sz w:val="28"/>
          <w:szCs w:val="28"/>
          <w:highlight w:val="none"/>
        </w:rPr>
      </w:pPr>
    </w:p>
    <w:p w14:paraId="5A8693E1">
      <w:pPr>
        <w:autoSpaceDE w:val="0"/>
        <w:autoSpaceDN w:val="0"/>
        <w:adjustRightInd w:val="0"/>
        <w:snapToGrid w:val="0"/>
        <w:spacing w:line="360" w:lineRule="auto"/>
        <w:rPr>
          <w:rFonts w:ascii="宋体" w:hAnsi="宋体"/>
          <w:b/>
          <w:color w:val="auto"/>
          <w:kern w:val="0"/>
          <w:sz w:val="20"/>
          <w:szCs w:val="20"/>
          <w:highlight w:val="none"/>
        </w:rPr>
      </w:pPr>
    </w:p>
    <w:p w14:paraId="77E3F3DB">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797277"/>
      <w:bookmarkStart w:id="2" w:name="_Toc536796736"/>
      <w:bookmarkStart w:id="3" w:name="_Toc536621766"/>
      <w:bookmarkStart w:id="4" w:name="_Toc509218549"/>
      <w:bookmarkStart w:id="5" w:name="_Toc13210649"/>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12</w:t>
      </w:r>
      <w:r>
        <w:rPr>
          <w:rFonts w:ascii="宋体" w:hAnsi="宋体"/>
          <w:b/>
          <w:color w:val="auto"/>
          <w:spacing w:val="8"/>
          <w:kern w:val="0"/>
          <w:sz w:val="28"/>
          <w:szCs w:val="28"/>
          <w:highlight w:val="none"/>
        </w:rPr>
        <w:t>月</w:t>
      </w:r>
      <w:bookmarkEnd w:id="1"/>
      <w:bookmarkEnd w:id="2"/>
      <w:bookmarkEnd w:id="3"/>
      <w:bookmarkEnd w:id="4"/>
      <w:bookmarkEnd w:id="5"/>
    </w:p>
    <w:p w14:paraId="7F0EFF95">
      <w:pPr>
        <w:pStyle w:val="2"/>
        <w:spacing w:line="360" w:lineRule="auto"/>
        <w:jc w:val="center"/>
        <w:rPr>
          <w:rFonts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7D6FEE09">
      <w:pPr>
        <w:pStyle w:val="131"/>
        <w:jc w:val="center"/>
        <w:rPr>
          <w:rFonts w:ascii="宋体" w:hAnsi="宋体"/>
          <w:color w:val="auto"/>
          <w:sz w:val="44"/>
          <w:szCs w:val="44"/>
          <w:highlight w:val="none"/>
        </w:rPr>
      </w:pPr>
      <w:bookmarkStart w:id="6" w:name="_Toc28843"/>
      <w:bookmarkStart w:id="7"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1D84D3BA">
      <w:pPr>
        <w:pStyle w:val="32"/>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_Toc11755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highlight w:val="none"/>
        </w:rPr>
        <w:fldChar w:fldCharType="end"/>
      </w:r>
    </w:p>
    <w:p w14:paraId="6A13B729">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_Toc6051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r>
        <w:rPr>
          <w:color w:val="auto"/>
          <w:highlight w:val="none"/>
        </w:rPr>
        <w:tab/>
      </w:r>
      <w:r>
        <w:rPr>
          <w:color w:val="auto"/>
          <w:highlight w:val="none"/>
        </w:rPr>
        <w:fldChar w:fldCharType="begin"/>
      </w:r>
      <w:r>
        <w:rPr>
          <w:color w:val="auto"/>
          <w:highlight w:val="none"/>
        </w:rPr>
        <w:instrText xml:space="preserve"> PAGEREF _Toc6051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553896DE">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_Toc25664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rPr>
        <w:t xml:space="preserve"> 比选</w:t>
      </w:r>
      <w:r>
        <w:rPr>
          <w:rFonts w:ascii="宋体" w:hAnsi="宋体"/>
          <w:snapToGrid w:val="0"/>
          <w:color w:val="auto"/>
          <w:szCs w:val="28"/>
          <w:highlight w:val="none"/>
        </w:rPr>
        <w:t>条件</w:t>
      </w:r>
      <w:r>
        <w:rPr>
          <w:color w:val="auto"/>
          <w:highlight w:val="none"/>
        </w:rPr>
        <w:tab/>
      </w:r>
      <w:r>
        <w:rPr>
          <w:color w:val="auto"/>
          <w:highlight w:val="none"/>
        </w:rPr>
        <w:fldChar w:fldCharType="begin"/>
      </w:r>
      <w:r>
        <w:rPr>
          <w:color w:val="auto"/>
          <w:highlight w:val="none"/>
        </w:rPr>
        <w:instrText xml:space="preserve"> PAGEREF _Toc25664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5CE958EE">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_Toc18954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2.</w:t>
      </w:r>
      <w:r>
        <w:rPr>
          <w:rFonts w:hint="eastAsia" w:ascii="宋体" w:hAnsi="宋体"/>
          <w:snapToGrid w:val="0"/>
          <w:color w:val="auto"/>
          <w:szCs w:val="28"/>
          <w:highlight w:val="none"/>
        </w:rPr>
        <w:t xml:space="preserve"> </w:t>
      </w:r>
      <w:r>
        <w:rPr>
          <w:rFonts w:ascii="宋体" w:hAnsi="宋体"/>
          <w:snapToGrid w:val="0"/>
          <w:color w:val="auto"/>
          <w:szCs w:val="28"/>
          <w:highlight w:val="none"/>
        </w:rPr>
        <w:t xml:space="preserve"> 项目概况与</w:t>
      </w:r>
      <w:r>
        <w:rPr>
          <w:rFonts w:hint="eastAsia" w:ascii="宋体" w:hAnsi="宋体"/>
          <w:snapToGrid w:val="0"/>
          <w:color w:val="auto"/>
          <w:szCs w:val="28"/>
          <w:highlight w:val="none"/>
        </w:rPr>
        <w:t>比选</w:t>
      </w:r>
      <w:r>
        <w:rPr>
          <w:rFonts w:ascii="宋体" w:hAnsi="宋体"/>
          <w:snapToGrid w:val="0"/>
          <w:color w:val="auto"/>
          <w:szCs w:val="28"/>
          <w:highlight w:val="none"/>
        </w:rPr>
        <w:t>范围</w:t>
      </w:r>
      <w:r>
        <w:rPr>
          <w:color w:val="auto"/>
          <w:highlight w:val="none"/>
        </w:rPr>
        <w:tab/>
      </w:r>
      <w:r>
        <w:rPr>
          <w:color w:val="auto"/>
          <w:highlight w:val="none"/>
        </w:rPr>
        <w:fldChar w:fldCharType="begin"/>
      </w:r>
      <w:r>
        <w:rPr>
          <w:color w:val="auto"/>
          <w:highlight w:val="none"/>
        </w:rPr>
        <w:instrText xml:space="preserve"> PAGEREF _Toc18954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23CABEE9">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_Toc15101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3. </w:t>
      </w:r>
      <w:r>
        <w:rPr>
          <w:rFonts w:hint="eastAsia" w:ascii="宋体" w:hAnsi="宋体"/>
          <w:snapToGrid w:val="0"/>
          <w:color w:val="auto"/>
          <w:szCs w:val="28"/>
          <w:highlight w:val="none"/>
        </w:rPr>
        <w:t xml:space="preserve"> 竞标</w:t>
      </w:r>
      <w:r>
        <w:rPr>
          <w:rFonts w:ascii="宋体" w:hAnsi="宋体"/>
          <w:snapToGrid w:val="0"/>
          <w:color w:val="auto"/>
          <w:szCs w:val="28"/>
          <w:highlight w:val="none"/>
        </w:rPr>
        <w:t>人资格要求</w:t>
      </w:r>
      <w:r>
        <w:rPr>
          <w:color w:val="auto"/>
          <w:highlight w:val="none"/>
        </w:rPr>
        <w:tab/>
      </w:r>
      <w:r>
        <w:rPr>
          <w:color w:val="auto"/>
          <w:highlight w:val="none"/>
        </w:rPr>
        <w:fldChar w:fldCharType="begin"/>
      </w:r>
      <w:r>
        <w:rPr>
          <w:color w:val="auto"/>
          <w:highlight w:val="none"/>
        </w:rPr>
        <w:instrText xml:space="preserve"> PAGEREF _Toc15101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500ED71F">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_Toc12705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4. </w:t>
      </w:r>
      <w:r>
        <w:rPr>
          <w:rFonts w:hint="eastAsia" w:ascii="宋体" w:hAnsi="宋体"/>
          <w:snapToGrid w:val="0"/>
          <w:color w:val="auto"/>
          <w:szCs w:val="28"/>
          <w:highlight w:val="none"/>
        </w:rPr>
        <w:t xml:space="preserve"> 竞争性比选文件</w:t>
      </w:r>
      <w:r>
        <w:rPr>
          <w:rFonts w:ascii="宋体" w:hAnsi="宋体"/>
          <w:snapToGrid w:val="0"/>
          <w:color w:val="auto"/>
          <w:szCs w:val="28"/>
          <w:highlight w:val="none"/>
        </w:rPr>
        <w:t>的获取</w:t>
      </w:r>
      <w:r>
        <w:rPr>
          <w:color w:val="auto"/>
          <w:highlight w:val="none"/>
        </w:rPr>
        <w:tab/>
      </w:r>
      <w:r>
        <w:rPr>
          <w:color w:val="auto"/>
          <w:highlight w:val="none"/>
        </w:rPr>
        <w:fldChar w:fldCharType="begin"/>
      </w:r>
      <w:r>
        <w:rPr>
          <w:color w:val="auto"/>
          <w:highlight w:val="none"/>
        </w:rPr>
        <w:instrText xml:space="preserve"> PAGEREF _Toc12705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4DEDCFC3">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_Toc8176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5. </w:t>
      </w:r>
      <w:r>
        <w:rPr>
          <w:rFonts w:hint="eastAsia" w:ascii="宋体" w:hAnsi="宋体"/>
          <w:snapToGrid w:val="0"/>
          <w:color w:val="auto"/>
          <w:szCs w:val="28"/>
          <w:highlight w:val="none"/>
        </w:rPr>
        <w:t xml:space="preserve"> 竞标</w:t>
      </w:r>
      <w:r>
        <w:rPr>
          <w:rFonts w:ascii="宋体" w:hAnsi="宋体"/>
          <w:snapToGrid w:val="0"/>
          <w:color w:val="auto"/>
          <w:szCs w:val="28"/>
          <w:highlight w:val="none"/>
        </w:rPr>
        <w:t>文件的递交</w:t>
      </w:r>
      <w:r>
        <w:rPr>
          <w:color w:val="auto"/>
          <w:highlight w:val="none"/>
        </w:rPr>
        <w:tab/>
      </w:r>
      <w:r>
        <w:rPr>
          <w:color w:val="auto"/>
          <w:highlight w:val="none"/>
        </w:rPr>
        <w:fldChar w:fldCharType="begin"/>
      </w:r>
      <w:r>
        <w:rPr>
          <w:color w:val="auto"/>
          <w:highlight w:val="none"/>
        </w:rPr>
        <w:instrText xml:space="preserve"> PAGEREF _Toc8176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color w:val="auto"/>
          <w:szCs w:val="20"/>
          <w:highlight w:val="none"/>
          <w:lang w:val="zh-CN"/>
        </w:rPr>
        <w:fldChar w:fldCharType="end"/>
      </w:r>
    </w:p>
    <w:p w14:paraId="5A2A11D3">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_Toc4671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6. </w:t>
      </w:r>
      <w:r>
        <w:rPr>
          <w:rFonts w:hint="eastAsia" w:ascii="宋体" w:hAnsi="宋体"/>
          <w:snapToGrid w:val="0"/>
          <w:color w:val="auto"/>
          <w:szCs w:val="28"/>
          <w:highlight w:val="none"/>
        </w:rPr>
        <w:t xml:space="preserve"> </w:t>
      </w:r>
      <w:r>
        <w:rPr>
          <w:rFonts w:ascii="宋体" w:hAns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_Toc4671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color w:val="auto"/>
          <w:szCs w:val="20"/>
          <w:highlight w:val="none"/>
          <w:lang w:val="zh-CN"/>
        </w:rPr>
        <w:fldChar w:fldCharType="end"/>
      </w:r>
    </w:p>
    <w:p w14:paraId="49AC1102">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_Toc10191 </w:instrText>
      </w:r>
      <w:r>
        <w:rPr>
          <w:rFonts w:ascii="宋体" w:hAnsi="宋体"/>
          <w:bCs/>
          <w:color w:val="auto"/>
          <w:szCs w:val="20"/>
          <w:highlight w:val="none"/>
          <w:lang w:val="zh-CN"/>
        </w:rPr>
        <w:fldChar w:fldCharType="separate"/>
      </w:r>
      <w:r>
        <w:rPr>
          <w:rFonts w:hint="eastAsia" w:ascii="宋体" w:hAnsi="宋体"/>
          <w:snapToGrid w:val="0"/>
          <w:color w:val="auto"/>
          <w:szCs w:val="28"/>
          <w:highlight w:val="none"/>
        </w:rPr>
        <w:t>7</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_Toc10191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color w:val="auto"/>
          <w:szCs w:val="20"/>
          <w:highlight w:val="none"/>
          <w:lang w:val="zh-CN"/>
        </w:rPr>
        <w:fldChar w:fldCharType="end"/>
      </w:r>
    </w:p>
    <w:p w14:paraId="45B6B2EF">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_Toc29973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_Toc29973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34977F5B">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_Toc10513 </w:instrText>
      </w:r>
      <w:r>
        <w:rPr>
          <w:rFonts w:ascii="宋体" w:hAnsi="宋体"/>
          <w:bCs/>
          <w:color w:val="auto"/>
          <w:szCs w:val="20"/>
          <w:highlight w:val="none"/>
          <w:lang w:val="zh-CN"/>
        </w:rPr>
        <w:fldChar w:fldCharType="separate"/>
      </w:r>
      <w:r>
        <w:rPr>
          <w:rFonts w:hint="eastAsia" w:ascii="宋体" w:hAnsi="宋体"/>
          <w:color w:val="auto"/>
          <w:highlight w:val="none"/>
        </w:rPr>
        <w:t>竞标人须知前附表</w:t>
      </w:r>
      <w:r>
        <w:rPr>
          <w:color w:val="auto"/>
          <w:highlight w:val="none"/>
        </w:rPr>
        <w:tab/>
      </w:r>
      <w:r>
        <w:rPr>
          <w:color w:val="auto"/>
          <w:highlight w:val="none"/>
        </w:rPr>
        <w:fldChar w:fldCharType="begin"/>
      </w:r>
      <w:r>
        <w:rPr>
          <w:color w:val="auto"/>
          <w:highlight w:val="none"/>
        </w:rPr>
        <w:instrText xml:space="preserve"> PAGEREF _Toc10513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2268256E">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_Toc10400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_Toc10400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53D00FA8">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_Toc19098 </w:instrText>
      </w:r>
      <w:r>
        <w:rPr>
          <w:rFonts w:ascii="宋体" w:hAnsi="宋体"/>
          <w:bCs/>
          <w:color w:val="auto"/>
          <w:szCs w:val="20"/>
          <w:highlight w:val="none"/>
          <w:lang w:val="zh-CN"/>
        </w:rPr>
        <w:fldChar w:fldCharType="separate"/>
      </w:r>
      <w:r>
        <w:rPr>
          <w:rFonts w:hint="eastAsia" w:ascii="宋体" w:hAnsi="宋体"/>
          <w:color w:val="auto"/>
          <w:szCs w:val="32"/>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_Toc19098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027F04F9">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_Toc26919 </w:instrText>
      </w:r>
      <w:r>
        <w:rPr>
          <w:rFonts w:ascii="宋体" w:hAnsi="宋体"/>
          <w:bCs/>
          <w:color w:val="auto"/>
          <w:szCs w:val="20"/>
          <w:highlight w:val="none"/>
          <w:lang w:val="zh-CN"/>
        </w:rPr>
        <w:fldChar w:fldCharType="separate"/>
      </w:r>
      <w:r>
        <w:rPr>
          <w:rFonts w:asci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_Toc26919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070DAA77">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_Toc3262 </w:instrText>
      </w:r>
      <w:r>
        <w:rPr>
          <w:rFonts w:ascii="宋体" w:hAnsi="宋体"/>
          <w:bCs/>
          <w:color w:val="auto"/>
          <w:szCs w:val="20"/>
          <w:highlight w:val="none"/>
          <w:lang w:val="zh-CN"/>
        </w:rPr>
        <w:fldChar w:fldCharType="separate"/>
      </w:r>
      <w:r>
        <w:rPr>
          <w:rFonts w:asci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_Toc3262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7B5DDD10">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_Toc15920 </w:instrText>
      </w:r>
      <w:r>
        <w:rPr>
          <w:rFonts w:ascii="宋体" w:hAnsi="宋体"/>
          <w:bCs/>
          <w:color w:val="auto"/>
          <w:szCs w:val="20"/>
          <w:highlight w:val="none"/>
          <w:lang w:val="zh-CN"/>
        </w:rPr>
        <w:fldChar w:fldCharType="separate"/>
      </w:r>
      <w:r>
        <w:rPr>
          <w:rFonts w:asci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_Toc15920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11479000">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_Toc18279 </w:instrText>
      </w:r>
      <w:r>
        <w:rPr>
          <w:rFonts w:ascii="宋体" w:hAnsi="宋体"/>
          <w:bCs/>
          <w:color w:val="auto"/>
          <w:szCs w:val="20"/>
          <w:highlight w:val="none"/>
          <w:lang w:val="zh-CN"/>
        </w:rPr>
        <w:fldChar w:fldCharType="separate"/>
      </w:r>
      <w:r>
        <w:rPr>
          <w:rFonts w:ascii="宋体"/>
          <w:snapToGrid w:val="0"/>
          <w:color w:val="auto"/>
          <w:szCs w:val="24"/>
          <w:highlight w:val="none"/>
        </w:rPr>
        <w:t>2.2  分值构成与</w:t>
      </w:r>
      <w:r>
        <w:rPr>
          <w:rFonts w:hint="eastAsia" w:ascii="宋体"/>
          <w:snapToGrid w:val="0"/>
          <w:color w:val="auto"/>
          <w:szCs w:val="24"/>
          <w:highlight w:val="none"/>
        </w:rPr>
        <w:t>评审</w:t>
      </w:r>
      <w:r>
        <w:rPr>
          <w:rFonts w:ascii="宋体"/>
          <w:snapToGrid w:val="0"/>
          <w:color w:val="auto"/>
          <w:szCs w:val="24"/>
          <w:highlight w:val="none"/>
        </w:rPr>
        <w:t>标准</w:t>
      </w:r>
      <w:r>
        <w:rPr>
          <w:color w:val="auto"/>
          <w:highlight w:val="none"/>
        </w:rPr>
        <w:tab/>
      </w:r>
      <w:r>
        <w:rPr>
          <w:color w:val="auto"/>
          <w:highlight w:val="none"/>
        </w:rPr>
        <w:fldChar w:fldCharType="begin"/>
      </w:r>
      <w:r>
        <w:rPr>
          <w:color w:val="auto"/>
          <w:highlight w:val="none"/>
        </w:rPr>
        <w:instrText xml:space="preserve"> PAGEREF _Toc18279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74954578">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_Toc15502 </w:instrText>
      </w:r>
      <w:r>
        <w:rPr>
          <w:rFonts w:ascii="宋体" w:hAnsi="宋体"/>
          <w:bCs/>
          <w:color w:val="auto"/>
          <w:szCs w:val="20"/>
          <w:highlight w:val="none"/>
          <w:lang w:val="zh-CN"/>
        </w:rPr>
        <w:fldChar w:fldCharType="separate"/>
      </w:r>
      <w:r>
        <w:rPr>
          <w:rFonts w:asci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_Toc15502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5F2A971B">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_Toc11875 </w:instrText>
      </w:r>
      <w:r>
        <w:rPr>
          <w:rFonts w:ascii="宋体" w:hAnsi="宋体"/>
          <w:bCs/>
          <w:color w:val="auto"/>
          <w:szCs w:val="20"/>
          <w:highlight w:val="none"/>
          <w:lang w:val="zh-CN"/>
        </w:rPr>
        <w:fldChar w:fldCharType="separate"/>
      </w:r>
      <w:r>
        <w:rPr>
          <w:rFonts w:asci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_Toc11875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14:paraId="3CDCB78A">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_Toc6650 </w:instrText>
      </w:r>
      <w:r>
        <w:rPr>
          <w:rFonts w:ascii="宋体" w:hAnsi="宋体"/>
          <w:bCs/>
          <w:color w:val="auto"/>
          <w:szCs w:val="20"/>
          <w:highlight w:val="none"/>
          <w:lang w:val="zh-CN"/>
        </w:rPr>
        <w:fldChar w:fldCharType="separate"/>
      </w:r>
      <w:r>
        <w:rPr>
          <w:rFonts w:asci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_Toc6650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235873C7">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_Toc13602 </w:instrText>
      </w:r>
      <w:r>
        <w:rPr>
          <w:rFonts w:ascii="宋体" w:hAnsi="宋体"/>
          <w:bCs/>
          <w:color w:val="auto"/>
          <w:szCs w:val="20"/>
          <w:highlight w:val="none"/>
          <w:lang w:val="zh-CN"/>
        </w:rPr>
        <w:fldChar w:fldCharType="separate"/>
      </w:r>
      <w:r>
        <w:rPr>
          <w:rFonts w:ascii="宋体"/>
          <w:snapToGrid w:val="0"/>
          <w:color w:val="auto"/>
          <w:szCs w:val="24"/>
          <w:highlight w:val="none"/>
        </w:rPr>
        <w:t xml:space="preserve">3.3  </w:t>
      </w:r>
      <w:r>
        <w:rPr>
          <w:rFonts w:hint="eastAsia" w:ascii="宋体"/>
          <w:snapToGrid w:val="0"/>
          <w:color w:val="auto"/>
          <w:szCs w:val="24"/>
          <w:highlight w:val="none"/>
          <w:lang w:eastAsia="zh-CN"/>
        </w:rPr>
        <w:t>竞标</w:t>
      </w:r>
      <w:r>
        <w:rPr>
          <w:rFonts w:ascii="宋体"/>
          <w:snapToGrid w:val="0"/>
          <w:color w:val="auto"/>
          <w:szCs w:val="24"/>
          <w:highlight w:val="none"/>
        </w:rPr>
        <w:t>文件的澄清</w:t>
      </w:r>
      <w:r>
        <w:rPr>
          <w:color w:val="auto"/>
          <w:highlight w:val="none"/>
        </w:rPr>
        <w:tab/>
      </w:r>
      <w:r>
        <w:rPr>
          <w:color w:val="auto"/>
          <w:highlight w:val="none"/>
        </w:rPr>
        <w:fldChar w:fldCharType="begin"/>
      </w:r>
      <w:r>
        <w:rPr>
          <w:color w:val="auto"/>
          <w:highlight w:val="none"/>
        </w:rPr>
        <w:instrText xml:space="preserve"> PAGEREF _Toc13602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373BE849">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_Toc9811 </w:instrText>
      </w:r>
      <w:r>
        <w:rPr>
          <w:rFonts w:ascii="宋体" w:hAnsi="宋体"/>
          <w:bCs/>
          <w:color w:val="auto"/>
          <w:szCs w:val="20"/>
          <w:highlight w:val="none"/>
          <w:lang w:val="zh-CN"/>
        </w:rPr>
        <w:fldChar w:fldCharType="separate"/>
      </w:r>
      <w:r>
        <w:rPr>
          <w:rFonts w:asci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_Toc9811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14:paraId="76FE802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_Toc13682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_Toc13682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14:paraId="36FA84A8">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_Toc8183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_Toc8183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color w:val="auto"/>
          <w:szCs w:val="20"/>
          <w:highlight w:val="none"/>
          <w:lang w:val="zh-CN"/>
        </w:rPr>
        <w:fldChar w:fldCharType="end"/>
      </w:r>
    </w:p>
    <w:p w14:paraId="5A0F3E32">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_Toc6385 </w:instrText>
      </w:r>
      <w:r>
        <w:rPr>
          <w:rFonts w:ascii="宋体" w:hAnsi="宋体"/>
          <w:bCs/>
          <w:color w:val="auto"/>
          <w:szCs w:val="20"/>
          <w:highlight w:val="none"/>
          <w:lang w:val="zh-CN"/>
        </w:rPr>
        <w:fldChar w:fldCharType="separate"/>
      </w:r>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章  发包人要求</w:t>
      </w:r>
      <w:r>
        <w:rPr>
          <w:color w:val="auto"/>
          <w:highlight w:val="none"/>
        </w:rPr>
        <w:tab/>
      </w:r>
      <w:r>
        <w:rPr>
          <w:color w:val="auto"/>
          <w:highlight w:val="none"/>
        </w:rPr>
        <w:fldChar w:fldCharType="begin"/>
      </w:r>
      <w:r>
        <w:rPr>
          <w:color w:val="auto"/>
          <w:highlight w:val="none"/>
        </w:rPr>
        <w:instrText xml:space="preserve"> PAGEREF _Toc6385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14:paraId="6D9B5835">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_Toc17367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_Toc17367 \h </w:instrText>
      </w:r>
      <w:r>
        <w:rPr>
          <w:color w:val="auto"/>
          <w:highlight w:val="none"/>
        </w:rPr>
        <w:fldChar w:fldCharType="separate"/>
      </w:r>
      <w:r>
        <w:rPr>
          <w:color w:val="auto"/>
          <w:highlight w:val="none"/>
        </w:rPr>
        <w:t>40</w:t>
      </w:r>
      <w:r>
        <w:rPr>
          <w:color w:val="auto"/>
          <w:highlight w:val="none"/>
        </w:rPr>
        <w:fldChar w:fldCharType="end"/>
      </w:r>
      <w:r>
        <w:rPr>
          <w:rFonts w:ascii="宋体" w:hAnsi="宋体"/>
          <w:bCs/>
          <w:color w:val="auto"/>
          <w:szCs w:val="20"/>
          <w:highlight w:val="none"/>
          <w:lang w:val="zh-CN"/>
        </w:rPr>
        <w:fldChar w:fldCharType="end"/>
      </w:r>
    </w:p>
    <w:p w14:paraId="42C8AA46">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_Toc855 </w:instrText>
      </w:r>
      <w:r>
        <w:rPr>
          <w:rFonts w:ascii="宋体" w:hAnsi="宋体"/>
          <w:bCs/>
          <w:color w:val="auto"/>
          <w:szCs w:val="20"/>
          <w:highlight w:val="none"/>
          <w:lang w:val="zh-CN"/>
        </w:rPr>
        <w:fldChar w:fldCharType="separate"/>
      </w:r>
      <w:r>
        <w:rPr>
          <w:rFonts w:hint="eastAsia" w:ascii="宋体" w:hAnsi="宋体"/>
          <w:color w:val="auto"/>
          <w:highlight w:val="none"/>
        </w:rPr>
        <w:t>第六章  竞标文件格式</w:t>
      </w:r>
      <w:r>
        <w:rPr>
          <w:color w:val="auto"/>
          <w:highlight w:val="none"/>
        </w:rPr>
        <w:tab/>
      </w:r>
      <w:r>
        <w:rPr>
          <w:color w:val="auto"/>
          <w:highlight w:val="none"/>
        </w:rPr>
        <w:fldChar w:fldCharType="begin"/>
      </w:r>
      <w:r>
        <w:rPr>
          <w:color w:val="auto"/>
          <w:highlight w:val="none"/>
        </w:rPr>
        <w:instrText xml:space="preserve"> PAGEREF _Toc855 \h </w:instrText>
      </w:r>
      <w:r>
        <w:rPr>
          <w:color w:val="auto"/>
          <w:highlight w:val="none"/>
        </w:rPr>
        <w:fldChar w:fldCharType="separate"/>
      </w:r>
      <w:r>
        <w:rPr>
          <w:color w:val="auto"/>
          <w:highlight w:val="none"/>
        </w:rPr>
        <w:t>41</w:t>
      </w:r>
      <w:r>
        <w:rPr>
          <w:color w:val="auto"/>
          <w:highlight w:val="none"/>
        </w:rPr>
        <w:fldChar w:fldCharType="end"/>
      </w:r>
      <w:r>
        <w:rPr>
          <w:rFonts w:ascii="宋体" w:hAnsi="宋体"/>
          <w:bCs/>
          <w:color w:val="auto"/>
          <w:szCs w:val="20"/>
          <w:highlight w:val="none"/>
          <w:lang w:val="zh-CN"/>
        </w:rPr>
        <w:fldChar w:fldCharType="end"/>
      </w:r>
    </w:p>
    <w:p w14:paraId="189FBD83">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_Toc16177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rPr>
        <w:t>一、竞标函部分</w:t>
      </w:r>
      <w:r>
        <w:rPr>
          <w:color w:val="auto"/>
          <w:highlight w:val="none"/>
        </w:rPr>
        <w:tab/>
      </w:r>
      <w:r>
        <w:rPr>
          <w:color w:val="auto"/>
          <w:highlight w:val="none"/>
        </w:rPr>
        <w:fldChar w:fldCharType="begin"/>
      </w:r>
      <w:r>
        <w:rPr>
          <w:color w:val="auto"/>
          <w:highlight w:val="none"/>
        </w:rPr>
        <w:instrText xml:space="preserve"> PAGEREF _Toc16177 \h </w:instrText>
      </w:r>
      <w:r>
        <w:rPr>
          <w:color w:val="auto"/>
          <w:highlight w:val="none"/>
        </w:rPr>
        <w:fldChar w:fldCharType="separate"/>
      </w:r>
      <w:r>
        <w:rPr>
          <w:color w:val="auto"/>
          <w:highlight w:val="none"/>
        </w:rPr>
        <w:t>43</w:t>
      </w:r>
      <w:r>
        <w:rPr>
          <w:color w:val="auto"/>
          <w:highlight w:val="none"/>
        </w:rPr>
        <w:fldChar w:fldCharType="end"/>
      </w:r>
      <w:r>
        <w:rPr>
          <w:rFonts w:ascii="宋体" w:hAnsi="宋体"/>
          <w:bCs/>
          <w:color w:val="auto"/>
          <w:szCs w:val="20"/>
          <w:highlight w:val="none"/>
          <w:lang w:val="zh-CN"/>
        </w:rPr>
        <w:fldChar w:fldCharType="end"/>
      </w:r>
    </w:p>
    <w:p w14:paraId="4DE154D5">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_Toc11204 </w:instrText>
      </w:r>
      <w:r>
        <w:rPr>
          <w:rFonts w:ascii="宋体" w:hAnsi="宋体"/>
          <w:bCs/>
          <w:color w:val="auto"/>
          <w:szCs w:val="20"/>
          <w:highlight w:val="none"/>
          <w:lang w:val="zh-CN"/>
        </w:rPr>
        <w:fldChar w:fldCharType="separate"/>
      </w:r>
      <w:r>
        <w:rPr>
          <w:rFonts w:hint="eastAsia"/>
          <w:color w:val="auto"/>
          <w:highlight w:val="none"/>
        </w:rPr>
        <w:t>（一）竞标函</w:t>
      </w:r>
      <w:r>
        <w:rPr>
          <w:color w:val="auto"/>
          <w:highlight w:val="none"/>
        </w:rPr>
        <w:tab/>
      </w:r>
      <w:r>
        <w:rPr>
          <w:color w:val="auto"/>
          <w:highlight w:val="none"/>
        </w:rPr>
        <w:fldChar w:fldCharType="begin"/>
      </w:r>
      <w:r>
        <w:rPr>
          <w:color w:val="auto"/>
          <w:highlight w:val="none"/>
        </w:rPr>
        <w:instrText xml:space="preserve"> PAGEREF _Toc11204 \h </w:instrText>
      </w:r>
      <w:r>
        <w:rPr>
          <w:color w:val="auto"/>
          <w:highlight w:val="none"/>
        </w:rPr>
        <w:fldChar w:fldCharType="separate"/>
      </w:r>
      <w:r>
        <w:rPr>
          <w:color w:val="auto"/>
          <w:highlight w:val="none"/>
        </w:rPr>
        <w:t>46</w:t>
      </w:r>
      <w:r>
        <w:rPr>
          <w:color w:val="auto"/>
          <w:highlight w:val="none"/>
        </w:rPr>
        <w:fldChar w:fldCharType="end"/>
      </w:r>
      <w:r>
        <w:rPr>
          <w:rFonts w:ascii="宋体" w:hAnsi="宋体"/>
          <w:bCs/>
          <w:color w:val="auto"/>
          <w:szCs w:val="20"/>
          <w:highlight w:val="none"/>
          <w:lang w:val="zh-CN"/>
        </w:rPr>
        <w:fldChar w:fldCharType="end"/>
      </w:r>
    </w:p>
    <w:p w14:paraId="4117152A">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_Toc6167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rPr>
        <w:t>二、技术部分</w:t>
      </w:r>
      <w:r>
        <w:rPr>
          <w:color w:val="auto"/>
          <w:highlight w:val="none"/>
        </w:rPr>
        <w:tab/>
      </w:r>
      <w:r>
        <w:rPr>
          <w:color w:val="auto"/>
          <w:highlight w:val="none"/>
        </w:rPr>
        <w:fldChar w:fldCharType="begin"/>
      </w:r>
      <w:r>
        <w:rPr>
          <w:color w:val="auto"/>
          <w:highlight w:val="none"/>
        </w:rPr>
        <w:instrText xml:space="preserve"> PAGEREF _Toc6167 \h </w:instrText>
      </w:r>
      <w:r>
        <w:rPr>
          <w:color w:val="auto"/>
          <w:highlight w:val="none"/>
        </w:rPr>
        <w:fldChar w:fldCharType="separate"/>
      </w:r>
      <w:r>
        <w:rPr>
          <w:color w:val="auto"/>
          <w:highlight w:val="none"/>
        </w:rPr>
        <w:t>49</w:t>
      </w:r>
      <w:r>
        <w:rPr>
          <w:color w:val="auto"/>
          <w:highlight w:val="none"/>
        </w:rPr>
        <w:fldChar w:fldCharType="end"/>
      </w:r>
      <w:r>
        <w:rPr>
          <w:rFonts w:ascii="宋体" w:hAnsi="宋体"/>
          <w:bCs/>
          <w:color w:val="auto"/>
          <w:szCs w:val="20"/>
          <w:highlight w:val="none"/>
          <w:lang w:val="zh-CN"/>
        </w:rPr>
        <w:fldChar w:fldCharType="end"/>
      </w:r>
    </w:p>
    <w:p w14:paraId="21BDB03C">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_Toc17837 </w:instrText>
      </w:r>
      <w:r>
        <w:rPr>
          <w:rFonts w:ascii="宋体" w:hAnsi="宋体"/>
          <w:bCs/>
          <w:color w:val="auto"/>
          <w:szCs w:val="20"/>
          <w:highlight w:val="none"/>
          <w:lang w:val="zh-CN"/>
        </w:rPr>
        <w:fldChar w:fldCharType="separate"/>
      </w:r>
      <w:r>
        <w:rPr>
          <w:rFonts w:hint="eastAsia"/>
          <w:color w:val="auto"/>
          <w:highlight w:val="none"/>
        </w:rPr>
        <w:t>（一）技术方案</w:t>
      </w:r>
      <w:r>
        <w:rPr>
          <w:color w:val="auto"/>
          <w:highlight w:val="none"/>
        </w:rPr>
        <w:tab/>
      </w:r>
      <w:r>
        <w:rPr>
          <w:color w:val="auto"/>
          <w:highlight w:val="none"/>
        </w:rPr>
        <w:fldChar w:fldCharType="begin"/>
      </w:r>
      <w:r>
        <w:rPr>
          <w:color w:val="auto"/>
          <w:highlight w:val="none"/>
        </w:rPr>
        <w:instrText xml:space="preserve"> PAGEREF _Toc17837 \h </w:instrText>
      </w:r>
      <w:r>
        <w:rPr>
          <w:color w:val="auto"/>
          <w:highlight w:val="none"/>
        </w:rPr>
        <w:fldChar w:fldCharType="separate"/>
      </w:r>
      <w:r>
        <w:rPr>
          <w:color w:val="auto"/>
          <w:highlight w:val="none"/>
        </w:rPr>
        <w:t>52</w:t>
      </w:r>
      <w:r>
        <w:rPr>
          <w:color w:val="auto"/>
          <w:highlight w:val="none"/>
        </w:rPr>
        <w:fldChar w:fldCharType="end"/>
      </w:r>
      <w:r>
        <w:rPr>
          <w:rFonts w:ascii="宋体" w:hAnsi="宋体"/>
          <w:bCs/>
          <w:color w:val="auto"/>
          <w:szCs w:val="20"/>
          <w:highlight w:val="none"/>
          <w:lang w:val="zh-CN"/>
        </w:rPr>
        <w:fldChar w:fldCharType="end"/>
      </w:r>
    </w:p>
    <w:p w14:paraId="703074D3">
      <w:pPr>
        <w:pStyle w:val="38"/>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_Toc2857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rPr>
        <w:t>三、资格审查部分</w:t>
      </w:r>
      <w:r>
        <w:rPr>
          <w:color w:val="auto"/>
          <w:highlight w:val="none"/>
        </w:rPr>
        <w:tab/>
      </w:r>
      <w:r>
        <w:rPr>
          <w:color w:val="auto"/>
          <w:highlight w:val="none"/>
        </w:rPr>
        <w:fldChar w:fldCharType="begin"/>
      </w:r>
      <w:r>
        <w:rPr>
          <w:color w:val="auto"/>
          <w:highlight w:val="none"/>
        </w:rPr>
        <w:instrText xml:space="preserve"> PAGEREF _Toc2857 \h </w:instrText>
      </w:r>
      <w:r>
        <w:rPr>
          <w:color w:val="auto"/>
          <w:highlight w:val="none"/>
        </w:rPr>
        <w:fldChar w:fldCharType="separate"/>
      </w:r>
      <w:r>
        <w:rPr>
          <w:color w:val="auto"/>
          <w:highlight w:val="none"/>
        </w:rPr>
        <w:t>53</w:t>
      </w:r>
      <w:r>
        <w:rPr>
          <w:color w:val="auto"/>
          <w:highlight w:val="none"/>
        </w:rPr>
        <w:fldChar w:fldCharType="end"/>
      </w:r>
      <w:r>
        <w:rPr>
          <w:rFonts w:ascii="宋体" w:hAnsi="宋体"/>
          <w:bCs/>
          <w:color w:val="auto"/>
          <w:szCs w:val="20"/>
          <w:highlight w:val="none"/>
          <w:lang w:val="zh-CN"/>
        </w:rPr>
        <w:fldChar w:fldCharType="end"/>
      </w:r>
    </w:p>
    <w:p w14:paraId="30E058FB">
      <w:pPr>
        <w:pStyle w:val="23"/>
        <w:tabs>
          <w:tab w:val="right" w:leader="dot" w:pos="9469"/>
        </w:tabs>
        <w:rPr>
          <w:rFonts w:ascii="宋体" w:hAnsi="宋体"/>
          <w:bCs/>
          <w:color w:val="auto"/>
          <w:szCs w:val="20"/>
          <w:highlight w:val="none"/>
          <w:lang w:val="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_Toc7724 </w:instrText>
      </w:r>
      <w:r>
        <w:rPr>
          <w:rFonts w:ascii="宋体" w:hAnsi="宋体"/>
          <w:bCs/>
          <w:color w:val="auto"/>
          <w:szCs w:val="20"/>
          <w:highlight w:val="none"/>
          <w:lang w:val="zh-CN"/>
        </w:rPr>
        <w:fldChar w:fldCharType="separate"/>
      </w:r>
      <w:r>
        <w:rPr>
          <w:color w:val="auto"/>
          <w:szCs w:val="30"/>
          <w:highlight w:val="none"/>
        </w:rPr>
        <w:t>（一）</w:t>
      </w:r>
      <w:r>
        <w:rPr>
          <w:rFonts w:hint="eastAsia"/>
          <w:color w:val="auto"/>
          <w:szCs w:val="30"/>
          <w:highlight w:val="none"/>
        </w:rPr>
        <w:t>法定代表人身份证明或附有法定代表人身份证明的授权委托书</w:t>
      </w:r>
      <w:r>
        <w:rPr>
          <w:color w:val="auto"/>
          <w:highlight w:val="none"/>
        </w:rPr>
        <w:tab/>
      </w:r>
      <w:r>
        <w:rPr>
          <w:color w:val="auto"/>
          <w:highlight w:val="none"/>
        </w:rPr>
        <w:fldChar w:fldCharType="begin"/>
      </w:r>
      <w:r>
        <w:rPr>
          <w:color w:val="auto"/>
          <w:highlight w:val="none"/>
        </w:rPr>
        <w:instrText xml:space="preserve"> PAGEREF _Toc7724 \h </w:instrText>
      </w:r>
      <w:r>
        <w:rPr>
          <w:color w:val="auto"/>
          <w:highlight w:val="none"/>
        </w:rPr>
        <w:fldChar w:fldCharType="separate"/>
      </w:r>
      <w:r>
        <w:rPr>
          <w:color w:val="auto"/>
          <w:highlight w:val="none"/>
        </w:rPr>
        <w:t>56</w:t>
      </w:r>
      <w:r>
        <w:rPr>
          <w:color w:val="auto"/>
          <w:highlight w:val="none"/>
        </w:rPr>
        <w:fldChar w:fldCharType="end"/>
      </w:r>
      <w:r>
        <w:rPr>
          <w:rFonts w:ascii="宋体" w:hAnsi="宋体"/>
          <w:bCs/>
          <w:color w:val="auto"/>
          <w:szCs w:val="20"/>
          <w:highlight w:val="none"/>
          <w:lang w:val="zh-CN"/>
        </w:rPr>
        <w:fldChar w:fldCharType="end"/>
      </w:r>
    </w:p>
    <w:p w14:paraId="3F3D805D">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_Toc30898 </w:instrText>
      </w:r>
      <w:r>
        <w:rPr>
          <w:rFonts w:ascii="宋体" w:hAnsi="宋体"/>
          <w:bCs/>
          <w:color w:val="auto"/>
          <w:szCs w:val="20"/>
          <w:highlight w:val="none"/>
          <w:lang w:val="zh-CN"/>
        </w:rPr>
        <w:fldChar w:fldCharType="separate"/>
      </w:r>
      <w:r>
        <w:rPr>
          <w:color w:val="auto"/>
          <w:highlight w:val="none"/>
        </w:rPr>
        <w:t>（</w:t>
      </w:r>
      <w:r>
        <w:rPr>
          <w:rFonts w:hint="eastAsia"/>
          <w:color w:val="auto"/>
          <w:highlight w:val="none"/>
          <w:lang w:val="en-US" w:eastAsia="zh-CN"/>
        </w:rPr>
        <w:t>二</w:t>
      </w:r>
      <w:r>
        <w:rPr>
          <w:color w:val="auto"/>
          <w:highlight w:val="none"/>
        </w:rPr>
        <w:t>）</w:t>
      </w:r>
      <w:r>
        <w:rPr>
          <w:rFonts w:hint="eastAsia" w:ascii="宋体" w:hAnsi="宋体"/>
          <w:bCs w:val="0"/>
          <w:color w:val="auto"/>
          <w:highlight w:val="none"/>
        </w:rPr>
        <w:t>竞标人基本情况表</w:t>
      </w:r>
      <w:r>
        <w:rPr>
          <w:color w:val="auto"/>
          <w:highlight w:val="none"/>
        </w:rPr>
        <w:tab/>
      </w:r>
      <w:r>
        <w:rPr>
          <w:color w:val="auto"/>
          <w:highlight w:val="none"/>
        </w:rPr>
        <w:fldChar w:fldCharType="begin"/>
      </w:r>
      <w:r>
        <w:rPr>
          <w:color w:val="auto"/>
          <w:highlight w:val="none"/>
        </w:rPr>
        <w:instrText xml:space="preserve"> PAGEREF _Toc30898 \h </w:instrText>
      </w:r>
      <w:r>
        <w:rPr>
          <w:color w:val="auto"/>
          <w:highlight w:val="none"/>
        </w:rPr>
        <w:fldChar w:fldCharType="separate"/>
      </w:r>
      <w:r>
        <w:rPr>
          <w:color w:val="auto"/>
          <w:highlight w:val="none"/>
        </w:rPr>
        <w:t>58</w:t>
      </w:r>
      <w:r>
        <w:rPr>
          <w:color w:val="auto"/>
          <w:highlight w:val="none"/>
        </w:rPr>
        <w:fldChar w:fldCharType="end"/>
      </w:r>
      <w:r>
        <w:rPr>
          <w:rFonts w:ascii="宋体" w:hAnsi="宋体"/>
          <w:bCs/>
          <w:color w:val="auto"/>
          <w:szCs w:val="20"/>
          <w:highlight w:val="none"/>
          <w:lang w:val="zh-CN"/>
        </w:rPr>
        <w:fldChar w:fldCharType="end"/>
      </w:r>
    </w:p>
    <w:p w14:paraId="0CDFD676">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_Toc1142 </w:instrText>
      </w:r>
      <w:r>
        <w:rPr>
          <w:rFonts w:ascii="宋体" w:hAnsi="宋体"/>
          <w:bCs/>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三</w:t>
      </w:r>
      <w:r>
        <w:rPr>
          <w:rFonts w:hint="eastAsia" w:ascii="宋体" w:hAnsi="宋体"/>
          <w:bCs w:val="0"/>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_Toc1142 \h </w:instrText>
      </w:r>
      <w:r>
        <w:rPr>
          <w:color w:val="auto"/>
          <w:highlight w:val="none"/>
        </w:rPr>
        <w:fldChar w:fldCharType="separate"/>
      </w:r>
      <w:r>
        <w:rPr>
          <w:color w:val="auto"/>
          <w:highlight w:val="none"/>
        </w:rPr>
        <w:t>59</w:t>
      </w:r>
      <w:r>
        <w:rPr>
          <w:color w:val="auto"/>
          <w:highlight w:val="none"/>
        </w:rPr>
        <w:fldChar w:fldCharType="end"/>
      </w:r>
      <w:r>
        <w:rPr>
          <w:rFonts w:ascii="宋体" w:hAnsi="宋体"/>
          <w:bCs/>
          <w:color w:val="auto"/>
          <w:szCs w:val="20"/>
          <w:highlight w:val="none"/>
          <w:lang w:val="zh-CN"/>
        </w:rPr>
        <w:fldChar w:fldCharType="end"/>
      </w:r>
    </w:p>
    <w:p w14:paraId="0261A8C7">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_Toc20080 </w:instrText>
      </w:r>
      <w:r>
        <w:rPr>
          <w:rFonts w:ascii="宋体" w:hAnsi="宋体"/>
          <w:bCs/>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_Toc20080 \h </w:instrText>
      </w:r>
      <w:r>
        <w:rPr>
          <w:color w:val="auto"/>
          <w:highlight w:val="none"/>
        </w:rPr>
        <w:fldChar w:fldCharType="separate"/>
      </w:r>
      <w:r>
        <w:rPr>
          <w:color w:val="auto"/>
          <w:highlight w:val="none"/>
        </w:rPr>
        <w:t>61</w:t>
      </w:r>
      <w:r>
        <w:rPr>
          <w:color w:val="auto"/>
          <w:highlight w:val="none"/>
        </w:rPr>
        <w:fldChar w:fldCharType="end"/>
      </w:r>
      <w:r>
        <w:rPr>
          <w:rFonts w:ascii="宋体" w:hAnsi="宋体"/>
          <w:bCs/>
          <w:color w:val="auto"/>
          <w:szCs w:val="20"/>
          <w:highlight w:val="none"/>
          <w:lang w:val="zh-CN"/>
        </w:rPr>
        <w:fldChar w:fldCharType="end"/>
      </w:r>
    </w:p>
    <w:p w14:paraId="107477EF">
      <w:pPr>
        <w:pStyle w:val="23"/>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_Toc12573 </w:instrText>
      </w:r>
      <w:r>
        <w:rPr>
          <w:rFonts w:ascii="宋体" w:hAnsi="宋体"/>
          <w:bCs/>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五</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_Toc12573 \h </w:instrText>
      </w:r>
      <w:r>
        <w:rPr>
          <w:color w:val="auto"/>
          <w:highlight w:val="none"/>
        </w:rPr>
        <w:fldChar w:fldCharType="separate"/>
      </w:r>
      <w:r>
        <w:rPr>
          <w:color w:val="auto"/>
          <w:highlight w:val="none"/>
        </w:rPr>
        <w:t>62</w:t>
      </w:r>
      <w:r>
        <w:rPr>
          <w:color w:val="auto"/>
          <w:highlight w:val="none"/>
        </w:rPr>
        <w:fldChar w:fldCharType="end"/>
      </w:r>
      <w:r>
        <w:rPr>
          <w:rFonts w:ascii="宋体" w:hAnsi="宋体"/>
          <w:bCs/>
          <w:color w:val="auto"/>
          <w:szCs w:val="20"/>
          <w:highlight w:val="none"/>
          <w:lang w:val="zh-CN"/>
        </w:rPr>
        <w:fldChar w:fldCharType="end"/>
      </w:r>
    </w:p>
    <w:p w14:paraId="50F6286C">
      <w:pPr>
        <w:rPr>
          <w:rFonts w:ascii="宋体" w:hAnsi="宋体"/>
          <w:color w:val="auto"/>
          <w:highlight w:val="none"/>
        </w:rPr>
      </w:pPr>
      <w:r>
        <w:rPr>
          <w:rFonts w:ascii="宋体" w:hAnsi="宋体"/>
          <w:bCs/>
          <w:color w:val="auto"/>
          <w:szCs w:val="20"/>
          <w:highlight w:val="none"/>
          <w:lang w:val="zh-CN"/>
        </w:rPr>
        <w:fldChar w:fldCharType="end"/>
      </w:r>
    </w:p>
    <w:bookmarkEnd w:id="0"/>
    <w:p w14:paraId="0E79A41C">
      <w:pPr>
        <w:spacing w:line="20" w:lineRule="exact"/>
        <w:rPr>
          <w:rFonts w:ascii="宋体" w:hAnsi="宋体"/>
          <w:color w:val="auto"/>
          <w:highlight w:val="none"/>
        </w:rPr>
      </w:pPr>
      <w:bookmarkStart w:id="8" w:name="_Toc430530414"/>
    </w:p>
    <w:p w14:paraId="6B9976B9">
      <w:pPr>
        <w:spacing w:line="20" w:lineRule="exact"/>
        <w:jc w:val="left"/>
        <w:rPr>
          <w:rFonts w:ascii="宋体" w:hAnsi="宋体"/>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796C8C04">
      <w:pPr>
        <w:spacing w:line="360" w:lineRule="auto"/>
        <w:rPr>
          <w:rFonts w:ascii="宋体" w:hAnsi="宋体"/>
          <w:color w:val="auto"/>
          <w:highlight w:val="none"/>
        </w:rPr>
      </w:pPr>
    </w:p>
    <w:p w14:paraId="54447C8C">
      <w:pPr>
        <w:pStyle w:val="2"/>
        <w:spacing w:before="0" w:after="0" w:line="480" w:lineRule="auto"/>
        <w:jc w:val="center"/>
        <w:rPr>
          <w:rFonts w:ascii="宋体" w:hAnsi="宋体"/>
          <w:color w:val="auto"/>
          <w:sz w:val="52"/>
          <w:szCs w:val="52"/>
          <w:highlight w:val="none"/>
        </w:rPr>
      </w:pPr>
      <w:bookmarkStart w:id="9" w:name="_Toc9936"/>
      <w:bookmarkStart w:id="10" w:name="_Toc11755"/>
      <w:bookmarkStart w:id="11" w:name="_Toc509218690"/>
      <w:r>
        <w:rPr>
          <w:rFonts w:hint="eastAsia" w:ascii="宋体" w:hAnsi="宋体"/>
          <w:color w:val="auto"/>
          <w:sz w:val="52"/>
          <w:szCs w:val="52"/>
          <w:highlight w:val="none"/>
        </w:rPr>
        <w:t>第 一 卷</w:t>
      </w:r>
      <w:bookmarkEnd w:id="9"/>
      <w:bookmarkEnd w:id="10"/>
      <w:bookmarkEnd w:id="11"/>
    </w:p>
    <w:p w14:paraId="626AF3E1">
      <w:pPr>
        <w:spacing w:line="200" w:lineRule="exact"/>
        <w:rPr>
          <w:rFonts w:ascii="宋体" w:hAnsi="宋体"/>
          <w:color w:val="auto"/>
          <w:highlight w:val="none"/>
        </w:rPr>
      </w:pPr>
      <w:r>
        <w:rPr>
          <w:rFonts w:ascii="宋体" w:hAnsi="宋体"/>
          <w:color w:val="auto"/>
          <w:highlight w:val="none"/>
        </w:rPr>
        <w:br w:type="page"/>
      </w:r>
    </w:p>
    <w:p w14:paraId="3C1AE398">
      <w:pPr>
        <w:pStyle w:val="2"/>
        <w:spacing w:line="360" w:lineRule="auto"/>
        <w:jc w:val="center"/>
        <w:rPr>
          <w:rFonts w:ascii="宋体" w:hAnsi="宋体"/>
          <w:snapToGrid w:val="0"/>
          <w:color w:val="auto"/>
          <w:kern w:val="0"/>
          <w:highlight w:val="none"/>
        </w:rPr>
      </w:pPr>
      <w:bookmarkStart w:id="12" w:name="_Toc287620666"/>
      <w:bookmarkStart w:id="13" w:name="_Toc6051"/>
      <w:bookmarkStart w:id="14" w:name="_Toc509218691"/>
      <w:bookmarkStart w:id="15" w:name="_Toc277082535"/>
      <w:bookmarkStart w:id="16" w:name="_Toc12819"/>
      <w:bookmarkStart w:id="17" w:name="_Toc224103298"/>
      <w:bookmarkStart w:id="18" w:name="_Toc430530415"/>
      <w:bookmarkStart w:id="19" w:name="_Toc287607727"/>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bookmarkEnd w:id="12"/>
      <w:bookmarkEnd w:id="13"/>
      <w:bookmarkEnd w:id="14"/>
      <w:bookmarkEnd w:id="15"/>
      <w:bookmarkEnd w:id="16"/>
      <w:bookmarkEnd w:id="17"/>
      <w:bookmarkEnd w:id="18"/>
      <w:bookmarkEnd w:id="19"/>
    </w:p>
    <w:p w14:paraId="6E9A046D">
      <w:pPr>
        <w:autoSpaceDE w:val="0"/>
        <w:autoSpaceDN w:val="0"/>
        <w:adjustRightInd w:val="0"/>
        <w:snapToGrid w:val="0"/>
        <w:spacing w:line="360" w:lineRule="auto"/>
        <w:jc w:val="center"/>
        <w:rPr>
          <w:rFonts w:ascii="宋体" w:hAnsi="宋体"/>
          <w:snapToGrid w:val="0"/>
          <w:color w:val="auto"/>
          <w:w w:val="99"/>
          <w:kern w:val="0"/>
          <w:sz w:val="28"/>
          <w:szCs w:val="28"/>
          <w:highlight w:val="none"/>
        </w:rPr>
      </w:pPr>
      <w:r>
        <w:rPr>
          <w:rFonts w:hint="eastAsia" w:ascii="宋体" w:hAnsi="宋体"/>
          <w:snapToGrid w:val="0"/>
          <w:color w:val="auto"/>
          <w:w w:val="99"/>
          <w:kern w:val="0"/>
          <w:sz w:val="28"/>
          <w:szCs w:val="28"/>
          <w:highlight w:val="none"/>
          <w:lang w:eastAsia="zh-CN"/>
        </w:rPr>
        <w:t>南岸区安全生产基础设施建设项目可研编制</w:t>
      </w:r>
      <w:r>
        <w:rPr>
          <w:rFonts w:hint="eastAsia" w:ascii="宋体" w:hAnsi="宋体"/>
          <w:snapToGrid w:val="0"/>
          <w:color w:val="auto"/>
          <w:w w:val="99"/>
          <w:kern w:val="0"/>
          <w:sz w:val="28"/>
          <w:szCs w:val="28"/>
          <w:highlight w:val="none"/>
        </w:rPr>
        <w:t xml:space="preserve"> </w:t>
      </w:r>
    </w:p>
    <w:p w14:paraId="25A8AB02">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rPr>
        <w:t>比选</w:t>
      </w:r>
      <w:r>
        <w:rPr>
          <w:rFonts w:ascii="宋体" w:hAnsi="宋体"/>
          <w:snapToGrid w:val="0"/>
          <w:color w:val="auto"/>
          <w:w w:val="99"/>
          <w:kern w:val="0"/>
          <w:sz w:val="28"/>
          <w:szCs w:val="28"/>
          <w:highlight w:val="none"/>
        </w:rPr>
        <w:t>公告</w:t>
      </w:r>
    </w:p>
    <w:p w14:paraId="52B5244C">
      <w:pPr>
        <w:pStyle w:val="3"/>
        <w:spacing w:before="100" w:after="100" w:line="460" w:lineRule="exact"/>
        <w:rPr>
          <w:rFonts w:ascii="宋体" w:hAnsi="宋体"/>
          <w:snapToGrid w:val="0"/>
          <w:color w:val="auto"/>
          <w:sz w:val="28"/>
          <w:szCs w:val="28"/>
          <w:highlight w:val="none"/>
        </w:rPr>
      </w:pPr>
      <w:bookmarkStart w:id="20" w:name="_Toc200359427"/>
      <w:bookmarkStart w:id="21" w:name="_Toc25664"/>
      <w:bookmarkStart w:id="22" w:name="_Toc200359238"/>
      <w:bookmarkStart w:id="23" w:name="_Toc509218692"/>
      <w:bookmarkStart w:id="24" w:name="_Toc287607728"/>
      <w:bookmarkStart w:id="25" w:name="_Toc27491"/>
      <w:bookmarkStart w:id="26" w:name="_Toc277082536"/>
      <w:bookmarkStart w:id="27" w:name="_Toc224103299"/>
      <w:bookmarkStart w:id="28" w:name="_Toc287620667"/>
      <w:bookmarkStart w:id="29" w:name="_Toc430530416"/>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条件</w:t>
      </w:r>
      <w:bookmarkEnd w:id="20"/>
      <w:bookmarkEnd w:id="21"/>
      <w:bookmarkEnd w:id="22"/>
      <w:bookmarkEnd w:id="23"/>
      <w:bookmarkEnd w:id="24"/>
      <w:bookmarkEnd w:id="25"/>
      <w:bookmarkEnd w:id="26"/>
      <w:bookmarkEnd w:id="27"/>
      <w:bookmarkEnd w:id="28"/>
      <w:bookmarkEnd w:id="29"/>
    </w:p>
    <w:p w14:paraId="0A3E56C6">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u w:val="single"/>
          <w:lang w:eastAsia="zh-CN"/>
        </w:rPr>
        <w:t>南岸区安全生产基础设施建设项目可研编制</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业主为</w:t>
      </w:r>
      <w:r>
        <w:rPr>
          <w:rFonts w:hint="eastAsia" w:ascii="宋体" w:hAnsi="宋体"/>
          <w:color w:val="auto"/>
          <w:highlight w:val="none"/>
          <w:u w:val="single"/>
          <w:lang w:eastAsia="zh-CN"/>
        </w:rPr>
        <w:t xml:space="preserve">重庆市江南城市建设发展（集团）有限公司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财政资金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100%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position w:val="-2"/>
          <w:szCs w:val="21"/>
          <w:highlight w:val="none"/>
        </w:rPr>
        <w:t>为</w:t>
      </w:r>
      <w:r>
        <w:rPr>
          <w:rFonts w:hint="eastAsia" w:ascii="宋体" w:hAnsi="宋体"/>
          <w:color w:val="auto"/>
          <w:highlight w:val="none"/>
          <w:u w:val="single"/>
          <w:lang w:eastAsia="zh-CN"/>
        </w:rPr>
        <w:t>重庆市江南城市建设发展（集团）有限公司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rPr>
        <w:t>竞争性比选</w:t>
      </w:r>
      <w:r>
        <w:rPr>
          <w:rFonts w:ascii="宋体" w:hAnsi="宋体"/>
          <w:snapToGrid w:val="0"/>
          <w:color w:val="auto"/>
          <w:kern w:val="0"/>
          <w:position w:val="-2"/>
          <w:szCs w:val="21"/>
          <w:highlight w:val="none"/>
        </w:rPr>
        <w:t>。</w:t>
      </w:r>
    </w:p>
    <w:p w14:paraId="14939145">
      <w:pPr>
        <w:pStyle w:val="3"/>
        <w:spacing w:before="100" w:after="100" w:line="460" w:lineRule="exact"/>
        <w:rPr>
          <w:rFonts w:ascii="宋体" w:hAnsi="宋体"/>
          <w:snapToGrid w:val="0"/>
          <w:color w:val="auto"/>
          <w:sz w:val="28"/>
          <w:szCs w:val="28"/>
          <w:highlight w:val="none"/>
        </w:rPr>
      </w:pPr>
      <w:bookmarkStart w:id="30" w:name="_Toc18954"/>
      <w:bookmarkStart w:id="31" w:name="_Toc430530417"/>
      <w:bookmarkStart w:id="32" w:name="_Toc200359428"/>
      <w:bookmarkStart w:id="33" w:name="_Toc509218693"/>
      <w:bookmarkStart w:id="34" w:name="_Toc200359239"/>
      <w:bookmarkStart w:id="35" w:name="_Toc16344"/>
      <w:bookmarkStart w:id="36" w:name="_Toc287607729"/>
      <w:bookmarkStart w:id="37" w:name="_Toc224103300"/>
      <w:bookmarkStart w:id="38" w:name="_Toc277082537"/>
      <w:bookmarkStart w:id="39" w:name="_Toc28762066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rPr>
        <w:t>比选</w:t>
      </w:r>
      <w:r>
        <w:rPr>
          <w:rFonts w:ascii="宋体" w:hAnsi="宋体"/>
          <w:snapToGrid w:val="0"/>
          <w:color w:val="auto"/>
          <w:sz w:val="28"/>
          <w:szCs w:val="28"/>
          <w:highlight w:val="none"/>
        </w:rPr>
        <w:t>范围</w:t>
      </w:r>
      <w:bookmarkEnd w:id="30"/>
      <w:bookmarkEnd w:id="31"/>
      <w:bookmarkEnd w:id="32"/>
      <w:bookmarkEnd w:id="33"/>
      <w:bookmarkEnd w:id="34"/>
      <w:bookmarkEnd w:id="35"/>
      <w:bookmarkEnd w:id="36"/>
      <w:bookmarkEnd w:id="37"/>
      <w:bookmarkEnd w:id="38"/>
      <w:bookmarkEnd w:id="39"/>
    </w:p>
    <w:p w14:paraId="7C38C567">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eastAsia="zh-CN"/>
        </w:rPr>
        <w:t>2.1 建设地点：南岸区。</w:t>
      </w:r>
    </w:p>
    <w:p w14:paraId="01D803F8">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eastAsia="zh-CN"/>
        </w:rPr>
        <w:t>2.2 项目概况与建设规模：</w:t>
      </w:r>
      <w:bookmarkStart w:id="40" w:name="OLE_LINK3"/>
      <w:r>
        <w:rPr>
          <w:rFonts w:hint="eastAsia" w:ascii="宋体" w:hAnsi="宋体"/>
          <w:snapToGrid w:val="0"/>
          <w:color w:val="auto"/>
          <w:kern w:val="0"/>
          <w:szCs w:val="21"/>
          <w:highlight w:val="none"/>
          <w:u w:val="single"/>
          <w:lang w:eastAsia="zh-CN"/>
        </w:rPr>
        <w:t>项目拟在南岸区建设弹子石、四公里、雷家桥、通江4个小型消防站，将重庆东站小型消防站提升为一级消防站标准进行建设，总建筑面积约1.4万平方米，内含执勤车库、应急指挥室、应急物资储备库、医疗急救室及应急避难场地等，配套给排水、供暖、供电、绿化及消防救援等附属设施。</w:t>
      </w:r>
    </w:p>
    <w:bookmarkEnd w:id="40"/>
    <w:p w14:paraId="10D5A167">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eastAsia="zh-CN"/>
        </w:rPr>
        <w:t>2.</w:t>
      </w:r>
      <w:r>
        <w:rPr>
          <w:rFonts w:hint="eastAsia" w:ascii="宋体" w:hAnsi="宋体"/>
          <w:snapToGrid w:val="0"/>
          <w:color w:val="auto"/>
          <w:kern w:val="0"/>
          <w:szCs w:val="21"/>
          <w:highlight w:val="none"/>
          <w:u w:val="single"/>
          <w:lang w:val="en-US" w:eastAsia="zh-CN"/>
        </w:rPr>
        <w:t>3</w:t>
      </w:r>
      <w:r>
        <w:rPr>
          <w:rFonts w:hint="eastAsia" w:ascii="宋体" w:hAnsi="宋体"/>
          <w:snapToGrid w:val="0"/>
          <w:color w:val="auto"/>
          <w:kern w:val="0"/>
          <w:szCs w:val="21"/>
          <w:highlight w:val="none"/>
          <w:u w:val="single"/>
          <w:lang w:eastAsia="zh-CN"/>
        </w:rPr>
        <w:t xml:space="preserve"> 比选范围：按照行业规范标准要求，结合项目实际情况，完成本项目的可行性研究报告编制。成果报告达到报送上级主管部门评审深度，并配合评审工作直到取得可研批复，以及相关技术服务工作。</w:t>
      </w:r>
    </w:p>
    <w:p w14:paraId="21DE8512">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eastAsia="zh-CN"/>
        </w:rPr>
        <w:t>2.</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u w:val="single"/>
          <w:lang w:eastAsia="zh-CN"/>
        </w:rPr>
        <w:t xml:space="preserve"> 服务期限：签订合同后15日历天。</w:t>
      </w:r>
    </w:p>
    <w:p w14:paraId="53DD2155">
      <w:pPr>
        <w:pStyle w:val="3"/>
        <w:spacing w:before="100" w:after="100" w:line="460" w:lineRule="exact"/>
        <w:rPr>
          <w:rFonts w:ascii="宋体" w:hAnsi="宋体"/>
          <w:snapToGrid w:val="0"/>
          <w:color w:val="auto"/>
          <w:sz w:val="28"/>
          <w:szCs w:val="28"/>
          <w:highlight w:val="none"/>
        </w:rPr>
      </w:pPr>
      <w:bookmarkStart w:id="41" w:name="_Toc509218694"/>
      <w:bookmarkStart w:id="42" w:name="_Toc287620669"/>
      <w:bookmarkStart w:id="43" w:name="_Toc15101"/>
      <w:bookmarkStart w:id="44" w:name="_Toc19513"/>
      <w:bookmarkStart w:id="45" w:name="_Toc224103301"/>
      <w:bookmarkStart w:id="46" w:name="_Toc200359240"/>
      <w:bookmarkStart w:id="47" w:name="_Toc430530418"/>
      <w:bookmarkStart w:id="48" w:name="_Toc200359429"/>
      <w:bookmarkStart w:id="49" w:name="_Toc277082538"/>
      <w:bookmarkStart w:id="50"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人资格要求</w:t>
      </w:r>
      <w:bookmarkEnd w:id="41"/>
      <w:bookmarkEnd w:id="42"/>
      <w:bookmarkEnd w:id="43"/>
      <w:bookmarkEnd w:id="44"/>
      <w:bookmarkEnd w:id="45"/>
      <w:bookmarkEnd w:id="46"/>
      <w:bookmarkEnd w:id="47"/>
      <w:bookmarkEnd w:id="48"/>
      <w:bookmarkEnd w:id="49"/>
      <w:bookmarkEnd w:id="50"/>
    </w:p>
    <w:p w14:paraId="65549E9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7A5498C3">
      <w:pPr>
        <w:widowControl/>
        <w:tabs>
          <w:tab w:val="center" w:pos="4620"/>
          <w:tab w:val="left" w:pos="8370"/>
        </w:tabs>
        <w:spacing w:line="360" w:lineRule="auto"/>
        <w:ind w:firstLine="420" w:firstLineChars="200"/>
        <w:rPr>
          <w:rFonts w:hint="eastAsia" w:cs="宋体" w:asciiTheme="minorEastAsia" w:hAnsiTheme="minorEastAsia" w:eastAsiaTheme="minorEastAsia"/>
          <w:color w:val="auto"/>
          <w:szCs w:val="21"/>
          <w:highlight w:val="none"/>
          <w:lang w:eastAsia="zh-CN"/>
        </w:rPr>
      </w:pPr>
      <w:r>
        <w:rPr>
          <w:rFonts w:hint="eastAsia" w:ascii="宋体" w:hAnsi="宋体"/>
          <w:snapToGrid w:val="0"/>
          <w:color w:val="auto"/>
          <w:kern w:val="0"/>
          <w:szCs w:val="21"/>
          <w:highlight w:val="none"/>
        </w:rPr>
        <w:t xml:space="preserve">3.1.1 </w:t>
      </w:r>
      <w:r>
        <w:rPr>
          <w:rFonts w:hint="eastAsia" w:cs="宋体" w:asciiTheme="minorEastAsia" w:hAnsiTheme="minorEastAsia" w:eastAsiaTheme="minorEastAsia"/>
          <w:color w:val="auto"/>
          <w:szCs w:val="21"/>
          <w:highlight w:val="none"/>
          <w:lang w:eastAsia="zh-CN"/>
        </w:rPr>
        <w:t>竞标人</w:t>
      </w:r>
      <w:r>
        <w:rPr>
          <w:rFonts w:hint="eastAsia" w:cs="宋体" w:asciiTheme="minorEastAsia" w:hAnsiTheme="minorEastAsia" w:eastAsiaTheme="minorEastAsia"/>
          <w:color w:val="auto"/>
          <w:szCs w:val="21"/>
          <w:highlight w:val="none"/>
        </w:rPr>
        <w:t>应具有建设行政主管部门颁发的下列资质要求之一</w:t>
      </w:r>
      <w:r>
        <w:rPr>
          <w:rFonts w:hint="eastAsia" w:cs="宋体" w:asciiTheme="minorEastAsia" w:hAnsiTheme="minorEastAsia" w:eastAsiaTheme="minorEastAsia"/>
          <w:color w:val="auto"/>
          <w:szCs w:val="21"/>
          <w:highlight w:val="none"/>
          <w:lang w:eastAsia="zh-CN"/>
        </w:rPr>
        <w:t>：</w:t>
      </w:r>
    </w:p>
    <w:p w14:paraId="3182B462">
      <w:pPr>
        <w:pStyle w:val="18"/>
        <w:ind w:firstLine="420" w:firstLineChars="200"/>
        <w:rPr>
          <w:rFonts w:hint="eastAsia"/>
          <w:color w:val="auto"/>
          <w:highlight w:val="none"/>
          <w:lang w:eastAsia="zh-CN"/>
        </w:rPr>
      </w:pPr>
      <w:r>
        <w:rPr>
          <w:rFonts w:hint="eastAsia"/>
          <w:color w:val="auto"/>
          <w:highlight w:val="none"/>
          <w:lang w:eastAsia="zh-CN"/>
        </w:rPr>
        <w:t>①中国工程咨询协会颁发的工程咨询单位综合资信甲级；</w:t>
      </w:r>
    </w:p>
    <w:p w14:paraId="1343B11D">
      <w:pPr>
        <w:pStyle w:val="18"/>
        <w:ind w:firstLine="420" w:firstLineChars="200"/>
        <w:rPr>
          <w:rFonts w:hint="eastAsia"/>
          <w:color w:val="auto"/>
          <w:highlight w:val="none"/>
          <w:lang w:eastAsia="zh-CN"/>
        </w:rPr>
      </w:pPr>
      <w:r>
        <w:rPr>
          <w:rFonts w:hint="eastAsia"/>
          <w:color w:val="auto"/>
          <w:highlight w:val="none"/>
          <w:lang w:eastAsia="zh-CN"/>
        </w:rPr>
        <w:t>②中国工程咨询协会颁发的工程咨询单位乙级及以上资信证书，业务范围包含：建筑或市政公用工程。</w:t>
      </w:r>
    </w:p>
    <w:p w14:paraId="46AC8F90">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竞标人还应在人员、设备、资金等方面具有相应的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能力，详见竞争性比选文件第二章竞标人须知前附表第1.4.1项内容。</w:t>
      </w:r>
    </w:p>
    <w:p w14:paraId="650C6C0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  </w:t>
      </w:r>
      <w:r>
        <w:rPr>
          <w:rFonts w:ascii="宋体" w:hAnsi="宋体"/>
          <w:strike w:val="0"/>
          <w:dstrike w:val="0"/>
          <w:snapToGrid w:val="0"/>
          <w:color w:val="auto"/>
          <w:kern w:val="0"/>
          <w:szCs w:val="21"/>
          <w:highlight w:val="none"/>
        </w:rPr>
        <w:t>本次</w:t>
      </w:r>
      <w:r>
        <w:rPr>
          <w:rFonts w:hint="eastAsia" w:ascii="宋体" w:hAnsi="宋体"/>
          <w:strike w:val="0"/>
          <w:dstrike w:val="0"/>
          <w:snapToGrid w:val="0"/>
          <w:color w:val="auto"/>
          <w:kern w:val="0"/>
          <w:szCs w:val="21"/>
          <w:highlight w:val="none"/>
        </w:rPr>
        <w:t>比选</w:t>
      </w:r>
      <w:r>
        <w:rPr>
          <w:rFonts w:hint="eastAsia" w:ascii="宋体" w:hAnsi="宋体"/>
          <w:strike w:val="0"/>
          <w:dstrike w:val="0"/>
          <w:snapToGrid w:val="0"/>
          <w:color w:val="auto"/>
          <w:kern w:val="0"/>
          <w:szCs w:val="21"/>
          <w:highlight w:val="none"/>
          <w:lang w:val="en-US" w:eastAsia="zh-CN"/>
        </w:rPr>
        <w:t xml:space="preserve"> 不接受 </w:t>
      </w:r>
      <w:r>
        <w:rPr>
          <w:rFonts w:ascii="宋体" w:hAnsi="宋体"/>
          <w:strike w:val="0"/>
          <w:dstrike w:val="0"/>
          <w:snapToGrid w:val="0"/>
          <w:color w:val="auto"/>
          <w:kern w:val="0"/>
          <w:szCs w:val="21"/>
          <w:highlight w:val="none"/>
        </w:rPr>
        <w:t>联合体</w:t>
      </w:r>
      <w:r>
        <w:rPr>
          <w:rFonts w:hint="eastAsia" w:ascii="宋体" w:hAnsi="宋体"/>
          <w:strike w:val="0"/>
          <w:dstrike w:val="0"/>
          <w:snapToGrid w:val="0"/>
          <w:color w:val="auto"/>
          <w:kern w:val="0"/>
          <w:szCs w:val="21"/>
          <w:highlight w:val="none"/>
        </w:rPr>
        <w:t>竞标</w:t>
      </w:r>
      <w:r>
        <w:rPr>
          <w:rFonts w:ascii="宋体" w:hAnsi="宋体"/>
          <w:strike w:val="0"/>
          <w:dstrike w:val="0"/>
          <w:snapToGrid w:val="0"/>
          <w:color w:val="auto"/>
          <w:kern w:val="0"/>
          <w:szCs w:val="21"/>
          <w:highlight w:val="none"/>
        </w:rPr>
        <w:t>。</w:t>
      </w:r>
    </w:p>
    <w:p w14:paraId="2898B417">
      <w:pPr>
        <w:pStyle w:val="3"/>
        <w:spacing w:before="100" w:after="100" w:line="460" w:lineRule="exact"/>
        <w:rPr>
          <w:rFonts w:ascii="宋体" w:hAnsi="宋体"/>
          <w:snapToGrid w:val="0"/>
          <w:color w:val="auto"/>
          <w:sz w:val="28"/>
          <w:szCs w:val="28"/>
          <w:highlight w:val="none"/>
        </w:rPr>
      </w:pPr>
      <w:bookmarkStart w:id="51" w:name="_Toc200359430"/>
      <w:bookmarkStart w:id="52" w:name="_Toc277082539"/>
      <w:bookmarkStart w:id="53" w:name="_Toc430530419"/>
      <w:bookmarkStart w:id="54" w:name="_Toc287607731"/>
      <w:bookmarkStart w:id="55" w:name="_Toc200359241"/>
      <w:bookmarkStart w:id="56" w:name="_Toc10508"/>
      <w:bookmarkStart w:id="57" w:name="_Toc224103302"/>
      <w:bookmarkStart w:id="58" w:name="_Toc12705"/>
      <w:bookmarkStart w:id="59" w:name="_Toc287620670"/>
      <w:bookmarkStart w:id="60" w:name="_Toc50921869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竞争性比选文件</w:t>
      </w:r>
      <w:r>
        <w:rPr>
          <w:rFonts w:ascii="宋体" w:hAnsi="宋体"/>
          <w:snapToGrid w:val="0"/>
          <w:color w:val="auto"/>
          <w:sz w:val="28"/>
          <w:szCs w:val="28"/>
          <w:highlight w:val="none"/>
        </w:rPr>
        <w:t>的获取</w:t>
      </w:r>
      <w:bookmarkEnd w:id="51"/>
      <w:bookmarkEnd w:id="52"/>
      <w:bookmarkEnd w:id="53"/>
      <w:bookmarkEnd w:id="54"/>
      <w:bookmarkEnd w:id="55"/>
      <w:bookmarkEnd w:id="56"/>
      <w:bookmarkEnd w:id="57"/>
      <w:bookmarkEnd w:id="58"/>
      <w:bookmarkEnd w:id="59"/>
      <w:bookmarkEnd w:id="60"/>
    </w:p>
    <w:p w14:paraId="054199A5">
      <w:pPr>
        <w:spacing w:line="360" w:lineRule="auto"/>
        <w:ind w:firstLine="420" w:firstLineChars="200"/>
        <w:rPr>
          <w:rFonts w:ascii="宋体" w:hAnsi="宋体" w:cs="宋体"/>
          <w:color w:val="auto"/>
          <w:szCs w:val="21"/>
          <w:highlight w:val="none"/>
        </w:rPr>
      </w:pPr>
      <w:bookmarkStart w:id="61" w:name="_Toc200359242"/>
      <w:bookmarkStart w:id="62" w:name="_Toc430530420"/>
      <w:bookmarkStart w:id="63" w:name="_Toc277082540"/>
      <w:bookmarkStart w:id="64" w:name="_Toc287620671"/>
      <w:bookmarkStart w:id="65" w:name="_Toc28449"/>
      <w:bookmarkStart w:id="66" w:name="_Toc200359431"/>
      <w:bookmarkStart w:id="67" w:name="_Toc224103303"/>
      <w:bookmarkStart w:id="68" w:name="_Toc287607732"/>
      <w:bookmarkStart w:id="69" w:name="_Toc509218696"/>
      <w:r>
        <w:rPr>
          <w:rFonts w:hint="eastAsia" w:ascii="宋体" w:hAnsi="宋体" w:cs="宋体"/>
          <w:color w:val="auto"/>
          <w:szCs w:val="21"/>
          <w:highlight w:val="none"/>
        </w:rPr>
        <w:t>4.1竞标人在竞标前可在行采家（https://www.gec123.com/）进行注册。</w:t>
      </w:r>
    </w:p>
    <w:p w14:paraId="40B00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4.2潜在竞标人请在“行采家”网上下载本项目竞争性比选文件以及补遗等开标前公布的所有项目资料，无论竞标人下载与否，均视为已知晓所有比选内容。</w:t>
      </w:r>
    </w:p>
    <w:p w14:paraId="3C004D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4.3凡有意参加比选的竞标人，请于2</w:t>
      </w:r>
      <w:r>
        <w:rPr>
          <w:rFonts w:hint="eastAsia" w:ascii="宋体" w:hAnsi="宋体" w:cs="宋体"/>
          <w:color w:val="auto"/>
          <w:szCs w:val="21"/>
          <w:highlight w:val="none"/>
        </w:rPr>
        <w:t>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日起-2025年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rPr>
        <w:t>（9:00-17:00）内完成报名，未在规定时间内完成报名不得参与竞标。报名方式为：</w:t>
      </w:r>
    </w:p>
    <w:p w14:paraId="72986F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4.3.1比选文件售价：</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00元/标段（售后不退），在递交竞标文件时支付比选文件费用，售后不退。</w:t>
      </w:r>
    </w:p>
    <w:p w14:paraId="5CFC0B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4.3.2潜在竞标人将《比选文件发售登记表》（加盖竞标人公章）扫描后发送至</w:t>
      </w:r>
      <w:r>
        <w:rPr>
          <w:rFonts w:hint="eastAsia" w:ascii="宋体" w:hAnsi="宋体" w:cs="宋体"/>
          <w:color w:val="auto"/>
          <w:szCs w:val="21"/>
          <w:highlight w:val="none"/>
          <w:lang w:val="en-US" w:eastAsia="zh-CN"/>
        </w:rPr>
        <w:t>tianzhiling2021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126</w:t>
      </w:r>
      <w:r>
        <w:rPr>
          <w:rFonts w:hint="eastAsia" w:ascii="宋体" w:hAnsi="宋体" w:cs="宋体"/>
          <w:color w:val="auto"/>
          <w:szCs w:val="21"/>
          <w:highlight w:val="none"/>
        </w:rPr>
        <w:t>.com</w:t>
      </w:r>
      <w:r>
        <w:rPr>
          <w:rFonts w:hint="eastAsia" w:ascii="宋体" w:hAnsi="宋体" w:cs="宋体"/>
          <w:color w:val="auto"/>
          <w:szCs w:val="21"/>
          <w:highlight w:val="none"/>
        </w:rPr>
        <w:t>邮箱进行报名。</w:t>
      </w:r>
    </w:p>
    <w:p w14:paraId="4C5020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须满足以下要求，其竞标文件才被接受：</w:t>
      </w:r>
    </w:p>
    <w:p w14:paraId="38FFAE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（1）按时报名；</w:t>
      </w:r>
    </w:p>
    <w:p w14:paraId="43D191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（2）按时签到并递交竞标文件。</w:t>
      </w:r>
    </w:p>
    <w:p w14:paraId="59C53321">
      <w:pPr>
        <w:pStyle w:val="3"/>
        <w:spacing w:before="100" w:after="100" w:line="460" w:lineRule="exact"/>
        <w:rPr>
          <w:rFonts w:ascii="宋体" w:hAnsi="宋体"/>
          <w:snapToGrid w:val="0"/>
          <w:color w:val="auto"/>
          <w:sz w:val="28"/>
          <w:szCs w:val="28"/>
          <w:highlight w:val="none"/>
        </w:rPr>
      </w:pPr>
      <w:bookmarkStart w:id="70" w:name="_Toc817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文件的递交</w:t>
      </w:r>
      <w:bookmarkEnd w:id="61"/>
      <w:bookmarkEnd w:id="62"/>
      <w:bookmarkEnd w:id="63"/>
      <w:bookmarkEnd w:id="64"/>
      <w:bookmarkEnd w:id="65"/>
      <w:bookmarkEnd w:id="66"/>
      <w:bookmarkEnd w:id="67"/>
      <w:bookmarkEnd w:id="68"/>
      <w:bookmarkEnd w:id="69"/>
      <w:bookmarkEnd w:id="70"/>
    </w:p>
    <w:p w14:paraId="7D4750BA">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截止时间，下同）</w:t>
      </w:r>
      <w:r>
        <w:rPr>
          <w:rFonts w:ascii="宋体" w:hAnsi="宋体"/>
          <w:snapToGrid w:val="0"/>
          <w:color w:val="auto"/>
          <w:kern w:val="0"/>
          <w:szCs w:val="21"/>
          <w:highlight w:val="none"/>
          <w:u w:val="none"/>
        </w:rPr>
        <w:t>为</w:t>
      </w:r>
      <w:r>
        <w:rPr>
          <w:rFonts w:hint="eastAsia" w:ascii="宋体" w:hAnsi="宋体"/>
          <w:snapToGrid w:val="0"/>
          <w:color w:val="auto"/>
          <w:kern w:val="0"/>
          <w:szCs w:val="21"/>
          <w:highlight w:val="none"/>
          <w:u w:val="none"/>
          <w:lang w:val="en-US" w:eastAsia="zh-CN"/>
        </w:rPr>
        <w:t>2025</w:t>
      </w:r>
      <w:r>
        <w:rPr>
          <w:rFonts w:ascii="宋体" w:hAnsi="宋体"/>
          <w:snapToGrid w:val="0"/>
          <w:color w:val="auto"/>
          <w:kern w:val="0"/>
          <w:szCs w:val="21"/>
          <w:highlight w:val="none"/>
          <w:u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hint="eastAsia" w:ascii="宋体" w:hAnsi="宋体"/>
          <w:snapToGrid w:val="0"/>
          <w:color w:val="auto"/>
          <w:kern w:val="0"/>
          <w:szCs w:val="21"/>
          <w:highlight w:val="none"/>
          <w:u w:val="none"/>
          <w:lang w:val="en-US" w:eastAsia="zh-CN"/>
        </w:rPr>
        <w:t>14</w:t>
      </w:r>
      <w:r>
        <w:rPr>
          <w:rFonts w:ascii="宋体" w:hAnsi="宋体"/>
          <w:snapToGrid w:val="0"/>
          <w:color w:val="auto"/>
          <w:kern w:val="0"/>
          <w:szCs w:val="21"/>
          <w:highlight w:val="none"/>
          <w:u w:val="none"/>
        </w:rPr>
        <w:t>时</w:t>
      </w:r>
      <w:r>
        <w:rPr>
          <w:rFonts w:hint="eastAsia" w:ascii="宋体" w:hAnsi="宋体"/>
          <w:snapToGrid w:val="0"/>
          <w:color w:val="auto"/>
          <w:kern w:val="0"/>
          <w:szCs w:val="21"/>
          <w:highlight w:val="none"/>
          <w:u w:val="none"/>
          <w:lang w:val="en-US" w:eastAsia="zh-CN"/>
        </w:rPr>
        <w:t>30</w:t>
      </w:r>
      <w:r>
        <w:rPr>
          <w:rFonts w:ascii="宋体" w:hAnsi="宋体"/>
          <w:snapToGrid w:val="0"/>
          <w:color w:val="auto"/>
          <w:kern w:val="0"/>
          <w:szCs w:val="21"/>
          <w:highlight w:val="none"/>
          <w:u w:val="none"/>
        </w:rPr>
        <w:t>分</w:t>
      </w:r>
      <w:r>
        <w:rPr>
          <w:rFonts w:ascii="宋体" w:hAnsi="宋体"/>
          <w:snapToGrid w:val="0"/>
          <w:color w:val="auto"/>
          <w:kern w:val="0"/>
          <w:szCs w:val="21"/>
          <w:highlight w:val="none"/>
        </w:rPr>
        <w:t>，地点为</w:t>
      </w:r>
      <w:r>
        <w:rPr>
          <w:rFonts w:hint="eastAsia" w:ascii="宋体" w:hAnsi="宋体"/>
          <w:snapToGrid w:val="0"/>
          <w:color w:val="auto"/>
          <w:kern w:val="0"/>
          <w:szCs w:val="21"/>
          <w:highlight w:val="none"/>
          <w:u w:val="single"/>
        </w:rPr>
        <w:t xml:space="preserve"> </w:t>
      </w:r>
      <w:r>
        <w:rPr>
          <w:rFonts w:hint="eastAsia" w:ascii="宋体" w:hAnsi="宋体" w:cs="宋体"/>
          <w:b/>
          <w:snapToGrid w:val="0"/>
          <w:color w:val="auto"/>
          <w:kern w:val="0"/>
          <w:highlight w:val="none"/>
          <w:u w:val="single"/>
          <w:lang w:eastAsia="zh-CN"/>
        </w:rPr>
        <w:t>重庆市南岸区公共资源交易中心（重庆市南岸区天文街道广福大道12号区行政中心B区2号楼4楼）</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33F0E44F">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竞标文件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rPr>
        <w:t xml:space="preserve"> </w:t>
      </w:r>
    </w:p>
    <w:p w14:paraId="3B73848A">
      <w:pPr>
        <w:pStyle w:val="3"/>
        <w:spacing w:before="100" w:after="100" w:line="460" w:lineRule="exact"/>
        <w:rPr>
          <w:rFonts w:ascii="宋体" w:hAnsi="宋体"/>
          <w:snapToGrid w:val="0"/>
          <w:color w:val="auto"/>
          <w:sz w:val="28"/>
          <w:szCs w:val="28"/>
          <w:highlight w:val="none"/>
        </w:rPr>
      </w:pPr>
      <w:bookmarkStart w:id="71" w:name="_Toc4671"/>
      <w:bookmarkStart w:id="72" w:name="_Toc509218697"/>
      <w:bookmarkStart w:id="73" w:name="_Toc224103304"/>
      <w:bookmarkStart w:id="74" w:name="_Toc200359243"/>
      <w:bookmarkStart w:id="75" w:name="_Toc430530421"/>
      <w:bookmarkStart w:id="76" w:name="_Toc287607733"/>
      <w:bookmarkStart w:id="77" w:name="_Toc200359432"/>
      <w:bookmarkStart w:id="78" w:name="_Toc287620672"/>
      <w:bookmarkStart w:id="79" w:name="_Toc277082541"/>
      <w:bookmarkStart w:id="80" w:name="_Toc8166"/>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1"/>
      <w:bookmarkEnd w:id="72"/>
      <w:bookmarkEnd w:id="73"/>
      <w:bookmarkEnd w:id="74"/>
      <w:bookmarkEnd w:id="75"/>
      <w:bookmarkEnd w:id="76"/>
      <w:bookmarkEnd w:id="77"/>
      <w:bookmarkEnd w:id="78"/>
      <w:bookmarkEnd w:id="79"/>
      <w:bookmarkEnd w:id="80"/>
    </w:p>
    <w:p w14:paraId="59B073CE">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本次公告同时在</w:t>
      </w:r>
      <w:r>
        <w:rPr>
          <w:rFonts w:hint="eastAsia" w:ascii="宋体" w:hAnsi="宋体"/>
          <w:snapToGrid w:val="0"/>
          <w:color w:val="auto"/>
          <w:kern w:val="0"/>
          <w:szCs w:val="21"/>
          <w:highlight w:val="none"/>
          <w:u w:val="single"/>
        </w:rPr>
        <w:t xml:space="preserve"> 行采家（https://www.gec123.com/）</w:t>
      </w:r>
      <w:r>
        <w:rPr>
          <w:rFonts w:ascii="宋体" w:hAnsi="宋体"/>
          <w:snapToGrid w:val="0"/>
          <w:color w:val="auto"/>
          <w:kern w:val="0"/>
          <w:szCs w:val="21"/>
          <w:highlight w:val="none"/>
        </w:rPr>
        <w:t>上发布。</w:t>
      </w:r>
    </w:p>
    <w:p w14:paraId="61577F39">
      <w:pPr>
        <w:pStyle w:val="3"/>
        <w:spacing w:before="100" w:after="100" w:line="460" w:lineRule="exact"/>
        <w:rPr>
          <w:rFonts w:ascii="宋体" w:hAnsi="宋体"/>
          <w:snapToGrid w:val="0"/>
          <w:color w:val="auto"/>
          <w:sz w:val="28"/>
          <w:szCs w:val="28"/>
          <w:highlight w:val="none"/>
        </w:rPr>
      </w:pPr>
      <w:bookmarkStart w:id="81" w:name="_Toc31352"/>
      <w:bookmarkStart w:id="82" w:name="_Toc14240"/>
      <w:bookmarkStart w:id="83" w:name="_Toc287607734"/>
      <w:bookmarkStart w:id="84" w:name="_Toc277082542"/>
      <w:bookmarkStart w:id="85" w:name="_Toc224103305"/>
      <w:bookmarkStart w:id="86" w:name="_Toc509218698"/>
      <w:bookmarkStart w:id="87" w:name="_Toc287620673"/>
      <w:bookmarkStart w:id="88" w:name="_Toc10191"/>
      <w:bookmarkStart w:id="89" w:name="_Toc430530422"/>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1"/>
      <w:bookmarkEnd w:id="82"/>
      <w:bookmarkStart w:id="90" w:name="_Toc589"/>
      <w:r>
        <w:rPr>
          <w:rFonts w:ascii="宋体" w:hAnsi="宋体"/>
          <w:snapToGrid w:val="0"/>
          <w:color w:val="auto"/>
          <w:sz w:val="28"/>
          <w:szCs w:val="28"/>
          <w:highlight w:val="none"/>
        </w:rPr>
        <w:t>联系方式</w:t>
      </w:r>
      <w:bookmarkEnd w:id="83"/>
      <w:bookmarkEnd w:id="84"/>
      <w:bookmarkEnd w:id="85"/>
      <w:bookmarkEnd w:id="86"/>
      <w:bookmarkEnd w:id="87"/>
      <w:bookmarkEnd w:id="88"/>
      <w:bookmarkEnd w:id="89"/>
      <w:bookmarkEnd w:id="90"/>
    </w:p>
    <w:p w14:paraId="74B8A24B">
      <w:pPr>
        <w:tabs>
          <w:tab w:val="left" w:pos="5140"/>
          <w:tab w:val="left" w:pos="8520"/>
        </w:tabs>
        <w:autoSpaceDE w:val="0"/>
        <w:autoSpaceDN w:val="0"/>
        <w:adjustRightInd w:val="0"/>
        <w:snapToGrid w:val="0"/>
        <w:spacing w:line="450" w:lineRule="exact"/>
        <w:ind w:left="5670" w:hanging="5670" w:hangingChars="27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r>
        <w:rPr>
          <w:rFonts w:hint="eastAsia" w:ascii="宋体" w:hAnsi="宋体"/>
          <w:snapToGrid w:val="0"/>
          <w:color w:val="auto"/>
          <w:kern w:val="0"/>
          <w:szCs w:val="21"/>
          <w:highlight w:val="none"/>
          <w:u w:val="single"/>
          <w:lang w:eastAsia="zh-CN"/>
        </w:rPr>
        <w:t xml:space="preserve">重庆市江南城市建设发展（集团）有限公司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 xml:space="preserve"> 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u w:val="single"/>
          <w:lang w:eastAsia="zh-CN"/>
        </w:rPr>
        <w:t xml:space="preserve">天之瓴建设股份有限公司   </w:t>
      </w:r>
    </w:p>
    <w:p w14:paraId="3D5345A2">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single"/>
          <w:lang w:eastAsia="zh-CN"/>
        </w:rPr>
        <w:t>重庆市南岸区茶园花街二期A栋</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single"/>
          <w:lang w:eastAsia="zh-CN"/>
        </w:rPr>
        <w:t>重庆市经开区长生桥镇通江大道214号3-3</w:t>
      </w:r>
      <w:r>
        <w:rPr>
          <w:rFonts w:hint="eastAsia" w:ascii="宋体" w:hAnsi="宋体"/>
          <w:snapToGrid w:val="0"/>
          <w:color w:val="auto"/>
          <w:kern w:val="0"/>
          <w:szCs w:val="21"/>
          <w:highlight w:val="none"/>
        </w:rPr>
        <w:t xml:space="preserve"> </w:t>
      </w:r>
    </w:p>
    <w:p w14:paraId="03F1184B">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马老师</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阳老师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8D2728D">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lang w:eastAsia="zh-CN"/>
        </w:rPr>
        <w:t xml:space="preserve"> </w:t>
      </w:r>
      <w:r>
        <w:rPr>
          <w:rFonts w:hint="eastAsia" w:ascii="宋体" w:hAnsi="宋体"/>
          <w:snapToGrid w:val="0"/>
          <w:color w:val="auto"/>
          <w:kern w:val="0"/>
          <w:szCs w:val="21"/>
          <w:highlight w:val="none"/>
          <w:u w:val="single"/>
          <w:lang w:val="en-US" w:eastAsia="zh-CN"/>
        </w:rPr>
        <w:t xml:space="preserve">18323732478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02362652790          </w:t>
      </w:r>
      <w:r>
        <w:rPr>
          <w:rFonts w:ascii="宋体" w:hAnsi="宋体"/>
          <w:snapToGrid w:val="0"/>
          <w:color w:val="auto"/>
          <w:kern w:val="0"/>
          <w:szCs w:val="21"/>
          <w:highlight w:val="none"/>
          <w:u w:val="single"/>
        </w:rPr>
        <w:t xml:space="preserve"> </w:t>
      </w:r>
    </w:p>
    <w:p w14:paraId="214A4C4A">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rPr>
      </w:pPr>
    </w:p>
    <w:p w14:paraId="2646D36E">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1" w:name="_Toc287607735"/>
      <w:bookmarkStart w:id="92" w:name="_Toc430530423"/>
      <w:bookmarkStart w:id="93" w:name="_Toc287620674"/>
      <w:bookmarkStart w:id="94" w:name="_Toc224103306"/>
    </w:p>
    <w:bookmarkEnd w:id="91"/>
    <w:bookmarkEnd w:id="92"/>
    <w:bookmarkEnd w:id="93"/>
    <w:bookmarkEnd w:id="94"/>
    <w:p w14:paraId="0629E859">
      <w:pPr>
        <w:pStyle w:val="2"/>
        <w:spacing w:line="360" w:lineRule="auto"/>
        <w:jc w:val="center"/>
        <w:rPr>
          <w:rFonts w:ascii="宋体" w:hAnsi="宋体"/>
          <w:bCs w:val="0"/>
          <w:snapToGrid w:val="0"/>
          <w:color w:val="auto"/>
          <w:kern w:val="0"/>
          <w:highlight w:val="none"/>
        </w:rPr>
      </w:pPr>
      <w:bookmarkStart w:id="95" w:name="_Toc430530432"/>
      <w:bookmarkStart w:id="96" w:name="_Toc287607744"/>
      <w:bookmarkStart w:id="97" w:name="_Toc224103315"/>
      <w:bookmarkStart w:id="98" w:name="_Toc287620683"/>
      <w:bookmarkStart w:id="99" w:name="_Toc32148"/>
      <w:bookmarkStart w:id="100" w:name="_Toc29973"/>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bookmarkEnd w:id="95"/>
      <w:bookmarkEnd w:id="96"/>
      <w:bookmarkEnd w:id="97"/>
      <w:bookmarkEnd w:id="98"/>
      <w:bookmarkEnd w:id="99"/>
      <w:bookmarkEnd w:id="100"/>
      <w:bookmarkStart w:id="101" w:name="_Toc287607745"/>
      <w:bookmarkStart w:id="102" w:name="_Toc277082551"/>
      <w:bookmarkStart w:id="103" w:name="_Toc430530433"/>
      <w:bookmarkStart w:id="104" w:name="_Toc224103316"/>
      <w:bookmarkStart w:id="105" w:name="_Toc287620684"/>
    </w:p>
    <w:p w14:paraId="10C35974">
      <w:pPr>
        <w:pStyle w:val="3"/>
        <w:spacing w:before="100" w:after="100" w:line="360" w:lineRule="auto"/>
        <w:rPr>
          <w:rFonts w:ascii="宋体" w:hAnsi="宋体"/>
          <w:color w:val="auto"/>
          <w:highlight w:val="none"/>
        </w:rPr>
      </w:pPr>
      <w:bookmarkStart w:id="106" w:name="_Toc509218708"/>
      <w:bookmarkStart w:id="107" w:name="_Toc8005"/>
      <w:bookmarkStart w:id="108" w:name="_Toc10513"/>
      <w:r>
        <w:rPr>
          <w:rFonts w:hint="eastAsia" w:ascii="宋体" w:hAnsi="宋体"/>
          <w:color w:val="auto"/>
          <w:highlight w:val="none"/>
        </w:rPr>
        <w:t>竞标人须知前附表</w:t>
      </w:r>
      <w:bookmarkEnd w:id="101"/>
      <w:bookmarkEnd w:id="102"/>
      <w:bookmarkEnd w:id="103"/>
      <w:bookmarkEnd w:id="104"/>
      <w:bookmarkEnd w:id="105"/>
      <w:bookmarkEnd w:id="106"/>
      <w:bookmarkEnd w:id="107"/>
      <w:bookmarkEnd w:id="108"/>
    </w:p>
    <w:p w14:paraId="314B76AE">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竞标人</w:t>
      </w:r>
      <w:r>
        <w:rPr>
          <w:rFonts w:ascii="宋体" w:hAnsi="宋体"/>
          <w:color w:val="auto"/>
          <w:szCs w:val="21"/>
          <w:highlight w:val="none"/>
        </w:rPr>
        <w:t>须知前附表与正文不一致的地方，以</w:t>
      </w:r>
      <w:r>
        <w:rPr>
          <w:rFonts w:hint="eastAsia" w:ascii="宋体" w:hAnsi="宋体"/>
          <w:color w:val="auto"/>
          <w:szCs w:val="21"/>
          <w:highlight w:val="none"/>
        </w:rPr>
        <w:t>竞标人</w:t>
      </w:r>
      <w:r>
        <w:rPr>
          <w:rFonts w:ascii="宋体" w:hAnsi="宋体"/>
          <w:color w:val="auto"/>
          <w:szCs w:val="21"/>
          <w:highlight w:val="none"/>
        </w:rPr>
        <w:t>须知前附表为准。</w:t>
      </w:r>
    </w:p>
    <w:tbl>
      <w:tblPr>
        <w:tblStyle w:val="48"/>
        <w:tblW w:w="9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919"/>
      </w:tblGrid>
      <w:tr w14:paraId="54B35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714CC40">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33EC8154">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919" w:type="dxa"/>
            <w:vAlign w:val="center"/>
          </w:tcPr>
          <w:p w14:paraId="132A315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69A45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2DC5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76F3AA8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919" w:type="dxa"/>
            <w:vAlign w:val="center"/>
          </w:tcPr>
          <w:p w14:paraId="6BDBE159">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名称：</w:t>
            </w:r>
            <w:r>
              <w:rPr>
                <w:rFonts w:hint="eastAsia" w:ascii="宋体" w:hAnsi="宋体"/>
                <w:color w:val="auto"/>
                <w:kern w:val="0"/>
                <w:szCs w:val="21"/>
                <w:highlight w:val="none"/>
                <w:lang w:eastAsia="zh-CN"/>
              </w:rPr>
              <w:t xml:space="preserve">重庆市江南城市建设发展（集团）有限公司 </w:t>
            </w:r>
          </w:p>
          <w:p w14:paraId="6F4C470A">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地址：</w:t>
            </w:r>
            <w:r>
              <w:rPr>
                <w:rFonts w:hint="eastAsia" w:ascii="宋体" w:hAnsi="宋体"/>
                <w:color w:val="auto"/>
                <w:kern w:val="0"/>
                <w:szCs w:val="21"/>
                <w:highlight w:val="none"/>
                <w:lang w:eastAsia="zh-CN"/>
              </w:rPr>
              <w:t>重庆市南岸区茶园花街二期A栋</w:t>
            </w:r>
          </w:p>
          <w:p w14:paraId="19A3FD4B">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联系人：</w:t>
            </w:r>
            <w:r>
              <w:rPr>
                <w:rFonts w:hint="eastAsia" w:ascii="宋体" w:hAnsi="宋体"/>
                <w:color w:val="auto"/>
                <w:kern w:val="0"/>
                <w:szCs w:val="21"/>
                <w:highlight w:val="none"/>
                <w:lang w:eastAsia="zh-CN"/>
              </w:rPr>
              <w:t>马老师</w:t>
            </w:r>
          </w:p>
          <w:p w14:paraId="25BB115D">
            <w:pPr>
              <w:snapToGrid w:val="0"/>
              <w:spacing w:line="400" w:lineRule="exact"/>
              <w:rPr>
                <w:rFonts w:ascii="宋体" w:hAnsi="宋体"/>
                <w:color w:val="auto"/>
                <w:kern w:val="0"/>
                <w:szCs w:val="21"/>
                <w:highlight w:val="none"/>
              </w:rPr>
            </w:pPr>
            <w:r>
              <w:rPr>
                <w:rFonts w:hint="eastAsia" w:ascii="宋体" w:hAnsi="宋体" w:eastAsia="宋体"/>
                <w:color w:val="auto"/>
                <w:kern w:val="0"/>
                <w:szCs w:val="21"/>
                <w:highlight w:val="none"/>
                <w:lang w:eastAsia="zh-CN"/>
              </w:rPr>
              <w:t>联系电话：</w:t>
            </w:r>
            <w:r>
              <w:rPr>
                <w:rFonts w:hint="eastAsia" w:ascii="宋体" w:hAnsi="宋体"/>
                <w:color w:val="auto"/>
                <w:kern w:val="0"/>
                <w:szCs w:val="21"/>
                <w:highlight w:val="none"/>
                <w:lang w:eastAsia="zh-CN"/>
              </w:rPr>
              <w:t>18323732478</w:t>
            </w:r>
            <w:r>
              <w:rPr>
                <w:rFonts w:hint="eastAsia" w:ascii="宋体" w:hAnsi="宋体" w:eastAsia="宋体"/>
                <w:color w:val="auto"/>
                <w:kern w:val="0"/>
                <w:szCs w:val="21"/>
                <w:highlight w:val="none"/>
                <w:lang w:eastAsia="zh-CN"/>
              </w:rPr>
              <w:t xml:space="preserve">  </w:t>
            </w:r>
          </w:p>
        </w:tc>
      </w:tr>
      <w:tr w14:paraId="3D4FC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4F16B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3227A62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代理机构</w:t>
            </w:r>
          </w:p>
        </w:tc>
        <w:tc>
          <w:tcPr>
            <w:tcW w:w="6919" w:type="dxa"/>
            <w:vAlign w:val="center"/>
          </w:tcPr>
          <w:p w14:paraId="55D59EBB">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比选代理机构：</w:t>
            </w:r>
            <w:r>
              <w:rPr>
                <w:rFonts w:hint="eastAsia" w:ascii="宋体" w:hAnsi="宋体"/>
                <w:color w:val="auto"/>
                <w:kern w:val="0"/>
                <w:szCs w:val="21"/>
                <w:highlight w:val="none"/>
                <w:lang w:eastAsia="zh-CN"/>
              </w:rPr>
              <w:t xml:space="preserve">天之瓴建设股份有限公司   </w:t>
            </w:r>
          </w:p>
          <w:p w14:paraId="55A6F843">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hAnsi="宋体"/>
                <w:color w:val="auto"/>
                <w:kern w:val="0"/>
                <w:szCs w:val="21"/>
                <w:highlight w:val="none"/>
                <w:lang w:eastAsia="zh-CN"/>
              </w:rPr>
              <w:t>重庆市经开区长生桥镇通江大道214号3-3</w:t>
            </w:r>
            <w:r>
              <w:rPr>
                <w:rFonts w:hint="eastAsia" w:ascii="宋体" w:hAnsi="宋体"/>
                <w:color w:val="auto"/>
                <w:kern w:val="0"/>
                <w:szCs w:val="21"/>
                <w:highlight w:val="none"/>
              </w:rPr>
              <w:t xml:space="preserve"> </w:t>
            </w:r>
          </w:p>
          <w:p w14:paraId="728A54F3">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联系人：</w:t>
            </w:r>
            <w:r>
              <w:rPr>
                <w:rFonts w:hint="eastAsia" w:ascii="宋体" w:hAnsi="宋体"/>
                <w:color w:val="auto"/>
                <w:kern w:val="0"/>
                <w:szCs w:val="21"/>
                <w:highlight w:val="none"/>
                <w:lang w:val="en-US" w:eastAsia="zh-CN"/>
              </w:rPr>
              <w:t>阳</w:t>
            </w:r>
            <w:r>
              <w:rPr>
                <w:rFonts w:hint="eastAsia" w:ascii="宋体" w:hAnsi="宋体"/>
                <w:color w:val="auto"/>
                <w:kern w:val="0"/>
                <w:szCs w:val="21"/>
                <w:highlight w:val="none"/>
              </w:rPr>
              <w:t>老师</w:t>
            </w:r>
            <w:r>
              <w:rPr>
                <w:rFonts w:hint="eastAsia" w:ascii="宋体" w:hAnsi="宋体"/>
                <w:color w:val="auto"/>
                <w:kern w:val="0"/>
                <w:szCs w:val="21"/>
                <w:highlight w:val="none"/>
                <w:lang w:val="en-US" w:eastAsia="zh-CN"/>
              </w:rPr>
              <w:t xml:space="preserve"> </w:t>
            </w:r>
          </w:p>
          <w:p w14:paraId="1BE0ED56">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联系电话：023</w:t>
            </w:r>
            <w:r>
              <w:rPr>
                <w:rFonts w:hint="eastAsia" w:ascii="宋体" w:hAnsi="宋体"/>
                <w:color w:val="auto"/>
                <w:kern w:val="0"/>
                <w:szCs w:val="21"/>
                <w:highlight w:val="none"/>
                <w:lang w:eastAsia="zh-CN"/>
              </w:rPr>
              <w:t>62652790</w:t>
            </w:r>
            <w:r>
              <w:rPr>
                <w:rFonts w:hint="eastAsia" w:ascii="宋体" w:hAnsi="宋体"/>
                <w:color w:val="auto"/>
                <w:kern w:val="0"/>
                <w:szCs w:val="21"/>
                <w:highlight w:val="none"/>
                <w:lang w:val="en-US" w:eastAsia="zh-CN"/>
              </w:rPr>
              <w:t xml:space="preserve"> </w:t>
            </w:r>
          </w:p>
        </w:tc>
      </w:tr>
      <w:tr w14:paraId="60D35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A47DD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3C7CAD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919" w:type="dxa"/>
            <w:vAlign w:val="center"/>
          </w:tcPr>
          <w:p w14:paraId="161C902A">
            <w:pPr>
              <w:snapToGrid w:val="0"/>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南岸区安全生产基础设施建设项目可研编制</w:t>
            </w:r>
          </w:p>
        </w:tc>
      </w:tr>
      <w:tr w14:paraId="72651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A27B6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1F64C1B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919" w:type="dxa"/>
            <w:vAlign w:val="center"/>
          </w:tcPr>
          <w:p w14:paraId="77682BCB">
            <w:pPr>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南岸区。</w:t>
            </w:r>
          </w:p>
        </w:tc>
      </w:tr>
      <w:tr w14:paraId="473F3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2A7B915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6183F5E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919" w:type="dxa"/>
            <w:vAlign w:val="center"/>
          </w:tcPr>
          <w:p w14:paraId="51B21BA1">
            <w:pPr>
              <w:snapToGrid w:val="0"/>
              <w:spacing w:line="40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项目拟在南岸区建设弹子石、四公里、雷家桥、通江4个小型消防站，将重庆东站小型消防站提升为一级消防站标准进行建设，总建筑面积约1.4万平方米，内含执勤车库、应急指挥室、应急物资储备库、医疗急救室及应急避难场地等，配套给排水、供暖、供电、绿化及消防救援等附属设施。</w:t>
            </w:r>
          </w:p>
        </w:tc>
      </w:tr>
      <w:tr w14:paraId="76031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E505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31CE336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919" w:type="dxa"/>
            <w:vAlign w:val="center"/>
          </w:tcPr>
          <w:p w14:paraId="4E9645DD">
            <w:pPr>
              <w:snapToGrid w:val="0"/>
              <w:spacing w:line="40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财政资金</w:t>
            </w:r>
          </w:p>
        </w:tc>
      </w:tr>
      <w:tr w14:paraId="318A3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36CEA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24A236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919" w:type="dxa"/>
            <w:vAlign w:val="center"/>
          </w:tcPr>
          <w:p w14:paraId="7E12C7D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7E175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35ABD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0C0EC28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919" w:type="dxa"/>
            <w:vAlign w:val="center"/>
          </w:tcPr>
          <w:p w14:paraId="2D49AA4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3F794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5BFA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439E40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919" w:type="dxa"/>
            <w:vAlign w:val="center"/>
          </w:tcPr>
          <w:p w14:paraId="2915AC21">
            <w:pPr>
              <w:snapToGrid w:val="0"/>
              <w:spacing w:line="400" w:lineRule="exact"/>
              <w:ind w:firstLine="420" w:firstLineChars="200"/>
              <w:rPr>
                <w:rFonts w:hint="default" w:ascii="宋体" w:hAnsi="宋体" w:eastAsia="宋体"/>
                <w:i/>
                <w:color w:val="auto"/>
                <w:szCs w:val="21"/>
                <w:highlight w:val="none"/>
                <w:lang w:val="en-US" w:eastAsia="zh-CN"/>
              </w:rPr>
            </w:pPr>
            <w:r>
              <w:rPr>
                <w:rFonts w:hint="eastAsia" w:cs="宋体" w:asciiTheme="minorEastAsia" w:hAnsiTheme="minorEastAsia" w:eastAsiaTheme="minorEastAsia"/>
                <w:color w:val="auto"/>
                <w:szCs w:val="21"/>
                <w:highlight w:val="none"/>
                <w:u w:val="none"/>
                <w:lang w:val="en-US" w:eastAsia="zh-CN"/>
              </w:rPr>
              <w:t>按照行业规范标准要求，结合项目实际情况，完成中选项目的可行性研究报告编制。成果报告达到报送上级主管部门评审深度，并配合评审工作直到取得可研批复，以及相关技术服务工作。</w:t>
            </w:r>
          </w:p>
        </w:tc>
      </w:tr>
      <w:tr w14:paraId="56685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7AA5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3E1AB52C">
            <w:pPr>
              <w:spacing w:line="400" w:lineRule="exact"/>
              <w:jc w:val="center"/>
              <w:rPr>
                <w:rFonts w:ascii="宋体" w:hAnsi="宋体"/>
                <w:color w:val="auto"/>
                <w:kern w:val="0"/>
                <w:szCs w:val="21"/>
                <w:highlight w:val="none"/>
              </w:rPr>
            </w:pPr>
            <w:r>
              <w:rPr>
                <w:rFonts w:hint="eastAsia" w:cs="宋体" w:asciiTheme="minorEastAsia" w:hAnsiTheme="minorEastAsia" w:eastAsiaTheme="minorEastAsia"/>
                <w:color w:val="auto"/>
                <w:szCs w:val="21"/>
                <w:highlight w:val="none"/>
              </w:rPr>
              <w:t>服务期限</w:t>
            </w:r>
          </w:p>
        </w:tc>
        <w:tc>
          <w:tcPr>
            <w:tcW w:w="6919" w:type="dxa"/>
            <w:vAlign w:val="center"/>
          </w:tcPr>
          <w:p w14:paraId="21A51D79">
            <w:pPr>
              <w:snapToGrid w:val="0"/>
              <w:spacing w:line="400" w:lineRule="exact"/>
              <w:ind w:firstLine="420" w:firstLineChars="200"/>
              <w:rPr>
                <w:rFonts w:hint="eastAsia"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签订合同后15日历天。</w:t>
            </w:r>
          </w:p>
        </w:tc>
      </w:tr>
      <w:tr w14:paraId="59335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1858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A0FC7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919" w:type="dxa"/>
            <w:vAlign w:val="center"/>
          </w:tcPr>
          <w:p w14:paraId="3A75EDDF">
            <w:pPr>
              <w:snapToGrid w:val="0"/>
              <w:spacing w:line="400" w:lineRule="exact"/>
              <w:ind w:firstLine="420" w:firstLineChars="200"/>
              <w:rPr>
                <w:rFonts w:hint="default"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咨询成果达到国家现行规范及验收合格标准，应符合国家及地方有关规定及上位规划等有关规定,还须满足招标深度要求，并通过比选人的审查合格。</w:t>
            </w:r>
          </w:p>
        </w:tc>
      </w:tr>
      <w:tr w14:paraId="08278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335" w:type="dxa"/>
            <w:vAlign w:val="center"/>
          </w:tcPr>
          <w:p w14:paraId="220BECB9">
            <w:pPr>
              <w:snapToGrid w:val="0"/>
              <w:spacing w:line="400" w:lineRule="exact"/>
              <w:jc w:val="center"/>
              <w:rPr>
                <w:rFonts w:ascii="宋体" w:hAnsi="宋体"/>
                <w:color w:val="auto"/>
                <w:kern w:val="0"/>
                <w:szCs w:val="21"/>
                <w:highlight w:val="none"/>
              </w:rPr>
            </w:pPr>
          </w:p>
          <w:p w14:paraId="3E8542D5">
            <w:pPr>
              <w:snapToGrid w:val="0"/>
              <w:spacing w:line="400" w:lineRule="exact"/>
              <w:jc w:val="center"/>
              <w:rPr>
                <w:rFonts w:ascii="宋体" w:hAnsi="宋体"/>
                <w:color w:val="auto"/>
                <w:kern w:val="0"/>
                <w:szCs w:val="21"/>
                <w:highlight w:val="none"/>
              </w:rPr>
            </w:pPr>
          </w:p>
          <w:p w14:paraId="1961C61D">
            <w:pPr>
              <w:snapToGrid w:val="0"/>
              <w:spacing w:line="400" w:lineRule="exact"/>
              <w:jc w:val="center"/>
              <w:rPr>
                <w:rFonts w:ascii="宋体" w:hAnsi="宋体"/>
                <w:color w:val="auto"/>
                <w:kern w:val="0"/>
                <w:szCs w:val="21"/>
                <w:highlight w:val="none"/>
              </w:rPr>
            </w:pPr>
          </w:p>
          <w:p w14:paraId="56FA0D1E">
            <w:pPr>
              <w:snapToGrid w:val="0"/>
              <w:spacing w:line="400" w:lineRule="exact"/>
              <w:jc w:val="center"/>
              <w:rPr>
                <w:rFonts w:ascii="宋体" w:hAnsi="宋体"/>
                <w:color w:val="auto"/>
                <w:kern w:val="0"/>
                <w:szCs w:val="21"/>
                <w:highlight w:val="none"/>
              </w:rPr>
            </w:pPr>
          </w:p>
          <w:p w14:paraId="51D615C8">
            <w:pPr>
              <w:snapToGrid w:val="0"/>
              <w:spacing w:line="400" w:lineRule="exact"/>
              <w:jc w:val="center"/>
              <w:rPr>
                <w:rFonts w:ascii="宋体" w:hAnsi="宋体"/>
                <w:color w:val="auto"/>
                <w:kern w:val="0"/>
                <w:szCs w:val="21"/>
                <w:highlight w:val="none"/>
              </w:rPr>
            </w:pPr>
          </w:p>
          <w:p w14:paraId="1D0E8A5A">
            <w:pPr>
              <w:snapToGrid w:val="0"/>
              <w:spacing w:line="400" w:lineRule="exact"/>
              <w:jc w:val="center"/>
              <w:rPr>
                <w:rFonts w:ascii="宋体" w:hAnsi="宋体"/>
                <w:color w:val="auto"/>
                <w:kern w:val="0"/>
                <w:szCs w:val="21"/>
                <w:highlight w:val="none"/>
              </w:rPr>
            </w:pPr>
          </w:p>
          <w:p w14:paraId="51DE595D">
            <w:pPr>
              <w:snapToGrid w:val="0"/>
              <w:spacing w:line="400" w:lineRule="exact"/>
              <w:jc w:val="center"/>
              <w:rPr>
                <w:rFonts w:ascii="宋体" w:hAnsi="宋体"/>
                <w:color w:val="auto"/>
                <w:kern w:val="0"/>
                <w:szCs w:val="21"/>
                <w:highlight w:val="none"/>
              </w:rPr>
            </w:pPr>
          </w:p>
          <w:p w14:paraId="5A17273D">
            <w:pPr>
              <w:snapToGrid w:val="0"/>
              <w:spacing w:line="400" w:lineRule="exact"/>
              <w:jc w:val="center"/>
              <w:rPr>
                <w:rFonts w:ascii="宋体" w:hAnsi="宋体"/>
                <w:color w:val="auto"/>
                <w:kern w:val="0"/>
                <w:szCs w:val="21"/>
                <w:highlight w:val="none"/>
              </w:rPr>
            </w:pPr>
          </w:p>
          <w:p w14:paraId="454942ED">
            <w:pPr>
              <w:snapToGrid w:val="0"/>
              <w:spacing w:line="400" w:lineRule="exact"/>
              <w:jc w:val="center"/>
              <w:rPr>
                <w:rFonts w:ascii="宋体" w:hAnsi="宋体"/>
                <w:color w:val="auto"/>
                <w:kern w:val="0"/>
                <w:szCs w:val="21"/>
                <w:highlight w:val="none"/>
              </w:rPr>
            </w:pPr>
          </w:p>
          <w:p w14:paraId="269949ED">
            <w:pPr>
              <w:snapToGrid w:val="0"/>
              <w:spacing w:line="400" w:lineRule="exact"/>
              <w:jc w:val="center"/>
              <w:rPr>
                <w:rFonts w:ascii="宋体" w:hAnsi="宋体"/>
                <w:color w:val="auto"/>
                <w:kern w:val="0"/>
                <w:szCs w:val="21"/>
                <w:highlight w:val="none"/>
              </w:rPr>
            </w:pPr>
          </w:p>
          <w:p w14:paraId="61B5DC0B">
            <w:pPr>
              <w:snapToGrid w:val="0"/>
              <w:spacing w:line="400" w:lineRule="exact"/>
              <w:jc w:val="center"/>
              <w:rPr>
                <w:rFonts w:ascii="宋体" w:hAnsi="宋体"/>
                <w:color w:val="auto"/>
                <w:kern w:val="0"/>
                <w:szCs w:val="21"/>
                <w:highlight w:val="none"/>
              </w:rPr>
            </w:pPr>
          </w:p>
          <w:p w14:paraId="18C76EC3">
            <w:pPr>
              <w:snapToGrid w:val="0"/>
              <w:spacing w:line="400" w:lineRule="exact"/>
              <w:jc w:val="center"/>
              <w:rPr>
                <w:rFonts w:ascii="宋体" w:hAnsi="宋体"/>
                <w:color w:val="auto"/>
                <w:kern w:val="0"/>
                <w:szCs w:val="21"/>
                <w:highlight w:val="none"/>
              </w:rPr>
            </w:pPr>
          </w:p>
          <w:p w14:paraId="35F0DD5F">
            <w:pPr>
              <w:snapToGrid w:val="0"/>
              <w:spacing w:line="400" w:lineRule="exact"/>
              <w:jc w:val="center"/>
              <w:rPr>
                <w:rFonts w:ascii="宋体" w:hAnsi="宋体"/>
                <w:color w:val="auto"/>
                <w:kern w:val="0"/>
                <w:szCs w:val="21"/>
                <w:highlight w:val="none"/>
              </w:rPr>
            </w:pPr>
          </w:p>
          <w:p w14:paraId="746957A1">
            <w:pPr>
              <w:snapToGrid w:val="0"/>
              <w:spacing w:line="400" w:lineRule="exact"/>
              <w:jc w:val="center"/>
              <w:rPr>
                <w:rFonts w:ascii="宋体" w:hAnsi="宋体"/>
                <w:color w:val="auto"/>
                <w:kern w:val="0"/>
                <w:szCs w:val="21"/>
                <w:highlight w:val="none"/>
              </w:rPr>
            </w:pPr>
          </w:p>
          <w:p w14:paraId="0853BEB1">
            <w:pPr>
              <w:snapToGrid w:val="0"/>
              <w:spacing w:line="400" w:lineRule="exact"/>
              <w:jc w:val="center"/>
              <w:rPr>
                <w:rFonts w:ascii="宋体" w:hAnsi="宋体"/>
                <w:color w:val="auto"/>
                <w:kern w:val="0"/>
                <w:szCs w:val="21"/>
                <w:highlight w:val="none"/>
              </w:rPr>
            </w:pPr>
          </w:p>
          <w:p w14:paraId="0FC741E1">
            <w:pPr>
              <w:snapToGrid w:val="0"/>
              <w:spacing w:line="400" w:lineRule="exact"/>
              <w:jc w:val="center"/>
              <w:rPr>
                <w:rFonts w:ascii="宋体" w:hAnsi="宋体"/>
                <w:color w:val="auto"/>
                <w:kern w:val="0"/>
                <w:szCs w:val="21"/>
                <w:highlight w:val="none"/>
              </w:rPr>
            </w:pPr>
          </w:p>
          <w:p w14:paraId="6A370357">
            <w:pPr>
              <w:snapToGrid w:val="0"/>
              <w:spacing w:line="400" w:lineRule="exact"/>
              <w:jc w:val="center"/>
              <w:rPr>
                <w:rFonts w:ascii="宋体" w:hAnsi="宋体"/>
                <w:color w:val="auto"/>
                <w:kern w:val="0"/>
                <w:szCs w:val="21"/>
                <w:highlight w:val="none"/>
              </w:rPr>
            </w:pPr>
          </w:p>
          <w:p w14:paraId="5B88200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1042B82B">
            <w:pPr>
              <w:snapToGrid w:val="0"/>
              <w:spacing w:line="400" w:lineRule="exact"/>
              <w:jc w:val="center"/>
              <w:rPr>
                <w:rFonts w:ascii="宋体" w:hAnsi="宋体"/>
                <w:color w:val="auto"/>
                <w:kern w:val="0"/>
                <w:szCs w:val="21"/>
                <w:highlight w:val="none"/>
              </w:rPr>
            </w:pPr>
          </w:p>
          <w:p w14:paraId="6A9FFF7E">
            <w:pPr>
              <w:snapToGrid w:val="0"/>
              <w:spacing w:line="400" w:lineRule="exact"/>
              <w:jc w:val="center"/>
              <w:rPr>
                <w:rFonts w:ascii="宋体" w:hAnsi="宋体"/>
                <w:color w:val="auto"/>
                <w:kern w:val="0"/>
                <w:szCs w:val="21"/>
                <w:highlight w:val="none"/>
              </w:rPr>
            </w:pPr>
          </w:p>
          <w:p w14:paraId="1719759E">
            <w:pPr>
              <w:snapToGrid w:val="0"/>
              <w:spacing w:line="400" w:lineRule="exact"/>
              <w:jc w:val="center"/>
              <w:rPr>
                <w:rFonts w:ascii="宋体" w:hAnsi="宋体"/>
                <w:color w:val="auto"/>
                <w:kern w:val="0"/>
                <w:szCs w:val="21"/>
                <w:highlight w:val="none"/>
              </w:rPr>
            </w:pPr>
          </w:p>
          <w:p w14:paraId="46C1F701">
            <w:pPr>
              <w:snapToGrid w:val="0"/>
              <w:spacing w:line="400" w:lineRule="exact"/>
              <w:jc w:val="center"/>
              <w:rPr>
                <w:rFonts w:ascii="宋体" w:hAnsi="宋体"/>
                <w:color w:val="auto"/>
                <w:kern w:val="0"/>
                <w:szCs w:val="21"/>
                <w:highlight w:val="none"/>
              </w:rPr>
            </w:pPr>
          </w:p>
          <w:p w14:paraId="1A2DBB94">
            <w:pPr>
              <w:snapToGrid w:val="0"/>
              <w:spacing w:line="400" w:lineRule="exact"/>
              <w:jc w:val="center"/>
              <w:rPr>
                <w:rFonts w:ascii="宋体" w:hAnsi="宋体"/>
                <w:color w:val="auto"/>
                <w:kern w:val="0"/>
                <w:szCs w:val="21"/>
                <w:highlight w:val="none"/>
              </w:rPr>
            </w:pPr>
          </w:p>
          <w:p w14:paraId="6781EAEA">
            <w:pPr>
              <w:snapToGrid w:val="0"/>
              <w:spacing w:line="400" w:lineRule="exact"/>
              <w:jc w:val="center"/>
              <w:rPr>
                <w:rFonts w:ascii="宋体" w:hAnsi="宋体"/>
                <w:color w:val="auto"/>
                <w:kern w:val="0"/>
                <w:szCs w:val="21"/>
                <w:highlight w:val="none"/>
              </w:rPr>
            </w:pPr>
          </w:p>
          <w:p w14:paraId="7E1DFE27">
            <w:pPr>
              <w:snapToGrid w:val="0"/>
              <w:spacing w:line="400" w:lineRule="exact"/>
              <w:jc w:val="center"/>
              <w:rPr>
                <w:rFonts w:ascii="宋体" w:hAnsi="宋体"/>
                <w:color w:val="auto"/>
                <w:kern w:val="0"/>
                <w:szCs w:val="21"/>
                <w:highlight w:val="none"/>
              </w:rPr>
            </w:pPr>
          </w:p>
          <w:p w14:paraId="5FAC14A1">
            <w:pPr>
              <w:snapToGrid w:val="0"/>
              <w:spacing w:line="400" w:lineRule="exact"/>
              <w:jc w:val="center"/>
              <w:rPr>
                <w:rFonts w:ascii="宋体" w:hAnsi="宋体"/>
                <w:color w:val="auto"/>
                <w:kern w:val="0"/>
                <w:szCs w:val="21"/>
                <w:highlight w:val="none"/>
              </w:rPr>
            </w:pPr>
          </w:p>
          <w:p w14:paraId="67A04512">
            <w:pPr>
              <w:snapToGrid w:val="0"/>
              <w:spacing w:line="400" w:lineRule="exact"/>
              <w:jc w:val="center"/>
              <w:rPr>
                <w:rFonts w:ascii="宋体" w:hAnsi="宋体"/>
                <w:color w:val="auto"/>
                <w:kern w:val="0"/>
                <w:szCs w:val="21"/>
                <w:highlight w:val="none"/>
              </w:rPr>
            </w:pPr>
          </w:p>
          <w:p w14:paraId="0A86A28D">
            <w:pPr>
              <w:snapToGrid w:val="0"/>
              <w:spacing w:line="400" w:lineRule="exact"/>
              <w:jc w:val="center"/>
              <w:rPr>
                <w:rFonts w:ascii="宋体" w:hAnsi="宋体"/>
                <w:color w:val="auto"/>
                <w:kern w:val="0"/>
                <w:szCs w:val="21"/>
                <w:highlight w:val="none"/>
              </w:rPr>
            </w:pPr>
          </w:p>
          <w:p w14:paraId="6A16BAFC">
            <w:pPr>
              <w:snapToGrid w:val="0"/>
              <w:spacing w:line="400" w:lineRule="exact"/>
              <w:jc w:val="center"/>
              <w:rPr>
                <w:rFonts w:ascii="宋体" w:hAnsi="宋体"/>
                <w:color w:val="auto"/>
                <w:kern w:val="0"/>
                <w:szCs w:val="21"/>
                <w:highlight w:val="none"/>
              </w:rPr>
            </w:pPr>
          </w:p>
          <w:p w14:paraId="0510457E">
            <w:pPr>
              <w:snapToGrid w:val="0"/>
              <w:spacing w:line="400" w:lineRule="exact"/>
              <w:jc w:val="center"/>
              <w:rPr>
                <w:rFonts w:ascii="宋体" w:hAnsi="宋体"/>
                <w:color w:val="auto"/>
                <w:kern w:val="0"/>
                <w:szCs w:val="21"/>
                <w:highlight w:val="none"/>
              </w:rPr>
            </w:pPr>
          </w:p>
          <w:p w14:paraId="5C46B47C">
            <w:pPr>
              <w:snapToGrid w:val="0"/>
              <w:spacing w:line="400" w:lineRule="exact"/>
              <w:jc w:val="center"/>
              <w:rPr>
                <w:rFonts w:ascii="宋体" w:hAnsi="宋体"/>
                <w:color w:val="auto"/>
                <w:kern w:val="0"/>
                <w:szCs w:val="21"/>
                <w:highlight w:val="none"/>
              </w:rPr>
            </w:pPr>
          </w:p>
          <w:p w14:paraId="1F86DE5A">
            <w:pPr>
              <w:snapToGrid w:val="0"/>
              <w:spacing w:line="400" w:lineRule="exact"/>
              <w:jc w:val="center"/>
              <w:rPr>
                <w:rFonts w:ascii="宋体" w:hAnsi="宋体"/>
                <w:color w:val="auto"/>
                <w:kern w:val="0"/>
                <w:szCs w:val="21"/>
                <w:highlight w:val="none"/>
              </w:rPr>
            </w:pPr>
          </w:p>
          <w:p w14:paraId="140CEC5A">
            <w:pPr>
              <w:snapToGrid w:val="0"/>
              <w:spacing w:line="400" w:lineRule="exact"/>
              <w:jc w:val="center"/>
              <w:rPr>
                <w:rFonts w:ascii="宋体" w:hAnsi="宋体"/>
                <w:color w:val="auto"/>
                <w:kern w:val="0"/>
                <w:szCs w:val="21"/>
                <w:highlight w:val="none"/>
              </w:rPr>
            </w:pPr>
          </w:p>
          <w:p w14:paraId="4ED40160">
            <w:pPr>
              <w:snapToGrid w:val="0"/>
              <w:spacing w:line="400" w:lineRule="exact"/>
              <w:jc w:val="center"/>
              <w:rPr>
                <w:rFonts w:ascii="宋体" w:hAnsi="宋体"/>
                <w:color w:val="auto"/>
                <w:kern w:val="0"/>
                <w:szCs w:val="21"/>
                <w:highlight w:val="none"/>
              </w:rPr>
            </w:pPr>
          </w:p>
          <w:p w14:paraId="3645A10F">
            <w:pPr>
              <w:snapToGrid w:val="0"/>
              <w:spacing w:line="400" w:lineRule="exact"/>
              <w:jc w:val="center"/>
              <w:rPr>
                <w:rFonts w:ascii="宋体" w:hAnsi="宋体"/>
                <w:color w:val="auto"/>
                <w:kern w:val="0"/>
                <w:szCs w:val="21"/>
                <w:highlight w:val="none"/>
              </w:rPr>
            </w:pPr>
          </w:p>
          <w:p w14:paraId="2840867B">
            <w:pPr>
              <w:snapToGrid w:val="0"/>
              <w:spacing w:line="400" w:lineRule="exact"/>
              <w:jc w:val="center"/>
              <w:rPr>
                <w:rFonts w:ascii="宋体" w:hAnsi="宋体"/>
                <w:color w:val="auto"/>
                <w:kern w:val="0"/>
                <w:szCs w:val="21"/>
                <w:highlight w:val="none"/>
              </w:rPr>
            </w:pPr>
          </w:p>
          <w:p w14:paraId="4E73E1D8">
            <w:pPr>
              <w:snapToGrid w:val="0"/>
              <w:spacing w:line="400" w:lineRule="exact"/>
              <w:jc w:val="center"/>
              <w:rPr>
                <w:rFonts w:ascii="宋体" w:hAnsi="宋体"/>
                <w:color w:val="auto"/>
                <w:kern w:val="0"/>
                <w:szCs w:val="21"/>
                <w:highlight w:val="none"/>
              </w:rPr>
            </w:pPr>
          </w:p>
          <w:p w14:paraId="4EABE80B">
            <w:pPr>
              <w:snapToGrid w:val="0"/>
              <w:spacing w:line="400" w:lineRule="exact"/>
              <w:jc w:val="center"/>
              <w:rPr>
                <w:rFonts w:ascii="宋体" w:hAnsi="宋体"/>
                <w:color w:val="auto"/>
                <w:kern w:val="0"/>
                <w:szCs w:val="21"/>
                <w:highlight w:val="none"/>
              </w:rPr>
            </w:pPr>
          </w:p>
          <w:p w14:paraId="33F1E043">
            <w:pPr>
              <w:snapToGrid w:val="0"/>
              <w:spacing w:line="400" w:lineRule="exact"/>
              <w:jc w:val="center"/>
              <w:rPr>
                <w:rFonts w:ascii="宋体" w:hAnsi="宋体"/>
                <w:color w:val="auto"/>
                <w:kern w:val="0"/>
                <w:szCs w:val="21"/>
                <w:highlight w:val="none"/>
              </w:rPr>
            </w:pPr>
          </w:p>
          <w:p w14:paraId="61354441">
            <w:pPr>
              <w:snapToGrid w:val="0"/>
              <w:spacing w:line="400" w:lineRule="exact"/>
              <w:jc w:val="center"/>
              <w:rPr>
                <w:rFonts w:ascii="宋体" w:hAnsi="宋体"/>
                <w:color w:val="auto"/>
                <w:kern w:val="0"/>
                <w:szCs w:val="21"/>
                <w:highlight w:val="none"/>
              </w:rPr>
            </w:pPr>
          </w:p>
          <w:p w14:paraId="53884A41">
            <w:pPr>
              <w:snapToGrid w:val="0"/>
              <w:spacing w:line="400" w:lineRule="exact"/>
              <w:jc w:val="center"/>
              <w:rPr>
                <w:rFonts w:ascii="宋体" w:hAnsi="宋体"/>
                <w:color w:val="auto"/>
                <w:kern w:val="0"/>
                <w:szCs w:val="21"/>
                <w:highlight w:val="none"/>
              </w:rPr>
            </w:pPr>
          </w:p>
          <w:p w14:paraId="2E9574E2">
            <w:pPr>
              <w:snapToGrid w:val="0"/>
              <w:spacing w:line="400" w:lineRule="exact"/>
              <w:jc w:val="center"/>
              <w:rPr>
                <w:rFonts w:ascii="宋体" w:hAnsi="宋体"/>
                <w:color w:val="auto"/>
                <w:kern w:val="0"/>
                <w:szCs w:val="21"/>
                <w:highlight w:val="none"/>
              </w:rPr>
            </w:pPr>
          </w:p>
          <w:p w14:paraId="36B1D0B4">
            <w:pPr>
              <w:snapToGrid w:val="0"/>
              <w:spacing w:line="400" w:lineRule="exact"/>
              <w:jc w:val="center"/>
              <w:rPr>
                <w:rFonts w:ascii="宋体" w:hAnsi="宋体"/>
                <w:color w:val="auto"/>
                <w:kern w:val="0"/>
                <w:szCs w:val="21"/>
                <w:highlight w:val="none"/>
              </w:rPr>
            </w:pPr>
          </w:p>
          <w:p w14:paraId="5EA0519F">
            <w:pPr>
              <w:snapToGrid w:val="0"/>
              <w:spacing w:line="400" w:lineRule="exact"/>
              <w:jc w:val="center"/>
              <w:rPr>
                <w:rFonts w:ascii="宋体" w:hAnsi="宋体"/>
                <w:color w:val="auto"/>
                <w:kern w:val="0"/>
                <w:szCs w:val="21"/>
                <w:highlight w:val="none"/>
              </w:rPr>
            </w:pPr>
          </w:p>
          <w:p w14:paraId="47681E7F">
            <w:pPr>
              <w:snapToGrid w:val="0"/>
              <w:spacing w:line="400" w:lineRule="exact"/>
              <w:jc w:val="center"/>
              <w:rPr>
                <w:rFonts w:ascii="宋体" w:hAnsi="宋体"/>
                <w:color w:val="auto"/>
                <w:kern w:val="0"/>
                <w:szCs w:val="21"/>
                <w:highlight w:val="none"/>
              </w:rPr>
            </w:pPr>
          </w:p>
          <w:p w14:paraId="0066D0E5">
            <w:pPr>
              <w:snapToGrid w:val="0"/>
              <w:spacing w:line="400" w:lineRule="exact"/>
              <w:jc w:val="center"/>
              <w:rPr>
                <w:rFonts w:ascii="宋体" w:hAnsi="宋体"/>
                <w:color w:val="auto"/>
                <w:kern w:val="0"/>
                <w:szCs w:val="21"/>
                <w:highlight w:val="none"/>
              </w:rPr>
            </w:pPr>
          </w:p>
          <w:p w14:paraId="0368A41B">
            <w:pPr>
              <w:snapToGrid w:val="0"/>
              <w:spacing w:line="400" w:lineRule="exact"/>
              <w:jc w:val="center"/>
              <w:rPr>
                <w:rFonts w:ascii="宋体" w:hAnsi="宋体"/>
                <w:color w:val="auto"/>
                <w:kern w:val="0"/>
                <w:szCs w:val="21"/>
                <w:highlight w:val="none"/>
              </w:rPr>
            </w:pPr>
          </w:p>
          <w:p w14:paraId="606C5B27">
            <w:pPr>
              <w:snapToGrid w:val="0"/>
              <w:spacing w:line="400" w:lineRule="exact"/>
              <w:jc w:val="center"/>
              <w:rPr>
                <w:rFonts w:ascii="宋体" w:hAnsi="宋体"/>
                <w:color w:val="auto"/>
                <w:kern w:val="0"/>
                <w:szCs w:val="21"/>
                <w:highlight w:val="none"/>
              </w:rPr>
            </w:pPr>
          </w:p>
          <w:p w14:paraId="37F1C9FC">
            <w:pPr>
              <w:snapToGrid w:val="0"/>
              <w:spacing w:line="400" w:lineRule="exact"/>
              <w:jc w:val="center"/>
              <w:rPr>
                <w:rFonts w:ascii="宋体" w:hAnsi="宋体"/>
                <w:color w:val="auto"/>
                <w:kern w:val="0"/>
                <w:szCs w:val="21"/>
                <w:highlight w:val="none"/>
              </w:rPr>
            </w:pPr>
          </w:p>
          <w:p w14:paraId="51DEA1F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4F74269">
            <w:pPr>
              <w:snapToGrid w:val="0"/>
              <w:spacing w:line="400" w:lineRule="exact"/>
              <w:jc w:val="center"/>
              <w:rPr>
                <w:rFonts w:ascii="宋体" w:hAnsi="宋体"/>
                <w:color w:val="auto"/>
                <w:kern w:val="0"/>
                <w:szCs w:val="21"/>
                <w:highlight w:val="none"/>
              </w:rPr>
            </w:pPr>
          </w:p>
          <w:p w14:paraId="7CBBA842">
            <w:pPr>
              <w:snapToGrid w:val="0"/>
              <w:spacing w:line="400" w:lineRule="exact"/>
              <w:jc w:val="center"/>
              <w:rPr>
                <w:rFonts w:ascii="宋体" w:hAnsi="宋体"/>
                <w:color w:val="auto"/>
                <w:kern w:val="0"/>
                <w:szCs w:val="21"/>
                <w:highlight w:val="none"/>
              </w:rPr>
            </w:pPr>
          </w:p>
          <w:p w14:paraId="4632DE51">
            <w:pPr>
              <w:snapToGrid w:val="0"/>
              <w:spacing w:line="400" w:lineRule="exact"/>
              <w:jc w:val="center"/>
              <w:rPr>
                <w:rFonts w:ascii="宋体" w:hAnsi="宋体"/>
                <w:color w:val="auto"/>
                <w:kern w:val="0"/>
                <w:szCs w:val="21"/>
                <w:highlight w:val="none"/>
              </w:rPr>
            </w:pPr>
          </w:p>
          <w:p w14:paraId="2887AA76">
            <w:pPr>
              <w:snapToGrid w:val="0"/>
              <w:spacing w:line="400" w:lineRule="exact"/>
              <w:jc w:val="center"/>
              <w:rPr>
                <w:rFonts w:ascii="宋体" w:hAnsi="宋体"/>
                <w:color w:val="auto"/>
                <w:kern w:val="0"/>
                <w:szCs w:val="21"/>
                <w:highlight w:val="none"/>
              </w:rPr>
            </w:pPr>
          </w:p>
          <w:p w14:paraId="77A32CF5">
            <w:pPr>
              <w:snapToGrid w:val="0"/>
              <w:spacing w:line="400" w:lineRule="exact"/>
              <w:jc w:val="center"/>
              <w:rPr>
                <w:rFonts w:ascii="宋体" w:hAnsi="宋体"/>
                <w:color w:val="auto"/>
                <w:kern w:val="0"/>
                <w:szCs w:val="21"/>
                <w:highlight w:val="none"/>
              </w:rPr>
            </w:pPr>
          </w:p>
          <w:p w14:paraId="4A00A6C5">
            <w:pPr>
              <w:snapToGrid w:val="0"/>
              <w:spacing w:line="400" w:lineRule="exact"/>
              <w:jc w:val="center"/>
              <w:rPr>
                <w:rFonts w:ascii="宋体" w:hAnsi="宋体"/>
                <w:color w:val="auto"/>
                <w:kern w:val="0"/>
                <w:szCs w:val="21"/>
                <w:highlight w:val="none"/>
              </w:rPr>
            </w:pPr>
          </w:p>
          <w:p w14:paraId="160A9F79">
            <w:pPr>
              <w:snapToGrid w:val="0"/>
              <w:spacing w:line="400" w:lineRule="exact"/>
              <w:jc w:val="center"/>
              <w:rPr>
                <w:rFonts w:ascii="宋体" w:hAnsi="宋体"/>
                <w:color w:val="auto"/>
                <w:kern w:val="0"/>
                <w:szCs w:val="21"/>
                <w:highlight w:val="none"/>
              </w:rPr>
            </w:pPr>
          </w:p>
          <w:p w14:paraId="30949882">
            <w:pPr>
              <w:snapToGrid w:val="0"/>
              <w:spacing w:line="400" w:lineRule="exact"/>
              <w:jc w:val="center"/>
              <w:rPr>
                <w:rFonts w:ascii="宋体" w:hAnsi="宋体"/>
                <w:color w:val="auto"/>
                <w:kern w:val="0"/>
                <w:szCs w:val="21"/>
                <w:highlight w:val="none"/>
              </w:rPr>
            </w:pPr>
          </w:p>
          <w:p w14:paraId="1D56268A">
            <w:pPr>
              <w:snapToGrid w:val="0"/>
              <w:spacing w:line="400" w:lineRule="exact"/>
              <w:jc w:val="center"/>
              <w:rPr>
                <w:rFonts w:ascii="宋体" w:hAnsi="宋体"/>
                <w:color w:val="auto"/>
                <w:kern w:val="0"/>
                <w:szCs w:val="21"/>
                <w:highlight w:val="none"/>
              </w:rPr>
            </w:pPr>
          </w:p>
          <w:p w14:paraId="0D1130F6">
            <w:pPr>
              <w:snapToGrid w:val="0"/>
              <w:spacing w:line="400" w:lineRule="exact"/>
              <w:jc w:val="center"/>
              <w:rPr>
                <w:rFonts w:ascii="宋体" w:hAnsi="宋体"/>
                <w:color w:val="auto"/>
                <w:kern w:val="0"/>
                <w:szCs w:val="21"/>
                <w:highlight w:val="none"/>
              </w:rPr>
            </w:pPr>
          </w:p>
        </w:tc>
        <w:tc>
          <w:tcPr>
            <w:tcW w:w="1644" w:type="dxa"/>
            <w:vAlign w:val="center"/>
          </w:tcPr>
          <w:p w14:paraId="67900304">
            <w:pPr>
              <w:snapToGrid w:val="0"/>
              <w:spacing w:line="400" w:lineRule="exact"/>
              <w:jc w:val="center"/>
              <w:rPr>
                <w:rFonts w:ascii="宋体" w:hAnsi="宋体"/>
                <w:color w:val="auto"/>
                <w:kern w:val="0"/>
                <w:szCs w:val="21"/>
                <w:highlight w:val="none"/>
              </w:rPr>
            </w:pPr>
          </w:p>
          <w:p w14:paraId="1AD08C65">
            <w:pPr>
              <w:snapToGrid w:val="0"/>
              <w:spacing w:line="400" w:lineRule="exact"/>
              <w:jc w:val="center"/>
              <w:rPr>
                <w:rFonts w:ascii="宋体" w:hAnsi="宋体"/>
                <w:color w:val="auto"/>
                <w:kern w:val="0"/>
                <w:szCs w:val="21"/>
                <w:highlight w:val="none"/>
              </w:rPr>
            </w:pPr>
          </w:p>
          <w:p w14:paraId="4DA6AD4C">
            <w:pPr>
              <w:snapToGrid w:val="0"/>
              <w:spacing w:line="400" w:lineRule="exact"/>
              <w:jc w:val="center"/>
              <w:rPr>
                <w:rFonts w:ascii="宋体" w:hAnsi="宋体"/>
                <w:color w:val="auto"/>
                <w:kern w:val="0"/>
                <w:szCs w:val="21"/>
                <w:highlight w:val="none"/>
              </w:rPr>
            </w:pPr>
          </w:p>
          <w:p w14:paraId="0E5315B4">
            <w:pPr>
              <w:snapToGrid w:val="0"/>
              <w:spacing w:line="400" w:lineRule="exact"/>
              <w:jc w:val="center"/>
              <w:rPr>
                <w:rFonts w:ascii="宋体" w:hAnsi="宋体"/>
                <w:color w:val="auto"/>
                <w:kern w:val="0"/>
                <w:szCs w:val="21"/>
                <w:highlight w:val="none"/>
              </w:rPr>
            </w:pPr>
          </w:p>
          <w:p w14:paraId="24744CBF">
            <w:pPr>
              <w:snapToGrid w:val="0"/>
              <w:spacing w:line="400" w:lineRule="exact"/>
              <w:jc w:val="center"/>
              <w:rPr>
                <w:rFonts w:ascii="宋体" w:hAnsi="宋体"/>
                <w:color w:val="auto"/>
                <w:kern w:val="0"/>
                <w:szCs w:val="21"/>
                <w:highlight w:val="none"/>
              </w:rPr>
            </w:pPr>
          </w:p>
          <w:p w14:paraId="1CB0F143">
            <w:pPr>
              <w:snapToGrid w:val="0"/>
              <w:spacing w:line="400" w:lineRule="exact"/>
              <w:jc w:val="center"/>
              <w:rPr>
                <w:rFonts w:ascii="宋体" w:hAnsi="宋体"/>
                <w:color w:val="auto"/>
                <w:kern w:val="0"/>
                <w:szCs w:val="21"/>
                <w:highlight w:val="none"/>
              </w:rPr>
            </w:pPr>
          </w:p>
          <w:p w14:paraId="4B2461D1">
            <w:pPr>
              <w:snapToGrid w:val="0"/>
              <w:spacing w:line="400" w:lineRule="exact"/>
              <w:jc w:val="center"/>
              <w:rPr>
                <w:rFonts w:ascii="宋体" w:hAnsi="宋体"/>
                <w:color w:val="auto"/>
                <w:kern w:val="0"/>
                <w:szCs w:val="21"/>
                <w:highlight w:val="none"/>
              </w:rPr>
            </w:pPr>
          </w:p>
          <w:p w14:paraId="4DC97DE5">
            <w:pPr>
              <w:snapToGrid w:val="0"/>
              <w:spacing w:line="400" w:lineRule="exact"/>
              <w:jc w:val="center"/>
              <w:rPr>
                <w:rFonts w:ascii="宋体" w:hAnsi="宋体"/>
                <w:color w:val="auto"/>
                <w:kern w:val="0"/>
                <w:szCs w:val="21"/>
                <w:highlight w:val="none"/>
              </w:rPr>
            </w:pPr>
          </w:p>
          <w:p w14:paraId="45EF9468">
            <w:pPr>
              <w:snapToGrid w:val="0"/>
              <w:spacing w:line="400" w:lineRule="exact"/>
              <w:jc w:val="center"/>
              <w:rPr>
                <w:rFonts w:ascii="宋体" w:hAnsi="宋体"/>
                <w:color w:val="auto"/>
                <w:kern w:val="0"/>
                <w:szCs w:val="21"/>
                <w:highlight w:val="none"/>
              </w:rPr>
            </w:pPr>
          </w:p>
          <w:p w14:paraId="131D27EF">
            <w:pPr>
              <w:snapToGrid w:val="0"/>
              <w:spacing w:line="400" w:lineRule="exact"/>
              <w:jc w:val="center"/>
              <w:rPr>
                <w:rFonts w:ascii="宋体" w:hAnsi="宋体"/>
                <w:color w:val="auto"/>
                <w:kern w:val="0"/>
                <w:szCs w:val="21"/>
                <w:highlight w:val="none"/>
              </w:rPr>
            </w:pPr>
          </w:p>
          <w:p w14:paraId="6091C09B">
            <w:pPr>
              <w:snapToGrid w:val="0"/>
              <w:spacing w:line="400" w:lineRule="exact"/>
              <w:jc w:val="center"/>
              <w:rPr>
                <w:rFonts w:ascii="宋体" w:hAnsi="宋体"/>
                <w:color w:val="auto"/>
                <w:kern w:val="0"/>
                <w:szCs w:val="21"/>
                <w:highlight w:val="none"/>
              </w:rPr>
            </w:pPr>
          </w:p>
          <w:p w14:paraId="5296F0C5">
            <w:pPr>
              <w:snapToGrid w:val="0"/>
              <w:spacing w:line="400" w:lineRule="exact"/>
              <w:jc w:val="center"/>
              <w:rPr>
                <w:rFonts w:ascii="宋体" w:hAnsi="宋体"/>
                <w:color w:val="auto"/>
                <w:kern w:val="0"/>
                <w:szCs w:val="21"/>
                <w:highlight w:val="none"/>
              </w:rPr>
            </w:pPr>
          </w:p>
          <w:p w14:paraId="039F9614">
            <w:pPr>
              <w:snapToGrid w:val="0"/>
              <w:spacing w:line="400" w:lineRule="exact"/>
              <w:jc w:val="center"/>
              <w:rPr>
                <w:rFonts w:ascii="宋体" w:hAnsi="宋体"/>
                <w:color w:val="auto"/>
                <w:kern w:val="0"/>
                <w:szCs w:val="21"/>
                <w:highlight w:val="none"/>
              </w:rPr>
            </w:pPr>
          </w:p>
          <w:p w14:paraId="1C4D2EF2">
            <w:pPr>
              <w:snapToGrid w:val="0"/>
              <w:spacing w:line="400" w:lineRule="exact"/>
              <w:jc w:val="center"/>
              <w:rPr>
                <w:rFonts w:ascii="宋体" w:hAnsi="宋体"/>
                <w:color w:val="auto"/>
                <w:kern w:val="0"/>
                <w:szCs w:val="21"/>
                <w:highlight w:val="none"/>
              </w:rPr>
            </w:pPr>
          </w:p>
          <w:p w14:paraId="580EBDCC">
            <w:pPr>
              <w:snapToGrid w:val="0"/>
              <w:spacing w:line="400" w:lineRule="exact"/>
              <w:jc w:val="center"/>
              <w:rPr>
                <w:rFonts w:ascii="宋体" w:hAnsi="宋体"/>
                <w:color w:val="auto"/>
                <w:kern w:val="0"/>
                <w:szCs w:val="21"/>
                <w:highlight w:val="none"/>
              </w:rPr>
            </w:pPr>
          </w:p>
          <w:p w14:paraId="48942AAD">
            <w:pPr>
              <w:snapToGrid w:val="0"/>
              <w:spacing w:line="400" w:lineRule="exact"/>
              <w:jc w:val="center"/>
              <w:rPr>
                <w:rFonts w:ascii="宋体" w:hAnsi="宋体"/>
                <w:color w:val="auto"/>
                <w:kern w:val="0"/>
                <w:szCs w:val="21"/>
                <w:highlight w:val="none"/>
              </w:rPr>
            </w:pPr>
          </w:p>
          <w:p w14:paraId="77361A71">
            <w:pPr>
              <w:snapToGrid w:val="0"/>
              <w:spacing w:line="400" w:lineRule="exact"/>
              <w:jc w:val="center"/>
              <w:rPr>
                <w:rFonts w:ascii="宋体" w:hAnsi="宋体"/>
                <w:color w:val="auto"/>
                <w:kern w:val="0"/>
                <w:szCs w:val="21"/>
                <w:highlight w:val="none"/>
              </w:rPr>
            </w:pPr>
          </w:p>
          <w:p w14:paraId="71A15AF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562B5739">
            <w:pPr>
              <w:snapToGrid w:val="0"/>
              <w:spacing w:line="400" w:lineRule="exact"/>
              <w:jc w:val="center"/>
              <w:rPr>
                <w:rFonts w:ascii="宋体" w:hAnsi="宋体"/>
                <w:color w:val="auto"/>
                <w:kern w:val="0"/>
                <w:szCs w:val="21"/>
                <w:highlight w:val="none"/>
              </w:rPr>
            </w:pPr>
          </w:p>
          <w:p w14:paraId="57BE070A">
            <w:pPr>
              <w:snapToGrid w:val="0"/>
              <w:spacing w:line="400" w:lineRule="exact"/>
              <w:jc w:val="center"/>
              <w:rPr>
                <w:rFonts w:ascii="宋体" w:hAnsi="宋体"/>
                <w:color w:val="auto"/>
                <w:kern w:val="0"/>
                <w:szCs w:val="21"/>
                <w:highlight w:val="none"/>
              </w:rPr>
            </w:pPr>
          </w:p>
          <w:p w14:paraId="3020E29A">
            <w:pPr>
              <w:snapToGrid w:val="0"/>
              <w:spacing w:line="400" w:lineRule="exact"/>
              <w:jc w:val="center"/>
              <w:rPr>
                <w:rFonts w:ascii="宋体" w:hAnsi="宋体"/>
                <w:color w:val="auto"/>
                <w:kern w:val="0"/>
                <w:szCs w:val="21"/>
                <w:highlight w:val="none"/>
              </w:rPr>
            </w:pPr>
          </w:p>
          <w:p w14:paraId="78A1EADC">
            <w:pPr>
              <w:snapToGrid w:val="0"/>
              <w:spacing w:line="400" w:lineRule="exact"/>
              <w:jc w:val="center"/>
              <w:rPr>
                <w:rFonts w:ascii="宋体" w:hAnsi="宋体"/>
                <w:color w:val="auto"/>
                <w:kern w:val="0"/>
                <w:szCs w:val="21"/>
                <w:highlight w:val="none"/>
              </w:rPr>
            </w:pPr>
          </w:p>
          <w:p w14:paraId="76BBED9C">
            <w:pPr>
              <w:snapToGrid w:val="0"/>
              <w:spacing w:line="400" w:lineRule="exact"/>
              <w:jc w:val="center"/>
              <w:rPr>
                <w:rFonts w:ascii="宋体" w:hAnsi="宋体"/>
                <w:color w:val="auto"/>
                <w:kern w:val="0"/>
                <w:szCs w:val="21"/>
                <w:highlight w:val="none"/>
              </w:rPr>
            </w:pPr>
          </w:p>
          <w:p w14:paraId="229764E5">
            <w:pPr>
              <w:snapToGrid w:val="0"/>
              <w:spacing w:line="400" w:lineRule="exact"/>
              <w:jc w:val="center"/>
              <w:rPr>
                <w:rFonts w:ascii="宋体" w:hAnsi="宋体"/>
                <w:color w:val="auto"/>
                <w:kern w:val="0"/>
                <w:szCs w:val="21"/>
                <w:highlight w:val="none"/>
              </w:rPr>
            </w:pPr>
          </w:p>
          <w:p w14:paraId="25067C56">
            <w:pPr>
              <w:snapToGrid w:val="0"/>
              <w:spacing w:line="400" w:lineRule="exact"/>
              <w:jc w:val="center"/>
              <w:rPr>
                <w:rFonts w:ascii="宋体" w:hAnsi="宋体"/>
                <w:color w:val="auto"/>
                <w:kern w:val="0"/>
                <w:szCs w:val="21"/>
                <w:highlight w:val="none"/>
              </w:rPr>
            </w:pPr>
          </w:p>
          <w:p w14:paraId="04DCAC3D">
            <w:pPr>
              <w:snapToGrid w:val="0"/>
              <w:spacing w:line="400" w:lineRule="exact"/>
              <w:jc w:val="center"/>
              <w:rPr>
                <w:rFonts w:ascii="宋体" w:hAnsi="宋体"/>
                <w:color w:val="auto"/>
                <w:kern w:val="0"/>
                <w:szCs w:val="21"/>
                <w:highlight w:val="none"/>
              </w:rPr>
            </w:pPr>
          </w:p>
          <w:p w14:paraId="20C84E18">
            <w:pPr>
              <w:snapToGrid w:val="0"/>
              <w:spacing w:line="400" w:lineRule="exact"/>
              <w:jc w:val="center"/>
              <w:rPr>
                <w:rFonts w:ascii="宋体" w:hAnsi="宋体"/>
                <w:color w:val="auto"/>
                <w:kern w:val="0"/>
                <w:szCs w:val="21"/>
                <w:highlight w:val="none"/>
              </w:rPr>
            </w:pPr>
          </w:p>
          <w:p w14:paraId="3F68AF75">
            <w:pPr>
              <w:snapToGrid w:val="0"/>
              <w:spacing w:line="400" w:lineRule="exact"/>
              <w:jc w:val="center"/>
              <w:rPr>
                <w:rFonts w:ascii="宋体" w:hAnsi="宋体"/>
                <w:color w:val="auto"/>
                <w:kern w:val="0"/>
                <w:szCs w:val="21"/>
                <w:highlight w:val="none"/>
              </w:rPr>
            </w:pPr>
          </w:p>
          <w:p w14:paraId="2E1FF2F2">
            <w:pPr>
              <w:snapToGrid w:val="0"/>
              <w:spacing w:line="400" w:lineRule="exact"/>
              <w:jc w:val="center"/>
              <w:rPr>
                <w:rFonts w:ascii="宋体" w:hAnsi="宋体"/>
                <w:color w:val="auto"/>
                <w:kern w:val="0"/>
                <w:szCs w:val="21"/>
                <w:highlight w:val="none"/>
              </w:rPr>
            </w:pPr>
          </w:p>
          <w:p w14:paraId="1AB806C8">
            <w:pPr>
              <w:snapToGrid w:val="0"/>
              <w:spacing w:line="400" w:lineRule="exact"/>
              <w:jc w:val="center"/>
              <w:rPr>
                <w:rFonts w:ascii="宋体" w:hAnsi="宋体"/>
                <w:color w:val="auto"/>
                <w:kern w:val="0"/>
                <w:szCs w:val="21"/>
                <w:highlight w:val="none"/>
              </w:rPr>
            </w:pPr>
          </w:p>
          <w:p w14:paraId="20E8EA78">
            <w:pPr>
              <w:snapToGrid w:val="0"/>
              <w:spacing w:line="400" w:lineRule="exact"/>
              <w:jc w:val="center"/>
              <w:rPr>
                <w:rFonts w:ascii="宋体" w:hAnsi="宋体"/>
                <w:color w:val="auto"/>
                <w:kern w:val="0"/>
                <w:szCs w:val="21"/>
                <w:highlight w:val="none"/>
              </w:rPr>
            </w:pPr>
          </w:p>
          <w:p w14:paraId="2277BFD5">
            <w:pPr>
              <w:snapToGrid w:val="0"/>
              <w:spacing w:line="400" w:lineRule="exact"/>
              <w:jc w:val="center"/>
              <w:rPr>
                <w:rFonts w:ascii="宋体" w:hAnsi="宋体"/>
                <w:color w:val="auto"/>
                <w:kern w:val="0"/>
                <w:szCs w:val="21"/>
                <w:highlight w:val="none"/>
              </w:rPr>
            </w:pPr>
          </w:p>
          <w:p w14:paraId="670717BB">
            <w:pPr>
              <w:snapToGrid w:val="0"/>
              <w:spacing w:line="400" w:lineRule="exact"/>
              <w:jc w:val="center"/>
              <w:rPr>
                <w:rFonts w:ascii="宋体" w:hAnsi="宋体"/>
                <w:color w:val="auto"/>
                <w:kern w:val="0"/>
                <w:szCs w:val="21"/>
                <w:highlight w:val="none"/>
              </w:rPr>
            </w:pPr>
          </w:p>
          <w:p w14:paraId="16265A78">
            <w:pPr>
              <w:snapToGrid w:val="0"/>
              <w:spacing w:line="400" w:lineRule="exact"/>
              <w:jc w:val="center"/>
              <w:rPr>
                <w:rFonts w:ascii="宋体" w:hAnsi="宋体"/>
                <w:color w:val="auto"/>
                <w:kern w:val="0"/>
                <w:szCs w:val="21"/>
                <w:highlight w:val="none"/>
              </w:rPr>
            </w:pPr>
          </w:p>
          <w:p w14:paraId="586978E5">
            <w:pPr>
              <w:snapToGrid w:val="0"/>
              <w:spacing w:line="400" w:lineRule="exact"/>
              <w:jc w:val="center"/>
              <w:rPr>
                <w:rFonts w:ascii="宋体" w:hAnsi="宋体"/>
                <w:color w:val="auto"/>
                <w:kern w:val="0"/>
                <w:szCs w:val="21"/>
                <w:highlight w:val="none"/>
              </w:rPr>
            </w:pPr>
          </w:p>
          <w:p w14:paraId="614FD815">
            <w:pPr>
              <w:snapToGrid w:val="0"/>
              <w:spacing w:line="400" w:lineRule="exact"/>
              <w:jc w:val="center"/>
              <w:rPr>
                <w:rFonts w:ascii="宋体" w:hAnsi="宋体"/>
                <w:color w:val="auto"/>
                <w:kern w:val="0"/>
                <w:szCs w:val="21"/>
                <w:highlight w:val="none"/>
              </w:rPr>
            </w:pPr>
          </w:p>
          <w:p w14:paraId="4F21973D">
            <w:pPr>
              <w:snapToGrid w:val="0"/>
              <w:spacing w:line="400" w:lineRule="exact"/>
              <w:jc w:val="center"/>
              <w:rPr>
                <w:rFonts w:ascii="宋体" w:hAnsi="宋体"/>
                <w:color w:val="auto"/>
                <w:kern w:val="0"/>
                <w:szCs w:val="21"/>
                <w:highlight w:val="none"/>
              </w:rPr>
            </w:pPr>
          </w:p>
          <w:p w14:paraId="56B3D16E">
            <w:pPr>
              <w:snapToGrid w:val="0"/>
              <w:spacing w:line="400" w:lineRule="exact"/>
              <w:jc w:val="center"/>
              <w:rPr>
                <w:rFonts w:ascii="宋体" w:hAnsi="宋体"/>
                <w:color w:val="auto"/>
                <w:kern w:val="0"/>
                <w:szCs w:val="21"/>
                <w:highlight w:val="none"/>
              </w:rPr>
            </w:pPr>
          </w:p>
          <w:p w14:paraId="4B7653BC">
            <w:pPr>
              <w:snapToGrid w:val="0"/>
              <w:spacing w:line="400" w:lineRule="exact"/>
              <w:jc w:val="center"/>
              <w:rPr>
                <w:rFonts w:ascii="宋体" w:hAnsi="宋体"/>
                <w:color w:val="auto"/>
                <w:kern w:val="0"/>
                <w:szCs w:val="21"/>
                <w:highlight w:val="none"/>
              </w:rPr>
            </w:pPr>
          </w:p>
          <w:p w14:paraId="157726EB">
            <w:pPr>
              <w:snapToGrid w:val="0"/>
              <w:spacing w:line="400" w:lineRule="exact"/>
              <w:jc w:val="center"/>
              <w:rPr>
                <w:rFonts w:ascii="宋体" w:hAnsi="宋体"/>
                <w:color w:val="auto"/>
                <w:kern w:val="0"/>
                <w:szCs w:val="21"/>
                <w:highlight w:val="none"/>
              </w:rPr>
            </w:pPr>
          </w:p>
          <w:p w14:paraId="171CD420">
            <w:pPr>
              <w:snapToGrid w:val="0"/>
              <w:spacing w:line="400" w:lineRule="exact"/>
              <w:jc w:val="center"/>
              <w:rPr>
                <w:rFonts w:ascii="宋体" w:hAnsi="宋体"/>
                <w:color w:val="auto"/>
                <w:kern w:val="0"/>
                <w:szCs w:val="21"/>
                <w:highlight w:val="none"/>
              </w:rPr>
            </w:pPr>
          </w:p>
          <w:p w14:paraId="48027F6E">
            <w:pPr>
              <w:snapToGrid w:val="0"/>
              <w:spacing w:line="400" w:lineRule="exact"/>
              <w:jc w:val="center"/>
              <w:rPr>
                <w:rFonts w:ascii="宋体" w:hAnsi="宋体"/>
                <w:color w:val="auto"/>
                <w:kern w:val="0"/>
                <w:szCs w:val="21"/>
                <w:highlight w:val="none"/>
              </w:rPr>
            </w:pPr>
          </w:p>
          <w:p w14:paraId="22DF7475">
            <w:pPr>
              <w:snapToGrid w:val="0"/>
              <w:spacing w:line="400" w:lineRule="exact"/>
              <w:jc w:val="center"/>
              <w:rPr>
                <w:rFonts w:ascii="宋体" w:hAnsi="宋体"/>
                <w:color w:val="auto"/>
                <w:kern w:val="0"/>
                <w:szCs w:val="21"/>
                <w:highlight w:val="none"/>
              </w:rPr>
            </w:pPr>
          </w:p>
          <w:p w14:paraId="718369A5">
            <w:pPr>
              <w:snapToGrid w:val="0"/>
              <w:spacing w:line="400" w:lineRule="exact"/>
              <w:jc w:val="center"/>
              <w:rPr>
                <w:rFonts w:ascii="宋体" w:hAnsi="宋体"/>
                <w:color w:val="auto"/>
                <w:kern w:val="0"/>
                <w:szCs w:val="21"/>
                <w:highlight w:val="none"/>
              </w:rPr>
            </w:pPr>
          </w:p>
          <w:p w14:paraId="5978C12C">
            <w:pPr>
              <w:snapToGrid w:val="0"/>
              <w:spacing w:line="400" w:lineRule="exact"/>
              <w:jc w:val="center"/>
              <w:rPr>
                <w:rFonts w:ascii="宋体" w:hAnsi="宋体"/>
                <w:color w:val="auto"/>
                <w:kern w:val="0"/>
                <w:szCs w:val="21"/>
                <w:highlight w:val="none"/>
              </w:rPr>
            </w:pPr>
          </w:p>
          <w:p w14:paraId="089793EC">
            <w:pPr>
              <w:snapToGrid w:val="0"/>
              <w:spacing w:line="400" w:lineRule="exact"/>
              <w:jc w:val="center"/>
              <w:rPr>
                <w:rFonts w:ascii="宋体" w:hAnsi="宋体"/>
                <w:color w:val="auto"/>
                <w:kern w:val="0"/>
                <w:szCs w:val="21"/>
                <w:highlight w:val="none"/>
              </w:rPr>
            </w:pPr>
          </w:p>
          <w:p w14:paraId="3A127D88">
            <w:pPr>
              <w:snapToGrid w:val="0"/>
              <w:spacing w:line="400" w:lineRule="exact"/>
              <w:jc w:val="center"/>
              <w:rPr>
                <w:rFonts w:ascii="宋体" w:hAnsi="宋体"/>
                <w:color w:val="auto"/>
                <w:kern w:val="0"/>
                <w:szCs w:val="21"/>
                <w:highlight w:val="none"/>
              </w:rPr>
            </w:pPr>
          </w:p>
          <w:p w14:paraId="7266981B">
            <w:pPr>
              <w:snapToGrid w:val="0"/>
              <w:spacing w:line="400" w:lineRule="exact"/>
              <w:jc w:val="center"/>
              <w:rPr>
                <w:rFonts w:ascii="宋体" w:hAnsi="宋体"/>
                <w:color w:val="auto"/>
                <w:kern w:val="0"/>
                <w:szCs w:val="21"/>
                <w:highlight w:val="none"/>
              </w:rPr>
            </w:pPr>
          </w:p>
          <w:p w14:paraId="64E62B8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6D20030C">
            <w:pPr>
              <w:snapToGrid w:val="0"/>
              <w:spacing w:line="400" w:lineRule="exact"/>
              <w:jc w:val="center"/>
              <w:rPr>
                <w:rFonts w:ascii="宋体" w:hAnsi="宋体"/>
                <w:color w:val="auto"/>
                <w:kern w:val="0"/>
                <w:szCs w:val="21"/>
                <w:highlight w:val="none"/>
              </w:rPr>
            </w:pPr>
          </w:p>
          <w:p w14:paraId="0021E7FD">
            <w:pPr>
              <w:snapToGrid w:val="0"/>
              <w:spacing w:line="400" w:lineRule="exact"/>
              <w:jc w:val="center"/>
              <w:rPr>
                <w:rFonts w:ascii="宋体" w:hAnsi="宋体"/>
                <w:color w:val="auto"/>
                <w:kern w:val="0"/>
                <w:szCs w:val="21"/>
                <w:highlight w:val="none"/>
              </w:rPr>
            </w:pPr>
          </w:p>
          <w:p w14:paraId="2FCD7581">
            <w:pPr>
              <w:snapToGrid w:val="0"/>
              <w:spacing w:line="400" w:lineRule="exact"/>
              <w:jc w:val="center"/>
              <w:rPr>
                <w:rFonts w:ascii="宋体" w:hAnsi="宋体"/>
                <w:color w:val="auto"/>
                <w:kern w:val="0"/>
                <w:szCs w:val="21"/>
                <w:highlight w:val="none"/>
              </w:rPr>
            </w:pPr>
          </w:p>
          <w:p w14:paraId="7821B03A">
            <w:pPr>
              <w:snapToGrid w:val="0"/>
              <w:spacing w:line="400" w:lineRule="exact"/>
              <w:jc w:val="center"/>
              <w:rPr>
                <w:rFonts w:ascii="宋体" w:hAnsi="宋体"/>
                <w:color w:val="auto"/>
                <w:kern w:val="0"/>
                <w:szCs w:val="21"/>
                <w:highlight w:val="none"/>
              </w:rPr>
            </w:pPr>
          </w:p>
          <w:p w14:paraId="3F728B8B">
            <w:pPr>
              <w:snapToGrid w:val="0"/>
              <w:spacing w:line="400" w:lineRule="exact"/>
              <w:jc w:val="center"/>
              <w:rPr>
                <w:rFonts w:ascii="宋体" w:hAnsi="宋体"/>
                <w:color w:val="auto"/>
                <w:kern w:val="0"/>
                <w:szCs w:val="21"/>
                <w:highlight w:val="none"/>
              </w:rPr>
            </w:pPr>
          </w:p>
          <w:p w14:paraId="286031AF">
            <w:pPr>
              <w:snapToGrid w:val="0"/>
              <w:spacing w:line="400" w:lineRule="exact"/>
              <w:jc w:val="center"/>
              <w:rPr>
                <w:rFonts w:ascii="宋体" w:hAnsi="宋体"/>
                <w:color w:val="auto"/>
                <w:kern w:val="0"/>
                <w:szCs w:val="21"/>
                <w:highlight w:val="none"/>
              </w:rPr>
            </w:pPr>
          </w:p>
          <w:p w14:paraId="0D5EC66B">
            <w:pPr>
              <w:snapToGrid w:val="0"/>
              <w:spacing w:line="400" w:lineRule="exact"/>
              <w:jc w:val="center"/>
              <w:rPr>
                <w:rFonts w:ascii="宋体" w:hAnsi="宋体"/>
                <w:color w:val="auto"/>
                <w:kern w:val="0"/>
                <w:szCs w:val="21"/>
                <w:highlight w:val="none"/>
              </w:rPr>
            </w:pPr>
          </w:p>
          <w:p w14:paraId="07EEA10F">
            <w:pPr>
              <w:snapToGrid w:val="0"/>
              <w:spacing w:line="400" w:lineRule="exact"/>
              <w:jc w:val="center"/>
              <w:rPr>
                <w:rFonts w:ascii="宋体" w:hAnsi="宋体"/>
                <w:color w:val="auto"/>
                <w:kern w:val="0"/>
                <w:szCs w:val="21"/>
                <w:highlight w:val="none"/>
              </w:rPr>
            </w:pPr>
          </w:p>
          <w:p w14:paraId="68A57A0A">
            <w:pPr>
              <w:snapToGrid w:val="0"/>
              <w:spacing w:line="400" w:lineRule="exact"/>
              <w:jc w:val="center"/>
              <w:rPr>
                <w:rFonts w:ascii="宋体" w:hAnsi="宋体"/>
                <w:color w:val="auto"/>
                <w:kern w:val="0"/>
                <w:szCs w:val="21"/>
                <w:highlight w:val="none"/>
              </w:rPr>
            </w:pPr>
          </w:p>
          <w:p w14:paraId="2F47B750">
            <w:pPr>
              <w:snapToGrid w:val="0"/>
              <w:spacing w:line="400" w:lineRule="exact"/>
              <w:jc w:val="center"/>
              <w:rPr>
                <w:rFonts w:ascii="宋体" w:hAnsi="宋体"/>
                <w:color w:val="auto"/>
                <w:kern w:val="0"/>
                <w:szCs w:val="21"/>
                <w:highlight w:val="none"/>
              </w:rPr>
            </w:pPr>
          </w:p>
          <w:p w14:paraId="4A926CE7">
            <w:pPr>
              <w:snapToGrid w:val="0"/>
              <w:spacing w:line="400" w:lineRule="exact"/>
              <w:jc w:val="center"/>
              <w:rPr>
                <w:rFonts w:ascii="宋体" w:hAnsi="宋体"/>
                <w:color w:val="auto"/>
                <w:kern w:val="0"/>
                <w:szCs w:val="21"/>
                <w:highlight w:val="none"/>
              </w:rPr>
            </w:pPr>
          </w:p>
        </w:tc>
        <w:tc>
          <w:tcPr>
            <w:tcW w:w="6919" w:type="dxa"/>
            <w:vAlign w:val="center"/>
          </w:tcPr>
          <w:p w14:paraId="6E68B04F">
            <w:pPr>
              <w:autoSpaceDE w:val="0"/>
              <w:autoSpaceDN w:val="0"/>
              <w:adjustRightInd w:val="0"/>
              <w:snapToGrid w:val="0"/>
              <w:spacing w:line="400" w:lineRule="exact"/>
              <w:ind w:firstLine="420" w:firstLineChars="200"/>
              <w:rPr>
                <w:rFonts w:ascii="宋体" w:hAnsi="宋体"/>
                <w:color w:val="auto"/>
                <w:szCs w:val="21"/>
                <w:highlight w:val="none"/>
              </w:rPr>
            </w:pPr>
            <w:bookmarkStart w:id="109" w:name="OLE_LINK1"/>
            <w:r>
              <w:rPr>
                <w:rFonts w:ascii="宋体" w:hAnsi="宋体"/>
                <w:color w:val="auto"/>
                <w:szCs w:val="21"/>
                <w:highlight w:val="none"/>
              </w:rPr>
              <w:t>本</w:t>
            </w:r>
            <w:r>
              <w:rPr>
                <w:rFonts w:hint="eastAsia" w:ascii="宋体" w:hAnsi="宋体"/>
                <w:color w:val="auto"/>
                <w:szCs w:val="21"/>
                <w:highlight w:val="none"/>
              </w:rPr>
              <w:t>次比选</w:t>
            </w:r>
            <w:r>
              <w:rPr>
                <w:rFonts w:ascii="宋体" w:hAnsi="宋体"/>
                <w:color w:val="auto"/>
                <w:szCs w:val="21"/>
                <w:highlight w:val="none"/>
              </w:rPr>
              <w:t>实行资格后审，</w:t>
            </w:r>
            <w:r>
              <w:rPr>
                <w:rFonts w:hint="eastAsia" w:ascii="宋体" w:hAnsi="宋体"/>
                <w:color w:val="auto"/>
                <w:szCs w:val="21"/>
                <w:highlight w:val="none"/>
              </w:rPr>
              <w:t>竞标人</w:t>
            </w:r>
            <w:r>
              <w:rPr>
                <w:rFonts w:ascii="宋体" w:hAnsi="宋体"/>
                <w:color w:val="auto"/>
                <w:szCs w:val="21"/>
                <w:highlight w:val="none"/>
              </w:rPr>
              <w:t>应</w:t>
            </w:r>
            <w:bookmarkStart w:id="110" w:name="一是"/>
            <w:bookmarkEnd w:id="110"/>
            <w:r>
              <w:rPr>
                <w:rFonts w:ascii="宋体" w:hAnsi="宋体"/>
                <w:color w:val="auto"/>
                <w:szCs w:val="21"/>
                <w:highlight w:val="none"/>
              </w:rPr>
              <w:t>具备以下资格条件：</w:t>
            </w:r>
          </w:p>
          <w:bookmarkEnd w:id="109"/>
          <w:p w14:paraId="23AC06DB">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w:t>
            </w:r>
          </w:p>
          <w:p w14:paraId="4A128317">
            <w:pPr>
              <w:snapToGrid w:val="0"/>
              <w:spacing w:line="400" w:lineRule="exact"/>
              <w:ind w:firstLine="420" w:firstLineChars="200"/>
              <w:rPr>
                <w:rFonts w:hint="eastAsia" w:asciiTheme="minorEastAsia" w:hAnsiTheme="minorEastAsia" w:eastAsiaTheme="minorEastAsia"/>
                <w:color w:val="auto"/>
                <w:szCs w:val="21"/>
                <w:highlight w:val="none"/>
              </w:rPr>
            </w:pPr>
            <w:r>
              <w:rPr>
                <w:rFonts w:ascii="宋体" w:hAnsi="宋体"/>
                <w:color w:val="auto"/>
                <w:szCs w:val="21"/>
                <w:highlight w:val="none"/>
              </w:rPr>
              <w:t>（1）</w:t>
            </w:r>
            <w:r>
              <w:rPr>
                <w:rFonts w:hint="eastAsia" w:asciiTheme="minorEastAsia" w:hAnsiTheme="minorEastAsia" w:eastAsiaTheme="minorEastAsia"/>
                <w:color w:val="auto"/>
                <w:szCs w:val="21"/>
                <w:highlight w:val="none"/>
              </w:rPr>
              <w:t>竞标人应</w:t>
            </w:r>
            <w:r>
              <w:rPr>
                <w:rFonts w:hint="eastAsia" w:asciiTheme="minorEastAsia" w:hAnsiTheme="minorEastAsia" w:eastAsiaTheme="minorEastAsia"/>
                <w:color w:val="auto"/>
                <w:szCs w:val="21"/>
                <w:highlight w:val="none"/>
              </w:rPr>
              <w:t>具有建设行政主管部门颁发的下列资质要求之一：</w:t>
            </w:r>
          </w:p>
          <w:p w14:paraId="376A4F60">
            <w:pPr>
              <w:snapToGrid w:val="0"/>
              <w:spacing w:line="40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①中国工程咨询协会颁发的工程咨询单位综合资信甲级；</w:t>
            </w:r>
          </w:p>
          <w:p w14:paraId="66FBA5CA">
            <w:pPr>
              <w:snapToGrid w:val="0"/>
              <w:spacing w:line="40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②中国工程咨询协会颁发的工程咨询单位乙级及以上资信证书，业务范围包含：建筑或市政公用工程。</w:t>
            </w:r>
          </w:p>
          <w:p w14:paraId="46368388">
            <w:pPr>
              <w:snapToGrid w:val="0"/>
              <w:spacing w:line="40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竞标人须在竞标文件资格审查部分提供有效的资质证书复印件。</w:t>
            </w:r>
          </w:p>
          <w:p w14:paraId="1668C736">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549B523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w:t>
            </w:r>
            <w:r>
              <w:rPr>
                <w:rFonts w:ascii="宋体" w:hAnsi="宋体"/>
                <w:color w:val="auto"/>
                <w:szCs w:val="21"/>
                <w:highlight w:val="none"/>
              </w:rPr>
              <w:t>须</w:t>
            </w:r>
            <w:r>
              <w:rPr>
                <w:rFonts w:hint="eastAsia" w:ascii="宋体" w:hAnsi="宋体"/>
                <w:color w:val="auto"/>
                <w:szCs w:val="21"/>
                <w:highlight w:val="none"/>
              </w:rPr>
              <w:t>在竞标文件资格审查部分</w:t>
            </w:r>
            <w:r>
              <w:rPr>
                <w:rFonts w:ascii="宋体" w:hAnsi="宋体"/>
                <w:color w:val="auto"/>
                <w:szCs w:val="21"/>
                <w:highlight w:val="none"/>
              </w:rPr>
              <w:t>提供有效的营业执照复印件。</w:t>
            </w:r>
          </w:p>
          <w:p w14:paraId="41FDC556">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竞标</w:t>
            </w:r>
            <w:r>
              <w:rPr>
                <w:rFonts w:ascii="宋体" w:hAnsi="宋体"/>
                <w:b/>
                <w:color w:val="auto"/>
                <w:szCs w:val="21"/>
                <w:highlight w:val="none"/>
              </w:rPr>
              <w:t>截止日</w:t>
            </w:r>
            <w:r>
              <w:rPr>
                <w:rFonts w:hint="eastAsia" w:ascii="宋体" w:hAnsi="宋体"/>
                <w:b/>
                <w:color w:val="auto"/>
                <w:szCs w:val="21"/>
                <w:highlight w:val="none"/>
              </w:rPr>
              <w:t>竞标</w:t>
            </w:r>
            <w:r>
              <w:rPr>
                <w:rFonts w:ascii="宋体" w:hAnsi="宋体"/>
                <w:b/>
                <w:color w:val="auto"/>
                <w:szCs w:val="21"/>
                <w:highlight w:val="none"/>
              </w:rPr>
              <w:t>资格情况</w:t>
            </w:r>
          </w:p>
          <w:p w14:paraId="3F8848D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竞标人自行承诺（格式见第六章竞标文件格式）不得存在下列情形之一：</w:t>
            </w:r>
          </w:p>
          <w:p w14:paraId="6A5F165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CE9680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01483BD2">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4B2B9D0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63335EFF">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44D038F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竞标人须在竞标文件资格审查部分提供承诺。</w:t>
            </w:r>
          </w:p>
          <w:p w14:paraId="032593BA">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项目负责人的资格要求</w:t>
            </w:r>
          </w:p>
          <w:p w14:paraId="60722DCA">
            <w:pPr>
              <w:snapToGrid w:val="0"/>
              <w:spacing w:line="400" w:lineRule="exact"/>
              <w:ind w:firstLine="420" w:firstLineChars="200"/>
              <w:rPr>
                <w:rFonts w:hint="eastAsia" w:ascii="宋体" w:hAnsi="宋体"/>
                <w:color w:val="auto"/>
                <w:szCs w:val="21"/>
                <w:highlight w:val="none"/>
              </w:rPr>
            </w:pPr>
            <w:r>
              <w:rPr>
                <w:rFonts w:hint="eastAsia"/>
                <w:color w:val="auto"/>
                <w:szCs w:val="21"/>
                <w:highlight w:val="none"/>
              </w:rPr>
              <w:t>4.1竞标人拟派的</w:t>
            </w:r>
            <w:r>
              <w:rPr>
                <w:color w:val="auto"/>
                <w:szCs w:val="21"/>
                <w:highlight w:val="none"/>
              </w:rPr>
              <w:t>项目</w:t>
            </w:r>
            <w:r>
              <w:rPr>
                <w:rFonts w:hint="eastAsia"/>
                <w:color w:val="auto"/>
                <w:szCs w:val="21"/>
                <w:highlight w:val="none"/>
              </w:rPr>
              <w:t>负责人必须是竞标人本单位人员，</w:t>
            </w:r>
            <w:r>
              <w:rPr>
                <w:rFonts w:hint="eastAsia"/>
                <w:color w:val="auto"/>
                <w:szCs w:val="21"/>
                <w:highlight w:val="none"/>
              </w:rPr>
              <w:t>具备</w:t>
            </w:r>
            <w:r>
              <w:rPr>
                <w:rFonts w:hint="eastAsia"/>
                <w:color w:val="auto"/>
                <w:szCs w:val="21"/>
                <w:highlight w:val="none"/>
                <w:lang w:val="en-US" w:eastAsia="zh-CN"/>
              </w:rPr>
              <w:t>工程</w:t>
            </w:r>
            <w:r>
              <w:rPr>
                <w:rFonts w:hint="eastAsia"/>
                <w:color w:val="auto"/>
                <w:szCs w:val="21"/>
                <w:highlight w:val="none"/>
              </w:rPr>
              <w:t>类专业</w:t>
            </w:r>
            <w:r>
              <w:rPr>
                <w:rFonts w:hint="eastAsia"/>
                <w:color w:val="auto"/>
                <w:szCs w:val="21"/>
                <w:highlight w:val="none"/>
                <w:lang w:val="en-US" w:eastAsia="zh-CN"/>
              </w:rPr>
              <w:t xml:space="preserve">相关专业 </w:t>
            </w:r>
            <w:r>
              <w:rPr>
                <w:rFonts w:hint="eastAsia"/>
                <w:color w:val="auto"/>
                <w:szCs w:val="21"/>
                <w:highlight w:val="none"/>
              </w:rPr>
              <w:t>高</w:t>
            </w:r>
            <w:r>
              <w:rPr>
                <w:rFonts w:hint="eastAsia"/>
                <w:color w:val="auto"/>
                <w:szCs w:val="21"/>
                <w:highlight w:val="none"/>
                <w:lang w:val="en-US" w:eastAsia="zh-CN"/>
              </w:rPr>
              <w:t xml:space="preserve"> </w:t>
            </w:r>
            <w:r>
              <w:rPr>
                <w:rFonts w:hint="eastAsia"/>
                <w:color w:val="auto"/>
                <w:szCs w:val="21"/>
                <w:highlight w:val="none"/>
              </w:rPr>
              <w:t>级及以上职称</w:t>
            </w:r>
            <w:r>
              <w:rPr>
                <w:rFonts w:hint="eastAsia" w:ascii="宋体" w:hAnsi="宋体"/>
                <w:color w:val="auto"/>
                <w:szCs w:val="21"/>
                <w:highlight w:val="none"/>
              </w:rPr>
              <w:t>。</w:t>
            </w:r>
          </w:p>
          <w:p w14:paraId="6431F2AD">
            <w:pPr>
              <w:snapToGrid w:val="0"/>
              <w:spacing w:line="400" w:lineRule="exact"/>
              <w:ind w:firstLine="420" w:firstLineChars="200"/>
              <w:rPr>
                <w:rFonts w:ascii="宋体" w:hAnsi="宋体"/>
                <w:color w:val="auto"/>
                <w:szCs w:val="21"/>
                <w:highlight w:val="none"/>
              </w:rPr>
            </w:pPr>
            <w:r>
              <w:rPr>
                <w:rFonts w:hint="eastAsia"/>
                <w:color w:val="auto"/>
                <w:szCs w:val="21"/>
                <w:highlight w:val="none"/>
              </w:rPr>
              <w:t>竞标</w:t>
            </w:r>
            <w:r>
              <w:rPr>
                <w:rFonts w:hint="eastAsia" w:ascii="宋体" w:hAnsi="宋体"/>
                <w:color w:val="auto"/>
                <w:kern w:val="0"/>
                <w:szCs w:val="21"/>
                <w:highlight w:val="none"/>
              </w:rPr>
              <w:t>人须在投标文件资格审查部分提供在有效期内的拟派项目负责人身份证、</w:t>
            </w:r>
            <w:r>
              <w:rPr>
                <w:rFonts w:hint="eastAsia" w:ascii="宋体" w:hAnsi="宋体"/>
                <w:color w:val="auto"/>
                <w:szCs w:val="21"/>
                <w:highlight w:val="none"/>
              </w:rPr>
              <w:t>☑</w:t>
            </w:r>
            <w:r>
              <w:rPr>
                <w:rFonts w:hint="eastAsia" w:ascii="宋体" w:hAnsi="宋体"/>
                <w:color w:val="auto"/>
                <w:kern w:val="0"/>
                <w:szCs w:val="21"/>
                <w:highlight w:val="none"/>
              </w:rPr>
              <w:t>职称证（职称证书无法体现专业的，可以提供学历证书或注册证书）、</w:t>
            </w:r>
            <w:r>
              <w:rPr>
                <w:rFonts w:hint="eastAsia"/>
                <w:color w:val="auto"/>
                <w:szCs w:val="21"/>
                <w:highlight w:val="none"/>
              </w:rPr>
              <w:t>竞标</w:t>
            </w:r>
            <w:r>
              <w:rPr>
                <w:rFonts w:hint="eastAsia" w:ascii="宋体" w:hAnsi="宋体"/>
                <w:color w:val="auto"/>
                <w:kern w:val="0"/>
                <w:szCs w:val="21"/>
                <w:highlight w:val="none"/>
              </w:rPr>
              <w:t>人为其缴纳的养老保险证明材料。</w:t>
            </w:r>
          </w:p>
          <w:p w14:paraId="6B37B87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w:t>
            </w:r>
            <w:r>
              <w:rPr>
                <w:rFonts w:hint="eastAsia"/>
                <w:color w:val="auto"/>
                <w:szCs w:val="21"/>
                <w:highlight w:val="none"/>
              </w:rPr>
              <w:t>竞标</w:t>
            </w:r>
            <w:r>
              <w:rPr>
                <w:rFonts w:hint="eastAsia" w:ascii="宋体" w:hAnsi="宋体"/>
                <w:color w:val="auto"/>
                <w:szCs w:val="21"/>
                <w:highlight w:val="none"/>
              </w:rPr>
              <w:t>人须承诺拟派项目负责人履职和未被禁止参与投标。</w:t>
            </w:r>
          </w:p>
          <w:p w14:paraId="53AD142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4.2.1履职承诺要求：承诺拟派项目负责人中标后在本项目履职，签订合同时拟派的项目负责人必须与</w:t>
            </w:r>
            <w:r>
              <w:rPr>
                <w:rFonts w:hint="eastAsia"/>
                <w:color w:val="auto"/>
                <w:szCs w:val="21"/>
                <w:highlight w:val="none"/>
              </w:rPr>
              <w:t>竞标</w:t>
            </w:r>
            <w:r>
              <w:rPr>
                <w:rFonts w:hint="eastAsia" w:ascii="宋体" w:hAnsi="宋体"/>
                <w:color w:val="auto"/>
                <w:szCs w:val="21"/>
                <w:highlight w:val="none"/>
              </w:rPr>
              <w:t>文件中的项目负责人一致，并满足办理相关手续的要求。不能按承诺履职的，按合同相关条款处罚并上报行政主管部门，给招标人造成损失的，</w:t>
            </w:r>
            <w:r>
              <w:rPr>
                <w:rFonts w:hint="eastAsia"/>
                <w:color w:val="auto"/>
                <w:szCs w:val="21"/>
                <w:highlight w:val="none"/>
              </w:rPr>
              <w:t>竞标</w:t>
            </w:r>
            <w:r>
              <w:rPr>
                <w:rFonts w:hint="eastAsia" w:ascii="宋体" w:hAnsi="宋体"/>
                <w:color w:val="auto"/>
                <w:szCs w:val="21"/>
                <w:highlight w:val="none"/>
              </w:rPr>
              <w:t>人依法承担违约赔偿责任。拟派项目负责人中标后不得随意更换。</w:t>
            </w:r>
          </w:p>
          <w:p w14:paraId="31EB3BD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4.2.2未被禁止参与投标承诺要求：承诺拟派项目负责人未被重庆市市级有关行业主管部门暂停在渝承揽新业务。若被暂停在渝承揽新业务但仍参加投标，将被否决投标；已取得中标候选人资格或中标资格的，招标人有权取消其中标候选人资格或中标资格；给招标人造成损失的，</w:t>
            </w:r>
            <w:r>
              <w:rPr>
                <w:rFonts w:hint="eastAsia" w:ascii="宋体" w:hAnsi="宋体"/>
                <w:color w:val="auto"/>
                <w:szCs w:val="21"/>
                <w:highlight w:val="none"/>
                <w:lang w:eastAsia="zh-CN"/>
              </w:rPr>
              <w:t>竞标人</w:t>
            </w:r>
            <w:r>
              <w:rPr>
                <w:rFonts w:hint="eastAsia" w:ascii="宋体" w:hAnsi="宋体"/>
                <w:color w:val="auto"/>
                <w:szCs w:val="21"/>
                <w:highlight w:val="none"/>
              </w:rPr>
              <w:t>依法承担赔偿责任或违约责任。</w:t>
            </w:r>
          </w:p>
          <w:p w14:paraId="286383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4.2.</w:t>
            </w:r>
            <w:r>
              <w:rPr>
                <w:rFonts w:ascii="宋体" w:hAnsi="宋体"/>
                <w:color w:val="auto"/>
                <w:szCs w:val="21"/>
                <w:highlight w:val="none"/>
              </w:rPr>
              <w:t>3</w:t>
            </w:r>
            <w:r>
              <w:rPr>
                <w:rFonts w:hint="eastAsia" w:ascii="宋体" w:hAnsi="宋体"/>
                <w:color w:val="auto"/>
                <w:szCs w:val="21"/>
                <w:highlight w:val="none"/>
              </w:rPr>
              <w:t>未提供上述承诺或承诺内容不符合要求的，由评标委员会作否决投标处理。以上承诺同时作为合同的附件。</w:t>
            </w:r>
          </w:p>
          <w:p w14:paraId="0CC6B08C">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须在投标文件资格审查部分提供拟派项目负责人履职和未被禁止参与投标的承诺（承诺格式见第六章投标文件格式）。</w:t>
            </w:r>
          </w:p>
          <w:p w14:paraId="3D6F969E">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.其他要求</w:t>
            </w:r>
          </w:p>
          <w:p w14:paraId="7CF2083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lang w:val="en-US" w:eastAsia="zh-CN"/>
              </w:rPr>
              <w:t>服务</w:t>
            </w:r>
            <w:r>
              <w:rPr>
                <w:rFonts w:hint="eastAsia" w:ascii="宋体" w:hAnsi="宋体"/>
                <w:color w:val="auto"/>
                <w:kern w:val="0"/>
                <w:szCs w:val="21"/>
                <w:highlight w:val="none"/>
              </w:rPr>
              <w:t>团队</w:t>
            </w:r>
            <w:r>
              <w:rPr>
                <w:rFonts w:hint="eastAsia" w:ascii="宋体" w:hAnsi="宋体"/>
                <w:color w:val="auto"/>
                <w:szCs w:val="21"/>
                <w:highlight w:val="none"/>
              </w:rPr>
              <w:t>其他主要人员要求</w:t>
            </w:r>
            <w:r>
              <w:rPr>
                <w:rFonts w:ascii="宋体" w:hAnsi="宋体"/>
                <w:color w:val="auto"/>
                <w:szCs w:val="21"/>
                <w:highlight w:val="none"/>
              </w:rPr>
              <w:t>：</w:t>
            </w:r>
          </w:p>
          <w:p w14:paraId="3BC148AB">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人须在竞标文件资格审查部分提供承诺（承诺格式见第六章竞标文件格式）。竞标人自行承诺中标后在签订合同之前，根据项目实际情况组建项目服务团队，明确服务团队的职责、岗位设置、人员配备。专业技术人员应持有行业行政主管部门要求的注册证书或职称证书，并提供竞标人为其缴纳的养老保险证明材料。中标后不能满足该要求的，取消其中标资格；签订合同后不满足该要求的，按合同相关条款处罚并上报行政主管部门；给招标人造成损失的，竞标人依法承担违约赔偿责任。</w:t>
            </w:r>
          </w:p>
          <w:p w14:paraId="723C3E8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0C3845B9">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竞标人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1507645B">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竞标人</w:t>
            </w:r>
            <w:r>
              <w:rPr>
                <w:rFonts w:ascii="宋体" w:hAnsi="宋体"/>
                <w:color w:val="auto"/>
                <w:kern w:val="0"/>
                <w:szCs w:val="21"/>
                <w:highlight w:val="none"/>
              </w:rPr>
              <w:t>须</w:t>
            </w:r>
            <w:r>
              <w:rPr>
                <w:rFonts w:hint="eastAsia" w:ascii="宋体" w:hAnsi="宋体"/>
                <w:color w:val="auto"/>
                <w:kern w:val="0"/>
                <w:szCs w:val="21"/>
                <w:highlight w:val="none"/>
              </w:rPr>
              <w:t>在投标文件资格审查部分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1695F8E8">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127A8A37">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上述要求须提交的相关证明材料复印件均应加盖竞标单位法人章并装入竞标文件资格审查部分中。上述要求</w:t>
            </w:r>
            <w:r>
              <w:rPr>
                <w:rFonts w:hint="eastAsia" w:ascii="宋体" w:hAnsi="宋体" w:cs="宋体"/>
                <w:color w:val="auto"/>
                <w:kern w:val="0"/>
                <w:szCs w:val="21"/>
                <w:highlight w:val="none"/>
              </w:rPr>
              <w:t>，有一条不满足则竞标文件由评标委员会</w:t>
            </w:r>
            <w:r>
              <w:rPr>
                <w:rFonts w:hint="eastAsia" w:ascii="宋体" w:hAnsi="宋体" w:cs="宋体"/>
                <w:color w:val="auto"/>
                <w:szCs w:val="21"/>
                <w:highlight w:val="none"/>
              </w:rPr>
              <w:t>作否决竞标处理</w:t>
            </w:r>
            <w:r>
              <w:rPr>
                <w:rFonts w:hint="eastAsia" w:ascii="宋体" w:hAnsi="宋体" w:cs="宋体"/>
                <w:color w:val="auto"/>
                <w:kern w:val="0"/>
                <w:szCs w:val="21"/>
                <w:highlight w:val="none"/>
              </w:rPr>
              <w:t>。</w:t>
            </w:r>
          </w:p>
          <w:p w14:paraId="021520B9">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（2）竞标人须自行承诺其提供的上述相关证明材料真实有效，不存在弄虚作假情形（格式见第六章投标文件格式）。比选人在合同签订前均有权对</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提供的资料进行核实，若发现弄虚作假，按相关规定取消其中标资格，并按相关法律法规报招标投标监督部门，其投标保证金不予退还，</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承担因此造成的相关责任并赔偿相应损失。</w:t>
            </w:r>
          </w:p>
          <w:p w14:paraId="7F950A48">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13B86B64">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24FC8FDB">
            <w:pPr>
              <w:spacing w:line="400" w:lineRule="exact"/>
              <w:ind w:firstLine="420" w:firstLineChars="200"/>
              <w:rPr>
                <w:rFonts w:ascii="宋体" w:hAnsi="宋体"/>
                <w:bCs/>
                <w:snapToGrid w:val="0"/>
                <w:color w:val="auto"/>
                <w:kern w:val="0"/>
                <w:szCs w:val="21"/>
                <w:highlight w:val="none"/>
              </w:rPr>
            </w:pPr>
            <w:r>
              <w:rPr>
                <w:rFonts w:hint="eastAsia" w:ascii="宋体" w:hAnsi="宋体"/>
                <w:bCs/>
                <w:color w:val="auto"/>
                <w:kern w:val="0"/>
                <w:szCs w:val="21"/>
                <w:highlight w:val="none"/>
              </w:rPr>
              <w:t>②项目负责人和委托代理人的连续养老保险证明期限须包含</w:t>
            </w:r>
            <w:r>
              <w:rPr>
                <w:rFonts w:hint="eastAsia" w:ascii="宋体" w:hAnsi="宋体"/>
                <w:bCs/>
                <w:color w:val="auto"/>
                <w:kern w:val="0"/>
                <w:szCs w:val="21"/>
                <w:highlight w:val="none"/>
              </w:rPr>
              <w:t>202</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年</w:t>
            </w:r>
            <w:r>
              <w:rPr>
                <w:rFonts w:hint="eastAsia" w:ascii="宋体" w:hAnsi="宋体"/>
                <w:bCs/>
                <w:color w:val="auto"/>
                <w:kern w:val="0"/>
                <w:szCs w:val="21"/>
                <w:highlight w:val="none"/>
                <w:lang w:val="en-US" w:eastAsia="zh-CN"/>
              </w:rPr>
              <w:t>9</w:t>
            </w:r>
            <w:r>
              <w:rPr>
                <w:rFonts w:hint="eastAsia" w:ascii="宋体" w:hAnsi="宋体"/>
                <w:bCs/>
                <w:color w:val="auto"/>
                <w:kern w:val="0"/>
                <w:szCs w:val="21"/>
                <w:highlight w:val="none"/>
              </w:rPr>
              <w:t>月至2025年</w:t>
            </w:r>
            <w:r>
              <w:rPr>
                <w:rFonts w:hint="eastAsia" w:ascii="宋体" w:hAnsi="宋体"/>
                <w:bCs/>
                <w:color w:val="auto"/>
                <w:kern w:val="0"/>
                <w:szCs w:val="21"/>
                <w:highlight w:val="none"/>
                <w:lang w:val="en-US" w:eastAsia="zh-CN"/>
              </w:rPr>
              <w:t>11</w:t>
            </w:r>
            <w:r>
              <w:rPr>
                <w:rFonts w:hint="eastAsia" w:ascii="宋体" w:hAnsi="宋体"/>
                <w:bCs/>
                <w:color w:val="auto"/>
                <w:kern w:val="0"/>
                <w:szCs w:val="21"/>
                <w:highlight w:val="none"/>
              </w:rPr>
              <w:t>月</w:t>
            </w:r>
            <w:r>
              <w:rPr>
                <w:rFonts w:hint="eastAsia" w:ascii="宋体" w:hAnsi="宋体"/>
                <w:bCs/>
                <w:color w:val="auto"/>
                <w:kern w:val="0"/>
                <w:szCs w:val="21"/>
                <w:highlight w:val="none"/>
              </w:rPr>
              <w:t>。提供的养老保险参保证明须体现上述人员的姓名、身份证号（或社保号）、单位名称、本单位参保时间（或起始参保时间），并带有社保部门公章或社保部门的有效电子印章。</w:t>
            </w:r>
            <w:bookmarkStart w:id="384" w:name="_GoBack"/>
            <w:bookmarkEnd w:id="384"/>
          </w:p>
        </w:tc>
      </w:tr>
      <w:tr w14:paraId="67ACD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35" w:type="dxa"/>
            <w:vAlign w:val="center"/>
          </w:tcPr>
          <w:p w14:paraId="6F1A8D1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68A3587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w:t>
            </w:r>
            <w:r>
              <w:rPr>
                <w:rFonts w:hint="eastAsia" w:ascii="宋体" w:hAnsi="宋体"/>
                <w:color w:val="auto"/>
                <w:kern w:val="0"/>
                <w:szCs w:val="21"/>
                <w:highlight w:val="none"/>
              </w:rPr>
              <w:t>竞标</w:t>
            </w:r>
          </w:p>
        </w:tc>
        <w:tc>
          <w:tcPr>
            <w:tcW w:w="6919" w:type="dxa"/>
            <w:vAlign w:val="center"/>
          </w:tcPr>
          <w:p w14:paraId="5D858E31">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MS Mincho" w:hAnsi="MS Mincho" w:eastAsia="MS Mincho" w:cs="MS Mincho"/>
                <w:color w:val="auto"/>
                <w:kern w:val="0"/>
                <w:szCs w:val="21"/>
                <w:highlight w:val="none"/>
              </w:rPr>
              <w:t>☑</w:t>
            </w:r>
            <w:r>
              <w:rPr>
                <w:rFonts w:hint="eastAsia" w:ascii="宋体" w:hAnsi="宋体"/>
                <w:color w:val="auto"/>
                <w:kern w:val="0"/>
                <w:szCs w:val="21"/>
                <w:highlight w:val="none"/>
              </w:rPr>
              <w:t>不</w:t>
            </w:r>
            <w:r>
              <w:rPr>
                <w:rFonts w:ascii="宋体" w:hAnsi="宋体"/>
                <w:color w:val="auto"/>
                <w:kern w:val="0"/>
                <w:szCs w:val="21"/>
                <w:highlight w:val="none"/>
              </w:rPr>
              <w:t>接受</w:t>
            </w:r>
          </w:p>
        </w:tc>
      </w:tr>
      <w:tr w14:paraId="54661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39B04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92D8B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919" w:type="dxa"/>
            <w:vAlign w:val="center"/>
          </w:tcPr>
          <w:p w14:paraId="4352A3E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tc>
      </w:tr>
      <w:tr w14:paraId="2FCC6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0FC5B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57212D6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预备会</w:t>
            </w:r>
          </w:p>
        </w:tc>
        <w:tc>
          <w:tcPr>
            <w:tcW w:w="6919" w:type="dxa"/>
            <w:vAlign w:val="center"/>
          </w:tcPr>
          <w:p w14:paraId="2ED801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tc>
      </w:tr>
      <w:tr w14:paraId="7EB72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23792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7BECB99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919" w:type="dxa"/>
            <w:vAlign w:val="center"/>
          </w:tcPr>
          <w:p w14:paraId="4399CF6B">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不允许</w:t>
            </w:r>
          </w:p>
        </w:tc>
      </w:tr>
      <w:tr w14:paraId="10D29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7225A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001B2EBF">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竞争性比选文件</w:t>
            </w:r>
            <w:r>
              <w:rPr>
                <w:rFonts w:ascii="宋体" w:hAnsi="宋体"/>
                <w:color w:val="auto"/>
                <w:kern w:val="0"/>
                <w:szCs w:val="21"/>
                <w:highlight w:val="none"/>
              </w:rPr>
              <w:t>的其他材料</w:t>
            </w:r>
          </w:p>
        </w:tc>
        <w:tc>
          <w:tcPr>
            <w:tcW w:w="6919" w:type="dxa"/>
            <w:vAlign w:val="center"/>
          </w:tcPr>
          <w:p w14:paraId="2DDCF5E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34E45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38137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544EB3C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919" w:type="dxa"/>
            <w:vAlign w:val="center"/>
          </w:tcPr>
          <w:p w14:paraId="6A5408D9">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19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12：00</w:t>
            </w:r>
            <w:r>
              <w:rPr>
                <w:rFonts w:hint="eastAsia" w:ascii="宋体" w:hAnsi="宋体" w:cs="宋体"/>
                <w:color w:val="auto"/>
                <w:szCs w:val="21"/>
                <w:highlight w:val="none"/>
                <w:u w:val="single"/>
              </w:rPr>
              <w:t xml:space="preserve"> 前</w:t>
            </w:r>
            <w:r>
              <w:rPr>
                <w:rFonts w:hint="eastAsia" w:ascii="宋体" w:hAnsi="宋体"/>
                <w:color w:val="auto"/>
                <w:kern w:val="0"/>
                <w:szCs w:val="21"/>
                <w:highlight w:val="none"/>
              </w:rPr>
              <w:t>通过书面的形式向比选人提出疑问</w:t>
            </w:r>
            <w:r>
              <w:rPr>
                <w:rFonts w:ascii="宋体" w:hAnsi="宋体"/>
                <w:color w:val="auto"/>
                <w:kern w:val="0"/>
                <w:szCs w:val="21"/>
                <w:highlight w:val="none"/>
              </w:rPr>
              <w:t>。</w:t>
            </w:r>
          </w:p>
        </w:tc>
      </w:tr>
      <w:tr w14:paraId="307CC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7D37F7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47CEB33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竞争性比选文件澄清</w:t>
            </w:r>
            <w:r>
              <w:rPr>
                <w:rFonts w:ascii="宋体" w:hAnsi="宋体"/>
                <w:color w:val="auto"/>
                <w:kern w:val="0"/>
                <w:szCs w:val="21"/>
                <w:highlight w:val="none"/>
              </w:rPr>
              <w:t>的截止时间</w:t>
            </w:r>
          </w:p>
        </w:tc>
        <w:tc>
          <w:tcPr>
            <w:tcW w:w="6919" w:type="dxa"/>
            <w:vAlign w:val="center"/>
          </w:tcPr>
          <w:p w14:paraId="5FBEA996">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12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19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：0</w:t>
            </w: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2788B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3CEFD744">
            <w:pPr>
              <w:snapToGrid w:val="0"/>
              <w:spacing w:line="400" w:lineRule="exact"/>
              <w:jc w:val="center"/>
              <w:rPr>
                <w:rFonts w:ascii="宋体" w:hAnsi="宋体"/>
                <w:color w:val="auto"/>
                <w:kern w:val="0"/>
                <w:szCs w:val="21"/>
                <w:highlight w:val="none"/>
              </w:rPr>
            </w:pPr>
          </w:p>
        </w:tc>
        <w:tc>
          <w:tcPr>
            <w:tcW w:w="1644" w:type="dxa"/>
            <w:vAlign w:val="center"/>
          </w:tcPr>
          <w:p w14:paraId="58221D3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竞标截止时间</w:t>
            </w:r>
          </w:p>
        </w:tc>
        <w:tc>
          <w:tcPr>
            <w:tcW w:w="6919" w:type="dxa"/>
            <w:vAlign w:val="center"/>
          </w:tcPr>
          <w:p w14:paraId="2FC80586">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详见比选公告规定的竞标截止时间。</w:t>
            </w:r>
          </w:p>
        </w:tc>
      </w:tr>
      <w:tr w14:paraId="6CE15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6C8C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70728038">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竞标文件</w:t>
            </w:r>
            <w:r>
              <w:rPr>
                <w:rFonts w:ascii="宋体" w:hAnsi="宋体"/>
                <w:color w:val="auto"/>
                <w:kern w:val="0"/>
                <w:szCs w:val="21"/>
                <w:highlight w:val="none"/>
              </w:rPr>
              <w:t>的其他材料</w:t>
            </w:r>
          </w:p>
        </w:tc>
        <w:tc>
          <w:tcPr>
            <w:tcW w:w="6919" w:type="dxa"/>
            <w:vAlign w:val="center"/>
          </w:tcPr>
          <w:p w14:paraId="73ADC81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w:t>
            </w:r>
            <w:r>
              <w:rPr>
                <w:rFonts w:ascii="宋体" w:hAnsi="宋体"/>
                <w:color w:val="auto"/>
                <w:szCs w:val="21"/>
                <w:highlight w:val="none"/>
              </w:rPr>
              <w:t>的书面澄清、说明和补正（但不得改变</w:t>
            </w:r>
            <w:r>
              <w:rPr>
                <w:rFonts w:hint="eastAsia" w:ascii="宋体" w:hAnsi="宋体"/>
                <w:color w:val="auto"/>
                <w:szCs w:val="21"/>
                <w:highlight w:val="none"/>
              </w:rPr>
              <w:t>竞标文件</w:t>
            </w:r>
            <w:r>
              <w:rPr>
                <w:rFonts w:ascii="宋体" w:hAnsi="宋体"/>
                <w:color w:val="auto"/>
                <w:szCs w:val="21"/>
                <w:highlight w:val="none"/>
              </w:rPr>
              <w:t>的实质性内容）</w:t>
            </w:r>
          </w:p>
        </w:tc>
      </w:tr>
      <w:tr w14:paraId="0CBF9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0A0C4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.2.1</w:t>
            </w:r>
          </w:p>
        </w:tc>
        <w:tc>
          <w:tcPr>
            <w:tcW w:w="1644" w:type="dxa"/>
            <w:vAlign w:val="center"/>
          </w:tcPr>
          <w:p w14:paraId="6B864F1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增值税税金的计算方法</w:t>
            </w:r>
          </w:p>
        </w:tc>
        <w:tc>
          <w:tcPr>
            <w:tcW w:w="6919" w:type="dxa"/>
            <w:vAlign w:val="center"/>
          </w:tcPr>
          <w:p w14:paraId="1A9622B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一般计税法</w:t>
            </w:r>
          </w:p>
        </w:tc>
      </w:tr>
      <w:tr w14:paraId="418A0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C8097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.3</w:t>
            </w:r>
          </w:p>
        </w:tc>
        <w:tc>
          <w:tcPr>
            <w:tcW w:w="1644" w:type="dxa"/>
            <w:vAlign w:val="center"/>
          </w:tcPr>
          <w:p w14:paraId="6E1F205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报价</w:t>
            </w:r>
          </w:p>
        </w:tc>
        <w:tc>
          <w:tcPr>
            <w:tcW w:w="6919" w:type="dxa"/>
            <w:vAlign w:val="center"/>
          </w:tcPr>
          <w:p w14:paraId="7354569C">
            <w:pPr>
              <w:snapToGrid w:val="0"/>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报价方式：固定总价。</w:t>
            </w:r>
          </w:p>
          <w:p w14:paraId="058BA313">
            <w:pPr>
              <w:snapToGrid w:val="0"/>
              <w:spacing w:line="400" w:lineRule="exact"/>
              <w:ind w:left="1680" w:leftChars="200" w:hanging="1260" w:hangingChars="600"/>
              <w:rPr>
                <w:color w:val="auto"/>
                <w:highlight w:val="none"/>
              </w:rPr>
            </w:pPr>
            <w:r>
              <w:rPr>
                <w:rFonts w:hint="eastAsia"/>
                <w:color w:val="auto"/>
                <w:highlight w:val="none"/>
              </w:rPr>
              <w:t>固定总价最高限价为</w:t>
            </w:r>
            <w:r>
              <w:rPr>
                <w:rFonts w:hint="eastAsia"/>
                <w:color w:val="auto"/>
                <w:sz w:val="24"/>
                <w:szCs w:val="32"/>
                <w:highlight w:val="none"/>
                <w:u w:val="single"/>
              </w:rPr>
              <w:t xml:space="preserve"> 246200</w:t>
            </w:r>
            <w:r>
              <w:rPr>
                <w:rFonts w:hint="eastAsia"/>
                <w:color w:val="auto"/>
                <w:sz w:val="24"/>
                <w:szCs w:val="32"/>
                <w:highlight w:val="none"/>
                <w:u w:val="single"/>
                <w:lang w:val="en-US" w:eastAsia="zh-CN"/>
              </w:rPr>
              <w:t>.00</w:t>
            </w:r>
            <w:r>
              <w:rPr>
                <w:rFonts w:hint="eastAsia"/>
                <w:color w:val="auto"/>
                <w:highlight w:val="none"/>
                <w:u w:val="single"/>
              </w:rPr>
              <w:t xml:space="preserve">元 </w:t>
            </w:r>
            <w:r>
              <w:rPr>
                <w:rFonts w:hint="eastAsia"/>
                <w:color w:val="auto"/>
                <w:highlight w:val="none"/>
              </w:rPr>
              <w:t>。</w:t>
            </w:r>
          </w:p>
          <w:p w14:paraId="58FBC1E1">
            <w:pPr>
              <w:snapToGrid w:val="0"/>
              <w:spacing w:line="400" w:lineRule="exact"/>
              <w:ind w:firstLine="420" w:firstLineChars="200"/>
              <w:rPr>
                <w:rFonts w:asciiTheme="minorEastAsia" w:hAnsiTheme="minorEastAsia" w:eastAsiaTheme="minorEastAsia"/>
                <w:color w:val="auto"/>
                <w:highlight w:val="none"/>
              </w:rPr>
            </w:pPr>
            <w:r>
              <w:rPr>
                <w:rFonts w:hint="eastAsia" w:ascii="宋体" w:hAnsi="宋体" w:cs="宋体"/>
                <w:color w:val="auto"/>
                <w:szCs w:val="21"/>
                <w:highlight w:val="none"/>
              </w:rPr>
              <w:t>竞标人的投标报价不得超过其最高限价，否则由评标委员会作</w:t>
            </w:r>
            <w:r>
              <w:rPr>
                <w:rFonts w:hint="eastAsia" w:ascii="宋体" w:hAnsi="宋体"/>
                <w:color w:val="auto"/>
                <w:szCs w:val="21"/>
                <w:highlight w:val="none"/>
              </w:rPr>
              <w:t>否决投标处理。</w:t>
            </w:r>
          </w:p>
          <w:p w14:paraId="4F6ECE6D">
            <w:pPr>
              <w:pStyle w:val="18"/>
              <w:tabs>
                <w:tab w:val="left" w:pos="546"/>
                <w:tab w:val="left" w:pos="711"/>
              </w:tabs>
              <w:snapToGrid w:val="0"/>
              <w:spacing w:after="0" w:line="400" w:lineRule="exact"/>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、本次报价须为人民币报价，报价为比</w:t>
            </w:r>
            <w:r>
              <w:rPr>
                <w:rFonts w:hint="eastAsia" w:ascii="宋体" w:hAnsi="宋体" w:cs="宋体"/>
                <w:color w:val="auto"/>
                <w:szCs w:val="21"/>
                <w:highlight w:val="none"/>
              </w:rPr>
              <w:t>竞标人</w:t>
            </w:r>
            <w:r>
              <w:rPr>
                <w:rFonts w:hint="eastAsia" w:asciiTheme="minorEastAsia" w:hAnsiTheme="minorEastAsia" w:eastAsiaTheme="minorEastAsia"/>
                <w:color w:val="auto"/>
                <w:highlight w:val="none"/>
              </w:rPr>
              <w:t>对</w:t>
            </w:r>
            <w:r>
              <w:rPr>
                <w:rFonts w:hint="eastAsia" w:ascii="宋体" w:hAnsi="宋体" w:cs="宋体"/>
                <w:color w:val="auto"/>
                <w:szCs w:val="21"/>
                <w:highlight w:val="none"/>
              </w:rPr>
              <w:t>竞标</w:t>
            </w:r>
            <w:r>
              <w:rPr>
                <w:rFonts w:hint="eastAsia" w:asciiTheme="minorEastAsia" w:hAnsiTheme="minorEastAsia" w:eastAsiaTheme="minorEastAsia"/>
                <w:color w:val="auto"/>
                <w:highlight w:val="none"/>
              </w:rPr>
              <w:t>文件所确定的全部工作内容包干总价，报价包括但不限于：人员工资、社会保险费、福利费、加班费、咨询费、安全措施费、利润、税金等合同明示或暗示的所有一切风险、完成相应任务所发生的费用、责任和义务等一切应由乙方支付的费用。比选人除此外不支付其他费用。因</w:t>
            </w:r>
            <w:r>
              <w:rPr>
                <w:rFonts w:hint="eastAsia" w:ascii="宋体" w:hAnsi="宋体" w:cs="宋体"/>
                <w:color w:val="auto"/>
                <w:szCs w:val="21"/>
                <w:highlight w:val="none"/>
              </w:rPr>
              <w:t>竞标人</w:t>
            </w:r>
            <w:r>
              <w:rPr>
                <w:rFonts w:hint="eastAsia" w:asciiTheme="minorEastAsia" w:hAnsiTheme="minorEastAsia" w:eastAsiaTheme="minorEastAsia"/>
                <w:color w:val="auto"/>
                <w:highlight w:val="none"/>
              </w:rPr>
              <w:t>自身原因造成漏报、少报皆由中选人自行承担，比选人不再补偿。</w:t>
            </w:r>
          </w:p>
          <w:p w14:paraId="16B89071">
            <w:pPr>
              <w:pStyle w:val="18"/>
              <w:tabs>
                <w:tab w:val="left" w:pos="546"/>
                <w:tab w:val="left" w:pos="711"/>
              </w:tabs>
              <w:snapToGrid w:val="0"/>
              <w:spacing w:after="0" w:line="400" w:lineRule="exact"/>
              <w:ind w:firstLine="420" w:firstLineChars="200"/>
              <w:rPr>
                <w:color w:val="auto"/>
                <w:highlight w:val="none"/>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、费用构成由</w:t>
            </w:r>
            <w:r>
              <w:rPr>
                <w:rFonts w:hint="eastAsia" w:ascii="宋体" w:hAnsi="宋体" w:cs="宋体"/>
                <w:color w:val="auto"/>
                <w:szCs w:val="21"/>
                <w:highlight w:val="none"/>
              </w:rPr>
              <w:t>竞标人</w:t>
            </w:r>
            <w:r>
              <w:rPr>
                <w:rFonts w:hint="eastAsia" w:asciiTheme="minorEastAsia" w:hAnsiTheme="minorEastAsia" w:eastAsiaTheme="minorEastAsia"/>
                <w:color w:val="auto"/>
                <w:highlight w:val="none"/>
              </w:rPr>
              <w:t>根据本项目的实际情况与自身现实情况，并充分考虑不确定性因素可能导致的风险自行填报。若因</w:t>
            </w:r>
            <w:r>
              <w:rPr>
                <w:rFonts w:hint="eastAsia" w:ascii="宋体" w:hAnsi="宋体" w:cs="宋体"/>
                <w:color w:val="auto"/>
                <w:szCs w:val="21"/>
                <w:highlight w:val="none"/>
              </w:rPr>
              <w:t>竞标人</w:t>
            </w:r>
            <w:r>
              <w:rPr>
                <w:rFonts w:hint="eastAsia" w:asciiTheme="minorEastAsia" w:hAnsiTheme="minorEastAsia" w:eastAsiaTheme="minorEastAsia"/>
                <w:color w:val="auto"/>
                <w:highlight w:val="none"/>
              </w:rPr>
              <w:t>原因造成的漏报、错报而导致本项目无法履行的，由</w:t>
            </w:r>
            <w:r>
              <w:rPr>
                <w:rFonts w:hint="eastAsia" w:ascii="宋体" w:hAnsi="宋体" w:cs="宋体"/>
                <w:color w:val="auto"/>
                <w:szCs w:val="21"/>
                <w:highlight w:val="none"/>
              </w:rPr>
              <w:t>竞标人</w:t>
            </w:r>
            <w:r>
              <w:rPr>
                <w:rFonts w:hint="eastAsia" w:asciiTheme="minorEastAsia" w:hAnsiTheme="minorEastAsia" w:eastAsiaTheme="minorEastAsia"/>
                <w:color w:val="auto"/>
                <w:highlight w:val="none"/>
              </w:rPr>
              <w:t>负责，比选人不会承担任何费用。</w:t>
            </w:r>
          </w:p>
        </w:tc>
      </w:tr>
      <w:tr w14:paraId="15B18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DBD7A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1AEDE9A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有效期</w:t>
            </w:r>
          </w:p>
        </w:tc>
        <w:tc>
          <w:tcPr>
            <w:tcW w:w="6919" w:type="dxa"/>
            <w:vAlign w:val="center"/>
          </w:tcPr>
          <w:p w14:paraId="3428A0E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竞标文件</w:t>
            </w:r>
            <w:r>
              <w:rPr>
                <w:rFonts w:ascii="宋体" w:hAnsi="宋体"/>
                <w:color w:val="auto"/>
                <w:szCs w:val="21"/>
                <w:highlight w:val="none"/>
              </w:rPr>
              <w:t>截止日起计算）</w:t>
            </w:r>
          </w:p>
        </w:tc>
      </w:tr>
      <w:tr w14:paraId="07413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CD59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1EF08C8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保证金</w:t>
            </w:r>
          </w:p>
        </w:tc>
        <w:tc>
          <w:tcPr>
            <w:tcW w:w="6919" w:type="dxa"/>
            <w:vAlign w:val="center"/>
          </w:tcPr>
          <w:p w14:paraId="0D4AD907">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1、竞标保证金的金额</w:t>
            </w:r>
          </w:p>
          <w:p w14:paraId="0B74A2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竞标保证金金额：</w:t>
            </w:r>
            <w:r>
              <w:rPr>
                <w:rFonts w:hint="eastAsia"/>
                <w:color w:val="auto"/>
                <w:highlight w:val="none"/>
              </w:rPr>
              <w:t>大写</w:t>
            </w:r>
            <w:r>
              <w:rPr>
                <w:rFonts w:hint="eastAsia"/>
                <w:color w:val="auto"/>
                <w:highlight w:val="none"/>
                <w:lang w:val="en-US" w:eastAsia="zh-CN"/>
              </w:rPr>
              <w:t>壹</w:t>
            </w:r>
            <w:r>
              <w:rPr>
                <w:rFonts w:hint="eastAsia"/>
                <w:color w:val="auto"/>
                <w:highlight w:val="none"/>
              </w:rPr>
              <w:t>仟元整，小写：</w:t>
            </w:r>
            <w:r>
              <w:rPr>
                <w:rFonts w:hint="eastAsia"/>
                <w:color w:val="auto"/>
                <w:highlight w:val="none"/>
                <w:lang w:val="en-US" w:eastAsia="zh-CN"/>
              </w:rPr>
              <w:t>10</w:t>
            </w:r>
            <w:r>
              <w:rPr>
                <w:rFonts w:hint="eastAsia"/>
                <w:color w:val="auto"/>
                <w:highlight w:val="none"/>
              </w:rPr>
              <w:t>00元</w:t>
            </w:r>
          </w:p>
          <w:p w14:paraId="14969AB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2、竞标保证金缴纳时间：</w:t>
            </w:r>
          </w:p>
          <w:p w14:paraId="70B95AAE">
            <w:pPr>
              <w:spacing w:line="360" w:lineRule="auto"/>
              <w:ind w:firstLine="420" w:firstLineChars="200"/>
              <w:rPr>
                <w:color w:val="auto"/>
                <w:highlight w:val="none"/>
              </w:rPr>
            </w:pPr>
            <w:r>
              <w:rPr>
                <w:rFonts w:hint="eastAsia"/>
                <w:color w:val="auto"/>
                <w:highlight w:val="none"/>
              </w:rPr>
              <w:t>竞标人必须在递交竞标文件时采用现金方式向比选代理机构足额缴纳。竞标人自行准备封袋，并在封袋上写明竞标人名称（加盖公章）、联系人、联系电话，竞标人和比选代理机构当面清点后密封。</w:t>
            </w:r>
          </w:p>
          <w:p w14:paraId="11D8B203">
            <w:pPr>
              <w:numPr>
                <w:ilvl w:val="0"/>
                <w:numId w:val="1"/>
              </w:num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保证金的退还</w:t>
            </w:r>
          </w:p>
          <w:p w14:paraId="7BBA193E">
            <w:pPr>
              <w:spacing w:line="360" w:lineRule="auto"/>
              <w:ind w:firstLine="420" w:firstLineChars="200"/>
              <w:rPr>
                <w:rFonts w:hint="eastAsia" w:eastAsia="宋体"/>
                <w:color w:val="auto"/>
                <w:highlight w:val="none"/>
              </w:rPr>
            </w:pPr>
            <w:r>
              <w:rPr>
                <w:rFonts w:hint="eastAsia" w:ascii="宋体" w:hAnsi="宋体"/>
                <w:color w:val="auto"/>
                <w:szCs w:val="21"/>
                <w:highlight w:val="none"/>
              </w:rPr>
              <w:t>3.1评标委员会推荐的前三名中选候选人保证金暂时不退，其余竞标人保证金在评审完</w:t>
            </w:r>
            <w:r>
              <w:rPr>
                <w:rFonts w:hint="eastAsia" w:eastAsia="宋体"/>
                <w:color w:val="auto"/>
                <w:highlight w:val="none"/>
              </w:rPr>
              <w:t>毕当场退还。</w:t>
            </w:r>
          </w:p>
          <w:p w14:paraId="5AEBF6BA">
            <w:pPr>
              <w:spacing w:line="360" w:lineRule="auto"/>
              <w:ind w:firstLine="420" w:firstLineChars="200"/>
              <w:rPr>
                <w:rFonts w:hint="eastAsia" w:eastAsia="宋体"/>
                <w:color w:val="auto"/>
                <w:highlight w:val="none"/>
              </w:rPr>
            </w:pPr>
            <w:r>
              <w:rPr>
                <w:rFonts w:hint="eastAsia" w:eastAsia="宋体"/>
                <w:color w:val="auto"/>
                <w:highlight w:val="none"/>
              </w:rPr>
              <w:t>3.2前三名中选候选人保证金的退还：未中选的竞标人交纳的保证金，由比选代理机构于本项目《中选通知书》发出后5个工作日内全额原路退还。</w:t>
            </w:r>
          </w:p>
          <w:p w14:paraId="16544655">
            <w:pPr>
              <w:widowControl w:val="0"/>
              <w:spacing w:line="360" w:lineRule="auto"/>
              <w:ind w:firstLine="420" w:firstLineChars="200"/>
              <w:jc w:val="left"/>
              <w:rPr>
                <w:color w:val="auto"/>
                <w:highlight w:val="none"/>
              </w:rPr>
            </w:pPr>
            <w:r>
              <w:rPr>
                <w:rFonts w:hint="eastAsia" w:eastAsia="宋体"/>
                <w:color w:val="auto"/>
                <w:highlight w:val="none"/>
              </w:rPr>
              <w:t>3.3本项目中选人交纳的保证金，在中选人与比选人签订项目合同后，凭签订的项目合同原件1份和交纳的履约担保金凭证复印件，由比选代理机构在5个工作日内全额退还</w:t>
            </w:r>
            <w:r>
              <w:rPr>
                <w:rFonts w:hint="eastAsia" w:ascii="宋体" w:hAnsi="宋体" w:eastAsia="宋体" w:cs="宋体"/>
                <w:color w:val="auto"/>
                <w:kern w:val="0"/>
                <w:sz w:val="22"/>
                <w:szCs w:val="22"/>
                <w:highlight w:val="none"/>
                <w:lang w:eastAsia="zh-CN"/>
              </w:rPr>
              <w:t>。</w:t>
            </w:r>
          </w:p>
        </w:tc>
      </w:tr>
      <w:tr w14:paraId="54689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9ADF5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0C7807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73C8222A">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rPr>
              <w:t>竞标</w:t>
            </w:r>
            <w:r>
              <w:rPr>
                <w:rFonts w:ascii="宋体" w:hAnsi="宋体"/>
                <w:color w:val="auto"/>
                <w:kern w:val="0"/>
                <w:szCs w:val="21"/>
                <w:highlight w:val="none"/>
              </w:rPr>
              <w:t>方案</w:t>
            </w:r>
          </w:p>
        </w:tc>
        <w:tc>
          <w:tcPr>
            <w:tcW w:w="6919" w:type="dxa"/>
            <w:vAlign w:val="center"/>
          </w:tcPr>
          <w:p w14:paraId="5FD39E31">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0C852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8B34D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13781705">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竞标文件格式要求</w:t>
            </w:r>
          </w:p>
        </w:tc>
        <w:tc>
          <w:tcPr>
            <w:tcW w:w="6919" w:type="dxa"/>
            <w:vAlign w:val="center"/>
          </w:tcPr>
          <w:p w14:paraId="0117E3A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07395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2BC7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C95305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919" w:type="dxa"/>
            <w:vAlign w:val="center"/>
          </w:tcPr>
          <w:p w14:paraId="7336E52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文件应用不褪色的材料书写或打印，并由竞标人的法定代表人或其委托代理人在竞争性比选文件规定的位置按竞争性比选文件要求签名或盖章、盖单位法人章。委托代理人签名的，竞标文件应附法定代表人签署的授权委托书。竞标文件应尽量避免涂改、行间插字或删除。如果出现上述情况，改动之处应加盖单位法人章或由竞标人的法定代表人或其授权的代理人签名确认。</w:t>
            </w:r>
          </w:p>
          <w:p w14:paraId="56F16EED">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2BFB9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9AEC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7B7991AF">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的份数</w:t>
            </w:r>
          </w:p>
        </w:tc>
        <w:tc>
          <w:tcPr>
            <w:tcW w:w="6919" w:type="dxa"/>
            <w:vAlign w:val="center"/>
          </w:tcPr>
          <w:p w14:paraId="01D6E428">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1份、副本2份，电子版形式（U盘或光盘）1份。当副本和正本不一致时，以正本为准。否则由评标委员会作否决竞标处理。</w:t>
            </w:r>
          </w:p>
        </w:tc>
      </w:tr>
      <w:tr w14:paraId="0D548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C92F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shd w:val="clear" w:color="auto" w:fill="auto"/>
            <w:vAlign w:val="center"/>
          </w:tcPr>
          <w:p w14:paraId="5A415564">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装订要求</w:t>
            </w:r>
          </w:p>
        </w:tc>
        <w:tc>
          <w:tcPr>
            <w:tcW w:w="6919" w:type="dxa"/>
            <w:shd w:val="clear" w:color="auto" w:fill="auto"/>
            <w:vAlign w:val="center"/>
          </w:tcPr>
          <w:p w14:paraId="58AF6C0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含商务部分（如有</w:t>
            </w:r>
            <w:r>
              <w:rPr>
                <w:rFonts w:hint="eastAsia" w:ascii="宋体" w:hAnsi="宋体"/>
                <w:color w:val="auto"/>
                <w:kern w:val="0"/>
                <w:szCs w:val="21"/>
                <w:highlight w:val="none"/>
                <w:lang w:eastAsia="zh-CN"/>
              </w:rPr>
              <w:t>）</w:t>
            </w:r>
            <w:r>
              <w:rPr>
                <w:rFonts w:ascii="宋体" w:hAnsi="宋体"/>
                <w:color w:val="auto"/>
                <w:szCs w:val="21"/>
                <w:highlight w:val="none"/>
              </w:rPr>
              <w:t>各自分别装订成册。</w:t>
            </w:r>
          </w:p>
          <w:p w14:paraId="348B4A0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053DC26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函部分的装订要求</w:t>
            </w:r>
          </w:p>
          <w:p w14:paraId="11B97C4A">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4CD80F1A">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14:paraId="7E7F8441">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63CE4BF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69B73C33">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含商务部分（如有</w:t>
            </w:r>
            <w:r>
              <w:rPr>
                <w:rFonts w:hint="eastAsia" w:ascii="宋体" w:hAnsi="宋体"/>
                <w:color w:val="auto"/>
                <w:kern w:val="0"/>
                <w:szCs w:val="21"/>
                <w:highlight w:val="none"/>
                <w:lang w:eastAsia="zh-CN"/>
              </w:rPr>
              <w:t>）</w:t>
            </w:r>
            <w:r>
              <w:rPr>
                <w:rFonts w:ascii="宋体" w:hAnsi="宋体"/>
                <w:color w:val="auto"/>
                <w:kern w:val="0"/>
                <w:szCs w:val="21"/>
                <w:highlight w:val="none"/>
              </w:rPr>
              <w:t>的装订要求</w:t>
            </w:r>
          </w:p>
          <w:p w14:paraId="5262DBB5">
            <w:pPr>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4458A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5B66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shd w:val="clear" w:color="auto" w:fill="auto"/>
            <w:vAlign w:val="center"/>
          </w:tcPr>
          <w:p w14:paraId="7092E88D">
            <w:pPr>
              <w:snapToGrid w:val="0"/>
              <w:spacing w:line="400" w:lineRule="exact"/>
              <w:jc w:val="center"/>
              <w:rPr>
                <w:rFonts w:ascii="宋体" w:hAnsi="宋体" w:eastAsia="宋体" w:cs="Times New Roman"/>
                <w:color w:val="auto"/>
                <w:spacing w:val="-6"/>
                <w:kern w:val="0"/>
                <w:sz w:val="21"/>
                <w:szCs w:val="21"/>
                <w:highlight w:val="none"/>
                <w:lang w:val="en-US" w:eastAsia="zh-CN" w:bidi="ar-SA"/>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的密封</w:t>
            </w:r>
          </w:p>
        </w:tc>
        <w:tc>
          <w:tcPr>
            <w:tcW w:w="6919" w:type="dxa"/>
            <w:shd w:val="clear" w:color="auto" w:fill="auto"/>
            <w:vAlign w:val="center"/>
          </w:tcPr>
          <w:p w14:paraId="79F09211">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rPr>
              <w:t>竞标</w:t>
            </w:r>
            <w:r>
              <w:rPr>
                <w:rFonts w:ascii="宋体" w:hAnsi="宋体"/>
                <w:color w:val="auto"/>
                <w:szCs w:val="21"/>
                <w:highlight w:val="none"/>
              </w:rPr>
              <w:t>函部分”袋、“技术部分”袋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65443F7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竞标</w:t>
            </w:r>
            <w:r>
              <w:rPr>
                <w:rFonts w:ascii="宋体" w:hAnsi="宋体"/>
                <w:color w:val="auto"/>
                <w:szCs w:val="21"/>
                <w:highlight w:val="none"/>
              </w:rPr>
              <w:t>函部分</w:t>
            </w:r>
            <w:r>
              <w:rPr>
                <w:rFonts w:hint="eastAsia" w:ascii="宋体" w:hAnsi="宋体"/>
                <w:color w:val="auto"/>
                <w:szCs w:val="21"/>
                <w:highlight w:val="none"/>
              </w:rPr>
              <w:t>和电子版形式（</w:t>
            </w:r>
            <w:r>
              <w:rPr>
                <w:rFonts w:hint="eastAsia" w:ascii="宋体" w:hAnsi="宋体"/>
                <w:color w:val="auto"/>
                <w:kern w:val="0"/>
                <w:szCs w:val="21"/>
                <w:highlight w:val="none"/>
              </w:rPr>
              <w:t>U盘或光盘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rPr>
              <w:t>竞标</w:t>
            </w:r>
            <w:r>
              <w:rPr>
                <w:rFonts w:ascii="宋体" w:hAnsi="宋体"/>
                <w:color w:val="auto"/>
                <w:szCs w:val="21"/>
                <w:highlight w:val="none"/>
              </w:rPr>
              <w:t>函部分”袋中，密封并在袋上加盖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1C33D47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0BD4A97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0A66DD0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1B1FE0C8">
            <w:pPr>
              <w:adjustRightInd w:val="0"/>
              <w:snapToGrid w:val="0"/>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注：“竞标函部分”袋、“技术部分”袋（如有）、“资格审查部分”袋只为方便竞标文件分装，不作为判定密封合格与否的条件。但为了方便开标，请各竞标人主动配合，按要求分装。</w:t>
            </w:r>
          </w:p>
        </w:tc>
      </w:tr>
      <w:tr w14:paraId="46254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84E7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3DB97AB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919" w:type="dxa"/>
            <w:vAlign w:val="center"/>
          </w:tcPr>
          <w:p w14:paraId="0FA5C3A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竞标文件</w:t>
            </w:r>
            <w:r>
              <w:rPr>
                <w:rFonts w:ascii="宋体" w:hAnsi="宋体"/>
                <w:color w:val="auto"/>
                <w:kern w:val="0"/>
                <w:szCs w:val="21"/>
                <w:highlight w:val="none"/>
              </w:rPr>
              <w:t>”大袋封套上写明如下内容：</w:t>
            </w:r>
          </w:p>
          <w:p w14:paraId="654EC8B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1A76C41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竞标人名称：</w:t>
            </w:r>
            <w:r>
              <w:rPr>
                <w:rFonts w:hint="eastAsia" w:ascii="宋体" w:hAnsi="宋体"/>
                <w:color w:val="auto"/>
                <w:kern w:val="0"/>
                <w:szCs w:val="21"/>
                <w:highlight w:val="none"/>
                <w:u w:val="single"/>
              </w:rPr>
              <w:t xml:space="preserve">            </w:t>
            </w:r>
          </w:p>
          <w:p w14:paraId="594C5A6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竞标文件</w:t>
            </w:r>
          </w:p>
          <w:p w14:paraId="6134EAEC">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25B40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3561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00EB67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竞标文件</w:t>
            </w:r>
            <w:r>
              <w:rPr>
                <w:rFonts w:ascii="宋体" w:hAnsi="宋体"/>
                <w:color w:val="auto"/>
                <w:kern w:val="0"/>
                <w:szCs w:val="21"/>
                <w:highlight w:val="none"/>
              </w:rPr>
              <w:t>地点</w:t>
            </w:r>
          </w:p>
        </w:tc>
        <w:tc>
          <w:tcPr>
            <w:tcW w:w="6919" w:type="dxa"/>
            <w:vAlign w:val="center"/>
          </w:tcPr>
          <w:p w14:paraId="61F59723">
            <w:pPr>
              <w:snapToGrid w:val="0"/>
              <w:spacing w:line="400" w:lineRule="exact"/>
              <w:ind w:firstLine="422" w:firstLineChars="200"/>
              <w:rPr>
                <w:rFonts w:ascii="宋体" w:hAnsi="宋体"/>
                <w:bCs/>
                <w:i/>
                <w:color w:val="auto"/>
                <w:szCs w:val="21"/>
                <w:highlight w:val="none"/>
              </w:rPr>
            </w:pPr>
            <w:r>
              <w:rPr>
                <w:rFonts w:hint="eastAsia" w:ascii="宋体" w:hAnsi="宋体" w:cs="宋体"/>
                <w:b/>
                <w:snapToGrid w:val="0"/>
                <w:color w:val="auto"/>
                <w:kern w:val="0"/>
                <w:highlight w:val="none"/>
                <w:u w:val="single"/>
                <w:lang w:eastAsia="zh-CN"/>
              </w:rPr>
              <w:t>重庆市南岸区公共资源交易中心（重庆市南岸区天文街道广福大道12号区行政中心B区2号楼4楼）</w:t>
            </w:r>
            <w:r>
              <w:rPr>
                <w:rFonts w:hint="eastAsia" w:ascii="宋体" w:hAnsi="宋体"/>
                <w:snapToGrid w:val="0"/>
                <w:color w:val="auto"/>
                <w:kern w:val="0"/>
                <w:szCs w:val="21"/>
                <w:highlight w:val="none"/>
                <w:u w:val="single"/>
              </w:rPr>
              <w:t xml:space="preserve"> </w:t>
            </w:r>
          </w:p>
        </w:tc>
      </w:tr>
      <w:tr w14:paraId="78F2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C39B7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7630B2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竞标文件</w:t>
            </w:r>
          </w:p>
        </w:tc>
        <w:tc>
          <w:tcPr>
            <w:tcW w:w="6919" w:type="dxa"/>
            <w:vAlign w:val="center"/>
          </w:tcPr>
          <w:p w14:paraId="4548124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54DD1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7AAAC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37F5FB5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72B8263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919" w:type="dxa"/>
            <w:vAlign w:val="center"/>
          </w:tcPr>
          <w:p w14:paraId="1D9F4EF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rPr>
              <w:t>竞标</w:t>
            </w:r>
            <w:r>
              <w:rPr>
                <w:rFonts w:ascii="宋体" w:hAnsi="宋体"/>
                <w:color w:val="auto"/>
                <w:kern w:val="0"/>
                <w:szCs w:val="21"/>
                <w:highlight w:val="none"/>
              </w:rPr>
              <w:t>截止时间</w:t>
            </w:r>
          </w:p>
          <w:p w14:paraId="03A465AC">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
                <w:snapToGrid w:val="0"/>
                <w:color w:val="auto"/>
                <w:kern w:val="0"/>
                <w:highlight w:val="none"/>
                <w:u w:val="single"/>
                <w:lang w:eastAsia="zh-CN"/>
              </w:rPr>
              <w:t>重庆市南岸区公共资源交易中心（重庆市南岸区天文街道广福大道12号区行政中心B区2号楼4楼）</w:t>
            </w:r>
            <w:r>
              <w:rPr>
                <w:rFonts w:hint="eastAsia" w:ascii="宋体" w:hAnsi="宋体"/>
                <w:snapToGrid w:val="0"/>
                <w:color w:val="auto"/>
                <w:kern w:val="0"/>
                <w:szCs w:val="21"/>
                <w:highlight w:val="none"/>
                <w:u w:val="single"/>
              </w:rPr>
              <w:t xml:space="preserve">  </w:t>
            </w:r>
          </w:p>
        </w:tc>
      </w:tr>
      <w:tr w14:paraId="043FD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228F7">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6ADA603F">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919" w:type="dxa"/>
            <w:vAlign w:val="center"/>
          </w:tcPr>
          <w:p w14:paraId="56AB4CE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4B1B85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竞标人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30F9E8E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7E69A79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364EF70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竞标</w:t>
            </w:r>
            <w:r>
              <w:rPr>
                <w:rFonts w:ascii="宋体" w:hAnsi="宋体"/>
                <w:color w:val="auto"/>
                <w:szCs w:val="21"/>
                <w:highlight w:val="none"/>
              </w:rPr>
              <w:t>截止时间前递交</w:t>
            </w:r>
            <w:r>
              <w:rPr>
                <w:rFonts w:hint="eastAsia" w:ascii="宋体" w:hAnsi="宋体"/>
                <w:color w:val="auto"/>
                <w:szCs w:val="21"/>
                <w:highlight w:val="none"/>
              </w:rPr>
              <w:t>竞标文件</w:t>
            </w:r>
            <w:r>
              <w:rPr>
                <w:rFonts w:ascii="宋体" w:hAnsi="宋体"/>
                <w:color w:val="auto"/>
                <w:szCs w:val="21"/>
                <w:highlight w:val="none"/>
              </w:rPr>
              <w:t>的</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w:t>
            </w:r>
          </w:p>
          <w:p w14:paraId="0E671FE9">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竞标文件的密封检查：竞标人可对自己的竞标文件封装情况进行检查，以确认其竞标文件密封完好。</w:t>
            </w:r>
          </w:p>
          <w:p w14:paraId="253FDDC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汇总竞标保证金交纳情况</w:t>
            </w:r>
          </w:p>
          <w:p w14:paraId="1E2AD9C1">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6.1 打印所有竞标人的竞标保证金交纳情況，并由比选人代表、监标人、记录人签名确认。</w:t>
            </w:r>
          </w:p>
          <w:p w14:paraId="6CF09422">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646FC01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竞标文件</w:t>
            </w:r>
            <w:r>
              <w:rPr>
                <w:rFonts w:ascii="宋体" w:hAnsi="宋体"/>
                <w:color w:val="auto"/>
                <w:szCs w:val="21"/>
                <w:highlight w:val="none"/>
              </w:rPr>
              <w:t>。开启</w:t>
            </w:r>
            <w:r>
              <w:rPr>
                <w:rFonts w:hint="eastAsia" w:ascii="宋体" w:hAnsi="宋体"/>
                <w:color w:val="auto"/>
                <w:szCs w:val="21"/>
                <w:highlight w:val="none"/>
              </w:rPr>
              <w:t>竞标文件</w:t>
            </w:r>
            <w:r>
              <w:rPr>
                <w:rFonts w:ascii="宋体" w:hAnsi="宋体"/>
                <w:color w:val="auto"/>
                <w:szCs w:val="21"/>
                <w:highlight w:val="none"/>
              </w:rPr>
              <w:t>大袋及</w:t>
            </w:r>
            <w:r>
              <w:rPr>
                <w:rFonts w:hint="eastAsia" w:ascii="宋体" w:hAnsi="宋体"/>
                <w:color w:val="auto"/>
                <w:szCs w:val="21"/>
                <w:highlight w:val="none"/>
              </w:rPr>
              <w:t>竞标函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竞标</w:t>
            </w:r>
            <w:r>
              <w:rPr>
                <w:rFonts w:ascii="宋体" w:hAnsi="宋体"/>
                <w:color w:val="auto"/>
                <w:szCs w:val="21"/>
                <w:highlight w:val="none"/>
              </w:rPr>
              <w:t>报价、质量要求、工期及其他内容并记录在案</w:t>
            </w:r>
            <w:r>
              <w:rPr>
                <w:rFonts w:hint="eastAsia" w:ascii="宋体" w:hAnsi="宋体"/>
                <w:color w:val="auto"/>
                <w:szCs w:val="21"/>
                <w:highlight w:val="none"/>
              </w:rPr>
              <w:t>。</w:t>
            </w:r>
          </w:p>
          <w:p w14:paraId="2E28B67A">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竞标人对开标有异议的，应当场提出，由比选人或代理机构当场答复，并记录到开标记录表中。异议处理完毕后，汇总开标情况，打印开标记录表。</w:t>
            </w:r>
          </w:p>
          <w:p w14:paraId="6AED3FC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竞标人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2AB4D737">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竞标保证金递交情况一览表、开标记录表、竞标人信用情况汇总表一并交由评标委员会评审。</w:t>
            </w:r>
          </w:p>
          <w:p w14:paraId="76B120A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4CCAF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1F9864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344978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919" w:type="dxa"/>
            <w:vAlign w:val="center"/>
          </w:tcPr>
          <w:p w14:paraId="01A5B2D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由比选人按法律法规及相关规定依法组建评标委员会。</w:t>
            </w:r>
          </w:p>
        </w:tc>
      </w:tr>
      <w:tr w14:paraId="73504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E7F961">
            <w:pPr>
              <w:pStyle w:val="150"/>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6.2.5</w:t>
            </w:r>
          </w:p>
        </w:tc>
        <w:tc>
          <w:tcPr>
            <w:tcW w:w="1644" w:type="dxa"/>
            <w:vAlign w:val="center"/>
          </w:tcPr>
          <w:p w14:paraId="5B56BAB4">
            <w:pPr>
              <w:pStyle w:val="150"/>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w:t>
            </w:r>
          </w:p>
          <w:p w14:paraId="29457BA3">
            <w:pPr>
              <w:pStyle w:val="150"/>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三人的处理</w:t>
            </w:r>
          </w:p>
        </w:tc>
        <w:tc>
          <w:tcPr>
            <w:tcW w:w="6919" w:type="dxa"/>
            <w:vAlign w:val="center"/>
          </w:tcPr>
          <w:p w14:paraId="69A4D36F">
            <w:pPr>
              <w:pStyle w:val="150"/>
              <w:spacing w:line="360" w:lineRule="auto"/>
              <w:ind w:firstLine="420" w:firstLineChars="200"/>
              <w:rPr>
                <w:rFonts w:ascii="宋体" w:hAnsi="宋体" w:cs="Times New Roman"/>
                <w:color w:val="auto"/>
                <w:sz w:val="21"/>
                <w:szCs w:val="21"/>
                <w:highlight w:val="none"/>
              </w:rPr>
            </w:pPr>
            <w:r>
              <w:rPr>
                <w:rFonts w:ascii="宋体" w:hAnsi="宋体" w:cs="Times New Roman"/>
                <w:color w:val="auto"/>
                <w:sz w:val="21"/>
                <w:szCs w:val="21"/>
                <w:highlight w:val="none"/>
              </w:rPr>
              <w:t>因评标委员会认定为</w:t>
            </w:r>
            <w:r>
              <w:rPr>
                <w:rFonts w:hint="eastAsia" w:ascii="宋体" w:hAnsi="宋体" w:cs="Times New Roman"/>
                <w:color w:val="auto"/>
                <w:sz w:val="21"/>
                <w:szCs w:val="21"/>
                <w:highlight w:val="none"/>
              </w:rPr>
              <w:t>否决竞标</w:t>
            </w:r>
            <w:r>
              <w:rPr>
                <w:rFonts w:ascii="宋体" w:hAnsi="宋体" w:cs="Times New Roman"/>
                <w:color w:val="auto"/>
                <w:sz w:val="21"/>
                <w:szCs w:val="21"/>
                <w:highlight w:val="none"/>
              </w:rPr>
              <w:t>导致有效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不足三人时，</w:t>
            </w:r>
            <w:r>
              <w:rPr>
                <w:rFonts w:hint="eastAsia" w:ascii="宋体" w:hAnsi="宋体" w:cs="Times New Roman"/>
                <w:color w:val="auto"/>
                <w:sz w:val="21"/>
                <w:szCs w:val="21"/>
                <w:highlight w:val="none"/>
              </w:rPr>
              <w:t>如果有效竞标人的经济、技术等指标仍然具有市场竞争力，能够</w:t>
            </w:r>
            <w:r>
              <w:rPr>
                <w:rFonts w:ascii="宋体" w:hAnsi="宋体" w:cs="Times New Roman"/>
                <w:color w:val="auto"/>
                <w:sz w:val="21"/>
                <w:szCs w:val="21"/>
                <w:highlight w:val="none"/>
              </w:rPr>
              <w:t>满足</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的要求</w:t>
            </w:r>
            <w:r>
              <w:rPr>
                <w:rFonts w:hint="eastAsia" w:ascii="宋体" w:hAnsi="宋体" w:cs="Times New Roman"/>
                <w:color w:val="auto"/>
                <w:sz w:val="21"/>
                <w:szCs w:val="21"/>
                <w:highlight w:val="none"/>
              </w:rPr>
              <w:t>，评标委员会可以继续</w:t>
            </w:r>
            <w:r>
              <w:rPr>
                <w:rFonts w:ascii="宋体" w:hAnsi="宋体" w:cs="Times New Roman"/>
                <w:color w:val="auto"/>
                <w:sz w:val="21"/>
                <w:szCs w:val="21"/>
                <w:highlight w:val="none"/>
              </w:rPr>
              <w:t>按</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规定的程序评标，推荐</w:t>
            </w:r>
            <w:r>
              <w:rPr>
                <w:rFonts w:hint="eastAsia" w:ascii="宋体" w:hAnsi="宋体" w:cs="Times New Roman"/>
                <w:color w:val="auto"/>
                <w:sz w:val="21"/>
                <w:szCs w:val="21"/>
                <w:highlight w:val="none"/>
              </w:rPr>
              <w:t>中选</w:t>
            </w:r>
            <w:r>
              <w:rPr>
                <w:rFonts w:ascii="宋体" w:hAnsi="宋体" w:cs="Times New Roman"/>
                <w:color w:val="auto"/>
                <w:sz w:val="21"/>
                <w:szCs w:val="21"/>
                <w:highlight w:val="none"/>
              </w:rPr>
              <w:t>候选人。</w:t>
            </w:r>
          </w:p>
        </w:tc>
      </w:tr>
      <w:tr w14:paraId="6103B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60FA6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48723C45">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w:t>
            </w:r>
            <w:r>
              <w:rPr>
                <w:rFonts w:hint="eastAsia" w:ascii="宋体" w:hAnsi="宋体"/>
                <w:color w:val="auto"/>
                <w:kern w:val="0"/>
                <w:szCs w:val="21"/>
                <w:highlight w:val="none"/>
              </w:rPr>
              <w:t>中选</w:t>
            </w:r>
            <w:r>
              <w:rPr>
                <w:rFonts w:ascii="宋体" w:hAnsi="宋体"/>
                <w:color w:val="auto"/>
                <w:kern w:val="0"/>
                <w:szCs w:val="21"/>
                <w:highlight w:val="none"/>
              </w:rPr>
              <w:t>人</w:t>
            </w:r>
          </w:p>
        </w:tc>
        <w:tc>
          <w:tcPr>
            <w:tcW w:w="6919" w:type="dxa"/>
            <w:vAlign w:val="center"/>
          </w:tcPr>
          <w:p w14:paraId="617F0585">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35468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9F87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41BD7373">
            <w:pPr>
              <w:snapToGrid w:val="0"/>
              <w:spacing w:after="62" w:afterLines="20"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w:t>
            </w:r>
            <w:r>
              <w:rPr>
                <w:rFonts w:ascii="宋体" w:hAnsi="宋体"/>
                <w:color w:val="auto"/>
                <w:kern w:val="0"/>
                <w:szCs w:val="21"/>
                <w:highlight w:val="none"/>
              </w:rPr>
              <w:t>公示</w:t>
            </w:r>
          </w:p>
        </w:tc>
        <w:tc>
          <w:tcPr>
            <w:tcW w:w="6919" w:type="dxa"/>
            <w:vAlign w:val="center"/>
          </w:tcPr>
          <w:p w14:paraId="1C02DF8B">
            <w:pPr>
              <w:snapToGrid w:val="0"/>
              <w:spacing w:line="400" w:lineRule="exact"/>
              <w:ind w:firstLine="420" w:firstLineChars="200"/>
              <w:rPr>
                <w:rFonts w:ascii="宋体" w:hAnsi="宋体" w:cs="宋体"/>
                <w:color w:val="auto"/>
                <w:szCs w:val="21"/>
                <w:highlight w:val="none"/>
              </w:rPr>
            </w:pPr>
            <w:r>
              <w:rPr>
                <w:rFonts w:hint="eastAsia" w:asciiTheme="minorEastAsia" w:hAnsiTheme="minorEastAsia" w:eastAsiaTheme="minorEastAsia" w:cstheme="minorEastAsia"/>
                <w:color w:val="auto"/>
                <w:highlight w:val="none"/>
              </w:rPr>
              <w:t>比选人在收到评标报告后3日内将评标结果在</w:t>
            </w:r>
            <w:r>
              <w:rPr>
                <w:rFonts w:hint="eastAsia" w:asciiTheme="minorEastAsia" w:hAnsiTheme="minorEastAsia" w:eastAsiaTheme="minorEastAsia" w:cstheme="minorEastAsia"/>
                <w:color w:val="auto"/>
                <w:kern w:val="0"/>
                <w:highlight w:val="none"/>
                <w:u w:val="single"/>
              </w:rPr>
              <w:t>行采家（https://www.gec123.com/）</w:t>
            </w:r>
            <w:r>
              <w:rPr>
                <w:rFonts w:hint="eastAsia" w:asciiTheme="minorEastAsia" w:hAnsiTheme="minorEastAsia" w:eastAsiaTheme="minorEastAsia" w:cstheme="minorEastAsia"/>
                <w:color w:val="auto"/>
                <w:highlight w:val="none"/>
              </w:rPr>
              <w:t>上进行公示，公示期为3日。</w:t>
            </w:r>
          </w:p>
        </w:tc>
      </w:tr>
      <w:tr w14:paraId="6F4B1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45D01C2C">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7.3.1</w:t>
            </w:r>
          </w:p>
        </w:tc>
        <w:tc>
          <w:tcPr>
            <w:tcW w:w="1644" w:type="dxa"/>
            <w:shd w:val="clear" w:color="auto" w:fill="auto"/>
            <w:vAlign w:val="center"/>
          </w:tcPr>
          <w:p w14:paraId="61FF4D82">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履约担保</w:t>
            </w:r>
          </w:p>
        </w:tc>
        <w:tc>
          <w:tcPr>
            <w:tcW w:w="6919" w:type="dxa"/>
            <w:shd w:val="clear" w:color="auto" w:fill="auto"/>
            <w:vAlign w:val="center"/>
          </w:tcPr>
          <w:p w14:paraId="47910997">
            <w:pPr>
              <w:snapToGrid w:val="0"/>
              <w:spacing w:after="62" w:afterLines="20" w:line="400" w:lineRule="exact"/>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lang w:val="en-US" w:eastAsia="zh-CN"/>
              </w:rPr>
              <w:t>不采用</w:t>
            </w:r>
          </w:p>
        </w:tc>
      </w:tr>
      <w:tr w14:paraId="435FB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72C35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52BDFA3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919" w:type="dxa"/>
            <w:vAlign w:val="center"/>
          </w:tcPr>
          <w:p w14:paraId="5D35D11F">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一）比选人应当自中选通知书发出之日起三十日内，按照比选文件和中选人竞标文件的约定，与中选人签订书面合同。因中选人的缘故不能按期签订合同，则扣除全部履约保证金并视为放弃中选资格。所签订的合同不得对比选文件和中选人的竞标文件作实质性修改。</w:t>
            </w:r>
          </w:p>
          <w:p w14:paraId="74A47FBB">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（二）比选文件、中选人的竞标文件及澄清文件等，均为签订合同的依据。</w:t>
            </w:r>
          </w:p>
          <w:p w14:paraId="65C5113B">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（三）合同生效条款由双方约定，法律、行政法规规定应当办理批准、登记等手续后生效的合同，依照其规定。</w:t>
            </w:r>
          </w:p>
          <w:p w14:paraId="5432FEA4">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（四）合同原则上应按照《本项目合同条款》签订，相关单位要求适用合同通用格式版本的，应按其要求另行签订其他合同。</w:t>
            </w:r>
          </w:p>
        </w:tc>
      </w:tr>
      <w:tr w14:paraId="7891F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EB70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1644" w:type="dxa"/>
            <w:vAlign w:val="center"/>
          </w:tcPr>
          <w:p w14:paraId="454B9A9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重新比选的情形</w:t>
            </w:r>
          </w:p>
        </w:tc>
        <w:tc>
          <w:tcPr>
            <w:tcW w:w="6919" w:type="dxa"/>
            <w:vAlign w:val="center"/>
          </w:tcPr>
          <w:p w14:paraId="00755F4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1.按竞标人须知第8.1（1）执行；</w:t>
            </w:r>
          </w:p>
          <w:p w14:paraId="31D40B65">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2.按竞标人须知第8.1（2）执行；</w:t>
            </w:r>
          </w:p>
          <w:p w14:paraId="2EC5DFCF">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3.按竞标人须知第8.1（3）执行；</w:t>
            </w:r>
          </w:p>
          <w:p w14:paraId="7827DD6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4.按竞标人须知第8.1（4）执行；</w:t>
            </w:r>
          </w:p>
          <w:p w14:paraId="2C66A34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注：本款只适用于首次比选。</w:t>
            </w:r>
          </w:p>
        </w:tc>
      </w:tr>
      <w:tr w14:paraId="2F075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F9812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08DBC082">
            <w:pPr>
              <w:snapToGrid w:val="0"/>
              <w:spacing w:line="400" w:lineRule="exact"/>
              <w:jc w:val="center"/>
              <w:rPr>
                <w:color w:val="auto"/>
                <w:highlight w:val="none"/>
              </w:rPr>
            </w:pPr>
            <w:bookmarkStart w:id="111" w:name="_Toc536628250"/>
            <w:bookmarkStart w:id="112" w:name="_Toc16930431"/>
            <w:bookmarkStart w:id="113" w:name="_Toc13210670"/>
            <w:bookmarkStart w:id="114" w:name="_Toc509218709"/>
            <w:bookmarkStart w:id="115" w:name="_Toc430530434"/>
            <w:r>
              <w:rPr>
                <w:rFonts w:hint="eastAsia" w:ascii="宋体" w:hAnsi="宋体"/>
                <w:color w:val="auto"/>
                <w:kern w:val="0"/>
                <w:szCs w:val="21"/>
                <w:highlight w:val="none"/>
              </w:rPr>
              <w:t>重新比选</w:t>
            </w:r>
            <w:r>
              <w:rPr>
                <w:rFonts w:ascii="宋体" w:hAnsi="宋体"/>
                <w:color w:val="auto"/>
                <w:kern w:val="0"/>
                <w:szCs w:val="21"/>
                <w:highlight w:val="none"/>
              </w:rPr>
              <w:t>和不再</w:t>
            </w:r>
            <w:bookmarkEnd w:id="111"/>
            <w:bookmarkEnd w:id="112"/>
            <w:bookmarkEnd w:id="113"/>
            <w:bookmarkEnd w:id="114"/>
            <w:bookmarkEnd w:id="115"/>
            <w:r>
              <w:rPr>
                <w:rFonts w:hint="eastAsia" w:ascii="宋体" w:hAnsi="宋体"/>
                <w:color w:val="auto"/>
                <w:kern w:val="0"/>
                <w:szCs w:val="21"/>
                <w:highlight w:val="none"/>
              </w:rPr>
              <w:t>比选</w:t>
            </w:r>
          </w:p>
        </w:tc>
        <w:tc>
          <w:tcPr>
            <w:tcW w:w="6919" w:type="dxa"/>
            <w:vAlign w:val="center"/>
          </w:tcPr>
          <w:p w14:paraId="7174F5D1">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重新公开竞争性比选后竞标人仍少于3个，按法定程序开标和评标，确定中选人。经评审无合格竞标人，经监督部门批准可以不再比选。</w:t>
            </w:r>
          </w:p>
        </w:tc>
      </w:tr>
      <w:tr w14:paraId="414BF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4C27E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563" w:type="dxa"/>
            <w:gridSpan w:val="2"/>
            <w:vAlign w:val="center"/>
          </w:tcPr>
          <w:p w14:paraId="4FA328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77FAF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045F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.1</w:t>
            </w:r>
          </w:p>
        </w:tc>
        <w:tc>
          <w:tcPr>
            <w:tcW w:w="1644" w:type="dxa"/>
            <w:vAlign w:val="center"/>
          </w:tcPr>
          <w:p w14:paraId="6908BDD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919" w:type="dxa"/>
            <w:vAlign w:val="center"/>
          </w:tcPr>
          <w:p w14:paraId="0F68BCC7">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竞标人</w:t>
            </w:r>
            <w:r>
              <w:rPr>
                <w:rFonts w:ascii="宋体" w:hAnsi="宋体"/>
                <w:color w:val="auto"/>
                <w:kern w:val="0"/>
                <w:szCs w:val="21"/>
                <w:highlight w:val="none"/>
              </w:rPr>
              <w:t>或者其他利害关系人就本项目的</w:t>
            </w:r>
            <w:r>
              <w:rPr>
                <w:rFonts w:hint="eastAsia" w:ascii="宋体" w:hAnsi="宋体"/>
                <w:color w:val="auto"/>
                <w:kern w:val="0"/>
                <w:szCs w:val="21"/>
                <w:highlight w:val="none"/>
              </w:rPr>
              <w:t>竞争性比选文件（含澄清修改）、开标情况、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rPr>
              <w:t>比选人</w:t>
            </w:r>
            <w:r>
              <w:rPr>
                <w:rFonts w:ascii="宋体" w:hAnsi="宋体"/>
                <w:color w:val="auto"/>
                <w:kern w:val="0"/>
                <w:szCs w:val="21"/>
                <w:highlight w:val="none"/>
              </w:rPr>
              <w:t>提出异议；</w:t>
            </w:r>
            <w:r>
              <w:rPr>
                <w:rFonts w:hint="eastAsia" w:ascii="宋体" w:hAnsi="宋体"/>
                <w:color w:val="auto"/>
                <w:kern w:val="0"/>
                <w:szCs w:val="21"/>
                <w:highlight w:val="none"/>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rPr>
              <w:t>比选人</w:t>
            </w:r>
            <w:r>
              <w:rPr>
                <w:rFonts w:ascii="宋体" w:hAnsi="宋体"/>
                <w:color w:val="auto"/>
                <w:kern w:val="0"/>
                <w:szCs w:val="21"/>
                <w:highlight w:val="none"/>
              </w:rPr>
              <w:t>的答复不满意，可向行政监督部门投诉。</w:t>
            </w:r>
          </w:p>
          <w:p w14:paraId="401ECA9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784E50A7">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（1）异议人或投诉人的名称、地址及有效联系方式；</w:t>
            </w:r>
          </w:p>
          <w:p w14:paraId="6F78FC0B">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（2）被异议人或被投诉人的名称、地址及有效联系方式；</w:t>
            </w:r>
          </w:p>
          <w:p w14:paraId="0F6A290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76B5F00D">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3CC70721">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3A693FC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2BF7C84">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3718D701">
            <w:pPr>
              <w:snapToGrid w:val="0"/>
              <w:spacing w:after="124" w:afterLines="4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根据《重庆市工程建设领域招标投标信用管理暂行办法》的规定，竞标人捏造事实、伪造材料，或者以非法手段获取证明材料进行质疑或者投诉的，将被列入黑名单管理；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4EFD0F5D">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宋体" w:hAnsi="宋体"/>
                <w:color w:val="auto"/>
                <w:kern w:val="0"/>
                <w:szCs w:val="21"/>
                <w:highlight w:val="none"/>
                <w:lang w:eastAsia="zh-CN"/>
              </w:rPr>
              <w:t xml:space="preserve">重庆市江南城市建设发展（集团）有限公司 </w:t>
            </w:r>
          </w:p>
          <w:p w14:paraId="5D433FFF">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eastAsia="zh-CN"/>
              </w:rPr>
              <w:t>18323732478</w:t>
            </w:r>
          </w:p>
        </w:tc>
      </w:tr>
      <w:tr w14:paraId="7F4AC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21E39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1644" w:type="dxa"/>
            <w:vAlign w:val="center"/>
          </w:tcPr>
          <w:p w14:paraId="3C24840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关于对竞争性比选文件及竞标争议的解释</w:t>
            </w:r>
          </w:p>
        </w:tc>
        <w:tc>
          <w:tcPr>
            <w:tcW w:w="6919" w:type="dxa"/>
            <w:vAlign w:val="center"/>
          </w:tcPr>
          <w:p w14:paraId="5FE8C8B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对资格预审文件或者竞争性比选文件的评标标准和方法，以及资格审查和否决竞标条款理解有争议的，应当作出不利于比选人的解释，但违背国家利益、社会公共利益的除外。</w:t>
            </w:r>
          </w:p>
          <w:p w14:paraId="006A0B9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对竞标文件理解有争议的，应当作出不利于提交该竞标文件的竞标人的解释。</w:t>
            </w:r>
          </w:p>
        </w:tc>
      </w:tr>
      <w:tr w14:paraId="78D01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78EB0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23DCB58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交易服务费及代理服务费</w:t>
            </w:r>
          </w:p>
        </w:tc>
        <w:tc>
          <w:tcPr>
            <w:tcW w:w="6919" w:type="dxa"/>
            <w:vAlign w:val="center"/>
          </w:tcPr>
          <w:p w14:paraId="58C57C2E">
            <w:pPr>
              <w:numPr>
                <w:ilvl w:val="0"/>
                <w:numId w:val="2"/>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交易服务费：竞标人中标后向“重庆市江南城市建设发展（集团）有限公司 ”缴纳交易服务费，服务费的收取标准按南岸发改【2025】130 号执行。招标人及中标人的工程建设招投标交易服务费均由中标人缴纳，交易服务费由竞标人测算综合考虑在投标总价中。</w:t>
            </w:r>
          </w:p>
          <w:p w14:paraId="5F84449C">
            <w:p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 xml:space="preserve">收款单位：重庆市江南城市建设发展（集团）有限公司 </w:t>
            </w:r>
          </w:p>
          <w:p w14:paraId="097E1279">
            <w:p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开户银行：重庆农村商业银行股份有限公司南岸支行南坪分理处</w:t>
            </w:r>
          </w:p>
          <w:p w14:paraId="2FF873BF">
            <w:p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银行账号：0601110120010023958</w:t>
            </w:r>
          </w:p>
          <w:p w14:paraId="21EE2D09">
            <w:p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银行行号：314653000222</w:t>
            </w:r>
          </w:p>
          <w:p w14:paraId="0577660D">
            <w:pPr>
              <w:snapToGrid w:val="0"/>
              <w:spacing w:line="400" w:lineRule="exact"/>
              <w:ind w:firstLine="420" w:firstLineChars="200"/>
              <w:jc w:val="left"/>
              <w:rPr>
                <w:rFonts w:hint="default"/>
                <w:color w:val="auto"/>
                <w:highlight w:val="none"/>
                <w:lang w:val="en-US" w:eastAsia="zh-CN"/>
              </w:rPr>
            </w:pPr>
            <w:r>
              <w:rPr>
                <w:rFonts w:hint="eastAsia" w:ascii="宋体" w:hAnsi="宋体"/>
                <w:color w:val="auto"/>
                <w:kern w:val="0"/>
                <w:szCs w:val="21"/>
                <w:highlight w:val="none"/>
                <w:lang w:val="en-US" w:eastAsia="zh-CN"/>
              </w:rPr>
              <w:t>（咨询：何老师，电话：023-62948872）</w:t>
            </w:r>
          </w:p>
          <w:p w14:paraId="10F65813">
            <w:pPr>
              <w:numPr>
                <w:ilvl w:val="0"/>
                <w:numId w:val="2"/>
              </w:numPr>
              <w:snapToGrid w:val="0"/>
              <w:spacing w:line="400" w:lineRule="exact"/>
              <w:ind w:firstLine="420" w:firstLineChars="200"/>
              <w:jc w:val="left"/>
              <w:rPr>
                <w:color w:val="auto"/>
                <w:highlight w:val="none"/>
              </w:rPr>
            </w:pPr>
            <w:r>
              <w:rPr>
                <w:rFonts w:hint="eastAsia" w:ascii="宋体" w:hAnsi="宋体"/>
                <w:color w:val="auto"/>
                <w:kern w:val="0"/>
                <w:szCs w:val="21"/>
                <w:highlight w:val="none"/>
              </w:rPr>
              <w:t>代理服务费：根据国家现行取费政策，按照以下计算方法确定招标代理服务费金额：以中标金额作为取费基数，参照（南财政[2015]694）、（计价格[2002]1980）文件收费标准下浮30%后再下浮</w:t>
            </w:r>
            <w:r>
              <w:rPr>
                <w:rFonts w:hint="eastAsia" w:ascii="宋体" w:hAnsi="宋体"/>
                <w:color w:val="auto"/>
                <w:kern w:val="0"/>
                <w:szCs w:val="21"/>
                <w:highlight w:val="none"/>
                <w:lang w:val="en-US" w:eastAsia="zh-CN"/>
              </w:rPr>
              <w:t>12</w:t>
            </w:r>
            <w:r>
              <w:rPr>
                <w:rFonts w:hint="eastAsia" w:ascii="宋体" w:hAnsi="宋体"/>
                <w:color w:val="auto"/>
                <w:kern w:val="0"/>
                <w:szCs w:val="21"/>
                <w:highlight w:val="none"/>
              </w:rPr>
              <w:t>%计取。</w:t>
            </w:r>
            <w:r>
              <w:rPr>
                <w:rFonts w:hint="eastAsia" w:ascii="宋体" w:hAnsi="宋体"/>
                <w:color w:val="auto"/>
                <w:kern w:val="0"/>
                <w:szCs w:val="21"/>
                <w:highlight w:val="none"/>
                <w:lang w:val="en-US" w:eastAsia="zh-CN"/>
              </w:rPr>
              <w:t>由中标人在</w:t>
            </w:r>
            <w:r>
              <w:rPr>
                <w:rFonts w:hint="eastAsia" w:ascii="宋体" w:hAnsi="宋体" w:cs="Times New Roman"/>
                <w:color w:val="auto"/>
                <w:kern w:val="0"/>
                <w:szCs w:val="21"/>
                <w:highlight w:val="none"/>
                <w:lang w:val="en-US" w:eastAsia="zh-CN"/>
              </w:rPr>
              <w:t>领取中标通知书时一次性向代理机构支付。</w:t>
            </w:r>
          </w:p>
        </w:tc>
      </w:tr>
      <w:tr w14:paraId="33C3F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670B1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49216D8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特别说明</w:t>
            </w:r>
          </w:p>
        </w:tc>
        <w:tc>
          <w:tcPr>
            <w:tcW w:w="6919" w:type="dxa"/>
            <w:vAlign w:val="center"/>
          </w:tcPr>
          <w:p w14:paraId="2273139B">
            <w:pPr>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比选人有权在评标结束后对竞标人的竞标文件进行清标。若发现竞标人的竞标文件存在不完全响应竞争性比选文件（含竞争性比选文件补遗、答疑、澄清）实质性要求，经复核未响应竞争选比选文件实质性要求，则其竞标文件按否决竞标处理。</w:t>
            </w:r>
          </w:p>
        </w:tc>
      </w:tr>
    </w:tbl>
    <w:p w14:paraId="04BC36F0">
      <w:pPr>
        <w:pStyle w:val="3"/>
        <w:spacing w:before="0" w:after="0" w:line="20" w:lineRule="exact"/>
        <w:rPr>
          <w:rFonts w:ascii="宋体" w:hAnsi="宋体"/>
          <w:b w:val="0"/>
          <w:snapToGrid w:val="0"/>
          <w:color w:val="auto"/>
          <w:highlight w:val="none"/>
        </w:rPr>
      </w:pPr>
      <w:bookmarkStart w:id="116" w:name="_Toc287607746"/>
      <w:bookmarkStart w:id="117" w:name="_Toc430530435"/>
      <w:bookmarkStart w:id="118" w:name="_Toc200513126"/>
      <w:bookmarkStart w:id="119" w:name="_Toc224103317"/>
      <w:bookmarkStart w:id="120" w:name="_Toc277082552"/>
      <w:bookmarkStart w:id="121" w:name="_Toc287620685"/>
    </w:p>
    <w:bookmarkEnd w:id="116"/>
    <w:bookmarkEnd w:id="117"/>
    <w:bookmarkEnd w:id="118"/>
    <w:bookmarkEnd w:id="119"/>
    <w:bookmarkEnd w:id="120"/>
    <w:bookmarkEnd w:id="121"/>
    <w:p w14:paraId="44C51F85">
      <w:pPr>
        <w:widowControl/>
        <w:jc w:val="left"/>
        <w:rPr>
          <w:rFonts w:asciiTheme="minorEastAsia" w:hAnsiTheme="minorEastAsia" w:eastAsiaTheme="minorEastAsia"/>
          <w:b/>
          <w:snapToGrid w:val="0"/>
          <w:color w:val="auto"/>
          <w:highlight w:val="none"/>
        </w:rPr>
      </w:pPr>
      <w:bookmarkStart w:id="122" w:name="A6"/>
      <w:bookmarkStart w:id="123" w:name="_Toc20466"/>
      <w:r>
        <w:rPr>
          <w:rFonts w:hint="eastAsia" w:asciiTheme="minorEastAsia" w:hAnsiTheme="minorEastAsia" w:eastAsiaTheme="minorEastAsia"/>
          <w:b/>
          <w:snapToGrid w:val="0"/>
          <w:color w:val="auto"/>
          <w:highlight w:val="none"/>
        </w:rPr>
        <w:t>1.  总则</w:t>
      </w:r>
    </w:p>
    <w:p w14:paraId="5956FD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4" w:name="_Toc200513127"/>
      <w:bookmarkStart w:id="125" w:name="_Toc224103318"/>
      <w:r>
        <w:rPr>
          <w:rFonts w:hint="eastAsia" w:cs="宋体" w:asciiTheme="minorEastAsia" w:hAnsiTheme="minorEastAsia" w:eastAsiaTheme="minorEastAsia"/>
          <w:snapToGrid w:val="0"/>
          <w:color w:val="auto"/>
          <w:szCs w:val="21"/>
          <w:highlight w:val="none"/>
        </w:rPr>
        <w:t>1.1  项目概况</w:t>
      </w:r>
      <w:bookmarkEnd w:id="124"/>
      <w:bookmarkEnd w:id="125"/>
    </w:p>
    <w:p w14:paraId="7948A6B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1.1.1  根据《中华人民共和国招标投标法》等有关法律、法规和规章的规定，本比选项目已具备比选条件，现对本项目进行比选。</w:t>
      </w:r>
    </w:p>
    <w:p w14:paraId="73318F2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1.1.2  本比选项目比选人：见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4F4EAE8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1.1.3  本比选代理机构：见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188B4525">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1.1.4  本比选项目名称：见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31E861D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1.1.5  本项目建设地点：见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3AFDBD2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6" w:name="_Toc200513128"/>
      <w:bookmarkStart w:id="127" w:name="_Toc224103319"/>
      <w:r>
        <w:rPr>
          <w:rFonts w:hint="eastAsia" w:cs="宋体" w:asciiTheme="minorEastAsia" w:hAnsiTheme="minorEastAsia" w:eastAsiaTheme="minorEastAsia"/>
          <w:snapToGrid w:val="0"/>
          <w:color w:val="auto"/>
          <w:szCs w:val="21"/>
          <w:highlight w:val="none"/>
        </w:rPr>
        <w:t>1.2  资金来源和落实情况</w:t>
      </w:r>
      <w:bookmarkEnd w:id="126"/>
      <w:bookmarkEnd w:id="127"/>
    </w:p>
    <w:p w14:paraId="334DA741">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1.2.1  本比选项目的资金来源：见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451643A7">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1.2.2  本比选项目的出资比例：见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022E2BBF">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1.2.3  本比选项目的资金落实情况：见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4050FC3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8" w:name="_Toc200513129"/>
      <w:bookmarkStart w:id="129" w:name="_Toc224103320"/>
      <w:r>
        <w:rPr>
          <w:rFonts w:hint="eastAsia" w:cs="宋体" w:asciiTheme="minorEastAsia" w:hAnsiTheme="minorEastAsia" w:eastAsiaTheme="minorEastAsia"/>
          <w:snapToGrid w:val="0"/>
          <w:color w:val="auto"/>
          <w:szCs w:val="21"/>
          <w:highlight w:val="none"/>
        </w:rPr>
        <w:t>1.3  比选范围、计划工期和质量要求</w:t>
      </w:r>
      <w:bookmarkEnd w:id="128"/>
      <w:bookmarkEnd w:id="129"/>
    </w:p>
    <w:p w14:paraId="7DE82B1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1.3.1  本次比选范围：见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4ECAC84F">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1.3.2  本项目的工期：见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54735158">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1.3.3  本项目的质量要求：见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67048438">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0" w:name="_Toc224103322"/>
      <w:bookmarkStart w:id="131" w:name="_Toc200513131"/>
      <w:r>
        <w:rPr>
          <w:rFonts w:hint="eastAsia" w:cs="宋体" w:asciiTheme="minorEastAsia" w:hAnsiTheme="minorEastAsia" w:eastAsiaTheme="minorEastAsia"/>
          <w:snapToGrid w:val="0"/>
          <w:color w:val="auto"/>
          <w:szCs w:val="21"/>
          <w:highlight w:val="none"/>
        </w:rPr>
        <w:t xml:space="preserve">1.4  </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资格要求</w:t>
      </w:r>
      <w:bookmarkEnd w:id="130"/>
      <w:bookmarkEnd w:id="131"/>
    </w:p>
    <w:p w14:paraId="33513DB9">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1.4.1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应具备承担本项目的资质条件、能力和信誉。</w:t>
      </w:r>
    </w:p>
    <w:p w14:paraId="4EB9B2D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（1）资质条件：按比选文件要求；</w:t>
      </w:r>
    </w:p>
    <w:p w14:paraId="450E59F0">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2</w:t>
      </w: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截止日</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资格情况：按比选文件要求；</w:t>
      </w:r>
    </w:p>
    <w:p w14:paraId="529D2DB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3</w:t>
      </w:r>
      <w:r>
        <w:rPr>
          <w:rFonts w:hint="eastAsia" w:cs="宋体" w:asciiTheme="minorEastAsia" w:hAnsiTheme="minorEastAsia" w:eastAsiaTheme="minorEastAsia"/>
          <w:snapToGrid w:val="0"/>
          <w:color w:val="auto"/>
          <w:kern w:val="0"/>
          <w:szCs w:val="21"/>
          <w:highlight w:val="none"/>
        </w:rPr>
        <w:t>）其他要求：按比选文件要求。</w:t>
      </w:r>
    </w:p>
    <w:p w14:paraId="72F0BEE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1.4.2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须知前附表规定接受联合体</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的，除应符合本章第1.4.1项和</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须知前附表的要求外，还应遵守以下规定：</w:t>
      </w:r>
    </w:p>
    <w:p w14:paraId="18D82E1C">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（1）联合体各方应按比选文件提供的格式签订联合体协议书，明确联合体牵头人和各方权利义务；</w:t>
      </w:r>
    </w:p>
    <w:p w14:paraId="386DB69F">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（2）由同一专业的单位组成的联合体，按照资质等级较低的单位确定资质等级；</w:t>
      </w:r>
    </w:p>
    <w:p w14:paraId="6403D26B">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（3）联合体各方不得再以自己名义单独或参加其他联合体在同一标段中</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w:t>
      </w:r>
    </w:p>
    <w:p w14:paraId="01AC38DA">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1.4.3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不得存在下列情形之一：</w:t>
      </w:r>
    </w:p>
    <w:p w14:paraId="470DBED7">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（1）与比选人存在利害关系可能影响比选公正性的法人、其他组织或者个人；</w:t>
      </w:r>
    </w:p>
    <w:p w14:paraId="755F080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（2）为本项目前期准备提供设计或咨询服务的，但设计施工总承包的除外；</w:t>
      </w:r>
    </w:p>
    <w:p w14:paraId="59C5230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（3）为本项目的监理人；</w:t>
      </w:r>
    </w:p>
    <w:p w14:paraId="7ADCCB6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（4）为本项目的代建人；</w:t>
      </w:r>
    </w:p>
    <w:p w14:paraId="037534A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（5）为本项目提供比选代理服务的；</w:t>
      </w:r>
    </w:p>
    <w:p w14:paraId="4271772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（6）与本项目的监理人或代建人或比选代理机构同为一个法定代表人的；</w:t>
      </w:r>
    </w:p>
    <w:p w14:paraId="15F6065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（7）与本项目的监理人或代建人或比选代理机构相互控股或参股的；</w:t>
      </w:r>
    </w:p>
    <w:p w14:paraId="1A5EF1C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（8）与本项目的监理人或代建人或比选代理机构相互任职或工作的；</w:t>
      </w:r>
    </w:p>
    <w:p w14:paraId="476E50E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（9）被责令停业的；</w:t>
      </w:r>
    </w:p>
    <w:p w14:paraId="6E21D60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（10）被暂停或取消</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资格的；</w:t>
      </w:r>
    </w:p>
    <w:p w14:paraId="231CA1E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（11）财产被接管或冻结的；</w:t>
      </w:r>
    </w:p>
    <w:p w14:paraId="1C7C39B2">
      <w:pPr>
        <w:autoSpaceDE w:val="0"/>
        <w:autoSpaceDN w:val="0"/>
        <w:adjustRightInd w:val="0"/>
        <w:snapToGrid w:val="0"/>
        <w:spacing w:line="45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snapToGrid w:val="0"/>
          <w:color w:val="auto"/>
          <w:kern w:val="0"/>
          <w:szCs w:val="21"/>
          <w:highlight w:val="none"/>
        </w:rPr>
        <w:t>（12）单位负责人为同一人或者存在控股、管理关系的不同单位，不得在同一标段中同时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w:t>
      </w:r>
    </w:p>
    <w:p w14:paraId="64BE112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2" w:name="_Toc224103323"/>
      <w:bookmarkStart w:id="133" w:name="_Toc200513132"/>
      <w:r>
        <w:rPr>
          <w:rFonts w:hint="eastAsia" w:cs="宋体" w:asciiTheme="minorEastAsia" w:hAnsiTheme="minorEastAsia" w:eastAsiaTheme="minorEastAsia"/>
          <w:snapToGrid w:val="0"/>
          <w:color w:val="auto"/>
          <w:szCs w:val="21"/>
          <w:highlight w:val="none"/>
        </w:rPr>
        <w:t>1.5  费用承担</w:t>
      </w:r>
      <w:bookmarkEnd w:id="132"/>
      <w:bookmarkEnd w:id="133"/>
    </w:p>
    <w:p w14:paraId="6AA57E9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准备和参加</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活动发生的费用自理。</w:t>
      </w:r>
    </w:p>
    <w:p w14:paraId="69F6CDEF">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4" w:name="_Toc200513133"/>
      <w:bookmarkStart w:id="135" w:name="_Toc224103324"/>
      <w:r>
        <w:rPr>
          <w:rFonts w:hint="eastAsia" w:cs="宋体" w:asciiTheme="minorEastAsia" w:hAnsiTheme="minorEastAsia" w:eastAsiaTheme="minorEastAsia"/>
          <w:snapToGrid w:val="0"/>
          <w:color w:val="auto"/>
          <w:szCs w:val="21"/>
          <w:highlight w:val="none"/>
        </w:rPr>
        <w:t>1.6  保密</w:t>
      </w:r>
      <w:bookmarkEnd w:id="134"/>
      <w:bookmarkEnd w:id="135"/>
    </w:p>
    <w:p w14:paraId="3C472A8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参与比选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活动的各方应对比选文件和</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文件中的商业和技术等秘密保密，未经比选人书面同意而违反保密义务的，违者应对由此造成的后果承担法律责任。</w:t>
      </w:r>
    </w:p>
    <w:p w14:paraId="1138768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6" w:name="_Toc224103325"/>
      <w:bookmarkStart w:id="137" w:name="_Toc200513134"/>
      <w:r>
        <w:rPr>
          <w:rFonts w:hint="eastAsia" w:cs="宋体" w:asciiTheme="minorEastAsia" w:hAnsiTheme="minorEastAsia" w:eastAsiaTheme="minorEastAsia"/>
          <w:snapToGrid w:val="0"/>
          <w:color w:val="auto"/>
          <w:szCs w:val="21"/>
          <w:highlight w:val="none"/>
        </w:rPr>
        <w:t>1.7  语言文字</w:t>
      </w:r>
      <w:bookmarkEnd w:id="136"/>
      <w:bookmarkEnd w:id="137"/>
    </w:p>
    <w:p w14:paraId="3E281D4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除专用术语外，与比选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有关的语言均使用中文。必要时专用术语应附有中文注释，且内容以中文版本为准。</w:t>
      </w:r>
    </w:p>
    <w:p w14:paraId="23F8909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8" w:name="_Toc200513135"/>
      <w:bookmarkStart w:id="139" w:name="_Toc224103326"/>
      <w:r>
        <w:rPr>
          <w:rFonts w:hint="eastAsia" w:cs="宋体" w:asciiTheme="minorEastAsia" w:hAnsiTheme="minorEastAsia" w:eastAsiaTheme="minorEastAsia"/>
          <w:snapToGrid w:val="0"/>
          <w:color w:val="auto"/>
          <w:szCs w:val="21"/>
          <w:highlight w:val="none"/>
        </w:rPr>
        <w:t>1.8  计量单位</w:t>
      </w:r>
      <w:bookmarkEnd w:id="138"/>
      <w:bookmarkEnd w:id="139"/>
    </w:p>
    <w:p w14:paraId="11CF387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所有计量均采用中华人民共和国法定计量单位。</w:t>
      </w:r>
    </w:p>
    <w:p w14:paraId="55B4DCC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0" w:name="_Toc200513136"/>
      <w:bookmarkStart w:id="141" w:name="_Toc224103327"/>
      <w:r>
        <w:rPr>
          <w:rFonts w:hint="eastAsia" w:cs="宋体" w:asciiTheme="minorEastAsia" w:hAnsiTheme="minorEastAsia" w:eastAsiaTheme="minorEastAsia"/>
          <w:snapToGrid w:val="0"/>
          <w:color w:val="auto"/>
          <w:szCs w:val="21"/>
          <w:highlight w:val="none"/>
        </w:rPr>
        <w:t>1.9  踏勘现场</w:t>
      </w:r>
      <w:bookmarkEnd w:id="140"/>
      <w:bookmarkEnd w:id="141"/>
    </w:p>
    <w:p w14:paraId="1686B20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4869B54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2" w:name="_Toc224103328"/>
      <w:bookmarkStart w:id="143" w:name="_Toc200513137"/>
      <w:r>
        <w:rPr>
          <w:rFonts w:hint="eastAsia" w:cs="宋体" w:asciiTheme="minorEastAsia" w:hAnsiTheme="minorEastAsia" w:eastAsiaTheme="minorEastAsia"/>
          <w:snapToGrid w:val="0"/>
          <w:color w:val="auto"/>
          <w:szCs w:val="21"/>
          <w:highlight w:val="none"/>
        </w:rPr>
        <w:t xml:space="preserve">1.10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预备会</w:t>
      </w:r>
      <w:bookmarkEnd w:id="142"/>
      <w:bookmarkEnd w:id="143"/>
    </w:p>
    <w:p w14:paraId="1A5C37B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5ED32A6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4" w:name="_Toc224103330"/>
      <w:bookmarkStart w:id="145" w:name="_Toc200513139"/>
      <w:r>
        <w:rPr>
          <w:rFonts w:hint="eastAsia" w:cs="宋体" w:asciiTheme="minorEastAsia" w:hAnsiTheme="minorEastAsia" w:eastAsiaTheme="minorEastAsia"/>
          <w:snapToGrid w:val="0"/>
          <w:color w:val="auto"/>
          <w:szCs w:val="21"/>
          <w:highlight w:val="none"/>
        </w:rPr>
        <w:t>1.11  偏离</w:t>
      </w:r>
      <w:bookmarkEnd w:id="144"/>
      <w:bookmarkEnd w:id="145"/>
    </w:p>
    <w:p w14:paraId="660F462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须知前附表允许</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文件偏离比选文件某些要求的，偏离应当符合比选文件规定的偏离范围和幅度。</w:t>
      </w:r>
    </w:p>
    <w:p w14:paraId="7302321B">
      <w:pPr>
        <w:pStyle w:val="42"/>
        <w:rPr>
          <w:rFonts w:asciiTheme="minorEastAsia" w:hAnsiTheme="minorEastAsia" w:eastAsiaTheme="minorEastAsia"/>
          <w:b/>
          <w:snapToGrid w:val="0"/>
          <w:color w:val="auto"/>
          <w:highlight w:val="none"/>
        </w:rPr>
      </w:pPr>
      <w:bookmarkStart w:id="146" w:name="_Toc224103331"/>
      <w:bookmarkStart w:id="147" w:name="_Toc200513140"/>
      <w:r>
        <w:rPr>
          <w:rFonts w:hint="eastAsia" w:asciiTheme="minorEastAsia" w:hAnsiTheme="minorEastAsia" w:eastAsiaTheme="minorEastAsia"/>
          <w:b/>
          <w:snapToGrid w:val="0"/>
          <w:color w:val="auto"/>
          <w:highlight w:val="none"/>
        </w:rPr>
        <w:t>2.  比选文件</w:t>
      </w:r>
      <w:bookmarkEnd w:id="146"/>
      <w:bookmarkEnd w:id="147"/>
    </w:p>
    <w:p w14:paraId="3649390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8" w:name="_Toc224103332"/>
      <w:bookmarkStart w:id="149" w:name="_Toc200513141"/>
      <w:r>
        <w:rPr>
          <w:rFonts w:hint="eastAsia" w:cs="宋体" w:asciiTheme="minorEastAsia" w:hAnsiTheme="minorEastAsia" w:eastAsiaTheme="minorEastAsia"/>
          <w:snapToGrid w:val="0"/>
          <w:color w:val="auto"/>
          <w:szCs w:val="21"/>
          <w:highlight w:val="none"/>
        </w:rPr>
        <w:t>2.1  比选文件的组成</w:t>
      </w:r>
      <w:bookmarkEnd w:id="148"/>
      <w:bookmarkEnd w:id="149"/>
    </w:p>
    <w:p w14:paraId="321CDDAA">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本比选文件包括：</w:t>
      </w:r>
    </w:p>
    <w:p w14:paraId="187097BB">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（1）比选公告；</w:t>
      </w:r>
    </w:p>
    <w:p w14:paraId="327993A9">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w:t>
      </w:r>
    </w:p>
    <w:p w14:paraId="7D22931B">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（3）评选办法；</w:t>
      </w:r>
    </w:p>
    <w:p w14:paraId="32727569">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（4）合同条款；</w:t>
      </w:r>
    </w:p>
    <w:p w14:paraId="6C0F07B2">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（5）技术标准和要求；</w:t>
      </w:r>
    </w:p>
    <w:p w14:paraId="17A72D9B">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文件格式；</w:t>
      </w:r>
    </w:p>
    <w:p w14:paraId="038D4331">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须知前附表规定的其他材料。</w:t>
      </w:r>
    </w:p>
    <w:p w14:paraId="5D5764E6">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根据本章第1.10款、第2.2款和第2.3款对比选文件所作的澄清、修改，构成比选文件的组成部分。</w:t>
      </w:r>
    </w:p>
    <w:p w14:paraId="7CC6AAEF">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0" w:name="_Toc200513142"/>
      <w:bookmarkStart w:id="151" w:name="_Toc224103333"/>
      <w:r>
        <w:rPr>
          <w:rFonts w:hint="eastAsia" w:cs="宋体" w:asciiTheme="minorEastAsia" w:hAnsiTheme="minorEastAsia" w:eastAsiaTheme="minorEastAsia"/>
          <w:snapToGrid w:val="0"/>
          <w:color w:val="auto"/>
          <w:szCs w:val="21"/>
          <w:highlight w:val="none"/>
        </w:rPr>
        <w:t>2.2  比选文件的澄清</w:t>
      </w:r>
      <w:bookmarkEnd w:id="150"/>
      <w:bookmarkEnd w:id="151"/>
    </w:p>
    <w:p w14:paraId="6C989BCA">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2.2.1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应仔细阅读和检查比选文件的全部内容。如发现缺页或附件不全，应及时向比选人提出，以便补齐。如有疑问，应在</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须知前附表规定的时间前以书面形式（包括信函、电报、传真等可以有形地表现所载内容的形式，下同），要求比选人对比选文件予以澄清。</w:t>
      </w:r>
    </w:p>
    <w:p w14:paraId="359D9616">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2.2.2  比选文件的澄清将在</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截止时间前以书面形式发给所有购买比选文件的</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，但不指明澄清问题的来源。</w:t>
      </w:r>
    </w:p>
    <w:p w14:paraId="79938DA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 xml:space="preserve">2.2.3  </w:t>
      </w:r>
      <w:r>
        <w:rPr>
          <w:rFonts w:hint="eastAsia" w:cs="宋体" w:asciiTheme="minorEastAsia" w:hAnsiTheme="minorEastAsia" w:eastAsiaTheme="minorEastAsia"/>
          <w:snapToGrid w:val="0"/>
          <w:color w:val="auto"/>
          <w:kern w:val="0"/>
          <w:position w:val="-2"/>
          <w:szCs w:val="21"/>
          <w:highlight w:val="none"/>
          <w:lang w:eastAsia="zh-CN"/>
        </w:rPr>
        <w:t>竞标人</w:t>
      </w:r>
      <w:r>
        <w:rPr>
          <w:rFonts w:hint="eastAsia" w:cs="宋体" w:asciiTheme="minorEastAsia" w:hAnsiTheme="minorEastAsia" w:eastAsiaTheme="minorEastAsia"/>
          <w:snapToGrid w:val="0"/>
          <w:color w:val="auto"/>
          <w:kern w:val="0"/>
          <w:position w:val="-2"/>
          <w:szCs w:val="21"/>
          <w:highlight w:val="none"/>
        </w:rPr>
        <w:t>在收到澄清后，应在</w:t>
      </w:r>
      <w:r>
        <w:rPr>
          <w:rFonts w:hint="eastAsia" w:cs="宋体" w:asciiTheme="minorEastAsia" w:hAnsiTheme="minorEastAsia" w:eastAsiaTheme="minorEastAsia"/>
          <w:snapToGrid w:val="0"/>
          <w:color w:val="auto"/>
          <w:kern w:val="0"/>
          <w:position w:val="-2"/>
          <w:szCs w:val="21"/>
          <w:highlight w:val="none"/>
          <w:lang w:eastAsia="zh-CN"/>
        </w:rPr>
        <w:t>竞标人</w:t>
      </w:r>
      <w:r>
        <w:rPr>
          <w:rFonts w:hint="eastAsia" w:cs="宋体" w:asciiTheme="minorEastAsia" w:hAnsiTheme="minorEastAsia" w:eastAsiaTheme="minorEastAsia"/>
          <w:snapToGrid w:val="0"/>
          <w:color w:val="auto"/>
          <w:kern w:val="0"/>
          <w:position w:val="-2"/>
          <w:szCs w:val="21"/>
          <w:highlight w:val="none"/>
        </w:rPr>
        <w:t>须知前附表规定的时间内以书面形式通知比选人</w:t>
      </w:r>
      <w:r>
        <w:rPr>
          <w:rFonts w:hint="eastAsia" w:cs="宋体" w:asciiTheme="minorEastAsia" w:hAnsiTheme="minorEastAsia" w:eastAsiaTheme="minorEastAsia"/>
          <w:snapToGrid w:val="0"/>
          <w:color w:val="auto"/>
          <w:kern w:val="0"/>
          <w:szCs w:val="21"/>
          <w:highlight w:val="none"/>
        </w:rPr>
        <w:t>，确认已收到该澄清。</w:t>
      </w:r>
    </w:p>
    <w:p w14:paraId="2CAE1A55">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2" w:name="_Toc224103334"/>
      <w:bookmarkStart w:id="153" w:name="_Toc200513143"/>
      <w:r>
        <w:rPr>
          <w:rFonts w:hint="eastAsia" w:cs="宋体" w:asciiTheme="minorEastAsia" w:hAnsiTheme="minorEastAsia" w:eastAsiaTheme="minorEastAsia"/>
          <w:snapToGrid w:val="0"/>
          <w:color w:val="auto"/>
          <w:szCs w:val="21"/>
          <w:highlight w:val="none"/>
        </w:rPr>
        <w:t>2.3  比选文件的修改</w:t>
      </w:r>
      <w:bookmarkEnd w:id="152"/>
      <w:bookmarkEnd w:id="153"/>
    </w:p>
    <w:p w14:paraId="2E3500A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2.3.1  在</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截止时间前，比选人可以书面形式修改比选文件，并通知所有已购买比选文件的</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w:t>
      </w:r>
    </w:p>
    <w:p w14:paraId="4265DA7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2.3.2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收到修改内容后，应在</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须知前附表规定的时间内以书面形式通知比选人，确认已收到该修改。</w:t>
      </w:r>
    </w:p>
    <w:p w14:paraId="587B9126">
      <w:pPr>
        <w:spacing w:line="450" w:lineRule="exact"/>
        <w:ind w:firstLine="422" w:firstLineChars="200"/>
        <w:rPr>
          <w:rFonts w:cs="宋体" w:asciiTheme="minorEastAsia" w:hAnsiTheme="minorEastAsia" w:eastAsiaTheme="minorEastAsia"/>
          <w:b/>
          <w:snapToGrid w:val="0"/>
          <w:color w:val="auto"/>
          <w:szCs w:val="21"/>
          <w:highlight w:val="none"/>
        </w:rPr>
      </w:pPr>
      <w:bookmarkStart w:id="154" w:name="_Toc200513144"/>
      <w:bookmarkStart w:id="155" w:name="_Toc224103335"/>
      <w:r>
        <w:rPr>
          <w:rFonts w:hint="eastAsia" w:cs="宋体" w:asciiTheme="minorEastAsia" w:hAnsiTheme="minorEastAsia" w:eastAsiaTheme="minorEastAsia"/>
          <w:b/>
          <w:snapToGrid w:val="0"/>
          <w:color w:val="auto"/>
          <w:szCs w:val="21"/>
          <w:highlight w:val="none"/>
        </w:rPr>
        <w:t xml:space="preserve">3.  </w:t>
      </w:r>
      <w:r>
        <w:rPr>
          <w:rFonts w:hint="eastAsia" w:cs="宋体" w:asciiTheme="minorEastAsia" w:hAnsiTheme="minorEastAsia" w:eastAsiaTheme="minorEastAsia"/>
          <w:b/>
          <w:snapToGrid w:val="0"/>
          <w:color w:val="auto"/>
          <w:szCs w:val="21"/>
          <w:highlight w:val="none"/>
          <w:lang w:eastAsia="zh-CN"/>
        </w:rPr>
        <w:t>竞标</w:t>
      </w:r>
      <w:r>
        <w:rPr>
          <w:rFonts w:hint="eastAsia" w:cs="宋体" w:asciiTheme="minorEastAsia" w:hAnsiTheme="minorEastAsia" w:eastAsiaTheme="minorEastAsia"/>
          <w:b/>
          <w:snapToGrid w:val="0"/>
          <w:color w:val="auto"/>
          <w:szCs w:val="21"/>
          <w:highlight w:val="none"/>
        </w:rPr>
        <w:t>文件</w:t>
      </w:r>
      <w:bookmarkEnd w:id="154"/>
      <w:bookmarkEnd w:id="155"/>
    </w:p>
    <w:p w14:paraId="177C514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6" w:name="_Toc224103336"/>
      <w:bookmarkStart w:id="157" w:name="_Toc200513145"/>
      <w:r>
        <w:rPr>
          <w:rFonts w:hint="eastAsia" w:cs="宋体" w:asciiTheme="minorEastAsia" w:hAnsiTheme="minorEastAsia" w:eastAsiaTheme="minorEastAsia"/>
          <w:snapToGrid w:val="0"/>
          <w:color w:val="auto"/>
          <w:szCs w:val="21"/>
          <w:highlight w:val="none"/>
        </w:rPr>
        <w:t xml:space="preserve">3.1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文件的组成</w:t>
      </w:r>
      <w:bookmarkEnd w:id="156"/>
      <w:bookmarkEnd w:id="157"/>
    </w:p>
    <w:p w14:paraId="1747991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文件由“</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函部分和资格审查资料部分”和“技术部分”组成。</w:t>
      </w:r>
    </w:p>
    <w:p w14:paraId="30C7ED7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3.1.1“</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函部分和资格审查资料部分”应包括下列内容：</w:t>
      </w:r>
    </w:p>
    <w:p w14:paraId="00ED518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函</w:t>
      </w:r>
    </w:p>
    <w:p w14:paraId="2B5DB8C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（2）法定代表人授权书</w:t>
      </w:r>
    </w:p>
    <w:p w14:paraId="45878DF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（3）法人身份证明</w:t>
      </w:r>
    </w:p>
    <w:p w14:paraId="7C5E9EA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（4）全套资格后审申请资料</w:t>
      </w:r>
    </w:p>
    <w:p w14:paraId="54FA35C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（5）其他资料</w:t>
      </w:r>
    </w:p>
    <w:p w14:paraId="1DECFDF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3.1.2技术部分应包括下列内容：</w:t>
      </w:r>
    </w:p>
    <w:p w14:paraId="27D79FD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（1）方案文本文件：</w:t>
      </w:r>
      <w:r>
        <w:rPr>
          <w:rFonts w:cs="宋体" w:asciiTheme="minorEastAsia" w:hAnsiTheme="minorEastAsia" w:eastAsiaTheme="minorEastAsia"/>
          <w:snapToGrid w:val="0"/>
          <w:color w:val="auto"/>
          <w:kern w:val="0"/>
          <w:szCs w:val="21"/>
          <w:highlight w:val="none"/>
        </w:rPr>
        <w:t xml:space="preserve"> </w:t>
      </w:r>
    </w:p>
    <w:p w14:paraId="161B8393">
      <w:pPr>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bookmarkStart w:id="158" w:name="_Toc200513146"/>
      <w:bookmarkStart w:id="159" w:name="_Toc224103337"/>
      <w:r>
        <w:rPr>
          <w:rFonts w:hint="eastAsia" w:cs="宋体" w:asciiTheme="minorEastAsia" w:hAnsiTheme="minorEastAsia" w:eastAsiaTheme="minorEastAsia"/>
          <w:snapToGrid w:val="0"/>
          <w:color w:val="auto"/>
          <w:szCs w:val="21"/>
          <w:highlight w:val="none"/>
        </w:rPr>
        <w:t xml:space="preserve">3.2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报价</w:t>
      </w:r>
      <w:bookmarkEnd w:id="158"/>
      <w:bookmarkEnd w:id="159"/>
      <w:r>
        <w:rPr>
          <w:rFonts w:hint="eastAsia" w:cs="宋体" w:asciiTheme="minorEastAsia" w:hAnsiTheme="minorEastAsia" w:eastAsiaTheme="minorEastAsia"/>
          <w:snapToGrid w:val="0"/>
          <w:color w:val="auto"/>
          <w:szCs w:val="21"/>
          <w:highlight w:val="none"/>
        </w:rPr>
        <w:t>：</w:t>
      </w:r>
      <w:r>
        <w:rPr>
          <w:rFonts w:hint="eastAsia" w:cs="宋体" w:asciiTheme="minorEastAsia" w:hAnsiTheme="minorEastAsia" w:eastAsiaTheme="minorEastAsia"/>
          <w:snapToGrid w:val="0"/>
          <w:color w:val="auto"/>
          <w:kern w:val="0"/>
          <w:szCs w:val="21"/>
          <w:highlight w:val="none"/>
        </w:rPr>
        <w:t>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3893660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0" w:name="_Toc200513147"/>
      <w:bookmarkStart w:id="161" w:name="_Toc224103338"/>
      <w:r>
        <w:rPr>
          <w:rFonts w:hint="eastAsia" w:cs="宋体" w:asciiTheme="minorEastAsia" w:hAnsiTheme="minorEastAsia" w:eastAsiaTheme="minorEastAsia"/>
          <w:snapToGrid w:val="0"/>
          <w:color w:val="auto"/>
          <w:szCs w:val="21"/>
          <w:highlight w:val="none"/>
        </w:rPr>
        <w:t xml:space="preserve">3.3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有效期</w:t>
      </w:r>
      <w:bookmarkEnd w:id="160"/>
      <w:bookmarkEnd w:id="161"/>
    </w:p>
    <w:p w14:paraId="09BE33A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3.3.1  在</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有效期内，</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不得要求撤销或修改其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w:t>
      </w:r>
    </w:p>
    <w:p w14:paraId="60CF381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3.3.2  出现特殊情况需要延长</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有效期的，比选人以书面形式通知所有</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延长</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有效期。</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同意延长的，应相应延长其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保证金的有效期，但不得要求或被允许修改或撤销其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拒绝延长的，其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失效，但</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有权收回其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w:t>
      </w:r>
    </w:p>
    <w:p w14:paraId="08A8E38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2" w:name="_Toc200513148"/>
      <w:bookmarkStart w:id="163" w:name="_Toc224103339"/>
      <w:r>
        <w:rPr>
          <w:rFonts w:hint="eastAsia" w:cs="宋体" w:asciiTheme="minorEastAsia" w:hAnsiTheme="minorEastAsia" w:eastAsiaTheme="minorEastAsia"/>
          <w:snapToGrid w:val="0"/>
          <w:color w:val="auto"/>
          <w:szCs w:val="21"/>
          <w:highlight w:val="none"/>
        </w:rPr>
        <w:t xml:space="preserve">3.4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保证金</w:t>
      </w:r>
      <w:bookmarkEnd w:id="162"/>
      <w:bookmarkEnd w:id="163"/>
    </w:p>
    <w:p w14:paraId="522DFCA6">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3.4.1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在递交</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文件的同时，应按</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须知前附表规定的金额、担保形式递交</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保证金，并作为其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文件的组成部分。</w:t>
      </w:r>
    </w:p>
    <w:p w14:paraId="49424C23">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3.4.2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不按本章第 3.4.1 项要求提交</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保证金的，其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文件作否决</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处理。</w:t>
      </w:r>
    </w:p>
    <w:p w14:paraId="0F6FC0C5">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3.4.3  比选人与中选人签订合同后5日内，向未中选的</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和中选人退还</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position w:val="-2"/>
          <w:szCs w:val="21"/>
          <w:highlight w:val="none"/>
        </w:rPr>
        <w:t>保证金。</w:t>
      </w:r>
    </w:p>
    <w:p w14:paraId="4D43082D">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3.4.4  有下列情形之一的，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保证金将不予退还：</w:t>
      </w:r>
    </w:p>
    <w:p w14:paraId="1F9D928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在规定的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有效期内撤销或修改其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w:t>
      </w:r>
    </w:p>
    <w:p w14:paraId="7B0BC36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（2）中选人在收到中选通知书后，无正当理由拒签合同协议书或未按比选文件规定提交履约担保。</w:t>
      </w:r>
    </w:p>
    <w:p w14:paraId="0D54F9C7">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（3）法律法规和比选文件规定的其他情形。</w:t>
      </w:r>
    </w:p>
    <w:p w14:paraId="0FFEFE5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4" w:name="_Toc200513150"/>
      <w:bookmarkStart w:id="165" w:name="_Toc224103341"/>
      <w:r>
        <w:rPr>
          <w:rFonts w:hint="eastAsia" w:cs="宋体" w:asciiTheme="minorEastAsia" w:hAnsiTheme="minorEastAsia" w:eastAsiaTheme="minorEastAsia"/>
          <w:snapToGrid w:val="0"/>
          <w:color w:val="auto"/>
          <w:szCs w:val="21"/>
          <w:highlight w:val="none"/>
        </w:rPr>
        <w:t>3.5  资格审查资料</w:t>
      </w:r>
      <w:bookmarkEnd w:id="164"/>
      <w:bookmarkEnd w:id="165"/>
    </w:p>
    <w:p w14:paraId="4471230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按</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须知前附表执行。</w:t>
      </w:r>
    </w:p>
    <w:p w14:paraId="4359BD4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6" w:name="_Toc200513151"/>
      <w:bookmarkStart w:id="167" w:name="_Toc224103342"/>
      <w:r>
        <w:rPr>
          <w:rFonts w:hint="eastAsia" w:cs="宋体" w:asciiTheme="minorEastAsia" w:hAnsiTheme="minorEastAsia" w:eastAsiaTheme="minorEastAsia"/>
          <w:snapToGrid w:val="0"/>
          <w:color w:val="auto"/>
          <w:szCs w:val="21"/>
          <w:highlight w:val="none"/>
        </w:rPr>
        <w:t>3.6  备选</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方案</w:t>
      </w:r>
      <w:bookmarkEnd w:id="166"/>
      <w:bookmarkEnd w:id="167"/>
    </w:p>
    <w:p w14:paraId="64C0132E">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须知前附表另有规定外，</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不得递交备选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方案。允许</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递交备选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方案的，只有中选人所递交的备选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方案方可予以考虑。评选委员会认为中选人的备选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方案优于其按照比选文件要求编制的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方案的，比选人可以接受该备选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方案。</w:t>
      </w:r>
    </w:p>
    <w:p w14:paraId="37ACAE3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8" w:name="_Toc200513152"/>
      <w:bookmarkStart w:id="169" w:name="_Toc224103343"/>
      <w:r>
        <w:rPr>
          <w:rFonts w:hint="eastAsia" w:cs="宋体" w:asciiTheme="minorEastAsia" w:hAnsiTheme="minorEastAsia" w:eastAsiaTheme="minorEastAsia"/>
          <w:snapToGrid w:val="0"/>
          <w:color w:val="auto"/>
          <w:szCs w:val="21"/>
          <w:highlight w:val="none"/>
        </w:rPr>
        <w:t xml:space="preserve">3.7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文件的编制</w:t>
      </w:r>
      <w:bookmarkEnd w:id="168"/>
      <w:bookmarkEnd w:id="169"/>
    </w:p>
    <w:p w14:paraId="76A554E4">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3.7.1  </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文件应按第六章“</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文件格式”进行编写，如有必要，可以增加附页，作为</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文件的组成部分。</w:t>
      </w:r>
    </w:p>
    <w:p w14:paraId="3FB69CE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3.7.2  </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文件应当对比选文件有关工期、</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有效期、质量要求、技术标准和要求、 比选范围等实质性内容做出响应。</w:t>
      </w:r>
    </w:p>
    <w:p w14:paraId="5BADF6F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 xml:space="preserve">3.7.3  </w:t>
      </w:r>
      <w:r>
        <w:rPr>
          <w:rFonts w:hint="eastAsia" w:cs="宋体" w:asciiTheme="minorEastAsia" w:hAnsiTheme="minorEastAsia" w:eastAsiaTheme="minorEastAsia"/>
          <w:snapToGrid w:val="0"/>
          <w:color w:val="auto"/>
          <w:kern w:val="0"/>
          <w:position w:val="-2"/>
          <w:szCs w:val="21"/>
          <w:highlight w:val="none"/>
          <w:lang w:eastAsia="zh-CN"/>
        </w:rPr>
        <w:t>竞标</w:t>
      </w:r>
      <w:r>
        <w:rPr>
          <w:rFonts w:hint="eastAsia" w:cs="宋体" w:asciiTheme="minorEastAsia" w:hAnsiTheme="minorEastAsia" w:eastAsiaTheme="minorEastAsia"/>
          <w:snapToGrid w:val="0"/>
          <w:color w:val="auto"/>
          <w:kern w:val="0"/>
          <w:position w:val="-2"/>
          <w:szCs w:val="21"/>
          <w:highlight w:val="none"/>
        </w:rPr>
        <w:t>文件应用不褪色的材料书写或打印，并由</w:t>
      </w:r>
      <w:r>
        <w:rPr>
          <w:rFonts w:hint="eastAsia" w:cs="宋体" w:asciiTheme="minorEastAsia" w:hAnsiTheme="minorEastAsia" w:eastAsiaTheme="minorEastAsia"/>
          <w:snapToGrid w:val="0"/>
          <w:color w:val="auto"/>
          <w:kern w:val="0"/>
          <w:position w:val="-2"/>
          <w:szCs w:val="21"/>
          <w:highlight w:val="none"/>
          <w:lang w:eastAsia="zh-CN"/>
        </w:rPr>
        <w:t>竞标人</w:t>
      </w:r>
      <w:r>
        <w:rPr>
          <w:rFonts w:hint="eastAsia" w:cs="宋体" w:asciiTheme="minorEastAsia" w:hAnsiTheme="minorEastAsia" w:eastAsiaTheme="minorEastAsia"/>
          <w:snapToGrid w:val="0"/>
          <w:color w:val="auto"/>
          <w:kern w:val="0"/>
          <w:position w:val="-2"/>
          <w:szCs w:val="21"/>
          <w:highlight w:val="none"/>
        </w:rPr>
        <w:t>的法定代表人或其委托代理</w:t>
      </w:r>
      <w:r>
        <w:rPr>
          <w:rFonts w:hint="eastAsia" w:cs="宋体" w:asciiTheme="minorEastAsia" w:hAnsiTheme="minorEastAsia" w:eastAsiaTheme="minorEastAsia"/>
          <w:snapToGrid w:val="0"/>
          <w:color w:val="auto"/>
          <w:kern w:val="0"/>
          <w:szCs w:val="21"/>
          <w:highlight w:val="none"/>
        </w:rPr>
        <w:t>人签字、盖单位公章。委托代理人签字的，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文件应附法定代表人签署的授权委托书。</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文件应尽量避免涂改、行间插字或删除。如果出现上述情况，改动之处应加盖单位公章或由</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的法定代表人或其授权的代理人签字确认。签字或盖章的具体要求见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3BE7A87C">
      <w:pPr>
        <w:autoSpaceDE w:val="0"/>
        <w:autoSpaceDN w:val="0"/>
        <w:adjustRightInd w:val="0"/>
        <w:snapToGrid w:val="0"/>
        <w:spacing w:line="450" w:lineRule="exact"/>
        <w:ind w:right="-164"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3.7.4  </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文件正本一份，副本份数见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须知前附表。正本和副本的封面上应清楚地标记“正本”或“副本”的字样。当副本和正本不一致时，以正本为准。</w:t>
      </w:r>
    </w:p>
    <w:p w14:paraId="41377F94">
      <w:pPr>
        <w:autoSpaceDE w:val="0"/>
        <w:autoSpaceDN w:val="0"/>
        <w:adjustRightInd w:val="0"/>
        <w:snapToGrid w:val="0"/>
        <w:spacing w:line="450" w:lineRule="exact"/>
        <w:ind w:right="-109"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3.7.5  </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文件的正本与副本应分别装订成册，并编制目录，具体装订要求见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w:t>
      </w:r>
    </w:p>
    <w:p w14:paraId="09262523">
      <w:pPr>
        <w:spacing w:line="450" w:lineRule="exact"/>
        <w:ind w:firstLine="422" w:firstLineChars="200"/>
        <w:rPr>
          <w:rFonts w:hint="eastAsia" w:cs="宋体" w:asciiTheme="minorEastAsia" w:hAnsiTheme="minorEastAsia" w:eastAsiaTheme="minorEastAsia"/>
          <w:b/>
          <w:snapToGrid w:val="0"/>
          <w:color w:val="auto"/>
          <w:szCs w:val="21"/>
          <w:highlight w:val="none"/>
          <w:lang w:eastAsia="zh-CN"/>
        </w:rPr>
      </w:pPr>
      <w:bookmarkStart w:id="170" w:name="_Toc200513153"/>
      <w:bookmarkStart w:id="171" w:name="_Toc224103344"/>
      <w:r>
        <w:rPr>
          <w:rFonts w:hint="eastAsia" w:cs="宋体" w:asciiTheme="minorEastAsia" w:hAnsiTheme="minorEastAsia" w:eastAsiaTheme="minorEastAsia"/>
          <w:b/>
          <w:snapToGrid w:val="0"/>
          <w:color w:val="auto"/>
          <w:szCs w:val="21"/>
          <w:highlight w:val="none"/>
        </w:rPr>
        <w:t xml:space="preserve">4.  </w:t>
      </w:r>
      <w:bookmarkEnd w:id="170"/>
      <w:bookmarkEnd w:id="171"/>
      <w:r>
        <w:rPr>
          <w:rFonts w:hint="eastAsia" w:cs="宋体" w:asciiTheme="minorEastAsia" w:hAnsiTheme="minorEastAsia" w:eastAsiaTheme="minorEastAsia"/>
          <w:b/>
          <w:snapToGrid w:val="0"/>
          <w:color w:val="auto"/>
          <w:szCs w:val="21"/>
          <w:highlight w:val="none"/>
          <w:lang w:eastAsia="zh-CN"/>
        </w:rPr>
        <w:t>竞标</w:t>
      </w:r>
    </w:p>
    <w:p w14:paraId="176B776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2" w:name="_Toc200513154"/>
      <w:bookmarkStart w:id="173" w:name="_Toc224103345"/>
      <w:r>
        <w:rPr>
          <w:rFonts w:hint="eastAsia" w:cs="宋体" w:asciiTheme="minorEastAsia" w:hAnsiTheme="minorEastAsia" w:eastAsiaTheme="minorEastAsia"/>
          <w:snapToGrid w:val="0"/>
          <w:color w:val="auto"/>
          <w:szCs w:val="21"/>
          <w:highlight w:val="none"/>
        </w:rPr>
        <w:t xml:space="preserve">4.1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文件的密封和标记</w:t>
      </w:r>
      <w:bookmarkEnd w:id="172"/>
      <w:bookmarkEnd w:id="173"/>
    </w:p>
    <w:p w14:paraId="10D13D8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174" w:name="_Toc200513155"/>
      <w:r>
        <w:rPr>
          <w:rFonts w:hint="eastAsia" w:cs="宋体" w:asciiTheme="minorEastAsia" w:hAnsiTheme="minorEastAsia" w:eastAsiaTheme="minorEastAsia"/>
          <w:snapToGrid w:val="0"/>
          <w:color w:val="auto"/>
          <w:kern w:val="0"/>
          <w:szCs w:val="21"/>
          <w:highlight w:val="none"/>
        </w:rPr>
        <w:t xml:space="preserve">4.1.1  </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文件的正本与副本密封见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463349D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4.1.2  </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文件的封套上应写明的内容见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38A40A4E">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4.1.3  未按本章第 4.1.1 项或第 4.1.2 项要求密封和加写标记的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文件，比选人不予受理。</w:t>
      </w:r>
    </w:p>
    <w:p w14:paraId="082C265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5" w:name="_Toc224103346"/>
      <w:r>
        <w:rPr>
          <w:rFonts w:hint="eastAsia" w:cs="宋体" w:asciiTheme="minorEastAsia" w:hAnsiTheme="minorEastAsia" w:eastAsiaTheme="minorEastAsia"/>
          <w:snapToGrid w:val="0"/>
          <w:color w:val="auto"/>
          <w:szCs w:val="21"/>
          <w:highlight w:val="none"/>
        </w:rPr>
        <w:t xml:space="preserve">4.2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文件的递交</w:t>
      </w:r>
      <w:bookmarkEnd w:id="174"/>
      <w:bookmarkEnd w:id="175"/>
    </w:p>
    <w:p w14:paraId="20C7561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4.2.1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应在本章第 2.2.2 项规定的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截止时间前递交</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w:t>
      </w:r>
    </w:p>
    <w:p w14:paraId="1A3F31B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4.2.2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递交</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文件的地点：见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0563D0A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4.2.3  除</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须知前附表另有规定外，</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所递交的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文件不予退还。</w:t>
      </w:r>
    </w:p>
    <w:p w14:paraId="6148DBA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4.2.4  比选人收到</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文件后，向</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出具签收凭证。</w:t>
      </w:r>
    </w:p>
    <w:p w14:paraId="431F83F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4.2.5  逾期送达的或者未送达指定地点的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文件，比选人不予受理。</w:t>
      </w:r>
    </w:p>
    <w:p w14:paraId="2B165C98">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6" w:name="_Toc200513156"/>
      <w:bookmarkStart w:id="177" w:name="_Toc224103347"/>
      <w:r>
        <w:rPr>
          <w:rFonts w:hint="eastAsia" w:cs="宋体" w:asciiTheme="minorEastAsia" w:hAnsiTheme="minorEastAsia" w:eastAsiaTheme="minorEastAsia"/>
          <w:snapToGrid w:val="0"/>
          <w:color w:val="auto"/>
          <w:szCs w:val="21"/>
          <w:highlight w:val="none"/>
        </w:rPr>
        <w:t xml:space="preserve">4.3  </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文件的修改与撤回</w:t>
      </w:r>
      <w:bookmarkEnd w:id="176"/>
      <w:bookmarkEnd w:id="177"/>
    </w:p>
    <w:p w14:paraId="13EB001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4.3.1  在本章第2.2.2项规定的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截止时间前，</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可以修改或撤回已递交的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文件，但应以书面形式通知比选人。</w:t>
      </w:r>
    </w:p>
    <w:p w14:paraId="396F807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4.3.2  </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修改或撤回已递交</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文件的书面通知应按照本章第3.7.3项的要求签字或盖章。比选人收到书面通知后，向</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出具签收凭证。</w:t>
      </w:r>
    </w:p>
    <w:p w14:paraId="05A1519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4.3.3  修改的内容为</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文件的组成部分。修改的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文件应按照本章第3条、第4条规定进行编制、密封、标记和递交，并标明“修改”字样。</w:t>
      </w:r>
    </w:p>
    <w:p w14:paraId="18C301D1">
      <w:pPr>
        <w:spacing w:line="450" w:lineRule="exact"/>
        <w:ind w:firstLine="422" w:firstLineChars="200"/>
        <w:rPr>
          <w:rFonts w:cs="宋体" w:asciiTheme="minorEastAsia" w:hAnsiTheme="minorEastAsia" w:eastAsiaTheme="minorEastAsia"/>
          <w:b/>
          <w:snapToGrid w:val="0"/>
          <w:color w:val="auto"/>
          <w:szCs w:val="21"/>
          <w:highlight w:val="none"/>
        </w:rPr>
      </w:pPr>
      <w:bookmarkStart w:id="178" w:name="_Toc200513157"/>
      <w:bookmarkStart w:id="179" w:name="_Toc224103348"/>
      <w:r>
        <w:rPr>
          <w:rFonts w:hint="eastAsia" w:cs="宋体" w:asciiTheme="minorEastAsia" w:hAnsiTheme="minorEastAsia" w:eastAsiaTheme="minorEastAsia"/>
          <w:b/>
          <w:snapToGrid w:val="0"/>
          <w:color w:val="auto"/>
          <w:szCs w:val="21"/>
          <w:highlight w:val="none"/>
        </w:rPr>
        <w:t>5.  开标</w:t>
      </w:r>
      <w:bookmarkEnd w:id="178"/>
      <w:bookmarkEnd w:id="179"/>
    </w:p>
    <w:p w14:paraId="0C29761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0" w:name="_Toc200513158"/>
      <w:bookmarkStart w:id="181" w:name="_Toc224103349"/>
      <w:r>
        <w:rPr>
          <w:rFonts w:hint="eastAsia" w:cs="宋体" w:asciiTheme="minorEastAsia" w:hAnsiTheme="minorEastAsia" w:eastAsiaTheme="minorEastAsia"/>
          <w:snapToGrid w:val="0"/>
          <w:color w:val="auto"/>
          <w:szCs w:val="21"/>
          <w:highlight w:val="none"/>
        </w:rPr>
        <w:t>5.1  开标时间和地点</w:t>
      </w:r>
      <w:bookmarkEnd w:id="180"/>
      <w:bookmarkEnd w:id="181"/>
    </w:p>
    <w:p w14:paraId="2DA4D91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比选人在本章第 2.2.2 项规定的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截止时间（开标时间）和</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须知前附表规定的地点公开开标，并邀请所有</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的法定代表人或其委托代理人准时参加。</w:t>
      </w:r>
    </w:p>
    <w:p w14:paraId="2828A3F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2" w:name="_Toc200513159"/>
      <w:bookmarkStart w:id="183" w:name="_Toc224103350"/>
      <w:r>
        <w:rPr>
          <w:rFonts w:hint="eastAsia" w:cs="宋体" w:asciiTheme="minorEastAsia" w:hAnsiTheme="minorEastAsia" w:eastAsiaTheme="minorEastAsia"/>
          <w:snapToGrid w:val="0"/>
          <w:color w:val="auto"/>
          <w:szCs w:val="21"/>
          <w:highlight w:val="none"/>
        </w:rPr>
        <w:t>5.2  开标程序</w:t>
      </w:r>
      <w:bookmarkEnd w:id="182"/>
      <w:bookmarkEnd w:id="183"/>
    </w:p>
    <w:p w14:paraId="3A2804F1">
      <w:pPr>
        <w:autoSpaceDE w:val="0"/>
        <w:autoSpaceDN w:val="0"/>
        <w:adjustRightInd w:val="0"/>
        <w:snapToGrid w:val="0"/>
        <w:spacing w:line="450" w:lineRule="exact"/>
        <w:ind w:left="4" w:leftChars="2"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同</w:t>
      </w:r>
      <w:r>
        <w:rPr>
          <w:rFonts w:hint="eastAsia" w:cs="宋体" w:asciiTheme="minorEastAsia" w:hAnsiTheme="minorEastAsia" w:eastAsiaTheme="minorEastAsia"/>
          <w:color w:val="auto"/>
          <w:kern w:val="0"/>
          <w:szCs w:val="21"/>
          <w:highlight w:val="none"/>
          <w:lang w:eastAsia="zh-CN"/>
        </w:rPr>
        <w:t>竞标人</w:t>
      </w:r>
      <w:r>
        <w:rPr>
          <w:rFonts w:hint="eastAsia" w:cs="宋体" w:asciiTheme="minorEastAsia" w:hAnsiTheme="minorEastAsia" w:eastAsiaTheme="minorEastAsia"/>
          <w:color w:val="auto"/>
          <w:kern w:val="0"/>
          <w:szCs w:val="21"/>
          <w:highlight w:val="none"/>
        </w:rPr>
        <w:t>须知前附表。</w:t>
      </w:r>
    </w:p>
    <w:p w14:paraId="2C5257D6">
      <w:pPr>
        <w:spacing w:line="450" w:lineRule="exact"/>
        <w:ind w:firstLine="422" w:firstLineChars="200"/>
        <w:rPr>
          <w:rFonts w:cs="宋体" w:asciiTheme="minorEastAsia" w:hAnsiTheme="minorEastAsia" w:eastAsiaTheme="minorEastAsia"/>
          <w:b/>
          <w:snapToGrid w:val="0"/>
          <w:color w:val="auto"/>
          <w:szCs w:val="21"/>
          <w:highlight w:val="none"/>
        </w:rPr>
      </w:pPr>
      <w:bookmarkStart w:id="184" w:name="_Toc224103351"/>
      <w:bookmarkStart w:id="185" w:name="_Toc200513160"/>
      <w:r>
        <w:rPr>
          <w:rFonts w:hint="eastAsia" w:cs="宋体" w:asciiTheme="minorEastAsia" w:hAnsiTheme="minorEastAsia" w:eastAsiaTheme="minorEastAsia"/>
          <w:b/>
          <w:snapToGrid w:val="0"/>
          <w:color w:val="auto"/>
          <w:szCs w:val="21"/>
          <w:highlight w:val="none"/>
        </w:rPr>
        <w:t xml:space="preserve">6.  </w:t>
      </w:r>
      <w:bookmarkEnd w:id="184"/>
      <w:bookmarkEnd w:id="185"/>
      <w:r>
        <w:rPr>
          <w:rFonts w:hint="eastAsia" w:cs="宋体" w:asciiTheme="minorEastAsia" w:hAnsiTheme="minorEastAsia" w:eastAsiaTheme="minorEastAsia"/>
          <w:b/>
          <w:snapToGrid w:val="0"/>
          <w:color w:val="auto"/>
          <w:szCs w:val="21"/>
          <w:highlight w:val="none"/>
        </w:rPr>
        <w:t>评选</w:t>
      </w:r>
    </w:p>
    <w:p w14:paraId="6E006EC0">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6" w:name="_Toc200513161"/>
      <w:bookmarkStart w:id="187" w:name="_Toc224103352"/>
      <w:r>
        <w:rPr>
          <w:rFonts w:hint="eastAsia" w:cs="宋体" w:asciiTheme="minorEastAsia" w:hAnsiTheme="minorEastAsia" w:eastAsiaTheme="minorEastAsia"/>
          <w:snapToGrid w:val="0"/>
          <w:color w:val="auto"/>
          <w:szCs w:val="21"/>
          <w:highlight w:val="none"/>
        </w:rPr>
        <w:t>6.1  评选委员会</w:t>
      </w:r>
      <w:bookmarkEnd w:id="186"/>
      <w:bookmarkEnd w:id="187"/>
    </w:p>
    <w:p w14:paraId="21A5BCEE">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6.1.1  评选由比选人依法组建的评选委员会负责。评选委员会由比选人或其委托的比选代理机构熟悉相关业务的代表，以及有关技术、经济等方面的专家组成。评选委员会成员人数以及技术、经济等方面专家的确定方式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6E4DAFA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6.1.2  评选委员会成员有下列情形之一的，应当回避：</w:t>
      </w:r>
    </w:p>
    <w:p w14:paraId="3557A408">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（1）比选人或</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的主要负责人的近亲属；</w:t>
      </w:r>
    </w:p>
    <w:p w14:paraId="7E3C9A26">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（2）项目主管部门或者行政监督部门的人员；</w:t>
      </w:r>
    </w:p>
    <w:p w14:paraId="75F29C70">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（3）与</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有经济利益关系，可能影响对</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公正评审的；</w:t>
      </w:r>
    </w:p>
    <w:p w14:paraId="77685F9B">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（4）曾因在比选、评选以及其他与比选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有关活动中从事违法行为而受过行政处罚或刑事处罚的。</w:t>
      </w:r>
    </w:p>
    <w:p w14:paraId="7A28C54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8" w:name="_Toc200513162"/>
      <w:bookmarkStart w:id="189" w:name="_Toc224103353"/>
      <w:r>
        <w:rPr>
          <w:rFonts w:hint="eastAsia" w:cs="宋体" w:asciiTheme="minorEastAsia" w:hAnsiTheme="minorEastAsia" w:eastAsiaTheme="minorEastAsia"/>
          <w:snapToGrid w:val="0"/>
          <w:color w:val="auto"/>
          <w:szCs w:val="21"/>
          <w:highlight w:val="none"/>
        </w:rPr>
        <w:t>6.2  评选原则</w:t>
      </w:r>
      <w:bookmarkEnd w:id="188"/>
      <w:bookmarkEnd w:id="189"/>
    </w:p>
    <w:p w14:paraId="09260EE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评选活动遵循公平、公正、科学和择优的原则。</w:t>
      </w:r>
    </w:p>
    <w:p w14:paraId="1415F44F">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0" w:name="_Toc200513163"/>
      <w:bookmarkStart w:id="191" w:name="_Toc224103354"/>
      <w:r>
        <w:rPr>
          <w:rFonts w:hint="eastAsia" w:cs="宋体" w:asciiTheme="minorEastAsia" w:hAnsiTheme="minorEastAsia" w:eastAsiaTheme="minorEastAsia"/>
          <w:snapToGrid w:val="0"/>
          <w:color w:val="auto"/>
          <w:szCs w:val="21"/>
          <w:highlight w:val="none"/>
        </w:rPr>
        <w:t xml:space="preserve">6.3  </w:t>
      </w:r>
      <w:bookmarkEnd w:id="190"/>
      <w:bookmarkEnd w:id="191"/>
      <w:r>
        <w:rPr>
          <w:rFonts w:hint="eastAsia" w:cs="宋体" w:asciiTheme="minorEastAsia" w:hAnsiTheme="minorEastAsia" w:eastAsiaTheme="minorEastAsia"/>
          <w:snapToGrid w:val="0"/>
          <w:color w:val="auto"/>
          <w:szCs w:val="21"/>
          <w:highlight w:val="none"/>
        </w:rPr>
        <w:t>评选</w:t>
      </w:r>
    </w:p>
    <w:p w14:paraId="294A260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评选委员会按照第三章“评选办法”规定的方法、评审因素、标准和程序对</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文件进行评审。第三章“评选办法”没有规定的方法、评审因素和标准，不作为评选依据。</w:t>
      </w:r>
    </w:p>
    <w:p w14:paraId="1CA0F41E">
      <w:pPr>
        <w:spacing w:line="450" w:lineRule="exact"/>
        <w:ind w:firstLine="422" w:firstLineChars="200"/>
        <w:rPr>
          <w:rFonts w:cs="宋体" w:asciiTheme="minorEastAsia" w:hAnsiTheme="minorEastAsia" w:eastAsiaTheme="minorEastAsia"/>
          <w:b/>
          <w:snapToGrid w:val="0"/>
          <w:color w:val="auto"/>
          <w:szCs w:val="21"/>
          <w:highlight w:val="none"/>
        </w:rPr>
      </w:pPr>
      <w:bookmarkStart w:id="192" w:name="_Toc224103355"/>
      <w:bookmarkStart w:id="193" w:name="_Toc200513164"/>
      <w:r>
        <w:rPr>
          <w:rFonts w:hint="eastAsia" w:cs="宋体" w:asciiTheme="minorEastAsia" w:hAnsiTheme="minorEastAsia" w:eastAsiaTheme="minorEastAsia"/>
          <w:b/>
          <w:snapToGrid w:val="0"/>
          <w:color w:val="auto"/>
          <w:szCs w:val="21"/>
          <w:highlight w:val="none"/>
        </w:rPr>
        <w:t>7.  合同授予</w:t>
      </w:r>
      <w:bookmarkEnd w:id="192"/>
      <w:bookmarkEnd w:id="193"/>
    </w:p>
    <w:p w14:paraId="65C1F11F">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4" w:name="_Toc224103356"/>
      <w:bookmarkStart w:id="195" w:name="_Toc200513165"/>
      <w:r>
        <w:rPr>
          <w:rFonts w:hint="eastAsia" w:cs="宋体" w:asciiTheme="minorEastAsia" w:hAnsiTheme="minorEastAsia" w:eastAsiaTheme="minorEastAsia"/>
          <w:snapToGrid w:val="0"/>
          <w:color w:val="auto"/>
          <w:szCs w:val="21"/>
          <w:highlight w:val="none"/>
        </w:rPr>
        <w:t>7.1  定标方式</w:t>
      </w:r>
      <w:bookmarkEnd w:id="194"/>
      <w:bookmarkEnd w:id="195"/>
    </w:p>
    <w:p w14:paraId="5C4C246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须知前附表规定评选委员会直接确定中选人外，比选人依据评选委员会推荐的 中选候选人确定中选人，评选委员会推荐中选候选人的人数见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p>
    <w:p w14:paraId="701C693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6" w:name="_Toc224103357"/>
      <w:bookmarkStart w:id="197" w:name="_Toc200513166"/>
      <w:r>
        <w:rPr>
          <w:rFonts w:hint="eastAsia" w:cs="宋体" w:asciiTheme="minorEastAsia" w:hAnsiTheme="minorEastAsia" w:eastAsiaTheme="minorEastAsia"/>
          <w:snapToGrid w:val="0"/>
          <w:color w:val="auto"/>
          <w:szCs w:val="21"/>
          <w:highlight w:val="none"/>
        </w:rPr>
        <w:t>7.2  中选通知</w:t>
      </w:r>
      <w:bookmarkEnd w:id="196"/>
      <w:bookmarkEnd w:id="197"/>
    </w:p>
    <w:p w14:paraId="0CFD43D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在本章第 3.3 款规定的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有效期内，比选人以书面形式向中选人发出中选通知书，同 时将中选结果通知未中选的</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w:t>
      </w:r>
    </w:p>
    <w:p w14:paraId="6B2149E0">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8" w:name="_Toc200513168"/>
      <w:bookmarkStart w:id="199" w:name="_Toc224103359"/>
      <w:r>
        <w:rPr>
          <w:rFonts w:hint="eastAsia" w:cs="宋体" w:asciiTheme="minorEastAsia" w:hAnsiTheme="minorEastAsia" w:eastAsiaTheme="minorEastAsia"/>
          <w:snapToGrid w:val="0"/>
          <w:color w:val="auto"/>
          <w:szCs w:val="21"/>
          <w:highlight w:val="none"/>
        </w:rPr>
        <w:t>7.4  签订合同</w:t>
      </w:r>
      <w:bookmarkEnd w:id="198"/>
      <w:bookmarkEnd w:id="199"/>
    </w:p>
    <w:p w14:paraId="771C1959">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7.4.1 比选人和中选人应当在中选通知书约定的时间内签订合同，根据比选文件和中选人的</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文件订立书面合同。中选人无正当理由拒签合同的，比选人取消其中选资格，其</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保证金不予退还；给比选人造成的损失超过</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保证金数额的，中选人还应当对超过部分予以赔偿。</w:t>
      </w:r>
    </w:p>
    <w:p w14:paraId="0C0558A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7.4.2  发出中选通知书后，比选人无正当理由拒签合同的，比选人向中选人退还</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保证金；给中选人造成损失的，还应当赔偿损失。</w:t>
      </w:r>
    </w:p>
    <w:p w14:paraId="4426D91B">
      <w:pPr>
        <w:autoSpaceDE w:val="0"/>
        <w:autoSpaceDN w:val="0"/>
        <w:adjustRightInd w:val="0"/>
        <w:snapToGrid w:val="0"/>
        <w:spacing w:line="450" w:lineRule="exact"/>
        <w:ind w:firstLine="422" w:firstLineChars="200"/>
        <w:jc w:val="left"/>
        <w:rPr>
          <w:rFonts w:cs="宋体" w:asciiTheme="minorEastAsia" w:hAnsiTheme="minorEastAsia" w:eastAsiaTheme="minorEastAsia"/>
          <w:b/>
          <w:snapToGrid w:val="0"/>
          <w:color w:val="auto"/>
          <w:kern w:val="0"/>
          <w:szCs w:val="21"/>
          <w:highlight w:val="none"/>
        </w:rPr>
      </w:pPr>
      <w:bookmarkStart w:id="200" w:name="_Toc200513169"/>
      <w:bookmarkStart w:id="201" w:name="_Toc224103360"/>
      <w:r>
        <w:rPr>
          <w:rFonts w:hint="eastAsia" w:cs="宋体" w:asciiTheme="minorEastAsia" w:hAnsiTheme="minorEastAsia" w:eastAsiaTheme="minorEastAsia"/>
          <w:b/>
          <w:snapToGrid w:val="0"/>
          <w:color w:val="auto"/>
          <w:kern w:val="0"/>
          <w:szCs w:val="21"/>
          <w:highlight w:val="none"/>
        </w:rPr>
        <w:t>8.  重新比选和不再</w:t>
      </w:r>
      <w:bookmarkEnd w:id="200"/>
      <w:bookmarkEnd w:id="201"/>
      <w:r>
        <w:rPr>
          <w:rFonts w:hint="eastAsia" w:cs="宋体" w:asciiTheme="minorEastAsia" w:hAnsiTheme="minorEastAsia" w:eastAsiaTheme="minorEastAsia"/>
          <w:b/>
          <w:snapToGrid w:val="0"/>
          <w:color w:val="auto"/>
          <w:kern w:val="0"/>
          <w:szCs w:val="21"/>
          <w:highlight w:val="none"/>
        </w:rPr>
        <w:t>比选</w:t>
      </w:r>
    </w:p>
    <w:p w14:paraId="2163C3D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202" w:name="_Toc277082596"/>
      <w:bookmarkStart w:id="203" w:name="_Toc287607790"/>
      <w:bookmarkStart w:id="204" w:name="_Toc347847820"/>
      <w:bookmarkStart w:id="205" w:name="_Toc224103361"/>
      <w:bookmarkStart w:id="206" w:name="_Toc200513170"/>
      <w:r>
        <w:rPr>
          <w:rFonts w:hint="eastAsia" w:cs="宋体" w:asciiTheme="minorEastAsia" w:hAnsiTheme="minorEastAsia" w:eastAsiaTheme="minorEastAsia"/>
          <w:snapToGrid w:val="0"/>
          <w:color w:val="auto"/>
          <w:kern w:val="0"/>
          <w:szCs w:val="21"/>
          <w:highlight w:val="none"/>
        </w:rPr>
        <w:t>8.1  重新</w:t>
      </w:r>
      <w:bookmarkEnd w:id="202"/>
      <w:bookmarkEnd w:id="203"/>
      <w:bookmarkEnd w:id="204"/>
      <w:r>
        <w:rPr>
          <w:rFonts w:hint="eastAsia" w:cs="宋体" w:asciiTheme="minorEastAsia" w:hAnsiTheme="minorEastAsia" w:eastAsiaTheme="minorEastAsia"/>
          <w:snapToGrid w:val="0"/>
          <w:color w:val="auto"/>
          <w:kern w:val="0"/>
          <w:szCs w:val="21"/>
          <w:highlight w:val="none"/>
        </w:rPr>
        <w:t>比选</w:t>
      </w:r>
      <w:bookmarkStart w:id="207" w:name="_Toc277082597"/>
      <w:bookmarkStart w:id="208" w:name="_Toc347847821"/>
      <w:bookmarkStart w:id="209" w:name="_Toc287607791"/>
      <w:r>
        <w:rPr>
          <w:rFonts w:hint="eastAsia" w:cs="宋体" w:asciiTheme="minorEastAsia" w:hAnsiTheme="minorEastAsia" w:eastAsiaTheme="minorEastAsia"/>
          <w:snapToGrid w:val="0"/>
          <w:color w:val="auto"/>
          <w:kern w:val="0"/>
          <w:szCs w:val="21"/>
          <w:highlight w:val="none"/>
        </w:rPr>
        <w:t>：</w:t>
      </w:r>
    </w:p>
    <w:p w14:paraId="0B5DD413">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有下列情形之一的，比选人将重新比选：</w:t>
      </w:r>
    </w:p>
    <w:p w14:paraId="299D87C3">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（1）截止时间止，</w:t>
      </w:r>
      <w:r>
        <w:rPr>
          <w:rFonts w:hint="eastAsia" w:asciiTheme="minorEastAsia" w:hAnsiTheme="minorEastAsia" w:eastAsiaTheme="minorEastAsia"/>
          <w:snapToGrid w:val="0"/>
          <w:color w:val="auto"/>
          <w:kern w:val="0"/>
          <w:szCs w:val="21"/>
          <w:highlight w:val="none"/>
          <w:lang w:eastAsia="zh-CN"/>
        </w:rPr>
        <w:t>竞标人</w:t>
      </w:r>
      <w:r>
        <w:rPr>
          <w:rFonts w:hint="eastAsia" w:asciiTheme="minorEastAsia" w:hAnsiTheme="minorEastAsia" w:eastAsiaTheme="minorEastAsia"/>
          <w:snapToGrid w:val="0"/>
          <w:color w:val="auto"/>
          <w:kern w:val="0"/>
          <w:szCs w:val="21"/>
          <w:highlight w:val="none"/>
        </w:rPr>
        <w:t>少于3个的；</w:t>
      </w:r>
    </w:p>
    <w:p w14:paraId="1B6E19C9">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（2）经评选委员会评审后否决所有</w:t>
      </w:r>
      <w:r>
        <w:rPr>
          <w:rFonts w:hint="eastAsia" w:asciiTheme="minorEastAsia" w:hAnsiTheme="minorEastAsia" w:eastAsiaTheme="minorEastAsia"/>
          <w:snapToGrid w:val="0"/>
          <w:color w:val="auto"/>
          <w:kern w:val="0"/>
          <w:szCs w:val="21"/>
          <w:highlight w:val="none"/>
          <w:lang w:eastAsia="zh-CN"/>
        </w:rPr>
        <w:t>竞标</w:t>
      </w:r>
      <w:r>
        <w:rPr>
          <w:rFonts w:hint="eastAsia" w:asciiTheme="minorEastAsia" w:hAnsiTheme="minorEastAsia" w:eastAsiaTheme="minorEastAsia"/>
          <w:snapToGrid w:val="0"/>
          <w:color w:val="auto"/>
          <w:kern w:val="0"/>
          <w:szCs w:val="21"/>
          <w:highlight w:val="none"/>
        </w:rPr>
        <w:t>的；</w:t>
      </w:r>
    </w:p>
    <w:p w14:paraId="69DFF49B">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（3）经评审后，如合格的</w:t>
      </w:r>
      <w:r>
        <w:rPr>
          <w:rFonts w:hint="eastAsia" w:asciiTheme="minorEastAsia" w:hAnsiTheme="minorEastAsia" w:eastAsiaTheme="minorEastAsia"/>
          <w:snapToGrid w:val="0"/>
          <w:color w:val="auto"/>
          <w:kern w:val="0"/>
          <w:szCs w:val="21"/>
          <w:highlight w:val="none"/>
          <w:lang w:eastAsia="zh-CN"/>
        </w:rPr>
        <w:t>竞标人</w:t>
      </w:r>
      <w:r>
        <w:rPr>
          <w:rFonts w:hint="eastAsia" w:asciiTheme="minorEastAsia" w:hAnsiTheme="minorEastAsia" w:eastAsiaTheme="minorEastAsia"/>
          <w:snapToGrid w:val="0"/>
          <w:color w:val="auto"/>
          <w:kern w:val="0"/>
          <w:szCs w:val="21"/>
          <w:highlight w:val="none"/>
        </w:rPr>
        <w:t>少于三个的，且明显缺乏竞争的，评选委员会可以否决全部</w:t>
      </w:r>
      <w:r>
        <w:rPr>
          <w:rFonts w:hint="eastAsia" w:asciiTheme="minorEastAsia" w:hAnsiTheme="minorEastAsia" w:eastAsiaTheme="minorEastAsia"/>
          <w:snapToGrid w:val="0"/>
          <w:color w:val="auto"/>
          <w:kern w:val="0"/>
          <w:szCs w:val="21"/>
          <w:highlight w:val="none"/>
          <w:lang w:eastAsia="zh-CN"/>
        </w:rPr>
        <w:t>竞标</w:t>
      </w:r>
      <w:r>
        <w:rPr>
          <w:rFonts w:hint="eastAsia" w:asciiTheme="minorEastAsia" w:hAnsiTheme="minorEastAsia" w:eastAsiaTheme="minorEastAsia"/>
          <w:snapToGrid w:val="0"/>
          <w:color w:val="auto"/>
          <w:kern w:val="0"/>
          <w:szCs w:val="21"/>
          <w:highlight w:val="none"/>
        </w:rPr>
        <w:t>，比选人将重新组织比选。</w:t>
      </w:r>
    </w:p>
    <w:p w14:paraId="4FB7CE2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8.2  二次比选和不再</w:t>
      </w:r>
      <w:bookmarkEnd w:id="207"/>
      <w:bookmarkEnd w:id="208"/>
      <w:bookmarkEnd w:id="209"/>
      <w:r>
        <w:rPr>
          <w:rFonts w:hint="eastAsia" w:cs="宋体" w:asciiTheme="minorEastAsia" w:hAnsiTheme="minorEastAsia" w:eastAsiaTheme="minorEastAsia"/>
          <w:snapToGrid w:val="0"/>
          <w:color w:val="auto"/>
          <w:kern w:val="0"/>
          <w:szCs w:val="21"/>
          <w:highlight w:val="none"/>
        </w:rPr>
        <w:t>比选</w:t>
      </w:r>
    </w:p>
    <w:p w14:paraId="596D7574">
      <w:pPr>
        <w:snapToGrid w:val="0"/>
        <w:spacing w:line="450" w:lineRule="exact"/>
        <w:ind w:firstLine="420" w:firstLineChars="200"/>
        <w:rPr>
          <w:rFonts w:cs="宋体" w:asciiTheme="minorEastAsia" w:hAnsiTheme="minorEastAsia" w:eastAsiaTheme="minorEastAsia"/>
          <w:b/>
          <w:snapToGrid w:val="0"/>
          <w:color w:val="auto"/>
          <w:szCs w:val="21"/>
          <w:highlight w:val="none"/>
        </w:rPr>
      </w:pPr>
      <w:r>
        <w:rPr>
          <w:rFonts w:hint="eastAsia" w:cs="宋体" w:asciiTheme="minorEastAsia" w:hAnsiTheme="minorEastAsia" w:eastAsiaTheme="minorEastAsia"/>
          <w:color w:val="auto"/>
          <w:kern w:val="0"/>
          <w:szCs w:val="21"/>
          <w:highlight w:val="none"/>
        </w:rPr>
        <w:t>重新比选后</w:t>
      </w:r>
      <w:r>
        <w:rPr>
          <w:rFonts w:hint="eastAsia" w:cs="宋体" w:asciiTheme="minorEastAsia" w:hAnsiTheme="minorEastAsia" w:eastAsiaTheme="minorEastAsia"/>
          <w:color w:val="auto"/>
          <w:kern w:val="0"/>
          <w:szCs w:val="21"/>
          <w:highlight w:val="none"/>
          <w:lang w:eastAsia="zh-CN"/>
        </w:rPr>
        <w:t>竞标人</w:t>
      </w:r>
      <w:r>
        <w:rPr>
          <w:rFonts w:hint="eastAsia" w:cs="宋体" w:asciiTheme="minorEastAsia" w:hAnsiTheme="minorEastAsia" w:eastAsiaTheme="minorEastAsia"/>
          <w:color w:val="auto"/>
          <w:kern w:val="0"/>
          <w:szCs w:val="21"/>
          <w:highlight w:val="none"/>
        </w:rPr>
        <w:t>仍少于3个，按法定程序开标和评选，确定中选人。经评审无合格</w:t>
      </w:r>
      <w:r>
        <w:rPr>
          <w:rFonts w:hint="eastAsia" w:cs="宋体" w:asciiTheme="minorEastAsia" w:hAnsiTheme="minorEastAsia" w:eastAsiaTheme="minorEastAsia"/>
          <w:color w:val="auto"/>
          <w:kern w:val="0"/>
          <w:szCs w:val="21"/>
          <w:highlight w:val="none"/>
          <w:lang w:eastAsia="zh-CN"/>
        </w:rPr>
        <w:t>竞标人</w:t>
      </w:r>
      <w:r>
        <w:rPr>
          <w:rFonts w:hint="eastAsia" w:cs="宋体" w:asciiTheme="minorEastAsia" w:hAnsiTheme="minorEastAsia" w:eastAsiaTheme="minorEastAsia"/>
          <w:color w:val="auto"/>
          <w:kern w:val="0"/>
          <w:szCs w:val="21"/>
          <w:highlight w:val="none"/>
        </w:rPr>
        <w:t>，属于必须审批或核准的工程建设项目，经原审批或核准部门批准后不再进行比选。</w:t>
      </w:r>
    </w:p>
    <w:bookmarkEnd w:id="205"/>
    <w:bookmarkEnd w:id="206"/>
    <w:p w14:paraId="573FCC90">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0" w:name="_Toc224103363"/>
      <w:bookmarkStart w:id="211" w:name="_Toc200513172"/>
      <w:r>
        <w:rPr>
          <w:rFonts w:hint="eastAsia" w:cs="宋体" w:asciiTheme="minorEastAsia" w:hAnsiTheme="minorEastAsia" w:eastAsiaTheme="minorEastAsia"/>
          <w:b/>
          <w:snapToGrid w:val="0"/>
          <w:color w:val="auto"/>
          <w:szCs w:val="21"/>
          <w:highlight w:val="none"/>
        </w:rPr>
        <w:t>9.  纪律和监督</w:t>
      </w:r>
      <w:bookmarkEnd w:id="210"/>
      <w:bookmarkEnd w:id="211"/>
    </w:p>
    <w:p w14:paraId="45979FF5">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2" w:name="_Toc224103364"/>
      <w:bookmarkStart w:id="213" w:name="_Toc200513173"/>
      <w:r>
        <w:rPr>
          <w:rFonts w:hint="eastAsia" w:cs="宋体" w:asciiTheme="minorEastAsia" w:hAnsiTheme="minorEastAsia" w:eastAsiaTheme="minorEastAsia"/>
          <w:b/>
          <w:snapToGrid w:val="0"/>
          <w:color w:val="auto"/>
          <w:szCs w:val="21"/>
          <w:highlight w:val="none"/>
        </w:rPr>
        <w:t>9.1  对比选人的纪律要求</w:t>
      </w:r>
      <w:bookmarkEnd w:id="212"/>
      <w:bookmarkEnd w:id="213"/>
    </w:p>
    <w:p w14:paraId="64E0463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比选人不得泄漏比选</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活动中应当保密的情况和资料，不得与</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串通损害国家利益、社会公共利益或者他人合法权益。</w:t>
      </w:r>
    </w:p>
    <w:p w14:paraId="0AF22EAE">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4" w:name="_Toc224103365"/>
      <w:bookmarkStart w:id="215" w:name="_Toc200513174"/>
      <w:r>
        <w:rPr>
          <w:rFonts w:hint="eastAsia" w:cs="宋体" w:asciiTheme="minorEastAsia" w:hAnsiTheme="minorEastAsia" w:eastAsiaTheme="minorEastAsia"/>
          <w:b/>
          <w:snapToGrid w:val="0"/>
          <w:color w:val="auto"/>
          <w:szCs w:val="21"/>
          <w:highlight w:val="none"/>
        </w:rPr>
        <w:t>9.2  对</w:t>
      </w:r>
      <w:r>
        <w:rPr>
          <w:rFonts w:hint="eastAsia" w:cs="宋体" w:asciiTheme="minorEastAsia" w:hAnsiTheme="minorEastAsia" w:eastAsiaTheme="minorEastAsia"/>
          <w:b/>
          <w:snapToGrid w:val="0"/>
          <w:color w:val="auto"/>
          <w:szCs w:val="21"/>
          <w:highlight w:val="none"/>
          <w:lang w:eastAsia="zh-CN"/>
        </w:rPr>
        <w:t>竞标人</w:t>
      </w:r>
      <w:r>
        <w:rPr>
          <w:rFonts w:hint="eastAsia" w:cs="宋体" w:asciiTheme="minorEastAsia" w:hAnsiTheme="minorEastAsia" w:eastAsiaTheme="minorEastAsia"/>
          <w:b/>
          <w:snapToGrid w:val="0"/>
          <w:color w:val="auto"/>
          <w:szCs w:val="21"/>
          <w:highlight w:val="none"/>
        </w:rPr>
        <w:t>的纪律要求</w:t>
      </w:r>
      <w:bookmarkEnd w:id="214"/>
      <w:bookmarkEnd w:id="215"/>
    </w:p>
    <w:p w14:paraId="07F5915F">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不得相互串通</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或者与比选人串通</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，不得向比选人或者评选委员会成员行贿谋取中选，不得以他人名义</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或者以其他方式弄虚作假骗取中选；</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不得以任何方式干扰、影响评选工作。</w:t>
      </w:r>
    </w:p>
    <w:p w14:paraId="72D699EA">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有下列情形之一的，属于</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相互串通</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w:t>
      </w:r>
    </w:p>
    <w:p w14:paraId="2DDB8CE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之间协商</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报价等</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文件的实质性内容；</w:t>
      </w:r>
    </w:p>
    <w:p w14:paraId="5AB8A31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之间约定中选人；</w:t>
      </w:r>
    </w:p>
    <w:p w14:paraId="7854FC1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之间约定部分</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放弃</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或者中选；</w:t>
      </w:r>
    </w:p>
    <w:p w14:paraId="6F58300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（4）属于同一集团、协会、商会等组织成员的</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按照该组织要求协同</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w:t>
      </w:r>
    </w:p>
    <w:p w14:paraId="2536B05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之间为谋取中选或者排斥特定</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而采取的其他联合行动。</w:t>
      </w:r>
    </w:p>
    <w:p w14:paraId="3E17DDEF">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有下列情形之一的，视为</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相互串通</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w:t>
      </w:r>
    </w:p>
    <w:p w14:paraId="34A9FBFB">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（1）不同</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的</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文件由同一单位或者个人编制；</w:t>
      </w:r>
    </w:p>
    <w:p w14:paraId="7834A41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（2）不同</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委托同一单位或者个人办理</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事宜；</w:t>
      </w:r>
    </w:p>
    <w:p w14:paraId="1687493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（3）不同</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的</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文件载明的项目管理成员为同一人；</w:t>
      </w:r>
    </w:p>
    <w:p w14:paraId="5F10946D">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（4）不同</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的</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文件异常一致或者</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报价呈规律性差异；</w:t>
      </w:r>
    </w:p>
    <w:p w14:paraId="1A1B047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（5）不同</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的</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文件相互混装；</w:t>
      </w:r>
    </w:p>
    <w:p w14:paraId="19866401">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（6）不同</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的</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保证金从同一单位或者个人的账户转出。</w:t>
      </w:r>
    </w:p>
    <w:p w14:paraId="53B744F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使用通过受让或者租借等方式获取的资格、资质证书</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的，属于以他人名义</w:t>
      </w:r>
      <w:r>
        <w:rPr>
          <w:rFonts w:hint="eastAsia" w:cs="宋体" w:asciiTheme="minorEastAsia" w:hAnsiTheme="minorEastAsia" w:eastAsiaTheme="minorEastAsia"/>
          <w:snapToGrid w:val="0"/>
          <w:color w:val="auto"/>
          <w:szCs w:val="21"/>
          <w:highlight w:val="none"/>
          <w:lang w:eastAsia="zh-CN"/>
        </w:rPr>
        <w:t>竞标</w:t>
      </w:r>
      <w:r>
        <w:rPr>
          <w:rFonts w:hint="eastAsia" w:cs="宋体" w:asciiTheme="minorEastAsia" w:hAnsiTheme="minorEastAsia" w:eastAsiaTheme="minorEastAsia"/>
          <w:snapToGrid w:val="0"/>
          <w:color w:val="auto"/>
          <w:szCs w:val="21"/>
          <w:highlight w:val="none"/>
        </w:rPr>
        <w:t>。</w:t>
      </w:r>
    </w:p>
    <w:p w14:paraId="38DE9AD1">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w:t>
      </w:r>
      <w:r>
        <w:rPr>
          <w:rFonts w:hint="eastAsia" w:cs="宋体" w:asciiTheme="minorEastAsia" w:hAnsiTheme="minorEastAsia" w:eastAsiaTheme="minorEastAsia"/>
          <w:snapToGrid w:val="0"/>
          <w:color w:val="auto"/>
          <w:szCs w:val="21"/>
          <w:highlight w:val="none"/>
          <w:lang w:eastAsia="zh-CN"/>
        </w:rPr>
        <w:t>竞标人</w:t>
      </w:r>
      <w:r>
        <w:rPr>
          <w:rFonts w:hint="eastAsia" w:cs="宋体" w:asciiTheme="minorEastAsia" w:hAnsiTheme="minorEastAsia" w:eastAsiaTheme="minorEastAsia"/>
          <w:snapToGrid w:val="0"/>
          <w:color w:val="auto"/>
          <w:szCs w:val="21"/>
          <w:highlight w:val="none"/>
        </w:rPr>
        <w:t>有下列情形之一的，属于以其他方式弄虚作假的行为：</w:t>
      </w:r>
    </w:p>
    <w:p w14:paraId="4EE615E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（1）使用伪造、变造的许可证件；</w:t>
      </w:r>
    </w:p>
    <w:p w14:paraId="6BE2E774">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（2）提供虚假的财务状况或者业绩；</w:t>
      </w:r>
    </w:p>
    <w:p w14:paraId="7AD6313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（3）提供虚假的项目负责人或者主要技术人员简历、劳动关系证明；</w:t>
      </w:r>
    </w:p>
    <w:p w14:paraId="062C0B24">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（4）提供虚假的信用状况；</w:t>
      </w:r>
    </w:p>
    <w:p w14:paraId="62B4220B">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（5）其他弄虚作假的行为。</w:t>
      </w:r>
    </w:p>
    <w:p w14:paraId="338AE227">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6" w:name="_Toc224103366"/>
      <w:bookmarkStart w:id="217" w:name="_Toc200513175"/>
      <w:r>
        <w:rPr>
          <w:rFonts w:hint="eastAsia" w:cs="宋体" w:asciiTheme="minorEastAsia" w:hAnsiTheme="minorEastAsia" w:eastAsiaTheme="minorEastAsia"/>
          <w:b/>
          <w:snapToGrid w:val="0"/>
          <w:color w:val="auto"/>
          <w:szCs w:val="21"/>
          <w:highlight w:val="none"/>
        </w:rPr>
        <w:t>9.3  对评选委员会成员的纪律要求</w:t>
      </w:r>
      <w:bookmarkEnd w:id="216"/>
      <w:bookmarkEnd w:id="217"/>
    </w:p>
    <w:p w14:paraId="7212CA0E">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评选委员会成员不得收受他人的财物或者其他好处，不得向他人透漏对</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文件的评审 和比较、中选候选人的推荐情况以及评选有关的其他情况。在评选活动中，评选委员会成员不得擅离职守，影响评选程序正常进行，不得使用第三章“评选办法”没有规定的评审因素和标准进行评选。</w:t>
      </w:r>
    </w:p>
    <w:p w14:paraId="55DE7DC3">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8" w:name="_Toc224103367"/>
      <w:bookmarkStart w:id="219" w:name="_Toc200513176"/>
      <w:r>
        <w:rPr>
          <w:rFonts w:hint="eastAsia" w:cs="宋体" w:asciiTheme="minorEastAsia" w:hAnsiTheme="minorEastAsia" w:eastAsiaTheme="minorEastAsia"/>
          <w:b/>
          <w:snapToGrid w:val="0"/>
          <w:color w:val="auto"/>
          <w:szCs w:val="21"/>
          <w:highlight w:val="none"/>
        </w:rPr>
        <w:t>9.4  对与评选活动有关的工作人员的纪律要求</w:t>
      </w:r>
      <w:bookmarkEnd w:id="218"/>
      <w:bookmarkEnd w:id="219"/>
    </w:p>
    <w:p w14:paraId="538B7349">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与评选活动有关的工作人员不得收受他人的财物或者其他好处，不得向他人透漏对</w:t>
      </w:r>
      <w:r>
        <w:rPr>
          <w:rFonts w:hint="eastAsia" w:cs="宋体" w:asciiTheme="minorEastAsia" w:hAnsiTheme="minorEastAsia" w:eastAsiaTheme="minorEastAsia"/>
          <w:snapToGrid w:val="0"/>
          <w:color w:val="auto"/>
          <w:kern w:val="0"/>
          <w:szCs w:val="21"/>
          <w:highlight w:val="none"/>
          <w:lang w:eastAsia="zh-CN"/>
        </w:rPr>
        <w:t>竞标</w:t>
      </w:r>
      <w:r>
        <w:rPr>
          <w:rFonts w:hint="eastAsia" w:cs="宋体" w:asciiTheme="minorEastAsia" w:hAnsiTheme="minorEastAsia" w:eastAsiaTheme="minorEastAsia"/>
          <w:snapToGrid w:val="0"/>
          <w:color w:val="auto"/>
          <w:kern w:val="0"/>
          <w:szCs w:val="21"/>
          <w:highlight w:val="none"/>
        </w:rPr>
        <w:t>文件的评审和比较、中选候选人的推荐情况以及评选有关的其他情况。在评选活动中，与评选活动有关的工作人员不得擅离职守，影响评选程序正常进行。</w:t>
      </w:r>
    </w:p>
    <w:p w14:paraId="27D2A25E">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20" w:name="_Toc224103368"/>
      <w:bookmarkStart w:id="221" w:name="_Toc200513177"/>
      <w:r>
        <w:rPr>
          <w:rFonts w:hint="eastAsia" w:cs="宋体" w:asciiTheme="minorEastAsia" w:hAnsiTheme="minorEastAsia" w:eastAsiaTheme="minorEastAsia"/>
          <w:b/>
          <w:snapToGrid w:val="0"/>
          <w:color w:val="auto"/>
          <w:szCs w:val="21"/>
          <w:highlight w:val="none"/>
        </w:rPr>
        <w:t>9.5  投诉</w:t>
      </w:r>
      <w:bookmarkEnd w:id="220"/>
      <w:bookmarkEnd w:id="221"/>
    </w:p>
    <w:p w14:paraId="56ABCAB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和其他利害关系人认为本次比选活动违反法律、法规和规章规定的，有权向有关 行政监督部门投诉。</w:t>
      </w:r>
    </w:p>
    <w:p w14:paraId="178D7F4B">
      <w:pPr>
        <w:spacing w:line="450" w:lineRule="exact"/>
        <w:ind w:firstLine="422" w:firstLineChars="200"/>
        <w:rPr>
          <w:rFonts w:cs="宋体" w:asciiTheme="minorEastAsia" w:hAnsiTheme="minorEastAsia" w:eastAsiaTheme="minorEastAsia"/>
          <w:b/>
          <w:snapToGrid w:val="0"/>
          <w:color w:val="auto"/>
          <w:szCs w:val="21"/>
          <w:highlight w:val="none"/>
        </w:rPr>
      </w:pPr>
      <w:bookmarkStart w:id="222" w:name="_Toc200513178"/>
      <w:bookmarkStart w:id="223" w:name="_Toc224103369"/>
      <w:r>
        <w:rPr>
          <w:rFonts w:hint="eastAsia" w:cs="宋体" w:asciiTheme="minorEastAsia" w:hAnsiTheme="minorEastAsia" w:eastAsiaTheme="minorEastAsia"/>
          <w:b/>
          <w:snapToGrid w:val="0"/>
          <w:color w:val="auto"/>
          <w:szCs w:val="21"/>
          <w:highlight w:val="none"/>
        </w:rPr>
        <w:t>10.  需要补充的其他内容</w:t>
      </w:r>
      <w:bookmarkEnd w:id="222"/>
      <w:bookmarkEnd w:id="223"/>
    </w:p>
    <w:p w14:paraId="2A59106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 w:val="24"/>
          <w:highlight w:val="none"/>
        </w:rPr>
      </w:pPr>
      <w:r>
        <w:rPr>
          <w:rFonts w:hint="eastAsia" w:cs="宋体" w:asciiTheme="minorEastAsia" w:hAnsiTheme="minorEastAsia" w:eastAsiaTheme="minorEastAsia"/>
          <w:snapToGrid w:val="0"/>
          <w:color w:val="auto"/>
          <w:kern w:val="0"/>
          <w:szCs w:val="21"/>
          <w:highlight w:val="none"/>
        </w:rPr>
        <w:t>需要补充的其他内容：见</w:t>
      </w:r>
      <w:r>
        <w:rPr>
          <w:rFonts w:hint="eastAsia" w:cs="宋体" w:asciiTheme="minorEastAsia" w:hAnsiTheme="minorEastAsia" w:eastAsiaTheme="minorEastAsia"/>
          <w:snapToGrid w:val="0"/>
          <w:color w:val="auto"/>
          <w:kern w:val="0"/>
          <w:szCs w:val="21"/>
          <w:highlight w:val="none"/>
          <w:lang w:eastAsia="zh-CN"/>
        </w:rPr>
        <w:t>竞标人</w:t>
      </w:r>
      <w:r>
        <w:rPr>
          <w:rFonts w:hint="eastAsia" w:cs="宋体" w:asciiTheme="minorEastAsia" w:hAnsiTheme="minorEastAsia" w:eastAsiaTheme="minorEastAsia"/>
          <w:snapToGrid w:val="0"/>
          <w:color w:val="auto"/>
          <w:kern w:val="0"/>
          <w:szCs w:val="21"/>
          <w:highlight w:val="none"/>
        </w:rPr>
        <w:t>须知前附表。</w:t>
      </w:r>
      <w:bookmarkEnd w:id="122"/>
    </w:p>
    <w:p w14:paraId="35D7F792">
      <w:pPr>
        <w:widowControl/>
        <w:spacing w:line="500" w:lineRule="exact"/>
        <w:jc w:val="left"/>
        <w:rPr>
          <w:rFonts w:cs="宋体" w:asciiTheme="minorEastAsia" w:hAnsiTheme="minorEastAsia" w:eastAsiaTheme="minorEastAsia"/>
          <w:b/>
          <w:bCs/>
          <w:color w:val="auto"/>
          <w:kern w:val="44"/>
          <w:sz w:val="24"/>
          <w:highlight w:val="none"/>
        </w:rPr>
        <w:sectPr>
          <w:footerReference r:id="rId5" w:type="default"/>
          <w:pgSz w:w="11906" w:h="16838"/>
          <w:pgMar w:top="1418" w:right="1134" w:bottom="1134" w:left="1418" w:header="851" w:footer="520" w:gutter="0"/>
          <w:cols w:space="720" w:num="1"/>
          <w:docGrid w:type="lines" w:linePitch="312" w:charSpace="0"/>
        </w:sectPr>
      </w:pPr>
    </w:p>
    <w:p w14:paraId="39416AF0">
      <w:pPr>
        <w:pStyle w:val="2"/>
        <w:spacing w:line="360" w:lineRule="auto"/>
        <w:jc w:val="center"/>
        <w:rPr>
          <w:rFonts w:ascii="宋体" w:hAnsi="宋体"/>
          <w:snapToGrid w:val="0"/>
          <w:color w:val="auto"/>
          <w:kern w:val="0"/>
          <w:highlight w:val="none"/>
        </w:rPr>
      </w:pPr>
      <w:bookmarkStart w:id="224" w:name="_Toc10400"/>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123"/>
      <w:bookmarkEnd w:id="224"/>
    </w:p>
    <w:p w14:paraId="1DB05D4B">
      <w:pPr>
        <w:keepNext/>
        <w:keepLines/>
        <w:spacing w:before="100" w:after="100" w:line="360" w:lineRule="auto"/>
        <w:outlineLvl w:val="1"/>
        <w:rPr>
          <w:rFonts w:ascii="宋体" w:hAnsi="宋体"/>
          <w:b/>
          <w:color w:val="auto"/>
          <w:sz w:val="32"/>
          <w:szCs w:val="32"/>
          <w:highlight w:val="none"/>
        </w:rPr>
      </w:pPr>
      <w:bookmarkStart w:id="225" w:name="_Toc19098"/>
      <w:bookmarkStart w:id="226" w:name="_Toc14792"/>
      <w:r>
        <w:rPr>
          <w:rFonts w:hint="eastAsia" w:ascii="宋体" w:hAnsi="宋体"/>
          <w:b/>
          <w:color w:val="auto"/>
          <w:sz w:val="32"/>
          <w:szCs w:val="32"/>
          <w:highlight w:val="none"/>
        </w:rPr>
        <w:t>评标办法前附表</w:t>
      </w:r>
      <w:bookmarkEnd w:id="225"/>
      <w:bookmarkEnd w:id="226"/>
    </w:p>
    <w:p w14:paraId="11F7D380">
      <w:pPr>
        <w:spacing w:line="360" w:lineRule="auto"/>
        <w:ind w:firstLine="420" w:firstLineChars="200"/>
        <w:rPr>
          <w:color w:val="auto"/>
          <w:szCs w:val="21"/>
          <w:highlight w:val="none"/>
        </w:rPr>
      </w:pPr>
      <w:bookmarkStart w:id="227" w:name="_Toc27750"/>
      <w:r>
        <w:rPr>
          <w:color w:val="auto"/>
          <w:szCs w:val="21"/>
          <w:highlight w:val="none"/>
        </w:rPr>
        <w:t>评标办法中的评审内容必须和</w:t>
      </w:r>
      <w:r>
        <w:rPr>
          <w:rFonts w:hint="eastAsia"/>
          <w:color w:val="auto"/>
          <w:szCs w:val="21"/>
          <w:highlight w:val="none"/>
        </w:rPr>
        <w:t>竞标人须知</w:t>
      </w:r>
      <w:r>
        <w:rPr>
          <w:color w:val="auto"/>
          <w:szCs w:val="21"/>
          <w:highlight w:val="none"/>
        </w:rPr>
        <w:t>中的对应内容一致，若</w:t>
      </w:r>
      <w:r>
        <w:rPr>
          <w:rFonts w:hint="eastAsia"/>
          <w:color w:val="auto"/>
          <w:szCs w:val="21"/>
          <w:highlight w:val="none"/>
        </w:rPr>
        <w:t>竞标人须知</w:t>
      </w:r>
      <w:r>
        <w:rPr>
          <w:color w:val="auto"/>
          <w:szCs w:val="21"/>
          <w:highlight w:val="none"/>
        </w:rPr>
        <w:t>中未作要求的内容，不得列入评标办法作为评定依据。</w:t>
      </w:r>
    </w:p>
    <w:tbl>
      <w:tblPr>
        <w:tblStyle w:val="48"/>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626"/>
        <w:gridCol w:w="1015"/>
        <w:gridCol w:w="1642"/>
        <w:gridCol w:w="5395"/>
      </w:tblGrid>
      <w:tr w14:paraId="4B10A4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B799363">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2183E84">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7232A0A">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3D16B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588512FB">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43600A7">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6C3B580">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w:t>
            </w:r>
            <w:r>
              <w:rPr>
                <w:rFonts w:hint="eastAsia" w:ascii="宋体" w:hAnsi="宋体"/>
                <w:color w:val="auto"/>
                <w:kern w:val="0"/>
                <w:szCs w:val="21"/>
                <w:highlight w:val="none"/>
              </w:rPr>
              <w:t>竞标</w:t>
            </w:r>
            <w:r>
              <w:rPr>
                <w:rFonts w:ascii="宋体" w:hAnsi="宋体"/>
                <w:color w:val="auto"/>
                <w:kern w:val="0"/>
                <w:szCs w:val="21"/>
                <w:highlight w:val="none"/>
              </w:rPr>
              <w:t>报价低的优先；</w:t>
            </w:r>
            <w:r>
              <w:rPr>
                <w:rFonts w:hint="eastAsia" w:ascii="宋体" w:hAnsi="宋体"/>
                <w:color w:val="auto"/>
                <w:kern w:val="0"/>
                <w:szCs w:val="21"/>
                <w:highlight w:val="none"/>
              </w:rPr>
              <w:t>竞标</w:t>
            </w:r>
            <w:r>
              <w:rPr>
                <w:rFonts w:ascii="宋体" w:hAnsi="宋体"/>
                <w:color w:val="auto"/>
                <w:kern w:val="0"/>
                <w:szCs w:val="21"/>
                <w:highlight w:val="none"/>
              </w:rPr>
              <w:t>报价相等的</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技术部分得分高的优先 </w:t>
            </w:r>
            <w:r>
              <w:rPr>
                <w:rFonts w:hint="eastAsia" w:ascii="宋体" w:hAnsi="宋体"/>
                <w:color w:val="auto"/>
                <w:kern w:val="0"/>
                <w:szCs w:val="21"/>
                <w:highlight w:val="none"/>
              </w:rPr>
              <w:t>原则排序。</w:t>
            </w:r>
          </w:p>
        </w:tc>
      </w:tr>
      <w:tr w14:paraId="5E60BC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2B7C5FB4">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D7059C0">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A300107">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EA4410F">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如有</w:t>
            </w:r>
            <w:r>
              <w:rPr>
                <w:rFonts w:hint="eastAsia" w:ascii="宋体" w:hAnsi="宋体"/>
                <w:color w:val="auto"/>
                <w:kern w:val="0"/>
                <w:highlight w:val="none"/>
                <w:lang w:eastAsia="zh-CN"/>
              </w:rPr>
              <w:t>）</w:t>
            </w:r>
            <w:r>
              <w:rPr>
                <w:rFonts w:ascii="宋体" w:hAnsi="宋体"/>
                <w:color w:val="auto"/>
                <w:kern w:val="0"/>
                <w:highlight w:val="none"/>
              </w:rPr>
              <w:t>。</w:t>
            </w:r>
          </w:p>
        </w:tc>
      </w:tr>
      <w:tr w14:paraId="1303F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4023FC35">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3F8F663B">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tcPr>
          <w:p w14:paraId="7B51AB43">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72434A3">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1F1DBC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015E33BC">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15F37397">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tcPr>
          <w:p w14:paraId="37A6157D">
            <w:pPr>
              <w:spacing w:line="400" w:lineRule="exact"/>
              <w:jc w:val="left"/>
              <w:rPr>
                <w:rFonts w:ascii="宋体" w:hAnsi="宋体"/>
                <w:color w:val="auto"/>
                <w:kern w:val="0"/>
                <w:highlight w:val="none"/>
              </w:rPr>
            </w:pPr>
            <w:r>
              <w:rPr>
                <w:rFonts w:hint="eastAsia" w:ascii="宋体" w:hAnsi="宋体" w:cs="宋体"/>
                <w:color w:val="auto"/>
                <w:kern w:val="0"/>
                <w:highlight w:val="none"/>
              </w:rPr>
              <w:t>竞标</w:t>
            </w:r>
            <w:r>
              <w:rPr>
                <w:rFonts w:ascii="宋体" w:hAnsi="宋体"/>
                <w:color w:val="auto"/>
                <w:szCs w:val="21"/>
                <w:highlight w:val="none"/>
              </w:rPr>
              <w:t>截止日</w:t>
            </w:r>
            <w:r>
              <w:rPr>
                <w:rFonts w:hint="eastAsia" w:ascii="宋体" w:hAnsi="宋体"/>
                <w:color w:val="auto"/>
                <w:szCs w:val="21"/>
                <w:highlight w:val="none"/>
              </w:rPr>
              <w:t>竞标</w:t>
            </w:r>
            <w:r>
              <w:rPr>
                <w:rFonts w:ascii="宋体" w:hAnsi="宋体"/>
                <w:color w:val="auto"/>
                <w:szCs w:val="21"/>
                <w:highlight w:val="none"/>
              </w:rPr>
              <w:t>资格情况</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9933323">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4BBB9B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52CBCAE0">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6F32D53B">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tcPr>
          <w:p w14:paraId="0C2B1AD1">
            <w:pPr>
              <w:spacing w:line="400" w:lineRule="exact"/>
              <w:jc w:val="left"/>
              <w:rPr>
                <w:rFonts w:ascii="宋体" w:hAnsi="宋体"/>
                <w:color w:val="auto"/>
                <w:szCs w:val="21"/>
                <w:highlight w:val="none"/>
              </w:rPr>
            </w:pPr>
            <w:r>
              <w:rPr>
                <w:rFonts w:ascii="宋体" w:hAnsi="宋体"/>
                <w:color w:val="auto"/>
                <w:kern w:val="0"/>
                <w:highlight w:val="none"/>
              </w:rPr>
              <w:t>项目</w:t>
            </w:r>
            <w:r>
              <w:rPr>
                <w:rFonts w:hint="eastAsia" w:ascii="宋体" w:hAnsi="宋体"/>
                <w:color w:val="auto"/>
                <w:kern w:val="0"/>
                <w:highlight w:val="none"/>
              </w:rPr>
              <w:t>负责人的</w:t>
            </w:r>
            <w:r>
              <w:rPr>
                <w:rFonts w:ascii="宋体" w:hAnsi="宋体"/>
                <w:color w:val="auto"/>
                <w:kern w:val="0"/>
                <w:highlight w:val="none"/>
              </w:rPr>
              <w:t>资格</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CB08A6E">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符合第二章“竞标人须知”第1.4.1项规定</w:t>
            </w:r>
          </w:p>
        </w:tc>
      </w:tr>
      <w:tr w14:paraId="731FBE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773F67F8">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04099B73">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top"/>
          </w:tcPr>
          <w:p w14:paraId="712B044A">
            <w:pPr>
              <w:spacing w:line="400" w:lineRule="exact"/>
              <w:jc w:val="left"/>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其他要求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EB021CE">
            <w:pPr>
              <w:spacing w:line="400" w:lineRule="exact"/>
              <w:ind w:firstLine="420" w:firstLineChars="200"/>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7E3C3C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6BE8F4BA">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63017396">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9BC309C">
            <w:pPr>
              <w:spacing w:line="400" w:lineRule="exact"/>
              <w:jc w:val="left"/>
              <w:rPr>
                <w:rFonts w:ascii="宋体" w:hAnsi="宋体" w:cs="宋体"/>
                <w:color w:val="auto"/>
                <w:kern w:val="0"/>
                <w:highlight w:val="none"/>
              </w:rPr>
            </w:pPr>
            <w:r>
              <w:rPr>
                <w:rFonts w:ascii="宋体" w:hAnsi="宋体"/>
                <w:color w:val="auto"/>
                <w:kern w:val="0"/>
                <w:highlight w:val="none"/>
              </w:rPr>
              <w:t>竞标人名称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3A1B8D2">
            <w:pPr>
              <w:spacing w:line="400" w:lineRule="exact"/>
              <w:ind w:firstLine="420" w:firstLineChars="200"/>
              <w:rPr>
                <w:rFonts w:ascii="宋体" w:hAnsi="宋体" w:cs="宋体"/>
                <w:color w:val="auto"/>
                <w:kern w:val="0"/>
                <w:highlight w:val="none"/>
              </w:rPr>
            </w:pPr>
            <w:r>
              <w:rPr>
                <w:rFonts w:ascii="宋体" w:hAnsi="宋体"/>
                <w:color w:val="auto"/>
                <w:kern w:val="0"/>
                <w:highlight w:val="none"/>
              </w:rPr>
              <w:t>与营业执照、资质证书</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如有</w:t>
            </w:r>
            <w:r>
              <w:rPr>
                <w:rFonts w:hint="eastAsia" w:ascii="宋体" w:hAnsi="宋体"/>
                <w:color w:val="auto"/>
                <w:kern w:val="0"/>
                <w:highlight w:val="none"/>
                <w:lang w:eastAsia="zh-CN"/>
              </w:rPr>
              <w:t>）</w:t>
            </w:r>
            <w:r>
              <w:rPr>
                <w:rFonts w:ascii="宋体" w:hAnsi="宋体"/>
                <w:color w:val="auto"/>
                <w:kern w:val="0"/>
                <w:highlight w:val="none"/>
              </w:rPr>
              <w:t>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7FB17C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67EC25D8">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6974BEE3">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ECBE820">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竞标文件格式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F94EF6A">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符合第二章“竞标人须知”第3.7款的要求。</w:t>
            </w:r>
          </w:p>
        </w:tc>
      </w:tr>
      <w:tr w14:paraId="0889BD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17B9465B">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406FFC46">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232DCD51">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竞标文件份数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F2A65A2">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符合第二章“竞标人须知”第3.7.4项规定。</w:t>
            </w:r>
          </w:p>
        </w:tc>
      </w:tr>
      <w:tr w14:paraId="62F20B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4CA9166A">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50E4D6A7">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20BB827D">
            <w:pPr>
              <w:spacing w:line="400" w:lineRule="exact"/>
              <w:jc w:val="left"/>
              <w:rPr>
                <w:rFonts w:hint="eastAsia" w:ascii="宋体" w:hAnsi="宋体" w:cs="宋体"/>
                <w:color w:val="auto"/>
                <w:kern w:val="0"/>
                <w:highlight w:val="none"/>
              </w:rPr>
            </w:pPr>
            <w:r>
              <w:rPr>
                <w:rFonts w:ascii="宋体" w:hAnsi="宋体"/>
                <w:color w:val="auto"/>
                <w:kern w:val="0"/>
                <w:highlight w:val="none"/>
              </w:rPr>
              <w:t>报价唯一</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6184E2B">
            <w:pPr>
              <w:spacing w:line="400" w:lineRule="exact"/>
              <w:ind w:firstLine="420" w:firstLineChars="200"/>
              <w:rPr>
                <w:rFonts w:hint="eastAsia" w:ascii="宋体" w:hAnsi="宋体" w:cs="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lang w:val="en-US" w:eastAsia="zh-CN"/>
              </w:rPr>
              <w:t>比选</w:t>
            </w:r>
            <w:r>
              <w:rPr>
                <w:rFonts w:ascii="宋体" w:hAnsi="宋体"/>
                <w:color w:val="auto"/>
                <w:kern w:val="0"/>
                <w:highlight w:val="none"/>
              </w:rPr>
              <w:t>文件没有规定的情况下，不得提交选择性报价。</w:t>
            </w:r>
          </w:p>
        </w:tc>
      </w:tr>
      <w:tr w14:paraId="2C6532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1738E224">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3C451DEA">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299744C">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竞标文件的签署</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B02BD24">
            <w:pPr>
              <w:numPr>
                <w:ilvl w:val="0"/>
                <w:numId w:val="3"/>
              </w:numPr>
              <w:autoSpaceDE w:val="0"/>
              <w:autoSpaceDN w:val="0"/>
              <w:adjustRightInd w:val="0"/>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竞标文件格式要求法定代表人或其委托代理人签名（或盖章）的须齐全。</w:t>
            </w:r>
          </w:p>
          <w:p w14:paraId="140F5CBB">
            <w:pPr>
              <w:numPr>
                <w:ilvl w:val="0"/>
                <w:numId w:val="0"/>
              </w:numPr>
              <w:autoSpaceDE w:val="0"/>
              <w:autoSpaceDN w:val="0"/>
              <w:adjustRightInd w:val="0"/>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snapToGrid w:val="0"/>
                <w:color w:val="auto"/>
                <w:kern w:val="0"/>
                <w:szCs w:val="21"/>
                <w:highlight w:val="none"/>
              </w:rPr>
              <w:t>若投标单位为联合体，则联合体协议书各联合体成员单位签名（或盖章）须齐全，联合体协议书以外的</w:t>
            </w:r>
            <w:r>
              <w:rPr>
                <w:rFonts w:hint="eastAsia" w:ascii="宋体" w:hAnsi="宋体"/>
                <w:color w:val="auto"/>
                <w:kern w:val="0"/>
                <w:highlight w:val="none"/>
                <w:lang w:val="en-US" w:eastAsia="zh-CN"/>
              </w:rPr>
              <w:t>竞标</w:t>
            </w:r>
            <w:r>
              <w:rPr>
                <w:rFonts w:ascii="宋体" w:hAnsi="宋体"/>
                <w:color w:val="auto"/>
                <w:kern w:val="0"/>
                <w:highlight w:val="none"/>
              </w:rPr>
              <w:t>文件</w:t>
            </w:r>
            <w:r>
              <w:rPr>
                <w:rFonts w:hint="eastAsia" w:ascii="宋体" w:hAnsi="宋体"/>
                <w:color w:val="auto"/>
                <w:kern w:val="0"/>
                <w:highlight w:val="none"/>
              </w:rPr>
              <w:t>格式中，要求</w:t>
            </w:r>
            <w:r>
              <w:rPr>
                <w:rFonts w:hint="eastAsia" w:ascii="宋体" w:hAnsi="宋体"/>
                <w:snapToGrid w:val="0"/>
                <w:color w:val="auto"/>
                <w:kern w:val="0"/>
                <w:szCs w:val="21"/>
                <w:highlight w:val="none"/>
              </w:rPr>
              <w:t>联合体牵头人</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r>
              <w:rPr>
                <w:rFonts w:hint="eastAsia" w:ascii="宋体" w:hAnsi="宋体"/>
                <w:color w:val="auto"/>
                <w:kern w:val="0"/>
                <w:highlight w:val="none"/>
                <w:lang w:eastAsia="zh-CN"/>
              </w:rPr>
              <w:t>。</w:t>
            </w:r>
          </w:p>
        </w:tc>
      </w:tr>
      <w:tr w14:paraId="1B24B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4152E80E">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249D3E13">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F632257">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929295D">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竞标人法定代表人的委托代理人有法定代表人签署的授权委托书和竞标人为其缴纳的养老保险。</w:t>
            </w:r>
          </w:p>
        </w:tc>
      </w:tr>
      <w:tr w14:paraId="4D477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69EA1AAF">
            <w:pPr>
              <w:spacing w:line="400" w:lineRule="exact"/>
              <w:jc w:val="center"/>
              <w:rPr>
                <w:rFonts w:ascii="宋体" w:hAnsi="宋体"/>
                <w:color w:val="auto"/>
                <w:highlight w:val="none"/>
              </w:rPr>
            </w:pPr>
            <w:r>
              <w:rPr>
                <w:rFonts w:ascii="宋体" w:hAnsi="宋体"/>
                <w:color w:val="auto"/>
                <w:kern w:val="0"/>
                <w:highlight w:val="none"/>
              </w:rPr>
              <w:t>2.1.3</w:t>
            </w:r>
          </w:p>
        </w:tc>
        <w:tc>
          <w:tcPr>
            <w:tcW w:w="626"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50E887C">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2996DFE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竞标总报价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C17849F">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竞标总报价不得高于比选人公布的竞标总报价最高限价。</w:t>
            </w:r>
          </w:p>
        </w:tc>
      </w:tr>
      <w:tr w14:paraId="4B7EA9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ADF5E5E">
            <w:pPr>
              <w:spacing w:line="400" w:lineRule="exact"/>
              <w:jc w:val="center"/>
              <w:rPr>
                <w:rFonts w:ascii="宋体" w:hAnsi="宋体"/>
                <w:color w:val="auto"/>
                <w:kern w:val="0"/>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extDirection w:val="tbRlV"/>
            <w:vAlign w:val="center"/>
          </w:tcPr>
          <w:p w14:paraId="7634074C">
            <w:pPr>
              <w:spacing w:line="400" w:lineRule="exact"/>
              <w:jc w:val="center"/>
              <w:rPr>
                <w:rFonts w:ascii="宋体" w:hAnsi="宋体"/>
                <w:color w:val="auto"/>
                <w:kern w:val="0"/>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508F5E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竞标内容</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3CF871A">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符合第二章“竞标人须知”第1.3.1项规定</w:t>
            </w:r>
          </w:p>
        </w:tc>
      </w:tr>
      <w:tr w14:paraId="4E58A0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553AFCB5">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52FD82F8">
            <w:pPr>
              <w:spacing w:line="400" w:lineRule="exact"/>
              <w:jc w:val="center"/>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2964E6A">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B4B2F0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符合第二章“竞标人须知”第1.3.2项规定</w:t>
            </w:r>
          </w:p>
        </w:tc>
      </w:tr>
      <w:tr w14:paraId="0D589E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391115E1">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5F811CFF">
            <w:pPr>
              <w:spacing w:line="400" w:lineRule="exact"/>
              <w:jc w:val="center"/>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77424EA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5D16691">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符合第二章“竞标人须知”第1.3.3项规定</w:t>
            </w:r>
          </w:p>
        </w:tc>
      </w:tr>
      <w:tr w14:paraId="625030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1BB8BB21">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18EF9CDC">
            <w:pPr>
              <w:spacing w:line="400" w:lineRule="exact"/>
              <w:jc w:val="center"/>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B615C6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竞标有效期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1234D10">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符合第二章“竞标人须知”第3.3.1项规定</w:t>
            </w:r>
          </w:p>
        </w:tc>
      </w:tr>
      <w:tr w14:paraId="70FF14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39669E2E">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30CF10B2">
            <w:pPr>
              <w:spacing w:line="400" w:lineRule="exact"/>
              <w:jc w:val="center"/>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2C0492B">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竞标保证金</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5C3BB8D">
            <w:pPr>
              <w:tabs>
                <w:tab w:val="left" w:pos="611"/>
                <w:tab w:val="left" w:pos="669"/>
              </w:tabs>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符合第二章“竞标人须知前附表”第3.4项规定。</w:t>
            </w:r>
          </w:p>
        </w:tc>
      </w:tr>
      <w:tr w14:paraId="00F000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04C6F01B">
            <w:pPr>
              <w:spacing w:line="400" w:lineRule="exact"/>
              <w:jc w:val="center"/>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5EF5F547">
            <w:pPr>
              <w:spacing w:line="400" w:lineRule="exact"/>
              <w:jc w:val="center"/>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CCF8AD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0E697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符合第四章“合同条款及格式”规定，竞标文件不应附有比选人不能接受的条件。（由竞标人承诺，承诺书格式详见第六章竞标文件格式。）</w:t>
            </w:r>
          </w:p>
        </w:tc>
      </w:tr>
      <w:tr w14:paraId="065679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tcPr>
          <w:p w14:paraId="124655D1">
            <w:pPr>
              <w:spacing w:line="400" w:lineRule="exact"/>
              <w:rPr>
                <w:rFonts w:ascii="宋体" w:hAnsi="宋体"/>
                <w:color w:val="auto"/>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tcPr>
          <w:p w14:paraId="2F57001B">
            <w:pPr>
              <w:spacing w:line="400" w:lineRule="exact"/>
              <w:rPr>
                <w:rFonts w:ascii="宋体" w:hAnsi="宋体"/>
                <w:color w:val="auto"/>
                <w:highlight w:val="none"/>
              </w:rPr>
            </w:pP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7ABCE3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5139B64">
            <w:pPr>
              <w:snapToGrid w:val="0"/>
              <w:spacing w:after="31" w:afterLines="10"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符合第二章“竞标人须知”第1.4.3项规定。</w:t>
            </w:r>
          </w:p>
          <w:p w14:paraId="6C3D2756">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本次竞标不得有串通竞标、弄虚作假等其他违反招竞标相关法律、法规行为。</w:t>
            </w:r>
          </w:p>
          <w:p w14:paraId="011B108C">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487823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E818331">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992CEE5">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17E47B">
            <w:pPr>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技术部分</w:t>
            </w:r>
            <w:r>
              <w:rPr>
                <w:rFonts w:hint="eastAsia" w:ascii="宋体" w:hAnsi="宋体"/>
                <w:color w:val="auto"/>
                <w:kern w:val="0"/>
                <w:highlight w:val="none"/>
                <w:u w:val="single"/>
                <w:lang w:val="en-US" w:eastAsia="zh-CN"/>
              </w:rPr>
              <w:t>30</w:t>
            </w:r>
            <w:r>
              <w:rPr>
                <w:rFonts w:ascii="宋体" w:hAnsi="宋体"/>
                <w:color w:val="auto"/>
                <w:kern w:val="0"/>
                <w:highlight w:val="none"/>
              </w:rPr>
              <w:t>分</w:t>
            </w:r>
            <w:r>
              <w:rPr>
                <w:rFonts w:hint="eastAsia" w:ascii="宋体" w:hAnsi="宋体"/>
                <w:color w:val="auto"/>
                <w:kern w:val="0"/>
                <w:highlight w:val="none"/>
              </w:rPr>
              <w:t>；</w:t>
            </w:r>
          </w:p>
          <w:p w14:paraId="4F9CABD0">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lang w:val="en-US" w:eastAsia="zh-CN"/>
              </w:rPr>
              <w:t>2</w:t>
            </w:r>
            <w:r>
              <w:rPr>
                <w:rFonts w:hint="eastAsia" w:ascii="宋体" w:hAnsi="宋体"/>
                <w:color w:val="auto"/>
                <w:kern w:val="0"/>
                <w:highlight w:val="none"/>
              </w:rPr>
              <w:t>.投标报价</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70</w:t>
            </w:r>
            <w:r>
              <w:rPr>
                <w:rFonts w:hint="eastAsia" w:ascii="宋体" w:hAnsi="宋体"/>
                <w:color w:val="auto"/>
                <w:kern w:val="0"/>
                <w:highlight w:val="none"/>
                <w:u w:val="single"/>
              </w:rPr>
              <w:t xml:space="preserve"> </w:t>
            </w:r>
            <w:r>
              <w:rPr>
                <w:rFonts w:hint="eastAsia" w:ascii="宋体" w:hAnsi="宋体"/>
                <w:color w:val="auto"/>
                <w:kern w:val="0"/>
                <w:highlight w:val="none"/>
              </w:rPr>
              <w:t>分。</w:t>
            </w:r>
          </w:p>
        </w:tc>
      </w:tr>
      <w:tr w14:paraId="2F8829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3F6D6A4">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F95360E">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A47A72E">
            <w:pPr>
              <w:snapToGrid w:val="0"/>
              <w:spacing w:line="400" w:lineRule="exact"/>
              <w:ind w:firstLine="420" w:firstLineChars="200"/>
              <w:jc w:val="left"/>
              <w:rPr>
                <w:color w:val="auto"/>
                <w:highlight w:val="none"/>
              </w:rPr>
            </w:pPr>
            <w:r>
              <w:rPr>
                <w:color w:val="auto"/>
                <w:highlight w:val="none"/>
              </w:rPr>
              <w:t>所有通过初步评审</w:t>
            </w:r>
            <w:r>
              <w:rPr>
                <w:rFonts w:hint="eastAsia"/>
                <w:color w:val="auto"/>
                <w:highlight w:val="none"/>
              </w:rPr>
              <w:t>和本章第2.2.</w:t>
            </w:r>
            <w:r>
              <w:rPr>
                <w:color w:val="auto"/>
                <w:highlight w:val="none"/>
              </w:rPr>
              <w:t>4</w:t>
            </w:r>
            <w:r>
              <w:rPr>
                <w:rFonts w:hint="eastAsia"/>
                <w:color w:val="auto"/>
                <w:highlight w:val="none"/>
              </w:rPr>
              <w:t>（</w:t>
            </w:r>
            <w:r>
              <w:rPr>
                <w:color w:val="auto"/>
                <w:highlight w:val="none"/>
              </w:rPr>
              <w:t>3</w:t>
            </w:r>
            <w:r>
              <w:rPr>
                <w:rFonts w:hint="eastAsia"/>
                <w:color w:val="auto"/>
                <w:highlight w:val="none"/>
              </w:rPr>
              <w:t>）目评审</w:t>
            </w:r>
            <w:r>
              <w:rPr>
                <w:color w:val="auto"/>
                <w:highlight w:val="none"/>
              </w:rPr>
              <w:t>合格的竞标人的投标总报价</w:t>
            </w:r>
            <w:r>
              <w:rPr>
                <w:rFonts w:hint="eastAsia"/>
                <w:color w:val="auto"/>
                <w:highlight w:val="none"/>
              </w:rPr>
              <w:t>（或暂定</w:t>
            </w:r>
            <w:r>
              <w:rPr>
                <w:rFonts w:hint="eastAsia"/>
                <w:color w:val="auto"/>
                <w:highlight w:val="none"/>
                <w:lang w:val="en-US" w:eastAsia="zh-CN"/>
              </w:rPr>
              <w:t>咨询</w:t>
            </w:r>
            <w:r>
              <w:rPr>
                <w:rFonts w:hint="eastAsia"/>
                <w:color w:val="auto"/>
                <w:highlight w:val="none"/>
              </w:rPr>
              <w:t>费报价）</w:t>
            </w:r>
            <w:r>
              <w:rPr>
                <w:color w:val="auto"/>
                <w:highlight w:val="none"/>
              </w:rPr>
              <w:t>中去掉六分之一（不能整除的按小数点前整数取整，</w:t>
            </w:r>
            <w:r>
              <w:rPr>
                <w:rFonts w:ascii="宋体" w:hAnsi="宋体"/>
                <w:color w:val="auto"/>
                <w:kern w:val="0"/>
                <w:szCs w:val="21"/>
                <w:highlight w:val="none"/>
              </w:rPr>
              <w:t>不足六家报价则不去掉）的最低价和相同家数的最高价后的算术平均值</w:t>
            </w:r>
            <w:r>
              <w:rPr>
                <w:rFonts w:hint="eastAsia"/>
                <w:color w:val="auto"/>
                <w:highlight w:val="none"/>
              </w:rPr>
              <w:t>，</w:t>
            </w:r>
            <w:r>
              <w:rPr>
                <w:color w:val="auto"/>
                <w:highlight w:val="none"/>
              </w:rPr>
              <w:t>即为本项目投标总报价的评标基准价</w:t>
            </w:r>
            <w:r>
              <w:rPr>
                <w:rFonts w:hint="eastAsia"/>
                <w:color w:val="auto"/>
                <w:highlight w:val="none"/>
              </w:rPr>
              <w:t>。</w:t>
            </w:r>
          </w:p>
          <w:p w14:paraId="39E55F5C">
            <w:pPr>
              <w:snapToGrid w:val="0"/>
              <w:spacing w:line="400" w:lineRule="exact"/>
              <w:ind w:firstLine="420" w:firstLineChars="200"/>
              <w:jc w:val="left"/>
              <w:rPr>
                <w:color w:val="auto"/>
                <w:highlight w:val="none"/>
              </w:rPr>
            </w:pPr>
            <w:r>
              <w:rPr>
                <w:rFonts w:hint="eastAsia"/>
                <w:color w:val="auto"/>
                <w:highlight w:val="none"/>
              </w:rPr>
              <w:t>评标基准价计算的最终</w:t>
            </w:r>
            <w:r>
              <w:rPr>
                <w:color w:val="auto"/>
                <w:highlight w:val="none"/>
              </w:rPr>
              <w:t>结果取小数点后两位，第三位四舍五入。在评标基准价计算完成后（除计算错误外），在后续的评审中不得再对其做出调整。</w:t>
            </w:r>
          </w:p>
        </w:tc>
      </w:tr>
      <w:tr w14:paraId="0837D2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5AC4474">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65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CCAD7C8">
            <w:pPr>
              <w:tabs>
                <w:tab w:val="left" w:pos="1875"/>
              </w:tabs>
              <w:spacing w:line="400" w:lineRule="exact"/>
              <w:jc w:val="center"/>
              <w:rPr>
                <w:color w:val="auto"/>
                <w:highlight w:val="none"/>
              </w:rPr>
            </w:pPr>
            <w:r>
              <w:rPr>
                <w:color w:val="auto"/>
                <w:highlight w:val="none"/>
              </w:rPr>
              <w:t>投标报价的偏差率计算公式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C4CBA0">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100％×（竞标人报价一评标基准价）／评标基准价</w:t>
            </w:r>
          </w:p>
          <w:p w14:paraId="04C4AD45">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2A62FFE9">
        <w:tblPrEx>
          <w:tblCellMar>
            <w:top w:w="0" w:type="dxa"/>
            <w:left w:w="108" w:type="dxa"/>
            <w:bottom w:w="0" w:type="dxa"/>
            <w:right w:w="108" w:type="dxa"/>
          </w:tblCellMar>
        </w:tblPrEx>
        <w:trPr>
          <w:trHeight w:val="271" w:hRule="atLeast"/>
          <w:jc w:val="center"/>
        </w:trPr>
        <w:tc>
          <w:tcPr>
            <w:tcW w:w="792" w:type="dxa"/>
            <w:vMerge w:val="restart"/>
            <w:tcBorders>
              <w:top w:val="single" w:color="auto" w:sz="4" w:space="0"/>
              <w:left w:val="single" w:color="auto" w:sz="4" w:space="0"/>
              <w:right w:val="single" w:color="auto" w:sz="4" w:space="0"/>
            </w:tcBorders>
            <w:shd w:val="clear" w:color="auto" w:fill="FEFEFE"/>
            <w:vAlign w:val="center"/>
          </w:tcPr>
          <w:p w14:paraId="60807B6E">
            <w:pPr>
              <w:spacing w:line="400" w:lineRule="exact"/>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626" w:type="dxa"/>
            <w:vMerge w:val="restart"/>
            <w:tcBorders>
              <w:top w:val="single" w:color="auto" w:sz="4" w:space="0"/>
              <w:left w:val="single" w:color="auto" w:sz="4" w:space="0"/>
              <w:right w:val="single" w:color="auto" w:sz="4" w:space="0"/>
            </w:tcBorders>
            <w:shd w:val="clear" w:color="auto" w:fill="FEFEFE"/>
            <w:vAlign w:val="center"/>
          </w:tcPr>
          <w:p w14:paraId="3C0C0999">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技术部分评分（A）标准</w:t>
            </w:r>
          </w:p>
        </w:tc>
        <w:tc>
          <w:tcPr>
            <w:tcW w:w="1015" w:type="dxa"/>
            <w:vMerge w:val="restart"/>
            <w:tcBorders>
              <w:top w:val="single" w:color="auto" w:sz="4" w:space="0"/>
              <w:left w:val="single" w:color="auto" w:sz="4" w:space="0"/>
              <w:right w:val="single" w:color="auto" w:sz="4" w:space="0"/>
            </w:tcBorders>
            <w:shd w:val="clear" w:color="auto" w:fill="FEFEFE"/>
            <w:vAlign w:val="center"/>
          </w:tcPr>
          <w:p w14:paraId="34D8F5D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025D23D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4A348895">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5C688CA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31E9C3C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70099272">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3A440CBC">
            <w:pPr>
              <w:tabs>
                <w:tab w:val="left" w:pos="1875"/>
              </w:tabs>
              <w:spacing w:line="400" w:lineRule="exact"/>
              <w:jc w:val="center"/>
              <w:rPr>
                <w:rFonts w:ascii="宋体" w:hAnsi="宋体" w:cs="宋体"/>
                <w:color w:val="auto"/>
                <w:kern w:val="0"/>
                <w:szCs w:val="21"/>
                <w:highlight w:val="none"/>
              </w:rPr>
            </w:pPr>
            <w:r>
              <w:rPr>
                <w:rFonts w:hint="eastAsia" w:ascii="宋体" w:hAnsi="宋体"/>
                <w:color w:val="auto"/>
                <w:kern w:val="0"/>
                <w:highlight w:val="none"/>
                <w:lang w:val="en-US" w:eastAsia="zh-CN"/>
              </w:rPr>
              <w:t>技术</w:t>
            </w:r>
            <w:r>
              <w:rPr>
                <w:rFonts w:hint="eastAsia" w:ascii="宋体" w:hAnsi="宋体"/>
                <w:color w:val="auto"/>
                <w:kern w:val="0"/>
                <w:highlight w:val="none"/>
              </w:rPr>
              <w:t>方案总体评审标准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FA962BC">
            <w:pPr>
              <w:spacing w:line="400" w:lineRule="exact"/>
              <w:ind w:firstLine="420" w:firstLineChars="200"/>
              <w:rPr>
                <w:rFonts w:ascii="宋体" w:hAnsi="宋体"/>
                <w:snapToGrid w:val="0"/>
                <w:color w:val="auto"/>
                <w:kern w:val="0"/>
                <w:szCs w:val="21"/>
                <w:highlight w:val="none"/>
              </w:rPr>
            </w:pPr>
            <w:r>
              <w:rPr>
                <w:rFonts w:hint="eastAsia"/>
                <w:color w:val="auto"/>
                <w:highlight w:val="none"/>
              </w:rPr>
              <w:t>评标委员会按照优、良、一般、差四个档次进行评分，</w:t>
            </w:r>
            <w:r>
              <w:rPr>
                <w:rFonts w:hint="eastAsia" w:ascii="宋体" w:hAnsi="宋体" w:cs="宋体"/>
                <w:snapToGrid w:val="0"/>
                <w:color w:val="auto"/>
                <w:kern w:val="0"/>
                <w:szCs w:val="21"/>
                <w:highlight w:val="none"/>
              </w:rPr>
              <w:t>若评委对竞标人</w:t>
            </w:r>
            <w:r>
              <w:rPr>
                <w:rFonts w:hint="eastAsia" w:ascii="宋体" w:hAnsi="宋体"/>
                <w:color w:val="auto"/>
                <w:kern w:val="0"/>
                <w:highlight w:val="none"/>
                <w:lang w:eastAsia="zh-CN"/>
              </w:rPr>
              <w:t xml:space="preserve"> 技术方案</w:t>
            </w:r>
            <w:r>
              <w:rPr>
                <w:rFonts w:hint="eastAsia" w:ascii="宋体" w:hAnsi="宋体" w:cs="宋体"/>
                <w:snapToGrid w:val="0"/>
                <w:color w:val="auto"/>
                <w:kern w:val="0"/>
                <w:szCs w:val="21"/>
                <w:highlight w:val="none"/>
              </w:rPr>
              <w:t>评分低于该部分总分的60%的</w:t>
            </w:r>
            <w:r>
              <w:rPr>
                <w:rFonts w:hint="eastAsia" w:ascii="宋体" w:hAnsi="宋体"/>
                <w:snapToGrid w:val="0"/>
                <w:color w:val="auto"/>
                <w:kern w:val="0"/>
                <w:szCs w:val="21"/>
                <w:highlight w:val="none"/>
              </w:rPr>
              <w:t>或对个别竞标人</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评分畸高（即该评委对</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评分的最高分与次高分差额超过该部分总分的10%）的须注明详实理由，</w:t>
            </w:r>
            <w:r>
              <w:rPr>
                <w:rFonts w:hint="eastAsia" w:ascii="宋体" w:hAnsi="宋体"/>
                <w:color w:val="auto"/>
                <w:kern w:val="0"/>
                <w:szCs w:val="21"/>
                <w:highlight w:val="none"/>
                <w:lang w:eastAsia="zh-CN"/>
              </w:rPr>
              <w:t>技术方案</w:t>
            </w:r>
            <w:r>
              <w:rPr>
                <w:rFonts w:hint="eastAsia" w:ascii="宋体" w:hAnsi="宋体"/>
                <w:snapToGrid w:val="0"/>
                <w:color w:val="auto"/>
                <w:kern w:val="0"/>
                <w:szCs w:val="21"/>
                <w:highlight w:val="none"/>
              </w:rPr>
              <w:t>缺项的该项得0分。</w:t>
            </w:r>
          </w:p>
          <w:p w14:paraId="003DA95B">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取算术平均值为该竞标人</w:t>
            </w:r>
            <w:r>
              <w:rPr>
                <w:rFonts w:hint="eastAsia" w:ascii="宋体" w:hAnsi="宋体"/>
                <w:snapToGrid w:val="0"/>
                <w:color w:val="auto"/>
                <w:kern w:val="0"/>
                <w:szCs w:val="21"/>
                <w:highlight w:val="none"/>
                <w:lang w:eastAsia="zh-CN"/>
              </w:rPr>
              <w:t xml:space="preserve"> 技术方案</w:t>
            </w:r>
            <w:r>
              <w:rPr>
                <w:rFonts w:ascii="宋体" w:hAnsi="宋体"/>
                <w:snapToGrid w:val="0"/>
                <w:color w:val="auto"/>
                <w:kern w:val="0"/>
                <w:szCs w:val="21"/>
                <w:highlight w:val="none"/>
              </w:rPr>
              <w:t>得分。</w:t>
            </w:r>
          </w:p>
          <w:p w14:paraId="5896C07A">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lang w:eastAsia="zh-CN"/>
              </w:rPr>
              <w:t xml:space="preserve"> 技术方案</w:t>
            </w:r>
            <w:r>
              <w:rPr>
                <w:rFonts w:ascii="宋体" w:hAnsi="宋体"/>
                <w:color w:val="auto"/>
                <w:kern w:val="0"/>
                <w:szCs w:val="21"/>
                <w:highlight w:val="none"/>
              </w:rPr>
              <w:t>得分的最终结果取小数点后两位，第三位四舍五入。</w:t>
            </w:r>
          </w:p>
        </w:tc>
      </w:tr>
      <w:tr w14:paraId="13AC92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33004B9D">
            <w:pPr>
              <w:spacing w:line="360" w:lineRule="auto"/>
              <w:ind w:firstLine="420" w:firstLineChars="200"/>
              <w:rPr>
                <w:color w:val="auto"/>
                <w:highlight w:val="none"/>
              </w:rPr>
            </w:pPr>
          </w:p>
        </w:tc>
        <w:tc>
          <w:tcPr>
            <w:tcW w:w="626" w:type="dxa"/>
            <w:vMerge w:val="continue"/>
            <w:tcBorders>
              <w:left w:val="single" w:color="auto" w:sz="4" w:space="0"/>
              <w:bottom w:val="single" w:color="auto" w:sz="4" w:space="0"/>
              <w:right w:val="single" w:color="auto" w:sz="4" w:space="0"/>
            </w:tcBorders>
            <w:shd w:val="clear" w:color="auto" w:fill="FEFEFE"/>
            <w:vAlign w:val="center"/>
          </w:tcPr>
          <w:p w14:paraId="48B96F2A">
            <w:pPr>
              <w:spacing w:line="360" w:lineRule="auto"/>
              <w:ind w:firstLine="420" w:firstLineChars="200"/>
              <w:rPr>
                <w:color w:val="auto"/>
                <w:highlight w:val="none"/>
              </w:rPr>
            </w:pPr>
          </w:p>
        </w:tc>
        <w:tc>
          <w:tcPr>
            <w:tcW w:w="1015" w:type="dxa"/>
            <w:vMerge w:val="continue"/>
            <w:tcBorders>
              <w:left w:val="single" w:color="auto" w:sz="4" w:space="0"/>
              <w:bottom w:val="single" w:color="auto" w:sz="4" w:space="0"/>
              <w:right w:val="single" w:color="auto" w:sz="4" w:space="0"/>
            </w:tcBorders>
            <w:shd w:val="clear" w:color="auto" w:fill="FEFEFE"/>
            <w:vAlign w:val="center"/>
          </w:tcPr>
          <w:p w14:paraId="01463415">
            <w:pPr>
              <w:spacing w:line="360" w:lineRule="auto"/>
              <w:ind w:firstLine="420" w:firstLineChars="200"/>
              <w:rPr>
                <w:color w:val="auto"/>
                <w:highlight w:val="none"/>
              </w:rPr>
            </w:pP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52A076CA">
            <w:pPr>
              <w:snapToGrid w:val="0"/>
              <w:spacing w:line="400" w:lineRule="exact"/>
              <w:jc w:val="center"/>
              <w:rPr>
                <w:rFonts w:hint="eastAsia" w:ascii="宋体" w:hAnsi="宋体"/>
                <w:color w:val="auto"/>
                <w:szCs w:val="21"/>
                <w:highlight w:val="none"/>
              </w:rPr>
            </w:pPr>
            <w:r>
              <w:rPr>
                <w:rFonts w:hint="eastAsia" w:ascii="宋体" w:hAnsi="宋体" w:cs="宋体"/>
                <w:bCs/>
                <w:color w:val="auto"/>
                <w:kern w:val="0"/>
                <w:szCs w:val="21"/>
                <w:highlight w:val="none"/>
              </w:rPr>
              <w:t>项目总体理解（</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DACDEBE">
            <w:pPr>
              <w:widowControl/>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项目总体理解（</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w:t>
            </w:r>
          </w:p>
          <w:p w14:paraId="0BFB67D7">
            <w:pPr>
              <w:widowControl/>
              <w:ind w:firstLine="420" w:firstLineChars="200"/>
              <w:jc w:val="left"/>
              <w:rPr>
                <w:rFonts w:hint="eastAsia"/>
                <w:color w:val="auto"/>
                <w:highlight w:val="none"/>
                <w:lang w:eastAsia="zh-CN"/>
              </w:rPr>
            </w:pPr>
            <w:r>
              <w:rPr>
                <w:rFonts w:hint="eastAsia"/>
                <w:color w:val="auto"/>
                <w:highlight w:val="none"/>
              </w:rPr>
              <w:t>项目建设背景、政策符合性及实施必要性分析：分析全面深入，逻辑清晰准确把握项目核心要点</w:t>
            </w:r>
            <w:r>
              <w:rPr>
                <w:rFonts w:hint="eastAsia"/>
                <w:color w:val="auto"/>
                <w:highlight w:val="none"/>
                <w:lang w:eastAsia="zh-CN"/>
              </w:rPr>
              <w:t>。</w:t>
            </w:r>
          </w:p>
          <w:p w14:paraId="23B97EC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优得</w:t>
            </w:r>
            <w:r>
              <w:rPr>
                <w:rFonts w:hint="eastAsia" w:ascii="宋体" w:hAnsi="宋体"/>
                <w:color w:val="auto"/>
                <w:szCs w:val="21"/>
                <w:highlight w:val="none"/>
                <w:lang w:val="en-US" w:eastAsia="zh-CN"/>
              </w:rPr>
              <w:t>4.5</w:t>
            </w:r>
            <w:r>
              <w:rPr>
                <w:rFonts w:hint="eastAsia" w:ascii="宋体" w:hAnsi="宋体"/>
                <w:color w:val="auto"/>
                <w:szCs w:val="21"/>
                <w:highlight w:val="none"/>
              </w:rPr>
              <w:t>分-</w:t>
            </w:r>
            <w:r>
              <w:rPr>
                <w:rFonts w:hint="eastAsia" w:ascii="宋体" w:hAnsi="宋体"/>
                <w:color w:val="auto"/>
                <w:szCs w:val="21"/>
                <w:highlight w:val="none"/>
                <w:lang w:val="en-US" w:eastAsia="zh-CN"/>
              </w:rPr>
              <w:t>5</w:t>
            </w:r>
            <w:r>
              <w:rPr>
                <w:rFonts w:hint="eastAsia" w:ascii="宋体" w:hAnsi="宋体"/>
                <w:color w:val="auto"/>
                <w:szCs w:val="21"/>
                <w:highlight w:val="none"/>
              </w:rPr>
              <w:t>分，良得</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hint="eastAsia" w:ascii="宋体" w:hAnsi="宋体"/>
                <w:color w:val="auto"/>
                <w:szCs w:val="21"/>
                <w:highlight w:val="none"/>
                <w:lang w:val="en-US" w:eastAsia="zh-CN"/>
              </w:rPr>
              <w:t>4.5</w:t>
            </w:r>
            <w:r>
              <w:rPr>
                <w:rFonts w:hint="eastAsia" w:ascii="宋体" w:hAnsi="宋体"/>
                <w:color w:val="auto"/>
                <w:szCs w:val="21"/>
                <w:highlight w:val="none"/>
              </w:rPr>
              <w:t>分，一般得</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分，差得0分-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5B80C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74FBB3D8">
            <w:pPr>
              <w:spacing w:line="360" w:lineRule="auto"/>
              <w:ind w:firstLine="420" w:firstLineChars="200"/>
              <w:rPr>
                <w:color w:val="auto"/>
                <w:highlight w:val="none"/>
              </w:rPr>
            </w:pPr>
          </w:p>
        </w:tc>
        <w:tc>
          <w:tcPr>
            <w:tcW w:w="626" w:type="dxa"/>
            <w:vMerge w:val="continue"/>
            <w:tcBorders>
              <w:left w:val="single" w:color="auto" w:sz="4" w:space="0"/>
              <w:bottom w:val="single" w:color="auto" w:sz="4" w:space="0"/>
              <w:right w:val="single" w:color="auto" w:sz="4" w:space="0"/>
            </w:tcBorders>
            <w:shd w:val="clear" w:color="auto" w:fill="FEFEFE"/>
            <w:vAlign w:val="center"/>
          </w:tcPr>
          <w:p w14:paraId="17C3F4A5">
            <w:pPr>
              <w:spacing w:line="360" w:lineRule="auto"/>
              <w:ind w:firstLine="420" w:firstLineChars="200"/>
              <w:rPr>
                <w:color w:val="auto"/>
                <w:highlight w:val="none"/>
              </w:rPr>
            </w:pPr>
          </w:p>
        </w:tc>
        <w:tc>
          <w:tcPr>
            <w:tcW w:w="1015" w:type="dxa"/>
            <w:vMerge w:val="continue"/>
            <w:tcBorders>
              <w:left w:val="single" w:color="auto" w:sz="4" w:space="0"/>
              <w:bottom w:val="single" w:color="auto" w:sz="4" w:space="0"/>
              <w:right w:val="single" w:color="auto" w:sz="4" w:space="0"/>
            </w:tcBorders>
            <w:shd w:val="clear" w:color="auto" w:fill="FEFEFE"/>
            <w:vAlign w:val="center"/>
          </w:tcPr>
          <w:p w14:paraId="4218946A">
            <w:pPr>
              <w:spacing w:line="360" w:lineRule="auto"/>
              <w:ind w:firstLine="420" w:firstLineChars="200"/>
              <w:rPr>
                <w:color w:val="auto"/>
                <w:highlight w:val="none"/>
              </w:rPr>
            </w:pP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724E890B">
            <w:pPr>
              <w:snapToGrid w:val="0"/>
              <w:spacing w:line="400" w:lineRule="exact"/>
              <w:jc w:val="center"/>
              <w:rPr>
                <w:rFonts w:hint="eastAsia" w:ascii="宋体" w:hAnsi="宋体"/>
                <w:color w:val="auto"/>
                <w:szCs w:val="21"/>
                <w:highlight w:val="none"/>
              </w:rPr>
            </w:pPr>
            <w:r>
              <w:rPr>
                <w:rFonts w:hint="eastAsia" w:ascii="宋体" w:hAnsi="宋体"/>
                <w:color w:val="auto"/>
                <w:kern w:val="0"/>
                <w:szCs w:val="21"/>
                <w:highlight w:val="none"/>
                <w:lang w:eastAsia="zh-CN"/>
              </w:rPr>
              <w:t>关键技术问题认识及对策措施（</w:t>
            </w:r>
            <w:r>
              <w:rPr>
                <w:rFonts w:hint="eastAsia" w:ascii="宋体" w:hAnsi="宋体"/>
                <w:color w:val="auto"/>
                <w:kern w:val="0"/>
                <w:szCs w:val="21"/>
                <w:highlight w:val="none"/>
                <w:lang w:val="en-US" w:eastAsia="zh-CN"/>
              </w:rPr>
              <w:t>5分</w:t>
            </w:r>
            <w:r>
              <w:rPr>
                <w:rFonts w:hint="eastAsia" w:ascii="宋体" w:hAnsi="宋体"/>
                <w:color w:val="auto"/>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55B4A02">
            <w:pPr>
              <w:widowControl/>
              <w:ind w:firstLine="420" w:firstLineChars="200"/>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关键技术问题认识及对策措施（</w:t>
            </w:r>
            <w:r>
              <w:rPr>
                <w:rFonts w:hint="eastAsia" w:ascii="宋体" w:hAnsi="宋体"/>
                <w:color w:val="auto"/>
                <w:kern w:val="0"/>
                <w:szCs w:val="21"/>
                <w:highlight w:val="none"/>
                <w:lang w:val="en-US" w:eastAsia="zh-CN"/>
              </w:rPr>
              <w:t>7分</w:t>
            </w:r>
            <w:r>
              <w:rPr>
                <w:rFonts w:hint="eastAsia" w:ascii="宋体" w:hAnsi="宋体"/>
                <w:color w:val="auto"/>
                <w:kern w:val="0"/>
                <w:szCs w:val="21"/>
                <w:highlight w:val="none"/>
                <w:lang w:eastAsia="zh-CN"/>
              </w:rPr>
              <w:t>）：</w:t>
            </w:r>
          </w:p>
          <w:p w14:paraId="770B5873">
            <w:pPr>
              <w:widowControl/>
              <w:ind w:firstLine="420" w:firstLineChars="200"/>
              <w:jc w:val="left"/>
              <w:rPr>
                <w:rFonts w:hint="eastAsia"/>
                <w:color w:val="auto"/>
                <w:highlight w:val="none"/>
                <w:lang w:eastAsia="zh-CN"/>
              </w:rPr>
            </w:pPr>
            <w:r>
              <w:rPr>
                <w:rFonts w:hint="eastAsia"/>
                <w:color w:val="auto"/>
                <w:highlight w:val="none"/>
              </w:rPr>
              <w:t>关键技术问题分析透彻：准确识别并深入分析关键技术问题、提出科学合理的对策措施</w:t>
            </w:r>
            <w:r>
              <w:rPr>
                <w:rFonts w:hint="eastAsia"/>
                <w:color w:val="auto"/>
                <w:highlight w:val="none"/>
                <w:lang w:eastAsia="zh-CN"/>
              </w:rPr>
              <w:t>。</w:t>
            </w:r>
          </w:p>
          <w:p w14:paraId="54F76909">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优得</w:t>
            </w:r>
            <w:r>
              <w:rPr>
                <w:rFonts w:hint="eastAsia" w:ascii="宋体" w:hAnsi="宋体"/>
                <w:color w:val="auto"/>
                <w:szCs w:val="21"/>
                <w:highlight w:val="none"/>
                <w:lang w:val="en-US" w:eastAsia="zh-CN"/>
              </w:rPr>
              <w:t>4.5</w:t>
            </w:r>
            <w:r>
              <w:rPr>
                <w:rFonts w:hint="eastAsia" w:ascii="宋体" w:hAnsi="宋体"/>
                <w:color w:val="auto"/>
                <w:szCs w:val="21"/>
                <w:highlight w:val="none"/>
              </w:rPr>
              <w:t>分-</w:t>
            </w:r>
            <w:r>
              <w:rPr>
                <w:rFonts w:hint="eastAsia" w:ascii="宋体" w:hAnsi="宋体"/>
                <w:color w:val="auto"/>
                <w:szCs w:val="21"/>
                <w:highlight w:val="none"/>
                <w:lang w:val="en-US" w:eastAsia="zh-CN"/>
              </w:rPr>
              <w:t>5</w:t>
            </w:r>
            <w:r>
              <w:rPr>
                <w:rFonts w:hint="eastAsia" w:ascii="宋体" w:hAnsi="宋体"/>
                <w:color w:val="auto"/>
                <w:szCs w:val="21"/>
                <w:highlight w:val="none"/>
              </w:rPr>
              <w:t>分，良得</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hint="eastAsia" w:ascii="宋体" w:hAnsi="宋体"/>
                <w:color w:val="auto"/>
                <w:szCs w:val="21"/>
                <w:highlight w:val="none"/>
                <w:lang w:val="en-US" w:eastAsia="zh-CN"/>
              </w:rPr>
              <w:t>4.5</w:t>
            </w:r>
            <w:r>
              <w:rPr>
                <w:rFonts w:hint="eastAsia" w:ascii="宋体" w:hAnsi="宋体"/>
                <w:color w:val="auto"/>
                <w:szCs w:val="21"/>
                <w:highlight w:val="none"/>
              </w:rPr>
              <w:t>分，一般得</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分，差得0分-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4B9060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71B94B47">
            <w:pPr>
              <w:spacing w:line="360" w:lineRule="auto"/>
              <w:ind w:firstLine="420" w:firstLineChars="200"/>
              <w:rPr>
                <w:color w:val="auto"/>
                <w:highlight w:val="none"/>
              </w:rPr>
            </w:pPr>
          </w:p>
        </w:tc>
        <w:tc>
          <w:tcPr>
            <w:tcW w:w="626" w:type="dxa"/>
            <w:vMerge w:val="continue"/>
            <w:tcBorders>
              <w:left w:val="single" w:color="auto" w:sz="4" w:space="0"/>
              <w:bottom w:val="single" w:color="auto" w:sz="4" w:space="0"/>
              <w:right w:val="single" w:color="auto" w:sz="4" w:space="0"/>
            </w:tcBorders>
            <w:shd w:val="clear" w:color="auto" w:fill="FEFEFE"/>
            <w:vAlign w:val="center"/>
          </w:tcPr>
          <w:p w14:paraId="192CD244">
            <w:pPr>
              <w:spacing w:line="360" w:lineRule="auto"/>
              <w:ind w:firstLine="420" w:firstLineChars="200"/>
              <w:rPr>
                <w:color w:val="auto"/>
                <w:highlight w:val="none"/>
              </w:rPr>
            </w:pPr>
          </w:p>
        </w:tc>
        <w:tc>
          <w:tcPr>
            <w:tcW w:w="1015" w:type="dxa"/>
            <w:vMerge w:val="continue"/>
            <w:tcBorders>
              <w:left w:val="single" w:color="auto" w:sz="4" w:space="0"/>
              <w:bottom w:val="single" w:color="auto" w:sz="4" w:space="0"/>
              <w:right w:val="single" w:color="auto" w:sz="4" w:space="0"/>
            </w:tcBorders>
            <w:shd w:val="clear" w:color="auto" w:fill="FEFEFE"/>
            <w:vAlign w:val="center"/>
          </w:tcPr>
          <w:p w14:paraId="6A1818F9">
            <w:pPr>
              <w:spacing w:line="360" w:lineRule="auto"/>
              <w:ind w:firstLine="420" w:firstLineChars="200"/>
              <w:rPr>
                <w:color w:val="auto"/>
                <w:highlight w:val="none"/>
              </w:rPr>
            </w:pP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7A85F3B">
            <w:pPr>
              <w:snapToGrid w:val="0"/>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kern w:val="0"/>
                <w:szCs w:val="21"/>
                <w:highlight w:val="none"/>
              </w:rPr>
              <w:t>服务方案</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0-8分</w:t>
            </w:r>
            <w:r>
              <w:rPr>
                <w:rFonts w:hint="eastAsia" w:ascii="宋体" w:hAnsi="宋体"/>
                <w:color w:val="auto"/>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5CFF8BE">
            <w:pPr>
              <w:widowControl/>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服务方案</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0-13分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14:paraId="42039CB5">
            <w:pPr>
              <w:widowControl/>
              <w:ind w:firstLine="420" w:firstLineChars="200"/>
              <w:jc w:val="left"/>
              <w:rPr>
                <w:rFonts w:hint="eastAsia"/>
                <w:color w:val="auto"/>
                <w:highlight w:val="none"/>
                <w:lang w:eastAsia="zh-CN"/>
              </w:rPr>
            </w:pPr>
            <w:r>
              <w:rPr>
                <w:rFonts w:hint="eastAsia"/>
                <w:color w:val="auto"/>
                <w:highlight w:val="none"/>
              </w:rPr>
              <w:t>内容全面性及报告框架：服务方案内容全面，涵盖项目所需技术服务、报告框架清晰，逻辑性强</w:t>
            </w:r>
            <w:r>
              <w:rPr>
                <w:rFonts w:hint="eastAsia"/>
                <w:color w:val="auto"/>
                <w:highlight w:val="none"/>
                <w:lang w:eastAsia="zh-CN"/>
              </w:rPr>
              <w:t>。</w:t>
            </w:r>
          </w:p>
          <w:p w14:paraId="5A1FE50D">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优得</w:t>
            </w:r>
            <w:r>
              <w:rPr>
                <w:rFonts w:hint="eastAsia" w:ascii="宋体" w:hAnsi="宋体"/>
                <w:color w:val="auto"/>
                <w:szCs w:val="21"/>
                <w:highlight w:val="none"/>
                <w:lang w:val="en-US" w:eastAsia="zh-CN"/>
              </w:rPr>
              <w:t>7.2</w:t>
            </w:r>
            <w:r>
              <w:rPr>
                <w:rFonts w:hint="eastAsia" w:ascii="宋体" w:hAnsi="宋体"/>
                <w:color w:val="auto"/>
                <w:szCs w:val="21"/>
                <w:highlight w:val="none"/>
              </w:rPr>
              <w:t>分-</w:t>
            </w:r>
            <w:r>
              <w:rPr>
                <w:rFonts w:hint="eastAsia" w:ascii="宋体" w:hAnsi="宋体"/>
                <w:color w:val="auto"/>
                <w:szCs w:val="21"/>
                <w:highlight w:val="none"/>
                <w:lang w:val="en-US" w:eastAsia="zh-CN"/>
              </w:rPr>
              <w:t>8</w:t>
            </w:r>
            <w:r>
              <w:rPr>
                <w:rFonts w:hint="eastAsia" w:ascii="宋体" w:hAnsi="宋体"/>
                <w:color w:val="auto"/>
                <w:szCs w:val="21"/>
                <w:highlight w:val="none"/>
              </w:rPr>
              <w:t>分，良得</w:t>
            </w:r>
            <w:r>
              <w:rPr>
                <w:rFonts w:hint="eastAsia" w:ascii="宋体" w:hAnsi="宋体"/>
                <w:color w:val="auto"/>
                <w:szCs w:val="21"/>
                <w:highlight w:val="none"/>
                <w:lang w:val="en-US" w:eastAsia="zh-CN"/>
              </w:rPr>
              <w:t>6.4</w:t>
            </w:r>
            <w:r>
              <w:rPr>
                <w:rFonts w:hint="eastAsia" w:ascii="宋体" w:hAnsi="宋体"/>
                <w:color w:val="auto"/>
                <w:szCs w:val="21"/>
                <w:highlight w:val="none"/>
              </w:rPr>
              <w:t>分-</w:t>
            </w:r>
            <w:r>
              <w:rPr>
                <w:rFonts w:hint="eastAsia" w:ascii="宋体" w:hAnsi="宋体"/>
                <w:color w:val="auto"/>
                <w:szCs w:val="21"/>
                <w:highlight w:val="none"/>
                <w:lang w:val="en-US" w:eastAsia="zh-CN"/>
              </w:rPr>
              <w:t>7.2</w:t>
            </w:r>
            <w:r>
              <w:rPr>
                <w:rFonts w:hint="eastAsia" w:ascii="宋体" w:hAnsi="宋体"/>
                <w:color w:val="auto"/>
                <w:szCs w:val="21"/>
                <w:highlight w:val="none"/>
              </w:rPr>
              <w:t>分，一般得</w:t>
            </w:r>
            <w:r>
              <w:rPr>
                <w:rFonts w:hint="eastAsia" w:ascii="宋体" w:hAnsi="宋体"/>
                <w:color w:val="auto"/>
                <w:szCs w:val="21"/>
                <w:highlight w:val="none"/>
                <w:lang w:val="en-US" w:eastAsia="zh-CN"/>
              </w:rPr>
              <w:t>4.8</w:t>
            </w:r>
            <w:r>
              <w:rPr>
                <w:rFonts w:hint="eastAsia" w:ascii="宋体" w:hAnsi="宋体"/>
                <w:color w:val="auto"/>
                <w:szCs w:val="21"/>
                <w:highlight w:val="none"/>
              </w:rPr>
              <w:t>-</w:t>
            </w:r>
            <w:r>
              <w:rPr>
                <w:rFonts w:hint="eastAsia" w:ascii="宋体" w:hAnsi="宋体"/>
                <w:color w:val="auto"/>
                <w:szCs w:val="21"/>
                <w:highlight w:val="none"/>
                <w:lang w:val="en-US" w:eastAsia="zh-CN"/>
              </w:rPr>
              <w:t>6.4</w:t>
            </w:r>
            <w:r>
              <w:rPr>
                <w:rFonts w:hint="eastAsia" w:ascii="宋体" w:hAnsi="宋体"/>
                <w:color w:val="auto"/>
                <w:szCs w:val="21"/>
                <w:highlight w:val="none"/>
              </w:rPr>
              <w:t>分，差得0分-</w:t>
            </w:r>
            <w:r>
              <w:rPr>
                <w:rFonts w:hint="eastAsia" w:ascii="宋体" w:hAnsi="宋体"/>
                <w:color w:val="auto"/>
                <w:szCs w:val="21"/>
                <w:highlight w:val="none"/>
                <w:lang w:val="en-US" w:eastAsia="zh-CN"/>
              </w:rPr>
              <w:t>4.8</w:t>
            </w:r>
            <w:r>
              <w:rPr>
                <w:rFonts w:hint="eastAsia" w:ascii="宋体" w:hAnsi="宋体"/>
                <w:color w:val="auto"/>
                <w:szCs w:val="21"/>
                <w:highlight w:val="none"/>
              </w:rPr>
              <w:t>分。</w:t>
            </w:r>
          </w:p>
        </w:tc>
      </w:tr>
      <w:tr w14:paraId="7E6999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44E6D7A2">
            <w:pPr>
              <w:spacing w:line="360" w:lineRule="auto"/>
              <w:ind w:firstLine="420" w:firstLineChars="200"/>
              <w:rPr>
                <w:color w:val="auto"/>
                <w:highlight w:val="none"/>
              </w:rPr>
            </w:pPr>
          </w:p>
        </w:tc>
        <w:tc>
          <w:tcPr>
            <w:tcW w:w="626" w:type="dxa"/>
            <w:vMerge w:val="continue"/>
            <w:tcBorders>
              <w:left w:val="single" w:color="auto" w:sz="4" w:space="0"/>
              <w:bottom w:val="single" w:color="auto" w:sz="4" w:space="0"/>
              <w:right w:val="single" w:color="auto" w:sz="4" w:space="0"/>
            </w:tcBorders>
            <w:shd w:val="clear" w:color="auto" w:fill="FEFEFE"/>
            <w:vAlign w:val="center"/>
          </w:tcPr>
          <w:p w14:paraId="2D6181D4">
            <w:pPr>
              <w:spacing w:line="360" w:lineRule="auto"/>
              <w:ind w:firstLine="420" w:firstLineChars="200"/>
              <w:rPr>
                <w:color w:val="auto"/>
                <w:highlight w:val="none"/>
              </w:rPr>
            </w:pPr>
          </w:p>
        </w:tc>
        <w:tc>
          <w:tcPr>
            <w:tcW w:w="1015" w:type="dxa"/>
            <w:vMerge w:val="continue"/>
            <w:tcBorders>
              <w:left w:val="single" w:color="auto" w:sz="4" w:space="0"/>
              <w:bottom w:val="single" w:color="auto" w:sz="4" w:space="0"/>
              <w:right w:val="single" w:color="auto" w:sz="4" w:space="0"/>
            </w:tcBorders>
            <w:shd w:val="clear" w:color="auto" w:fill="FEFEFE"/>
            <w:vAlign w:val="center"/>
          </w:tcPr>
          <w:p w14:paraId="10BE79E9">
            <w:pPr>
              <w:spacing w:line="360" w:lineRule="auto"/>
              <w:ind w:firstLine="420" w:firstLineChars="200"/>
              <w:rPr>
                <w:color w:val="auto"/>
                <w:highlight w:val="none"/>
              </w:rPr>
            </w:pP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5F8B5015">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kern w:val="0"/>
                <w:szCs w:val="21"/>
                <w:highlight w:val="none"/>
                <w:lang w:eastAsia="zh-CN"/>
              </w:rPr>
              <w:t>研究工作量及计划安排（</w:t>
            </w:r>
            <w:r>
              <w:rPr>
                <w:rFonts w:hint="eastAsia" w:ascii="宋体" w:hAnsi="宋体"/>
                <w:color w:val="auto"/>
                <w:kern w:val="0"/>
                <w:szCs w:val="21"/>
                <w:highlight w:val="none"/>
                <w:lang w:val="en-US" w:eastAsia="zh-CN"/>
              </w:rPr>
              <w:t>0-4分</w:t>
            </w:r>
            <w:r>
              <w:rPr>
                <w:rFonts w:hint="eastAsia" w:ascii="宋体" w:hAnsi="宋体"/>
                <w:color w:val="auto"/>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062C86D">
            <w:pPr>
              <w:widowControl/>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研究工作量及计划安排（</w:t>
            </w:r>
            <w:r>
              <w:rPr>
                <w:rFonts w:hint="eastAsia" w:ascii="宋体" w:hAnsi="宋体"/>
                <w:color w:val="auto"/>
                <w:kern w:val="0"/>
                <w:szCs w:val="21"/>
                <w:highlight w:val="none"/>
                <w:lang w:val="en-US" w:eastAsia="zh-CN"/>
              </w:rPr>
              <w:t>0-5分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14:paraId="4C11F55C">
            <w:pPr>
              <w:widowControl/>
              <w:ind w:firstLine="420" w:firstLineChars="200"/>
              <w:jc w:val="left"/>
              <w:rPr>
                <w:rFonts w:hint="eastAsia"/>
                <w:color w:val="auto"/>
                <w:highlight w:val="none"/>
                <w:lang w:eastAsia="zh-CN"/>
              </w:rPr>
            </w:pPr>
            <w:r>
              <w:rPr>
                <w:rFonts w:hint="eastAsia"/>
                <w:color w:val="auto"/>
                <w:highlight w:val="none"/>
              </w:rPr>
              <w:t>研究工作量估算及计划安排：准确估算研究工作量，制定详细计划安排，工作进度安排合理，确保项目按时完成</w:t>
            </w:r>
            <w:r>
              <w:rPr>
                <w:rFonts w:hint="eastAsia"/>
                <w:color w:val="auto"/>
                <w:highlight w:val="none"/>
                <w:lang w:eastAsia="zh-CN"/>
              </w:rPr>
              <w:t>。</w:t>
            </w:r>
          </w:p>
          <w:p w14:paraId="770C9D77">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优得</w:t>
            </w:r>
            <w:r>
              <w:rPr>
                <w:rFonts w:hint="eastAsia" w:ascii="宋体" w:hAnsi="宋体"/>
                <w:color w:val="auto"/>
                <w:szCs w:val="21"/>
                <w:highlight w:val="none"/>
                <w:lang w:val="en-US" w:eastAsia="zh-CN"/>
              </w:rPr>
              <w:t>3.6</w:t>
            </w:r>
            <w:r>
              <w:rPr>
                <w:rFonts w:hint="eastAsia" w:ascii="宋体" w:hAnsi="宋体"/>
                <w:color w:val="auto"/>
                <w:szCs w:val="21"/>
                <w:highlight w:val="none"/>
              </w:rPr>
              <w:t>分-</w:t>
            </w:r>
            <w:r>
              <w:rPr>
                <w:rFonts w:hint="eastAsia" w:ascii="宋体" w:hAnsi="宋体"/>
                <w:color w:val="auto"/>
                <w:szCs w:val="21"/>
                <w:highlight w:val="none"/>
                <w:lang w:val="en-US" w:eastAsia="zh-CN"/>
              </w:rPr>
              <w:t>4</w:t>
            </w:r>
            <w:r>
              <w:rPr>
                <w:rFonts w:hint="eastAsia" w:ascii="宋体" w:hAnsi="宋体"/>
                <w:color w:val="auto"/>
                <w:szCs w:val="21"/>
                <w:highlight w:val="none"/>
              </w:rPr>
              <w:t>分，良得</w:t>
            </w:r>
            <w:r>
              <w:rPr>
                <w:rFonts w:hint="eastAsia" w:ascii="宋体" w:hAnsi="宋体"/>
                <w:color w:val="auto"/>
                <w:szCs w:val="21"/>
                <w:highlight w:val="none"/>
                <w:lang w:val="en-US" w:eastAsia="zh-CN"/>
              </w:rPr>
              <w:t>3.2</w:t>
            </w:r>
            <w:r>
              <w:rPr>
                <w:rFonts w:hint="eastAsia" w:ascii="宋体" w:hAnsi="宋体"/>
                <w:color w:val="auto"/>
                <w:szCs w:val="21"/>
                <w:highlight w:val="none"/>
              </w:rPr>
              <w:t>分-</w:t>
            </w:r>
            <w:r>
              <w:rPr>
                <w:rFonts w:hint="eastAsia" w:ascii="宋体" w:hAnsi="宋体"/>
                <w:color w:val="auto"/>
                <w:szCs w:val="21"/>
                <w:highlight w:val="none"/>
                <w:lang w:val="en-US" w:eastAsia="zh-CN"/>
              </w:rPr>
              <w:t>3.6</w:t>
            </w:r>
            <w:r>
              <w:rPr>
                <w:rFonts w:hint="eastAsia" w:ascii="宋体" w:hAnsi="宋体"/>
                <w:color w:val="auto"/>
                <w:szCs w:val="21"/>
                <w:highlight w:val="none"/>
              </w:rPr>
              <w:t>分，一般得</w:t>
            </w:r>
            <w:r>
              <w:rPr>
                <w:rFonts w:hint="eastAsia" w:ascii="宋体" w:hAnsi="宋体"/>
                <w:color w:val="auto"/>
                <w:szCs w:val="21"/>
                <w:highlight w:val="none"/>
                <w:lang w:val="en-US" w:eastAsia="zh-CN"/>
              </w:rPr>
              <w:t>2.4</w:t>
            </w:r>
            <w:r>
              <w:rPr>
                <w:rFonts w:hint="eastAsia" w:ascii="宋体" w:hAnsi="宋体"/>
                <w:color w:val="auto"/>
                <w:szCs w:val="21"/>
                <w:highlight w:val="none"/>
              </w:rPr>
              <w:t>-</w:t>
            </w:r>
            <w:r>
              <w:rPr>
                <w:rFonts w:hint="eastAsia" w:ascii="宋体" w:hAnsi="宋体"/>
                <w:color w:val="auto"/>
                <w:szCs w:val="21"/>
                <w:highlight w:val="none"/>
                <w:lang w:val="en-US" w:eastAsia="zh-CN"/>
              </w:rPr>
              <w:t>3.2</w:t>
            </w:r>
            <w:r>
              <w:rPr>
                <w:rFonts w:hint="eastAsia" w:ascii="宋体" w:hAnsi="宋体"/>
                <w:color w:val="auto"/>
                <w:szCs w:val="21"/>
                <w:highlight w:val="none"/>
              </w:rPr>
              <w:t>分，差得0分-</w:t>
            </w:r>
            <w:r>
              <w:rPr>
                <w:rFonts w:hint="eastAsia" w:ascii="宋体" w:hAnsi="宋体"/>
                <w:color w:val="auto"/>
                <w:szCs w:val="21"/>
                <w:highlight w:val="none"/>
                <w:lang w:val="en-US" w:eastAsia="zh-CN"/>
              </w:rPr>
              <w:t>2.4</w:t>
            </w:r>
            <w:r>
              <w:rPr>
                <w:rFonts w:hint="eastAsia" w:ascii="宋体" w:hAnsi="宋体"/>
                <w:color w:val="auto"/>
                <w:szCs w:val="21"/>
                <w:highlight w:val="none"/>
              </w:rPr>
              <w:t>分。</w:t>
            </w:r>
          </w:p>
        </w:tc>
      </w:tr>
      <w:tr w14:paraId="070C7A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43989C5">
            <w:pPr>
              <w:spacing w:line="400" w:lineRule="exact"/>
              <w:ind w:firstLine="210" w:firstLineChars="100"/>
              <w:jc w:val="center"/>
              <w:rPr>
                <w:rFonts w:ascii="宋体" w:hAnsi="宋体"/>
                <w:color w:val="auto"/>
                <w:kern w:val="0"/>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80E287A">
            <w:pPr>
              <w:spacing w:line="400" w:lineRule="exact"/>
              <w:ind w:firstLine="210" w:firstLineChars="100"/>
              <w:jc w:val="center"/>
              <w:rPr>
                <w:rFonts w:ascii="宋体" w:hAnsi="宋体"/>
                <w:color w:val="auto"/>
                <w:kern w:val="0"/>
                <w:highlight w:val="none"/>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F9ADD6D">
            <w:pPr>
              <w:tabs>
                <w:tab w:val="left" w:pos="1875"/>
              </w:tabs>
              <w:spacing w:line="400" w:lineRule="exact"/>
              <w:jc w:val="left"/>
              <w:rPr>
                <w:rFonts w:ascii="宋体" w:hAnsi="宋体"/>
                <w:color w:val="auto"/>
                <w:kern w:val="0"/>
                <w:highlight w:val="none"/>
              </w:rPr>
            </w:pP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81F6328">
            <w:pPr>
              <w:snapToGrid w:val="0"/>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kern w:val="0"/>
                <w:szCs w:val="21"/>
                <w:highlight w:val="none"/>
                <w:lang w:eastAsia="zh-CN"/>
              </w:rPr>
              <w:t>质量控制方法及措施（</w:t>
            </w:r>
            <w:r>
              <w:rPr>
                <w:rFonts w:hint="eastAsia" w:ascii="宋体" w:hAnsi="宋体"/>
                <w:color w:val="auto"/>
                <w:kern w:val="0"/>
                <w:szCs w:val="21"/>
                <w:highlight w:val="none"/>
                <w:lang w:val="en-US" w:eastAsia="zh-CN"/>
              </w:rPr>
              <w:t>4分</w:t>
            </w:r>
            <w:r>
              <w:rPr>
                <w:rFonts w:hint="eastAsia" w:ascii="宋体" w:hAnsi="宋体"/>
                <w:color w:val="auto"/>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8DE489C">
            <w:pPr>
              <w:widowControl/>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质量控制方法及措施（</w:t>
            </w:r>
            <w:r>
              <w:rPr>
                <w:rFonts w:hint="eastAsia" w:ascii="宋体" w:hAnsi="宋体"/>
                <w:color w:val="auto"/>
                <w:kern w:val="0"/>
                <w:szCs w:val="21"/>
                <w:highlight w:val="none"/>
                <w:lang w:val="en-US" w:eastAsia="zh-CN"/>
              </w:rPr>
              <w:t>4分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14:paraId="07474B9D">
            <w:pPr>
              <w:widowControl/>
              <w:numPr>
                <w:ilvl w:val="0"/>
                <w:numId w:val="0"/>
              </w:numPr>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质量管理体系及质量控制方法：建立完整的质量管理体系</w:t>
            </w:r>
            <w:r>
              <w:rPr>
                <w:rFonts w:hint="eastAsia" w:ascii="宋体" w:hAnsi="宋体"/>
                <w:color w:val="auto"/>
                <w:kern w:val="0"/>
                <w:szCs w:val="21"/>
                <w:highlight w:val="none"/>
                <w:lang w:eastAsia="zh-CN"/>
              </w:rPr>
              <w:t>，设计科学合理的质量控制方法和措施。</w:t>
            </w:r>
          </w:p>
          <w:p w14:paraId="067FD211">
            <w:pPr>
              <w:widowControl/>
              <w:numPr>
                <w:ilvl w:val="0"/>
                <w:numId w:val="0"/>
              </w:numPr>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优得</w:t>
            </w:r>
            <w:r>
              <w:rPr>
                <w:rFonts w:hint="eastAsia" w:ascii="宋体" w:hAnsi="宋体"/>
                <w:color w:val="auto"/>
                <w:szCs w:val="21"/>
                <w:highlight w:val="none"/>
                <w:lang w:val="en-US" w:eastAsia="zh-CN"/>
              </w:rPr>
              <w:t>3.6</w:t>
            </w:r>
            <w:r>
              <w:rPr>
                <w:rFonts w:hint="eastAsia" w:ascii="宋体" w:hAnsi="宋体"/>
                <w:color w:val="auto"/>
                <w:szCs w:val="21"/>
                <w:highlight w:val="none"/>
              </w:rPr>
              <w:t>分-</w:t>
            </w:r>
            <w:r>
              <w:rPr>
                <w:rFonts w:hint="eastAsia" w:ascii="宋体" w:hAnsi="宋体"/>
                <w:color w:val="auto"/>
                <w:szCs w:val="21"/>
                <w:highlight w:val="none"/>
                <w:lang w:val="en-US" w:eastAsia="zh-CN"/>
              </w:rPr>
              <w:t>4</w:t>
            </w:r>
            <w:r>
              <w:rPr>
                <w:rFonts w:hint="eastAsia" w:ascii="宋体" w:hAnsi="宋体"/>
                <w:color w:val="auto"/>
                <w:szCs w:val="21"/>
                <w:highlight w:val="none"/>
              </w:rPr>
              <w:t>分，良得</w:t>
            </w:r>
            <w:r>
              <w:rPr>
                <w:rFonts w:hint="eastAsia" w:ascii="宋体" w:hAnsi="宋体"/>
                <w:color w:val="auto"/>
                <w:szCs w:val="21"/>
                <w:highlight w:val="none"/>
                <w:lang w:val="en-US" w:eastAsia="zh-CN"/>
              </w:rPr>
              <w:t>3.2</w:t>
            </w:r>
            <w:r>
              <w:rPr>
                <w:rFonts w:hint="eastAsia" w:ascii="宋体" w:hAnsi="宋体"/>
                <w:color w:val="auto"/>
                <w:szCs w:val="21"/>
                <w:highlight w:val="none"/>
              </w:rPr>
              <w:t>分-</w:t>
            </w:r>
            <w:r>
              <w:rPr>
                <w:rFonts w:hint="eastAsia" w:ascii="宋体" w:hAnsi="宋体"/>
                <w:color w:val="auto"/>
                <w:szCs w:val="21"/>
                <w:highlight w:val="none"/>
                <w:lang w:val="en-US" w:eastAsia="zh-CN"/>
              </w:rPr>
              <w:t>3.6</w:t>
            </w:r>
            <w:r>
              <w:rPr>
                <w:rFonts w:hint="eastAsia" w:ascii="宋体" w:hAnsi="宋体"/>
                <w:color w:val="auto"/>
                <w:szCs w:val="21"/>
                <w:highlight w:val="none"/>
              </w:rPr>
              <w:t>分，一般得</w:t>
            </w:r>
            <w:r>
              <w:rPr>
                <w:rFonts w:hint="eastAsia" w:ascii="宋体" w:hAnsi="宋体"/>
                <w:color w:val="auto"/>
                <w:szCs w:val="21"/>
                <w:highlight w:val="none"/>
                <w:lang w:val="en-US" w:eastAsia="zh-CN"/>
              </w:rPr>
              <w:t>2.4</w:t>
            </w:r>
            <w:r>
              <w:rPr>
                <w:rFonts w:hint="eastAsia" w:ascii="宋体" w:hAnsi="宋体"/>
                <w:color w:val="auto"/>
                <w:szCs w:val="21"/>
                <w:highlight w:val="none"/>
              </w:rPr>
              <w:t>-</w:t>
            </w:r>
            <w:r>
              <w:rPr>
                <w:rFonts w:hint="eastAsia" w:ascii="宋体" w:hAnsi="宋体"/>
                <w:color w:val="auto"/>
                <w:szCs w:val="21"/>
                <w:highlight w:val="none"/>
                <w:lang w:val="en-US" w:eastAsia="zh-CN"/>
              </w:rPr>
              <w:t>3.2</w:t>
            </w:r>
            <w:r>
              <w:rPr>
                <w:rFonts w:hint="eastAsia" w:ascii="宋体" w:hAnsi="宋体"/>
                <w:color w:val="auto"/>
                <w:szCs w:val="21"/>
                <w:highlight w:val="none"/>
              </w:rPr>
              <w:t>分，差得0分-</w:t>
            </w:r>
            <w:r>
              <w:rPr>
                <w:rFonts w:hint="eastAsia" w:ascii="宋体" w:hAnsi="宋体"/>
                <w:color w:val="auto"/>
                <w:szCs w:val="21"/>
                <w:highlight w:val="none"/>
                <w:lang w:val="en-US" w:eastAsia="zh-CN"/>
              </w:rPr>
              <w:t>2.4</w:t>
            </w:r>
            <w:r>
              <w:rPr>
                <w:rFonts w:hint="eastAsia" w:ascii="宋体" w:hAnsi="宋体"/>
                <w:color w:val="auto"/>
                <w:szCs w:val="21"/>
                <w:highlight w:val="none"/>
              </w:rPr>
              <w:t>分。</w:t>
            </w:r>
          </w:p>
        </w:tc>
      </w:tr>
      <w:tr w14:paraId="525A61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7D77682">
            <w:pPr>
              <w:spacing w:line="400" w:lineRule="exact"/>
              <w:ind w:firstLine="210" w:firstLineChars="100"/>
              <w:jc w:val="center"/>
              <w:rPr>
                <w:rFonts w:ascii="宋体" w:hAnsi="宋体"/>
                <w:color w:val="auto"/>
                <w:kern w:val="0"/>
                <w:highlight w:val="none"/>
              </w:rPr>
            </w:pPr>
          </w:p>
        </w:tc>
        <w:tc>
          <w:tcPr>
            <w:tcW w:w="626"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E67113A">
            <w:pPr>
              <w:spacing w:line="400" w:lineRule="exact"/>
              <w:ind w:firstLine="210" w:firstLineChars="100"/>
              <w:jc w:val="center"/>
              <w:rPr>
                <w:rFonts w:ascii="宋体" w:hAnsi="宋体"/>
                <w:color w:val="auto"/>
                <w:kern w:val="0"/>
                <w:highlight w:val="none"/>
              </w:rPr>
            </w:pPr>
          </w:p>
        </w:tc>
        <w:tc>
          <w:tcPr>
            <w:tcW w:w="101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30C9C8F">
            <w:pPr>
              <w:tabs>
                <w:tab w:val="left" w:pos="1875"/>
              </w:tabs>
              <w:spacing w:line="400" w:lineRule="exact"/>
              <w:jc w:val="left"/>
              <w:rPr>
                <w:rFonts w:ascii="宋体" w:hAnsi="宋体"/>
                <w:color w:val="auto"/>
                <w:kern w:val="0"/>
                <w:highlight w:val="none"/>
              </w:rPr>
            </w:pP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B3A95C3">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kern w:val="0"/>
                <w:szCs w:val="21"/>
                <w:highlight w:val="none"/>
              </w:rPr>
              <w:t>进度控制方法及措施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4分</w:t>
            </w:r>
            <w:r>
              <w:rPr>
                <w:rFonts w:hint="eastAsia" w:ascii="宋体" w:hAnsi="宋体"/>
                <w:color w:val="auto"/>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F1F6132">
            <w:pPr>
              <w:pStyle w:val="18"/>
              <w:keepNext w:val="0"/>
              <w:keepLines w:val="0"/>
              <w:pageBreakBefore w:val="0"/>
              <w:widowControl/>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进度控制手段及措施：进度控制手段及措施符合项目实际情况</w:t>
            </w:r>
            <w:r>
              <w:rPr>
                <w:rFonts w:hint="eastAsia" w:ascii="宋体" w:hAnsi="宋体"/>
                <w:color w:val="auto"/>
                <w:kern w:val="0"/>
                <w:sz w:val="21"/>
                <w:szCs w:val="21"/>
                <w:highlight w:val="none"/>
                <w:lang w:val="en-US" w:eastAsia="zh-CN"/>
              </w:rPr>
              <w:t>，</w:t>
            </w:r>
            <w:r>
              <w:rPr>
                <w:rFonts w:hint="eastAsia" w:ascii="宋体" w:hAnsi="宋体"/>
                <w:color w:val="auto"/>
                <w:kern w:val="0"/>
                <w:sz w:val="21"/>
                <w:szCs w:val="21"/>
                <w:highlight w:val="none"/>
              </w:rPr>
              <w:t>进度控制点设置科学合理</w:t>
            </w:r>
            <w:r>
              <w:rPr>
                <w:rFonts w:hint="eastAsia" w:ascii="宋体" w:hAnsi="宋体"/>
                <w:color w:val="auto"/>
                <w:kern w:val="0"/>
                <w:sz w:val="21"/>
                <w:szCs w:val="21"/>
                <w:highlight w:val="none"/>
                <w:lang w:eastAsia="zh-CN"/>
              </w:rPr>
              <w:t>。</w:t>
            </w:r>
          </w:p>
          <w:p w14:paraId="4BA0876F">
            <w:pPr>
              <w:numPr>
                <w:ilvl w:val="0"/>
                <w:numId w:val="0"/>
              </w:numPr>
              <w:ind w:firstLine="420" w:firstLineChars="200"/>
              <w:rPr>
                <w:rFonts w:hint="eastAsia"/>
                <w:color w:val="auto"/>
                <w:highlight w:val="none"/>
                <w:lang w:val="en-US" w:eastAsia="zh-CN"/>
              </w:rPr>
            </w:pPr>
            <w:r>
              <w:rPr>
                <w:rFonts w:hint="eastAsia" w:ascii="宋体" w:hAnsi="宋体"/>
                <w:color w:val="auto"/>
                <w:szCs w:val="21"/>
                <w:highlight w:val="none"/>
              </w:rPr>
              <w:t>优得</w:t>
            </w:r>
            <w:r>
              <w:rPr>
                <w:rFonts w:hint="eastAsia" w:ascii="宋体" w:hAnsi="宋体"/>
                <w:color w:val="auto"/>
                <w:szCs w:val="21"/>
                <w:highlight w:val="none"/>
                <w:lang w:val="en-US" w:eastAsia="zh-CN"/>
              </w:rPr>
              <w:t>3.6</w:t>
            </w:r>
            <w:r>
              <w:rPr>
                <w:rFonts w:hint="eastAsia" w:ascii="宋体" w:hAnsi="宋体"/>
                <w:color w:val="auto"/>
                <w:szCs w:val="21"/>
                <w:highlight w:val="none"/>
              </w:rPr>
              <w:t>分-</w:t>
            </w:r>
            <w:r>
              <w:rPr>
                <w:rFonts w:hint="eastAsia" w:ascii="宋体" w:hAnsi="宋体"/>
                <w:color w:val="auto"/>
                <w:szCs w:val="21"/>
                <w:highlight w:val="none"/>
                <w:lang w:val="en-US" w:eastAsia="zh-CN"/>
              </w:rPr>
              <w:t>4</w:t>
            </w:r>
            <w:r>
              <w:rPr>
                <w:rFonts w:hint="eastAsia" w:ascii="宋体" w:hAnsi="宋体"/>
                <w:color w:val="auto"/>
                <w:szCs w:val="21"/>
                <w:highlight w:val="none"/>
              </w:rPr>
              <w:t>分，良得</w:t>
            </w:r>
            <w:r>
              <w:rPr>
                <w:rFonts w:hint="eastAsia" w:ascii="宋体" w:hAnsi="宋体"/>
                <w:color w:val="auto"/>
                <w:szCs w:val="21"/>
                <w:highlight w:val="none"/>
                <w:lang w:val="en-US" w:eastAsia="zh-CN"/>
              </w:rPr>
              <w:t>3.2</w:t>
            </w:r>
            <w:r>
              <w:rPr>
                <w:rFonts w:hint="eastAsia" w:ascii="宋体" w:hAnsi="宋体"/>
                <w:color w:val="auto"/>
                <w:szCs w:val="21"/>
                <w:highlight w:val="none"/>
              </w:rPr>
              <w:t>分-</w:t>
            </w:r>
            <w:r>
              <w:rPr>
                <w:rFonts w:hint="eastAsia" w:ascii="宋体" w:hAnsi="宋体"/>
                <w:color w:val="auto"/>
                <w:szCs w:val="21"/>
                <w:highlight w:val="none"/>
                <w:lang w:val="en-US" w:eastAsia="zh-CN"/>
              </w:rPr>
              <w:t>3.6</w:t>
            </w:r>
            <w:r>
              <w:rPr>
                <w:rFonts w:hint="eastAsia" w:ascii="宋体" w:hAnsi="宋体"/>
                <w:color w:val="auto"/>
                <w:szCs w:val="21"/>
                <w:highlight w:val="none"/>
              </w:rPr>
              <w:t>分，一般得</w:t>
            </w:r>
            <w:r>
              <w:rPr>
                <w:rFonts w:hint="eastAsia" w:ascii="宋体" w:hAnsi="宋体"/>
                <w:color w:val="auto"/>
                <w:szCs w:val="21"/>
                <w:highlight w:val="none"/>
                <w:lang w:val="en-US" w:eastAsia="zh-CN"/>
              </w:rPr>
              <w:t>2.4</w:t>
            </w:r>
            <w:r>
              <w:rPr>
                <w:rFonts w:hint="eastAsia" w:ascii="宋体" w:hAnsi="宋体"/>
                <w:color w:val="auto"/>
                <w:szCs w:val="21"/>
                <w:highlight w:val="none"/>
              </w:rPr>
              <w:t>-</w:t>
            </w:r>
            <w:r>
              <w:rPr>
                <w:rFonts w:hint="eastAsia" w:ascii="宋体" w:hAnsi="宋体"/>
                <w:color w:val="auto"/>
                <w:szCs w:val="21"/>
                <w:highlight w:val="none"/>
                <w:lang w:val="en-US" w:eastAsia="zh-CN"/>
              </w:rPr>
              <w:t>3.2</w:t>
            </w:r>
            <w:r>
              <w:rPr>
                <w:rFonts w:hint="eastAsia" w:ascii="宋体" w:hAnsi="宋体"/>
                <w:color w:val="auto"/>
                <w:szCs w:val="21"/>
                <w:highlight w:val="none"/>
              </w:rPr>
              <w:t>分，差得0分-</w:t>
            </w:r>
            <w:r>
              <w:rPr>
                <w:rFonts w:hint="eastAsia" w:ascii="宋体" w:hAnsi="宋体"/>
                <w:color w:val="auto"/>
                <w:szCs w:val="21"/>
                <w:highlight w:val="none"/>
                <w:lang w:val="en-US" w:eastAsia="zh-CN"/>
              </w:rPr>
              <w:t>2.4</w:t>
            </w:r>
            <w:r>
              <w:rPr>
                <w:rFonts w:hint="eastAsia" w:ascii="宋体" w:hAnsi="宋体"/>
                <w:color w:val="auto"/>
                <w:szCs w:val="21"/>
                <w:highlight w:val="none"/>
              </w:rPr>
              <w:t>分。</w:t>
            </w:r>
          </w:p>
        </w:tc>
      </w:tr>
      <w:tr w14:paraId="34112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2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12543BEF">
            <w:pPr>
              <w:spacing w:line="400" w:lineRule="exact"/>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.2.4（</w:t>
            </w:r>
            <w:r>
              <w:rPr>
                <w:rFonts w:hint="eastAsia" w:ascii="宋体" w:hAnsi="宋体"/>
                <w:color w:val="auto"/>
                <w:highlight w:val="none"/>
              </w:rPr>
              <w:t>3</w:t>
            </w:r>
            <w:r>
              <w:rPr>
                <w:rFonts w:ascii="宋体" w:hAnsi="宋体"/>
                <w:color w:val="auto"/>
                <w:highlight w:val="none"/>
              </w:rPr>
              <w:t>）</w:t>
            </w:r>
          </w:p>
        </w:tc>
        <w:tc>
          <w:tcPr>
            <w:tcW w:w="164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48BF9AB">
            <w:pPr>
              <w:spacing w:line="400" w:lineRule="exact"/>
              <w:jc w:val="center"/>
              <w:rPr>
                <w:color w:val="auto"/>
                <w:highlight w:val="none"/>
              </w:rPr>
            </w:pPr>
            <w:r>
              <w:rPr>
                <w:color w:val="auto"/>
                <w:highlight w:val="none"/>
              </w:rPr>
              <w:t>投标报价</w:t>
            </w:r>
            <w:r>
              <w:rPr>
                <w:rFonts w:hint="eastAsia"/>
                <w:color w:val="auto"/>
                <w:highlight w:val="none"/>
              </w:rPr>
              <w:t>评分（C）标准</w:t>
            </w: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8F5F7A7">
            <w:pPr>
              <w:spacing w:line="400" w:lineRule="exact"/>
              <w:jc w:val="center"/>
              <w:rPr>
                <w:rFonts w:ascii="宋体" w:hAnsi="宋体"/>
                <w:color w:val="auto"/>
                <w:highlight w:val="none"/>
              </w:rPr>
            </w:pPr>
            <w:r>
              <w:rPr>
                <w:rFonts w:ascii="宋体" w:hAnsi="宋体"/>
                <w:color w:val="auto"/>
                <w:highlight w:val="none"/>
              </w:rPr>
              <w:t>投标报价</w:t>
            </w:r>
            <w:r>
              <w:rPr>
                <w:rFonts w:hint="eastAsia" w:ascii="宋体" w:hAnsi="宋体"/>
                <w:color w:val="auto"/>
                <w:highlight w:val="none"/>
              </w:rPr>
              <w:t>（或暂定</w:t>
            </w:r>
            <w:r>
              <w:rPr>
                <w:rFonts w:hint="eastAsia" w:ascii="宋体" w:hAnsi="宋体"/>
                <w:color w:val="auto"/>
                <w:highlight w:val="none"/>
                <w:lang w:val="en-US" w:eastAsia="zh-CN"/>
              </w:rPr>
              <w:t>咨询</w:t>
            </w:r>
            <w:r>
              <w:rPr>
                <w:rFonts w:hint="eastAsia" w:ascii="宋体" w:hAnsi="宋体"/>
                <w:color w:val="auto"/>
                <w:highlight w:val="none"/>
              </w:rPr>
              <w:t>费报价）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F2A960A">
            <w:pPr>
              <w:spacing w:line="400" w:lineRule="exact"/>
              <w:ind w:firstLine="420" w:firstLineChars="200"/>
              <w:rPr>
                <w:color w:val="auto"/>
                <w:highlight w:val="none"/>
              </w:rPr>
            </w:pPr>
            <w:r>
              <w:rPr>
                <w:rFonts w:hint="eastAsia"/>
                <w:color w:val="auto"/>
                <w:highlight w:val="none"/>
              </w:rPr>
              <w:t>所有通过初步评审的竞标人，投标总报价得本附表第2.2.1项规定分值的</w:t>
            </w:r>
            <w:r>
              <w:rPr>
                <w:rFonts w:hint="eastAsia"/>
                <w:color w:val="auto"/>
                <w:highlight w:val="none"/>
              </w:rPr>
              <w:t>满分</w:t>
            </w:r>
            <w:r>
              <w:rPr>
                <w:rFonts w:hint="eastAsia"/>
                <w:color w:val="auto"/>
                <w:highlight w:val="none"/>
                <w:u w:val="single"/>
              </w:rPr>
              <w:t xml:space="preserve">  </w:t>
            </w:r>
            <w:r>
              <w:rPr>
                <w:rFonts w:hint="eastAsia"/>
                <w:color w:val="auto"/>
                <w:highlight w:val="none"/>
                <w:u w:val="single"/>
                <w:lang w:val="en-US" w:eastAsia="zh-CN"/>
              </w:rPr>
              <w:t>70</w:t>
            </w:r>
            <w:r>
              <w:rPr>
                <w:rFonts w:hint="eastAsia"/>
                <w:color w:val="auto"/>
                <w:highlight w:val="none"/>
                <w:u w:val="single"/>
              </w:rPr>
              <w:t xml:space="preserve">  </w:t>
            </w:r>
            <w:r>
              <w:rPr>
                <w:rFonts w:hint="eastAsia"/>
                <w:color w:val="auto"/>
                <w:highlight w:val="none"/>
              </w:rPr>
              <w:t>分。</w:t>
            </w:r>
            <w:r>
              <w:rPr>
                <w:color w:val="auto"/>
                <w:highlight w:val="none"/>
              </w:rPr>
              <w:t>在此基础上，投标总报价与评标基准价相比，每增加1%扣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2</w:t>
            </w:r>
            <w:r>
              <w:rPr>
                <w:color w:val="auto"/>
                <w:highlight w:val="none"/>
                <w:u w:val="single"/>
              </w:rPr>
              <w:t>　</w:t>
            </w:r>
            <w:r>
              <w:rPr>
                <w:color w:val="auto"/>
                <w:highlight w:val="none"/>
              </w:rPr>
              <w:t>分，每减少1%扣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1</w:t>
            </w:r>
            <w:r>
              <w:rPr>
                <w:rFonts w:hint="eastAsia"/>
                <w:color w:val="auto"/>
                <w:highlight w:val="none"/>
                <w:u w:val="single"/>
              </w:rPr>
              <w:t xml:space="preserve"> </w:t>
            </w:r>
            <w:r>
              <w:rPr>
                <w:color w:val="auto"/>
                <w:highlight w:val="none"/>
                <w:u w:val="single"/>
              </w:rPr>
              <w:t>　</w:t>
            </w:r>
            <w:r>
              <w:rPr>
                <w:color w:val="auto"/>
                <w:highlight w:val="none"/>
              </w:rPr>
              <w:t>分，</w:t>
            </w:r>
            <w:r>
              <w:rPr>
                <w:rFonts w:hint="eastAsia"/>
                <w:color w:val="auto"/>
                <w:highlight w:val="none"/>
              </w:rPr>
              <w:t>最多扣</w:t>
            </w:r>
            <w:r>
              <w:rPr>
                <w:rFonts w:hint="eastAsia"/>
                <w:color w:val="auto"/>
                <w:highlight w:val="none"/>
                <w:u w:val="single"/>
              </w:rPr>
              <w:t xml:space="preserve"> </w:t>
            </w:r>
            <w:r>
              <w:rPr>
                <w:rFonts w:hint="eastAsia"/>
                <w:color w:val="auto"/>
                <w:highlight w:val="none"/>
                <w:u w:val="single"/>
                <w:lang w:val="en-US" w:eastAsia="zh-CN"/>
              </w:rPr>
              <w:t xml:space="preserve">3 </w:t>
            </w:r>
            <w:r>
              <w:rPr>
                <w:rFonts w:hint="eastAsia"/>
                <w:color w:val="auto"/>
                <w:highlight w:val="none"/>
              </w:rPr>
              <w:t>分</w:t>
            </w:r>
            <w:r>
              <w:rPr>
                <w:color w:val="auto"/>
                <w:highlight w:val="none"/>
              </w:rPr>
              <w:t>。</w:t>
            </w:r>
          </w:p>
          <w:p w14:paraId="3FCAC557">
            <w:pPr>
              <w:spacing w:line="400" w:lineRule="exact"/>
              <w:ind w:firstLine="420" w:firstLineChars="200"/>
              <w:rPr>
                <w:color w:val="auto"/>
                <w:highlight w:val="none"/>
              </w:rPr>
            </w:pPr>
            <w:r>
              <w:rPr>
                <w:color w:val="auto"/>
                <w:highlight w:val="none"/>
              </w:rPr>
              <w:t>按插入法计算得分。</w:t>
            </w:r>
          </w:p>
          <w:p w14:paraId="61016DED">
            <w:pPr>
              <w:spacing w:line="400" w:lineRule="exact"/>
              <w:ind w:firstLine="420" w:firstLineChars="200"/>
              <w:rPr>
                <w:color w:val="auto"/>
                <w:highlight w:val="none"/>
              </w:rPr>
            </w:pPr>
            <w:r>
              <w:rPr>
                <w:color w:val="auto"/>
                <w:highlight w:val="none"/>
              </w:rPr>
              <w:t>未参与评标基准价计算的投标</w:t>
            </w:r>
            <w:r>
              <w:rPr>
                <w:rFonts w:hint="eastAsia"/>
                <w:color w:val="auto"/>
                <w:highlight w:val="none"/>
              </w:rPr>
              <w:t>总</w:t>
            </w:r>
            <w:r>
              <w:rPr>
                <w:color w:val="auto"/>
                <w:highlight w:val="none"/>
              </w:rPr>
              <w:t>报价，仍应参加计算相应分值。</w:t>
            </w:r>
          </w:p>
          <w:p w14:paraId="0EE2F657">
            <w:pPr>
              <w:spacing w:line="400" w:lineRule="exact"/>
              <w:ind w:firstLine="420" w:firstLineChars="200"/>
              <w:rPr>
                <w:color w:val="auto"/>
                <w:highlight w:val="none"/>
              </w:rPr>
            </w:pPr>
            <w:r>
              <w:rPr>
                <w:rFonts w:hint="eastAsia"/>
                <w:color w:val="auto"/>
                <w:highlight w:val="none"/>
              </w:rPr>
              <w:t>投标总报价得分最终结果</w:t>
            </w:r>
            <w:r>
              <w:rPr>
                <w:color w:val="auto"/>
                <w:highlight w:val="none"/>
              </w:rPr>
              <w:t>取小数点后两位，第三位四舍五入。</w:t>
            </w:r>
          </w:p>
        </w:tc>
      </w:tr>
      <w:tr w14:paraId="5D059B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11345030">
            <w:pPr>
              <w:spacing w:line="400" w:lineRule="exact"/>
              <w:jc w:val="center"/>
              <w:rPr>
                <w:rFonts w:ascii="宋体" w:hAnsi="宋体"/>
                <w:color w:val="auto"/>
                <w:kern w:val="0"/>
                <w:highlight w:val="none"/>
              </w:rPr>
            </w:pPr>
            <w:r>
              <w:rPr>
                <w:rFonts w:ascii="宋体" w:hAnsi="宋体"/>
                <w:color w:val="auto"/>
                <w:highlight w:val="none"/>
              </w:rPr>
              <w:t>3</w:t>
            </w:r>
          </w:p>
        </w:tc>
        <w:tc>
          <w:tcPr>
            <w:tcW w:w="164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EF50CAB">
            <w:pPr>
              <w:spacing w:line="400" w:lineRule="exact"/>
              <w:jc w:val="center"/>
              <w:rPr>
                <w:rFonts w:ascii="宋体" w:hAnsi="宋体"/>
                <w:color w:val="auto"/>
                <w:kern w:val="0"/>
                <w:highlight w:val="none"/>
              </w:rPr>
            </w:pPr>
            <w:r>
              <w:rPr>
                <w:rFonts w:ascii="宋体" w:hAnsi="宋体"/>
                <w:color w:val="auto"/>
                <w:highlight w:val="none"/>
              </w:rPr>
              <w:t>评标程序</w:t>
            </w:r>
          </w:p>
        </w:tc>
        <w:tc>
          <w:tcPr>
            <w:tcW w:w="7037" w:type="dxa"/>
            <w:gridSpan w:val="2"/>
            <w:tcBorders>
              <w:top w:val="single" w:color="auto" w:sz="4" w:space="0"/>
              <w:left w:val="single" w:color="auto" w:sz="4" w:space="0"/>
              <w:bottom w:val="single" w:color="auto" w:sz="4" w:space="0"/>
              <w:right w:val="single" w:color="auto" w:sz="4" w:space="0"/>
            </w:tcBorders>
            <w:shd w:val="clear" w:color="auto" w:fill="FEFEFE"/>
          </w:tcPr>
          <w:p w14:paraId="39F3BDAF">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1.按本章评标办法第3.1款进行初步评审。未通过初步评审或评标委员会认定为无效的投标文件的不再进行后续评审。</w:t>
            </w:r>
          </w:p>
          <w:p w14:paraId="56C0B9F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3AAA2473">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（2）目的规定对商务部分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如有</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进行评审。</w:t>
            </w:r>
          </w:p>
          <w:p w14:paraId="2C4517B6">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4.因评标委员会作否决投标处理导致有效</w:t>
            </w: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的经济、技术等指标仍然具有市场竞争力，能够满足招标文件要求的，评标委员会可以继续评标并确定中标候选人。</w:t>
            </w:r>
          </w:p>
          <w:p w14:paraId="71AB62FA">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5.经评审合格的</w:t>
            </w: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（3）目规定的评分方法对投标报价进行评分。</w:t>
            </w:r>
          </w:p>
          <w:p w14:paraId="5701040F">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6.对技术部分、商务部分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如有</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、投标报价得分进行汇总，确定得分由高至低前三名</w:t>
            </w:r>
            <w:r>
              <w:rPr>
                <w:rFonts w:hint="eastAsia" w:ascii="宋体" w:hAnsi="宋体"/>
                <w:color w:val="auto"/>
                <w:kern w:val="0"/>
                <w:szCs w:val="21"/>
                <w:highlight w:val="none"/>
                <w:lang w:eastAsia="zh-CN"/>
              </w:rPr>
              <w:t>竞标人</w:t>
            </w:r>
            <w:r>
              <w:rPr>
                <w:rFonts w:hint="eastAsia" w:ascii="宋体" w:hAnsi="宋体"/>
                <w:color w:val="auto"/>
                <w:kern w:val="0"/>
                <w:szCs w:val="21"/>
                <w:highlight w:val="none"/>
              </w:rPr>
              <w:t>为中标候选人。</w:t>
            </w:r>
          </w:p>
        </w:tc>
      </w:tr>
      <w:tr w14:paraId="6A1397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3B26893E">
            <w:pPr>
              <w:spacing w:line="400" w:lineRule="exact"/>
              <w:jc w:val="center"/>
              <w:rPr>
                <w:rFonts w:ascii="宋体" w:hAnsi="宋体"/>
                <w:color w:val="auto"/>
                <w:highlight w:val="none"/>
              </w:rPr>
            </w:pPr>
            <w:r>
              <w:rPr>
                <w:rFonts w:hint="eastAsia" w:ascii="宋体" w:hAnsi="宋体"/>
                <w:color w:val="auto"/>
                <w:highlight w:val="none"/>
              </w:rPr>
              <w:t>3.2.3</w:t>
            </w:r>
          </w:p>
        </w:tc>
        <w:tc>
          <w:tcPr>
            <w:tcW w:w="164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506BE16B">
            <w:pPr>
              <w:spacing w:line="400" w:lineRule="exact"/>
              <w:jc w:val="center"/>
              <w:rPr>
                <w:rFonts w:ascii="宋体" w:hAnsi="宋体" w:cs="宋体"/>
                <w:color w:val="auto"/>
                <w:kern w:val="0"/>
                <w:szCs w:val="21"/>
                <w:highlight w:val="none"/>
              </w:rPr>
            </w:pPr>
            <w:r>
              <w:rPr>
                <w:rFonts w:hint="eastAsia" w:ascii="宋体" w:hAnsi="宋体"/>
                <w:color w:val="auto"/>
                <w:highlight w:val="none"/>
                <w:lang w:eastAsia="zh-CN"/>
              </w:rPr>
              <w:t>竞标人</w:t>
            </w:r>
            <w:r>
              <w:rPr>
                <w:rFonts w:hint="eastAsia" w:ascii="宋体" w:hAnsi="宋体"/>
                <w:color w:val="auto"/>
                <w:highlight w:val="none"/>
              </w:rPr>
              <w:t>得分</w:t>
            </w:r>
          </w:p>
        </w:tc>
        <w:tc>
          <w:tcPr>
            <w:tcW w:w="703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55B3B42A">
            <w:pPr>
              <w:spacing w:line="400" w:lineRule="exact"/>
              <w:ind w:firstLine="420" w:firstLineChars="200"/>
              <w:rPr>
                <w:rFonts w:ascii="宋体" w:hAnsi="宋体"/>
                <w:color w:val="auto"/>
                <w:kern w:val="0"/>
                <w:szCs w:val="21"/>
                <w:highlight w:val="none"/>
              </w:rPr>
            </w:pPr>
            <w:r>
              <w:rPr>
                <w:rFonts w:hint="eastAsia" w:ascii="宋体" w:hAnsi="宋体"/>
                <w:color w:val="auto"/>
                <w:highlight w:val="none"/>
                <w:lang w:eastAsia="zh-CN"/>
              </w:rPr>
              <w:t>竞标人</w:t>
            </w:r>
            <w:r>
              <w:rPr>
                <w:rFonts w:hint="eastAsia" w:ascii="宋体" w:hAnsi="宋体"/>
                <w:color w:val="auto"/>
                <w:highlight w:val="none"/>
              </w:rPr>
              <w:t>得分=</w:t>
            </w:r>
            <w:r>
              <w:rPr>
                <w:rFonts w:hint="eastAsia" w:ascii="宋体" w:hAnsi="宋体"/>
                <w:color w:val="auto"/>
                <w:kern w:val="0"/>
                <w:szCs w:val="21"/>
                <w:highlight w:val="none"/>
              </w:rPr>
              <w:t>A+C</w:t>
            </w:r>
          </w:p>
        </w:tc>
      </w:tr>
      <w:tr w14:paraId="3ED06B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0CA73CED">
            <w:pPr>
              <w:spacing w:line="400" w:lineRule="exact"/>
              <w:jc w:val="center"/>
              <w:rPr>
                <w:rFonts w:ascii="宋体" w:hAnsi="宋体"/>
                <w:color w:val="auto"/>
                <w:highlight w:val="none"/>
              </w:rPr>
            </w:pPr>
            <w:r>
              <w:rPr>
                <w:rFonts w:hint="eastAsia" w:ascii="宋体" w:hAnsi="宋体"/>
                <w:color w:val="auto"/>
                <w:highlight w:val="none"/>
              </w:rPr>
              <w:t>3.4</w:t>
            </w:r>
          </w:p>
        </w:tc>
        <w:tc>
          <w:tcPr>
            <w:tcW w:w="164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6D91184">
            <w:pPr>
              <w:spacing w:line="400" w:lineRule="exact"/>
              <w:jc w:val="center"/>
              <w:rPr>
                <w:rFonts w:ascii="宋体" w:hAnsi="宋体"/>
                <w:color w:val="auto"/>
                <w:highlight w:val="none"/>
              </w:rPr>
            </w:pPr>
            <w:r>
              <w:rPr>
                <w:rFonts w:hint="eastAsia" w:ascii="宋体" w:hAnsi="宋体"/>
                <w:color w:val="auto"/>
                <w:highlight w:val="none"/>
              </w:rPr>
              <w:t>评标结果</w:t>
            </w:r>
          </w:p>
        </w:tc>
        <w:tc>
          <w:tcPr>
            <w:tcW w:w="7037"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50819805">
            <w:pPr>
              <w:spacing w:line="400" w:lineRule="exact"/>
              <w:ind w:firstLine="420" w:firstLineChars="200"/>
              <w:rPr>
                <w:color w:val="auto"/>
                <w:highlight w:val="none"/>
              </w:rPr>
            </w:pPr>
            <w:r>
              <w:rPr>
                <w:rFonts w:hint="eastAsia"/>
                <w:color w:val="auto"/>
                <w:highlight w:val="none"/>
              </w:rPr>
              <w:t>3.4.1</w:t>
            </w:r>
            <w:r>
              <w:rPr>
                <w:color w:val="auto"/>
                <w:highlight w:val="none"/>
              </w:rPr>
              <w:t>除第二章“</w:t>
            </w:r>
            <w:r>
              <w:rPr>
                <w:rFonts w:hint="eastAsia"/>
                <w:color w:val="auto"/>
                <w:highlight w:val="none"/>
                <w:lang w:eastAsia="zh-CN"/>
              </w:rPr>
              <w:t>竞标人</w:t>
            </w:r>
            <w:r>
              <w:rPr>
                <w:color w:val="auto"/>
                <w:highlight w:val="none"/>
              </w:rPr>
              <w:t>须知”前附表授权直接确定中标人外，评标委员会按照得分由高到低的顺序推荐中标候选人，并标明排序。</w:t>
            </w:r>
          </w:p>
          <w:p w14:paraId="16B1D1F5">
            <w:pPr>
              <w:autoSpaceDE w:val="0"/>
              <w:autoSpaceDN w:val="0"/>
              <w:adjustRightInd w:val="0"/>
              <w:snapToGrid w:val="0"/>
              <w:spacing w:line="400" w:lineRule="exact"/>
              <w:ind w:firstLine="420" w:firstLineChars="200"/>
              <w:rPr>
                <w:rFonts w:ascii="宋体" w:hAnsi="宋体" w:cs="宋体"/>
                <w:snapToGrid w:val="0"/>
                <w:color w:val="auto"/>
                <w:kern w:val="0"/>
                <w:szCs w:val="21"/>
                <w:highlight w:val="none"/>
              </w:rPr>
            </w:pPr>
            <w:r>
              <w:rPr>
                <w:color w:val="auto"/>
                <w:szCs w:val="22"/>
                <w:highlight w:val="none"/>
              </w:rPr>
              <w:t>3.4.2 评标委员会完成评标后，应当向招标人提交书面评标报告和中标候选人名单。</w:t>
            </w:r>
          </w:p>
        </w:tc>
      </w:tr>
      <w:bookmarkEnd w:id="227"/>
    </w:tbl>
    <w:p w14:paraId="6C042ADB">
      <w:pPr>
        <w:pStyle w:val="3"/>
        <w:rPr>
          <w:rFonts w:ascii="宋体"/>
          <w:b w:val="0"/>
          <w:snapToGrid w:val="0"/>
          <w:color w:val="auto"/>
          <w:highlight w:val="none"/>
        </w:rPr>
      </w:pPr>
      <w:bookmarkStart w:id="228" w:name="招标文件03章02评标办法综合评估法02附件02"/>
      <w:bookmarkEnd w:id="228"/>
      <w:bookmarkStart w:id="229" w:name="招标文件04章合同条款及格式"/>
      <w:bookmarkEnd w:id="229"/>
      <w:bookmarkStart w:id="230" w:name="_Toc105414374"/>
      <w:bookmarkStart w:id="231" w:name="_Toc2468"/>
      <w:bookmarkStart w:id="232" w:name="_Toc230410480"/>
      <w:bookmarkStart w:id="233" w:name="_Toc277082627"/>
      <w:bookmarkStart w:id="234" w:name="_Toc509218785"/>
      <w:bookmarkStart w:id="235" w:name="_Toc430530509"/>
      <w:bookmarkStart w:id="236" w:name="_Toc8427"/>
    </w:p>
    <w:p w14:paraId="6E1AD4B1">
      <w:pPr>
        <w:rPr>
          <w:rFonts w:ascii="宋体"/>
          <w:snapToGrid w:val="0"/>
          <w:color w:val="auto"/>
          <w:highlight w:val="none"/>
        </w:rPr>
      </w:pPr>
    </w:p>
    <w:p w14:paraId="165E6E55">
      <w:pPr>
        <w:pStyle w:val="18"/>
        <w:rPr>
          <w:rFonts w:ascii="宋体"/>
          <w:snapToGrid w:val="0"/>
          <w:color w:val="auto"/>
          <w:highlight w:val="none"/>
        </w:rPr>
      </w:pPr>
    </w:p>
    <w:p w14:paraId="3FBB793D">
      <w:pPr>
        <w:rPr>
          <w:rFonts w:ascii="宋体"/>
          <w:snapToGrid w:val="0"/>
          <w:color w:val="auto"/>
          <w:highlight w:val="none"/>
        </w:rPr>
      </w:pPr>
    </w:p>
    <w:p w14:paraId="1626E225">
      <w:pPr>
        <w:pStyle w:val="18"/>
        <w:rPr>
          <w:rFonts w:ascii="宋体"/>
          <w:snapToGrid w:val="0"/>
          <w:color w:val="auto"/>
          <w:highlight w:val="none"/>
        </w:rPr>
      </w:pPr>
    </w:p>
    <w:p w14:paraId="056605EF">
      <w:pPr>
        <w:rPr>
          <w:rFonts w:ascii="宋体"/>
          <w:b w:val="0"/>
          <w:snapToGrid w:val="0"/>
          <w:color w:val="auto"/>
          <w:highlight w:val="none"/>
        </w:rPr>
      </w:pPr>
      <w:bookmarkStart w:id="237" w:name="_Toc26919"/>
      <w:r>
        <w:rPr>
          <w:rFonts w:ascii="宋体"/>
          <w:b w:val="0"/>
          <w:snapToGrid w:val="0"/>
          <w:color w:val="auto"/>
          <w:highlight w:val="none"/>
        </w:rPr>
        <w:br w:type="page"/>
      </w:r>
    </w:p>
    <w:p w14:paraId="6CBE55C5">
      <w:pPr>
        <w:pStyle w:val="3"/>
        <w:rPr>
          <w:rFonts w:ascii="宋体"/>
          <w:b w:val="0"/>
          <w:snapToGrid w:val="0"/>
          <w:color w:val="auto"/>
          <w:highlight w:val="none"/>
        </w:rPr>
      </w:pPr>
      <w:r>
        <w:rPr>
          <w:rFonts w:ascii="宋体"/>
          <w:b w:val="0"/>
          <w:snapToGrid w:val="0"/>
          <w:color w:val="auto"/>
          <w:highlight w:val="none"/>
        </w:rPr>
        <w:t>1.  评标方法</w:t>
      </w:r>
      <w:bookmarkEnd w:id="230"/>
      <w:bookmarkEnd w:id="231"/>
      <w:bookmarkEnd w:id="237"/>
    </w:p>
    <w:p w14:paraId="5CED467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评标委员会对满足竞争性比选实质性要求的</w:t>
      </w:r>
      <w:r>
        <w:rPr>
          <w:rFonts w:hint="eastAsia" w:ascii="宋体" w:hAnsi="宋体"/>
          <w:color w:val="auto"/>
          <w:kern w:val="0"/>
          <w:szCs w:val="21"/>
          <w:highlight w:val="none"/>
          <w:lang w:eastAsia="zh-CN"/>
        </w:rPr>
        <w:t>竞标</w:t>
      </w:r>
      <w:r>
        <w:rPr>
          <w:rFonts w:ascii="宋体" w:hAnsi="宋体"/>
          <w:color w:val="auto"/>
          <w:kern w:val="0"/>
          <w:szCs w:val="21"/>
          <w:highlight w:val="none"/>
        </w:rPr>
        <w:t xml:space="preserve">文件，按照本章第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w:t>
      </w:r>
      <w:r>
        <w:rPr>
          <w:rFonts w:hint="eastAsia" w:ascii="宋体" w:hAnsi="宋体"/>
          <w:color w:val="auto"/>
          <w:kern w:val="0"/>
          <w:szCs w:val="21"/>
          <w:highlight w:val="none"/>
        </w:rPr>
        <w:t>并</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或根据招标人授权直接确定中标人。综合评分相等时，</w:t>
      </w:r>
      <w:r>
        <w:rPr>
          <w:rFonts w:hint="eastAsia" w:ascii="宋体" w:hAnsi="宋体"/>
          <w:color w:val="auto"/>
          <w:kern w:val="0"/>
          <w:szCs w:val="21"/>
          <w:highlight w:val="none"/>
        </w:rPr>
        <w:t>以评标办法前附表约定的原则确定</w:t>
      </w:r>
      <w:r>
        <w:rPr>
          <w:rFonts w:ascii="宋体" w:hAnsi="宋体"/>
          <w:color w:val="auto"/>
          <w:highlight w:val="none"/>
        </w:rPr>
        <w:t>中标候选人顺序</w:t>
      </w:r>
      <w:r>
        <w:rPr>
          <w:rFonts w:ascii="宋体" w:hAnsi="宋体"/>
          <w:color w:val="auto"/>
          <w:spacing w:val="-31"/>
          <w:kern w:val="0"/>
          <w:szCs w:val="21"/>
          <w:highlight w:val="none"/>
        </w:rPr>
        <w:t>。</w:t>
      </w:r>
    </w:p>
    <w:p w14:paraId="15B57CFB">
      <w:pPr>
        <w:pStyle w:val="3"/>
        <w:rPr>
          <w:rFonts w:ascii="宋体"/>
          <w:b w:val="0"/>
          <w:snapToGrid w:val="0"/>
          <w:color w:val="auto"/>
          <w:highlight w:val="none"/>
        </w:rPr>
      </w:pPr>
      <w:bookmarkStart w:id="238" w:name="_Toc509218777"/>
      <w:bookmarkStart w:id="239" w:name="_Toc8451"/>
      <w:bookmarkStart w:id="240" w:name="_Toc105414375"/>
      <w:bookmarkStart w:id="241" w:name="_Toc3262"/>
      <w:r>
        <w:rPr>
          <w:rFonts w:ascii="宋体"/>
          <w:b w:val="0"/>
          <w:snapToGrid w:val="0"/>
          <w:color w:val="auto"/>
          <w:highlight w:val="none"/>
        </w:rPr>
        <w:t>2.  评审标准</w:t>
      </w:r>
      <w:bookmarkEnd w:id="238"/>
      <w:bookmarkEnd w:id="239"/>
      <w:bookmarkEnd w:id="240"/>
      <w:bookmarkEnd w:id="241"/>
    </w:p>
    <w:p w14:paraId="6E8867AC">
      <w:pPr>
        <w:pStyle w:val="4"/>
        <w:snapToGrid w:val="0"/>
        <w:spacing w:before="0" w:line="360" w:lineRule="auto"/>
        <w:rPr>
          <w:rFonts w:ascii="宋体"/>
          <w:b w:val="0"/>
          <w:snapToGrid w:val="0"/>
          <w:color w:val="auto"/>
          <w:szCs w:val="24"/>
          <w:highlight w:val="none"/>
        </w:rPr>
      </w:pPr>
      <w:bookmarkStart w:id="242" w:name="_Toc11473"/>
      <w:bookmarkStart w:id="243" w:name="_Toc509218778"/>
      <w:bookmarkStart w:id="244" w:name="_Toc105414376"/>
      <w:bookmarkStart w:id="245" w:name="_Toc15920"/>
      <w:r>
        <w:rPr>
          <w:rFonts w:ascii="宋体"/>
          <w:b w:val="0"/>
          <w:snapToGrid w:val="0"/>
          <w:color w:val="auto"/>
          <w:szCs w:val="24"/>
          <w:highlight w:val="none"/>
        </w:rPr>
        <w:t>2.1  初步评审标准</w:t>
      </w:r>
      <w:bookmarkEnd w:id="242"/>
      <w:bookmarkEnd w:id="243"/>
      <w:bookmarkEnd w:id="244"/>
      <w:bookmarkEnd w:id="245"/>
    </w:p>
    <w:p w14:paraId="01FE1E0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0CD3E09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375B009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39321FCC">
      <w:pPr>
        <w:pStyle w:val="4"/>
        <w:snapToGrid w:val="0"/>
        <w:spacing w:before="0" w:line="360" w:lineRule="auto"/>
        <w:rPr>
          <w:rFonts w:ascii="宋体"/>
          <w:b w:val="0"/>
          <w:snapToGrid w:val="0"/>
          <w:color w:val="auto"/>
          <w:szCs w:val="24"/>
          <w:highlight w:val="none"/>
        </w:rPr>
      </w:pPr>
      <w:bookmarkStart w:id="246" w:name="_Toc509218779"/>
      <w:bookmarkStart w:id="247" w:name="_Toc18279"/>
      <w:bookmarkStart w:id="248" w:name="_Toc105414377"/>
      <w:bookmarkStart w:id="249" w:name="_Toc21330"/>
      <w:r>
        <w:rPr>
          <w:rFonts w:ascii="宋体"/>
          <w:b w:val="0"/>
          <w:snapToGrid w:val="0"/>
          <w:color w:val="auto"/>
          <w:szCs w:val="24"/>
          <w:highlight w:val="none"/>
        </w:rPr>
        <w:t>2.2  分值构成与</w:t>
      </w:r>
      <w:r>
        <w:rPr>
          <w:rFonts w:hint="eastAsia" w:ascii="宋体"/>
          <w:b w:val="0"/>
          <w:snapToGrid w:val="0"/>
          <w:color w:val="auto"/>
          <w:szCs w:val="24"/>
          <w:highlight w:val="none"/>
        </w:rPr>
        <w:t>评审</w:t>
      </w:r>
      <w:r>
        <w:rPr>
          <w:rFonts w:ascii="宋体"/>
          <w:b w:val="0"/>
          <w:snapToGrid w:val="0"/>
          <w:color w:val="auto"/>
          <w:szCs w:val="24"/>
          <w:highlight w:val="none"/>
        </w:rPr>
        <w:t>标准</w:t>
      </w:r>
      <w:bookmarkEnd w:id="246"/>
      <w:bookmarkEnd w:id="247"/>
      <w:bookmarkEnd w:id="248"/>
      <w:bookmarkEnd w:id="249"/>
    </w:p>
    <w:p w14:paraId="52FAB13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766CAE1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425EB96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商务部分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如有</w:t>
      </w:r>
      <w:r>
        <w:rPr>
          <w:rFonts w:hint="eastAsia" w:ascii="宋体" w:hAnsi="宋体"/>
          <w:color w:val="auto"/>
          <w:kern w:val="0"/>
          <w:szCs w:val="21"/>
          <w:highlight w:val="none"/>
          <w:lang w:eastAsia="zh-CN"/>
        </w:rPr>
        <w:t>）</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46FAE48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）投标</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221D050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 xml:space="preserve">2  </w:t>
      </w:r>
      <w:r>
        <w:rPr>
          <w:rFonts w:ascii="宋体" w:hAnsi="宋体"/>
          <w:color w:val="auto"/>
          <w:kern w:val="0"/>
          <w:szCs w:val="21"/>
          <w:highlight w:val="none"/>
        </w:rPr>
        <w:t>评标基准价计算</w:t>
      </w:r>
    </w:p>
    <w:p w14:paraId="4E56A10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6C6D62C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2.2.3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p>
    <w:p w14:paraId="3B749F6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0414042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.2.4  评</w:t>
      </w:r>
      <w:r>
        <w:rPr>
          <w:rFonts w:hint="eastAsia" w:ascii="宋体" w:hAnsi="宋体"/>
          <w:color w:val="auto"/>
          <w:kern w:val="0"/>
          <w:szCs w:val="21"/>
          <w:highlight w:val="none"/>
        </w:rPr>
        <w:t>审</w:t>
      </w:r>
      <w:r>
        <w:rPr>
          <w:rFonts w:ascii="宋体" w:hAnsi="宋体"/>
          <w:color w:val="auto"/>
          <w:kern w:val="0"/>
          <w:szCs w:val="21"/>
          <w:highlight w:val="none"/>
        </w:rPr>
        <w:t>标准</w:t>
      </w:r>
    </w:p>
    <w:p w14:paraId="0EF09F9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技术部分</w:t>
      </w:r>
      <w:r>
        <w:rPr>
          <w:rFonts w:ascii="宋体" w:hAnsi="宋体"/>
          <w:color w:val="auto"/>
          <w:kern w:val="0"/>
          <w:szCs w:val="21"/>
          <w:highlight w:val="none"/>
        </w:rPr>
        <w:t>评分标准：见评标办法前附表；</w:t>
      </w:r>
    </w:p>
    <w:p w14:paraId="40283A8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商务部分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如有</w:t>
      </w:r>
      <w:r>
        <w:rPr>
          <w:rFonts w:hint="eastAsia" w:ascii="宋体" w:hAnsi="宋体"/>
          <w:color w:val="auto"/>
          <w:kern w:val="0"/>
          <w:szCs w:val="21"/>
          <w:highlight w:val="none"/>
          <w:lang w:eastAsia="zh-CN"/>
        </w:rPr>
        <w:t>）</w:t>
      </w:r>
      <w:r>
        <w:rPr>
          <w:rFonts w:ascii="宋体" w:hAnsi="宋体"/>
          <w:color w:val="auto"/>
          <w:kern w:val="0"/>
          <w:szCs w:val="21"/>
          <w:highlight w:val="none"/>
        </w:rPr>
        <w:t>评分标准：见评标办法前附表；</w:t>
      </w:r>
    </w:p>
    <w:p w14:paraId="625932F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投标报价</w:t>
      </w:r>
      <w:r>
        <w:rPr>
          <w:rFonts w:ascii="宋体" w:hAnsi="宋体"/>
          <w:color w:val="auto"/>
          <w:kern w:val="0"/>
          <w:szCs w:val="21"/>
          <w:highlight w:val="none"/>
        </w:rPr>
        <w:t>评分标准：见评标办法前附表。</w:t>
      </w:r>
    </w:p>
    <w:p w14:paraId="130602BB">
      <w:pPr>
        <w:pStyle w:val="3"/>
        <w:rPr>
          <w:rFonts w:ascii="宋体"/>
          <w:b w:val="0"/>
          <w:snapToGrid w:val="0"/>
          <w:color w:val="auto"/>
          <w:highlight w:val="none"/>
        </w:rPr>
      </w:pPr>
      <w:bookmarkStart w:id="250" w:name="_Toc105414378"/>
      <w:bookmarkStart w:id="251" w:name="_Toc15502"/>
      <w:bookmarkStart w:id="252" w:name="_Toc509218780"/>
      <w:bookmarkStart w:id="253" w:name="_Toc765"/>
      <w:r>
        <w:rPr>
          <w:rFonts w:ascii="宋体"/>
          <w:b w:val="0"/>
          <w:snapToGrid w:val="0"/>
          <w:color w:val="auto"/>
          <w:highlight w:val="none"/>
        </w:rPr>
        <w:t>3.  评标程序</w:t>
      </w:r>
      <w:bookmarkEnd w:id="250"/>
      <w:bookmarkEnd w:id="251"/>
      <w:bookmarkEnd w:id="252"/>
      <w:bookmarkEnd w:id="253"/>
    </w:p>
    <w:p w14:paraId="68A38C35">
      <w:pPr>
        <w:pStyle w:val="4"/>
        <w:snapToGrid w:val="0"/>
        <w:spacing w:before="0" w:line="360" w:lineRule="auto"/>
        <w:rPr>
          <w:rFonts w:ascii="宋体"/>
          <w:b w:val="0"/>
          <w:snapToGrid w:val="0"/>
          <w:color w:val="auto"/>
          <w:szCs w:val="24"/>
          <w:highlight w:val="none"/>
        </w:rPr>
      </w:pPr>
      <w:bookmarkStart w:id="254" w:name="_Toc18340"/>
      <w:bookmarkStart w:id="255" w:name="_Toc105414379"/>
      <w:bookmarkStart w:id="256" w:name="_Toc509218781"/>
      <w:bookmarkStart w:id="257" w:name="_Toc11875"/>
      <w:r>
        <w:rPr>
          <w:rFonts w:ascii="宋体"/>
          <w:b w:val="0"/>
          <w:snapToGrid w:val="0"/>
          <w:color w:val="auto"/>
          <w:szCs w:val="24"/>
          <w:highlight w:val="none"/>
        </w:rPr>
        <w:t>3.1  初步评审</w:t>
      </w:r>
      <w:bookmarkEnd w:id="254"/>
      <w:bookmarkEnd w:id="255"/>
      <w:bookmarkEnd w:id="256"/>
      <w:bookmarkEnd w:id="257"/>
    </w:p>
    <w:p w14:paraId="6546CA0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lang w:eastAsia="zh-CN"/>
        </w:rPr>
        <w:t>竞标</w:t>
      </w:r>
      <w:r>
        <w:rPr>
          <w:rFonts w:ascii="宋体" w:hAnsi="宋体"/>
          <w:color w:val="auto"/>
          <w:kern w:val="0"/>
          <w:szCs w:val="21"/>
          <w:highlight w:val="none"/>
        </w:rPr>
        <w:t>文件进行初步评审。有一项不符合评审标准的，作否决投标处理。（适用于未进行资格预审的）</w:t>
      </w:r>
    </w:p>
    <w:p w14:paraId="67C0991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3.1.2  竞标人有以下情形之一的，其投标作否决投标处理：</w:t>
      </w:r>
    </w:p>
    <w:p w14:paraId="62BF37C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s="宋体"/>
          <w:color w:val="auto"/>
          <w:szCs w:val="21"/>
          <w:highlight w:val="none"/>
        </w:rPr>
        <w:t>有串通投标、弄虚作假等其他违反招投标相关法律、法规行为的</w:t>
      </w:r>
      <w:r>
        <w:rPr>
          <w:rFonts w:ascii="宋体" w:hAnsi="宋体"/>
          <w:color w:val="auto"/>
          <w:kern w:val="0"/>
          <w:szCs w:val="21"/>
          <w:highlight w:val="none"/>
        </w:rPr>
        <w:t>；</w:t>
      </w:r>
    </w:p>
    <w:p w14:paraId="5CCB3D8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7C056B3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投标报价有算术错误及其他错误的，评标委员会按以下原则要求竞标人对投标报价进行修正，并要求竞标人书面澄清确认。竞标人拒不澄清确认的，评标委员会应当否决其投标：</w:t>
      </w:r>
    </w:p>
    <w:p w14:paraId="76F0109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竞标</w:t>
      </w:r>
      <w:r>
        <w:rPr>
          <w:rFonts w:ascii="宋体" w:hAnsi="宋体"/>
          <w:color w:val="auto"/>
          <w:kern w:val="0"/>
          <w:szCs w:val="21"/>
          <w:highlight w:val="none"/>
        </w:rPr>
        <w:t>文件中的大写金额与小写金额不一致的，以大写金额为准；</w:t>
      </w:r>
    </w:p>
    <w:p w14:paraId="72BAA19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函中的投标暂定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费报价与依据固定费率/固定单价计算出的结果</w:t>
      </w:r>
      <w:r>
        <w:rPr>
          <w:rFonts w:ascii="宋体" w:hAnsi="宋体"/>
          <w:color w:val="auto"/>
          <w:kern w:val="0"/>
          <w:szCs w:val="21"/>
          <w:highlight w:val="none"/>
        </w:rPr>
        <w:t>不一致的</w:t>
      </w:r>
      <w:r>
        <w:rPr>
          <w:rFonts w:hint="eastAsia" w:ascii="宋体" w:hAnsi="宋体"/>
          <w:color w:val="auto"/>
          <w:kern w:val="0"/>
          <w:szCs w:val="21"/>
          <w:highlight w:val="none"/>
        </w:rPr>
        <w:t>；采用</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费用清单报价的，</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函中的投标总报价或投标暂定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费用清单合计报价</w:t>
      </w:r>
      <w:r>
        <w:rPr>
          <w:rFonts w:ascii="宋体" w:hAnsi="宋体"/>
          <w:color w:val="auto"/>
          <w:kern w:val="0"/>
          <w:szCs w:val="21"/>
          <w:highlight w:val="none"/>
        </w:rPr>
        <w:t>不一致的</w:t>
      </w:r>
      <w:r>
        <w:rPr>
          <w:rFonts w:hint="eastAsia" w:ascii="宋体" w:hAnsi="宋体"/>
          <w:color w:val="auto"/>
          <w:kern w:val="0"/>
          <w:szCs w:val="21"/>
          <w:highlight w:val="none"/>
        </w:rPr>
        <w:t>，均由评标委员会作否决投标处理</w:t>
      </w:r>
      <w:r>
        <w:rPr>
          <w:rFonts w:ascii="宋体" w:hAnsi="宋体"/>
          <w:color w:val="auto"/>
          <w:kern w:val="0"/>
          <w:szCs w:val="21"/>
          <w:highlight w:val="none"/>
        </w:rPr>
        <w:t>。</w:t>
      </w:r>
    </w:p>
    <w:p w14:paraId="7CD5109D">
      <w:pPr>
        <w:pStyle w:val="4"/>
        <w:snapToGrid w:val="0"/>
        <w:spacing w:before="0" w:line="360" w:lineRule="auto"/>
        <w:rPr>
          <w:rFonts w:ascii="宋体"/>
          <w:b w:val="0"/>
          <w:snapToGrid w:val="0"/>
          <w:color w:val="auto"/>
          <w:szCs w:val="24"/>
          <w:highlight w:val="none"/>
        </w:rPr>
      </w:pPr>
      <w:bookmarkStart w:id="258" w:name="_Toc509218782"/>
      <w:bookmarkStart w:id="259" w:name="_Toc105414380"/>
      <w:bookmarkStart w:id="260" w:name="_Toc6650"/>
      <w:bookmarkStart w:id="261" w:name="_Toc1832"/>
      <w:r>
        <w:rPr>
          <w:rFonts w:ascii="宋体"/>
          <w:b w:val="0"/>
          <w:snapToGrid w:val="0"/>
          <w:color w:val="auto"/>
          <w:szCs w:val="24"/>
          <w:highlight w:val="none"/>
        </w:rPr>
        <w:t>3.2  详细评审</w:t>
      </w:r>
      <w:bookmarkEnd w:id="258"/>
      <w:bookmarkEnd w:id="259"/>
      <w:bookmarkEnd w:id="260"/>
      <w:bookmarkEnd w:id="261"/>
    </w:p>
    <w:p w14:paraId="14EB48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213FAAC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（1）按本章第 2.2.4（1）目规定的评审因素和分值对</w:t>
      </w:r>
      <w:r>
        <w:rPr>
          <w:rFonts w:hint="eastAsia" w:ascii="宋体" w:hAnsi="宋体"/>
          <w:color w:val="auto"/>
          <w:kern w:val="0"/>
          <w:szCs w:val="21"/>
          <w:highlight w:val="none"/>
        </w:rPr>
        <w:t>技术</w:t>
      </w:r>
      <w:r>
        <w:rPr>
          <w:rFonts w:ascii="宋体" w:hAnsi="宋体"/>
          <w:color w:val="auto"/>
          <w:kern w:val="0"/>
          <w:szCs w:val="21"/>
          <w:highlight w:val="none"/>
        </w:rPr>
        <w:t>部分计算出得分 A；</w:t>
      </w:r>
    </w:p>
    <w:p w14:paraId="22873A8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（2）按本章第 2.2.4（2）目规定的评审因素和分值对</w:t>
      </w:r>
      <w:r>
        <w:rPr>
          <w:rFonts w:hint="eastAsia" w:ascii="宋体" w:hAnsi="宋体"/>
          <w:color w:val="auto"/>
          <w:kern w:val="0"/>
          <w:szCs w:val="21"/>
          <w:highlight w:val="none"/>
        </w:rPr>
        <w:t>商务</w:t>
      </w:r>
      <w:r>
        <w:rPr>
          <w:rFonts w:ascii="宋体" w:hAnsi="宋体"/>
          <w:color w:val="auto"/>
          <w:kern w:val="0"/>
          <w:szCs w:val="21"/>
          <w:highlight w:val="none"/>
        </w:rPr>
        <w:t>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如有</w:t>
      </w:r>
      <w:r>
        <w:rPr>
          <w:rFonts w:hint="eastAsia" w:ascii="宋体" w:hAnsi="宋体"/>
          <w:color w:val="auto"/>
          <w:kern w:val="0"/>
          <w:szCs w:val="21"/>
          <w:highlight w:val="none"/>
          <w:lang w:eastAsia="zh-CN"/>
        </w:rPr>
        <w:t>）</w:t>
      </w:r>
      <w:r>
        <w:rPr>
          <w:rFonts w:ascii="宋体" w:hAnsi="宋体"/>
          <w:color w:val="auto"/>
          <w:kern w:val="0"/>
          <w:szCs w:val="21"/>
          <w:highlight w:val="none"/>
        </w:rPr>
        <w:t>计算出得分 B；</w:t>
      </w:r>
    </w:p>
    <w:p w14:paraId="38DC592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（3）按本章第 2.2.4（</w:t>
      </w:r>
      <w:r>
        <w:rPr>
          <w:rFonts w:hint="eastAsia" w:ascii="宋体" w:hAnsi="宋体"/>
          <w:color w:val="auto"/>
          <w:kern w:val="0"/>
          <w:szCs w:val="21"/>
          <w:highlight w:val="none"/>
        </w:rPr>
        <w:t>3</w:t>
      </w:r>
      <w:r>
        <w:rPr>
          <w:rFonts w:ascii="宋体" w:hAnsi="宋体"/>
          <w:color w:val="auto"/>
          <w:kern w:val="0"/>
          <w:szCs w:val="21"/>
          <w:highlight w:val="none"/>
        </w:rPr>
        <w:t>）目规定的评审因素和分值对投标报价计算出得分 C；</w:t>
      </w:r>
    </w:p>
    <w:p w14:paraId="785420E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4E7F168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竞标人得分=A+B</w:t>
      </w:r>
      <w:r>
        <w:rPr>
          <w:rFonts w:hint="eastAsia" w:ascii="宋体" w:hAnsi="宋体"/>
          <w:color w:val="auto"/>
          <w:kern w:val="0"/>
          <w:szCs w:val="21"/>
          <w:highlight w:val="none"/>
        </w:rPr>
        <w:t>+</w:t>
      </w:r>
      <w:r>
        <w:rPr>
          <w:rFonts w:ascii="宋体" w:hAnsi="宋体"/>
          <w:color w:val="auto"/>
          <w:kern w:val="0"/>
          <w:szCs w:val="21"/>
          <w:highlight w:val="none"/>
        </w:rPr>
        <w:t>C</w:t>
      </w:r>
      <w:r>
        <w:rPr>
          <w:rFonts w:hint="eastAsia" w:ascii="宋体" w:hAnsi="宋体"/>
          <w:color w:val="auto"/>
          <w:kern w:val="0"/>
          <w:szCs w:val="21"/>
          <w:highlight w:val="none"/>
        </w:rPr>
        <w:t>。</w:t>
      </w:r>
    </w:p>
    <w:p w14:paraId="7C91414A">
      <w:pPr>
        <w:pStyle w:val="4"/>
        <w:snapToGrid w:val="0"/>
        <w:spacing w:before="0" w:line="360" w:lineRule="auto"/>
        <w:rPr>
          <w:rFonts w:ascii="宋体"/>
          <w:b w:val="0"/>
          <w:snapToGrid w:val="0"/>
          <w:color w:val="auto"/>
          <w:szCs w:val="24"/>
          <w:highlight w:val="none"/>
        </w:rPr>
      </w:pPr>
      <w:bookmarkStart w:id="262" w:name="_Toc105414381"/>
      <w:bookmarkStart w:id="263" w:name="_Toc13602"/>
      <w:bookmarkStart w:id="264" w:name="_Toc18143"/>
      <w:bookmarkStart w:id="265" w:name="_Toc509218783"/>
      <w:r>
        <w:rPr>
          <w:rFonts w:ascii="宋体"/>
          <w:b w:val="0"/>
          <w:snapToGrid w:val="0"/>
          <w:color w:val="auto"/>
          <w:szCs w:val="24"/>
          <w:highlight w:val="none"/>
        </w:rPr>
        <w:t xml:space="preserve">3.3  </w:t>
      </w:r>
      <w:r>
        <w:rPr>
          <w:rFonts w:hint="eastAsia" w:ascii="宋体"/>
          <w:b w:val="0"/>
          <w:snapToGrid w:val="0"/>
          <w:color w:val="auto"/>
          <w:szCs w:val="24"/>
          <w:highlight w:val="none"/>
          <w:lang w:eastAsia="zh-CN"/>
        </w:rPr>
        <w:t>竞标</w:t>
      </w:r>
      <w:r>
        <w:rPr>
          <w:rFonts w:ascii="宋体"/>
          <w:b w:val="0"/>
          <w:snapToGrid w:val="0"/>
          <w:color w:val="auto"/>
          <w:szCs w:val="24"/>
          <w:highlight w:val="none"/>
        </w:rPr>
        <w:t>文件的澄清</w:t>
      </w:r>
      <w:bookmarkEnd w:id="262"/>
      <w:bookmarkEnd w:id="263"/>
      <w:bookmarkEnd w:id="264"/>
      <w:bookmarkEnd w:id="265"/>
    </w:p>
    <w:p w14:paraId="6B82AFD0">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266" w:name="_Hlk71569932"/>
      <w:r>
        <w:rPr>
          <w:rFonts w:ascii="宋体" w:hAnsi="宋体"/>
          <w:color w:val="auto"/>
          <w:kern w:val="0"/>
          <w:szCs w:val="21"/>
          <w:highlight w:val="none"/>
        </w:rPr>
        <w:t>3.3.1  在评标过程中，评标委员会可以书面形式要求竞标人对所提交</w:t>
      </w:r>
      <w:r>
        <w:rPr>
          <w:rFonts w:hint="eastAsia" w:ascii="宋体" w:hAnsi="宋体"/>
          <w:color w:val="auto"/>
          <w:kern w:val="0"/>
          <w:szCs w:val="21"/>
          <w:highlight w:val="none"/>
          <w:lang w:eastAsia="zh-CN"/>
        </w:rPr>
        <w:t>竞标</w:t>
      </w:r>
      <w:r>
        <w:rPr>
          <w:rFonts w:ascii="宋体" w:hAnsi="宋体"/>
          <w:color w:val="auto"/>
          <w:kern w:val="0"/>
          <w:szCs w:val="21"/>
          <w:highlight w:val="none"/>
        </w:rPr>
        <w:t>文件中</w:t>
      </w:r>
      <w:r>
        <w:rPr>
          <w:rFonts w:hint="eastAsia" w:ascii="宋体" w:hAnsi="宋体"/>
          <w:color w:val="auto"/>
          <w:kern w:val="0"/>
          <w:szCs w:val="21"/>
          <w:highlight w:val="none"/>
        </w:rPr>
        <w:t>含义不明确、对同类问题表述不一致或者有明显文字和计算错误的内容作必要的澄清、说明或补正。澄清、说明或补正应以书面方式进行。评标委员会不接受竞标人主动提出的澄清、说明或补正。</w:t>
      </w:r>
    </w:p>
    <w:p w14:paraId="0F9FA93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澄清、说明或补正不得超出</w:t>
      </w:r>
      <w:r>
        <w:rPr>
          <w:rFonts w:hint="eastAsia" w:ascii="宋体" w:hAnsi="宋体"/>
          <w:color w:val="auto"/>
          <w:kern w:val="0"/>
          <w:szCs w:val="21"/>
          <w:highlight w:val="none"/>
          <w:lang w:eastAsia="zh-CN"/>
        </w:rPr>
        <w:t>竞标</w:t>
      </w:r>
      <w:r>
        <w:rPr>
          <w:rFonts w:ascii="宋体" w:hAnsi="宋体"/>
          <w:color w:val="auto"/>
          <w:kern w:val="0"/>
          <w:szCs w:val="21"/>
          <w:highlight w:val="none"/>
        </w:rPr>
        <w:t>文件的范围且不得改变</w:t>
      </w:r>
      <w:r>
        <w:rPr>
          <w:rFonts w:hint="eastAsia" w:ascii="宋体" w:hAnsi="宋体"/>
          <w:color w:val="auto"/>
          <w:kern w:val="0"/>
          <w:szCs w:val="21"/>
          <w:highlight w:val="none"/>
          <w:lang w:eastAsia="zh-CN"/>
        </w:rPr>
        <w:t>竞标</w:t>
      </w:r>
      <w:r>
        <w:rPr>
          <w:rFonts w:ascii="宋体" w:hAnsi="宋体"/>
          <w:color w:val="auto"/>
          <w:kern w:val="0"/>
          <w:szCs w:val="21"/>
          <w:highlight w:val="none"/>
        </w:rPr>
        <w:t>文件的实质性内容，并构成</w:t>
      </w:r>
      <w:r>
        <w:rPr>
          <w:rFonts w:hint="eastAsia" w:ascii="宋体" w:hAnsi="宋体"/>
          <w:color w:val="auto"/>
          <w:kern w:val="0"/>
          <w:szCs w:val="21"/>
          <w:highlight w:val="none"/>
          <w:lang w:eastAsia="zh-CN"/>
        </w:rPr>
        <w:t>竞标</w:t>
      </w:r>
      <w:r>
        <w:rPr>
          <w:rFonts w:ascii="宋体" w:hAnsi="宋体"/>
          <w:color w:val="auto"/>
          <w:kern w:val="0"/>
          <w:szCs w:val="21"/>
          <w:highlight w:val="none"/>
        </w:rPr>
        <w:t>文件的组成部分。</w:t>
      </w:r>
    </w:p>
    <w:p w14:paraId="7B2A5C3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评标委员会对竞标人提交的澄清、说明或补正有疑问的，可以要求竞标人进一步澄清、说明或补正，直至满足评标委员会的要求。</w:t>
      </w:r>
      <w:bookmarkEnd w:id="266"/>
    </w:p>
    <w:p w14:paraId="231FC820">
      <w:pPr>
        <w:pStyle w:val="4"/>
        <w:snapToGrid w:val="0"/>
        <w:spacing w:before="0" w:line="360" w:lineRule="auto"/>
        <w:rPr>
          <w:rFonts w:ascii="宋体"/>
          <w:b w:val="0"/>
          <w:snapToGrid w:val="0"/>
          <w:color w:val="auto"/>
          <w:szCs w:val="24"/>
          <w:highlight w:val="none"/>
        </w:rPr>
      </w:pPr>
      <w:bookmarkStart w:id="267" w:name="_Toc105414382"/>
      <w:bookmarkStart w:id="268" w:name="_Toc509218784"/>
      <w:bookmarkStart w:id="269" w:name="_Toc9811"/>
      <w:bookmarkStart w:id="270" w:name="_Toc22756"/>
      <w:r>
        <w:rPr>
          <w:rFonts w:ascii="宋体"/>
          <w:b w:val="0"/>
          <w:snapToGrid w:val="0"/>
          <w:color w:val="auto"/>
          <w:szCs w:val="24"/>
          <w:highlight w:val="none"/>
        </w:rPr>
        <w:t>3.4  评标结果</w:t>
      </w:r>
      <w:bookmarkEnd w:id="267"/>
      <w:bookmarkEnd w:id="268"/>
      <w:bookmarkEnd w:id="269"/>
      <w:bookmarkEnd w:id="270"/>
    </w:p>
    <w:p w14:paraId="154D451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除第二章“竞标人须知”前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由高到低的顺序推荐中标候选人，并标明排序。</w:t>
      </w:r>
    </w:p>
    <w:p w14:paraId="20E6A037">
      <w:pPr>
        <w:autoSpaceDE w:val="0"/>
        <w:autoSpaceDN w:val="0"/>
        <w:adjustRightInd w:val="0"/>
        <w:snapToGrid w:val="0"/>
        <w:spacing w:line="360" w:lineRule="auto"/>
        <w:ind w:firstLine="424" w:firstLineChars="200"/>
        <w:rPr>
          <w:rFonts w:ascii="宋体" w:hAnsi="宋体"/>
          <w:b/>
          <w:color w:val="auto"/>
          <w:sz w:val="28"/>
          <w:szCs w:val="28"/>
          <w:highlight w:val="none"/>
          <w:u w:val="none"/>
          <w:lang w:eastAsia="zh-CN"/>
        </w:rPr>
      </w:pPr>
      <w:r>
        <w:rPr>
          <w:rFonts w:ascii="宋体" w:hAnsi="宋体"/>
          <w:color w:val="auto"/>
          <w:spacing w:val="1"/>
          <w:kern w:val="0"/>
          <w:szCs w:val="21"/>
          <w:highlight w:val="none"/>
        </w:rPr>
        <w:t>3</w:t>
      </w:r>
      <w:r>
        <w:rPr>
          <w:rFonts w:ascii="宋体" w:hAnsi="宋体"/>
          <w:color w:val="auto"/>
          <w:kern w:val="0"/>
          <w:szCs w:val="21"/>
          <w:highlight w:val="none"/>
        </w:rPr>
        <w:t>.4.2  评标委员会完成评标后，应当向招标人提交书面评标报告和中标候选人名单。</w:t>
      </w:r>
    </w:p>
    <w:p w14:paraId="0113EE7F">
      <w:pPr>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br w:type="page"/>
      </w:r>
    </w:p>
    <w:p w14:paraId="4A9D3486">
      <w:pPr>
        <w:pStyle w:val="34"/>
        <w:spacing w:line="360" w:lineRule="auto"/>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附件A：综合评估法否决</w:t>
      </w:r>
      <w:r>
        <w:rPr>
          <w:rFonts w:hint="eastAsia" w:ascii="宋体" w:hAnsi="宋体"/>
          <w:b/>
          <w:color w:val="auto"/>
          <w:sz w:val="28"/>
          <w:szCs w:val="28"/>
          <w:highlight w:val="none"/>
          <w:u w:val="none"/>
          <w:lang w:eastAsia="zh-CN"/>
        </w:rPr>
        <w:t>竞标</w:t>
      </w:r>
      <w:r>
        <w:rPr>
          <w:rFonts w:ascii="宋体" w:hAnsi="宋体"/>
          <w:b/>
          <w:color w:val="auto"/>
          <w:sz w:val="28"/>
          <w:szCs w:val="28"/>
          <w:highlight w:val="none"/>
          <w:u w:val="none"/>
          <w:lang w:eastAsia="zh-CN"/>
        </w:rPr>
        <w:t>情况一览表</w:t>
      </w:r>
      <w:bookmarkEnd w:id="232"/>
    </w:p>
    <w:bookmarkEnd w:id="233"/>
    <w:p w14:paraId="0BF4E1A8">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竞标文件存在本一览表下列情形之一的，竞标文件视为重大偏差并作否决竞标处理，否则，评标委员会不得视为重大偏差而否决竞标人的竞标文件</w:t>
      </w:r>
      <w:r>
        <w:rPr>
          <w:rFonts w:ascii="宋体" w:hAnsi="宋体"/>
          <w:color w:val="auto"/>
          <w:sz w:val="21"/>
          <w:szCs w:val="21"/>
          <w:highlight w:val="none"/>
          <w:u w:val="none"/>
          <w:lang w:eastAsia="zh-CN"/>
        </w:rPr>
        <w:t>。</w:t>
      </w:r>
    </w:p>
    <w:tbl>
      <w:tblPr>
        <w:tblStyle w:val="48"/>
        <w:tblW w:w="946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37"/>
        <w:gridCol w:w="1899"/>
        <w:gridCol w:w="6333"/>
      </w:tblGrid>
      <w:tr w14:paraId="29F1A0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4C81AFDD">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tcBorders>
              <w:tl2br w:val="nil"/>
              <w:tr2bl w:val="nil"/>
            </w:tcBorders>
            <w:shd w:val="clear" w:color="auto" w:fill="FEFEFE"/>
            <w:vAlign w:val="center"/>
          </w:tcPr>
          <w:p w14:paraId="26449637">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tcBorders>
              <w:tl2br w:val="nil"/>
              <w:tr2bl w:val="nil"/>
            </w:tcBorders>
            <w:shd w:val="clear" w:color="auto" w:fill="FEFEFE"/>
            <w:vAlign w:val="center"/>
          </w:tcPr>
          <w:p w14:paraId="30438928">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rPr>
              <w:t>竞标</w:t>
            </w:r>
            <w:r>
              <w:rPr>
                <w:rFonts w:ascii="宋体" w:hAnsi="宋体"/>
                <w:b/>
                <w:color w:val="auto"/>
                <w:szCs w:val="21"/>
                <w:highlight w:val="none"/>
              </w:rPr>
              <w:t>条件</w:t>
            </w:r>
          </w:p>
        </w:tc>
      </w:tr>
      <w:tr w14:paraId="092DB53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restart"/>
            <w:tcBorders>
              <w:tl2br w:val="nil"/>
              <w:tr2bl w:val="nil"/>
            </w:tcBorders>
            <w:shd w:val="clear" w:color="auto" w:fill="FEFEFE"/>
            <w:vAlign w:val="center"/>
          </w:tcPr>
          <w:p w14:paraId="35B3513C">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3B40466F">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l2br w:val="nil"/>
              <w:tr2bl w:val="nil"/>
            </w:tcBorders>
            <w:shd w:val="clear" w:color="auto" w:fill="FEFEFE"/>
            <w:vAlign w:val="center"/>
          </w:tcPr>
          <w:p w14:paraId="2BDAEF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A-1竞标人的资质条件（如有）、营业执照须满足竞标人须知前附表1.4.1项的要求，否则由评标委员会作否决竞标处理。</w:t>
            </w:r>
          </w:p>
        </w:tc>
      </w:tr>
      <w:tr w14:paraId="437F2FD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398E6FA7">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285E1DA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DA379A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A-2竞标人的财务须满足竞标人须知前附表第1.4.1项的要求，否则由评标委员会作否决竞标处理（如有）。</w:t>
            </w:r>
          </w:p>
        </w:tc>
      </w:tr>
      <w:tr w14:paraId="1DBE8E4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015C51F0">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DC00215">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A1CCBA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A-3竞标人的业绩须满足竞标人须知前附表第1.4.1项的要求，否则由评标委员会作否决竞标处理（如有）。</w:t>
            </w:r>
          </w:p>
        </w:tc>
      </w:tr>
      <w:tr w14:paraId="18EA02D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326613BD">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110057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EAF5F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A-4竞标人的竞标截止日竞标资格情况须满足竞标人须知前附表第1.4.1项的要求，否则由评标委员会作否决竞标处理。</w:t>
            </w:r>
          </w:p>
        </w:tc>
      </w:tr>
      <w:tr w14:paraId="1F9492D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647B072E">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ECF6832">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5DD230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A-5竞标人的项目负责人资格须满足竞标人须知前附表第1.4.1项的要求，否则由评标委员会作否决竞标处理（如有）。</w:t>
            </w:r>
          </w:p>
        </w:tc>
      </w:tr>
      <w:tr w14:paraId="103BC6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160" w:hRule="atLeast"/>
          <w:tblHeader/>
          <w:jc w:val="center"/>
        </w:trPr>
        <w:tc>
          <w:tcPr>
            <w:tcW w:w="1237" w:type="dxa"/>
            <w:vMerge w:val="continue"/>
            <w:tcBorders>
              <w:tl2br w:val="nil"/>
              <w:tr2bl w:val="nil"/>
            </w:tcBorders>
            <w:shd w:val="clear" w:color="auto" w:fill="FEFEFE"/>
            <w:vAlign w:val="center"/>
          </w:tcPr>
          <w:p w14:paraId="21D2F64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53F2BBB">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37D7D4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A-6竞标人的其他要求须满足竞标人须知前附表第1.4.1项的要求，否则由评标委员会作否决竞标处理。</w:t>
            </w:r>
          </w:p>
        </w:tc>
      </w:tr>
      <w:tr w14:paraId="7BC2CBF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79FF4812">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517CDD5D">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l2br w:val="nil"/>
              <w:tr2bl w:val="nil"/>
            </w:tcBorders>
            <w:shd w:val="clear" w:color="auto" w:fill="FEFEFE"/>
          </w:tcPr>
          <w:p w14:paraId="3E45185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竞标人名称必须与营业执照、资质证书</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如有</w:t>
            </w:r>
            <w:r>
              <w:rPr>
                <w:rFonts w:hint="eastAsia" w:ascii="宋体" w:hAnsi="宋体"/>
                <w:color w:val="auto"/>
                <w:kern w:val="0"/>
                <w:highlight w:val="none"/>
                <w:lang w:eastAsia="zh-CN"/>
              </w:rPr>
              <w:t>）</w:t>
            </w:r>
            <w:r>
              <w:rPr>
                <w:rFonts w:hint="eastAsia" w:ascii="宋体" w:hAnsi="宋体"/>
                <w:color w:val="auto"/>
                <w:szCs w:val="21"/>
                <w:highlight w:val="none"/>
              </w:rPr>
              <w:t>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088F9F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74" w:hRule="atLeast"/>
          <w:jc w:val="center"/>
        </w:trPr>
        <w:tc>
          <w:tcPr>
            <w:tcW w:w="1237" w:type="dxa"/>
            <w:vMerge w:val="continue"/>
            <w:tcBorders>
              <w:tl2br w:val="nil"/>
              <w:tr2bl w:val="nil"/>
            </w:tcBorders>
            <w:shd w:val="clear" w:color="auto" w:fill="FEFEFE"/>
            <w:vAlign w:val="center"/>
          </w:tcPr>
          <w:p w14:paraId="7B17BC30">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89B683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5CF9B35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rPr>
              <w:t>竞标文件格式符合第二章“竞标人须知”第3.7款的要求，否则由评标委员会作否决竞标处理。</w:t>
            </w:r>
          </w:p>
          <w:p w14:paraId="7260D9C7">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5354F83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08EE9256">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370ADD5">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54C98DE2">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rPr>
              <w:t>竞标文件份数符合第二章“竞标人须知”第3.7.4项的规定，</w:t>
            </w:r>
            <w:r>
              <w:rPr>
                <w:rFonts w:hint="eastAsia" w:ascii="宋体" w:hAnsi="宋体"/>
                <w:color w:val="auto"/>
                <w:kern w:val="0"/>
                <w:szCs w:val="21"/>
                <w:highlight w:val="none"/>
              </w:rPr>
              <w:t>否则由评标委员会作否决竞标处理。</w:t>
            </w:r>
          </w:p>
        </w:tc>
      </w:tr>
      <w:tr w14:paraId="073554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7DC2F2AD">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AE4C67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759F9C1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联合体参与竞标的应提交联合体协议书，并明确联合体牵头人。在联合体协议书第5条联合体各成员单位内部的职责分工中填写的联合体所有成员单位名称应与其营业执照、资质证书</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如有</w:t>
            </w:r>
            <w:r>
              <w:rPr>
                <w:rFonts w:hint="eastAsia" w:ascii="宋体" w:hAnsi="宋体"/>
                <w:color w:val="auto"/>
                <w:kern w:val="0"/>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eastAsia="zh-CN"/>
              </w:rPr>
              <w:t xml:space="preserve"> </w:t>
            </w:r>
            <w:r>
              <w:rPr>
                <w:rFonts w:hint="eastAsia" w:ascii="宋体" w:hAnsi="宋体"/>
                <w:color w:val="auto"/>
                <w:szCs w:val="21"/>
                <w:highlight w:val="none"/>
              </w:rPr>
              <w:t>一致，依法变更名称的应提交相应证明材料，否则由评标委员会作否决竞标处理（如有）。</w:t>
            </w:r>
          </w:p>
        </w:tc>
      </w:tr>
      <w:tr w14:paraId="4F6AC36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D47DF5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E9F3CB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24853CE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只能有一个有效报价。在</w:t>
            </w:r>
            <w:r>
              <w:rPr>
                <w:rFonts w:hint="eastAsia" w:ascii="宋体" w:hAnsi="宋体"/>
                <w:color w:val="auto"/>
                <w:szCs w:val="21"/>
                <w:highlight w:val="none"/>
                <w:lang w:val="en-US" w:eastAsia="zh-CN"/>
              </w:rPr>
              <w:t>比选</w:t>
            </w:r>
            <w:r>
              <w:rPr>
                <w:rFonts w:hint="eastAsia" w:ascii="宋体" w:hAnsi="宋体"/>
                <w:color w:val="auto"/>
                <w:szCs w:val="21"/>
                <w:highlight w:val="none"/>
              </w:rPr>
              <w:t>文件没有规定的情况下，不得提交选择性报价，否则由评标委员会作否决竞标处理。</w:t>
            </w:r>
          </w:p>
        </w:tc>
      </w:tr>
      <w:tr w14:paraId="4722DC9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73" w:hRule="atLeast"/>
          <w:jc w:val="center"/>
        </w:trPr>
        <w:tc>
          <w:tcPr>
            <w:tcW w:w="1237" w:type="dxa"/>
            <w:vMerge w:val="continue"/>
            <w:tcBorders>
              <w:tl2br w:val="nil"/>
              <w:tr2bl w:val="nil"/>
            </w:tcBorders>
            <w:shd w:val="clear" w:color="auto" w:fill="FEFEFE"/>
            <w:vAlign w:val="center"/>
          </w:tcPr>
          <w:p w14:paraId="0573D070">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5928EE9">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5281583C">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kern w:val="0"/>
                <w:highlight w:val="none"/>
              </w:rPr>
              <w:t>第六章 竞标文件格式要求法定代表人或其委托代理人签名（或盖章）的须齐全。</w:t>
            </w:r>
            <w:r>
              <w:rPr>
                <w:rFonts w:hint="eastAsia" w:ascii="宋体" w:hAnsi="宋体" w:cs="宋体"/>
                <w:snapToGrid w:val="0"/>
                <w:color w:val="auto"/>
                <w:kern w:val="0"/>
                <w:szCs w:val="21"/>
                <w:highlight w:val="none"/>
              </w:rPr>
              <w:t>若竞标单位为联合体，则联合体协议书中各联合体各成员单位签名（或盖章）须齐全，联合体协议书以外的</w:t>
            </w:r>
            <w:r>
              <w:rPr>
                <w:rFonts w:hint="eastAsia" w:ascii="宋体" w:hAnsi="宋体" w:cs="宋体"/>
                <w:color w:val="auto"/>
                <w:kern w:val="0"/>
                <w:highlight w:val="none"/>
              </w:rPr>
              <w:t>竞标文件格式中，要求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，否则由评标委员会作否决竞标处理。</w:t>
            </w:r>
          </w:p>
        </w:tc>
      </w:tr>
      <w:tr w14:paraId="3DDBF29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1F75BB8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2A779F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6DFDD4D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rPr>
              <w:t>竞标人法定代表人的委托代理人有法定代表人签署的授权委托书和竞标人为其缴纳的养老保险证明材料，否则由评标委员会作否决竞标处理。</w:t>
            </w:r>
          </w:p>
        </w:tc>
      </w:tr>
      <w:tr w14:paraId="6563AB6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03" w:hRule="atLeast"/>
          <w:jc w:val="center"/>
        </w:trPr>
        <w:tc>
          <w:tcPr>
            <w:tcW w:w="1237" w:type="dxa"/>
            <w:vMerge w:val="continue"/>
            <w:tcBorders>
              <w:tl2br w:val="nil"/>
              <w:tr2bl w:val="nil"/>
            </w:tcBorders>
            <w:shd w:val="clear" w:color="auto" w:fill="FEFEFE"/>
            <w:vAlign w:val="center"/>
          </w:tcPr>
          <w:p w14:paraId="39F730CD">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5B17F20D">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l2br w:val="nil"/>
              <w:tr2bl w:val="nil"/>
            </w:tcBorders>
            <w:shd w:val="clear" w:color="auto" w:fill="FEFEFE"/>
            <w:vAlign w:val="center"/>
          </w:tcPr>
          <w:p w14:paraId="40ADC4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竞标总报价不得高于比选人公布的竞标总报价最高限价，否则由评标委员会作否决竞标处理。</w:t>
            </w:r>
          </w:p>
        </w:tc>
      </w:tr>
      <w:tr w14:paraId="3205609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3BB3CB2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B85D2EF">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7FA225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竞标内容符合第二章“竞标人须知”第1.3.1项规定，否则由评标委员会作否决竞标处理。</w:t>
            </w:r>
          </w:p>
        </w:tc>
      </w:tr>
      <w:tr w14:paraId="5F4892A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13585987">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F6F588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DA2F2C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rPr>
              <w:t>工期符合第二章“竞标人须知”第1.3.2项规定，否则由评标委员会作否决竞标处理。</w:t>
            </w:r>
          </w:p>
        </w:tc>
      </w:tr>
      <w:tr w14:paraId="735ABB5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160" w:hRule="atLeast"/>
          <w:jc w:val="center"/>
        </w:trPr>
        <w:tc>
          <w:tcPr>
            <w:tcW w:w="1237" w:type="dxa"/>
            <w:vMerge w:val="continue"/>
            <w:tcBorders>
              <w:tl2br w:val="nil"/>
              <w:tr2bl w:val="nil"/>
            </w:tcBorders>
            <w:shd w:val="clear" w:color="auto" w:fill="FEFEFE"/>
            <w:vAlign w:val="center"/>
          </w:tcPr>
          <w:p w14:paraId="7E302DF8">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960809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63251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工程质量符合第二章“竞标人须知”第1.3.3项规定，否则由评标委员会作否决竞标处理。</w:t>
            </w:r>
          </w:p>
        </w:tc>
      </w:tr>
      <w:tr w14:paraId="3F2E21D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7AD24EAC">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1211AB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1E0BA10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竞标有效期符合第二章“竞标人须知”第3.3.1项规定，否则由评标委员会作否决竞标处理。</w:t>
            </w:r>
          </w:p>
        </w:tc>
      </w:tr>
      <w:tr w14:paraId="15B96BB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67D56F86">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22464E4">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93F1FF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竞标人</w:t>
            </w:r>
            <w:r>
              <w:rPr>
                <w:rFonts w:ascii="宋体" w:hAnsi="宋体"/>
                <w:color w:val="auto"/>
                <w:szCs w:val="21"/>
                <w:highlight w:val="none"/>
              </w:rPr>
              <w:t>应按</w:t>
            </w:r>
            <w:r>
              <w:rPr>
                <w:rFonts w:hint="eastAsia" w:ascii="宋体" w:hAnsi="宋体"/>
                <w:color w:val="auto"/>
                <w:szCs w:val="21"/>
                <w:highlight w:val="none"/>
              </w:rPr>
              <w:t>竞标人须知</w:t>
            </w:r>
            <w:r>
              <w:rPr>
                <w:rFonts w:ascii="宋体" w:hAnsi="宋体"/>
                <w:color w:val="auto"/>
                <w:szCs w:val="21"/>
                <w:highlight w:val="none"/>
              </w:rPr>
              <w:t>前附表</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rPr>
              <w:t>竞标</w:t>
            </w:r>
            <w:r>
              <w:rPr>
                <w:rFonts w:ascii="宋体" w:hAnsi="宋体"/>
                <w:color w:val="auto"/>
                <w:szCs w:val="21"/>
                <w:highlight w:val="none"/>
              </w:rPr>
              <w:t>保证金，并作为其</w:t>
            </w:r>
            <w:r>
              <w:rPr>
                <w:rFonts w:hint="eastAsia" w:ascii="宋体" w:hAnsi="宋体"/>
                <w:color w:val="auto"/>
                <w:szCs w:val="21"/>
                <w:highlight w:val="none"/>
              </w:rPr>
              <w:t>竞标文件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3F78F5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73" w:hRule="atLeast"/>
          <w:jc w:val="center"/>
        </w:trPr>
        <w:tc>
          <w:tcPr>
            <w:tcW w:w="1237" w:type="dxa"/>
            <w:vMerge w:val="continue"/>
            <w:tcBorders>
              <w:tl2br w:val="nil"/>
              <w:tr2bl w:val="nil"/>
            </w:tcBorders>
            <w:shd w:val="clear" w:color="auto" w:fill="FEFEFE"/>
            <w:vAlign w:val="center"/>
          </w:tcPr>
          <w:p w14:paraId="056561E9">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D69DDBF">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16CA16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符合第四章“合同条款及格式”规定，竞标文件不应附有比选人不能接受的条件，否则由评标委员会作否决竞标处理。（由竞标人承诺，承诺书格式详见第六章竞标文件格式。）</w:t>
            </w:r>
          </w:p>
        </w:tc>
      </w:tr>
      <w:tr w14:paraId="40414C8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1E6AB24E">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E472962">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B0B86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竞标人有以下情形之一的，其竞标文件由评标委员会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r>
              <w:rPr>
                <w:rFonts w:hint="eastAsia" w:ascii="宋体" w:hAnsi="宋体"/>
                <w:color w:val="auto"/>
                <w:szCs w:val="21"/>
                <w:highlight w:val="none"/>
              </w:rPr>
              <w:t>：</w:t>
            </w:r>
          </w:p>
          <w:p w14:paraId="54392D1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1.第二章“竞标人须知”第1.4.3项规定的任何一种情形的；</w:t>
            </w:r>
          </w:p>
          <w:p w14:paraId="30840B0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2.本次竞标有串通竞标、弄虚作假等违反招投标相关法律、法规的行为的；</w:t>
            </w:r>
          </w:p>
          <w:p w14:paraId="54A7B11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6D08DC0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24224923">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tcBorders>
              <w:tl2br w:val="nil"/>
              <w:tr2bl w:val="nil"/>
            </w:tcBorders>
            <w:shd w:val="clear" w:color="auto" w:fill="FEFEFE"/>
            <w:vAlign w:val="center"/>
          </w:tcPr>
          <w:p w14:paraId="525C98F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4565CA26">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[提示：比选人必须将所有否决竞标条款集中罗列于此表，若无其他否决竞标条款则在该条写无。]</w:t>
            </w:r>
          </w:p>
        </w:tc>
      </w:tr>
    </w:tbl>
    <w:p w14:paraId="07EE2302">
      <w:pPr>
        <w:autoSpaceDE w:val="0"/>
        <w:autoSpaceDN w:val="0"/>
        <w:adjustRightInd w:val="0"/>
        <w:snapToGrid w:val="0"/>
        <w:spacing w:line="360" w:lineRule="auto"/>
        <w:jc w:val="left"/>
        <w:rPr>
          <w:rFonts w:ascii="宋体" w:hAnsi="宋体"/>
          <w:b/>
          <w:color w:val="auto"/>
          <w:kern w:val="0"/>
          <w:sz w:val="20"/>
          <w:szCs w:val="20"/>
          <w:highlight w:val="none"/>
        </w:rPr>
      </w:pPr>
    </w:p>
    <w:p w14:paraId="55C1C031">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04F7080C">
      <w:pPr>
        <w:pStyle w:val="2"/>
        <w:spacing w:line="360" w:lineRule="auto"/>
        <w:jc w:val="center"/>
        <w:rPr>
          <w:rFonts w:ascii="宋体" w:hAnsi="宋体"/>
          <w:color w:val="auto"/>
          <w:kern w:val="0"/>
          <w:highlight w:val="none"/>
        </w:rPr>
      </w:pPr>
      <w:bookmarkStart w:id="271" w:name="_Toc13682"/>
      <w:r>
        <w:rPr>
          <w:rFonts w:hint="eastAsia" w:ascii="宋体" w:hAnsi="宋体"/>
          <w:color w:val="auto"/>
          <w:kern w:val="0"/>
          <w:highlight w:val="none"/>
        </w:rPr>
        <w:t>第四章  合同条款及格式</w:t>
      </w:r>
      <w:bookmarkEnd w:id="234"/>
      <w:bookmarkEnd w:id="235"/>
      <w:bookmarkEnd w:id="236"/>
      <w:bookmarkEnd w:id="271"/>
    </w:p>
    <w:p w14:paraId="2400BA72">
      <w:pPr>
        <w:jc w:val="center"/>
        <w:rPr>
          <w:rFonts w:hint="eastAsia" w:ascii="宋体" w:hAnsi="宋体"/>
          <w:color w:val="auto"/>
          <w:sz w:val="24"/>
          <w:highlight w:val="none"/>
        </w:rPr>
      </w:pPr>
      <w:bookmarkStart w:id="272" w:name="_Toc351203480"/>
      <w:bookmarkStart w:id="273" w:name="_Toc296890982"/>
      <w:bookmarkStart w:id="274" w:name="_Toc296503025"/>
      <w:r>
        <w:rPr>
          <w:rFonts w:hint="eastAsia" w:ascii="宋体" w:hAnsi="宋体"/>
          <w:color w:val="auto"/>
          <w:sz w:val="24"/>
          <w:highlight w:val="none"/>
        </w:rPr>
        <w:t>(双方另行协商签订)</w:t>
      </w:r>
    </w:p>
    <w:p w14:paraId="07A448FF">
      <w:pPr>
        <w:rPr>
          <w:rFonts w:hint="eastAsia" w:ascii="宋体" w:hAnsi="宋体"/>
          <w:color w:val="auto"/>
          <w:sz w:val="24"/>
          <w:highlight w:val="none"/>
        </w:rPr>
      </w:pPr>
      <w:r>
        <w:rPr>
          <w:rFonts w:hint="eastAsia" w:ascii="宋体" w:hAnsi="宋体"/>
          <w:color w:val="auto"/>
          <w:sz w:val="24"/>
          <w:highlight w:val="none"/>
        </w:rPr>
        <w:br w:type="page"/>
      </w:r>
    </w:p>
    <w:p w14:paraId="79663098">
      <w:pPr>
        <w:jc w:val="center"/>
        <w:rPr>
          <w:color w:val="auto"/>
          <w:sz w:val="28"/>
          <w:highlight w:val="none"/>
        </w:rPr>
      </w:pPr>
    </w:p>
    <w:p w14:paraId="5187E53B">
      <w:pPr>
        <w:jc w:val="center"/>
        <w:rPr>
          <w:rFonts w:ascii="宋体" w:hAnsi="宋体"/>
          <w:b/>
          <w:color w:val="auto"/>
          <w:sz w:val="44"/>
          <w:szCs w:val="44"/>
          <w:highlight w:val="none"/>
        </w:rPr>
      </w:pPr>
      <w:r>
        <w:rPr>
          <w:rFonts w:hint="eastAsia" w:ascii="宋体" w:hAnsi="宋体" w:cs="宋体"/>
          <w:b/>
          <w:color w:val="auto"/>
          <w:sz w:val="44"/>
          <w:szCs w:val="44"/>
          <w:highlight w:val="none"/>
        </w:rPr>
        <w:t>建设项目前期工作委托咨询合同</w:t>
      </w:r>
    </w:p>
    <w:p w14:paraId="5296D3B6">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8"/>
          <w:szCs w:val="28"/>
          <w:highlight w:val="none"/>
        </w:rPr>
      </w:pPr>
      <w:r>
        <w:rPr>
          <w:rFonts w:hint="eastAsia" w:ascii="宋体" w:hAnsi="宋体" w:cs="宋体"/>
          <w:color w:val="auto"/>
          <w:sz w:val="28"/>
          <w:szCs w:val="28"/>
          <w:highlight w:val="none"/>
        </w:rPr>
        <w:t>项目名称：</w:t>
      </w:r>
    </w:p>
    <w:p w14:paraId="46FBFAD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8"/>
          <w:szCs w:val="28"/>
          <w:highlight w:val="none"/>
        </w:rPr>
      </w:pPr>
      <w:r>
        <w:rPr>
          <w:rFonts w:hint="eastAsia" w:ascii="宋体" w:hAnsi="宋体" w:cs="宋体"/>
          <w:color w:val="auto"/>
          <w:sz w:val="28"/>
          <w:szCs w:val="28"/>
          <w:highlight w:val="none"/>
        </w:rPr>
        <w:t>项目地点：</w:t>
      </w:r>
    </w:p>
    <w:p w14:paraId="06E758E0">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8"/>
          <w:szCs w:val="28"/>
          <w:highlight w:val="none"/>
        </w:rPr>
      </w:pPr>
      <w:r>
        <w:rPr>
          <w:rFonts w:hint="eastAsia" w:ascii="宋体" w:hAnsi="宋体" w:cs="宋体"/>
          <w:color w:val="auto"/>
          <w:sz w:val="28"/>
          <w:szCs w:val="28"/>
          <w:highlight w:val="none"/>
        </w:rPr>
        <w:t>甲方（委托方）：</w:t>
      </w:r>
    </w:p>
    <w:p w14:paraId="5DF5906F">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8"/>
          <w:szCs w:val="28"/>
          <w:highlight w:val="none"/>
        </w:rPr>
      </w:pPr>
      <w:r>
        <w:rPr>
          <w:rFonts w:hint="eastAsia" w:ascii="宋体" w:hAnsi="宋体" w:cs="宋体"/>
          <w:color w:val="auto"/>
          <w:sz w:val="28"/>
          <w:szCs w:val="28"/>
          <w:highlight w:val="none"/>
        </w:rPr>
        <w:t>乙方（咨询方）：</w:t>
      </w:r>
      <w:r>
        <w:rPr>
          <w:rFonts w:ascii="宋体" w:hAnsi="宋体"/>
          <w:color w:val="auto"/>
          <w:sz w:val="28"/>
          <w:szCs w:val="28"/>
          <w:highlight w:val="none"/>
        </w:rPr>
        <w:t xml:space="preserve"> </w:t>
      </w:r>
    </w:p>
    <w:p w14:paraId="6986FD00">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auto"/>
          <w:sz w:val="28"/>
          <w:szCs w:val="28"/>
          <w:highlight w:val="none"/>
        </w:rPr>
      </w:pPr>
      <w:r>
        <w:rPr>
          <w:rFonts w:hint="eastAsia" w:ascii="宋体" w:hAnsi="宋体" w:cs="宋体"/>
          <w:color w:val="auto"/>
          <w:sz w:val="28"/>
          <w:szCs w:val="28"/>
          <w:highlight w:val="none"/>
        </w:rPr>
        <w:t>签订日期：</w:t>
      </w:r>
    </w:p>
    <w:p w14:paraId="3D6E5E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根据《中华人民共和国民法典》及国家相关法律、法规，甲乙双方在平等自愿基础上，本着诚实信用原则，经甲乙双方协商一致，愿就项目编制</w:t>
      </w:r>
    </w:p>
    <w:p w14:paraId="5D182A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第一条：咨询方的义务</w:t>
      </w:r>
    </w:p>
    <w:p w14:paraId="44B886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1.1</w:t>
      </w:r>
      <w:r>
        <w:rPr>
          <w:rFonts w:hint="eastAsia" w:ascii="宋体" w:hAnsi="宋体" w:cs="宋体"/>
          <w:color w:val="auto"/>
          <w:sz w:val="28"/>
          <w:szCs w:val="28"/>
          <w:highlight w:val="none"/>
        </w:rPr>
        <w:t>按照委托方要求提供与建设项目前期工作咨询业务有关的资料，包括咨询的资质证书及承担本合同业务的专业人员名单、咨询工作计划等，并按合同专用条件中约定的范围实施咨询业务。</w:t>
      </w:r>
    </w:p>
    <w:p w14:paraId="519C6D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1.2</w:t>
      </w:r>
      <w:r>
        <w:rPr>
          <w:rFonts w:hint="eastAsia" w:ascii="宋体" w:hAnsi="宋体" w:cs="宋体"/>
          <w:color w:val="auto"/>
          <w:sz w:val="28"/>
          <w:szCs w:val="28"/>
          <w:highlight w:val="none"/>
        </w:rPr>
        <w:t>咨询方在履行本合同期间，向委托方提供本项目前期工作咨询服务。</w:t>
      </w:r>
    </w:p>
    <w:p w14:paraId="07F668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1.3</w:t>
      </w:r>
      <w:r>
        <w:rPr>
          <w:rFonts w:hint="eastAsia" w:ascii="宋体" w:hAnsi="宋体" w:cs="宋体"/>
          <w:color w:val="auto"/>
          <w:sz w:val="28"/>
          <w:szCs w:val="28"/>
          <w:highlight w:val="none"/>
        </w:rPr>
        <w:t>咨询方应在委托方按照咨询方要求而提供的与本项目咨询业务有关的全部资料之日起的第个工作日向委托方提交本合同工程项目的</w:t>
      </w:r>
      <w:r>
        <w:rPr>
          <w:rFonts w:hint="eastAsia" w:ascii="宋体" w:hAnsi="宋体"/>
          <w:color w:val="auto"/>
          <w:sz w:val="28"/>
          <w:szCs w:val="28"/>
          <w:highlight w:val="none"/>
        </w:rPr>
        <w:drawing>
          <wp:inline distT="0" distB="0" distL="114300" distR="114300">
            <wp:extent cx="177800" cy="127000"/>
            <wp:effectExtent l="0" t="0" r="1270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77800" cy="127000"/>
                    </a:xfrm>
                    <a:prstGeom prst="rect">
                      <a:avLst/>
                    </a:prstGeom>
                    <a:noFill/>
                    <a:ln>
                      <a:noFill/>
                    </a:ln>
                  </pic:spPr>
                </pic:pic>
              </a:graphicData>
            </a:graphic>
          </wp:inline>
        </w:drawing>
      </w:r>
    </w:p>
    <w:p w14:paraId="45E639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□项目建议书；</w:t>
      </w:r>
    </w:p>
    <w:p w14:paraId="7032DC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可行性研究报告；</w:t>
      </w:r>
    </w:p>
    <w:p w14:paraId="381DAF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□项目申请报告；</w:t>
      </w:r>
    </w:p>
    <w:p w14:paraId="2BB780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□项目后评估报告；</w:t>
      </w:r>
    </w:p>
    <w:p w14:paraId="7D8426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（在所选唯一项目前的□内打</w:t>
      </w:r>
      <w:r>
        <w:rPr>
          <w:rFonts w:ascii="宋体" w:hAnsi="宋体"/>
          <w:color w:val="auto"/>
          <w:sz w:val="28"/>
          <w:szCs w:val="28"/>
          <w:highlight w:val="none"/>
        </w:rPr>
        <w:t>“</w:t>
      </w:r>
      <w:r>
        <w:rPr>
          <w:rFonts w:hint="eastAsia" w:ascii="宋体" w:hAnsi="宋体" w:cs="宋体"/>
          <w:color w:val="auto"/>
          <w:sz w:val="28"/>
          <w:szCs w:val="28"/>
          <w:highlight w:val="none"/>
        </w:rPr>
        <w:t>√</w:t>
      </w:r>
      <w:r>
        <w:rPr>
          <w:rFonts w:ascii="宋体" w:hAnsi="宋体"/>
          <w:color w:val="auto"/>
          <w:sz w:val="28"/>
          <w:szCs w:val="28"/>
          <w:highlight w:val="none"/>
        </w:rPr>
        <w:t>”</w:t>
      </w:r>
      <w:r>
        <w:rPr>
          <w:rFonts w:hint="eastAsia" w:ascii="宋体" w:hAnsi="宋体" w:cs="宋体"/>
          <w:color w:val="auto"/>
          <w:sz w:val="28"/>
          <w:szCs w:val="28"/>
          <w:highlight w:val="none"/>
        </w:rPr>
        <w:t>，选择两项及以上或涂改的，本合同书无效。）</w:t>
      </w:r>
    </w:p>
    <w:p w14:paraId="6C03EE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委托方如在本合同期间对本项目提出重大变更、变动原始资料、数据，从而导致咨询方所作报告有较大修改甚至返工时，委托方应另行支付费用，费用金额由双方另行商定，不在本合同要求之内。</w:t>
      </w:r>
    </w:p>
    <w:p w14:paraId="564AAB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第二条：委托方的义务</w:t>
      </w:r>
    </w:p>
    <w:p w14:paraId="24E51E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1</w:t>
      </w:r>
      <w:r>
        <w:rPr>
          <w:rFonts w:hint="eastAsia" w:ascii="宋体" w:hAnsi="宋体" w:cs="宋体"/>
          <w:color w:val="auto"/>
          <w:sz w:val="28"/>
          <w:szCs w:val="28"/>
          <w:highlight w:val="none"/>
        </w:rPr>
        <w:t>委托方应负责与本建设工程咨询业务有关的第三方的协调，为咨询方工作提供外部条件。</w:t>
      </w:r>
    </w:p>
    <w:p w14:paraId="31DEE4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2</w:t>
      </w:r>
      <w:r>
        <w:rPr>
          <w:rFonts w:hint="eastAsia" w:ascii="宋体" w:hAnsi="宋体" w:cs="宋体"/>
          <w:color w:val="auto"/>
          <w:sz w:val="28"/>
          <w:szCs w:val="28"/>
          <w:highlight w:val="none"/>
        </w:rPr>
        <w:t>委托方应当在约定的时间内，免费并及时、准确的向咨询方提供与本项目咨询业务有关的资料。</w:t>
      </w:r>
    </w:p>
    <w:p w14:paraId="00D9D0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3</w:t>
      </w:r>
      <w:r>
        <w:rPr>
          <w:rFonts w:hint="eastAsia" w:ascii="宋体" w:hAnsi="宋体" w:cs="宋体"/>
          <w:color w:val="auto"/>
          <w:sz w:val="28"/>
          <w:szCs w:val="28"/>
          <w:highlight w:val="none"/>
        </w:rPr>
        <w:t>委托方应当在约定的时间内就咨询方书面提交并要求做出答复的事宜做出书面答复。咨询方要求第三方提供有关资料时，委托方应负责资料转达。</w:t>
      </w:r>
    </w:p>
    <w:p w14:paraId="0D55A0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4</w:t>
      </w:r>
      <w:r>
        <w:rPr>
          <w:rFonts w:hint="eastAsia" w:ascii="宋体" w:hAnsi="宋体" w:cs="宋体"/>
          <w:color w:val="auto"/>
          <w:sz w:val="28"/>
          <w:szCs w:val="28"/>
          <w:highlight w:val="none"/>
        </w:rPr>
        <w:t>委托方应当授权胜任本咨询业务的代表，负责与咨询方联系。</w:t>
      </w:r>
    </w:p>
    <w:p w14:paraId="5E545E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第三条：咨询方的权利</w:t>
      </w:r>
    </w:p>
    <w:p w14:paraId="49D667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s="宋体"/>
          <w:color w:val="auto"/>
          <w:sz w:val="28"/>
          <w:szCs w:val="28"/>
          <w:highlight w:val="none"/>
        </w:rPr>
        <w:t>委托方在委托的建设咨询业务范围内，授予咨询方以下权利：</w:t>
      </w:r>
    </w:p>
    <w:p w14:paraId="2D8017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1.1</w:t>
      </w:r>
      <w:r>
        <w:rPr>
          <w:rFonts w:hint="eastAsia" w:ascii="宋体" w:hAnsi="宋体" w:cs="宋体"/>
          <w:color w:val="auto"/>
          <w:sz w:val="28"/>
          <w:szCs w:val="28"/>
          <w:highlight w:val="none"/>
        </w:rPr>
        <w:t>咨询方在咨询过程中，如委托方提供的资料不明确时可向委托方提出书面报告。</w:t>
      </w:r>
    </w:p>
    <w:p w14:paraId="03C4A1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1.2咨询方在咨询过程中，有权对第三方提出与本咨询业务有关的问题进行核对或查问。</w:t>
      </w:r>
    </w:p>
    <w:p w14:paraId="0B5ED1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1.3咨询方在咨询过程中，有到工程现场勘察的权利。</w:t>
      </w:r>
    </w:p>
    <w:p w14:paraId="10A3D8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第四条委托方的权利</w:t>
      </w:r>
    </w:p>
    <w:p w14:paraId="332C44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4.1</w:t>
      </w:r>
      <w:r>
        <w:rPr>
          <w:rFonts w:hint="eastAsia" w:ascii="宋体" w:hAnsi="宋体" w:cs="宋体"/>
          <w:color w:val="auto"/>
          <w:sz w:val="28"/>
          <w:szCs w:val="28"/>
          <w:highlight w:val="none"/>
        </w:rPr>
        <w:t>委托方有下列权利：</w:t>
      </w:r>
    </w:p>
    <w:p w14:paraId="4144A5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4</w:t>
      </w:r>
      <w:r>
        <w:rPr>
          <w:rFonts w:hint="eastAsia" w:ascii="宋体" w:hAnsi="宋体" w:cs="宋体"/>
          <w:color w:val="auto"/>
          <w:sz w:val="28"/>
          <w:szCs w:val="28"/>
          <w:highlight w:val="none"/>
        </w:rPr>
        <w:t>．</w:t>
      </w:r>
      <w:r>
        <w:rPr>
          <w:rFonts w:ascii="宋体" w:hAnsi="宋体"/>
          <w:color w:val="auto"/>
          <w:sz w:val="28"/>
          <w:szCs w:val="28"/>
          <w:highlight w:val="none"/>
        </w:rPr>
        <w:t>1.1</w:t>
      </w:r>
      <w:r>
        <w:rPr>
          <w:rFonts w:hint="eastAsia" w:ascii="宋体" w:hAnsi="宋体" w:cs="宋体"/>
          <w:color w:val="auto"/>
          <w:sz w:val="28"/>
          <w:szCs w:val="28"/>
          <w:highlight w:val="none"/>
        </w:rPr>
        <w:t>委托方有权向咨询方询问工作进展情况及相关的内容。</w:t>
      </w:r>
    </w:p>
    <w:p w14:paraId="3186D1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ascii="宋体" w:hAnsi="宋体"/>
          <w:color w:val="auto"/>
          <w:sz w:val="28"/>
          <w:szCs w:val="28"/>
          <w:highlight w:val="none"/>
        </w:rPr>
        <w:t>4.1.2</w:t>
      </w:r>
      <w:r>
        <w:rPr>
          <w:rFonts w:hint="eastAsia" w:ascii="宋体" w:hAnsi="宋体" w:cs="宋体"/>
          <w:color w:val="auto"/>
          <w:sz w:val="28"/>
          <w:szCs w:val="28"/>
          <w:highlight w:val="none"/>
        </w:rPr>
        <w:t>委托方有权阐述对具体问题的意见和建议。</w:t>
      </w:r>
    </w:p>
    <w:p w14:paraId="66A17E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第五条：咨询方的责任</w:t>
      </w:r>
    </w:p>
    <w:p w14:paraId="73F6FD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5.1</w:t>
      </w:r>
      <w:r>
        <w:rPr>
          <w:rFonts w:hint="eastAsia" w:ascii="宋体" w:hAnsi="宋体" w:cs="宋体"/>
          <w:color w:val="auto"/>
          <w:sz w:val="28"/>
          <w:szCs w:val="28"/>
          <w:highlight w:val="none"/>
        </w:rPr>
        <w:t>咨询方的责任期即建设项目前期工作咨询合同有效期。如因非咨询方的责任造成进度的推迟或延误而超过约定的日期，双方协商解决。</w:t>
      </w:r>
    </w:p>
    <w:p w14:paraId="39EC20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5.2</w:t>
      </w:r>
      <w:r>
        <w:rPr>
          <w:rFonts w:hint="eastAsia" w:ascii="宋体" w:hAnsi="宋体" w:cs="宋体"/>
          <w:color w:val="auto"/>
          <w:sz w:val="28"/>
          <w:szCs w:val="28"/>
          <w:highlight w:val="none"/>
        </w:rPr>
        <w:t>咨询方责任期内，应当履行建设咨询合同中约定的义务，</w:t>
      </w:r>
    </w:p>
    <w:p w14:paraId="077138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因咨询方的单方过失造成的经济损失，应当向委托方进行赔偿。</w:t>
      </w:r>
    </w:p>
    <w:p w14:paraId="7ADA4D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第六条：委托方的责任</w:t>
      </w:r>
    </w:p>
    <w:p w14:paraId="3AB4B4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6.1</w:t>
      </w:r>
      <w:r>
        <w:rPr>
          <w:rFonts w:hint="eastAsia" w:ascii="宋体" w:hAnsi="宋体" w:cs="宋体"/>
          <w:color w:val="auto"/>
          <w:sz w:val="28"/>
          <w:szCs w:val="28"/>
          <w:highlight w:val="none"/>
        </w:rPr>
        <w:t>委托方应当履行建设项目前期工作咨询合同约定的义务。如有违反则应当承担违约责任，并赔偿咨询方所造成的损失。</w:t>
      </w:r>
    </w:p>
    <w:p w14:paraId="48E35A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ascii="宋体" w:hAnsi="宋体"/>
          <w:color w:val="auto"/>
          <w:sz w:val="28"/>
          <w:szCs w:val="28"/>
          <w:highlight w:val="none"/>
        </w:rPr>
        <w:t>6.2</w:t>
      </w:r>
      <w:r>
        <w:rPr>
          <w:rFonts w:hint="eastAsia" w:ascii="宋体" w:hAnsi="宋体" w:cs="宋体"/>
          <w:color w:val="auto"/>
          <w:sz w:val="28"/>
          <w:szCs w:val="28"/>
          <w:highlight w:val="none"/>
        </w:rPr>
        <w:t>委托方如果向咨询方提出赔偿或其他要求不能成立时，则应补偿由于该赔偿或其他要求所导致咨询方的各种费用的支出。</w:t>
      </w:r>
    </w:p>
    <w:p w14:paraId="030491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第七条：合同生效、变更与终止</w:t>
      </w:r>
    </w:p>
    <w:p w14:paraId="7D0139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7.1</w:t>
      </w:r>
      <w:r>
        <w:rPr>
          <w:rFonts w:hint="eastAsia" w:ascii="宋体" w:hAnsi="宋体" w:cs="宋体"/>
          <w:color w:val="auto"/>
          <w:sz w:val="28"/>
          <w:szCs w:val="28"/>
          <w:highlight w:val="none"/>
        </w:rPr>
        <w:t>本合同自双方签字盖章之日起生效。</w:t>
      </w:r>
    </w:p>
    <w:p w14:paraId="022106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7.</w:t>
      </w:r>
      <w:r>
        <w:rPr>
          <w:rFonts w:ascii="宋体" w:hAnsi="宋体"/>
          <w:color w:val="auto"/>
          <w:sz w:val="28"/>
          <w:szCs w:val="28"/>
          <w:highlight w:val="none"/>
        </w:rPr>
        <w:t>2</w:t>
      </w:r>
      <w:r>
        <w:rPr>
          <w:rFonts w:hint="eastAsia" w:ascii="宋体" w:hAnsi="宋体" w:cs="宋体"/>
          <w:color w:val="auto"/>
          <w:sz w:val="28"/>
          <w:szCs w:val="28"/>
          <w:highlight w:val="none"/>
        </w:rPr>
        <w:t>由于委托方的原因使咨询方工作受到阻碍或延误以致增加了工作量或持续时间，则咨询方应当就此情况与可能产生的影响及时书面通知委托方。由此增加的工作量视为额外服务，完成建设编制可行性研究报告工作的时间应当相应延长，并得到额外的酬金。</w:t>
      </w:r>
    </w:p>
    <w:p w14:paraId="7B9039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olor w:val="auto"/>
          <w:sz w:val="28"/>
          <w:szCs w:val="28"/>
          <w:highlight w:val="none"/>
        </w:rPr>
        <w:t>7.</w:t>
      </w:r>
      <w:r>
        <w:rPr>
          <w:rFonts w:ascii="宋体" w:hAnsi="宋体"/>
          <w:color w:val="auto"/>
          <w:sz w:val="28"/>
          <w:szCs w:val="28"/>
          <w:highlight w:val="none"/>
        </w:rPr>
        <w:t>3</w:t>
      </w:r>
      <w:r>
        <w:rPr>
          <w:rFonts w:hint="eastAsia" w:ascii="宋体" w:hAnsi="宋体" w:cs="宋体"/>
          <w:color w:val="auto"/>
          <w:sz w:val="28"/>
          <w:szCs w:val="28"/>
          <w:highlight w:val="none"/>
        </w:rPr>
        <w:t>当事人一方要求变更或解除合同时，则应当在</w:t>
      </w:r>
      <w:r>
        <w:rPr>
          <w:rFonts w:ascii="宋体" w:hAnsi="宋体"/>
          <w:color w:val="auto"/>
          <w:sz w:val="28"/>
          <w:szCs w:val="28"/>
          <w:highlight w:val="none"/>
        </w:rPr>
        <w:t xml:space="preserve"> 3</w:t>
      </w:r>
      <w:r>
        <w:rPr>
          <w:rFonts w:hint="eastAsia" w:ascii="宋体" w:hAnsi="宋体" w:cs="宋体"/>
          <w:color w:val="auto"/>
          <w:sz w:val="28"/>
          <w:szCs w:val="28"/>
          <w:highlight w:val="none"/>
        </w:rPr>
        <w:t>个工作日内通知对方；因变更或解除合同使一方损失的，应由责任方负责赔偿。</w:t>
      </w:r>
    </w:p>
    <w:p w14:paraId="6B5BD4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7.4</w:t>
      </w:r>
      <w:r>
        <w:rPr>
          <w:rFonts w:hint="eastAsia" w:ascii="宋体" w:hAnsi="宋体" w:cs="宋体"/>
          <w:color w:val="auto"/>
          <w:sz w:val="28"/>
          <w:szCs w:val="28"/>
          <w:highlight w:val="none"/>
        </w:rPr>
        <w:t>变更或解除合同的通知或协议应当采取书面形式，新的协</w:t>
      </w:r>
    </w:p>
    <w:p w14:paraId="6539E7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议未达成之前，原合同仍然有效。</w:t>
      </w:r>
    </w:p>
    <w:p w14:paraId="1A4818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第八条：咨询业务的酬金</w:t>
      </w:r>
    </w:p>
    <w:p w14:paraId="4FA0CA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8.1</w:t>
      </w:r>
      <w:r>
        <w:rPr>
          <w:rFonts w:hint="eastAsia" w:ascii="宋体" w:hAnsi="宋体" w:cs="宋体"/>
          <w:color w:val="auto"/>
          <w:sz w:val="28"/>
          <w:szCs w:val="28"/>
          <w:highlight w:val="none"/>
        </w:rPr>
        <w:t>本合同的酬金为本建设项目编制可行性研究报告的所有费用。</w:t>
      </w:r>
    </w:p>
    <w:p w14:paraId="13039E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olor w:val="auto"/>
          <w:sz w:val="28"/>
          <w:szCs w:val="28"/>
          <w:highlight w:val="none"/>
          <w:lang w:eastAsia="zh-CN"/>
        </w:rPr>
      </w:pPr>
      <w:r>
        <w:rPr>
          <w:rFonts w:ascii="宋体" w:hAnsi="宋体"/>
          <w:color w:val="auto"/>
          <w:sz w:val="28"/>
          <w:szCs w:val="28"/>
          <w:highlight w:val="none"/>
        </w:rPr>
        <w:t>8.2</w:t>
      </w:r>
      <w:r>
        <w:rPr>
          <w:rFonts w:hint="eastAsia" w:ascii="宋体" w:hAnsi="宋体" w:cs="宋体"/>
          <w:color w:val="auto"/>
          <w:sz w:val="28"/>
          <w:szCs w:val="28"/>
          <w:highlight w:val="none"/>
          <w:lang w:val="en-US" w:eastAsia="zh-CN"/>
        </w:rPr>
        <w:t>本项目酬金为</w:t>
      </w:r>
      <w:r>
        <w:rPr>
          <w:rFonts w:hint="eastAsia" w:ascii="宋体" w:hAnsi="宋体" w:cs="宋体"/>
          <w:color w:val="auto"/>
          <w:sz w:val="28"/>
          <w:szCs w:val="28"/>
          <w:highlight w:val="none"/>
        </w:rPr>
        <w:t>：人民币（大写）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color w:val="auto"/>
          <w:highlight w:val="none"/>
          <w:lang w:eastAsia="zh-CN"/>
        </w:rPr>
        <w:t>。</w:t>
      </w:r>
    </w:p>
    <w:p w14:paraId="5D34BB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8.3</w:t>
      </w:r>
      <w:r>
        <w:rPr>
          <w:rFonts w:hint="eastAsia" w:ascii="宋体" w:hAnsi="宋体" w:cs="宋体"/>
          <w:color w:val="auto"/>
          <w:sz w:val="28"/>
          <w:szCs w:val="28"/>
          <w:highlight w:val="none"/>
        </w:rPr>
        <w:t>付款方式</w:t>
      </w:r>
    </w:p>
    <w:p w14:paraId="05EAB4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乙方提供经甲方确认后的正式咨询报告后（纸质报告一式四份），并配合上级主管部门评审，取得可研批复后，甲方在20个工作日内一次性付款。</w:t>
      </w:r>
    </w:p>
    <w:p w14:paraId="26FDF3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w:t>
      </w:r>
      <w:r>
        <w:rPr>
          <w:rFonts w:hint="eastAsia" w:ascii="宋体" w:hAnsi="宋体" w:eastAsia="宋体" w:cs="宋体"/>
          <w:color w:val="auto"/>
          <w:sz w:val="28"/>
          <w:szCs w:val="28"/>
          <w:highlight w:val="none"/>
        </w:rPr>
        <w:t>甲方付款前乙方须提供增值税专用发票，否则甲方有权拒绝支付</w:t>
      </w:r>
      <w:r>
        <w:rPr>
          <w:rFonts w:hint="eastAsia" w:ascii="宋体" w:hAnsi="宋体" w:eastAsia="宋体" w:cs="宋体"/>
          <w:color w:val="auto"/>
          <w:sz w:val="28"/>
          <w:szCs w:val="28"/>
          <w:highlight w:val="none"/>
          <w:lang w:eastAsia="zh-CN"/>
        </w:rPr>
        <w:t>。</w:t>
      </w:r>
    </w:p>
    <w:p w14:paraId="3781DA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第九条：其他</w:t>
      </w:r>
    </w:p>
    <w:p w14:paraId="07AB01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1</w:t>
      </w:r>
      <w:r>
        <w:rPr>
          <w:rFonts w:hint="eastAsia" w:ascii="宋体" w:hAnsi="宋体" w:cs="宋体"/>
          <w:color w:val="auto"/>
          <w:sz w:val="28"/>
          <w:szCs w:val="28"/>
          <w:highlight w:val="none"/>
        </w:rPr>
        <w:t>因建设工程编制可行性研究报告业务的需要，咨询方在合同约定外的外出考察，经委托方同意，其所需费用由委托方负责。</w:t>
      </w:r>
    </w:p>
    <w:p w14:paraId="50636A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2</w:t>
      </w:r>
      <w:r>
        <w:rPr>
          <w:rFonts w:hint="eastAsia" w:ascii="宋体" w:hAnsi="宋体" w:cs="宋体"/>
          <w:color w:val="auto"/>
          <w:sz w:val="28"/>
          <w:szCs w:val="28"/>
          <w:highlight w:val="none"/>
        </w:rPr>
        <w:t>咨询方如需外聘专家协助，在委托的建设项目前期工作咨询业务范围内其费用由咨询方承担；在委托的建设项目前期工作咨询业务范围以外经委托方认可，其费用由委托方承担。</w:t>
      </w:r>
    </w:p>
    <w:p w14:paraId="2F11BE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3</w:t>
      </w:r>
      <w:r>
        <w:rPr>
          <w:rFonts w:hint="eastAsia" w:ascii="宋体" w:hAnsi="宋体" w:cs="宋体"/>
          <w:color w:val="auto"/>
          <w:sz w:val="28"/>
          <w:szCs w:val="28"/>
          <w:highlight w:val="none"/>
        </w:rPr>
        <w:t>未经对方的书面同意，各方均不得转让合同约定的权利和义务。</w:t>
      </w:r>
    </w:p>
    <w:p w14:paraId="2DB9E5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4</w:t>
      </w:r>
      <w:r>
        <w:rPr>
          <w:rFonts w:hint="eastAsia" w:ascii="宋体" w:hAnsi="宋体" w:cs="宋体"/>
          <w:color w:val="auto"/>
          <w:sz w:val="28"/>
          <w:szCs w:val="28"/>
          <w:highlight w:val="none"/>
        </w:rPr>
        <w:t>除委托方书面同意外，咨询方及咨询专业人员不应接受建设项目前期工作咨询合同约定以外的与项目前期工作咨询项目有关的任何报酬。咨询方不得参与可能与合同规定的与委托方利益相冲突的任何活动。</w:t>
      </w:r>
    </w:p>
    <w:p w14:paraId="02311F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5</w:t>
      </w:r>
      <w:r>
        <w:rPr>
          <w:rFonts w:hint="eastAsia" w:ascii="宋体" w:hAnsi="宋体" w:cs="宋体"/>
          <w:color w:val="auto"/>
          <w:sz w:val="28"/>
          <w:szCs w:val="28"/>
          <w:highlight w:val="none"/>
        </w:rPr>
        <w:t>本合同的建设项目前期工作咨询业务自委托方提交全部与本项目有关的咨询资料后开始实施，至委托方付清咨询业务酬金终结。</w:t>
      </w:r>
    </w:p>
    <w:p w14:paraId="638C41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6</w:t>
      </w:r>
      <w:r>
        <w:rPr>
          <w:rFonts w:hint="eastAsia" w:ascii="宋体" w:hAnsi="宋体" w:cs="宋体"/>
          <w:color w:val="auto"/>
          <w:sz w:val="28"/>
          <w:szCs w:val="28"/>
          <w:highlight w:val="none"/>
        </w:rPr>
        <w:t>咨询方对于其获得任何关于委托方的信息、资料负有保密义务。咨询方对由于其泄密而给委托方造成的损失负赔偿责任。</w:t>
      </w:r>
    </w:p>
    <w:p w14:paraId="4B2F51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w:t>
      </w:r>
      <w:r>
        <w:rPr>
          <w:rFonts w:ascii="宋体" w:hAnsi="宋体"/>
          <w:color w:val="auto"/>
          <w:sz w:val="28"/>
          <w:szCs w:val="28"/>
          <w:highlight w:val="none"/>
        </w:rPr>
        <w:t>7</w:t>
      </w:r>
      <w:r>
        <w:rPr>
          <w:rFonts w:hint="eastAsia" w:ascii="宋体" w:hAnsi="宋体" w:cs="宋体"/>
          <w:color w:val="auto"/>
          <w:sz w:val="28"/>
          <w:szCs w:val="28"/>
          <w:highlight w:val="none"/>
        </w:rPr>
        <w:t>甲乙双方本合同的累计赔偿总额不超过除去税金的项目报告编制费用总额。</w:t>
      </w:r>
    </w:p>
    <w:p w14:paraId="50D7EB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第十条：合同争议的解决</w:t>
      </w:r>
    </w:p>
    <w:p w14:paraId="429503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10.1</w:t>
      </w:r>
      <w:r>
        <w:rPr>
          <w:rFonts w:hint="eastAsia" w:ascii="宋体" w:hAnsi="宋体" w:cs="宋体"/>
          <w:color w:val="auto"/>
          <w:sz w:val="28"/>
          <w:szCs w:val="28"/>
          <w:highlight w:val="none"/>
        </w:rPr>
        <w:t>因违约、终止合同或其它行为而引起的损失和损害的赔</w:t>
      </w:r>
    </w:p>
    <w:p w14:paraId="3C5DA0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hint="eastAsia" w:ascii="宋体" w:hAnsi="宋体" w:cs="宋体"/>
          <w:color w:val="auto"/>
          <w:sz w:val="28"/>
          <w:szCs w:val="28"/>
          <w:highlight w:val="none"/>
        </w:rPr>
        <w:t>偿，委托方与咨询方之间应当协商解决；如协商或调节不成的，根据双方约定向合同履行地人民法院提起诉讼。</w:t>
      </w:r>
    </w:p>
    <w:p w14:paraId="7F64A1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10.2</w:t>
      </w:r>
      <w:r>
        <w:rPr>
          <w:rFonts w:hint="eastAsia" w:ascii="宋体" w:hAnsi="宋体" w:cs="宋体"/>
          <w:color w:val="auto"/>
          <w:sz w:val="28"/>
          <w:szCs w:val="28"/>
          <w:highlight w:val="none"/>
        </w:rPr>
        <w:t>本合同一式</w:t>
      </w:r>
      <w:r>
        <w:rPr>
          <w:rFonts w:hint="eastAsia" w:ascii="宋体" w:hAnsi="宋体" w:cs="宋体"/>
          <w:color w:val="auto"/>
          <w:sz w:val="28"/>
          <w:szCs w:val="28"/>
          <w:highlight w:val="none"/>
          <w:lang w:val="en-US" w:eastAsia="zh-CN"/>
        </w:rPr>
        <w:t>捌</w:t>
      </w:r>
      <w:r>
        <w:rPr>
          <w:rFonts w:hint="eastAsia" w:ascii="宋体" w:hAnsi="宋体" w:cs="宋体"/>
          <w:color w:val="auto"/>
          <w:sz w:val="28"/>
          <w:szCs w:val="28"/>
          <w:highlight w:val="none"/>
        </w:rPr>
        <w:t>份，具有同等法律效力，甲方执</w:t>
      </w:r>
      <w:r>
        <w:rPr>
          <w:rFonts w:hint="eastAsia" w:ascii="宋体" w:hAnsi="宋体" w:cs="宋体"/>
          <w:color w:val="auto"/>
          <w:sz w:val="28"/>
          <w:szCs w:val="28"/>
          <w:highlight w:val="none"/>
          <w:lang w:val="en-US" w:eastAsia="zh-CN"/>
        </w:rPr>
        <w:t>肆</w:t>
      </w:r>
      <w:r>
        <w:rPr>
          <w:rFonts w:hint="eastAsia" w:ascii="宋体" w:hAnsi="宋体" w:cs="宋体"/>
          <w:color w:val="auto"/>
          <w:sz w:val="28"/>
          <w:szCs w:val="28"/>
          <w:highlight w:val="none"/>
        </w:rPr>
        <w:t>份，乙方执</w:t>
      </w:r>
      <w:r>
        <w:rPr>
          <w:rFonts w:hint="eastAsia" w:ascii="宋体" w:hAnsi="宋体" w:cs="宋体"/>
          <w:color w:val="auto"/>
          <w:sz w:val="28"/>
          <w:szCs w:val="28"/>
          <w:highlight w:val="none"/>
          <w:lang w:val="en-US" w:eastAsia="zh-CN"/>
        </w:rPr>
        <w:t>肆</w:t>
      </w:r>
      <w:r>
        <w:rPr>
          <w:rFonts w:hint="eastAsia" w:ascii="宋体" w:hAnsi="宋体" w:cs="宋体"/>
          <w:color w:val="auto"/>
          <w:sz w:val="28"/>
          <w:szCs w:val="28"/>
          <w:highlight w:val="none"/>
        </w:rPr>
        <w:t>份。</w:t>
      </w:r>
    </w:p>
    <w:p w14:paraId="617FD4AB">
      <w:pPr>
        <w:pStyle w:val="32"/>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（以下无正文）</w:t>
      </w:r>
    </w:p>
    <w:p w14:paraId="1DBBA8AC">
      <w:pPr>
        <w:spacing w:line="600" w:lineRule="auto"/>
        <w:rPr>
          <w:rFonts w:ascii="宋体" w:hAnsi="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委托方：（盖章）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咨询方：（盖章）</w:t>
      </w:r>
    </w:p>
    <w:p w14:paraId="287F992E">
      <w:pPr>
        <w:spacing w:line="600" w:lineRule="auto"/>
        <w:rPr>
          <w:rFonts w:ascii="宋体" w:hAnsi="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委托代理人：</w:t>
      </w:r>
    </w:p>
    <w:p w14:paraId="26D629E4">
      <w:pPr>
        <w:spacing w:line="600" w:lineRule="auto"/>
        <w:rPr>
          <w:rFonts w:ascii="宋体" w:hAnsi="宋体"/>
          <w:color w:val="auto"/>
          <w:sz w:val="28"/>
          <w:szCs w:val="28"/>
          <w:highlight w:val="none"/>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经办人：</w:t>
      </w:r>
    </w:p>
    <w:p w14:paraId="669AE277">
      <w:pPr>
        <w:spacing w:line="600" w:lineRule="auto"/>
        <w:rPr>
          <w:rFonts w:hint="eastAsia" w:ascii="宋体" w:hAnsi="宋体" w:eastAsia="宋体"/>
          <w:color w:val="auto"/>
          <w:sz w:val="28"/>
          <w:szCs w:val="28"/>
          <w:highlight w:val="none"/>
          <w:lang w:val="en-US" w:eastAsia="zh-CN"/>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地址：</w:t>
      </w:r>
    </w:p>
    <w:p w14:paraId="1B7C7773">
      <w:pPr>
        <w:adjustRightInd w:val="0"/>
        <w:snapToGrid w:val="0"/>
        <w:spacing w:line="600" w:lineRule="auto"/>
        <w:rPr>
          <w:rFonts w:ascii="宋体" w:hAnsi="宋体"/>
          <w:color w:val="auto"/>
          <w:sz w:val="28"/>
          <w:szCs w:val="28"/>
          <w:highlight w:val="none"/>
        </w:rPr>
      </w:pPr>
      <w:r>
        <w:rPr>
          <w:rFonts w:hint="eastAsia" w:ascii="宋体" w:hAnsi="宋体" w:cs="宋体"/>
          <w:color w:val="auto"/>
          <w:sz w:val="28"/>
          <w:szCs w:val="28"/>
          <w:highlight w:val="none"/>
        </w:rPr>
        <w:t>电话：</w:t>
      </w:r>
      <w:r>
        <w:rPr>
          <w:rFonts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s="宋体"/>
          <w:color w:val="auto"/>
          <w:sz w:val="28"/>
          <w:szCs w:val="28"/>
          <w:highlight w:val="none"/>
        </w:rPr>
        <w:t>电话：</w:t>
      </w:r>
      <w:r>
        <w:rPr>
          <w:rFonts w:ascii="宋体" w:hAnsi="宋体"/>
          <w:color w:val="auto"/>
          <w:sz w:val="28"/>
          <w:szCs w:val="28"/>
          <w:highlight w:val="none"/>
        </w:rPr>
        <w:t xml:space="preserve">            </w:t>
      </w:r>
    </w:p>
    <w:p w14:paraId="5ECA28E4">
      <w:pPr>
        <w:adjustRightInd w:val="0"/>
        <w:snapToGrid w:val="0"/>
        <w:spacing w:line="600" w:lineRule="auto"/>
        <w:rPr>
          <w:rFonts w:hint="eastAsia"/>
          <w:color w:val="auto"/>
          <w:highlight w:val="none"/>
        </w:rPr>
      </w:pP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10065D38">
      <w:pPr>
        <w:rPr>
          <w:rFonts w:ascii="宋体" w:hAnsi="宋体"/>
          <w:color w:val="auto"/>
          <w:sz w:val="24"/>
          <w:highlight w:val="none"/>
        </w:rPr>
      </w:pPr>
      <w:r>
        <w:rPr>
          <w:rFonts w:ascii="宋体" w:hAnsi="宋体"/>
          <w:color w:val="auto"/>
          <w:sz w:val="24"/>
          <w:highlight w:val="none"/>
        </w:rPr>
        <w:br w:type="page"/>
      </w:r>
    </w:p>
    <w:p w14:paraId="61E8DA31">
      <w:pPr>
        <w:rPr>
          <w:rFonts w:ascii="宋体" w:hAnsi="宋体"/>
          <w:color w:val="auto"/>
          <w:sz w:val="24"/>
          <w:highlight w:val="none"/>
        </w:rPr>
      </w:pPr>
    </w:p>
    <w:p w14:paraId="387DAD52">
      <w:pPr>
        <w:rPr>
          <w:color w:val="auto"/>
          <w:highlight w:val="none"/>
        </w:rPr>
      </w:pPr>
    </w:p>
    <w:p w14:paraId="198A1598">
      <w:pPr>
        <w:rPr>
          <w:rFonts w:ascii="宋体" w:hAnsi="宋体"/>
          <w:color w:val="auto"/>
          <w:sz w:val="24"/>
          <w:highlight w:val="none"/>
        </w:rPr>
      </w:pPr>
    </w:p>
    <w:p w14:paraId="616B21D6">
      <w:pPr>
        <w:pStyle w:val="2"/>
        <w:spacing w:before="0" w:after="0" w:line="360" w:lineRule="auto"/>
        <w:jc w:val="center"/>
        <w:rPr>
          <w:rFonts w:ascii="宋体" w:hAnsi="宋体"/>
          <w:color w:val="auto"/>
          <w:sz w:val="52"/>
          <w:szCs w:val="52"/>
          <w:highlight w:val="none"/>
        </w:rPr>
      </w:pPr>
      <w:bookmarkStart w:id="275" w:name="_Toc509218844"/>
      <w:bookmarkStart w:id="276" w:name="_Toc8183"/>
      <w:bookmarkStart w:id="277" w:name="_Toc534185823"/>
      <w:bookmarkStart w:id="278" w:name="_Toc13474"/>
      <w:r>
        <w:rPr>
          <w:rFonts w:ascii="宋体" w:hAnsi="宋体"/>
          <w:color w:val="auto"/>
          <w:sz w:val="52"/>
          <w:szCs w:val="52"/>
          <w:highlight w:val="none"/>
        </w:rPr>
        <w:t>第 二 卷</w:t>
      </w:r>
      <w:bookmarkEnd w:id="275"/>
      <w:bookmarkEnd w:id="276"/>
      <w:bookmarkEnd w:id="277"/>
      <w:bookmarkEnd w:id="278"/>
    </w:p>
    <w:p w14:paraId="65FE02BB">
      <w:pPr>
        <w:spacing w:line="360" w:lineRule="auto"/>
        <w:rPr>
          <w:rFonts w:ascii="宋体" w:hAnsi="宋体"/>
          <w:color w:val="auto"/>
          <w:szCs w:val="20"/>
          <w:highlight w:val="none"/>
        </w:rPr>
      </w:pPr>
      <w:r>
        <w:rPr>
          <w:rFonts w:ascii="宋体" w:hAnsi="宋体"/>
          <w:color w:val="auto"/>
          <w:szCs w:val="20"/>
          <w:highlight w:val="none"/>
        </w:rPr>
        <w:br w:type="page"/>
      </w:r>
    </w:p>
    <w:p w14:paraId="5CBBA0AA">
      <w:pPr>
        <w:pStyle w:val="2"/>
        <w:spacing w:line="360" w:lineRule="auto"/>
        <w:jc w:val="center"/>
        <w:rPr>
          <w:rFonts w:ascii="宋体" w:hAnsi="宋体"/>
          <w:color w:val="auto"/>
          <w:highlight w:val="none"/>
        </w:rPr>
      </w:pPr>
      <w:bookmarkStart w:id="279" w:name="招标文件06章图纸"/>
      <w:bookmarkEnd w:id="279"/>
      <w:bookmarkStart w:id="280" w:name="_Toc22154"/>
      <w:bookmarkStart w:id="281" w:name="_Toc534185825"/>
      <w:bookmarkStart w:id="282" w:name="_Toc509218846"/>
      <w:bookmarkStart w:id="283" w:name="_Toc287607861"/>
      <w:bookmarkStart w:id="284" w:name="_Toc430530519"/>
      <w:bookmarkStart w:id="285" w:name="_Toc287620803"/>
      <w:bookmarkStart w:id="286" w:name="_Toc6385"/>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 xml:space="preserve">章  </w:t>
      </w:r>
      <w:bookmarkEnd w:id="280"/>
      <w:bookmarkEnd w:id="281"/>
      <w:bookmarkEnd w:id="282"/>
      <w:bookmarkEnd w:id="283"/>
      <w:bookmarkEnd w:id="284"/>
      <w:bookmarkEnd w:id="285"/>
      <w:r>
        <w:rPr>
          <w:rFonts w:hint="eastAsia" w:ascii="宋体" w:hAnsi="宋体"/>
          <w:color w:val="auto"/>
          <w:highlight w:val="none"/>
        </w:rPr>
        <w:t>发包人要求</w:t>
      </w:r>
      <w:bookmarkEnd w:id="286"/>
    </w:p>
    <w:p w14:paraId="5759690A">
      <w:pPr>
        <w:widowControl/>
        <w:spacing w:line="360" w:lineRule="auto"/>
        <w:ind w:firstLine="482" w:firstLineChars="200"/>
        <w:jc w:val="left"/>
        <w:rPr>
          <w:rFonts w:ascii="宋体" w:hAnsi="宋体"/>
          <w:color w:val="auto"/>
          <w:kern w:val="0"/>
          <w:sz w:val="24"/>
          <w:highlight w:val="none"/>
        </w:rPr>
      </w:pPr>
      <w:bookmarkStart w:id="287" w:name="招标文件06章图纸01"/>
      <w:bookmarkEnd w:id="287"/>
      <w:bookmarkStart w:id="288" w:name="_Toc430530520"/>
      <w:bookmarkStart w:id="289" w:name="_Toc287620804"/>
      <w:r>
        <w:rPr>
          <w:rFonts w:hint="eastAsia" w:ascii="宋体" w:hAnsi="宋体"/>
          <w:b/>
          <w:bCs/>
          <w:color w:val="auto"/>
          <w:kern w:val="0"/>
          <w:sz w:val="24"/>
          <w:highlight w:val="none"/>
        </w:rPr>
        <w:t>以国家和行业规范标准，按行政主管部门要求执行，比选人要求中标后提供。</w:t>
      </w:r>
    </w:p>
    <w:bookmarkEnd w:id="288"/>
    <w:bookmarkEnd w:id="289"/>
    <w:p w14:paraId="1E21D85C">
      <w:pPr>
        <w:rPr>
          <w:rFonts w:hint="eastAsia" w:ascii="宋体" w:hAnsi="宋体"/>
          <w:color w:val="auto"/>
          <w:sz w:val="52"/>
          <w:szCs w:val="52"/>
          <w:highlight w:val="none"/>
        </w:rPr>
      </w:pPr>
      <w:bookmarkStart w:id="290" w:name="_Toc17367"/>
      <w:bookmarkStart w:id="291" w:name="_Toc8804"/>
      <w:r>
        <w:rPr>
          <w:rFonts w:hint="eastAsia" w:ascii="宋体" w:hAnsi="宋体"/>
          <w:color w:val="auto"/>
          <w:sz w:val="52"/>
          <w:szCs w:val="52"/>
          <w:highlight w:val="none"/>
        </w:rPr>
        <w:br w:type="page"/>
      </w:r>
    </w:p>
    <w:p w14:paraId="5DE8E94B">
      <w:pPr>
        <w:pStyle w:val="2"/>
        <w:spacing w:before="0" w:after="0" w:line="360" w:lineRule="auto"/>
        <w:jc w:val="center"/>
        <w:rPr>
          <w:rFonts w:ascii="宋体" w:hAnsi="宋体"/>
          <w:color w:val="auto"/>
          <w:sz w:val="52"/>
          <w:szCs w:val="52"/>
          <w:highlight w:val="none"/>
        </w:rPr>
      </w:pPr>
      <w:r>
        <w:rPr>
          <w:rFonts w:hint="eastAsia" w:ascii="宋体" w:hAnsi="宋体"/>
          <w:color w:val="auto"/>
          <w:sz w:val="52"/>
          <w:szCs w:val="52"/>
          <w:highlight w:val="none"/>
        </w:rPr>
        <w:t>第 三 卷</w:t>
      </w:r>
      <w:bookmarkEnd w:id="290"/>
      <w:bookmarkEnd w:id="291"/>
      <w:bookmarkStart w:id="292" w:name="_Toc509218847"/>
      <w:bookmarkStart w:id="293" w:name="_Toc536621880"/>
      <w:bookmarkStart w:id="294" w:name="_Toc536620100"/>
      <w:bookmarkStart w:id="295" w:name="_Toc536797121"/>
      <w:bookmarkStart w:id="296" w:name="_Toc536619968"/>
      <w:bookmarkStart w:id="297" w:name="_Toc13210772"/>
      <w:bookmarkStart w:id="298" w:name="_Toc536628344"/>
      <w:bookmarkStart w:id="299" w:name="_Toc536796986"/>
      <w:bookmarkStart w:id="300" w:name="_Toc534185826"/>
      <w:bookmarkStart w:id="301" w:name="_Toc536797390"/>
      <w:bookmarkStart w:id="302" w:name="_Toc13211206"/>
      <w:bookmarkStart w:id="303" w:name="_Toc536796850"/>
      <w:bookmarkStart w:id="304" w:name="_Toc536797255"/>
      <w:bookmarkStart w:id="305" w:name="_Toc13211764"/>
    </w:p>
    <w:bookmarkEnd w:id="292"/>
    <w:p w14:paraId="4B4AC4C7">
      <w:pPr>
        <w:rPr>
          <w:color w:val="auto"/>
          <w:highlight w:val="none"/>
        </w:rPr>
      </w:pPr>
      <w:r>
        <w:rPr>
          <w:color w:val="auto"/>
          <w:highlight w:val="none"/>
        </w:rPr>
        <w:br w:type="page"/>
      </w:r>
      <w:bookmarkEnd w:id="293"/>
      <w:bookmarkEnd w:id="294"/>
      <w:bookmarkEnd w:id="295"/>
      <w:bookmarkEnd w:id="296"/>
      <w:bookmarkEnd w:id="297"/>
      <w:bookmarkEnd w:id="298"/>
      <w:bookmarkEnd w:id="299"/>
      <w:bookmarkEnd w:id="300"/>
      <w:bookmarkEnd w:id="301"/>
      <w:bookmarkEnd w:id="302"/>
      <w:bookmarkEnd w:id="303"/>
      <w:bookmarkEnd w:id="304"/>
      <w:bookmarkEnd w:id="305"/>
    </w:p>
    <w:bookmarkEnd w:id="272"/>
    <w:bookmarkEnd w:id="273"/>
    <w:bookmarkEnd w:id="274"/>
    <w:p w14:paraId="09768149">
      <w:pPr>
        <w:pStyle w:val="2"/>
        <w:spacing w:line="360" w:lineRule="auto"/>
        <w:jc w:val="center"/>
        <w:rPr>
          <w:rFonts w:ascii="宋体" w:hAnsi="宋体"/>
          <w:color w:val="auto"/>
          <w:highlight w:val="none"/>
        </w:rPr>
      </w:pPr>
      <w:bookmarkStart w:id="306" w:name="招标文件07章技术标准和要求"/>
      <w:bookmarkEnd w:id="306"/>
      <w:bookmarkStart w:id="307" w:name="_Toc287607865"/>
      <w:bookmarkStart w:id="308" w:name="_Toc855"/>
      <w:bookmarkStart w:id="309" w:name="_Toc23843"/>
      <w:bookmarkStart w:id="310" w:name="_Toc534185829"/>
      <w:bookmarkStart w:id="311" w:name="_Toc430530528"/>
      <w:bookmarkStart w:id="312" w:name="_Toc287620812"/>
      <w:bookmarkStart w:id="313" w:name="_Toc509218852"/>
      <w:r>
        <w:rPr>
          <w:rFonts w:hint="eastAsia" w:ascii="宋体" w:hAnsi="宋体"/>
          <w:color w:val="auto"/>
          <w:highlight w:val="none"/>
        </w:rPr>
        <w:t>第六章  竞标文件格式</w:t>
      </w:r>
      <w:bookmarkEnd w:id="307"/>
      <w:bookmarkEnd w:id="308"/>
      <w:bookmarkEnd w:id="309"/>
      <w:bookmarkEnd w:id="310"/>
      <w:bookmarkEnd w:id="311"/>
      <w:bookmarkEnd w:id="312"/>
      <w:bookmarkEnd w:id="313"/>
    </w:p>
    <w:p w14:paraId="511CBFDA">
      <w:pPr>
        <w:spacing w:line="360" w:lineRule="auto"/>
        <w:rPr>
          <w:rFonts w:ascii="宋体" w:hAnsi="宋体"/>
          <w:color w:val="auto"/>
          <w:sz w:val="32"/>
          <w:szCs w:val="32"/>
          <w:highlight w:val="none"/>
        </w:rPr>
      </w:pPr>
    </w:p>
    <w:p w14:paraId="6A493100">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szCs w:val="20"/>
          <w:highlight w:val="none"/>
        </w:rPr>
        <w:br w:type="page"/>
      </w:r>
    </w:p>
    <w:p w14:paraId="085B0B11">
      <w:pPr>
        <w:autoSpaceDE w:val="0"/>
        <w:autoSpaceDN w:val="0"/>
        <w:adjustRightInd w:val="0"/>
        <w:snapToGrid w:val="0"/>
        <w:spacing w:line="360" w:lineRule="auto"/>
        <w:jc w:val="center"/>
        <w:rPr>
          <w:rFonts w:ascii="宋体" w:hAnsi="宋体"/>
          <w:color w:val="auto"/>
          <w:kern w:val="0"/>
          <w:sz w:val="24"/>
          <w:szCs w:val="21"/>
          <w:highlight w:val="none"/>
        </w:rPr>
      </w:pPr>
    </w:p>
    <w:p w14:paraId="1D86F522">
      <w:pPr>
        <w:spacing w:line="360" w:lineRule="auto"/>
        <w:jc w:val="center"/>
        <w:rPr>
          <w:rFonts w:ascii="宋体" w:hAnsi="宋体"/>
          <w:color w:val="auto"/>
          <w:sz w:val="36"/>
          <w:szCs w:val="36"/>
          <w:highlight w:val="none"/>
        </w:rPr>
      </w:pPr>
      <w:bookmarkStart w:id="314" w:name="_Toc224103493"/>
      <w:bookmarkStart w:id="315" w:name="_Toc430530530"/>
      <w:bookmarkStart w:id="316" w:name="_Toc534185831"/>
      <w:bookmarkStart w:id="317" w:name="_Toc287607867"/>
      <w:bookmarkStart w:id="318" w:name="_Toc277082643"/>
      <w:bookmarkStart w:id="319" w:name="_Toc287620814"/>
      <w:bookmarkStart w:id="320" w:name="_Toc509218854"/>
      <w:bookmarkStart w:id="321" w:name="_Toc224103495"/>
      <w:r>
        <w:rPr>
          <w:rFonts w:hint="eastAsia" w:ascii="宋体" w:hAnsi="宋体"/>
          <w:color w:val="auto"/>
          <w:sz w:val="36"/>
          <w:szCs w:val="36"/>
          <w:highlight w:val="none"/>
        </w:rPr>
        <w:t>目  录</w:t>
      </w:r>
      <w:bookmarkEnd w:id="314"/>
    </w:p>
    <w:p w14:paraId="62175FD7">
      <w:pPr>
        <w:spacing w:line="360" w:lineRule="auto"/>
        <w:jc w:val="center"/>
        <w:rPr>
          <w:rFonts w:ascii="宋体" w:hAnsi="宋体"/>
          <w:color w:val="auto"/>
          <w:szCs w:val="20"/>
          <w:highlight w:val="none"/>
        </w:rPr>
      </w:pPr>
    </w:p>
    <w:p w14:paraId="0EE8C8F8">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rPr>
        <w:t>竞标</w:t>
      </w:r>
      <w:r>
        <w:rPr>
          <w:rFonts w:ascii="宋体" w:hAnsi="宋体"/>
          <w:b/>
          <w:color w:val="auto"/>
          <w:highlight w:val="none"/>
        </w:rPr>
        <w:t>函部分</w:t>
      </w:r>
    </w:p>
    <w:p w14:paraId="081BEC0D">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竞标</w:t>
      </w:r>
      <w:r>
        <w:rPr>
          <w:rFonts w:ascii="宋体" w:hAnsi="宋体"/>
          <w:color w:val="auto"/>
          <w:highlight w:val="none"/>
        </w:rPr>
        <w:t>函</w:t>
      </w:r>
    </w:p>
    <w:p w14:paraId="6E36A81E">
      <w:pPr>
        <w:pStyle w:val="18"/>
        <w:ind w:firstLine="420" w:firstLineChars="200"/>
        <w:rPr>
          <w:color w:val="auto"/>
          <w:highlight w:val="none"/>
        </w:rPr>
      </w:pPr>
      <w:r>
        <w:rPr>
          <w:rFonts w:hint="eastAsia"/>
          <w:color w:val="auto"/>
          <w:highlight w:val="none"/>
        </w:rPr>
        <w:t>（二）法定代表人身份证明或附有法定代表人身份证明的授权委托书</w:t>
      </w:r>
    </w:p>
    <w:p w14:paraId="5E2D49B9">
      <w:pPr>
        <w:spacing w:line="360" w:lineRule="auto"/>
        <w:rPr>
          <w:rFonts w:ascii="宋体" w:hAnsi="宋体"/>
          <w:b/>
          <w:color w:val="auto"/>
          <w:highlight w:val="none"/>
        </w:rPr>
      </w:pPr>
      <w:r>
        <w:rPr>
          <w:rFonts w:hint="eastAsia" w:ascii="宋体" w:hAnsi="宋体"/>
          <w:b/>
          <w:color w:val="auto"/>
          <w:highlight w:val="none"/>
        </w:rPr>
        <w:t xml:space="preserve">二 </w:t>
      </w:r>
      <w:r>
        <w:rPr>
          <w:rFonts w:ascii="宋体" w:hAnsi="宋体"/>
          <w:b/>
          <w:color w:val="auto"/>
          <w:highlight w:val="none"/>
        </w:rPr>
        <w:t>、技术部分（不设置</w:t>
      </w:r>
      <w:r>
        <w:rPr>
          <w:rFonts w:hint="eastAsia" w:ascii="宋体" w:hAnsi="宋体"/>
          <w:b/>
          <w:color w:val="auto"/>
          <w:highlight w:val="none"/>
        </w:rPr>
        <w:t>技术方案</w:t>
      </w:r>
      <w:r>
        <w:rPr>
          <w:rFonts w:ascii="宋体" w:hAnsi="宋体"/>
          <w:b/>
          <w:color w:val="auto"/>
          <w:highlight w:val="none"/>
        </w:rPr>
        <w:t>评审的不设此部分）</w:t>
      </w:r>
    </w:p>
    <w:p w14:paraId="3AC05BB8">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0807CC0C">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资格审查部分</w:t>
      </w:r>
    </w:p>
    <w:p w14:paraId="70578191">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0C7F69A4">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18C0EE4C">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799EB378">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5861DB79">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00640CD5">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p>
    <w:bookmarkEnd w:id="315"/>
    <w:bookmarkEnd w:id="316"/>
    <w:bookmarkEnd w:id="317"/>
    <w:bookmarkEnd w:id="318"/>
    <w:bookmarkEnd w:id="319"/>
    <w:bookmarkEnd w:id="320"/>
    <w:bookmarkEnd w:id="321"/>
    <w:p w14:paraId="52FA06DB">
      <w:pPr>
        <w:pStyle w:val="3"/>
        <w:spacing w:line="360" w:lineRule="auto"/>
        <w:jc w:val="center"/>
        <w:rPr>
          <w:rFonts w:ascii="宋体" w:hAnsi="宋体"/>
          <w:b w:val="0"/>
          <w:bCs w:val="0"/>
          <w:color w:val="auto"/>
          <w:sz w:val="44"/>
          <w:szCs w:val="44"/>
          <w:highlight w:val="none"/>
        </w:rPr>
      </w:pPr>
      <w:bookmarkStart w:id="322" w:name="_Toc19476"/>
      <w:bookmarkStart w:id="323" w:name="_Toc16177"/>
      <w:bookmarkStart w:id="324" w:name="_Toc29644"/>
      <w:bookmarkStart w:id="325" w:name="_Toc804"/>
      <w:bookmarkStart w:id="326" w:name="_Toc277082656"/>
      <w:bookmarkStart w:id="327" w:name="_Toc287607882"/>
      <w:bookmarkStart w:id="328" w:name="_Toc287620829"/>
      <w:bookmarkStart w:id="329" w:name="_Toc224103510"/>
      <w:bookmarkStart w:id="330" w:name="_Toc430530545"/>
      <w:bookmarkStart w:id="331" w:name="_Toc27141"/>
      <w:r>
        <w:rPr>
          <w:rFonts w:hint="eastAsia" w:ascii="宋体" w:hAnsi="宋体"/>
          <w:b w:val="0"/>
          <w:bCs w:val="0"/>
          <w:color w:val="auto"/>
          <w:sz w:val="44"/>
          <w:szCs w:val="44"/>
          <w:highlight w:val="none"/>
        </w:rPr>
        <w:t>一、竞标函部分</w:t>
      </w:r>
      <w:bookmarkEnd w:id="322"/>
      <w:bookmarkEnd w:id="323"/>
    </w:p>
    <w:p w14:paraId="49B08F8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6E85F3F">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6DE942A">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3FB1E2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5882D0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AB78A5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AC6F7E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067B2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3A4ADD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0DB7773E">
      <w:pPr>
        <w:autoSpaceDE w:val="0"/>
        <w:autoSpaceDN w:val="0"/>
        <w:adjustRightInd w:val="0"/>
        <w:snapToGrid w:val="0"/>
        <w:spacing w:line="360" w:lineRule="auto"/>
        <w:jc w:val="left"/>
        <w:rPr>
          <w:rFonts w:ascii="宋体" w:hAnsi="宋体"/>
          <w:color w:val="auto"/>
          <w:kern w:val="0"/>
          <w:sz w:val="16"/>
          <w:szCs w:val="16"/>
          <w:highlight w:val="none"/>
        </w:rPr>
      </w:pPr>
    </w:p>
    <w:p w14:paraId="65815E37">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竞标函部分</w:t>
      </w:r>
    </w:p>
    <w:p w14:paraId="04503FE0">
      <w:pPr>
        <w:autoSpaceDE w:val="0"/>
        <w:autoSpaceDN w:val="0"/>
        <w:adjustRightInd w:val="0"/>
        <w:snapToGrid w:val="0"/>
        <w:spacing w:line="360" w:lineRule="auto"/>
        <w:jc w:val="left"/>
        <w:rPr>
          <w:rFonts w:ascii="宋体" w:hAnsi="宋体"/>
          <w:b/>
          <w:color w:val="auto"/>
          <w:kern w:val="0"/>
          <w:sz w:val="20"/>
          <w:szCs w:val="20"/>
          <w:highlight w:val="none"/>
        </w:rPr>
      </w:pPr>
    </w:p>
    <w:p w14:paraId="54F9FF37">
      <w:pPr>
        <w:autoSpaceDE w:val="0"/>
        <w:autoSpaceDN w:val="0"/>
        <w:adjustRightInd w:val="0"/>
        <w:snapToGrid w:val="0"/>
        <w:spacing w:line="360" w:lineRule="auto"/>
        <w:jc w:val="left"/>
        <w:rPr>
          <w:rFonts w:ascii="宋体" w:hAnsi="宋体"/>
          <w:b/>
          <w:color w:val="auto"/>
          <w:kern w:val="0"/>
          <w:sz w:val="20"/>
          <w:szCs w:val="20"/>
          <w:highlight w:val="none"/>
        </w:rPr>
      </w:pPr>
    </w:p>
    <w:p w14:paraId="734D97E7">
      <w:pPr>
        <w:autoSpaceDE w:val="0"/>
        <w:autoSpaceDN w:val="0"/>
        <w:adjustRightInd w:val="0"/>
        <w:snapToGrid w:val="0"/>
        <w:spacing w:line="360" w:lineRule="auto"/>
        <w:jc w:val="left"/>
        <w:rPr>
          <w:rFonts w:ascii="宋体" w:hAnsi="宋体"/>
          <w:b/>
          <w:color w:val="auto"/>
          <w:kern w:val="0"/>
          <w:sz w:val="20"/>
          <w:szCs w:val="20"/>
          <w:highlight w:val="none"/>
        </w:rPr>
      </w:pPr>
    </w:p>
    <w:p w14:paraId="4B998C16">
      <w:pPr>
        <w:autoSpaceDE w:val="0"/>
        <w:autoSpaceDN w:val="0"/>
        <w:adjustRightInd w:val="0"/>
        <w:snapToGrid w:val="0"/>
        <w:spacing w:line="360" w:lineRule="auto"/>
        <w:jc w:val="left"/>
        <w:rPr>
          <w:rFonts w:ascii="宋体" w:hAnsi="宋体"/>
          <w:b/>
          <w:color w:val="auto"/>
          <w:kern w:val="0"/>
          <w:sz w:val="20"/>
          <w:szCs w:val="20"/>
          <w:highlight w:val="none"/>
        </w:rPr>
      </w:pPr>
    </w:p>
    <w:p w14:paraId="182A9498">
      <w:pPr>
        <w:autoSpaceDE w:val="0"/>
        <w:autoSpaceDN w:val="0"/>
        <w:adjustRightInd w:val="0"/>
        <w:snapToGrid w:val="0"/>
        <w:spacing w:line="360" w:lineRule="auto"/>
        <w:jc w:val="left"/>
        <w:rPr>
          <w:rFonts w:ascii="宋体" w:hAnsi="宋体"/>
          <w:b/>
          <w:color w:val="auto"/>
          <w:kern w:val="0"/>
          <w:sz w:val="20"/>
          <w:szCs w:val="20"/>
          <w:highlight w:val="none"/>
        </w:rPr>
      </w:pPr>
    </w:p>
    <w:p w14:paraId="7BE08816">
      <w:pPr>
        <w:autoSpaceDE w:val="0"/>
        <w:autoSpaceDN w:val="0"/>
        <w:adjustRightInd w:val="0"/>
        <w:snapToGrid w:val="0"/>
        <w:spacing w:line="360" w:lineRule="auto"/>
        <w:jc w:val="left"/>
        <w:rPr>
          <w:rFonts w:ascii="宋体" w:hAnsi="宋体"/>
          <w:b/>
          <w:color w:val="auto"/>
          <w:kern w:val="0"/>
          <w:sz w:val="20"/>
          <w:szCs w:val="20"/>
          <w:highlight w:val="none"/>
        </w:rPr>
      </w:pPr>
    </w:p>
    <w:p w14:paraId="7B5D8FEA">
      <w:pPr>
        <w:autoSpaceDE w:val="0"/>
        <w:autoSpaceDN w:val="0"/>
        <w:adjustRightInd w:val="0"/>
        <w:snapToGrid w:val="0"/>
        <w:spacing w:line="360" w:lineRule="auto"/>
        <w:jc w:val="left"/>
        <w:rPr>
          <w:rFonts w:ascii="宋体" w:hAnsi="宋体"/>
          <w:b/>
          <w:color w:val="auto"/>
          <w:kern w:val="0"/>
          <w:sz w:val="20"/>
          <w:szCs w:val="20"/>
          <w:highlight w:val="none"/>
        </w:rPr>
      </w:pPr>
    </w:p>
    <w:p w14:paraId="0E0837A4">
      <w:pPr>
        <w:autoSpaceDE w:val="0"/>
        <w:autoSpaceDN w:val="0"/>
        <w:adjustRightInd w:val="0"/>
        <w:snapToGrid w:val="0"/>
        <w:spacing w:line="360" w:lineRule="auto"/>
        <w:jc w:val="left"/>
        <w:rPr>
          <w:rFonts w:ascii="宋体" w:hAnsi="宋体"/>
          <w:b/>
          <w:color w:val="auto"/>
          <w:kern w:val="0"/>
          <w:sz w:val="20"/>
          <w:szCs w:val="20"/>
          <w:highlight w:val="none"/>
        </w:rPr>
      </w:pPr>
    </w:p>
    <w:p w14:paraId="7D1083AD">
      <w:pPr>
        <w:autoSpaceDE w:val="0"/>
        <w:autoSpaceDN w:val="0"/>
        <w:adjustRightInd w:val="0"/>
        <w:snapToGrid w:val="0"/>
        <w:spacing w:line="360" w:lineRule="auto"/>
        <w:jc w:val="left"/>
        <w:rPr>
          <w:rFonts w:ascii="宋体" w:hAnsi="宋体"/>
          <w:b/>
          <w:color w:val="auto"/>
          <w:kern w:val="0"/>
          <w:sz w:val="20"/>
          <w:szCs w:val="20"/>
          <w:highlight w:val="none"/>
        </w:rPr>
      </w:pPr>
    </w:p>
    <w:p w14:paraId="5517C1A5">
      <w:pPr>
        <w:autoSpaceDE w:val="0"/>
        <w:autoSpaceDN w:val="0"/>
        <w:adjustRightInd w:val="0"/>
        <w:snapToGrid w:val="0"/>
        <w:spacing w:line="360" w:lineRule="auto"/>
        <w:jc w:val="left"/>
        <w:rPr>
          <w:rFonts w:ascii="宋体" w:hAnsi="宋体"/>
          <w:b/>
          <w:color w:val="auto"/>
          <w:kern w:val="0"/>
          <w:sz w:val="20"/>
          <w:szCs w:val="20"/>
          <w:highlight w:val="none"/>
        </w:rPr>
      </w:pPr>
    </w:p>
    <w:p w14:paraId="202CECE9">
      <w:pPr>
        <w:autoSpaceDE w:val="0"/>
        <w:autoSpaceDN w:val="0"/>
        <w:adjustRightInd w:val="0"/>
        <w:snapToGrid w:val="0"/>
        <w:spacing w:line="360" w:lineRule="auto"/>
        <w:jc w:val="left"/>
        <w:rPr>
          <w:rFonts w:ascii="宋体" w:hAnsi="宋体"/>
          <w:b/>
          <w:color w:val="auto"/>
          <w:kern w:val="0"/>
          <w:sz w:val="20"/>
          <w:szCs w:val="20"/>
          <w:highlight w:val="none"/>
        </w:rPr>
      </w:pPr>
    </w:p>
    <w:p w14:paraId="0B45D8CA">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2CDE96E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DD2880C">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28EA43A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5B24B4C">
      <w:pPr>
        <w:autoSpaceDE w:val="0"/>
        <w:autoSpaceDN w:val="0"/>
        <w:adjustRightInd w:val="0"/>
        <w:snapToGrid w:val="0"/>
        <w:spacing w:line="360" w:lineRule="auto"/>
        <w:jc w:val="left"/>
        <w:rPr>
          <w:rFonts w:ascii="宋体" w:hAnsi="宋体"/>
          <w:color w:val="auto"/>
          <w:kern w:val="0"/>
          <w:sz w:val="24"/>
          <w:szCs w:val="21"/>
          <w:highlight w:val="none"/>
        </w:rPr>
      </w:pPr>
    </w:p>
    <w:p w14:paraId="0655B9E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rPr>
        <w:t>竞标</w:t>
      </w:r>
      <w:r>
        <w:rPr>
          <w:rFonts w:ascii="宋体" w:hAnsi="宋体"/>
          <w:color w:val="auto"/>
          <w:kern w:val="0"/>
          <w:sz w:val="24"/>
          <w:highlight w:val="none"/>
        </w:rPr>
        <w:t>函</w:t>
      </w:r>
    </w:p>
    <w:p w14:paraId="6575AABA">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7F078EE4">
      <w:pPr>
        <w:autoSpaceDE w:val="0"/>
        <w:autoSpaceDN w:val="0"/>
        <w:adjustRightInd w:val="0"/>
        <w:snapToGrid w:val="0"/>
        <w:spacing w:line="360" w:lineRule="auto"/>
        <w:jc w:val="left"/>
        <w:rPr>
          <w:rFonts w:ascii="宋体" w:hAnsi="宋体"/>
          <w:color w:val="auto"/>
          <w:w w:val="99"/>
          <w:kern w:val="0"/>
          <w:sz w:val="28"/>
          <w:szCs w:val="28"/>
          <w:highlight w:val="none"/>
        </w:rPr>
      </w:pPr>
    </w:p>
    <w:p w14:paraId="74C359B9">
      <w:pPr>
        <w:pStyle w:val="4"/>
        <w:spacing w:before="0" w:after="0" w:line="400" w:lineRule="exact"/>
        <w:jc w:val="center"/>
        <w:rPr>
          <w:rFonts w:ascii="宋体" w:hAnsi="宋体"/>
          <w:b w:val="0"/>
          <w:color w:val="auto"/>
          <w:highlight w:val="none"/>
        </w:rPr>
      </w:pPr>
      <w:r>
        <w:rPr>
          <w:rFonts w:ascii="宋体" w:hAnsi="宋体"/>
          <w:color w:val="auto"/>
          <w:highlight w:val="none"/>
        </w:rPr>
        <w:br w:type="page"/>
      </w:r>
      <w:bookmarkStart w:id="332" w:name="_Toc11204"/>
      <w:bookmarkStart w:id="333" w:name="_Toc26071"/>
      <w:r>
        <w:rPr>
          <w:rFonts w:hint="eastAsia"/>
          <w:color w:val="auto"/>
          <w:highlight w:val="none"/>
        </w:rPr>
        <w:t>（一）竞标函</w:t>
      </w:r>
      <w:bookmarkEnd w:id="332"/>
      <w:bookmarkEnd w:id="333"/>
    </w:p>
    <w:p w14:paraId="51329466">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val="en-US"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2FEDBA1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（项目名称）招标项目招标文件的全部内容，愿意以下列方式对</w:t>
      </w:r>
      <w:r>
        <w:rPr>
          <w:rFonts w:hint="eastAsia" w:ascii="宋体" w:hAnsi="宋体"/>
          <w:snapToGrid w:val="0"/>
          <w:color w:val="auto"/>
          <w:kern w:val="0"/>
          <w:szCs w:val="21"/>
          <w:highlight w:val="none"/>
          <w:lang w:val="en-US" w:eastAsia="zh-CN"/>
        </w:rPr>
        <w:t>咨询</w:t>
      </w:r>
      <w:r>
        <w:rPr>
          <w:rFonts w:hint="eastAsia" w:ascii="宋体" w:hAnsi="宋体"/>
          <w:snapToGrid w:val="0"/>
          <w:color w:val="auto"/>
          <w:kern w:val="0"/>
          <w:szCs w:val="21"/>
          <w:highlight w:val="none"/>
        </w:rPr>
        <w:t>费</w:t>
      </w:r>
      <w:r>
        <w:rPr>
          <w:rFonts w:ascii="宋体" w:hAnsi="宋体"/>
          <w:snapToGrid w:val="0"/>
          <w:color w:val="auto"/>
          <w:kern w:val="0"/>
          <w:szCs w:val="21"/>
          <w:highlight w:val="none"/>
        </w:rPr>
        <w:t>进行报价</w:t>
      </w:r>
      <w:r>
        <w:rPr>
          <w:rFonts w:hint="eastAsia" w:ascii="宋体" w:hAnsi="宋体"/>
          <w:snapToGrid w:val="0"/>
          <w:color w:val="auto"/>
          <w:kern w:val="0"/>
          <w:szCs w:val="21"/>
          <w:highlight w:val="none"/>
        </w:rPr>
        <w:t>：</w:t>
      </w:r>
      <w:r>
        <w:rPr>
          <w:rFonts w:hint="eastAsia" w:ascii="宋体" w:hAnsi="宋体" w:cs="宋体"/>
          <w:color w:val="auto"/>
          <w:szCs w:val="21"/>
          <w:highlight w:val="none"/>
          <w:lang w:val="en-US" w:eastAsia="zh-CN"/>
        </w:rPr>
        <w:t>咨询</w:t>
      </w:r>
      <w:r>
        <w:rPr>
          <w:rFonts w:hint="eastAsia" w:ascii="宋体" w:hAnsi="宋体" w:cs="宋体"/>
          <w:color w:val="auto"/>
          <w:szCs w:val="21"/>
          <w:highlight w:val="none"/>
        </w:rPr>
        <w:t>费</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服务期限</w:t>
      </w:r>
      <w:r>
        <w:rPr>
          <w:rFonts w:hint="eastAsia" w:ascii="宋体" w:hAnsi="宋体"/>
          <w:snapToGrid w:val="0"/>
          <w:color w:val="auto"/>
          <w:kern w:val="0"/>
          <w:szCs w:val="21"/>
          <w:highlight w:val="none"/>
          <w:u w:val="single"/>
        </w:rPr>
        <w:t>符合比选文件的要求</w:t>
      </w:r>
      <w:r>
        <w:rPr>
          <w:rFonts w:ascii="宋体" w:hAnsi="宋体"/>
          <w:snapToGrid w:val="0"/>
          <w:color w:val="auto"/>
          <w:kern w:val="0"/>
          <w:szCs w:val="21"/>
          <w:highlight w:val="none"/>
        </w:rPr>
        <w:t>，</w:t>
      </w:r>
      <w:r>
        <w:rPr>
          <w:rFonts w:hint="eastAsia" w:ascii="宋体" w:hAnsi="宋体" w:cs="宋体"/>
          <w:color w:val="auto"/>
          <w:szCs w:val="21"/>
          <w:highlight w:val="none"/>
        </w:rPr>
        <w:t>服务质量</w:t>
      </w:r>
      <w:r>
        <w:rPr>
          <w:rFonts w:hint="eastAsia" w:ascii="宋体" w:hAnsi="宋体" w:cs="宋体"/>
          <w:color w:val="auto"/>
          <w:szCs w:val="21"/>
          <w:highlight w:val="none"/>
          <w:u w:val="single"/>
        </w:rPr>
        <w:t>达到比选文件的要求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lang w:val="en-US" w:eastAsia="zh-CN"/>
        </w:rPr>
        <w:t>咨询服务</w:t>
      </w:r>
      <w:r>
        <w:rPr>
          <w:rFonts w:ascii="宋体" w:hAnsi="宋体"/>
          <w:snapToGrid w:val="0"/>
          <w:color w:val="auto"/>
          <w:kern w:val="0"/>
          <w:szCs w:val="21"/>
          <w:highlight w:val="none"/>
        </w:rPr>
        <w:t>工作。</w:t>
      </w:r>
    </w:p>
    <w:p w14:paraId="6CB09165">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文件规定的投标有效期，</w:t>
      </w:r>
      <w:r>
        <w:rPr>
          <w:rFonts w:ascii="宋体" w:hAnsi="宋体"/>
          <w:snapToGrid w:val="0"/>
          <w:color w:val="auto"/>
          <w:kern w:val="0"/>
          <w:szCs w:val="21"/>
          <w:highlight w:val="none"/>
        </w:rPr>
        <w:t>在投标有效期内不修改、撤销投标文件。</w:t>
      </w:r>
    </w:p>
    <w:p w14:paraId="0FD700A1">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竞标函</w:t>
      </w:r>
      <w:r>
        <w:rPr>
          <w:rFonts w:ascii="宋体" w:hAnsi="宋体"/>
          <w:snapToGrid w:val="0"/>
          <w:color w:val="auto"/>
          <w:kern w:val="0"/>
          <w:szCs w:val="21"/>
          <w:highlight w:val="none"/>
        </w:rPr>
        <w:t>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文件的相关规定，投标保证金的受益人为</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w:t>
      </w:r>
    </w:p>
    <w:p w14:paraId="0986A84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0C36A0D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715F454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327846A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（3）按照招标文件要求提交履约保证金</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w:t>
      </w:r>
    </w:p>
    <w:p w14:paraId="33A31FFC">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45F4C33E">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lang w:val="en-US" w:eastAsia="zh-CN"/>
        </w:rPr>
        <w:t>咨询</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76B3E9B4">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w:t>
      </w:r>
      <w:r>
        <w:rPr>
          <w:rFonts w:hint="eastAsia"/>
          <w:color w:val="auto"/>
          <w:szCs w:val="21"/>
          <w:highlight w:val="none"/>
          <w:lang w:val="en-US" w:eastAsia="zh-CN"/>
        </w:rPr>
        <w:t>咨询</w:t>
      </w:r>
      <w:r>
        <w:rPr>
          <w:rFonts w:hint="eastAsia"/>
          <w:color w:val="auto"/>
          <w:szCs w:val="21"/>
          <w:highlight w:val="none"/>
        </w:rPr>
        <w:t>成果符合相关行业标准，满足相关部门验收要求。</w:t>
      </w:r>
    </w:p>
    <w:p w14:paraId="3382ACD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lang w:val="en-US" w:eastAsia="zh-CN"/>
        </w:rPr>
        <w:t>竞标</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30921902">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6C48240B">
      <w:pPr>
        <w:pStyle w:val="18"/>
        <w:rPr>
          <w:color w:val="auto"/>
          <w:highlight w:val="none"/>
        </w:rPr>
      </w:pPr>
    </w:p>
    <w:p w14:paraId="6CD9B8E2">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竞标人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56F9C862">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7BC1FE31">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238675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6DD1A96">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8BA23AE">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F952457">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EA97119">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12E683BE">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B7FB440">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75CED677">
      <w:pPr>
        <w:tabs>
          <w:tab w:val="left" w:pos="8300"/>
        </w:tabs>
        <w:autoSpaceDE w:val="0"/>
        <w:autoSpaceDN w:val="0"/>
        <w:adjustRightInd w:val="0"/>
        <w:spacing w:line="400" w:lineRule="exact"/>
        <w:jc w:val="both"/>
        <w:rPr>
          <w:rFonts w:ascii="宋体" w:hAnsi="宋体"/>
          <w:b w:val="0"/>
          <w:snapToGrid w:val="0"/>
          <w:color w:val="auto"/>
          <w:kern w:val="0"/>
          <w:sz w:val="30"/>
          <w:szCs w:val="30"/>
          <w:highlight w:val="none"/>
        </w:rPr>
      </w:pPr>
      <w:bookmarkStart w:id="334" w:name="_Toc277082644"/>
      <w:bookmarkStart w:id="335" w:name="_Toc287607868"/>
      <w:bookmarkStart w:id="336" w:name="_Toc287620815"/>
      <w:bookmarkStart w:id="337" w:name="_Toc430530531"/>
      <w:bookmarkStart w:id="338" w:name="_Toc224103496"/>
      <w:r>
        <w:rPr>
          <w:rFonts w:ascii="宋体" w:hAnsi="宋体"/>
          <w:color w:val="auto"/>
          <w:sz w:val="28"/>
          <w:highlight w:val="none"/>
        </w:rPr>
        <w:br w:type="page"/>
      </w:r>
      <w:bookmarkEnd w:id="334"/>
      <w:bookmarkEnd w:id="335"/>
      <w:bookmarkEnd w:id="336"/>
      <w:bookmarkEnd w:id="337"/>
      <w:bookmarkEnd w:id="338"/>
      <w:bookmarkStart w:id="339" w:name="_Toc430530532"/>
      <w:bookmarkStart w:id="340" w:name="_Toc8650"/>
      <w:bookmarkStart w:id="341" w:name="_Toc287620816"/>
      <w:bookmarkStart w:id="342" w:name="_Toc277082645"/>
      <w:bookmarkStart w:id="343" w:name="_Toc224103497"/>
      <w:bookmarkStart w:id="344" w:name="_Toc287607869"/>
      <w:r>
        <w:rPr>
          <w:color w:val="auto"/>
          <w:sz w:val="30"/>
          <w:szCs w:val="30"/>
          <w:highlight w:val="none"/>
        </w:rPr>
        <w:t>（</w:t>
      </w:r>
      <w:r>
        <w:rPr>
          <w:rFonts w:hint="eastAsia"/>
          <w:color w:val="auto"/>
          <w:sz w:val="30"/>
          <w:szCs w:val="30"/>
          <w:highlight w:val="none"/>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339"/>
      <w:bookmarkEnd w:id="340"/>
      <w:bookmarkEnd w:id="341"/>
      <w:bookmarkEnd w:id="342"/>
      <w:bookmarkEnd w:id="343"/>
      <w:bookmarkEnd w:id="344"/>
    </w:p>
    <w:p w14:paraId="4E749ECE">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17D43C62">
      <w:pPr>
        <w:spacing w:line="480" w:lineRule="auto"/>
        <w:jc w:val="center"/>
        <w:rPr>
          <w:rFonts w:ascii="宋体" w:hAnsi="宋体"/>
          <w:color w:val="auto"/>
          <w:highlight w:val="none"/>
        </w:rPr>
      </w:pPr>
    </w:p>
    <w:p w14:paraId="5EF58943">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A05B17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E82A1F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3F9AD3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CB03DE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2CBA95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57FF0E1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41445FD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26C94A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33073868">
      <w:pPr>
        <w:pStyle w:val="18"/>
        <w:spacing w:after="0" w:line="360" w:lineRule="auto"/>
        <w:rPr>
          <w:rFonts w:ascii="宋体" w:hAnsi="宋体"/>
          <w:color w:val="auto"/>
          <w:szCs w:val="21"/>
          <w:highlight w:val="none"/>
        </w:rPr>
      </w:pPr>
    </w:p>
    <w:p w14:paraId="009B619A">
      <w:pPr>
        <w:pStyle w:val="18"/>
        <w:spacing w:after="0" w:line="360" w:lineRule="auto"/>
        <w:rPr>
          <w:rFonts w:ascii="宋体" w:hAnsi="宋体"/>
          <w:color w:val="auto"/>
          <w:szCs w:val="21"/>
          <w:highlight w:val="none"/>
        </w:rPr>
      </w:pPr>
    </w:p>
    <w:p w14:paraId="7BA6EB75">
      <w:pPr>
        <w:pStyle w:val="18"/>
        <w:spacing w:after="0" w:line="360" w:lineRule="auto"/>
        <w:rPr>
          <w:rFonts w:ascii="宋体" w:hAnsi="宋体"/>
          <w:color w:val="auto"/>
          <w:szCs w:val="21"/>
          <w:highlight w:val="none"/>
        </w:rPr>
      </w:pPr>
    </w:p>
    <w:p w14:paraId="4232F5FC">
      <w:pPr>
        <w:pStyle w:val="18"/>
        <w:spacing w:after="0" w:line="360" w:lineRule="auto"/>
        <w:rPr>
          <w:rFonts w:ascii="宋体" w:hAnsi="宋体"/>
          <w:color w:val="auto"/>
          <w:szCs w:val="21"/>
          <w:highlight w:val="none"/>
        </w:rPr>
      </w:pPr>
    </w:p>
    <w:p w14:paraId="11B9672A">
      <w:pPr>
        <w:pStyle w:val="18"/>
        <w:spacing w:after="0" w:line="360" w:lineRule="auto"/>
        <w:rPr>
          <w:rFonts w:ascii="宋体" w:hAnsi="宋体"/>
          <w:color w:val="auto"/>
          <w:szCs w:val="21"/>
          <w:highlight w:val="none"/>
        </w:rPr>
      </w:pPr>
    </w:p>
    <w:p w14:paraId="4E38151A">
      <w:pPr>
        <w:pStyle w:val="18"/>
        <w:spacing w:after="0" w:line="360" w:lineRule="auto"/>
        <w:rPr>
          <w:rFonts w:ascii="宋体" w:hAnsi="宋体"/>
          <w:color w:val="auto"/>
          <w:szCs w:val="21"/>
          <w:highlight w:val="none"/>
        </w:rPr>
      </w:pPr>
    </w:p>
    <w:p w14:paraId="01DCC013">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DCF5D81">
      <w:pPr>
        <w:autoSpaceDE w:val="0"/>
        <w:autoSpaceDN w:val="0"/>
        <w:adjustRightInd w:val="0"/>
        <w:snapToGrid w:val="0"/>
        <w:spacing w:line="480" w:lineRule="auto"/>
        <w:jc w:val="left"/>
        <w:rPr>
          <w:rFonts w:ascii="宋体" w:hAnsi="宋体"/>
          <w:color w:val="auto"/>
          <w:kern w:val="0"/>
          <w:sz w:val="20"/>
          <w:szCs w:val="20"/>
          <w:highlight w:val="none"/>
        </w:rPr>
      </w:pPr>
    </w:p>
    <w:p w14:paraId="5A9EA99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E171D87">
      <w:pPr>
        <w:autoSpaceDE w:val="0"/>
        <w:autoSpaceDN w:val="0"/>
        <w:adjustRightInd w:val="0"/>
        <w:snapToGrid w:val="0"/>
        <w:spacing w:line="360" w:lineRule="auto"/>
        <w:jc w:val="left"/>
        <w:rPr>
          <w:rFonts w:ascii="宋体" w:hAnsi="宋体"/>
          <w:color w:val="auto"/>
          <w:kern w:val="0"/>
          <w:highlight w:val="none"/>
        </w:rPr>
      </w:pPr>
    </w:p>
    <w:p w14:paraId="0C6C017B">
      <w:pPr>
        <w:autoSpaceDE w:val="0"/>
        <w:autoSpaceDN w:val="0"/>
        <w:adjustRightInd w:val="0"/>
        <w:snapToGrid w:val="0"/>
        <w:spacing w:line="360" w:lineRule="auto"/>
        <w:jc w:val="left"/>
        <w:rPr>
          <w:rFonts w:ascii="宋体" w:hAnsi="宋体"/>
          <w:color w:val="auto"/>
          <w:kern w:val="0"/>
          <w:highlight w:val="none"/>
        </w:rPr>
      </w:pPr>
    </w:p>
    <w:p w14:paraId="5C8EA8DD">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1C41E951">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2D97BDC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4098793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BC582F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58F8AD6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416E0AC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0EC1A1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9739D2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9EE953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AFB406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81BC06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72A14FB">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4C65894E">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4D19CF4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94C27C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E36AC8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E98018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BED28F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00FA60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A3ED5B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8E447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4498C6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154E724">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140E17DB">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0774407F">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2E2CCD1F">
      <w:pPr>
        <w:pStyle w:val="3"/>
        <w:spacing w:line="360" w:lineRule="auto"/>
        <w:jc w:val="center"/>
        <w:rPr>
          <w:rFonts w:ascii="宋体" w:hAnsi="宋体"/>
          <w:b w:val="0"/>
          <w:bCs w:val="0"/>
          <w:color w:val="auto"/>
          <w:sz w:val="44"/>
          <w:szCs w:val="44"/>
          <w:highlight w:val="none"/>
        </w:rPr>
      </w:pPr>
      <w:bookmarkStart w:id="345" w:name="_Toc6167"/>
      <w:r>
        <w:rPr>
          <w:rFonts w:hint="eastAsia" w:ascii="宋体" w:hAnsi="宋体"/>
          <w:b w:val="0"/>
          <w:bCs w:val="0"/>
          <w:color w:val="auto"/>
          <w:sz w:val="44"/>
          <w:szCs w:val="44"/>
          <w:highlight w:val="none"/>
        </w:rPr>
        <w:t>二、技术部分</w:t>
      </w:r>
      <w:bookmarkEnd w:id="324"/>
      <w:bookmarkEnd w:id="325"/>
      <w:bookmarkEnd w:id="345"/>
    </w:p>
    <w:p w14:paraId="65004829">
      <w:pP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p>
    <w:p w14:paraId="557B7B79">
      <w:pPr>
        <w:pStyle w:val="18"/>
        <w:rPr>
          <w:color w:val="auto"/>
          <w:highlight w:val="none"/>
        </w:rPr>
      </w:pPr>
    </w:p>
    <w:p w14:paraId="4F8CD0FC">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F47CE5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878504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0FAF9C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E42696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223E7B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4FBFAE8E">
      <w:pPr>
        <w:autoSpaceDE w:val="0"/>
        <w:autoSpaceDN w:val="0"/>
        <w:adjustRightInd w:val="0"/>
        <w:snapToGrid w:val="0"/>
        <w:spacing w:line="360" w:lineRule="auto"/>
        <w:jc w:val="left"/>
        <w:rPr>
          <w:rFonts w:ascii="宋体" w:hAnsi="宋体"/>
          <w:color w:val="auto"/>
          <w:kern w:val="0"/>
          <w:sz w:val="16"/>
          <w:szCs w:val="16"/>
          <w:highlight w:val="none"/>
        </w:rPr>
      </w:pPr>
    </w:p>
    <w:p w14:paraId="407D894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05497598">
      <w:pPr>
        <w:autoSpaceDE w:val="0"/>
        <w:autoSpaceDN w:val="0"/>
        <w:adjustRightInd w:val="0"/>
        <w:snapToGrid w:val="0"/>
        <w:spacing w:line="360" w:lineRule="auto"/>
        <w:jc w:val="left"/>
        <w:rPr>
          <w:rFonts w:ascii="宋体" w:hAnsi="宋体"/>
          <w:b/>
          <w:color w:val="auto"/>
          <w:kern w:val="0"/>
          <w:sz w:val="20"/>
          <w:szCs w:val="20"/>
          <w:highlight w:val="none"/>
        </w:rPr>
      </w:pPr>
    </w:p>
    <w:p w14:paraId="769896C3">
      <w:pPr>
        <w:autoSpaceDE w:val="0"/>
        <w:autoSpaceDN w:val="0"/>
        <w:adjustRightInd w:val="0"/>
        <w:snapToGrid w:val="0"/>
        <w:spacing w:line="360" w:lineRule="auto"/>
        <w:jc w:val="left"/>
        <w:rPr>
          <w:rFonts w:ascii="宋体" w:hAnsi="宋体"/>
          <w:b/>
          <w:color w:val="auto"/>
          <w:kern w:val="0"/>
          <w:sz w:val="20"/>
          <w:szCs w:val="20"/>
          <w:highlight w:val="none"/>
        </w:rPr>
      </w:pPr>
    </w:p>
    <w:p w14:paraId="31012DD0">
      <w:pPr>
        <w:autoSpaceDE w:val="0"/>
        <w:autoSpaceDN w:val="0"/>
        <w:adjustRightInd w:val="0"/>
        <w:snapToGrid w:val="0"/>
        <w:spacing w:line="360" w:lineRule="auto"/>
        <w:jc w:val="left"/>
        <w:rPr>
          <w:rFonts w:ascii="宋体" w:hAnsi="宋体"/>
          <w:b/>
          <w:color w:val="auto"/>
          <w:kern w:val="0"/>
          <w:sz w:val="20"/>
          <w:szCs w:val="20"/>
          <w:highlight w:val="none"/>
        </w:rPr>
      </w:pPr>
    </w:p>
    <w:p w14:paraId="3C67037C">
      <w:pPr>
        <w:autoSpaceDE w:val="0"/>
        <w:autoSpaceDN w:val="0"/>
        <w:adjustRightInd w:val="0"/>
        <w:snapToGrid w:val="0"/>
        <w:spacing w:line="360" w:lineRule="auto"/>
        <w:jc w:val="left"/>
        <w:rPr>
          <w:rFonts w:ascii="宋体" w:hAnsi="宋体"/>
          <w:b/>
          <w:color w:val="auto"/>
          <w:kern w:val="0"/>
          <w:sz w:val="20"/>
          <w:szCs w:val="20"/>
          <w:highlight w:val="none"/>
        </w:rPr>
      </w:pPr>
    </w:p>
    <w:p w14:paraId="2ADADED9">
      <w:pPr>
        <w:autoSpaceDE w:val="0"/>
        <w:autoSpaceDN w:val="0"/>
        <w:adjustRightInd w:val="0"/>
        <w:snapToGrid w:val="0"/>
        <w:spacing w:line="360" w:lineRule="auto"/>
        <w:jc w:val="left"/>
        <w:rPr>
          <w:rFonts w:ascii="宋体" w:hAnsi="宋体"/>
          <w:b/>
          <w:color w:val="auto"/>
          <w:kern w:val="0"/>
          <w:sz w:val="20"/>
          <w:szCs w:val="20"/>
          <w:highlight w:val="none"/>
        </w:rPr>
      </w:pPr>
    </w:p>
    <w:p w14:paraId="34AB2E03">
      <w:pPr>
        <w:autoSpaceDE w:val="0"/>
        <w:autoSpaceDN w:val="0"/>
        <w:adjustRightInd w:val="0"/>
        <w:snapToGrid w:val="0"/>
        <w:spacing w:line="360" w:lineRule="auto"/>
        <w:jc w:val="left"/>
        <w:rPr>
          <w:rFonts w:ascii="宋体" w:hAnsi="宋体"/>
          <w:b/>
          <w:color w:val="auto"/>
          <w:kern w:val="0"/>
          <w:sz w:val="20"/>
          <w:szCs w:val="20"/>
          <w:highlight w:val="none"/>
        </w:rPr>
      </w:pPr>
    </w:p>
    <w:p w14:paraId="3A7D5EC8">
      <w:pPr>
        <w:autoSpaceDE w:val="0"/>
        <w:autoSpaceDN w:val="0"/>
        <w:adjustRightInd w:val="0"/>
        <w:snapToGrid w:val="0"/>
        <w:spacing w:line="360" w:lineRule="auto"/>
        <w:jc w:val="left"/>
        <w:rPr>
          <w:rFonts w:ascii="宋体" w:hAnsi="宋体"/>
          <w:b/>
          <w:color w:val="auto"/>
          <w:kern w:val="0"/>
          <w:sz w:val="20"/>
          <w:szCs w:val="20"/>
          <w:highlight w:val="none"/>
        </w:rPr>
      </w:pPr>
    </w:p>
    <w:p w14:paraId="21779077">
      <w:pPr>
        <w:autoSpaceDE w:val="0"/>
        <w:autoSpaceDN w:val="0"/>
        <w:adjustRightInd w:val="0"/>
        <w:snapToGrid w:val="0"/>
        <w:spacing w:line="360" w:lineRule="auto"/>
        <w:jc w:val="left"/>
        <w:rPr>
          <w:rFonts w:ascii="宋体" w:hAnsi="宋体"/>
          <w:b/>
          <w:color w:val="auto"/>
          <w:kern w:val="0"/>
          <w:sz w:val="20"/>
          <w:szCs w:val="20"/>
          <w:highlight w:val="none"/>
        </w:rPr>
      </w:pPr>
    </w:p>
    <w:p w14:paraId="7ADF49D2">
      <w:pPr>
        <w:autoSpaceDE w:val="0"/>
        <w:autoSpaceDN w:val="0"/>
        <w:adjustRightInd w:val="0"/>
        <w:snapToGrid w:val="0"/>
        <w:spacing w:line="360" w:lineRule="auto"/>
        <w:jc w:val="left"/>
        <w:rPr>
          <w:rFonts w:ascii="宋体" w:hAnsi="宋体"/>
          <w:b/>
          <w:color w:val="auto"/>
          <w:kern w:val="0"/>
          <w:sz w:val="20"/>
          <w:szCs w:val="20"/>
          <w:highlight w:val="none"/>
        </w:rPr>
      </w:pPr>
    </w:p>
    <w:p w14:paraId="74041973">
      <w:pPr>
        <w:autoSpaceDE w:val="0"/>
        <w:autoSpaceDN w:val="0"/>
        <w:adjustRightInd w:val="0"/>
        <w:snapToGrid w:val="0"/>
        <w:spacing w:line="360" w:lineRule="auto"/>
        <w:jc w:val="left"/>
        <w:rPr>
          <w:rFonts w:ascii="宋体" w:hAnsi="宋体"/>
          <w:b/>
          <w:color w:val="auto"/>
          <w:kern w:val="0"/>
          <w:sz w:val="20"/>
          <w:szCs w:val="20"/>
          <w:highlight w:val="none"/>
        </w:rPr>
      </w:pPr>
    </w:p>
    <w:p w14:paraId="14821B42">
      <w:pPr>
        <w:autoSpaceDE w:val="0"/>
        <w:autoSpaceDN w:val="0"/>
        <w:adjustRightInd w:val="0"/>
        <w:snapToGrid w:val="0"/>
        <w:spacing w:line="360" w:lineRule="auto"/>
        <w:jc w:val="left"/>
        <w:rPr>
          <w:rFonts w:ascii="宋体" w:hAnsi="宋体"/>
          <w:b/>
          <w:color w:val="auto"/>
          <w:kern w:val="0"/>
          <w:sz w:val="20"/>
          <w:szCs w:val="20"/>
          <w:highlight w:val="none"/>
        </w:rPr>
      </w:pPr>
    </w:p>
    <w:p w14:paraId="48E17F0A">
      <w:pPr>
        <w:autoSpaceDE w:val="0"/>
        <w:autoSpaceDN w:val="0"/>
        <w:adjustRightInd w:val="0"/>
        <w:snapToGrid w:val="0"/>
        <w:spacing w:line="360" w:lineRule="auto"/>
        <w:jc w:val="left"/>
        <w:rPr>
          <w:rFonts w:ascii="宋体" w:hAnsi="宋体"/>
          <w:b/>
          <w:color w:val="auto"/>
          <w:kern w:val="0"/>
          <w:sz w:val="20"/>
          <w:szCs w:val="20"/>
          <w:highlight w:val="none"/>
        </w:rPr>
      </w:pPr>
    </w:p>
    <w:p w14:paraId="2A0FA332">
      <w:pPr>
        <w:autoSpaceDE w:val="0"/>
        <w:autoSpaceDN w:val="0"/>
        <w:adjustRightInd w:val="0"/>
        <w:snapToGrid w:val="0"/>
        <w:spacing w:line="360" w:lineRule="auto"/>
        <w:jc w:val="left"/>
        <w:rPr>
          <w:rFonts w:ascii="宋体" w:hAnsi="宋体"/>
          <w:b/>
          <w:color w:val="auto"/>
          <w:kern w:val="0"/>
          <w:sz w:val="20"/>
          <w:szCs w:val="20"/>
          <w:highlight w:val="none"/>
        </w:rPr>
      </w:pPr>
    </w:p>
    <w:p w14:paraId="3F3E388D">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18EB103">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286EC508">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E7252AD">
      <w:pPr>
        <w:autoSpaceDE w:val="0"/>
        <w:autoSpaceDN w:val="0"/>
        <w:adjustRightInd w:val="0"/>
        <w:snapToGrid w:val="0"/>
        <w:spacing w:line="360" w:lineRule="auto"/>
        <w:jc w:val="center"/>
        <w:rPr>
          <w:rFonts w:ascii="宋体" w:hAnsi="宋体"/>
          <w:color w:val="auto"/>
          <w:kern w:val="0"/>
          <w:sz w:val="36"/>
          <w:szCs w:val="36"/>
          <w:highlight w:val="none"/>
        </w:rPr>
      </w:pPr>
    </w:p>
    <w:p w14:paraId="45B73B82">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1E0DB432">
      <w:pPr>
        <w:autoSpaceDE w:val="0"/>
        <w:autoSpaceDN w:val="0"/>
        <w:adjustRightInd w:val="0"/>
        <w:snapToGrid w:val="0"/>
        <w:spacing w:line="360" w:lineRule="auto"/>
        <w:jc w:val="left"/>
        <w:rPr>
          <w:rFonts w:ascii="宋体" w:hAnsi="宋体"/>
          <w:color w:val="auto"/>
          <w:kern w:val="0"/>
          <w:sz w:val="32"/>
          <w:szCs w:val="32"/>
          <w:highlight w:val="none"/>
        </w:rPr>
      </w:pPr>
    </w:p>
    <w:p w14:paraId="4BC8BDA8">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2A701F93">
      <w:pPr>
        <w:autoSpaceDE w:val="0"/>
        <w:autoSpaceDN w:val="0"/>
        <w:adjustRightInd w:val="0"/>
        <w:snapToGrid w:val="0"/>
        <w:spacing w:line="360" w:lineRule="auto"/>
        <w:jc w:val="left"/>
        <w:rPr>
          <w:rFonts w:ascii="宋体" w:hAnsi="宋体"/>
          <w:color w:val="auto"/>
          <w:w w:val="99"/>
          <w:kern w:val="0"/>
          <w:sz w:val="28"/>
          <w:szCs w:val="28"/>
          <w:highlight w:val="none"/>
        </w:rPr>
      </w:pPr>
    </w:p>
    <w:p w14:paraId="1AB71EDC">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346" w:name="_Toc29745"/>
      <w:bookmarkStart w:id="347" w:name="_Toc299"/>
      <w:bookmarkStart w:id="348" w:name="_Toc17837"/>
      <w:r>
        <w:rPr>
          <w:rStyle w:val="327"/>
          <w:rFonts w:hint="eastAsia"/>
          <w:color w:val="auto"/>
          <w:highlight w:val="none"/>
        </w:rPr>
        <w:t>（一）技术方案</w:t>
      </w:r>
      <w:bookmarkEnd w:id="346"/>
      <w:bookmarkEnd w:id="347"/>
      <w:bookmarkEnd w:id="348"/>
    </w:p>
    <w:p w14:paraId="7321ED9A">
      <w:pPr>
        <w:autoSpaceDE w:val="0"/>
        <w:autoSpaceDN w:val="0"/>
        <w:adjustRightInd w:val="0"/>
        <w:snapToGrid w:val="0"/>
        <w:spacing w:line="360" w:lineRule="auto"/>
        <w:jc w:val="left"/>
        <w:rPr>
          <w:rFonts w:ascii="宋体" w:hAnsi="宋体"/>
          <w:color w:val="auto"/>
          <w:kern w:val="0"/>
          <w:sz w:val="12"/>
          <w:szCs w:val="12"/>
          <w:highlight w:val="none"/>
        </w:rPr>
      </w:pPr>
    </w:p>
    <w:p w14:paraId="38EDF0E6">
      <w:pPr>
        <w:pStyle w:val="18"/>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[提示：竞标人应根据比选文件的要求编制技术方案]</w:t>
      </w:r>
    </w:p>
    <w:p w14:paraId="26D68D42">
      <w:pPr>
        <w:pStyle w:val="3"/>
        <w:spacing w:line="360" w:lineRule="auto"/>
        <w:jc w:val="center"/>
        <w:rPr>
          <w:rFonts w:ascii="宋体" w:hAnsi="宋体"/>
          <w:b w:val="0"/>
          <w:bCs w:val="0"/>
          <w:color w:val="auto"/>
          <w:sz w:val="44"/>
          <w:szCs w:val="44"/>
          <w:highlight w:val="none"/>
        </w:rPr>
      </w:pPr>
    </w:p>
    <w:p w14:paraId="20D8D260">
      <w:pPr>
        <w:pStyle w:val="3"/>
        <w:spacing w:line="360" w:lineRule="auto"/>
        <w:jc w:val="center"/>
        <w:rPr>
          <w:rFonts w:ascii="宋体" w:hAnsi="宋体"/>
          <w:b w:val="0"/>
          <w:bCs w:val="0"/>
          <w:color w:val="auto"/>
          <w:sz w:val="44"/>
          <w:szCs w:val="44"/>
          <w:highlight w:val="none"/>
        </w:rPr>
      </w:pPr>
    </w:p>
    <w:p w14:paraId="0A0DEB77">
      <w:pPr>
        <w:pStyle w:val="3"/>
        <w:spacing w:line="360" w:lineRule="auto"/>
        <w:jc w:val="center"/>
        <w:rPr>
          <w:rFonts w:ascii="宋体" w:hAnsi="宋体"/>
          <w:b w:val="0"/>
          <w:bCs w:val="0"/>
          <w:color w:val="auto"/>
          <w:sz w:val="44"/>
          <w:szCs w:val="44"/>
          <w:highlight w:val="none"/>
        </w:rPr>
      </w:pPr>
    </w:p>
    <w:p w14:paraId="59B0D9FB">
      <w:pPr>
        <w:pStyle w:val="3"/>
        <w:spacing w:line="360" w:lineRule="auto"/>
        <w:jc w:val="center"/>
        <w:rPr>
          <w:rFonts w:ascii="宋体" w:hAnsi="宋体"/>
          <w:b w:val="0"/>
          <w:bCs w:val="0"/>
          <w:color w:val="auto"/>
          <w:sz w:val="44"/>
          <w:szCs w:val="44"/>
          <w:highlight w:val="none"/>
        </w:rPr>
      </w:pPr>
    </w:p>
    <w:p w14:paraId="76277E2D">
      <w:pPr>
        <w:pStyle w:val="3"/>
        <w:spacing w:line="360" w:lineRule="auto"/>
        <w:jc w:val="center"/>
        <w:rPr>
          <w:rFonts w:ascii="宋体" w:hAnsi="宋体"/>
          <w:b w:val="0"/>
          <w:bCs w:val="0"/>
          <w:color w:val="auto"/>
          <w:sz w:val="44"/>
          <w:szCs w:val="44"/>
          <w:highlight w:val="none"/>
        </w:rPr>
      </w:pPr>
    </w:p>
    <w:p w14:paraId="180C5880">
      <w:pPr>
        <w:pStyle w:val="3"/>
        <w:spacing w:line="360" w:lineRule="auto"/>
        <w:jc w:val="center"/>
        <w:rPr>
          <w:rFonts w:ascii="宋体" w:hAnsi="宋体"/>
          <w:b w:val="0"/>
          <w:bCs w:val="0"/>
          <w:color w:val="auto"/>
          <w:sz w:val="44"/>
          <w:szCs w:val="44"/>
          <w:highlight w:val="none"/>
        </w:rPr>
      </w:pPr>
    </w:p>
    <w:p w14:paraId="62BB7A4E">
      <w:pPr>
        <w:pStyle w:val="3"/>
        <w:spacing w:line="360" w:lineRule="auto"/>
        <w:jc w:val="center"/>
        <w:rPr>
          <w:rFonts w:ascii="宋体" w:hAnsi="宋体"/>
          <w:b w:val="0"/>
          <w:bCs w:val="0"/>
          <w:color w:val="auto"/>
          <w:sz w:val="44"/>
          <w:szCs w:val="44"/>
          <w:highlight w:val="none"/>
        </w:rPr>
      </w:pPr>
    </w:p>
    <w:p w14:paraId="2D7295E5">
      <w:pPr>
        <w:pStyle w:val="3"/>
        <w:spacing w:line="360" w:lineRule="auto"/>
        <w:jc w:val="center"/>
        <w:rPr>
          <w:rFonts w:ascii="宋体" w:hAnsi="宋体"/>
          <w:b w:val="0"/>
          <w:bCs w:val="0"/>
          <w:color w:val="auto"/>
          <w:sz w:val="44"/>
          <w:szCs w:val="44"/>
          <w:highlight w:val="none"/>
        </w:rPr>
      </w:pPr>
    </w:p>
    <w:p w14:paraId="2CCE198D">
      <w:pPr>
        <w:pStyle w:val="3"/>
        <w:spacing w:line="360" w:lineRule="auto"/>
        <w:jc w:val="center"/>
        <w:rPr>
          <w:rFonts w:ascii="宋体" w:hAnsi="宋体"/>
          <w:b w:val="0"/>
          <w:bCs w:val="0"/>
          <w:color w:val="auto"/>
          <w:sz w:val="44"/>
          <w:szCs w:val="44"/>
          <w:highlight w:val="none"/>
        </w:rPr>
      </w:pPr>
    </w:p>
    <w:p w14:paraId="7FC3CCDB">
      <w:pPr>
        <w:pStyle w:val="3"/>
        <w:spacing w:line="360" w:lineRule="auto"/>
        <w:jc w:val="center"/>
        <w:rPr>
          <w:rFonts w:ascii="宋体" w:hAnsi="宋体"/>
          <w:b w:val="0"/>
          <w:bCs w:val="0"/>
          <w:color w:val="auto"/>
          <w:sz w:val="44"/>
          <w:szCs w:val="44"/>
          <w:highlight w:val="none"/>
        </w:rPr>
      </w:pPr>
    </w:p>
    <w:p w14:paraId="12274185">
      <w:pPr>
        <w:pStyle w:val="3"/>
        <w:spacing w:line="360" w:lineRule="auto"/>
        <w:jc w:val="center"/>
        <w:rPr>
          <w:rFonts w:ascii="宋体" w:hAnsi="宋体"/>
          <w:b w:val="0"/>
          <w:bCs w:val="0"/>
          <w:color w:val="auto"/>
          <w:sz w:val="44"/>
          <w:szCs w:val="44"/>
          <w:highlight w:val="none"/>
        </w:rPr>
      </w:pPr>
    </w:p>
    <w:p w14:paraId="3406DC3A">
      <w:pPr>
        <w:pStyle w:val="3"/>
        <w:spacing w:line="360" w:lineRule="auto"/>
        <w:jc w:val="center"/>
        <w:rPr>
          <w:rFonts w:ascii="宋体" w:hAnsi="宋体"/>
          <w:b w:val="0"/>
          <w:bCs w:val="0"/>
          <w:color w:val="auto"/>
          <w:sz w:val="44"/>
          <w:szCs w:val="44"/>
          <w:highlight w:val="none"/>
        </w:rPr>
      </w:pPr>
    </w:p>
    <w:p w14:paraId="3EA48864">
      <w:pPr>
        <w:pStyle w:val="3"/>
        <w:spacing w:line="360" w:lineRule="auto"/>
        <w:jc w:val="center"/>
        <w:rPr>
          <w:rFonts w:ascii="宋体" w:hAnsi="宋体"/>
          <w:b w:val="0"/>
          <w:bCs w:val="0"/>
          <w:color w:val="auto"/>
          <w:sz w:val="44"/>
          <w:szCs w:val="44"/>
          <w:highlight w:val="none"/>
        </w:rPr>
      </w:pPr>
    </w:p>
    <w:p w14:paraId="0CD23CDF">
      <w:pPr>
        <w:rPr>
          <w:rFonts w:ascii="宋体" w:hAnsi="宋体"/>
          <w:color w:val="auto"/>
          <w:sz w:val="44"/>
          <w:szCs w:val="44"/>
          <w:highlight w:val="none"/>
        </w:rPr>
      </w:pPr>
    </w:p>
    <w:p w14:paraId="57E447DE">
      <w:pPr>
        <w:rPr>
          <w:rFonts w:ascii="宋体" w:hAnsi="宋体"/>
          <w:color w:val="auto"/>
          <w:sz w:val="44"/>
          <w:szCs w:val="44"/>
          <w:highlight w:val="none"/>
        </w:rPr>
      </w:pPr>
    </w:p>
    <w:p w14:paraId="46ABC5D8">
      <w:pPr>
        <w:pStyle w:val="3"/>
        <w:spacing w:line="360" w:lineRule="auto"/>
        <w:jc w:val="center"/>
        <w:rPr>
          <w:rFonts w:ascii="宋体" w:hAnsi="宋体"/>
          <w:b w:val="0"/>
          <w:bCs w:val="0"/>
          <w:color w:val="auto"/>
          <w:sz w:val="44"/>
          <w:szCs w:val="44"/>
          <w:highlight w:val="none"/>
        </w:rPr>
      </w:pPr>
      <w:bookmarkStart w:id="349" w:name="_Toc2857"/>
      <w:r>
        <w:rPr>
          <w:rFonts w:hint="eastAsia" w:ascii="宋体" w:hAnsi="宋体"/>
          <w:b w:val="0"/>
          <w:bCs w:val="0"/>
          <w:color w:val="auto"/>
          <w:sz w:val="44"/>
          <w:szCs w:val="44"/>
          <w:highlight w:val="none"/>
        </w:rPr>
        <w:t>三、</w:t>
      </w:r>
      <w:bookmarkEnd w:id="326"/>
      <w:bookmarkEnd w:id="327"/>
      <w:bookmarkEnd w:id="328"/>
      <w:bookmarkEnd w:id="329"/>
      <w:bookmarkEnd w:id="330"/>
      <w:r>
        <w:rPr>
          <w:rFonts w:hint="eastAsia" w:ascii="宋体" w:hAnsi="宋体"/>
          <w:b w:val="0"/>
          <w:bCs w:val="0"/>
          <w:color w:val="auto"/>
          <w:sz w:val="44"/>
          <w:szCs w:val="44"/>
          <w:highlight w:val="none"/>
        </w:rPr>
        <w:t>资格审查部分</w:t>
      </w:r>
      <w:bookmarkEnd w:id="331"/>
      <w:bookmarkEnd w:id="349"/>
    </w:p>
    <w:p w14:paraId="39ACBA01">
      <w:pPr>
        <w:spacing w:line="360" w:lineRule="auto"/>
        <w:rPr>
          <w:rFonts w:ascii="宋体" w:hAnsi="宋体"/>
          <w:color w:val="auto"/>
          <w:sz w:val="32"/>
          <w:szCs w:val="32"/>
          <w:highlight w:val="none"/>
        </w:rPr>
      </w:pPr>
    </w:p>
    <w:p w14:paraId="7584ACDF">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24DC6AFC">
      <w:pPr>
        <w:spacing w:line="360" w:lineRule="auto"/>
        <w:jc w:val="center"/>
        <w:rPr>
          <w:rFonts w:ascii="宋体" w:hAnsi="宋体"/>
          <w:color w:val="auto"/>
          <w:kern w:val="0"/>
          <w:sz w:val="32"/>
          <w:szCs w:val="32"/>
          <w:highlight w:val="none"/>
        </w:rPr>
      </w:pPr>
      <w:bookmarkStart w:id="350" w:name="_Toc5633"/>
      <w:bookmarkStart w:id="351" w:name="_Toc287607883"/>
      <w:bookmarkStart w:id="352" w:name="_Toc224103511"/>
      <w:bookmarkStart w:id="353" w:name="_Toc430530546"/>
      <w:bookmarkStart w:id="354" w:name="_Toc277082657"/>
      <w:bookmarkStart w:id="355" w:name="_Toc287620830"/>
      <w:r>
        <w:rPr>
          <w:rFonts w:hint="eastAsia" w:ascii="宋体" w:hAnsi="宋体"/>
          <w:color w:val="auto"/>
          <w:kern w:val="0"/>
          <w:sz w:val="32"/>
          <w:szCs w:val="32"/>
          <w:highlight w:val="none"/>
          <w:u w:val="single"/>
        </w:rPr>
        <w:t xml:space="preserve">                   （项目名称）</w:t>
      </w:r>
    </w:p>
    <w:p w14:paraId="7FE34746">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7073433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0D12A7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4C1693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074B7A46">
      <w:pPr>
        <w:autoSpaceDE w:val="0"/>
        <w:autoSpaceDN w:val="0"/>
        <w:adjustRightInd w:val="0"/>
        <w:snapToGrid w:val="0"/>
        <w:spacing w:line="360" w:lineRule="auto"/>
        <w:jc w:val="left"/>
        <w:rPr>
          <w:rFonts w:ascii="宋体" w:hAnsi="宋体"/>
          <w:color w:val="auto"/>
          <w:kern w:val="0"/>
          <w:sz w:val="16"/>
          <w:szCs w:val="16"/>
          <w:highlight w:val="none"/>
        </w:rPr>
      </w:pPr>
    </w:p>
    <w:p w14:paraId="16AC67E9">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资格审查部分</w:t>
      </w:r>
    </w:p>
    <w:p w14:paraId="2DC7D36E">
      <w:pPr>
        <w:autoSpaceDE w:val="0"/>
        <w:autoSpaceDN w:val="0"/>
        <w:adjustRightInd w:val="0"/>
        <w:snapToGrid w:val="0"/>
        <w:spacing w:line="360" w:lineRule="auto"/>
        <w:jc w:val="left"/>
        <w:rPr>
          <w:rFonts w:ascii="宋体" w:hAnsi="宋体" w:cs="MingLiU"/>
          <w:color w:val="auto"/>
          <w:kern w:val="0"/>
          <w:sz w:val="20"/>
          <w:szCs w:val="20"/>
          <w:highlight w:val="none"/>
        </w:rPr>
      </w:pPr>
    </w:p>
    <w:p w14:paraId="668447AF">
      <w:pPr>
        <w:adjustRightInd w:val="0"/>
        <w:snapToGrid w:val="0"/>
        <w:spacing w:line="264" w:lineRule="auto"/>
        <w:rPr>
          <w:rFonts w:ascii="宋体" w:hAnsi="宋体"/>
          <w:color w:val="auto"/>
          <w:szCs w:val="21"/>
          <w:highlight w:val="none"/>
        </w:rPr>
      </w:pPr>
    </w:p>
    <w:p w14:paraId="7D5C9765">
      <w:pPr>
        <w:autoSpaceDE w:val="0"/>
        <w:autoSpaceDN w:val="0"/>
        <w:adjustRightInd w:val="0"/>
        <w:snapToGrid w:val="0"/>
        <w:spacing w:line="360" w:lineRule="auto"/>
        <w:jc w:val="left"/>
        <w:rPr>
          <w:rFonts w:ascii="宋体" w:hAnsi="宋体" w:cs="MingLiU"/>
          <w:color w:val="auto"/>
          <w:kern w:val="0"/>
          <w:sz w:val="20"/>
          <w:szCs w:val="20"/>
          <w:highlight w:val="none"/>
        </w:rPr>
      </w:pPr>
    </w:p>
    <w:p w14:paraId="5A2AD902">
      <w:pPr>
        <w:autoSpaceDE w:val="0"/>
        <w:autoSpaceDN w:val="0"/>
        <w:adjustRightInd w:val="0"/>
        <w:snapToGrid w:val="0"/>
        <w:spacing w:line="360" w:lineRule="auto"/>
        <w:jc w:val="left"/>
        <w:rPr>
          <w:rFonts w:ascii="宋体" w:hAnsi="宋体" w:cs="MingLiU"/>
          <w:color w:val="auto"/>
          <w:kern w:val="0"/>
          <w:sz w:val="20"/>
          <w:szCs w:val="20"/>
          <w:highlight w:val="none"/>
        </w:rPr>
      </w:pPr>
    </w:p>
    <w:p w14:paraId="21D35EDD">
      <w:pPr>
        <w:autoSpaceDE w:val="0"/>
        <w:autoSpaceDN w:val="0"/>
        <w:adjustRightInd w:val="0"/>
        <w:snapToGrid w:val="0"/>
        <w:spacing w:line="360" w:lineRule="auto"/>
        <w:jc w:val="left"/>
        <w:rPr>
          <w:rFonts w:ascii="宋体" w:hAnsi="宋体" w:cs="MingLiU"/>
          <w:color w:val="auto"/>
          <w:kern w:val="0"/>
          <w:sz w:val="20"/>
          <w:szCs w:val="20"/>
          <w:highlight w:val="none"/>
        </w:rPr>
      </w:pPr>
    </w:p>
    <w:p w14:paraId="3DFCBB06">
      <w:pPr>
        <w:autoSpaceDE w:val="0"/>
        <w:autoSpaceDN w:val="0"/>
        <w:adjustRightInd w:val="0"/>
        <w:snapToGrid w:val="0"/>
        <w:spacing w:line="360" w:lineRule="auto"/>
        <w:jc w:val="left"/>
        <w:rPr>
          <w:rFonts w:ascii="宋体" w:hAnsi="宋体" w:cs="MingLiU"/>
          <w:color w:val="auto"/>
          <w:kern w:val="0"/>
          <w:sz w:val="20"/>
          <w:szCs w:val="20"/>
          <w:highlight w:val="none"/>
        </w:rPr>
      </w:pPr>
    </w:p>
    <w:p w14:paraId="4A8F2C05">
      <w:pPr>
        <w:autoSpaceDE w:val="0"/>
        <w:autoSpaceDN w:val="0"/>
        <w:adjustRightInd w:val="0"/>
        <w:snapToGrid w:val="0"/>
        <w:spacing w:line="360" w:lineRule="auto"/>
        <w:jc w:val="left"/>
        <w:rPr>
          <w:rFonts w:ascii="宋体" w:hAnsi="宋体" w:cs="MingLiU"/>
          <w:color w:val="auto"/>
          <w:kern w:val="0"/>
          <w:sz w:val="20"/>
          <w:szCs w:val="20"/>
          <w:highlight w:val="none"/>
        </w:rPr>
      </w:pPr>
    </w:p>
    <w:p w14:paraId="38E04129">
      <w:pPr>
        <w:autoSpaceDE w:val="0"/>
        <w:autoSpaceDN w:val="0"/>
        <w:adjustRightInd w:val="0"/>
        <w:snapToGrid w:val="0"/>
        <w:spacing w:line="360" w:lineRule="auto"/>
        <w:jc w:val="left"/>
        <w:rPr>
          <w:rFonts w:ascii="宋体" w:hAnsi="宋体" w:cs="MingLiU"/>
          <w:color w:val="auto"/>
          <w:kern w:val="0"/>
          <w:sz w:val="20"/>
          <w:szCs w:val="20"/>
          <w:highlight w:val="none"/>
        </w:rPr>
      </w:pPr>
    </w:p>
    <w:p w14:paraId="0B401437">
      <w:pPr>
        <w:autoSpaceDE w:val="0"/>
        <w:autoSpaceDN w:val="0"/>
        <w:adjustRightInd w:val="0"/>
        <w:snapToGrid w:val="0"/>
        <w:spacing w:line="360" w:lineRule="auto"/>
        <w:jc w:val="left"/>
        <w:rPr>
          <w:rFonts w:ascii="宋体" w:hAnsi="宋体" w:cs="MingLiU"/>
          <w:color w:val="auto"/>
          <w:kern w:val="0"/>
          <w:sz w:val="20"/>
          <w:szCs w:val="20"/>
          <w:highlight w:val="none"/>
        </w:rPr>
      </w:pPr>
    </w:p>
    <w:p w14:paraId="55078731">
      <w:pPr>
        <w:autoSpaceDE w:val="0"/>
        <w:autoSpaceDN w:val="0"/>
        <w:adjustRightInd w:val="0"/>
        <w:snapToGrid w:val="0"/>
        <w:spacing w:line="360" w:lineRule="auto"/>
        <w:jc w:val="left"/>
        <w:rPr>
          <w:rFonts w:ascii="宋体" w:hAnsi="宋体" w:cs="MingLiU"/>
          <w:color w:val="auto"/>
          <w:kern w:val="0"/>
          <w:sz w:val="20"/>
          <w:szCs w:val="20"/>
          <w:highlight w:val="none"/>
        </w:rPr>
      </w:pPr>
    </w:p>
    <w:p w14:paraId="75E6D66C">
      <w:pPr>
        <w:autoSpaceDE w:val="0"/>
        <w:autoSpaceDN w:val="0"/>
        <w:adjustRightInd w:val="0"/>
        <w:snapToGrid w:val="0"/>
        <w:spacing w:line="360" w:lineRule="auto"/>
        <w:jc w:val="left"/>
        <w:rPr>
          <w:rFonts w:ascii="宋体" w:hAnsi="宋体" w:cs="MingLiU"/>
          <w:color w:val="auto"/>
          <w:kern w:val="0"/>
          <w:sz w:val="20"/>
          <w:szCs w:val="20"/>
          <w:highlight w:val="none"/>
        </w:rPr>
      </w:pPr>
    </w:p>
    <w:p w14:paraId="4A63A733">
      <w:pPr>
        <w:autoSpaceDE w:val="0"/>
        <w:autoSpaceDN w:val="0"/>
        <w:adjustRightInd w:val="0"/>
        <w:snapToGrid w:val="0"/>
        <w:spacing w:line="360" w:lineRule="auto"/>
        <w:jc w:val="left"/>
        <w:rPr>
          <w:rFonts w:ascii="宋体" w:hAnsi="宋体" w:cs="MingLiU"/>
          <w:color w:val="auto"/>
          <w:kern w:val="0"/>
          <w:sz w:val="20"/>
          <w:szCs w:val="20"/>
          <w:highlight w:val="none"/>
        </w:rPr>
      </w:pPr>
    </w:p>
    <w:p w14:paraId="7A3BD115">
      <w:pPr>
        <w:autoSpaceDE w:val="0"/>
        <w:autoSpaceDN w:val="0"/>
        <w:adjustRightInd w:val="0"/>
        <w:snapToGrid w:val="0"/>
        <w:spacing w:line="360" w:lineRule="auto"/>
        <w:jc w:val="left"/>
        <w:rPr>
          <w:rFonts w:ascii="宋体" w:hAnsi="宋体" w:cs="MingLiU"/>
          <w:color w:val="auto"/>
          <w:kern w:val="0"/>
          <w:sz w:val="20"/>
          <w:szCs w:val="20"/>
          <w:highlight w:val="none"/>
        </w:rPr>
      </w:pPr>
    </w:p>
    <w:p w14:paraId="0EAD471F">
      <w:pPr>
        <w:autoSpaceDE w:val="0"/>
        <w:autoSpaceDN w:val="0"/>
        <w:adjustRightInd w:val="0"/>
        <w:snapToGrid w:val="0"/>
        <w:spacing w:line="360" w:lineRule="auto"/>
        <w:jc w:val="left"/>
        <w:rPr>
          <w:rFonts w:ascii="宋体" w:hAnsi="宋体" w:cs="MingLiU"/>
          <w:color w:val="auto"/>
          <w:kern w:val="0"/>
          <w:sz w:val="20"/>
          <w:szCs w:val="20"/>
          <w:highlight w:val="none"/>
        </w:rPr>
      </w:pPr>
    </w:p>
    <w:p w14:paraId="4587B396">
      <w:pPr>
        <w:autoSpaceDE w:val="0"/>
        <w:autoSpaceDN w:val="0"/>
        <w:adjustRightInd w:val="0"/>
        <w:snapToGrid w:val="0"/>
        <w:spacing w:line="360" w:lineRule="auto"/>
        <w:jc w:val="left"/>
        <w:rPr>
          <w:rFonts w:ascii="宋体" w:hAnsi="宋体" w:cs="MingLiU"/>
          <w:color w:val="auto"/>
          <w:kern w:val="0"/>
          <w:sz w:val="20"/>
          <w:szCs w:val="20"/>
          <w:highlight w:val="none"/>
        </w:rPr>
      </w:pPr>
    </w:p>
    <w:p w14:paraId="02F3852F">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F480025">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49383A6">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36E4789">
      <w:pPr>
        <w:autoSpaceDE w:val="0"/>
        <w:autoSpaceDN w:val="0"/>
        <w:adjustRightInd w:val="0"/>
        <w:snapToGrid w:val="0"/>
        <w:jc w:val="center"/>
        <w:rPr>
          <w:rFonts w:ascii="宋体" w:hAnsi="宋体"/>
          <w:color w:val="auto"/>
          <w:kern w:val="0"/>
          <w:sz w:val="36"/>
          <w:szCs w:val="36"/>
          <w:highlight w:val="none"/>
        </w:rPr>
      </w:pPr>
    </w:p>
    <w:p w14:paraId="6FBDDEA7">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4E8F3CD">
      <w:pPr>
        <w:spacing w:line="360" w:lineRule="auto"/>
        <w:jc w:val="center"/>
        <w:rPr>
          <w:rFonts w:ascii="宋体" w:hAnsi="宋体"/>
          <w:b/>
          <w:color w:val="auto"/>
          <w:kern w:val="0"/>
          <w:sz w:val="32"/>
          <w:szCs w:val="32"/>
          <w:highlight w:val="none"/>
        </w:rPr>
      </w:pPr>
    </w:p>
    <w:p w14:paraId="4F6DF97E">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3A993D65">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3A0AAD4A">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2AE5BA19">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6D6D35B2">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78C496AD">
      <w:pPr>
        <w:spacing w:line="360" w:lineRule="auto"/>
        <w:jc w:val="center"/>
        <w:rPr>
          <w:rFonts w:ascii="宋体" w:hAnsi="宋体"/>
          <w:b/>
          <w:color w:val="auto"/>
          <w:kern w:val="0"/>
          <w:sz w:val="32"/>
          <w:szCs w:val="32"/>
          <w:highlight w:val="none"/>
        </w:rPr>
      </w:pPr>
    </w:p>
    <w:p w14:paraId="6595548B">
      <w:pPr>
        <w:spacing w:line="360" w:lineRule="auto"/>
        <w:jc w:val="center"/>
        <w:rPr>
          <w:rFonts w:ascii="宋体" w:hAnsi="宋体"/>
          <w:b/>
          <w:color w:val="auto"/>
          <w:kern w:val="0"/>
          <w:sz w:val="32"/>
          <w:szCs w:val="32"/>
          <w:highlight w:val="none"/>
        </w:rPr>
      </w:pPr>
    </w:p>
    <w:p w14:paraId="4F7A4D89">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356" w:name="_Toc7724"/>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350"/>
      <w:bookmarkEnd w:id="356"/>
    </w:p>
    <w:p w14:paraId="5D657BE8">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31B37F9">
      <w:pPr>
        <w:spacing w:line="480" w:lineRule="auto"/>
        <w:jc w:val="center"/>
        <w:rPr>
          <w:rFonts w:ascii="宋体" w:hAnsi="宋体"/>
          <w:color w:val="auto"/>
          <w:highlight w:val="none"/>
        </w:rPr>
      </w:pPr>
    </w:p>
    <w:p w14:paraId="52C4D2BA">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12574A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C9B946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BC494EF">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6FCEDE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109656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40D3B5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467CEB7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34251D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2C741847">
      <w:pPr>
        <w:autoSpaceDE w:val="0"/>
        <w:autoSpaceDN w:val="0"/>
        <w:adjustRightInd w:val="0"/>
        <w:snapToGrid w:val="0"/>
        <w:spacing w:line="360" w:lineRule="auto"/>
        <w:jc w:val="left"/>
        <w:rPr>
          <w:rFonts w:ascii="宋体" w:hAnsi="宋体"/>
          <w:color w:val="auto"/>
          <w:szCs w:val="21"/>
          <w:highlight w:val="none"/>
        </w:rPr>
      </w:pPr>
    </w:p>
    <w:p w14:paraId="064C88BB">
      <w:pPr>
        <w:pStyle w:val="18"/>
        <w:spacing w:after="0" w:line="360" w:lineRule="auto"/>
        <w:rPr>
          <w:rFonts w:ascii="宋体" w:hAnsi="宋体"/>
          <w:color w:val="auto"/>
          <w:szCs w:val="21"/>
          <w:highlight w:val="none"/>
        </w:rPr>
      </w:pPr>
    </w:p>
    <w:p w14:paraId="2D9FAF3A">
      <w:pPr>
        <w:pStyle w:val="18"/>
        <w:spacing w:after="0" w:line="360" w:lineRule="auto"/>
        <w:rPr>
          <w:rFonts w:ascii="宋体" w:hAnsi="宋体"/>
          <w:color w:val="auto"/>
          <w:szCs w:val="21"/>
          <w:highlight w:val="none"/>
        </w:rPr>
      </w:pPr>
    </w:p>
    <w:p w14:paraId="31AD3333">
      <w:pPr>
        <w:pStyle w:val="18"/>
        <w:spacing w:after="0" w:line="360" w:lineRule="auto"/>
        <w:rPr>
          <w:rFonts w:ascii="宋体" w:hAnsi="宋体"/>
          <w:color w:val="auto"/>
          <w:szCs w:val="21"/>
          <w:highlight w:val="none"/>
        </w:rPr>
      </w:pPr>
    </w:p>
    <w:p w14:paraId="479FE9D2">
      <w:pPr>
        <w:pStyle w:val="18"/>
        <w:spacing w:after="0" w:line="360" w:lineRule="auto"/>
        <w:rPr>
          <w:rFonts w:ascii="宋体" w:hAnsi="宋体"/>
          <w:color w:val="auto"/>
          <w:szCs w:val="21"/>
          <w:highlight w:val="none"/>
        </w:rPr>
      </w:pPr>
    </w:p>
    <w:p w14:paraId="7263F35D">
      <w:pPr>
        <w:pStyle w:val="18"/>
        <w:spacing w:after="0" w:line="360" w:lineRule="auto"/>
        <w:rPr>
          <w:rFonts w:ascii="宋体" w:hAnsi="宋体"/>
          <w:color w:val="auto"/>
          <w:szCs w:val="21"/>
          <w:highlight w:val="none"/>
        </w:rPr>
      </w:pPr>
    </w:p>
    <w:p w14:paraId="0C4518C4">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7B2CABB">
      <w:pPr>
        <w:autoSpaceDE w:val="0"/>
        <w:autoSpaceDN w:val="0"/>
        <w:adjustRightInd w:val="0"/>
        <w:snapToGrid w:val="0"/>
        <w:spacing w:line="480" w:lineRule="auto"/>
        <w:jc w:val="left"/>
        <w:rPr>
          <w:rFonts w:ascii="宋体" w:hAnsi="宋体"/>
          <w:color w:val="auto"/>
          <w:kern w:val="0"/>
          <w:sz w:val="20"/>
          <w:szCs w:val="20"/>
          <w:highlight w:val="none"/>
        </w:rPr>
      </w:pPr>
    </w:p>
    <w:p w14:paraId="318AACC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F85A7CD">
      <w:pPr>
        <w:autoSpaceDE w:val="0"/>
        <w:autoSpaceDN w:val="0"/>
        <w:adjustRightInd w:val="0"/>
        <w:snapToGrid w:val="0"/>
        <w:spacing w:line="360" w:lineRule="auto"/>
        <w:jc w:val="left"/>
        <w:rPr>
          <w:rFonts w:ascii="宋体" w:hAnsi="宋体"/>
          <w:color w:val="auto"/>
          <w:kern w:val="0"/>
          <w:highlight w:val="none"/>
        </w:rPr>
      </w:pPr>
    </w:p>
    <w:p w14:paraId="28676857">
      <w:pPr>
        <w:autoSpaceDE w:val="0"/>
        <w:autoSpaceDN w:val="0"/>
        <w:adjustRightInd w:val="0"/>
        <w:snapToGrid w:val="0"/>
        <w:spacing w:line="360" w:lineRule="auto"/>
        <w:jc w:val="left"/>
        <w:rPr>
          <w:rFonts w:ascii="宋体" w:hAnsi="宋体"/>
          <w:color w:val="auto"/>
          <w:kern w:val="0"/>
          <w:highlight w:val="none"/>
        </w:rPr>
      </w:pPr>
    </w:p>
    <w:p w14:paraId="435023A5">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351"/>
      <w:bookmarkEnd w:id="352"/>
      <w:bookmarkEnd w:id="353"/>
      <w:bookmarkEnd w:id="354"/>
      <w:bookmarkEnd w:id="355"/>
      <w:r>
        <w:rPr>
          <w:rFonts w:hint="eastAsia" w:ascii="宋体" w:hAnsi="宋体"/>
          <w:color w:val="auto"/>
          <w:kern w:val="0"/>
          <w:szCs w:val="21"/>
          <w:highlight w:val="none"/>
        </w:rPr>
        <w:t>。</w:t>
      </w:r>
    </w:p>
    <w:p w14:paraId="11EDA565">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28FAE57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4365FBE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38F420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F23107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67B683E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1208740">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5A3A292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F4CA48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143F641">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03F17C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D996C4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9AB2C3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63B5E0D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4C1794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9D2FE7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596809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FCF678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AE1A6EA">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12F96B8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58F6BED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EC12E7A">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5C3ED822">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4111A3E1">
      <w:pPr>
        <w:tabs>
          <w:tab w:val="left" w:pos="5760"/>
        </w:tabs>
        <w:autoSpaceDE w:val="0"/>
        <w:autoSpaceDN w:val="0"/>
        <w:adjustRightInd w:val="0"/>
        <w:spacing w:line="360" w:lineRule="auto"/>
        <w:ind w:firstLine="420" w:firstLineChars="200"/>
        <w:rPr>
          <w:rFonts w:ascii="宋体" w:hAnsi="宋体" w:cs="Times New Roman"/>
          <w:color w:val="auto"/>
          <w:kern w:val="0"/>
          <w:szCs w:val="21"/>
          <w:highlight w:val="none"/>
        </w:rPr>
      </w:pPr>
      <w:r>
        <w:rPr>
          <w:rFonts w:hint="eastAsia" w:ascii="宋体" w:hAnsi="宋体" w:cs="Times New Roman"/>
          <w:color w:val="auto"/>
          <w:kern w:val="0"/>
          <w:szCs w:val="21"/>
          <w:highlight w:val="none"/>
        </w:rPr>
        <w:t>3.授权委托书</w:t>
      </w:r>
      <w:r>
        <w:rPr>
          <w:rFonts w:ascii="宋体" w:hAnsi="宋体" w:cs="Times New Roman"/>
          <w:color w:val="auto"/>
          <w:kern w:val="0"/>
          <w:szCs w:val="21"/>
          <w:highlight w:val="none"/>
        </w:rPr>
        <w:t>需按上述格式填写完整，不可缺少内容。在此基础上增加内容的不影响其有效性。</w:t>
      </w:r>
      <w:bookmarkStart w:id="357" w:name="_Toc2972"/>
    </w:p>
    <w:bookmarkEnd w:id="357"/>
    <w:p w14:paraId="56C1EEB6">
      <w:pPr>
        <w:pStyle w:val="4"/>
        <w:spacing w:before="0" w:after="0" w:line="240" w:lineRule="auto"/>
        <w:jc w:val="center"/>
        <w:rPr>
          <w:rFonts w:ascii="宋体" w:hAnsi="宋体"/>
          <w:color w:val="auto"/>
          <w:highlight w:val="none"/>
        </w:rPr>
      </w:pPr>
      <w:bookmarkStart w:id="358" w:name="_Toc277082658"/>
      <w:bookmarkStart w:id="359" w:name="_Toc287607884"/>
      <w:bookmarkStart w:id="360" w:name="_Toc430530547"/>
      <w:bookmarkStart w:id="361" w:name="_Toc224103512"/>
      <w:bookmarkStart w:id="362" w:name="_Toc287620831"/>
      <w:bookmarkStart w:id="363" w:name="_Toc30898"/>
      <w:r>
        <w:rPr>
          <w:color w:val="auto"/>
          <w:highlight w:val="none"/>
        </w:rPr>
        <w:t>（</w:t>
      </w:r>
      <w:r>
        <w:rPr>
          <w:rFonts w:hint="eastAsia"/>
          <w:color w:val="auto"/>
          <w:highlight w:val="none"/>
          <w:lang w:val="en-US" w:eastAsia="zh-CN"/>
        </w:rPr>
        <w:t>二</w:t>
      </w:r>
      <w:r>
        <w:rPr>
          <w:color w:val="auto"/>
          <w:highlight w:val="none"/>
        </w:rPr>
        <w:t>）</w:t>
      </w:r>
      <w:bookmarkEnd w:id="358"/>
      <w:bookmarkEnd w:id="359"/>
      <w:bookmarkEnd w:id="360"/>
      <w:bookmarkEnd w:id="361"/>
      <w:bookmarkEnd w:id="362"/>
      <w:bookmarkStart w:id="364" w:name="_Toc277082659"/>
      <w:bookmarkStart w:id="365" w:name="_Toc287607887"/>
      <w:r>
        <w:rPr>
          <w:rFonts w:hint="eastAsia" w:ascii="宋体" w:hAnsi="宋体"/>
          <w:b w:val="0"/>
          <w:bCs w:val="0"/>
          <w:color w:val="auto"/>
          <w:highlight w:val="none"/>
        </w:rPr>
        <w:t>竞标人基本情况表</w:t>
      </w:r>
      <w:bookmarkEnd w:id="363"/>
    </w:p>
    <w:tbl>
      <w:tblPr>
        <w:tblStyle w:val="48"/>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42140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66884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竞标人名称</w:t>
            </w:r>
          </w:p>
        </w:tc>
        <w:tc>
          <w:tcPr>
            <w:tcW w:w="7607" w:type="dxa"/>
            <w:gridSpan w:val="9"/>
            <w:vAlign w:val="center"/>
          </w:tcPr>
          <w:p w14:paraId="42F23047">
            <w:pPr>
              <w:autoSpaceDE w:val="0"/>
              <w:autoSpaceDN w:val="0"/>
              <w:adjustRightInd w:val="0"/>
              <w:snapToGrid w:val="0"/>
              <w:jc w:val="center"/>
              <w:rPr>
                <w:rFonts w:ascii="宋体" w:hAnsi="宋体"/>
                <w:color w:val="auto"/>
                <w:kern w:val="0"/>
                <w:szCs w:val="21"/>
                <w:highlight w:val="none"/>
              </w:rPr>
            </w:pPr>
          </w:p>
        </w:tc>
      </w:tr>
      <w:tr w14:paraId="48058F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4118D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18182714">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6399B3A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6BA4E1C9">
            <w:pPr>
              <w:autoSpaceDE w:val="0"/>
              <w:autoSpaceDN w:val="0"/>
              <w:adjustRightInd w:val="0"/>
              <w:snapToGrid w:val="0"/>
              <w:jc w:val="center"/>
              <w:rPr>
                <w:rFonts w:ascii="宋体" w:hAnsi="宋体"/>
                <w:color w:val="auto"/>
                <w:kern w:val="0"/>
                <w:szCs w:val="21"/>
                <w:highlight w:val="none"/>
              </w:rPr>
            </w:pPr>
          </w:p>
        </w:tc>
      </w:tr>
      <w:tr w14:paraId="47BCB7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A58ED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2AA9CBE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6D6EE2D6">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75E6E1B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1854F8D7">
            <w:pPr>
              <w:autoSpaceDE w:val="0"/>
              <w:autoSpaceDN w:val="0"/>
              <w:adjustRightInd w:val="0"/>
              <w:snapToGrid w:val="0"/>
              <w:jc w:val="center"/>
              <w:rPr>
                <w:rFonts w:ascii="宋体" w:hAnsi="宋体"/>
                <w:color w:val="auto"/>
                <w:kern w:val="0"/>
                <w:szCs w:val="21"/>
                <w:highlight w:val="none"/>
              </w:rPr>
            </w:pPr>
          </w:p>
        </w:tc>
      </w:tr>
      <w:tr w14:paraId="1CC5E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27F944A">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16C81420">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3C8723BA">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15FC56D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767005D">
            <w:pPr>
              <w:autoSpaceDE w:val="0"/>
              <w:autoSpaceDN w:val="0"/>
              <w:adjustRightInd w:val="0"/>
              <w:snapToGrid w:val="0"/>
              <w:jc w:val="center"/>
              <w:rPr>
                <w:rFonts w:ascii="宋体" w:hAnsi="宋体"/>
                <w:color w:val="auto"/>
                <w:kern w:val="0"/>
                <w:szCs w:val="21"/>
                <w:highlight w:val="none"/>
              </w:rPr>
            </w:pPr>
          </w:p>
        </w:tc>
      </w:tr>
      <w:tr w14:paraId="5B501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ED27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742C2777">
            <w:pPr>
              <w:autoSpaceDE w:val="0"/>
              <w:autoSpaceDN w:val="0"/>
              <w:adjustRightInd w:val="0"/>
              <w:snapToGrid w:val="0"/>
              <w:jc w:val="center"/>
              <w:rPr>
                <w:rFonts w:ascii="宋体" w:hAnsi="宋体"/>
                <w:color w:val="auto"/>
                <w:kern w:val="0"/>
                <w:szCs w:val="21"/>
                <w:highlight w:val="none"/>
              </w:rPr>
            </w:pPr>
          </w:p>
        </w:tc>
      </w:tr>
      <w:tr w14:paraId="4D1EFA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BDAE71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18263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119BBF27">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28F9C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C425773">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1581FD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50476841">
            <w:pPr>
              <w:autoSpaceDE w:val="0"/>
              <w:autoSpaceDN w:val="0"/>
              <w:adjustRightInd w:val="0"/>
              <w:snapToGrid w:val="0"/>
              <w:jc w:val="center"/>
              <w:rPr>
                <w:rFonts w:ascii="宋体" w:hAnsi="宋体"/>
                <w:color w:val="auto"/>
                <w:kern w:val="0"/>
                <w:szCs w:val="21"/>
                <w:highlight w:val="none"/>
              </w:rPr>
            </w:pPr>
          </w:p>
        </w:tc>
      </w:tr>
      <w:tr w14:paraId="2C434A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A847C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74441C9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402B31C">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3CF069E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40B8BFD">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6C6DBFD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F1792F8">
            <w:pPr>
              <w:autoSpaceDE w:val="0"/>
              <w:autoSpaceDN w:val="0"/>
              <w:adjustRightInd w:val="0"/>
              <w:snapToGrid w:val="0"/>
              <w:jc w:val="center"/>
              <w:rPr>
                <w:rFonts w:ascii="宋体" w:hAnsi="宋体"/>
                <w:color w:val="auto"/>
                <w:kern w:val="0"/>
                <w:szCs w:val="21"/>
                <w:highlight w:val="none"/>
              </w:rPr>
            </w:pPr>
          </w:p>
        </w:tc>
      </w:tr>
      <w:tr w14:paraId="17187D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0CB15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767E7C25">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21BC55B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536154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B61336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40177BB6">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80A582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1084BB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3B549849">
            <w:pPr>
              <w:autoSpaceDE w:val="0"/>
              <w:autoSpaceDN w:val="0"/>
              <w:adjustRightInd w:val="0"/>
              <w:snapToGrid w:val="0"/>
              <w:jc w:val="center"/>
              <w:rPr>
                <w:rFonts w:ascii="宋体" w:hAnsi="宋体"/>
                <w:color w:val="auto"/>
                <w:kern w:val="0"/>
                <w:szCs w:val="21"/>
                <w:highlight w:val="none"/>
              </w:rPr>
            </w:pPr>
          </w:p>
        </w:tc>
      </w:tr>
      <w:tr w14:paraId="6AC1A8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4C7B41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94F3DC7">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426684EF">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7F2B69A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4972163D">
            <w:pPr>
              <w:autoSpaceDE w:val="0"/>
              <w:autoSpaceDN w:val="0"/>
              <w:adjustRightInd w:val="0"/>
              <w:snapToGrid w:val="0"/>
              <w:jc w:val="center"/>
              <w:rPr>
                <w:rFonts w:ascii="宋体" w:hAnsi="宋体"/>
                <w:color w:val="auto"/>
                <w:kern w:val="0"/>
                <w:szCs w:val="21"/>
                <w:highlight w:val="none"/>
              </w:rPr>
            </w:pPr>
          </w:p>
        </w:tc>
      </w:tr>
      <w:tr w14:paraId="5CB6BE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C5064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771C3859">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7A323B68">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F0BB06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6E4C125B">
            <w:pPr>
              <w:autoSpaceDE w:val="0"/>
              <w:autoSpaceDN w:val="0"/>
              <w:adjustRightInd w:val="0"/>
              <w:snapToGrid w:val="0"/>
              <w:jc w:val="center"/>
              <w:rPr>
                <w:rFonts w:ascii="宋体" w:hAnsi="宋体"/>
                <w:color w:val="auto"/>
                <w:kern w:val="0"/>
                <w:szCs w:val="21"/>
                <w:highlight w:val="none"/>
              </w:rPr>
            </w:pPr>
          </w:p>
        </w:tc>
      </w:tr>
      <w:tr w14:paraId="3235BD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D8CE7E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35DAC9A5">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105ED1A6">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FB2B43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1A950ECE">
            <w:pPr>
              <w:autoSpaceDE w:val="0"/>
              <w:autoSpaceDN w:val="0"/>
              <w:adjustRightInd w:val="0"/>
              <w:snapToGrid w:val="0"/>
              <w:jc w:val="center"/>
              <w:rPr>
                <w:rFonts w:ascii="宋体" w:hAnsi="宋体"/>
                <w:color w:val="auto"/>
                <w:kern w:val="0"/>
                <w:szCs w:val="21"/>
                <w:highlight w:val="none"/>
              </w:rPr>
            </w:pPr>
          </w:p>
        </w:tc>
      </w:tr>
      <w:tr w14:paraId="1260F7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A4FA7D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59ADEB34">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7BAC9C38">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68DA961">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0487565E">
            <w:pPr>
              <w:autoSpaceDE w:val="0"/>
              <w:autoSpaceDN w:val="0"/>
              <w:adjustRightInd w:val="0"/>
              <w:snapToGrid w:val="0"/>
              <w:jc w:val="center"/>
              <w:rPr>
                <w:rFonts w:ascii="宋体" w:hAnsi="宋体"/>
                <w:color w:val="auto"/>
                <w:kern w:val="0"/>
                <w:szCs w:val="21"/>
                <w:highlight w:val="none"/>
              </w:rPr>
            </w:pPr>
          </w:p>
        </w:tc>
      </w:tr>
      <w:tr w14:paraId="752B7E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906964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314C50FB">
            <w:pPr>
              <w:autoSpaceDE w:val="0"/>
              <w:autoSpaceDN w:val="0"/>
              <w:adjustRightInd w:val="0"/>
              <w:snapToGrid w:val="0"/>
              <w:jc w:val="center"/>
              <w:rPr>
                <w:rFonts w:ascii="宋体" w:hAnsi="宋体"/>
                <w:color w:val="auto"/>
                <w:kern w:val="0"/>
                <w:szCs w:val="21"/>
                <w:highlight w:val="none"/>
              </w:rPr>
            </w:pPr>
          </w:p>
        </w:tc>
      </w:tr>
      <w:tr w14:paraId="1E415A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70A84F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7DF5CDE3">
            <w:pPr>
              <w:autoSpaceDE w:val="0"/>
              <w:autoSpaceDN w:val="0"/>
              <w:adjustRightInd w:val="0"/>
              <w:snapToGrid w:val="0"/>
              <w:jc w:val="center"/>
              <w:rPr>
                <w:rFonts w:ascii="宋体" w:hAnsi="宋体"/>
                <w:color w:val="auto"/>
                <w:kern w:val="0"/>
                <w:szCs w:val="21"/>
                <w:highlight w:val="none"/>
              </w:rPr>
            </w:pPr>
          </w:p>
        </w:tc>
      </w:tr>
    </w:tbl>
    <w:p w14:paraId="49408389">
      <w:pPr>
        <w:spacing w:line="360" w:lineRule="auto"/>
        <w:jc w:val="center"/>
        <w:rPr>
          <w:rFonts w:ascii="宋体" w:hAnsi="宋体"/>
          <w:color w:val="auto"/>
          <w:szCs w:val="21"/>
          <w:highlight w:val="none"/>
        </w:rPr>
      </w:pPr>
    </w:p>
    <w:p w14:paraId="1515ED84">
      <w:pPr>
        <w:rPr>
          <w:rFonts w:ascii="宋体" w:hAnsi="宋体"/>
          <w:color w:val="auto"/>
          <w:highlight w:val="none"/>
        </w:rPr>
      </w:pPr>
      <w:r>
        <w:rPr>
          <w:rFonts w:ascii="宋体" w:hAnsi="宋体"/>
          <w:color w:val="auto"/>
          <w:szCs w:val="21"/>
          <w:highlight w:val="none"/>
        </w:rPr>
        <w:br w:type="page"/>
      </w:r>
      <w:bookmarkEnd w:id="364"/>
      <w:bookmarkEnd w:id="365"/>
    </w:p>
    <w:p w14:paraId="232B8C62">
      <w:pPr>
        <w:pStyle w:val="4"/>
        <w:spacing w:before="0" w:after="0" w:line="240" w:lineRule="auto"/>
        <w:jc w:val="center"/>
        <w:rPr>
          <w:rFonts w:ascii="宋体" w:hAnsi="宋体"/>
          <w:b w:val="0"/>
          <w:bCs w:val="0"/>
          <w:color w:val="auto"/>
          <w:highlight w:val="none"/>
        </w:rPr>
      </w:pPr>
      <w:bookmarkStart w:id="366" w:name="_Toc31370"/>
      <w:bookmarkStart w:id="367" w:name="_Toc534185840"/>
      <w:bookmarkStart w:id="368" w:name="_Toc509218863"/>
      <w:bookmarkStart w:id="369" w:name="_Toc1142"/>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366"/>
      <w:bookmarkEnd w:id="367"/>
      <w:bookmarkEnd w:id="368"/>
      <w:bookmarkEnd w:id="369"/>
    </w:p>
    <w:p w14:paraId="715C33CE">
      <w:pPr>
        <w:spacing w:line="360" w:lineRule="auto"/>
        <w:rPr>
          <w:rFonts w:ascii="宋体" w:hAnsi="宋体"/>
          <w:color w:val="auto"/>
          <w:highlight w:val="none"/>
        </w:rPr>
      </w:pPr>
    </w:p>
    <w:p w14:paraId="3A8F965D">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6848AB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09CAAC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5D8C085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5B306A7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13E3FE0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00D914E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F137E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3F02D655">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5E387C52">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09A6AA11">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3CFB97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504260F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0659D95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22EF2F8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7E17DB5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21A69FBD">
            <w:pPr>
              <w:autoSpaceDE w:val="0"/>
              <w:autoSpaceDN w:val="0"/>
              <w:adjustRightInd w:val="0"/>
              <w:snapToGrid w:val="0"/>
              <w:jc w:val="left"/>
              <w:rPr>
                <w:rFonts w:ascii="宋体" w:hAnsi="宋体"/>
                <w:color w:val="auto"/>
                <w:kern w:val="0"/>
                <w:szCs w:val="21"/>
                <w:highlight w:val="none"/>
              </w:rPr>
            </w:pPr>
          </w:p>
        </w:tc>
      </w:tr>
      <w:tr w14:paraId="6021DD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6EF3065">
            <w:pPr>
              <w:autoSpaceDE w:val="0"/>
              <w:autoSpaceDN w:val="0"/>
              <w:adjustRightInd w:val="0"/>
              <w:snapToGrid w:val="0"/>
              <w:jc w:val="center"/>
              <w:rPr>
                <w:rFonts w:ascii="宋体" w:hAnsi="宋体"/>
                <w:color w:val="auto"/>
                <w:kern w:val="0"/>
                <w:szCs w:val="21"/>
                <w:highlight w:val="none"/>
              </w:rPr>
            </w:pPr>
          </w:p>
        </w:tc>
        <w:tc>
          <w:tcPr>
            <w:tcW w:w="734" w:type="dxa"/>
          </w:tcPr>
          <w:p w14:paraId="2BC90C23">
            <w:pPr>
              <w:autoSpaceDE w:val="0"/>
              <w:autoSpaceDN w:val="0"/>
              <w:adjustRightInd w:val="0"/>
              <w:snapToGrid w:val="0"/>
              <w:jc w:val="left"/>
              <w:rPr>
                <w:rFonts w:ascii="宋体" w:hAnsi="宋体"/>
                <w:color w:val="auto"/>
                <w:kern w:val="0"/>
                <w:szCs w:val="21"/>
                <w:highlight w:val="none"/>
              </w:rPr>
            </w:pPr>
          </w:p>
        </w:tc>
        <w:tc>
          <w:tcPr>
            <w:tcW w:w="776" w:type="dxa"/>
          </w:tcPr>
          <w:p w14:paraId="3F6C1D0A">
            <w:pPr>
              <w:autoSpaceDE w:val="0"/>
              <w:autoSpaceDN w:val="0"/>
              <w:adjustRightInd w:val="0"/>
              <w:snapToGrid w:val="0"/>
              <w:jc w:val="left"/>
              <w:rPr>
                <w:rFonts w:ascii="宋体" w:hAnsi="宋体"/>
                <w:color w:val="auto"/>
                <w:kern w:val="0"/>
                <w:szCs w:val="21"/>
                <w:highlight w:val="none"/>
              </w:rPr>
            </w:pPr>
          </w:p>
        </w:tc>
        <w:tc>
          <w:tcPr>
            <w:tcW w:w="1167" w:type="dxa"/>
          </w:tcPr>
          <w:p w14:paraId="1230EE8F">
            <w:pPr>
              <w:autoSpaceDE w:val="0"/>
              <w:autoSpaceDN w:val="0"/>
              <w:adjustRightInd w:val="0"/>
              <w:snapToGrid w:val="0"/>
              <w:jc w:val="left"/>
              <w:rPr>
                <w:rFonts w:ascii="宋体" w:hAnsi="宋体"/>
                <w:color w:val="auto"/>
                <w:kern w:val="0"/>
                <w:szCs w:val="21"/>
                <w:highlight w:val="none"/>
              </w:rPr>
            </w:pPr>
          </w:p>
        </w:tc>
        <w:tc>
          <w:tcPr>
            <w:tcW w:w="776" w:type="dxa"/>
          </w:tcPr>
          <w:p w14:paraId="49938ED7">
            <w:pPr>
              <w:autoSpaceDE w:val="0"/>
              <w:autoSpaceDN w:val="0"/>
              <w:adjustRightInd w:val="0"/>
              <w:snapToGrid w:val="0"/>
              <w:jc w:val="left"/>
              <w:rPr>
                <w:rFonts w:ascii="宋体" w:hAnsi="宋体"/>
                <w:color w:val="auto"/>
                <w:kern w:val="0"/>
                <w:szCs w:val="21"/>
                <w:highlight w:val="none"/>
              </w:rPr>
            </w:pPr>
          </w:p>
        </w:tc>
        <w:tc>
          <w:tcPr>
            <w:tcW w:w="778" w:type="dxa"/>
          </w:tcPr>
          <w:p w14:paraId="246CF65A">
            <w:pPr>
              <w:autoSpaceDE w:val="0"/>
              <w:autoSpaceDN w:val="0"/>
              <w:adjustRightInd w:val="0"/>
              <w:snapToGrid w:val="0"/>
              <w:jc w:val="left"/>
              <w:rPr>
                <w:rFonts w:ascii="宋体" w:hAnsi="宋体"/>
                <w:color w:val="auto"/>
                <w:kern w:val="0"/>
                <w:szCs w:val="21"/>
                <w:highlight w:val="none"/>
              </w:rPr>
            </w:pPr>
          </w:p>
        </w:tc>
        <w:tc>
          <w:tcPr>
            <w:tcW w:w="776" w:type="dxa"/>
          </w:tcPr>
          <w:p w14:paraId="6B1D7EB9">
            <w:pPr>
              <w:autoSpaceDE w:val="0"/>
              <w:autoSpaceDN w:val="0"/>
              <w:adjustRightInd w:val="0"/>
              <w:snapToGrid w:val="0"/>
              <w:jc w:val="left"/>
              <w:rPr>
                <w:rFonts w:ascii="宋体" w:hAnsi="宋体"/>
                <w:color w:val="auto"/>
                <w:kern w:val="0"/>
                <w:szCs w:val="21"/>
                <w:highlight w:val="none"/>
              </w:rPr>
            </w:pPr>
          </w:p>
        </w:tc>
        <w:tc>
          <w:tcPr>
            <w:tcW w:w="2723" w:type="dxa"/>
          </w:tcPr>
          <w:p w14:paraId="11C0528E">
            <w:pPr>
              <w:autoSpaceDE w:val="0"/>
              <w:autoSpaceDN w:val="0"/>
              <w:adjustRightInd w:val="0"/>
              <w:snapToGrid w:val="0"/>
              <w:jc w:val="left"/>
              <w:rPr>
                <w:rFonts w:ascii="宋体" w:hAnsi="宋体"/>
                <w:color w:val="auto"/>
                <w:kern w:val="0"/>
                <w:szCs w:val="21"/>
                <w:highlight w:val="none"/>
              </w:rPr>
            </w:pPr>
          </w:p>
        </w:tc>
        <w:tc>
          <w:tcPr>
            <w:tcW w:w="896" w:type="dxa"/>
          </w:tcPr>
          <w:p w14:paraId="6A3BFB9C">
            <w:pPr>
              <w:autoSpaceDE w:val="0"/>
              <w:autoSpaceDN w:val="0"/>
              <w:adjustRightInd w:val="0"/>
              <w:snapToGrid w:val="0"/>
              <w:jc w:val="left"/>
              <w:rPr>
                <w:rFonts w:ascii="宋体" w:hAnsi="宋体"/>
                <w:color w:val="auto"/>
                <w:kern w:val="0"/>
                <w:szCs w:val="21"/>
                <w:highlight w:val="none"/>
              </w:rPr>
            </w:pPr>
          </w:p>
        </w:tc>
      </w:tr>
      <w:tr w14:paraId="300BD0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5843CF3D">
            <w:pPr>
              <w:autoSpaceDE w:val="0"/>
              <w:autoSpaceDN w:val="0"/>
              <w:adjustRightInd w:val="0"/>
              <w:snapToGrid w:val="0"/>
              <w:jc w:val="center"/>
              <w:rPr>
                <w:rFonts w:ascii="宋体" w:hAnsi="宋体"/>
                <w:color w:val="auto"/>
                <w:kern w:val="0"/>
                <w:szCs w:val="21"/>
                <w:highlight w:val="none"/>
              </w:rPr>
            </w:pPr>
          </w:p>
        </w:tc>
        <w:tc>
          <w:tcPr>
            <w:tcW w:w="734" w:type="dxa"/>
          </w:tcPr>
          <w:p w14:paraId="346542F5">
            <w:pPr>
              <w:autoSpaceDE w:val="0"/>
              <w:autoSpaceDN w:val="0"/>
              <w:adjustRightInd w:val="0"/>
              <w:snapToGrid w:val="0"/>
              <w:jc w:val="left"/>
              <w:rPr>
                <w:rFonts w:ascii="宋体" w:hAnsi="宋体"/>
                <w:color w:val="auto"/>
                <w:kern w:val="0"/>
                <w:szCs w:val="21"/>
                <w:highlight w:val="none"/>
              </w:rPr>
            </w:pPr>
          </w:p>
        </w:tc>
        <w:tc>
          <w:tcPr>
            <w:tcW w:w="776" w:type="dxa"/>
          </w:tcPr>
          <w:p w14:paraId="15363847">
            <w:pPr>
              <w:autoSpaceDE w:val="0"/>
              <w:autoSpaceDN w:val="0"/>
              <w:adjustRightInd w:val="0"/>
              <w:snapToGrid w:val="0"/>
              <w:jc w:val="left"/>
              <w:rPr>
                <w:rFonts w:ascii="宋体" w:hAnsi="宋体"/>
                <w:color w:val="auto"/>
                <w:kern w:val="0"/>
                <w:szCs w:val="21"/>
                <w:highlight w:val="none"/>
              </w:rPr>
            </w:pPr>
          </w:p>
        </w:tc>
        <w:tc>
          <w:tcPr>
            <w:tcW w:w="1167" w:type="dxa"/>
          </w:tcPr>
          <w:p w14:paraId="7D1196DA">
            <w:pPr>
              <w:autoSpaceDE w:val="0"/>
              <w:autoSpaceDN w:val="0"/>
              <w:adjustRightInd w:val="0"/>
              <w:snapToGrid w:val="0"/>
              <w:jc w:val="left"/>
              <w:rPr>
                <w:rFonts w:ascii="宋体" w:hAnsi="宋体"/>
                <w:color w:val="auto"/>
                <w:kern w:val="0"/>
                <w:szCs w:val="21"/>
                <w:highlight w:val="none"/>
              </w:rPr>
            </w:pPr>
          </w:p>
        </w:tc>
        <w:tc>
          <w:tcPr>
            <w:tcW w:w="776" w:type="dxa"/>
          </w:tcPr>
          <w:p w14:paraId="55E46695">
            <w:pPr>
              <w:autoSpaceDE w:val="0"/>
              <w:autoSpaceDN w:val="0"/>
              <w:adjustRightInd w:val="0"/>
              <w:snapToGrid w:val="0"/>
              <w:jc w:val="left"/>
              <w:rPr>
                <w:rFonts w:ascii="宋体" w:hAnsi="宋体"/>
                <w:color w:val="auto"/>
                <w:kern w:val="0"/>
                <w:szCs w:val="21"/>
                <w:highlight w:val="none"/>
              </w:rPr>
            </w:pPr>
          </w:p>
        </w:tc>
        <w:tc>
          <w:tcPr>
            <w:tcW w:w="778" w:type="dxa"/>
          </w:tcPr>
          <w:p w14:paraId="4444D8A7">
            <w:pPr>
              <w:autoSpaceDE w:val="0"/>
              <w:autoSpaceDN w:val="0"/>
              <w:adjustRightInd w:val="0"/>
              <w:snapToGrid w:val="0"/>
              <w:jc w:val="left"/>
              <w:rPr>
                <w:rFonts w:ascii="宋体" w:hAnsi="宋体"/>
                <w:color w:val="auto"/>
                <w:kern w:val="0"/>
                <w:szCs w:val="21"/>
                <w:highlight w:val="none"/>
              </w:rPr>
            </w:pPr>
          </w:p>
        </w:tc>
        <w:tc>
          <w:tcPr>
            <w:tcW w:w="776" w:type="dxa"/>
          </w:tcPr>
          <w:p w14:paraId="078AC759">
            <w:pPr>
              <w:autoSpaceDE w:val="0"/>
              <w:autoSpaceDN w:val="0"/>
              <w:adjustRightInd w:val="0"/>
              <w:snapToGrid w:val="0"/>
              <w:jc w:val="left"/>
              <w:rPr>
                <w:rFonts w:ascii="宋体" w:hAnsi="宋体"/>
                <w:color w:val="auto"/>
                <w:kern w:val="0"/>
                <w:szCs w:val="21"/>
                <w:highlight w:val="none"/>
              </w:rPr>
            </w:pPr>
          </w:p>
        </w:tc>
        <w:tc>
          <w:tcPr>
            <w:tcW w:w="2723" w:type="dxa"/>
          </w:tcPr>
          <w:p w14:paraId="27ADCB4D">
            <w:pPr>
              <w:autoSpaceDE w:val="0"/>
              <w:autoSpaceDN w:val="0"/>
              <w:adjustRightInd w:val="0"/>
              <w:snapToGrid w:val="0"/>
              <w:jc w:val="left"/>
              <w:rPr>
                <w:rFonts w:ascii="宋体" w:hAnsi="宋体"/>
                <w:color w:val="auto"/>
                <w:kern w:val="0"/>
                <w:szCs w:val="21"/>
                <w:highlight w:val="none"/>
              </w:rPr>
            </w:pPr>
          </w:p>
        </w:tc>
        <w:tc>
          <w:tcPr>
            <w:tcW w:w="896" w:type="dxa"/>
          </w:tcPr>
          <w:p w14:paraId="4459D090">
            <w:pPr>
              <w:autoSpaceDE w:val="0"/>
              <w:autoSpaceDN w:val="0"/>
              <w:adjustRightInd w:val="0"/>
              <w:snapToGrid w:val="0"/>
              <w:jc w:val="left"/>
              <w:rPr>
                <w:rFonts w:ascii="宋体" w:hAnsi="宋体"/>
                <w:color w:val="auto"/>
                <w:kern w:val="0"/>
                <w:szCs w:val="21"/>
                <w:highlight w:val="none"/>
              </w:rPr>
            </w:pPr>
          </w:p>
        </w:tc>
      </w:tr>
      <w:tr w14:paraId="688851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C48005D">
            <w:pPr>
              <w:autoSpaceDE w:val="0"/>
              <w:autoSpaceDN w:val="0"/>
              <w:adjustRightInd w:val="0"/>
              <w:snapToGrid w:val="0"/>
              <w:jc w:val="left"/>
              <w:rPr>
                <w:rFonts w:ascii="宋体" w:hAnsi="宋体"/>
                <w:color w:val="auto"/>
                <w:kern w:val="0"/>
                <w:szCs w:val="21"/>
                <w:highlight w:val="none"/>
              </w:rPr>
            </w:pPr>
          </w:p>
        </w:tc>
        <w:tc>
          <w:tcPr>
            <w:tcW w:w="734" w:type="dxa"/>
          </w:tcPr>
          <w:p w14:paraId="4EEA613C">
            <w:pPr>
              <w:autoSpaceDE w:val="0"/>
              <w:autoSpaceDN w:val="0"/>
              <w:adjustRightInd w:val="0"/>
              <w:snapToGrid w:val="0"/>
              <w:jc w:val="left"/>
              <w:rPr>
                <w:rFonts w:ascii="宋体" w:hAnsi="宋体"/>
                <w:color w:val="auto"/>
                <w:kern w:val="0"/>
                <w:szCs w:val="21"/>
                <w:highlight w:val="none"/>
              </w:rPr>
            </w:pPr>
          </w:p>
        </w:tc>
        <w:tc>
          <w:tcPr>
            <w:tcW w:w="776" w:type="dxa"/>
          </w:tcPr>
          <w:p w14:paraId="430769AC">
            <w:pPr>
              <w:autoSpaceDE w:val="0"/>
              <w:autoSpaceDN w:val="0"/>
              <w:adjustRightInd w:val="0"/>
              <w:snapToGrid w:val="0"/>
              <w:jc w:val="left"/>
              <w:rPr>
                <w:rFonts w:ascii="宋体" w:hAnsi="宋体"/>
                <w:color w:val="auto"/>
                <w:kern w:val="0"/>
                <w:szCs w:val="21"/>
                <w:highlight w:val="none"/>
              </w:rPr>
            </w:pPr>
          </w:p>
        </w:tc>
        <w:tc>
          <w:tcPr>
            <w:tcW w:w="1167" w:type="dxa"/>
          </w:tcPr>
          <w:p w14:paraId="3A3DB2AD">
            <w:pPr>
              <w:autoSpaceDE w:val="0"/>
              <w:autoSpaceDN w:val="0"/>
              <w:adjustRightInd w:val="0"/>
              <w:snapToGrid w:val="0"/>
              <w:jc w:val="left"/>
              <w:rPr>
                <w:rFonts w:ascii="宋体" w:hAnsi="宋体"/>
                <w:color w:val="auto"/>
                <w:kern w:val="0"/>
                <w:szCs w:val="21"/>
                <w:highlight w:val="none"/>
              </w:rPr>
            </w:pPr>
          </w:p>
        </w:tc>
        <w:tc>
          <w:tcPr>
            <w:tcW w:w="776" w:type="dxa"/>
          </w:tcPr>
          <w:p w14:paraId="207D3753">
            <w:pPr>
              <w:autoSpaceDE w:val="0"/>
              <w:autoSpaceDN w:val="0"/>
              <w:adjustRightInd w:val="0"/>
              <w:snapToGrid w:val="0"/>
              <w:jc w:val="left"/>
              <w:rPr>
                <w:rFonts w:ascii="宋体" w:hAnsi="宋体"/>
                <w:color w:val="auto"/>
                <w:kern w:val="0"/>
                <w:szCs w:val="21"/>
                <w:highlight w:val="none"/>
              </w:rPr>
            </w:pPr>
          </w:p>
        </w:tc>
        <w:tc>
          <w:tcPr>
            <w:tcW w:w="778" w:type="dxa"/>
          </w:tcPr>
          <w:p w14:paraId="333A1931">
            <w:pPr>
              <w:autoSpaceDE w:val="0"/>
              <w:autoSpaceDN w:val="0"/>
              <w:adjustRightInd w:val="0"/>
              <w:snapToGrid w:val="0"/>
              <w:jc w:val="left"/>
              <w:rPr>
                <w:rFonts w:ascii="宋体" w:hAnsi="宋体"/>
                <w:color w:val="auto"/>
                <w:kern w:val="0"/>
                <w:szCs w:val="21"/>
                <w:highlight w:val="none"/>
              </w:rPr>
            </w:pPr>
          </w:p>
        </w:tc>
        <w:tc>
          <w:tcPr>
            <w:tcW w:w="776" w:type="dxa"/>
          </w:tcPr>
          <w:p w14:paraId="64553775">
            <w:pPr>
              <w:autoSpaceDE w:val="0"/>
              <w:autoSpaceDN w:val="0"/>
              <w:adjustRightInd w:val="0"/>
              <w:snapToGrid w:val="0"/>
              <w:jc w:val="left"/>
              <w:rPr>
                <w:rFonts w:ascii="宋体" w:hAnsi="宋体"/>
                <w:color w:val="auto"/>
                <w:kern w:val="0"/>
                <w:szCs w:val="21"/>
                <w:highlight w:val="none"/>
              </w:rPr>
            </w:pPr>
          </w:p>
        </w:tc>
        <w:tc>
          <w:tcPr>
            <w:tcW w:w="2723" w:type="dxa"/>
          </w:tcPr>
          <w:p w14:paraId="5FFEBA8A">
            <w:pPr>
              <w:autoSpaceDE w:val="0"/>
              <w:autoSpaceDN w:val="0"/>
              <w:adjustRightInd w:val="0"/>
              <w:snapToGrid w:val="0"/>
              <w:jc w:val="left"/>
              <w:rPr>
                <w:rFonts w:ascii="宋体" w:hAnsi="宋体"/>
                <w:color w:val="auto"/>
                <w:kern w:val="0"/>
                <w:szCs w:val="21"/>
                <w:highlight w:val="none"/>
              </w:rPr>
            </w:pPr>
          </w:p>
        </w:tc>
        <w:tc>
          <w:tcPr>
            <w:tcW w:w="896" w:type="dxa"/>
          </w:tcPr>
          <w:p w14:paraId="0DD49653">
            <w:pPr>
              <w:autoSpaceDE w:val="0"/>
              <w:autoSpaceDN w:val="0"/>
              <w:adjustRightInd w:val="0"/>
              <w:snapToGrid w:val="0"/>
              <w:jc w:val="left"/>
              <w:rPr>
                <w:rFonts w:ascii="宋体" w:hAnsi="宋体"/>
                <w:color w:val="auto"/>
                <w:kern w:val="0"/>
                <w:szCs w:val="21"/>
                <w:highlight w:val="none"/>
              </w:rPr>
            </w:pPr>
          </w:p>
        </w:tc>
      </w:tr>
      <w:tr w14:paraId="22255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D225597">
            <w:pPr>
              <w:autoSpaceDE w:val="0"/>
              <w:autoSpaceDN w:val="0"/>
              <w:adjustRightInd w:val="0"/>
              <w:snapToGrid w:val="0"/>
              <w:jc w:val="left"/>
              <w:rPr>
                <w:rFonts w:ascii="宋体" w:hAnsi="宋体"/>
                <w:color w:val="auto"/>
                <w:kern w:val="0"/>
                <w:szCs w:val="21"/>
                <w:highlight w:val="none"/>
              </w:rPr>
            </w:pPr>
          </w:p>
        </w:tc>
        <w:tc>
          <w:tcPr>
            <w:tcW w:w="734" w:type="dxa"/>
          </w:tcPr>
          <w:p w14:paraId="24BB2293">
            <w:pPr>
              <w:autoSpaceDE w:val="0"/>
              <w:autoSpaceDN w:val="0"/>
              <w:adjustRightInd w:val="0"/>
              <w:snapToGrid w:val="0"/>
              <w:jc w:val="left"/>
              <w:rPr>
                <w:rFonts w:ascii="宋体" w:hAnsi="宋体"/>
                <w:color w:val="auto"/>
                <w:kern w:val="0"/>
                <w:szCs w:val="21"/>
                <w:highlight w:val="none"/>
              </w:rPr>
            </w:pPr>
          </w:p>
        </w:tc>
        <w:tc>
          <w:tcPr>
            <w:tcW w:w="776" w:type="dxa"/>
          </w:tcPr>
          <w:p w14:paraId="40633ACF">
            <w:pPr>
              <w:autoSpaceDE w:val="0"/>
              <w:autoSpaceDN w:val="0"/>
              <w:adjustRightInd w:val="0"/>
              <w:snapToGrid w:val="0"/>
              <w:jc w:val="left"/>
              <w:rPr>
                <w:rFonts w:ascii="宋体" w:hAnsi="宋体"/>
                <w:color w:val="auto"/>
                <w:kern w:val="0"/>
                <w:szCs w:val="21"/>
                <w:highlight w:val="none"/>
              </w:rPr>
            </w:pPr>
          </w:p>
        </w:tc>
        <w:tc>
          <w:tcPr>
            <w:tcW w:w="1167" w:type="dxa"/>
          </w:tcPr>
          <w:p w14:paraId="1307F8B9">
            <w:pPr>
              <w:autoSpaceDE w:val="0"/>
              <w:autoSpaceDN w:val="0"/>
              <w:adjustRightInd w:val="0"/>
              <w:snapToGrid w:val="0"/>
              <w:jc w:val="left"/>
              <w:rPr>
                <w:rFonts w:ascii="宋体" w:hAnsi="宋体"/>
                <w:color w:val="auto"/>
                <w:kern w:val="0"/>
                <w:szCs w:val="21"/>
                <w:highlight w:val="none"/>
              </w:rPr>
            </w:pPr>
          </w:p>
        </w:tc>
        <w:tc>
          <w:tcPr>
            <w:tcW w:w="776" w:type="dxa"/>
          </w:tcPr>
          <w:p w14:paraId="0E6A9F59">
            <w:pPr>
              <w:autoSpaceDE w:val="0"/>
              <w:autoSpaceDN w:val="0"/>
              <w:adjustRightInd w:val="0"/>
              <w:snapToGrid w:val="0"/>
              <w:jc w:val="left"/>
              <w:rPr>
                <w:rFonts w:ascii="宋体" w:hAnsi="宋体"/>
                <w:color w:val="auto"/>
                <w:kern w:val="0"/>
                <w:szCs w:val="21"/>
                <w:highlight w:val="none"/>
              </w:rPr>
            </w:pPr>
          </w:p>
        </w:tc>
        <w:tc>
          <w:tcPr>
            <w:tcW w:w="778" w:type="dxa"/>
          </w:tcPr>
          <w:p w14:paraId="1BDFBAB0">
            <w:pPr>
              <w:autoSpaceDE w:val="0"/>
              <w:autoSpaceDN w:val="0"/>
              <w:adjustRightInd w:val="0"/>
              <w:snapToGrid w:val="0"/>
              <w:jc w:val="left"/>
              <w:rPr>
                <w:rFonts w:ascii="宋体" w:hAnsi="宋体"/>
                <w:color w:val="auto"/>
                <w:kern w:val="0"/>
                <w:szCs w:val="21"/>
                <w:highlight w:val="none"/>
              </w:rPr>
            </w:pPr>
          </w:p>
        </w:tc>
        <w:tc>
          <w:tcPr>
            <w:tcW w:w="776" w:type="dxa"/>
          </w:tcPr>
          <w:p w14:paraId="6067D245">
            <w:pPr>
              <w:autoSpaceDE w:val="0"/>
              <w:autoSpaceDN w:val="0"/>
              <w:adjustRightInd w:val="0"/>
              <w:snapToGrid w:val="0"/>
              <w:jc w:val="left"/>
              <w:rPr>
                <w:rFonts w:ascii="宋体" w:hAnsi="宋体"/>
                <w:color w:val="auto"/>
                <w:kern w:val="0"/>
                <w:szCs w:val="21"/>
                <w:highlight w:val="none"/>
              </w:rPr>
            </w:pPr>
          </w:p>
        </w:tc>
        <w:tc>
          <w:tcPr>
            <w:tcW w:w="2723" w:type="dxa"/>
          </w:tcPr>
          <w:p w14:paraId="761583A1">
            <w:pPr>
              <w:autoSpaceDE w:val="0"/>
              <w:autoSpaceDN w:val="0"/>
              <w:adjustRightInd w:val="0"/>
              <w:snapToGrid w:val="0"/>
              <w:jc w:val="left"/>
              <w:rPr>
                <w:rFonts w:ascii="宋体" w:hAnsi="宋体"/>
                <w:color w:val="auto"/>
                <w:kern w:val="0"/>
                <w:szCs w:val="21"/>
                <w:highlight w:val="none"/>
              </w:rPr>
            </w:pPr>
          </w:p>
        </w:tc>
        <w:tc>
          <w:tcPr>
            <w:tcW w:w="896" w:type="dxa"/>
          </w:tcPr>
          <w:p w14:paraId="5023BABC">
            <w:pPr>
              <w:autoSpaceDE w:val="0"/>
              <w:autoSpaceDN w:val="0"/>
              <w:adjustRightInd w:val="0"/>
              <w:snapToGrid w:val="0"/>
              <w:jc w:val="left"/>
              <w:rPr>
                <w:rFonts w:ascii="宋体" w:hAnsi="宋体"/>
                <w:color w:val="auto"/>
                <w:kern w:val="0"/>
                <w:szCs w:val="21"/>
                <w:highlight w:val="none"/>
              </w:rPr>
            </w:pPr>
          </w:p>
        </w:tc>
      </w:tr>
      <w:tr w14:paraId="10C381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30A6D04">
            <w:pPr>
              <w:autoSpaceDE w:val="0"/>
              <w:autoSpaceDN w:val="0"/>
              <w:adjustRightInd w:val="0"/>
              <w:snapToGrid w:val="0"/>
              <w:jc w:val="left"/>
              <w:rPr>
                <w:rFonts w:ascii="宋体" w:hAnsi="宋体"/>
                <w:color w:val="auto"/>
                <w:kern w:val="0"/>
                <w:szCs w:val="21"/>
                <w:highlight w:val="none"/>
              </w:rPr>
            </w:pPr>
          </w:p>
        </w:tc>
        <w:tc>
          <w:tcPr>
            <w:tcW w:w="734" w:type="dxa"/>
          </w:tcPr>
          <w:p w14:paraId="01E83273">
            <w:pPr>
              <w:autoSpaceDE w:val="0"/>
              <w:autoSpaceDN w:val="0"/>
              <w:adjustRightInd w:val="0"/>
              <w:snapToGrid w:val="0"/>
              <w:jc w:val="left"/>
              <w:rPr>
                <w:rFonts w:ascii="宋体" w:hAnsi="宋体"/>
                <w:color w:val="auto"/>
                <w:kern w:val="0"/>
                <w:szCs w:val="21"/>
                <w:highlight w:val="none"/>
              </w:rPr>
            </w:pPr>
          </w:p>
        </w:tc>
        <w:tc>
          <w:tcPr>
            <w:tcW w:w="776" w:type="dxa"/>
          </w:tcPr>
          <w:p w14:paraId="24487AEB">
            <w:pPr>
              <w:autoSpaceDE w:val="0"/>
              <w:autoSpaceDN w:val="0"/>
              <w:adjustRightInd w:val="0"/>
              <w:snapToGrid w:val="0"/>
              <w:jc w:val="left"/>
              <w:rPr>
                <w:rFonts w:ascii="宋体" w:hAnsi="宋体"/>
                <w:color w:val="auto"/>
                <w:kern w:val="0"/>
                <w:szCs w:val="21"/>
                <w:highlight w:val="none"/>
              </w:rPr>
            </w:pPr>
          </w:p>
        </w:tc>
        <w:tc>
          <w:tcPr>
            <w:tcW w:w="1167" w:type="dxa"/>
          </w:tcPr>
          <w:p w14:paraId="07734061">
            <w:pPr>
              <w:autoSpaceDE w:val="0"/>
              <w:autoSpaceDN w:val="0"/>
              <w:adjustRightInd w:val="0"/>
              <w:snapToGrid w:val="0"/>
              <w:jc w:val="left"/>
              <w:rPr>
                <w:rFonts w:ascii="宋体" w:hAnsi="宋体"/>
                <w:color w:val="auto"/>
                <w:kern w:val="0"/>
                <w:szCs w:val="21"/>
                <w:highlight w:val="none"/>
              </w:rPr>
            </w:pPr>
          </w:p>
        </w:tc>
        <w:tc>
          <w:tcPr>
            <w:tcW w:w="776" w:type="dxa"/>
          </w:tcPr>
          <w:p w14:paraId="7CF7D795">
            <w:pPr>
              <w:autoSpaceDE w:val="0"/>
              <w:autoSpaceDN w:val="0"/>
              <w:adjustRightInd w:val="0"/>
              <w:snapToGrid w:val="0"/>
              <w:jc w:val="left"/>
              <w:rPr>
                <w:rFonts w:ascii="宋体" w:hAnsi="宋体"/>
                <w:color w:val="auto"/>
                <w:kern w:val="0"/>
                <w:szCs w:val="21"/>
                <w:highlight w:val="none"/>
              </w:rPr>
            </w:pPr>
          </w:p>
        </w:tc>
        <w:tc>
          <w:tcPr>
            <w:tcW w:w="778" w:type="dxa"/>
          </w:tcPr>
          <w:p w14:paraId="1DBA6723">
            <w:pPr>
              <w:autoSpaceDE w:val="0"/>
              <w:autoSpaceDN w:val="0"/>
              <w:adjustRightInd w:val="0"/>
              <w:snapToGrid w:val="0"/>
              <w:jc w:val="left"/>
              <w:rPr>
                <w:rFonts w:ascii="宋体" w:hAnsi="宋体"/>
                <w:color w:val="auto"/>
                <w:kern w:val="0"/>
                <w:szCs w:val="21"/>
                <w:highlight w:val="none"/>
              </w:rPr>
            </w:pPr>
          </w:p>
        </w:tc>
        <w:tc>
          <w:tcPr>
            <w:tcW w:w="776" w:type="dxa"/>
          </w:tcPr>
          <w:p w14:paraId="59E50818">
            <w:pPr>
              <w:autoSpaceDE w:val="0"/>
              <w:autoSpaceDN w:val="0"/>
              <w:adjustRightInd w:val="0"/>
              <w:snapToGrid w:val="0"/>
              <w:jc w:val="left"/>
              <w:rPr>
                <w:rFonts w:ascii="宋体" w:hAnsi="宋体"/>
                <w:color w:val="auto"/>
                <w:kern w:val="0"/>
                <w:szCs w:val="21"/>
                <w:highlight w:val="none"/>
              </w:rPr>
            </w:pPr>
          </w:p>
        </w:tc>
        <w:tc>
          <w:tcPr>
            <w:tcW w:w="2723" w:type="dxa"/>
          </w:tcPr>
          <w:p w14:paraId="2316818A">
            <w:pPr>
              <w:autoSpaceDE w:val="0"/>
              <w:autoSpaceDN w:val="0"/>
              <w:adjustRightInd w:val="0"/>
              <w:snapToGrid w:val="0"/>
              <w:jc w:val="left"/>
              <w:rPr>
                <w:rFonts w:ascii="宋体" w:hAnsi="宋体"/>
                <w:color w:val="auto"/>
                <w:kern w:val="0"/>
                <w:szCs w:val="21"/>
                <w:highlight w:val="none"/>
              </w:rPr>
            </w:pPr>
          </w:p>
        </w:tc>
        <w:tc>
          <w:tcPr>
            <w:tcW w:w="896" w:type="dxa"/>
          </w:tcPr>
          <w:p w14:paraId="67AAA395">
            <w:pPr>
              <w:autoSpaceDE w:val="0"/>
              <w:autoSpaceDN w:val="0"/>
              <w:adjustRightInd w:val="0"/>
              <w:snapToGrid w:val="0"/>
              <w:jc w:val="left"/>
              <w:rPr>
                <w:rFonts w:ascii="宋体" w:hAnsi="宋体"/>
                <w:color w:val="auto"/>
                <w:kern w:val="0"/>
                <w:szCs w:val="21"/>
                <w:highlight w:val="none"/>
              </w:rPr>
            </w:pPr>
          </w:p>
        </w:tc>
      </w:tr>
      <w:tr w14:paraId="38081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216B79">
            <w:pPr>
              <w:autoSpaceDE w:val="0"/>
              <w:autoSpaceDN w:val="0"/>
              <w:adjustRightInd w:val="0"/>
              <w:snapToGrid w:val="0"/>
              <w:jc w:val="left"/>
              <w:rPr>
                <w:rFonts w:ascii="宋体" w:hAnsi="宋体"/>
                <w:color w:val="auto"/>
                <w:kern w:val="0"/>
                <w:szCs w:val="21"/>
                <w:highlight w:val="none"/>
              </w:rPr>
            </w:pPr>
          </w:p>
        </w:tc>
        <w:tc>
          <w:tcPr>
            <w:tcW w:w="734" w:type="dxa"/>
          </w:tcPr>
          <w:p w14:paraId="7B396CDB">
            <w:pPr>
              <w:autoSpaceDE w:val="0"/>
              <w:autoSpaceDN w:val="0"/>
              <w:adjustRightInd w:val="0"/>
              <w:snapToGrid w:val="0"/>
              <w:jc w:val="left"/>
              <w:rPr>
                <w:rFonts w:ascii="宋体" w:hAnsi="宋体"/>
                <w:color w:val="auto"/>
                <w:kern w:val="0"/>
                <w:szCs w:val="21"/>
                <w:highlight w:val="none"/>
              </w:rPr>
            </w:pPr>
          </w:p>
        </w:tc>
        <w:tc>
          <w:tcPr>
            <w:tcW w:w="776" w:type="dxa"/>
          </w:tcPr>
          <w:p w14:paraId="0335F982">
            <w:pPr>
              <w:autoSpaceDE w:val="0"/>
              <w:autoSpaceDN w:val="0"/>
              <w:adjustRightInd w:val="0"/>
              <w:snapToGrid w:val="0"/>
              <w:jc w:val="left"/>
              <w:rPr>
                <w:rFonts w:ascii="宋体" w:hAnsi="宋体"/>
                <w:color w:val="auto"/>
                <w:kern w:val="0"/>
                <w:szCs w:val="21"/>
                <w:highlight w:val="none"/>
              </w:rPr>
            </w:pPr>
          </w:p>
        </w:tc>
        <w:tc>
          <w:tcPr>
            <w:tcW w:w="1167" w:type="dxa"/>
          </w:tcPr>
          <w:p w14:paraId="215F2A44">
            <w:pPr>
              <w:autoSpaceDE w:val="0"/>
              <w:autoSpaceDN w:val="0"/>
              <w:adjustRightInd w:val="0"/>
              <w:snapToGrid w:val="0"/>
              <w:jc w:val="left"/>
              <w:rPr>
                <w:rFonts w:ascii="宋体" w:hAnsi="宋体"/>
                <w:color w:val="auto"/>
                <w:kern w:val="0"/>
                <w:szCs w:val="21"/>
                <w:highlight w:val="none"/>
              </w:rPr>
            </w:pPr>
          </w:p>
        </w:tc>
        <w:tc>
          <w:tcPr>
            <w:tcW w:w="776" w:type="dxa"/>
          </w:tcPr>
          <w:p w14:paraId="76AA11CA">
            <w:pPr>
              <w:autoSpaceDE w:val="0"/>
              <w:autoSpaceDN w:val="0"/>
              <w:adjustRightInd w:val="0"/>
              <w:snapToGrid w:val="0"/>
              <w:jc w:val="left"/>
              <w:rPr>
                <w:rFonts w:ascii="宋体" w:hAnsi="宋体"/>
                <w:color w:val="auto"/>
                <w:kern w:val="0"/>
                <w:szCs w:val="21"/>
                <w:highlight w:val="none"/>
              </w:rPr>
            </w:pPr>
          </w:p>
        </w:tc>
        <w:tc>
          <w:tcPr>
            <w:tcW w:w="778" w:type="dxa"/>
          </w:tcPr>
          <w:p w14:paraId="3AB95107">
            <w:pPr>
              <w:autoSpaceDE w:val="0"/>
              <w:autoSpaceDN w:val="0"/>
              <w:adjustRightInd w:val="0"/>
              <w:snapToGrid w:val="0"/>
              <w:jc w:val="left"/>
              <w:rPr>
                <w:rFonts w:ascii="宋体" w:hAnsi="宋体"/>
                <w:color w:val="auto"/>
                <w:kern w:val="0"/>
                <w:szCs w:val="21"/>
                <w:highlight w:val="none"/>
              </w:rPr>
            </w:pPr>
          </w:p>
        </w:tc>
        <w:tc>
          <w:tcPr>
            <w:tcW w:w="776" w:type="dxa"/>
          </w:tcPr>
          <w:p w14:paraId="2D916A58">
            <w:pPr>
              <w:autoSpaceDE w:val="0"/>
              <w:autoSpaceDN w:val="0"/>
              <w:adjustRightInd w:val="0"/>
              <w:snapToGrid w:val="0"/>
              <w:jc w:val="left"/>
              <w:rPr>
                <w:rFonts w:ascii="宋体" w:hAnsi="宋体"/>
                <w:color w:val="auto"/>
                <w:kern w:val="0"/>
                <w:szCs w:val="21"/>
                <w:highlight w:val="none"/>
              </w:rPr>
            </w:pPr>
          </w:p>
        </w:tc>
        <w:tc>
          <w:tcPr>
            <w:tcW w:w="2723" w:type="dxa"/>
          </w:tcPr>
          <w:p w14:paraId="58AA28D9">
            <w:pPr>
              <w:autoSpaceDE w:val="0"/>
              <w:autoSpaceDN w:val="0"/>
              <w:adjustRightInd w:val="0"/>
              <w:snapToGrid w:val="0"/>
              <w:jc w:val="left"/>
              <w:rPr>
                <w:rFonts w:ascii="宋体" w:hAnsi="宋体"/>
                <w:color w:val="auto"/>
                <w:kern w:val="0"/>
                <w:szCs w:val="21"/>
                <w:highlight w:val="none"/>
              </w:rPr>
            </w:pPr>
          </w:p>
        </w:tc>
        <w:tc>
          <w:tcPr>
            <w:tcW w:w="896" w:type="dxa"/>
          </w:tcPr>
          <w:p w14:paraId="35206194">
            <w:pPr>
              <w:autoSpaceDE w:val="0"/>
              <w:autoSpaceDN w:val="0"/>
              <w:adjustRightInd w:val="0"/>
              <w:snapToGrid w:val="0"/>
              <w:jc w:val="left"/>
              <w:rPr>
                <w:rFonts w:ascii="宋体" w:hAnsi="宋体"/>
                <w:color w:val="auto"/>
                <w:kern w:val="0"/>
                <w:szCs w:val="21"/>
                <w:highlight w:val="none"/>
              </w:rPr>
            </w:pPr>
          </w:p>
        </w:tc>
      </w:tr>
      <w:tr w14:paraId="2CF6B6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4BE9118">
            <w:pPr>
              <w:autoSpaceDE w:val="0"/>
              <w:autoSpaceDN w:val="0"/>
              <w:adjustRightInd w:val="0"/>
              <w:snapToGrid w:val="0"/>
              <w:jc w:val="left"/>
              <w:rPr>
                <w:rFonts w:ascii="宋体" w:hAnsi="宋体"/>
                <w:color w:val="auto"/>
                <w:kern w:val="0"/>
                <w:szCs w:val="21"/>
                <w:highlight w:val="none"/>
              </w:rPr>
            </w:pPr>
          </w:p>
        </w:tc>
        <w:tc>
          <w:tcPr>
            <w:tcW w:w="734" w:type="dxa"/>
          </w:tcPr>
          <w:p w14:paraId="6E018C0F">
            <w:pPr>
              <w:autoSpaceDE w:val="0"/>
              <w:autoSpaceDN w:val="0"/>
              <w:adjustRightInd w:val="0"/>
              <w:snapToGrid w:val="0"/>
              <w:jc w:val="left"/>
              <w:rPr>
                <w:rFonts w:ascii="宋体" w:hAnsi="宋体"/>
                <w:color w:val="auto"/>
                <w:kern w:val="0"/>
                <w:szCs w:val="21"/>
                <w:highlight w:val="none"/>
              </w:rPr>
            </w:pPr>
          </w:p>
        </w:tc>
        <w:tc>
          <w:tcPr>
            <w:tcW w:w="776" w:type="dxa"/>
          </w:tcPr>
          <w:p w14:paraId="7EEDAB33">
            <w:pPr>
              <w:autoSpaceDE w:val="0"/>
              <w:autoSpaceDN w:val="0"/>
              <w:adjustRightInd w:val="0"/>
              <w:snapToGrid w:val="0"/>
              <w:jc w:val="left"/>
              <w:rPr>
                <w:rFonts w:ascii="宋体" w:hAnsi="宋体"/>
                <w:color w:val="auto"/>
                <w:kern w:val="0"/>
                <w:szCs w:val="21"/>
                <w:highlight w:val="none"/>
              </w:rPr>
            </w:pPr>
          </w:p>
        </w:tc>
        <w:tc>
          <w:tcPr>
            <w:tcW w:w="1167" w:type="dxa"/>
          </w:tcPr>
          <w:p w14:paraId="372154B5">
            <w:pPr>
              <w:autoSpaceDE w:val="0"/>
              <w:autoSpaceDN w:val="0"/>
              <w:adjustRightInd w:val="0"/>
              <w:snapToGrid w:val="0"/>
              <w:jc w:val="left"/>
              <w:rPr>
                <w:rFonts w:ascii="宋体" w:hAnsi="宋体"/>
                <w:color w:val="auto"/>
                <w:kern w:val="0"/>
                <w:szCs w:val="21"/>
                <w:highlight w:val="none"/>
              </w:rPr>
            </w:pPr>
          </w:p>
        </w:tc>
        <w:tc>
          <w:tcPr>
            <w:tcW w:w="776" w:type="dxa"/>
          </w:tcPr>
          <w:p w14:paraId="18565C4B">
            <w:pPr>
              <w:autoSpaceDE w:val="0"/>
              <w:autoSpaceDN w:val="0"/>
              <w:adjustRightInd w:val="0"/>
              <w:snapToGrid w:val="0"/>
              <w:jc w:val="left"/>
              <w:rPr>
                <w:rFonts w:ascii="宋体" w:hAnsi="宋体"/>
                <w:color w:val="auto"/>
                <w:kern w:val="0"/>
                <w:szCs w:val="21"/>
                <w:highlight w:val="none"/>
              </w:rPr>
            </w:pPr>
          </w:p>
        </w:tc>
        <w:tc>
          <w:tcPr>
            <w:tcW w:w="778" w:type="dxa"/>
          </w:tcPr>
          <w:p w14:paraId="35CD5C6A">
            <w:pPr>
              <w:autoSpaceDE w:val="0"/>
              <w:autoSpaceDN w:val="0"/>
              <w:adjustRightInd w:val="0"/>
              <w:snapToGrid w:val="0"/>
              <w:jc w:val="left"/>
              <w:rPr>
                <w:rFonts w:ascii="宋体" w:hAnsi="宋体"/>
                <w:color w:val="auto"/>
                <w:kern w:val="0"/>
                <w:szCs w:val="21"/>
                <w:highlight w:val="none"/>
              </w:rPr>
            </w:pPr>
          </w:p>
        </w:tc>
        <w:tc>
          <w:tcPr>
            <w:tcW w:w="776" w:type="dxa"/>
          </w:tcPr>
          <w:p w14:paraId="79B83436">
            <w:pPr>
              <w:autoSpaceDE w:val="0"/>
              <w:autoSpaceDN w:val="0"/>
              <w:adjustRightInd w:val="0"/>
              <w:snapToGrid w:val="0"/>
              <w:jc w:val="left"/>
              <w:rPr>
                <w:rFonts w:ascii="宋体" w:hAnsi="宋体"/>
                <w:color w:val="auto"/>
                <w:kern w:val="0"/>
                <w:szCs w:val="21"/>
                <w:highlight w:val="none"/>
              </w:rPr>
            </w:pPr>
          </w:p>
        </w:tc>
        <w:tc>
          <w:tcPr>
            <w:tcW w:w="2723" w:type="dxa"/>
          </w:tcPr>
          <w:p w14:paraId="2B4433DF">
            <w:pPr>
              <w:autoSpaceDE w:val="0"/>
              <w:autoSpaceDN w:val="0"/>
              <w:adjustRightInd w:val="0"/>
              <w:snapToGrid w:val="0"/>
              <w:jc w:val="left"/>
              <w:rPr>
                <w:rFonts w:ascii="宋体" w:hAnsi="宋体"/>
                <w:color w:val="auto"/>
                <w:kern w:val="0"/>
                <w:szCs w:val="21"/>
                <w:highlight w:val="none"/>
              </w:rPr>
            </w:pPr>
          </w:p>
        </w:tc>
        <w:tc>
          <w:tcPr>
            <w:tcW w:w="896" w:type="dxa"/>
          </w:tcPr>
          <w:p w14:paraId="70EF9B5E">
            <w:pPr>
              <w:autoSpaceDE w:val="0"/>
              <w:autoSpaceDN w:val="0"/>
              <w:adjustRightInd w:val="0"/>
              <w:snapToGrid w:val="0"/>
              <w:jc w:val="left"/>
              <w:rPr>
                <w:rFonts w:ascii="宋体" w:hAnsi="宋体"/>
                <w:color w:val="auto"/>
                <w:kern w:val="0"/>
                <w:szCs w:val="21"/>
                <w:highlight w:val="none"/>
              </w:rPr>
            </w:pPr>
          </w:p>
        </w:tc>
      </w:tr>
      <w:tr w14:paraId="09062C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E2229D1">
            <w:pPr>
              <w:autoSpaceDE w:val="0"/>
              <w:autoSpaceDN w:val="0"/>
              <w:adjustRightInd w:val="0"/>
              <w:snapToGrid w:val="0"/>
              <w:jc w:val="left"/>
              <w:rPr>
                <w:rFonts w:ascii="宋体" w:hAnsi="宋体"/>
                <w:color w:val="auto"/>
                <w:kern w:val="0"/>
                <w:szCs w:val="21"/>
                <w:highlight w:val="none"/>
              </w:rPr>
            </w:pPr>
          </w:p>
        </w:tc>
        <w:tc>
          <w:tcPr>
            <w:tcW w:w="734" w:type="dxa"/>
          </w:tcPr>
          <w:p w14:paraId="69DF52F4">
            <w:pPr>
              <w:autoSpaceDE w:val="0"/>
              <w:autoSpaceDN w:val="0"/>
              <w:adjustRightInd w:val="0"/>
              <w:snapToGrid w:val="0"/>
              <w:jc w:val="left"/>
              <w:rPr>
                <w:rFonts w:ascii="宋体" w:hAnsi="宋体"/>
                <w:color w:val="auto"/>
                <w:kern w:val="0"/>
                <w:szCs w:val="21"/>
                <w:highlight w:val="none"/>
              </w:rPr>
            </w:pPr>
          </w:p>
        </w:tc>
        <w:tc>
          <w:tcPr>
            <w:tcW w:w="776" w:type="dxa"/>
          </w:tcPr>
          <w:p w14:paraId="7CC6F856">
            <w:pPr>
              <w:autoSpaceDE w:val="0"/>
              <w:autoSpaceDN w:val="0"/>
              <w:adjustRightInd w:val="0"/>
              <w:snapToGrid w:val="0"/>
              <w:jc w:val="left"/>
              <w:rPr>
                <w:rFonts w:ascii="宋体" w:hAnsi="宋体"/>
                <w:color w:val="auto"/>
                <w:kern w:val="0"/>
                <w:szCs w:val="21"/>
                <w:highlight w:val="none"/>
              </w:rPr>
            </w:pPr>
          </w:p>
        </w:tc>
        <w:tc>
          <w:tcPr>
            <w:tcW w:w="1167" w:type="dxa"/>
          </w:tcPr>
          <w:p w14:paraId="6DBF84D4">
            <w:pPr>
              <w:autoSpaceDE w:val="0"/>
              <w:autoSpaceDN w:val="0"/>
              <w:adjustRightInd w:val="0"/>
              <w:snapToGrid w:val="0"/>
              <w:jc w:val="left"/>
              <w:rPr>
                <w:rFonts w:ascii="宋体" w:hAnsi="宋体"/>
                <w:color w:val="auto"/>
                <w:kern w:val="0"/>
                <w:szCs w:val="21"/>
                <w:highlight w:val="none"/>
              </w:rPr>
            </w:pPr>
          </w:p>
        </w:tc>
        <w:tc>
          <w:tcPr>
            <w:tcW w:w="776" w:type="dxa"/>
          </w:tcPr>
          <w:p w14:paraId="73877AED">
            <w:pPr>
              <w:autoSpaceDE w:val="0"/>
              <w:autoSpaceDN w:val="0"/>
              <w:adjustRightInd w:val="0"/>
              <w:snapToGrid w:val="0"/>
              <w:jc w:val="left"/>
              <w:rPr>
                <w:rFonts w:ascii="宋体" w:hAnsi="宋体"/>
                <w:color w:val="auto"/>
                <w:kern w:val="0"/>
                <w:szCs w:val="21"/>
                <w:highlight w:val="none"/>
              </w:rPr>
            </w:pPr>
          </w:p>
        </w:tc>
        <w:tc>
          <w:tcPr>
            <w:tcW w:w="778" w:type="dxa"/>
          </w:tcPr>
          <w:p w14:paraId="762CA0DC">
            <w:pPr>
              <w:autoSpaceDE w:val="0"/>
              <w:autoSpaceDN w:val="0"/>
              <w:adjustRightInd w:val="0"/>
              <w:snapToGrid w:val="0"/>
              <w:jc w:val="left"/>
              <w:rPr>
                <w:rFonts w:ascii="宋体" w:hAnsi="宋体"/>
                <w:color w:val="auto"/>
                <w:kern w:val="0"/>
                <w:szCs w:val="21"/>
                <w:highlight w:val="none"/>
              </w:rPr>
            </w:pPr>
          </w:p>
        </w:tc>
        <w:tc>
          <w:tcPr>
            <w:tcW w:w="776" w:type="dxa"/>
          </w:tcPr>
          <w:p w14:paraId="4914C6E5">
            <w:pPr>
              <w:autoSpaceDE w:val="0"/>
              <w:autoSpaceDN w:val="0"/>
              <w:adjustRightInd w:val="0"/>
              <w:snapToGrid w:val="0"/>
              <w:jc w:val="left"/>
              <w:rPr>
                <w:rFonts w:ascii="宋体" w:hAnsi="宋体"/>
                <w:color w:val="auto"/>
                <w:kern w:val="0"/>
                <w:szCs w:val="21"/>
                <w:highlight w:val="none"/>
              </w:rPr>
            </w:pPr>
          </w:p>
        </w:tc>
        <w:tc>
          <w:tcPr>
            <w:tcW w:w="2723" w:type="dxa"/>
          </w:tcPr>
          <w:p w14:paraId="6D29CA58">
            <w:pPr>
              <w:autoSpaceDE w:val="0"/>
              <w:autoSpaceDN w:val="0"/>
              <w:adjustRightInd w:val="0"/>
              <w:snapToGrid w:val="0"/>
              <w:jc w:val="left"/>
              <w:rPr>
                <w:rFonts w:ascii="宋体" w:hAnsi="宋体"/>
                <w:color w:val="auto"/>
                <w:kern w:val="0"/>
                <w:szCs w:val="21"/>
                <w:highlight w:val="none"/>
              </w:rPr>
            </w:pPr>
          </w:p>
        </w:tc>
        <w:tc>
          <w:tcPr>
            <w:tcW w:w="896" w:type="dxa"/>
          </w:tcPr>
          <w:p w14:paraId="5CB4BCF3">
            <w:pPr>
              <w:autoSpaceDE w:val="0"/>
              <w:autoSpaceDN w:val="0"/>
              <w:adjustRightInd w:val="0"/>
              <w:snapToGrid w:val="0"/>
              <w:jc w:val="left"/>
              <w:rPr>
                <w:rFonts w:ascii="宋体" w:hAnsi="宋体"/>
                <w:color w:val="auto"/>
                <w:kern w:val="0"/>
                <w:szCs w:val="21"/>
                <w:highlight w:val="none"/>
              </w:rPr>
            </w:pPr>
          </w:p>
        </w:tc>
      </w:tr>
      <w:tr w14:paraId="79752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DC16F15">
            <w:pPr>
              <w:autoSpaceDE w:val="0"/>
              <w:autoSpaceDN w:val="0"/>
              <w:adjustRightInd w:val="0"/>
              <w:snapToGrid w:val="0"/>
              <w:jc w:val="left"/>
              <w:rPr>
                <w:rFonts w:ascii="宋体" w:hAnsi="宋体"/>
                <w:color w:val="auto"/>
                <w:kern w:val="0"/>
                <w:szCs w:val="21"/>
                <w:highlight w:val="none"/>
              </w:rPr>
            </w:pPr>
          </w:p>
        </w:tc>
        <w:tc>
          <w:tcPr>
            <w:tcW w:w="734" w:type="dxa"/>
          </w:tcPr>
          <w:p w14:paraId="0EA26A50">
            <w:pPr>
              <w:autoSpaceDE w:val="0"/>
              <w:autoSpaceDN w:val="0"/>
              <w:adjustRightInd w:val="0"/>
              <w:snapToGrid w:val="0"/>
              <w:jc w:val="left"/>
              <w:rPr>
                <w:rFonts w:ascii="宋体" w:hAnsi="宋体"/>
                <w:color w:val="auto"/>
                <w:kern w:val="0"/>
                <w:szCs w:val="21"/>
                <w:highlight w:val="none"/>
              </w:rPr>
            </w:pPr>
          </w:p>
        </w:tc>
        <w:tc>
          <w:tcPr>
            <w:tcW w:w="776" w:type="dxa"/>
          </w:tcPr>
          <w:p w14:paraId="5545109F">
            <w:pPr>
              <w:autoSpaceDE w:val="0"/>
              <w:autoSpaceDN w:val="0"/>
              <w:adjustRightInd w:val="0"/>
              <w:snapToGrid w:val="0"/>
              <w:jc w:val="left"/>
              <w:rPr>
                <w:rFonts w:ascii="宋体" w:hAnsi="宋体"/>
                <w:color w:val="auto"/>
                <w:kern w:val="0"/>
                <w:szCs w:val="21"/>
                <w:highlight w:val="none"/>
              </w:rPr>
            </w:pPr>
          </w:p>
        </w:tc>
        <w:tc>
          <w:tcPr>
            <w:tcW w:w="1167" w:type="dxa"/>
          </w:tcPr>
          <w:p w14:paraId="2DCC1565">
            <w:pPr>
              <w:autoSpaceDE w:val="0"/>
              <w:autoSpaceDN w:val="0"/>
              <w:adjustRightInd w:val="0"/>
              <w:snapToGrid w:val="0"/>
              <w:jc w:val="left"/>
              <w:rPr>
                <w:rFonts w:ascii="宋体" w:hAnsi="宋体"/>
                <w:color w:val="auto"/>
                <w:kern w:val="0"/>
                <w:szCs w:val="21"/>
                <w:highlight w:val="none"/>
              </w:rPr>
            </w:pPr>
          </w:p>
        </w:tc>
        <w:tc>
          <w:tcPr>
            <w:tcW w:w="776" w:type="dxa"/>
          </w:tcPr>
          <w:p w14:paraId="688760D5">
            <w:pPr>
              <w:autoSpaceDE w:val="0"/>
              <w:autoSpaceDN w:val="0"/>
              <w:adjustRightInd w:val="0"/>
              <w:snapToGrid w:val="0"/>
              <w:jc w:val="left"/>
              <w:rPr>
                <w:rFonts w:ascii="宋体" w:hAnsi="宋体"/>
                <w:color w:val="auto"/>
                <w:kern w:val="0"/>
                <w:szCs w:val="21"/>
                <w:highlight w:val="none"/>
              </w:rPr>
            </w:pPr>
          </w:p>
        </w:tc>
        <w:tc>
          <w:tcPr>
            <w:tcW w:w="778" w:type="dxa"/>
          </w:tcPr>
          <w:p w14:paraId="19D6BCBC">
            <w:pPr>
              <w:autoSpaceDE w:val="0"/>
              <w:autoSpaceDN w:val="0"/>
              <w:adjustRightInd w:val="0"/>
              <w:snapToGrid w:val="0"/>
              <w:jc w:val="left"/>
              <w:rPr>
                <w:rFonts w:ascii="宋体" w:hAnsi="宋体"/>
                <w:color w:val="auto"/>
                <w:kern w:val="0"/>
                <w:szCs w:val="21"/>
                <w:highlight w:val="none"/>
              </w:rPr>
            </w:pPr>
          </w:p>
        </w:tc>
        <w:tc>
          <w:tcPr>
            <w:tcW w:w="776" w:type="dxa"/>
          </w:tcPr>
          <w:p w14:paraId="43FB1889">
            <w:pPr>
              <w:autoSpaceDE w:val="0"/>
              <w:autoSpaceDN w:val="0"/>
              <w:adjustRightInd w:val="0"/>
              <w:snapToGrid w:val="0"/>
              <w:jc w:val="left"/>
              <w:rPr>
                <w:rFonts w:ascii="宋体" w:hAnsi="宋体"/>
                <w:color w:val="auto"/>
                <w:kern w:val="0"/>
                <w:szCs w:val="21"/>
                <w:highlight w:val="none"/>
              </w:rPr>
            </w:pPr>
          </w:p>
        </w:tc>
        <w:tc>
          <w:tcPr>
            <w:tcW w:w="2723" w:type="dxa"/>
          </w:tcPr>
          <w:p w14:paraId="68A26252">
            <w:pPr>
              <w:autoSpaceDE w:val="0"/>
              <w:autoSpaceDN w:val="0"/>
              <w:adjustRightInd w:val="0"/>
              <w:snapToGrid w:val="0"/>
              <w:jc w:val="left"/>
              <w:rPr>
                <w:rFonts w:ascii="宋体" w:hAnsi="宋体"/>
                <w:color w:val="auto"/>
                <w:kern w:val="0"/>
                <w:szCs w:val="21"/>
                <w:highlight w:val="none"/>
              </w:rPr>
            </w:pPr>
          </w:p>
        </w:tc>
        <w:tc>
          <w:tcPr>
            <w:tcW w:w="896" w:type="dxa"/>
          </w:tcPr>
          <w:p w14:paraId="54E71247">
            <w:pPr>
              <w:autoSpaceDE w:val="0"/>
              <w:autoSpaceDN w:val="0"/>
              <w:adjustRightInd w:val="0"/>
              <w:snapToGrid w:val="0"/>
              <w:jc w:val="left"/>
              <w:rPr>
                <w:rFonts w:ascii="宋体" w:hAnsi="宋体"/>
                <w:color w:val="auto"/>
                <w:kern w:val="0"/>
                <w:szCs w:val="21"/>
                <w:highlight w:val="none"/>
              </w:rPr>
            </w:pPr>
          </w:p>
        </w:tc>
      </w:tr>
      <w:tr w14:paraId="399B60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FD9FE98">
            <w:pPr>
              <w:autoSpaceDE w:val="0"/>
              <w:autoSpaceDN w:val="0"/>
              <w:adjustRightInd w:val="0"/>
              <w:snapToGrid w:val="0"/>
              <w:jc w:val="left"/>
              <w:rPr>
                <w:rFonts w:ascii="宋体" w:hAnsi="宋体"/>
                <w:color w:val="auto"/>
                <w:kern w:val="0"/>
                <w:szCs w:val="21"/>
                <w:highlight w:val="none"/>
              </w:rPr>
            </w:pPr>
          </w:p>
        </w:tc>
        <w:tc>
          <w:tcPr>
            <w:tcW w:w="734" w:type="dxa"/>
          </w:tcPr>
          <w:p w14:paraId="70B25880">
            <w:pPr>
              <w:autoSpaceDE w:val="0"/>
              <w:autoSpaceDN w:val="0"/>
              <w:adjustRightInd w:val="0"/>
              <w:snapToGrid w:val="0"/>
              <w:jc w:val="left"/>
              <w:rPr>
                <w:rFonts w:ascii="宋体" w:hAnsi="宋体"/>
                <w:color w:val="auto"/>
                <w:kern w:val="0"/>
                <w:szCs w:val="21"/>
                <w:highlight w:val="none"/>
              </w:rPr>
            </w:pPr>
          </w:p>
        </w:tc>
        <w:tc>
          <w:tcPr>
            <w:tcW w:w="776" w:type="dxa"/>
          </w:tcPr>
          <w:p w14:paraId="71D7567F">
            <w:pPr>
              <w:autoSpaceDE w:val="0"/>
              <w:autoSpaceDN w:val="0"/>
              <w:adjustRightInd w:val="0"/>
              <w:snapToGrid w:val="0"/>
              <w:jc w:val="left"/>
              <w:rPr>
                <w:rFonts w:ascii="宋体" w:hAnsi="宋体"/>
                <w:color w:val="auto"/>
                <w:kern w:val="0"/>
                <w:szCs w:val="21"/>
                <w:highlight w:val="none"/>
              </w:rPr>
            </w:pPr>
          </w:p>
        </w:tc>
        <w:tc>
          <w:tcPr>
            <w:tcW w:w="1167" w:type="dxa"/>
          </w:tcPr>
          <w:p w14:paraId="1C5CEEDD">
            <w:pPr>
              <w:autoSpaceDE w:val="0"/>
              <w:autoSpaceDN w:val="0"/>
              <w:adjustRightInd w:val="0"/>
              <w:snapToGrid w:val="0"/>
              <w:jc w:val="left"/>
              <w:rPr>
                <w:rFonts w:ascii="宋体" w:hAnsi="宋体"/>
                <w:color w:val="auto"/>
                <w:kern w:val="0"/>
                <w:szCs w:val="21"/>
                <w:highlight w:val="none"/>
              </w:rPr>
            </w:pPr>
          </w:p>
        </w:tc>
        <w:tc>
          <w:tcPr>
            <w:tcW w:w="776" w:type="dxa"/>
          </w:tcPr>
          <w:p w14:paraId="5FDE7CF1">
            <w:pPr>
              <w:autoSpaceDE w:val="0"/>
              <w:autoSpaceDN w:val="0"/>
              <w:adjustRightInd w:val="0"/>
              <w:snapToGrid w:val="0"/>
              <w:jc w:val="left"/>
              <w:rPr>
                <w:rFonts w:ascii="宋体" w:hAnsi="宋体"/>
                <w:color w:val="auto"/>
                <w:kern w:val="0"/>
                <w:szCs w:val="21"/>
                <w:highlight w:val="none"/>
              </w:rPr>
            </w:pPr>
          </w:p>
        </w:tc>
        <w:tc>
          <w:tcPr>
            <w:tcW w:w="778" w:type="dxa"/>
          </w:tcPr>
          <w:p w14:paraId="3B052C06">
            <w:pPr>
              <w:autoSpaceDE w:val="0"/>
              <w:autoSpaceDN w:val="0"/>
              <w:adjustRightInd w:val="0"/>
              <w:snapToGrid w:val="0"/>
              <w:jc w:val="left"/>
              <w:rPr>
                <w:rFonts w:ascii="宋体" w:hAnsi="宋体"/>
                <w:color w:val="auto"/>
                <w:kern w:val="0"/>
                <w:szCs w:val="21"/>
                <w:highlight w:val="none"/>
              </w:rPr>
            </w:pPr>
          </w:p>
        </w:tc>
        <w:tc>
          <w:tcPr>
            <w:tcW w:w="776" w:type="dxa"/>
          </w:tcPr>
          <w:p w14:paraId="4E956B4E">
            <w:pPr>
              <w:autoSpaceDE w:val="0"/>
              <w:autoSpaceDN w:val="0"/>
              <w:adjustRightInd w:val="0"/>
              <w:snapToGrid w:val="0"/>
              <w:jc w:val="left"/>
              <w:rPr>
                <w:rFonts w:ascii="宋体" w:hAnsi="宋体"/>
                <w:color w:val="auto"/>
                <w:kern w:val="0"/>
                <w:szCs w:val="21"/>
                <w:highlight w:val="none"/>
              </w:rPr>
            </w:pPr>
          </w:p>
        </w:tc>
        <w:tc>
          <w:tcPr>
            <w:tcW w:w="2723" w:type="dxa"/>
          </w:tcPr>
          <w:p w14:paraId="79D56C66">
            <w:pPr>
              <w:autoSpaceDE w:val="0"/>
              <w:autoSpaceDN w:val="0"/>
              <w:adjustRightInd w:val="0"/>
              <w:snapToGrid w:val="0"/>
              <w:jc w:val="left"/>
              <w:rPr>
                <w:rFonts w:ascii="宋体" w:hAnsi="宋体"/>
                <w:color w:val="auto"/>
                <w:kern w:val="0"/>
                <w:szCs w:val="21"/>
                <w:highlight w:val="none"/>
              </w:rPr>
            </w:pPr>
          </w:p>
        </w:tc>
        <w:tc>
          <w:tcPr>
            <w:tcW w:w="896" w:type="dxa"/>
          </w:tcPr>
          <w:p w14:paraId="74631D5A">
            <w:pPr>
              <w:autoSpaceDE w:val="0"/>
              <w:autoSpaceDN w:val="0"/>
              <w:adjustRightInd w:val="0"/>
              <w:snapToGrid w:val="0"/>
              <w:jc w:val="left"/>
              <w:rPr>
                <w:rFonts w:ascii="宋体" w:hAnsi="宋体"/>
                <w:color w:val="auto"/>
                <w:kern w:val="0"/>
                <w:szCs w:val="21"/>
                <w:highlight w:val="none"/>
              </w:rPr>
            </w:pPr>
          </w:p>
        </w:tc>
      </w:tr>
      <w:tr w14:paraId="552E56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30B5086">
            <w:pPr>
              <w:autoSpaceDE w:val="0"/>
              <w:autoSpaceDN w:val="0"/>
              <w:adjustRightInd w:val="0"/>
              <w:snapToGrid w:val="0"/>
              <w:jc w:val="left"/>
              <w:rPr>
                <w:rFonts w:ascii="宋体" w:hAnsi="宋体"/>
                <w:color w:val="auto"/>
                <w:kern w:val="0"/>
                <w:szCs w:val="21"/>
                <w:highlight w:val="none"/>
              </w:rPr>
            </w:pPr>
          </w:p>
        </w:tc>
        <w:tc>
          <w:tcPr>
            <w:tcW w:w="734" w:type="dxa"/>
          </w:tcPr>
          <w:p w14:paraId="4F387016">
            <w:pPr>
              <w:autoSpaceDE w:val="0"/>
              <w:autoSpaceDN w:val="0"/>
              <w:adjustRightInd w:val="0"/>
              <w:snapToGrid w:val="0"/>
              <w:jc w:val="left"/>
              <w:rPr>
                <w:rFonts w:ascii="宋体" w:hAnsi="宋体"/>
                <w:color w:val="auto"/>
                <w:kern w:val="0"/>
                <w:szCs w:val="21"/>
                <w:highlight w:val="none"/>
              </w:rPr>
            </w:pPr>
          </w:p>
        </w:tc>
        <w:tc>
          <w:tcPr>
            <w:tcW w:w="776" w:type="dxa"/>
          </w:tcPr>
          <w:p w14:paraId="6BEEDBD7">
            <w:pPr>
              <w:autoSpaceDE w:val="0"/>
              <w:autoSpaceDN w:val="0"/>
              <w:adjustRightInd w:val="0"/>
              <w:snapToGrid w:val="0"/>
              <w:jc w:val="left"/>
              <w:rPr>
                <w:rFonts w:ascii="宋体" w:hAnsi="宋体"/>
                <w:color w:val="auto"/>
                <w:kern w:val="0"/>
                <w:szCs w:val="21"/>
                <w:highlight w:val="none"/>
              </w:rPr>
            </w:pPr>
          </w:p>
        </w:tc>
        <w:tc>
          <w:tcPr>
            <w:tcW w:w="1167" w:type="dxa"/>
          </w:tcPr>
          <w:p w14:paraId="390755D8">
            <w:pPr>
              <w:autoSpaceDE w:val="0"/>
              <w:autoSpaceDN w:val="0"/>
              <w:adjustRightInd w:val="0"/>
              <w:snapToGrid w:val="0"/>
              <w:jc w:val="left"/>
              <w:rPr>
                <w:rFonts w:ascii="宋体" w:hAnsi="宋体"/>
                <w:color w:val="auto"/>
                <w:kern w:val="0"/>
                <w:szCs w:val="21"/>
                <w:highlight w:val="none"/>
              </w:rPr>
            </w:pPr>
          </w:p>
        </w:tc>
        <w:tc>
          <w:tcPr>
            <w:tcW w:w="776" w:type="dxa"/>
          </w:tcPr>
          <w:p w14:paraId="0A94AD0A">
            <w:pPr>
              <w:autoSpaceDE w:val="0"/>
              <w:autoSpaceDN w:val="0"/>
              <w:adjustRightInd w:val="0"/>
              <w:snapToGrid w:val="0"/>
              <w:jc w:val="left"/>
              <w:rPr>
                <w:rFonts w:ascii="宋体" w:hAnsi="宋体"/>
                <w:color w:val="auto"/>
                <w:kern w:val="0"/>
                <w:szCs w:val="21"/>
                <w:highlight w:val="none"/>
              </w:rPr>
            </w:pPr>
          </w:p>
        </w:tc>
        <w:tc>
          <w:tcPr>
            <w:tcW w:w="778" w:type="dxa"/>
          </w:tcPr>
          <w:p w14:paraId="5FC87744">
            <w:pPr>
              <w:autoSpaceDE w:val="0"/>
              <w:autoSpaceDN w:val="0"/>
              <w:adjustRightInd w:val="0"/>
              <w:snapToGrid w:val="0"/>
              <w:jc w:val="left"/>
              <w:rPr>
                <w:rFonts w:ascii="宋体" w:hAnsi="宋体"/>
                <w:color w:val="auto"/>
                <w:kern w:val="0"/>
                <w:szCs w:val="21"/>
                <w:highlight w:val="none"/>
              </w:rPr>
            </w:pPr>
          </w:p>
        </w:tc>
        <w:tc>
          <w:tcPr>
            <w:tcW w:w="776" w:type="dxa"/>
          </w:tcPr>
          <w:p w14:paraId="536F9EFE">
            <w:pPr>
              <w:autoSpaceDE w:val="0"/>
              <w:autoSpaceDN w:val="0"/>
              <w:adjustRightInd w:val="0"/>
              <w:snapToGrid w:val="0"/>
              <w:jc w:val="left"/>
              <w:rPr>
                <w:rFonts w:ascii="宋体" w:hAnsi="宋体"/>
                <w:color w:val="auto"/>
                <w:kern w:val="0"/>
                <w:szCs w:val="21"/>
                <w:highlight w:val="none"/>
              </w:rPr>
            </w:pPr>
          </w:p>
        </w:tc>
        <w:tc>
          <w:tcPr>
            <w:tcW w:w="2723" w:type="dxa"/>
          </w:tcPr>
          <w:p w14:paraId="256B238E">
            <w:pPr>
              <w:autoSpaceDE w:val="0"/>
              <w:autoSpaceDN w:val="0"/>
              <w:adjustRightInd w:val="0"/>
              <w:snapToGrid w:val="0"/>
              <w:jc w:val="left"/>
              <w:rPr>
                <w:rFonts w:ascii="宋体" w:hAnsi="宋体"/>
                <w:color w:val="auto"/>
                <w:kern w:val="0"/>
                <w:szCs w:val="21"/>
                <w:highlight w:val="none"/>
              </w:rPr>
            </w:pPr>
          </w:p>
        </w:tc>
        <w:tc>
          <w:tcPr>
            <w:tcW w:w="896" w:type="dxa"/>
          </w:tcPr>
          <w:p w14:paraId="56EEFAF9">
            <w:pPr>
              <w:autoSpaceDE w:val="0"/>
              <w:autoSpaceDN w:val="0"/>
              <w:adjustRightInd w:val="0"/>
              <w:snapToGrid w:val="0"/>
              <w:jc w:val="left"/>
              <w:rPr>
                <w:rFonts w:ascii="宋体" w:hAnsi="宋体"/>
                <w:color w:val="auto"/>
                <w:kern w:val="0"/>
                <w:szCs w:val="21"/>
                <w:highlight w:val="none"/>
              </w:rPr>
            </w:pPr>
          </w:p>
        </w:tc>
      </w:tr>
      <w:tr w14:paraId="49DFAA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98ED205">
            <w:pPr>
              <w:autoSpaceDE w:val="0"/>
              <w:autoSpaceDN w:val="0"/>
              <w:adjustRightInd w:val="0"/>
              <w:snapToGrid w:val="0"/>
              <w:jc w:val="left"/>
              <w:rPr>
                <w:rFonts w:ascii="宋体" w:hAnsi="宋体"/>
                <w:color w:val="auto"/>
                <w:kern w:val="0"/>
                <w:szCs w:val="21"/>
                <w:highlight w:val="none"/>
              </w:rPr>
            </w:pPr>
          </w:p>
        </w:tc>
        <w:tc>
          <w:tcPr>
            <w:tcW w:w="734" w:type="dxa"/>
          </w:tcPr>
          <w:p w14:paraId="0C323D09">
            <w:pPr>
              <w:autoSpaceDE w:val="0"/>
              <w:autoSpaceDN w:val="0"/>
              <w:adjustRightInd w:val="0"/>
              <w:snapToGrid w:val="0"/>
              <w:jc w:val="left"/>
              <w:rPr>
                <w:rFonts w:ascii="宋体" w:hAnsi="宋体"/>
                <w:color w:val="auto"/>
                <w:kern w:val="0"/>
                <w:szCs w:val="21"/>
                <w:highlight w:val="none"/>
              </w:rPr>
            </w:pPr>
          </w:p>
        </w:tc>
        <w:tc>
          <w:tcPr>
            <w:tcW w:w="776" w:type="dxa"/>
          </w:tcPr>
          <w:p w14:paraId="5E475DBA">
            <w:pPr>
              <w:autoSpaceDE w:val="0"/>
              <w:autoSpaceDN w:val="0"/>
              <w:adjustRightInd w:val="0"/>
              <w:snapToGrid w:val="0"/>
              <w:jc w:val="left"/>
              <w:rPr>
                <w:rFonts w:ascii="宋体" w:hAnsi="宋体"/>
                <w:color w:val="auto"/>
                <w:kern w:val="0"/>
                <w:szCs w:val="21"/>
                <w:highlight w:val="none"/>
              </w:rPr>
            </w:pPr>
          </w:p>
        </w:tc>
        <w:tc>
          <w:tcPr>
            <w:tcW w:w="1167" w:type="dxa"/>
          </w:tcPr>
          <w:p w14:paraId="0DCC5582">
            <w:pPr>
              <w:autoSpaceDE w:val="0"/>
              <w:autoSpaceDN w:val="0"/>
              <w:adjustRightInd w:val="0"/>
              <w:snapToGrid w:val="0"/>
              <w:jc w:val="left"/>
              <w:rPr>
                <w:rFonts w:ascii="宋体" w:hAnsi="宋体"/>
                <w:color w:val="auto"/>
                <w:kern w:val="0"/>
                <w:szCs w:val="21"/>
                <w:highlight w:val="none"/>
              </w:rPr>
            </w:pPr>
          </w:p>
        </w:tc>
        <w:tc>
          <w:tcPr>
            <w:tcW w:w="776" w:type="dxa"/>
          </w:tcPr>
          <w:p w14:paraId="52218FE1">
            <w:pPr>
              <w:autoSpaceDE w:val="0"/>
              <w:autoSpaceDN w:val="0"/>
              <w:adjustRightInd w:val="0"/>
              <w:snapToGrid w:val="0"/>
              <w:jc w:val="left"/>
              <w:rPr>
                <w:rFonts w:ascii="宋体" w:hAnsi="宋体"/>
                <w:color w:val="auto"/>
                <w:kern w:val="0"/>
                <w:szCs w:val="21"/>
                <w:highlight w:val="none"/>
              </w:rPr>
            </w:pPr>
          </w:p>
        </w:tc>
        <w:tc>
          <w:tcPr>
            <w:tcW w:w="778" w:type="dxa"/>
          </w:tcPr>
          <w:p w14:paraId="0B9ECBFA">
            <w:pPr>
              <w:autoSpaceDE w:val="0"/>
              <w:autoSpaceDN w:val="0"/>
              <w:adjustRightInd w:val="0"/>
              <w:snapToGrid w:val="0"/>
              <w:jc w:val="left"/>
              <w:rPr>
                <w:rFonts w:ascii="宋体" w:hAnsi="宋体"/>
                <w:color w:val="auto"/>
                <w:kern w:val="0"/>
                <w:szCs w:val="21"/>
                <w:highlight w:val="none"/>
              </w:rPr>
            </w:pPr>
          </w:p>
        </w:tc>
        <w:tc>
          <w:tcPr>
            <w:tcW w:w="776" w:type="dxa"/>
          </w:tcPr>
          <w:p w14:paraId="55DE816E">
            <w:pPr>
              <w:autoSpaceDE w:val="0"/>
              <w:autoSpaceDN w:val="0"/>
              <w:adjustRightInd w:val="0"/>
              <w:snapToGrid w:val="0"/>
              <w:jc w:val="left"/>
              <w:rPr>
                <w:rFonts w:ascii="宋体" w:hAnsi="宋体"/>
                <w:color w:val="auto"/>
                <w:kern w:val="0"/>
                <w:szCs w:val="21"/>
                <w:highlight w:val="none"/>
              </w:rPr>
            </w:pPr>
          </w:p>
        </w:tc>
        <w:tc>
          <w:tcPr>
            <w:tcW w:w="2723" w:type="dxa"/>
          </w:tcPr>
          <w:p w14:paraId="7B8AE614">
            <w:pPr>
              <w:autoSpaceDE w:val="0"/>
              <w:autoSpaceDN w:val="0"/>
              <w:adjustRightInd w:val="0"/>
              <w:snapToGrid w:val="0"/>
              <w:jc w:val="left"/>
              <w:rPr>
                <w:rFonts w:ascii="宋体" w:hAnsi="宋体"/>
                <w:color w:val="auto"/>
                <w:kern w:val="0"/>
                <w:szCs w:val="21"/>
                <w:highlight w:val="none"/>
              </w:rPr>
            </w:pPr>
          </w:p>
        </w:tc>
        <w:tc>
          <w:tcPr>
            <w:tcW w:w="896" w:type="dxa"/>
          </w:tcPr>
          <w:p w14:paraId="3437FAC5">
            <w:pPr>
              <w:autoSpaceDE w:val="0"/>
              <w:autoSpaceDN w:val="0"/>
              <w:adjustRightInd w:val="0"/>
              <w:snapToGrid w:val="0"/>
              <w:jc w:val="left"/>
              <w:rPr>
                <w:rFonts w:ascii="宋体" w:hAnsi="宋体"/>
                <w:color w:val="auto"/>
                <w:kern w:val="0"/>
                <w:szCs w:val="21"/>
                <w:highlight w:val="none"/>
              </w:rPr>
            </w:pPr>
          </w:p>
        </w:tc>
      </w:tr>
      <w:tr w14:paraId="5B944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5DED77F">
            <w:pPr>
              <w:autoSpaceDE w:val="0"/>
              <w:autoSpaceDN w:val="0"/>
              <w:adjustRightInd w:val="0"/>
              <w:snapToGrid w:val="0"/>
              <w:jc w:val="left"/>
              <w:rPr>
                <w:rFonts w:ascii="宋体" w:hAnsi="宋体"/>
                <w:color w:val="auto"/>
                <w:kern w:val="0"/>
                <w:szCs w:val="21"/>
                <w:highlight w:val="none"/>
              </w:rPr>
            </w:pPr>
          </w:p>
        </w:tc>
        <w:tc>
          <w:tcPr>
            <w:tcW w:w="734" w:type="dxa"/>
          </w:tcPr>
          <w:p w14:paraId="39C35DF7">
            <w:pPr>
              <w:autoSpaceDE w:val="0"/>
              <w:autoSpaceDN w:val="0"/>
              <w:adjustRightInd w:val="0"/>
              <w:snapToGrid w:val="0"/>
              <w:jc w:val="left"/>
              <w:rPr>
                <w:rFonts w:ascii="宋体" w:hAnsi="宋体"/>
                <w:color w:val="auto"/>
                <w:kern w:val="0"/>
                <w:szCs w:val="21"/>
                <w:highlight w:val="none"/>
              </w:rPr>
            </w:pPr>
          </w:p>
        </w:tc>
        <w:tc>
          <w:tcPr>
            <w:tcW w:w="776" w:type="dxa"/>
          </w:tcPr>
          <w:p w14:paraId="4787B9E2">
            <w:pPr>
              <w:autoSpaceDE w:val="0"/>
              <w:autoSpaceDN w:val="0"/>
              <w:adjustRightInd w:val="0"/>
              <w:snapToGrid w:val="0"/>
              <w:jc w:val="left"/>
              <w:rPr>
                <w:rFonts w:ascii="宋体" w:hAnsi="宋体"/>
                <w:color w:val="auto"/>
                <w:kern w:val="0"/>
                <w:szCs w:val="21"/>
                <w:highlight w:val="none"/>
              </w:rPr>
            </w:pPr>
          </w:p>
        </w:tc>
        <w:tc>
          <w:tcPr>
            <w:tcW w:w="1167" w:type="dxa"/>
          </w:tcPr>
          <w:p w14:paraId="0185B644">
            <w:pPr>
              <w:autoSpaceDE w:val="0"/>
              <w:autoSpaceDN w:val="0"/>
              <w:adjustRightInd w:val="0"/>
              <w:snapToGrid w:val="0"/>
              <w:jc w:val="left"/>
              <w:rPr>
                <w:rFonts w:ascii="宋体" w:hAnsi="宋体"/>
                <w:color w:val="auto"/>
                <w:kern w:val="0"/>
                <w:szCs w:val="21"/>
                <w:highlight w:val="none"/>
              </w:rPr>
            </w:pPr>
          </w:p>
        </w:tc>
        <w:tc>
          <w:tcPr>
            <w:tcW w:w="776" w:type="dxa"/>
          </w:tcPr>
          <w:p w14:paraId="3EC20A69">
            <w:pPr>
              <w:autoSpaceDE w:val="0"/>
              <w:autoSpaceDN w:val="0"/>
              <w:adjustRightInd w:val="0"/>
              <w:snapToGrid w:val="0"/>
              <w:jc w:val="left"/>
              <w:rPr>
                <w:rFonts w:ascii="宋体" w:hAnsi="宋体"/>
                <w:color w:val="auto"/>
                <w:kern w:val="0"/>
                <w:szCs w:val="21"/>
                <w:highlight w:val="none"/>
              </w:rPr>
            </w:pPr>
          </w:p>
        </w:tc>
        <w:tc>
          <w:tcPr>
            <w:tcW w:w="778" w:type="dxa"/>
          </w:tcPr>
          <w:p w14:paraId="4E6DBC0F">
            <w:pPr>
              <w:autoSpaceDE w:val="0"/>
              <w:autoSpaceDN w:val="0"/>
              <w:adjustRightInd w:val="0"/>
              <w:snapToGrid w:val="0"/>
              <w:jc w:val="left"/>
              <w:rPr>
                <w:rFonts w:ascii="宋体" w:hAnsi="宋体"/>
                <w:color w:val="auto"/>
                <w:kern w:val="0"/>
                <w:szCs w:val="21"/>
                <w:highlight w:val="none"/>
              </w:rPr>
            </w:pPr>
          </w:p>
        </w:tc>
        <w:tc>
          <w:tcPr>
            <w:tcW w:w="776" w:type="dxa"/>
          </w:tcPr>
          <w:p w14:paraId="00D2F26F">
            <w:pPr>
              <w:autoSpaceDE w:val="0"/>
              <w:autoSpaceDN w:val="0"/>
              <w:adjustRightInd w:val="0"/>
              <w:snapToGrid w:val="0"/>
              <w:jc w:val="left"/>
              <w:rPr>
                <w:rFonts w:ascii="宋体" w:hAnsi="宋体"/>
                <w:color w:val="auto"/>
                <w:kern w:val="0"/>
                <w:szCs w:val="21"/>
                <w:highlight w:val="none"/>
              </w:rPr>
            </w:pPr>
          </w:p>
        </w:tc>
        <w:tc>
          <w:tcPr>
            <w:tcW w:w="2723" w:type="dxa"/>
          </w:tcPr>
          <w:p w14:paraId="3EF8498C">
            <w:pPr>
              <w:autoSpaceDE w:val="0"/>
              <w:autoSpaceDN w:val="0"/>
              <w:adjustRightInd w:val="0"/>
              <w:snapToGrid w:val="0"/>
              <w:jc w:val="left"/>
              <w:rPr>
                <w:rFonts w:ascii="宋体" w:hAnsi="宋体"/>
                <w:color w:val="auto"/>
                <w:kern w:val="0"/>
                <w:szCs w:val="21"/>
                <w:highlight w:val="none"/>
              </w:rPr>
            </w:pPr>
          </w:p>
        </w:tc>
        <w:tc>
          <w:tcPr>
            <w:tcW w:w="896" w:type="dxa"/>
          </w:tcPr>
          <w:p w14:paraId="5A2C9624">
            <w:pPr>
              <w:autoSpaceDE w:val="0"/>
              <w:autoSpaceDN w:val="0"/>
              <w:adjustRightInd w:val="0"/>
              <w:snapToGrid w:val="0"/>
              <w:jc w:val="left"/>
              <w:rPr>
                <w:rFonts w:ascii="宋体" w:hAnsi="宋体"/>
                <w:color w:val="auto"/>
                <w:kern w:val="0"/>
                <w:szCs w:val="21"/>
                <w:highlight w:val="none"/>
              </w:rPr>
            </w:pPr>
          </w:p>
        </w:tc>
      </w:tr>
      <w:tr w14:paraId="258FA6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7969DB">
            <w:pPr>
              <w:autoSpaceDE w:val="0"/>
              <w:autoSpaceDN w:val="0"/>
              <w:adjustRightInd w:val="0"/>
              <w:snapToGrid w:val="0"/>
              <w:jc w:val="left"/>
              <w:rPr>
                <w:rFonts w:ascii="宋体" w:hAnsi="宋体"/>
                <w:color w:val="auto"/>
                <w:kern w:val="0"/>
                <w:szCs w:val="21"/>
                <w:highlight w:val="none"/>
              </w:rPr>
            </w:pPr>
          </w:p>
        </w:tc>
        <w:tc>
          <w:tcPr>
            <w:tcW w:w="734" w:type="dxa"/>
          </w:tcPr>
          <w:p w14:paraId="1E29280D">
            <w:pPr>
              <w:autoSpaceDE w:val="0"/>
              <w:autoSpaceDN w:val="0"/>
              <w:adjustRightInd w:val="0"/>
              <w:snapToGrid w:val="0"/>
              <w:jc w:val="left"/>
              <w:rPr>
                <w:rFonts w:ascii="宋体" w:hAnsi="宋体"/>
                <w:color w:val="auto"/>
                <w:kern w:val="0"/>
                <w:szCs w:val="21"/>
                <w:highlight w:val="none"/>
              </w:rPr>
            </w:pPr>
          </w:p>
        </w:tc>
        <w:tc>
          <w:tcPr>
            <w:tcW w:w="776" w:type="dxa"/>
          </w:tcPr>
          <w:p w14:paraId="4025E6A0">
            <w:pPr>
              <w:autoSpaceDE w:val="0"/>
              <w:autoSpaceDN w:val="0"/>
              <w:adjustRightInd w:val="0"/>
              <w:snapToGrid w:val="0"/>
              <w:jc w:val="left"/>
              <w:rPr>
                <w:rFonts w:ascii="宋体" w:hAnsi="宋体"/>
                <w:color w:val="auto"/>
                <w:kern w:val="0"/>
                <w:szCs w:val="21"/>
                <w:highlight w:val="none"/>
              </w:rPr>
            </w:pPr>
          </w:p>
        </w:tc>
        <w:tc>
          <w:tcPr>
            <w:tcW w:w="1167" w:type="dxa"/>
          </w:tcPr>
          <w:p w14:paraId="03E1BD3E">
            <w:pPr>
              <w:autoSpaceDE w:val="0"/>
              <w:autoSpaceDN w:val="0"/>
              <w:adjustRightInd w:val="0"/>
              <w:snapToGrid w:val="0"/>
              <w:jc w:val="left"/>
              <w:rPr>
                <w:rFonts w:ascii="宋体" w:hAnsi="宋体"/>
                <w:color w:val="auto"/>
                <w:kern w:val="0"/>
                <w:szCs w:val="21"/>
                <w:highlight w:val="none"/>
              </w:rPr>
            </w:pPr>
          </w:p>
        </w:tc>
        <w:tc>
          <w:tcPr>
            <w:tcW w:w="776" w:type="dxa"/>
          </w:tcPr>
          <w:p w14:paraId="7FCE6ECB">
            <w:pPr>
              <w:autoSpaceDE w:val="0"/>
              <w:autoSpaceDN w:val="0"/>
              <w:adjustRightInd w:val="0"/>
              <w:snapToGrid w:val="0"/>
              <w:jc w:val="left"/>
              <w:rPr>
                <w:rFonts w:ascii="宋体" w:hAnsi="宋体"/>
                <w:color w:val="auto"/>
                <w:kern w:val="0"/>
                <w:szCs w:val="21"/>
                <w:highlight w:val="none"/>
              </w:rPr>
            </w:pPr>
          </w:p>
        </w:tc>
        <w:tc>
          <w:tcPr>
            <w:tcW w:w="778" w:type="dxa"/>
          </w:tcPr>
          <w:p w14:paraId="503121FE">
            <w:pPr>
              <w:autoSpaceDE w:val="0"/>
              <w:autoSpaceDN w:val="0"/>
              <w:adjustRightInd w:val="0"/>
              <w:snapToGrid w:val="0"/>
              <w:jc w:val="left"/>
              <w:rPr>
                <w:rFonts w:ascii="宋体" w:hAnsi="宋体"/>
                <w:color w:val="auto"/>
                <w:kern w:val="0"/>
                <w:szCs w:val="21"/>
                <w:highlight w:val="none"/>
              </w:rPr>
            </w:pPr>
          </w:p>
        </w:tc>
        <w:tc>
          <w:tcPr>
            <w:tcW w:w="776" w:type="dxa"/>
          </w:tcPr>
          <w:p w14:paraId="2090CD26">
            <w:pPr>
              <w:autoSpaceDE w:val="0"/>
              <w:autoSpaceDN w:val="0"/>
              <w:adjustRightInd w:val="0"/>
              <w:snapToGrid w:val="0"/>
              <w:jc w:val="left"/>
              <w:rPr>
                <w:rFonts w:ascii="宋体" w:hAnsi="宋体"/>
                <w:color w:val="auto"/>
                <w:kern w:val="0"/>
                <w:szCs w:val="21"/>
                <w:highlight w:val="none"/>
              </w:rPr>
            </w:pPr>
          </w:p>
        </w:tc>
        <w:tc>
          <w:tcPr>
            <w:tcW w:w="2723" w:type="dxa"/>
          </w:tcPr>
          <w:p w14:paraId="41E558FC">
            <w:pPr>
              <w:autoSpaceDE w:val="0"/>
              <w:autoSpaceDN w:val="0"/>
              <w:adjustRightInd w:val="0"/>
              <w:snapToGrid w:val="0"/>
              <w:jc w:val="left"/>
              <w:rPr>
                <w:rFonts w:ascii="宋体" w:hAnsi="宋体"/>
                <w:color w:val="auto"/>
                <w:kern w:val="0"/>
                <w:szCs w:val="21"/>
                <w:highlight w:val="none"/>
              </w:rPr>
            </w:pPr>
          </w:p>
        </w:tc>
        <w:tc>
          <w:tcPr>
            <w:tcW w:w="896" w:type="dxa"/>
          </w:tcPr>
          <w:p w14:paraId="132C851B">
            <w:pPr>
              <w:autoSpaceDE w:val="0"/>
              <w:autoSpaceDN w:val="0"/>
              <w:adjustRightInd w:val="0"/>
              <w:snapToGrid w:val="0"/>
              <w:jc w:val="left"/>
              <w:rPr>
                <w:rFonts w:ascii="宋体" w:hAnsi="宋体"/>
                <w:color w:val="auto"/>
                <w:kern w:val="0"/>
                <w:szCs w:val="21"/>
                <w:highlight w:val="none"/>
              </w:rPr>
            </w:pPr>
          </w:p>
        </w:tc>
      </w:tr>
      <w:tr w14:paraId="2AEEB5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964BDE">
            <w:pPr>
              <w:autoSpaceDE w:val="0"/>
              <w:autoSpaceDN w:val="0"/>
              <w:adjustRightInd w:val="0"/>
              <w:snapToGrid w:val="0"/>
              <w:jc w:val="left"/>
              <w:rPr>
                <w:rFonts w:ascii="宋体" w:hAnsi="宋体"/>
                <w:color w:val="auto"/>
                <w:kern w:val="0"/>
                <w:szCs w:val="21"/>
                <w:highlight w:val="none"/>
              </w:rPr>
            </w:pPr>
          </w:p>
        </w:tc>
        <w:tc>
          <w:tcPr>
            <w:tcW w:w="734" w:type="dxa"/>
          </w:tcPr>
          <w:p w14:paraId="5B3B0B69">
            <w:pPr>
              <w:autoSpaceDE w:val="0"/>
              <w:autoSpaceDN w:val="0"/>
              <w:adjustRightInd w:val="0"/>
              <w:snapToGrid w:val="0"/>
              <w:jc w:val="left"/>
              <w:rPr>
                <w:rFonts w:ascii="宋体" w:hAnsi="宋体"/>
                <w:color w:val="auto"/>
                <w:kern w:val="0"/>
                <w:szCs w:val="21"/>
                <w:highlight w:val="none"/>
              </w:rPr>
            </w:pPr>
          </w:p>
        </w:tc>
        <w:tc>
          <w:tcPr>
            <w:tcW w:w="776" w:type="dxa"/>
          </w:tcPr>
          <w:p w14:paraId="1C062676">
            <w:pPr>
              <w:autoSpaceDE w:val="0"/>
              <w:autoSpaceDN w:val="0"/>
              <w:adjustRightInd w:val="0"/>
              <w:snapToGrid w:val="0"/>
              <w:jc w:val="left"/>
              <w:rPr>
                <w:rFonts w:ascii="宋体" w:hAnsi="宋体"/>
                <w:color w:val="auto"/>
                <w:kern w:val="0"/>
                <w:szCs w:val="21"/>
                <w:highlight w:val="none"/>
              </w:rPr>
            </w:pPr>
          </w:p>
        </w:tc>
        <w:tc>
          <w:tcPr>
            <w:tcW w:w="1167" w:type="dxa"/>
          </w:tcPr>
          <w:p w14:paraId="37E1150A">
            <w:pPr>
              <w:autoSpaceDE w:val="0"/>
              <w:autoSpaceDN w:val="0"/>
              <w:adjustRightInd w:val="0"/>
              <w:snapToGrid w:val="0"/>
              <w:jc w:val="left"/>
              <w:rPr>
                <w:rFonts w:ascii="宋体" w:hAnsi="宋体"/>
                <w:color w:val="auto"/>
                <w:kern w:val="0"/>
                <w:szCs w:val="21"/>
                <w:highlight w:val="none"/>
              </w:rPr>
            </w:pPr>
          </w:p>
        </w:tc>
        <w:tc>
          <w:tcPr>
            <w:tcW w:w="776" w:type="dxa"/>
          </w:tcPr>
          <w:p w14:paraId="596BB1AA">
            <w:pPr>
              <w:autoSpaceDE w:val="0"/>
              <w:autoSpaceDN w:val="0"/>
              <w:adjustRightInd w:val="0"/>
              <w:snapToGrid w:val="0"/>
              <w:jc w:val="left"/>
              <w:rPr>
                <w:rFonts w:ascii="宋体" w:hAnsi="宋体"/>
                <w:color w:val="auto"/>
                <w:kern w:val="0"/>
                <w:szCs w:val="21"/>
                <w:highlight w:val="none"/>
              </w:rPr>
            </w:pPr>
          </w:p>
        </w:tc>
        <w:tc>
          <w:tcPr>
            <w:tcW w:w="778" w:type="dxa"/>
          </w:tcPr>
          <w:p w14:paraId="52CC2C1C">
            <w:pPr>
              <w:autoSpaceDE w:val="0"/>
              <w:autoSpaceDN w:val="0"/>
              <w:adjustRightInd w:val="0"/>
              <w:snapToGrid w:val="0"/>
              <w:jc w:val="left"/>
              <w:rPr>
                <w:rFonts w:ascii="宋体" w:hAnsi="宋体"/>
                <w:color w:val="auto"/>
                <w:kern w:val="0"/>
                <w:szCs w:val="21"/>
                <w:highlight w:val="none"/>
              </w:rPr>
            </w:pPr>
          </w:p>
        </w:tc>
        <w:tc>
          <w:tcPr>
            <w:tcW w:w="776" w:type="dxa"/>
          </w:tcPr>
          <w:p w14:paraId="383B62DC">
            <w:pPr>
              <w:autoSpaceDE w:val="0"/>
              <w:autoSpaceDN w:val="0"/>
              <w:adjustRightInd w:val="0"/>
              <w:snapToGrid w:val="0"/>
              <w:jc w:val="left"/>
              <w:rPr>
                <w:rFonts w:ascii="宋体" w:hAnsi="宋体"/>
                <w:color w:val="auto"/>
                <w:kern w:val="0"/>
                <w:szCs w:val="21"/>
                <w:highlight w:val="none"/>
              </w:rPr>
            </w:pPr>
          </w:p>
        </w:tc>
        <w:tc>
          <w:tcPr>
            <w:tcW w:w="2723" w:type="dxa"/>
          </w:tcPr>
          <w:p w14:paraId="25DF2A27">
            <w:pPr>
              <w:autoSpaceDE w:val="0"/>
              <w:autoSpaceDN w:val="0"/>
              <w:adjustRightInd w:val="0"/>
              <w:snapToGrid w:val="0"/>
              <w:jc w:val="left"/>
              <w:rPr>
                <w:rFonts w:ascii="宋体" w:hAnsi="宋体"/>
                <w:color w:val="auto"/>
                <w:kern w:val="0"/>
                <w:szCs w:val="21"/>
                <w:highlight w:val="none"/>
              </w:rPr>
            </w:pPr>
          </w:p>
        </w:tc>
        <w:tc>
          <w:tcPr>
            <w:tcW w:w="896" w:type="dxa"/>
          </w:tcPr>
          <w:p w14:paraId="626372D8">
            <w:pPr>
              <w:autoSpaceDE w:val="0"/>
              <w:autoSpaceDN w:val="0"/>
              <w:adjustRightInd w:val="0"/>
              <w:snapToGrid w:val="0"/>
              <w:jc w:val="left"/>
              <w:rPr>
                <w:rFonts w:ascii="宋体" w:hAnsi="宋体"/>
                <w:color w:val="auto"/>
                <w:kern w:val="0"/>
                <w:szCs w:val="21"/>
                <w:highlight w:val="none"/>
              </w:rPr>
            </w:pPr>
          </w:p>
        </w:tc>
      </w:tr>
      <w:tr w14:paraId="3FDF1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B33B61">
            <w:pPr>
              <w:autoSpaceDE w:val="0"/>
              <w:autoSpaceDN w:val="0"/>
              <w:adjustRightInd w:val="0"/>
              <w:snapToGrid w:val="0"/>
              <w:jc w:val="left"/>
              <w:rPr>
                <w:rFonts w:ascii="宋体" w:hAnsi="宋体"/>
                <w:color w:val="auto"/>
                <w:kern w:val="0"/>
                <w:szCs w:val="21"/>
                <w:highlight w:val="none"/>
              </w:rPr>
            </w:pPr>
          </w:p>
        </w:tc>
        <w:tc>
          <w:tcPr>
            <w:tcW w:w="734" w:type="dxa"/>
          </w:tcPr>
          <w:p w14:paraId="67D5FEC6">
            <w:pPr>
              <w:autoSpaceDE w:val="0"/>
              <w:autoSpaceDN w:val="0"/>
              <w:adjustRightInd w:val="0"/>
              <w:snapToGrid w:val="0"/>
              <w:jc w:val="left"/>
              <w:rPr>
                <w:rFonts w:ascii="宋体" w:hAnsi="宋体"/>
                <w:color w:val="auto"/>
                <w:kern w:val="0"/>
                <w:szCs w:val="21"/>
                <w:highlight w:val="none"/>
              </w:rPr>
            </w:pPr>
          </w:p>
        </w:tc>
        <w:tc>
          <w:tcPr>
            <w:tcW w:w="776" w:type="dxa"/>
          </w:tcPr>
          <w:p w14:paraId="4BC19E78">
            <w:pPr>
              <w:autoSpaceDE w:val="0"/>
              <w:autoSpaceDN w:val="0"/>
              <w:adjustRightInd w:val="0"/>
              <w:snapToGrid w:val="0"/>
              <w:jc w:val="left"/>
              <w:rPr>
                <w:rFonts w:ascii="宋体" w:hAnsi="宋体"/>
                <w:color w:val="auto"/>
                <w:kern w:val="0"/>
                <w:szCs w:val="21"/>
                <w:highlight w:val="none"/>
              </w:rPr>
            </w:pPr>
          </w:p>
        </w:tc>
        <w:tc>
          <w:tcPr>
            <w:tcW w:w="1167" w:type="dxa"/>
          </w:tcPr>
          <w:p w14:paraId="68FFB4BD">
            <w:pPr>
              <w:autoSpaceDE w:val="0"/>
              <w:autoSpaceDN w:val="0"/>
              <w:adjustRightInd w:val="0"/>
              <w:snapToGrid w:val="0"/>
              <w:jc w:val="left"/>
              <w:rPr>
                <w:rFonts w:ascii="宋体" w:hAnsi="宋体"/>
                <w:color w:val="auto"/>
                <w:kern w:val="0"/>
                <w:szCs w:val="21"/>
                <w:highlight w:val="none"/>
              </w:rPr>
            </w:pPr>
          </w:p>
        </w:tc>
        <w:tc>
          <w:tcPr>
            <w:tcW w:w="776" w:type="dxa"/>
          </w:tcPr>
          <w:p w14:paraId="49188ABA">
            <w:pPr>
              <w:autoSpaceDE w:val="0"/>
              <w:autoSpaceDN w:val="0"/>
              <w:adjustRightInd w:val="0"/>
              <w:snapToGrid w:val="0"/>
              <w:jc w:val="left"/>
              <w:rPr>
                <w:rFonts w:ascii="宋体" w:hAnsi="宋体"/>
                <w:color w:val="auto"/>
                <w:kern w:val="0"/>
                <w:szCs w:val="21"/>
                <w:highlight w:val="none"/>
              </w:rPr>
            </w:pPr>
          </w:p>
        </w:tc>
        <w:tc>
          <w:tcPr>
            <w:tcW w:w="778" w:type="dxa"/>
          </w:tcPr>
          <w:p w14:paraId="40577317">
            <w:pPr>
              <w:autoSpaceDE w:val="0"/>
              <w:autoSpaceDN w:val="0"/>
              <w:adjustRightInd w:val="0"/>
              <w:snapToGrid w:val="0"/>
              <w:jc w:val="left"/>
              <w:rPr>
                <w:rFonts w:ascii="宋体" w:hAnsi="宋体"/>
                <w:color w:val="auto"/>
                <w:kern w:val="0"/>
                <w:szCs w:val="21"/>
                <w:highlight w:val="none"/>
              </w:rPr>
            </w:pPr>
          </w:p>
        </w:tc>
        <w:tc>
          <w:tcPr>
            <w:tcW w:w="776" w:type="dxa"/>
          </w:tcPr>
          <w:p w14:paraId="3E2470E6">
            <w:pPr>
              <w:autoSpaceDE w:val="0"/>
              <w:autoSpaceDN w:val="0"/>
              <w:adjustRightInd w:val="0"/>
              <w:snapToGrid w:val="0"/>
              <w:jc w:val="left"/>
              <w:rPr>
                <w:rFonts w:ascii="宋体" w:hAnsi="宋体"/>
                <w:color w:val="auto"/>
                <w:kern w:val="0"/>
                <w:szCs w:val="21"/>
                <w:highlight w:val="none"/>
              </w:rPr>
            </w:pPr>
          </w:p>
        </w:tc>
        <w:tc>
          <w:tcPr>
            <w:tcW w:w="2723" w:type="dxa"/>
          </w:tcPr>
          <w:p w14:paraId="65E5F3CE">
            <w:pPr>
              <w:autoSpaceDE w:val="0"/>
              <w:autoSpaceDN w:val="0"/>
              <w:adjustRightInd w:val="0"/>
              <w:snapToGrid w:val="0"/>
              <w:jc w:val="left"/>
              <w:rPr>
                <w:rFonts w:ascii="宋体" w:hAnsi="宋体"/>
                <w:color w:val="auto"/>
                <w:kern w:val="0"/>
                <w:szCs w:val="21"/>
                <w:highlight w:val="none"/>
              </w:rPr>
            </w:pPr>
          </w:p>
        </w:tc>
        <w:tc>
          <w:tcPr>
            <w:tcW w:w="896" w:type="dxa"/>
          </w:tcPr>
          <w:p w14:paraId="0ACB5B38">
            <w:pPr>
              <w:autoSpaceDE w:val="0"/>
              <w:autoSpaceDN w:val="0"/>
              <w:adjustRightInd w:val="0"/>
              <w:snapToGrid w:val="0"/>
              <w:jc w:val="left"/>
              <w:rPr>
                <w:rFonts w:ascii="宋体" w:hAnsi="宋体"/>
                <w:color w:val="auto"/>
                <w:kern w:val="0"/>
                <w:szCs w:val="21"/>
                <w:highlight w:val="none"/>
              </w:rPr>
            </w:pPr>
          </w:p>
        </w:tc>
      </w:tr>
      <w:tr w14:paraId="496DF7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2372873">
            <w:pPr>
              <w:autoSpaceDE w:val="0"/>
              <w:autoSpaceDN w:val="0"/>
              <w:adjustRightInd w:val="0"/>
              <w:snapToGrid w:val="0"/>
              <w:jc w:val="left"/>
              <w:rPr>
                <w:rFonts w:ascii="宋体" w:hAnsi="宋体"/>
                <w:color w:val="auto"/>
                <w:kern w:val="0"/>
                <w:szCs w:val="21"/>
                <w:highlight w:val="none"/>
              </w:rPr>
            </w:pPr>
          </w:p>
        </w:tc>
        <w:tc>
          <w:tcPr>
            <w:tcW w:w="734" w:type="dxa"/>
          </w:tcPr>
          <w:p w14:paraId="0F364550">
            <w:pPr>
              <w:autoSpaceDE w:val="0"/>
              <w:autoSpaceDN w:val="0"/>
              <w:adjustRightInd w:val="0"/>
              <w:snapToGrid w:val="0"/>
              <w:jc w:val="left"/>
              <w:rPr>
                <w:rFonts w:ascii="宋体" w:hAnsi="宋体"/>
                <w:color w:val="auto"/>
                <w:kern w:val="0"/>
                <w:szCs w:val="21"/>
                <w:highlight w:val="none"/>
              </w:rPr>
            </w:pPr>
          </w:p>
        </w:tc>
        <w:tc>
          <w:tcPr>
            <w:tcW w:w="776" w:type="dxa"/>
          </w:tcPr>
          <w:p w14:paraId="6F92C88C">
            <w:pPr>
              <w:autoSpaceDE w:val="0"/>
              <w:autoSpaceDN w:val="0"/>
              <w:adjustRightInd w:val="0"/>
              <w:snapToGrid w:val="0"/>
              <w:jc w:val="left"/>
              <w:rPr>
                <w:rFonts w:ascii="宋体" w:hAnsi="宋体"/>
                <w:color w:val="auto"/>
                <w:kern w:val="0"/>
                <w:szCs w:val="21"/>
                <w:highlight w:val="none"/>
              </w:rPr>
            </w:pPr>
          </w:p>
        </w:tc>
        <w:tc>
          <w:tcPr>
            <w:tcW w:w="1167" w:type="dxa"/>
          </w:tcPr>
          <w:p w14:paraId="602E1C5D">
            <w:pPr>
              <w:autoSpaceDE w:val="0"/>
              <w:autoSpaceDN w:val="0"/>
              <w:adjustRightInd w:val="0"/>
              <w:snapToGrid w:val="0"/>
              <w:jc w:val="left"/>
              <w:rPr>
                <w:rFonts w:ascii="宋体" w:hAnsi="宋体"/>
                <w:color w:val="auto"/>
                <w:kern w:val="0"/>
                <w:szCs w:val="21"/>
                <w:highlight w:val="none"/>
              </w:rPr>
            </w:pPr>
          </w:p>
        </w:tc>
        <w:tc>
          <w:tcPr>
            <w:tcW w:w="776" w:type="dxa"/>
          </w:tcPr>
          <w:p w14:paraId="07DC3EA7">
            <w:pPr>
              <w:autoSpaceDE w:val="0"/>
              <w:autoSpaceDN w:val="0"/>
              <w:adjustRightInd w:val="0"/>
              <w:snapToGrid w:val="0"/>
              <w:jc w:val="left"/>
              <w:rPr>
                <w:rFonts w:ascii="宋体" w:hAnsi="宋体"/>
                <w:color w:val="auto"/>
                <w:kern w:val="0"/>
                <w:szCs w:val="21"/>
                <w:highlight w:val="none"/>
              </w:rPr>
            </w:pPr>
          </w:p>
        </w:tc>
        <w:tc>
          <w:tcPr>
            <w:tcW w:w="778" w:type="dxa"/>
          </w:tcPr>
          <w:p w14:paraId="57218DCC">
            <w:pPr>
              <w:autoSpaceDE w:val="0"/>
              <w:autoSpaceDN w:val="0"/>
              <w:adjustRightInd w:val="0"/>
              <w:snapToGrid w:val="0"/>
              <w:jc w:val="left"/>
              <w:rPr>
                <w:rFonts w:ascii="宋体" w:hAnsi="宋体"/>
                <w:color w:val="auto"/>
                <w:kern w:val="0"/>
                <w:szCs w:val="21"/>
                <w:highlight w:val="none"/>
              </w:rPr>
            </w:pPr>
          </w:p>
        </w:tc>
        <w:tc>
          <w:tcPr>
            <w:tcW w:w="776" w:type="dxa"/>
          </w:tcPr>
          <w:p w14:paraId="3DEDF160">
            <w:pPr>
              <w:autoSpaceDE w:val="0"/>
              <w:autoSpaceDN w:val="0"/>
              <w:adjustRightInd w:val="0"/>
              <w:snapToGrid w:val="0"/>
              <w:jc w:val="left"/>
              <w:rPr>
                <w:rFonts w:ascii="宋体" w:hAnsi="宋体"/>
                <w:color w:val="auto"/>
                <w:kern w:val="0"/>
                <w:szCs w:val="21"/>
                <w:highlight w:val="none"/>
              </w:rPr>
            </w:pPr>
          </w:p>
        </w:tc>
        <w:tc>
          <w:tcPr>
            <w:tcW w:w="2723" w:type="dxa"/>
          </w:tcPr>
          <w:p w14:paraId="5B4D8515">
            <w:pPr>
              <w:autoSpaceDE w:val="0"/>
              <w:autoSpaceDN w:val="0"/>
              <w:adjustRightInd w:val="0"/>
              <w:snapToGrid w:val="0"/>
              <w:jc w:val="left"/>
              <w:rPr>
                <w:rFonts w:ascii="宋体" w:hAnsi="宋体"/>
                <w:color w:val="auto"/>
                <w:kern w:val="0"/>
                <w:szCs w:val="21"/>
                <w:highlight w:val="none"/>
              </w:rPr>
            </w:pPr>
          </w:p>
        </w:tc>
        <w:tc>
          <w:tcPr>
            <w:tcW w:w="896" w:type="dxa"/>
          </w:tcPr>
          <w:p w14:paraId="12EEDE05">
            <w:pPr>
              <w:autoSpaceDE w:val="0"/>
              <w:autoSpaceDN w:val="0"/>
              <w:adjustRightInd w:val="0"/>
              <w:snapToGrid w:val="0"/>
              <w:jc w:val="left"/>
              <w:rPr>
                <w:rFonts w:ascii="宋体" w:hAnsi="宋体"/>
                <w:color w:val="auto"/>
                <w:kern w:val="0"/>
                <w:szCs w:val="21"/>
                <w:highlight w:val="none"/>
              </w:rPr>
            </w:pPr>
          </w:p>
        </w:tc>
      </w:tr>
      <w:tr w14:paraId="23FFE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FFD7AF6">
            <w:pPr>
              <w:autoSpaceDE w:val="0"/>
              <w:autoSpaceDN w:val="0"/>
              <w:adjustRightInd w:val="0"/>
              <w:snapToGrid w:val="0"/>
              <w:jc w:val="left"/>
              <w:rPr>
                <w:rFonts w:ascii="宋体" w:hAnsi="宋体"/>
                <w:color w:val="auto"/>
                <w:kern w:val="0"/>
                <w:szCs w:val="21"/>
                <w:highlight w:val="none"/>
              </w:rPr>
            </w:pPr>
          </w:p>
        </w:tc>
        <w:tc>
          <w:tcPr>
            <w:tcW w:w="734" w:type="dxa"/>
          </w:tcPr>
          <w:p w14:paraId="5207349E">
            <w:pPr>
              <w:autoSpaceDE w:val="0"/>
              <w:autoSpaceDN w:val="0"/>
              <w:adjustRightInd w:val="0"/>
              <w:snapToGrid w:val="0"/>
              <w:jc w:val="left"/>
              <w:rPr>
                <w:rFonts w:ascii="宋体" w:hAnsi="宋体"/>
                <w:color w:val="auto"/>
                <w:kern w:val="0"/>
                <w:szCs w:val="21"/>
                <w:highlight w:val="none"/>
              </w:rPr>
            </w:pPr>
          </w:p>
        </w:tc>
        <w:tc>
          <w:tcPr>
            <w:tcW w:w="776" w:type="dxa"/>
          </w:tcPr>
          <w:p w14:paraId="789D0388">
            <w:pPr>
              <w:autoSpaceDE w:val="0"/>
              <w:autoSpaceDN w:val="0"/>
              <w:adjustRightInd w:val="0"/>
              <w:snapToGrid w:val="0"/>
              <w:jc w:val="left"/>
              <w:rPr>
                <w:rFonts w:ascii="宋体" w:hAnsi="宋体"/>
                <w:color w:val="auto"/>
                <w:kern w:val="0"/>
                <w:szCs w:val="21"/>
                <w:highlight w:val="none"/>
              </w:rPr>
            </w:pPr>
          </w:p>
        </w:tc>
        <w:tc>
          <w:tcPr>
            <w:tcW w:w="1167" w:type="dxa"/>
          </w:tcPr>
          <w:p w14:paraId="22CAB27F">
            <w:pPr>
              <w:autoSpaceDE w:val="0"/>
              <w:autoSpaceDN w:val="0"/>
              <w:adjustRightInd w:val="0"/>
              <w:snapToGrid w:val="0"/>
              <w:jc w:val="left"/>
              <w:rPr>
                <w:rFonts w:ascii="宋体" w:hAnsi="宋体"/>
                <w:color w:val="auto"/>
                <w:kern w:val="0"/>
                <w:szCs w:val="21"/>
                <w:highlight w:val="none"/>
              </w:rPr>
            </w:pPr>
          </w:p>
        </w:tc>
        <w:tc>
          <w:tcPr>
            <w:tcW w:w="776" w:type="dxa"/>
          </w:tcPr>
          <w:p w14:paraId="3701C622">
            <w:pPr>
              <w:autoSpaceDE w:val="0"/>
              <w:autoSpaceDN w:val="0"/>
              <w:adjustRightInd w:val="0"/>
              <w:snapToGrid w:val="0"/>
              <w:jc w:val="left"/>
              <w:rPr>
                <w:rFonts w:ascii="宋体" w:hAnsi="宋体"/>
                <w:color w:val="auto"/>
                <w:kern w:val="0"/>
                <w:szCs w:val="21"/>
                <w:highlight w:val="none"/>
              </w:rPr>
            </w:pPr>
          </w:p>
        </w:tc>
        <w:tc>
          <w:tcPr>
            <w:tcW w:w="778" w:type="dxa"/>
          </w:tcPr>
          <w:p w14:paraId="097AE3C9">
            <w:pPr>
              <w:autoSpaceDE w:val="0"/>
              <w:autoSpaceDN w:val="0"/>
              <w:adjustRightInd w:val="0"/>
              <w:snapToGrid w:val="0"/>
              <w:jc w:val="left"/>
              <w:rPr>
                <w:rFonts w:ascii="宋体" w:hAnsi="宋体"/>
                <w:color w:val="auto"/>
                <w:kern w:val="0"/>
                <w:szCs w:val="21"/>
                <w:highlight w:val="none"/>
              </w:rPr>
            </w:pPr>
          </w:p>
        </w:tc>
        <w:tc>
          <w:tcPr>
            <w:tcW w:w="776" w:type="dxa"/>
          </w:tcPr>
          <w:p w14:paraId="44529CB1">
            <w:pPr>
              <w:autoSpaceDE w:val="0"/>
              <w:autoSpaceDN w:val="0"/>
              <w:adjustRightInd w:val="0"/>
              <w:snapToGrid w:val="0"/>
              <w:jc w:val="left"/>
              <w:rPr>
                <w:rFonts w:ascii="宋体" w:hAnsi="宋体"/>
                <w:color w:val="auto"/>
                <w:kern w:val="0"/>
                <w:szCs w:val="21"/>
                <w:highlight w:val="none"/>
              </w:rPr>
            </w:pPr>
          </w:p>
        </w:tc>
        <w:tc>
          <w:tcPr>
            <w:tcW w:w="2723" w:type="dxa"/>
          </w:tcPr>
          <w:p w14:paraId="79EF744B">
            <w:pPr>
              <w:autoSpaceDE w:val="0"/>
              <w:autoSpaceDN w:val="0"/>
              <w:adjustRightInd w:val="0"/>
              <w:snapToGrid w:val="0"/>
              <w:jc w:val="left"/>
              <w:rPr>
                <w:rFonts w:ascii="宋体" w:hAnsi="宋体"/>
                <w:color w:val="auto"/>
                <w:kern w:val="0"/>
                <w:szCs w:val="21"/>
                <w:highlight w:val="none"/>
              </w:rPr>
            </w:pPr>
          </w:p>
        </w:tc>
        <w:tc>
          <w:tcPr>
            <w:tcW w:w="896" w:type="dxa"/>
          </w:tcPr>
          <w:p w14:paraId="7E9F1674">
            <w:pPr>
              <w:autoSpaceDE w:val="0"/>
              <w:autoSpaceDN w:val="0"/>
              <w:adjustRightInd w:val="0"/>
              <w:snapToGrid w:val="0"/>
              <w:jc w:val="left"/>
              <w:rPr>
                <w:rFonts w:ascii="宋体" w:hAnsi="宋体"/>
                <w:color w:val="auto"/>
                <w:kern w:val="0"/>
                <w:szCs w:val="21"/>
                <w:highlight w:val="none"/>
              </w:rPr>
            </w:pPr>
          </w:p>
        </w:tc>
      </w:tr>
    </w:tbl>
    <w:p w14:paraId="51181142">
      <w:pPr>
        <w:spacing w:line="20" w:lineRule="exact"/>
        <w:jc w:val="center"/>
        <w:rPr>
          <w:rFonts w:ascii="宋体" w:hAnsi="宋体"/>
          <w:color w:val="auto"/>
          <w:szCs w:val="21"/>
          <w:highlight w:val="none"/>
        </w:rPr>
      </w:pPr>
    </w:p>
    <w:p w14:paraId="51B40F7F">
      <w:pPr>
        <w:spacing w:line="360" w:lineRule="auto"/>
        <w:jc w:val="center"/>
        <w:rPr>
          <w:rFonts w:ascii="宋体" w:hAnsi="宋体"/>
          <w:color w:val="auto"/>
          <w:sz w:val="32"/>
          <w:szCs w:val="32"/>
          <w:highlight w:val="none"/>
        </w:rPr>
      </w:pPr>
      <w:r>
        <w:rPr>
          <w:rFonts w:ascii="宋体" w:hAnsi="宋体"/>
          <w:color w:val="auto"/>
          <w:sz w:val="32"/>
          <w:szCs w:val="32"/>
          <w:highlight w:val="none"/>
        </w:rPr>
        <w:br w:type="page"/>
      </w:r>
      <w:r>
        <w:rPr>
          <w:rFonts w:hint="eastAsia" w:ascii="宋体" w:hAnsi="宋体"/>
          <w:color w:val="auto"/>
          <w:sz w:val="32"/>
          <w:szCs w:val="32"/>
          <w:highlight w:val="none"/>
        </w:rPr>
        <w:t>简历表</w:t>
      </w:r>
    </w:p>
    <w:tbl>
      <w:tblPr>
        <w:tblStyle w:val="48"/>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AB826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1A346771">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37CE8D16">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154AE33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6083089D">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32F12BB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058413CD">
            <w:pPr>
              <w:autoSpaceDE w:val="0"/>
              <w:autoSpaceDN w:val="0"/>
              <w:adjustRightInd w:val="0"/>
              <w:snapToGrid w:val="0"/>
              <w:jc w:val="center"/>
              <w:rPr>
                <w:rFonts w:ascii="宋体" w:hAnsi="宋体"/>
                <w:color w:val="auto"/>
                <w:kern w:val="0"/>
                <w:szCs w:val="21"/>
                <w:highlight w:val="none"/>
              </w:rPr>
            </w:pPr>
          </w:p>
        </w:tc>
      </w:tr>
      <w:tr w14:paraId="35ACE9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B7D4F76">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24C5FA39">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11323F8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57260D03">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5AFACA3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54417692">
            <w:pPr>
              <w:autoSpaceDE w:val="0"/>
              <w:autoSpaceDN w:val="0"/>
              <w:adjustRightInd w:val="0"/>
              <w:snapToGrid w:val="0"/>
              <w:jc w:val="center"/>
              <w:rPr>
                <w:rFonts w:ascii="宋体" w:hAnsi="宋体"/>
                <w:color w:val="auto"/>
                <w:kern w:val="0"/>
                <w:szCs w:val="21"/>
                <w:highlight w:val="none"/>
              </w:rPr>
            </w:pPr>
          </w:p>
        </w:tc>
      </w:tr>
      <w:tr w14:paraId="1C4119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662721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7255C7F7">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06CE7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352530C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D4BF5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633B2AA">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74E6399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7169EF9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0B10EE0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72C6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70CEEF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4C1EF3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DEFF15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CDD878A">
            <w:pPr>
              <w:autoSpaceDE w:val="0"/>
              <w:autoSpaceDN w:val="0"/>
              <w:adjustRightInd w:val="0"/>
              <w:snapToGrid w:val="0"/>
              <w:jc w:val="center"/>
              <w:rPr>
                <w:rFonts w:ascii="宋体" w:hAnsi="宋体"/>
                <w:color w:val="auto"/>
                <w:kern w:val="0"/>
                <w:szCs w:val="21"/>
                <w:highlight w:val="none"/>
              </w:rPr>
            </w:pPr>
          </w:p>
        </w:tc>
      </w:tr>
      <w:tr w14:paraId="113194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2619B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A393BE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546778F">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C7C8459">
            <w:pPr>
              <w:autoSpaceDE w:val="0"/>
              <w:autoSpaceDN w:val="0"/>
              <w:adjustRightInd w:val="0"/>
              <w:snapToGrid w:val="0"/>
              <w:jc w:val="center"/>
              <w:rPr>
                <w:rFonts w:ascii="宋体" w:hAnsi="宋体"/>
                <w:color w:val="auto"/>
                <w:kern w:val="0"/>
                <w:szCs w:val="21"/>
                <w:highlight w:val="none"/>
              </w:rPr>
            </w:pPr>
          </w:p>
        </w:tc>
      </w:tr>
      <w:tr w14:paraId="1DE311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6D71EB3">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2BB02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95A30F7">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EE0BC6A">
            <w:pPr>
              <w:autoSpaceDE w:val="0"/>
              <w:autoSpaceDN w:val="0"/>
              <w:adjustRightInd w:val="0"/>
              <w:snapToGrid w:val="0"/>
              <w:jc w:val="center"/>
              <w:rPr>
                <w:rFonts w:ascii="宋体" w:hAnsi="宋体"/>
                <w:color w:val="auto"/>
                <w:kern w:val="0"/>
                <w:szCs w:val="21"/>
                <w:highlight w:val="none"/>
              </w:rPr>
            </w:pPr>
          </w:p>
        </w:tc>
      </w:tr>
      <w:tr w14:paraId="07FF73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A3631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AD9273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9BF90A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FD5108">
            <w:pPr>
              <w:autoSpaceDE w:val="0"/>
              <w:autoSpaceDN w:val="0"/>
              <w:adjustRightInd w:val="0"/>
              <w:snapToGrid w:val="0"/>
              <w:jc w:val="center"/>
              <w:rPr>
                <w:rFonts w:ascii="宋体" w:hAnsi="宋体"/>
                <w:color w:val="auto"/>
                <w:kern w:val="0"/>
                <w:szCs w:val="21"/>
                <w:highlight w:val="none"/>
              </w:rPr>
            </w:pPr>
          </w:p>
        </w:tc>
      </w:tr>
      <w:tr w14:paraId="64E24C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B50F2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041802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BAF124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CDE6BC6">
            <w:pPr>
              <w:autoSpaceDE w:val="0"/>
              <w:autoSpaceDN w:val="0"/>
              <w:adjustRightInd w:val="0"/>
              <w:snapToGrid w:val="0"/>
              <w:jc w:val="center"/>
              <w:rPr>
                <w:rFonts w:ascii="宋体" w:hAnsi="宋体"/>
                <w:color w:val="auto"/>
                <w:kern w:val="0"/>
                <w:szCs w:val="21"/>
                <w:highlight w:val="none"/>
              </w:rPr>
            </w:pPr>
          </w:p>
        </w:tc>
      </w:tr>
      <w:tr w14:paraId="322F89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84CD73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620130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E5E574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24FA41F">
            <w:pPr>
              <w:autoSpaceDE w:val="0"/>
              <w:autoSpaceDN w:val="0"/>
              <w:adjustRightInd w:val="0"/>
              <w:snapToGrid w:val="0"/>
              <w:jc w:val="center"/>
              <w:rPr>
                <w:rFonts w:ascii="宋体" w:hAnsi="宋体"/>
                <w:color w:val="auto"/>
                <w:kern w:val="0"/>
                <w:szCs w:val="21"/>
                <w:highlight w:val="none"/>
              </w:rPr>
            </w:pPr>
          </w:p>
        </w:tc>
      </w:tr>
      <w:tr w14:paraId="32549E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9AB81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B63AFC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1AD84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6226D39">
            <w:pPr>
              <w:autoSpaceDE w:val="0"/>
              <w:autoSpaceDN w:val="0"/>
              <w:adjustRightInd w:val="0"/>
              <w:snapToGrid w:val="0"/>
              <w:jc w:val="center"/>
              <w:rPr>
                <w:rFonts w:ascii="宋体" w:hAnsi="宋体"/>
                <w:color w:val="auto"/>
                <w:kern w:val="0"/>
                <w:szCs w:val="21"/>
                <w:highlight w:val="none"/>
              </w:rPr>
            </w:pPr>
          </w:p>
        </w:tc>
      </w:tr>
      <w:tr w14:paraId="53CE3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DA1FF2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FF245B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2751CA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F8A0792">
            <w:pPr>
              <w:autoSpaceDE w:val="0"/>
              <w:autoSpaceDN w:val="0"/>
              <w:adjustRightInd w:val="0"/>
              <w:snapToGrid w:val="0"/>
              <w:jc w:val="center"/>
              <w:rPr>
                <w:rFonts w:ascii="宋体" w:hAnsi="宋体"/>
                <w:color w:val="auto"/>
                <w:kern w:val="0"/>
                <w:szCs w:val="21"/>
                <w:highlight w:val="none"/>
              </w:rPr>
            </w:pPr>
          </w:p>
        </w:tc>
      </w:tr>
      <w:tr w14:paraId="3BBBC1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CFE2E3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FBF779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1304C0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578489B">
            <w:pPr>
              <w:autoSpaceDE w:val="0"/>
              <w:autoSpaceDN w:val="0"/>
              <w:adjustRightInd w:val="0"/>
              <w:snapToGrid w:val="0"/>
              <w:jc w:val="center"/>
              <w:rPr>
                <w:rFonts w:ascii="宋体" w:hAnsi="宋体"/>
                <w:color w:val="auto"/>
                <w:kern w:val="0"/>
                <w:szCs w:val="21"/>
                <w:highlight w:val="none"/>
              </w:rPr>
            </w:pPr>
          </w:p>
        </w:tc>
      </w:tr>
      <w:tr w14:paraId="6CCB76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250695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47A2BF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331323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25D1862">
            <w:pPr>
              <w:autoSpaceDE w:val="0"/>
              <w:autoSpaceDN w:val="0"/>
              <w:adjustRightInd w:val="0"/>
              <w:snapToGrid w:val="0"/>
              <w:jc w:val="center"/>
              <w:rPr>
                <w:rFonts w:ascii="宋体" w:hAnsi="宋体"/>
                <w:color w:val="auto"/>
                <w:kern w:val="0"/>
                <w:szCs w:val="21"/>
                <w:highlight w:val="none"/>
              </w:rPr>
            </w:pPr>
          </w:p>
        </w:tc>
      </w:tr>
      <w:tr w14:paraId="7106E9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B7DAC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BE8101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430355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7D8B64">
            <w:pPr>
              <w:autoSpaceDE w:val="0"/>
              <w:autoSpaceDN w:val="0"/>
              <w:adjustRightInd w:val="0"/>
              <w:snapToGrid w:val="0"/>
              <w:jc w:val="center"/>
              <w:rPr>
                <w:rFonts w:ascii="宋体" w:hAnsi="宋体"/>
                <w:color w:val="auto"/>
                <w:kern w:val="0"/>
                <w:szCs w:val="21"/>
                <w:highlight w:val="none"/>
              </w:rPr>
            </w:pPr>
          </w:p>
        </w:tc>
      </w:tr>
      <w:tr w14:paraId="640CE7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D4B68B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CDB4FE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EAF452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8CE313C">
            <w:pPr>
              <w:autoSpaceDE w:val="0"/>
              <w:autoSpaceDN w:val="0"/>
              <w:adjustRightInd w:val="0"/>
              <w:snapToGrid w:val="0"/>
              <w:jc w:val="center"/>
              <w:rPr>
                <w:rFonts w:ascii="宋体" w:hAnsi="宋体"/>
                <w:color w:val="auto"/>
                <w:kern w:val="0"/>
                <w:szCs w:val="21"/>
                <w:highlight w:val="none"/>
              </w:rPr>
            </w:pPr>
          </w:p>
        </w:tc>
      </w:tr>
      <w:tr w14:paraId="3A82C2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8B4549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8F692B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F6E71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B8B313D">
            <w:pPr>
              <w:autoSpaceDE w:val="0"/>
              <w:autoSpaceDN w:val="0"/>
              <w:adjustRightInd w:val="0"/>
              <w:snapToGrid w:val="0"/>
              <w:jc w:val="center"/>
              <w:rPr>
                <w:rFonts w:ascii="宋体" w:hAnsi="宋体"/>
                <w:color w:val="auto"/>
                <w:kern w:val="0"/>
                <w:szCs w:val="21"/>
                <w:highlight w:val="none"/>
              </w:rPr>
            </w:pPr>
          </w:p>
        </w:tc>
      </w:tr>
    </w:tbl>
    <w:p w14:paraId="00FFF473">
      <w:pPr>
        <w:spacing w:line="360" w:lineRule="auto"/>
        <w:rPr>
          <w:rFonts w:ascii="宋体" w:hAnsi="宋体"/>
          <w:color w:val="auto"/>
          <w:highlight w:val="none"/>
        </w:rPr>
      </w:pPr>
    </w:p>
    <w:p w14:paraId="2B4EFB94">
      <w:pPr>
        <w:pStyle w:val="4"/>
        <w:spacing w:before="0" w:line="240" w:lineRule="auto"/>
        <w:rPr>
          <w:rFonts w:ascii="宋体" w:hAnsi="宋体"/>
          <w:b w:val="0"/>
          <w:color w:val="auto"/>
          <w:highlight w:val="none"/>
        </w:rPr>
      </w:pPr>
      <w:bookmarkStart w:id="370" w:name="_Toc277082661"/>
      <w:bookmarkStart w:id="371" w:name="_Toc287620835"/>
      <w:bookmarkStart w:id="372" w:name="_Toc224103516"/>
      <w:bookmarkStart w:id="373" w:name="_Toc430530551"/>
      <w:bookmarkStart w:id="374" w:name="_Toc287607889"/>
      <w:r>
        <w:rPr>
          <w:rFonts w:ascii="宋体" w:hAnsi="宋体"/>
          <w:color w:val="auto"/>
          <w:highlight w:val="none"/>
        </w:rPr>
        <w:br w:type="page"/>
      </w:r>
      <w:bookmarkEnd w:id="370"/>
      <w:bookmarkEnd w:id="371"/>
      <w:bookmarkEnd w:id="372"/>
      <w:bookmarkEnd w:id="373"/>
      <w:bookmarkEnd w:id="374"/>
    </w:p>
    <w:p w14:paraId="0D724E6E">
      <w:pPr>
        <w:pStyle w:val="4"/>
        <w:spacing w:before="0" w:after="0" w:line="360" w:lineRule="auto"/>
        <w:jc w:val="center"/>
        <w:rPr>
          <w:rFonts w:ascii="宋体" w:hAnsi="宋体"/>
          <w:b w:val="0"/>
          <w:color w:val="auto"/>
          <w:highlight w:val="none"/>
        </w:rPr>
      </w:pPr>
      <w:bookmarkStart w:id="375" w:name="_Toc287620839"/>
      <w:bookmarkStart w:id="376" w:name="_Toc287607893"/>
      <w:bookmarkStart w:id="377" w:name="_Toc430530552"/>
      <w:bookmarkStart w:id="378" w:name="_Toc277082663"/>
      <w:bookmarkStart w:id="379" w:name="_Toc224103520"/>
      <w:bookmarkStart w:id="380" w:name="_Toc20080"/>
      <w:bookmarkStart w:id="381" w:name="_Toc534185843"/>
      <w:bookmarkStart w:id="382" w:name="_Toc509218866"/>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375"/>
      <w:bookmarkEnd w:id="376"/>
      <w:bookmarkEnd w:id="377"/>
      <w:bookmarkEnd w:id="378"/>
      <w:bookmarkEnd w:id="379"/>
      <w:r>
        <w:rPr>
          <w:rFonts w:hint="eastAsia" w:ascii="宋体" w:hAnsi="宋体"/>
          <w:b w:val="0"/>
          <w:color w:val="auto"/>
          <w:highlight w:val="none"/>
        </w:rPr>
        <w:t>承诺</w:t>
      </w:r>
      <w:bookmarkEnd w:id="380"/>
    </w:p>
    <w:bookmarkEnd w:id="381"/>
    <w:bookmarkEnd w:id="382"/>
    <w:p w14:paraId="31B4B6D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5DE52A8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72CC8D36">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4D6F1B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17C7260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383F965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61481CC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65BDAAA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2、项目负责人、</w:t>
      </w:r>
      <w:r>
        <w:rPr>
          <w:rFonts w:hint="eastAsia" w:ascii="宋体" w:hAnsi="宋体"/>
          <w:color w:val="auto"/>
          <w:szCs w:val="21"/>
          <w:highlight w:val="none"/>
          <w:lang w:val="en-US" w:eastAsia="zh-CN"/>
        </w:rPr>
        <w:t>服务</w:t>
      </w:r>
      <w:r>
        <w:rPr>
          <w:rFonts w:hint="eastAsia"/>
          <w:color w:val="auto"/>
          <w:highlight w:val="none"/>
        </w:rPr>
        <w:t>团队其他主要人员</w:t>
      </w:r>
    </w:p>
    <w:p w14:paraId="0B101BF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2.1我公司承诺拟派项目负责人履职和未被禁止参与投标。</w:t>
      </w:r>
    </w:p>
    <w:p w14:paraId="61954DF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拟派项目负责人中标后在本项目履职，签订合同时拟派的项目负责人与投标文件中的项目负责人一致，并满足办理相关手续的要求。不能按承诺履职的，按合同相关条款处罚并上报行政主管部门，给贵单位造成损失的，我公司依法承担违约赔偿责任。拟派项目负责人中标后不得随意更换。</w:t>
      </w:r>
    </w:p>
    <w:p w14:paraId="75E83B1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拟派项目负责人未被重庆市市级有关行业主管部门暂停在渝承揽新业务。若被暂停在渝承揽新业务但仍参加投标，将被否决投标；已取得中标候选人资格或中标资格的，贵单位有权取消其中标候选人资格或中标资格；给贵单位造成损失的，我公司依法承担赔偿责任或违约责任。</w:t>
      </w:r>
    </w:p>
    <w:p w14:paraId="0087EF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我公司若中标，在签订合同之前，根据项目实际情况组建项目服务团队，明确服务团队的职责、岗位设置、人员配备。专业技术人员应持有行业行政主管部门要求的注册证书或职称证书，并提供竞标人为其缴纳的养老保险证明材料。中标后不能满足该要求的，取消其中标资格；签订合同后不满足该要求的，按合同相关条款处罚并上报行政主管部门；给贵单位造成损失的，我公司依法承担违约赔偿责任。</w:t>
      </w:r>
    </w:p>
    <w:p w14:paraId="0B16508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3、我公司在资格审查部分及商务部分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3E066E8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4、我公司不存在</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1.4.3 项规定的任何一种情形。</w:t>
      </w:r>
    </w:p>
    <w:p w14:paraId="57221C3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1.4.1 项的规定。</w:t>
      </w:r>
    </w:p>
    <w:p w14:paraId="5EB981C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文件第四章 合同条款及格式规定，投标文件中没有贵单位不能接受的条件。</w:t>
      </w:r>
    </w:p>
    <w:p w14:paraId="69344C6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文件第五章“发包人要求”</w:t>
      </w:r>
      <w:r>
        <w:rPr>
          <w:rFonts w:hint="eastAsia" w:ascii="宋体" w:hAnsi="宋体" w:cs="宋体"/>
          <w:color w:val="auto"/>
          <w:kern w:val="0"/>
          <w:highlight w:val="none"/>
        </w:rPr>
        <w:t>中的实质性要求和条件</w:t>
      </w:r>
      <w:r>
        <w:rPr>
          <w:rFonts w:hint="eastAsia" w:ascii="宋体" w:hAnsi="宋体"/>
          <w:color w:val="auto"/>
          <w:szCs w:val="21"/>
          <w:highlight w:val="none"/>
        </w:rPr>
        <w:t>。</w:t>
      </w:r>
    </w:p>
    <w:p w14:paraId="6C9CAFDB">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p w14:paraId="639568A9">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ACB4F40">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B2170D2">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10D672CE">
      <w:pPr>
        <w:rPr>
          <w:color w:val="auto"/>
          <w:highlight w:val="none"/>
        </w:rPr>
      </w:pPr>
      <w:r>
        <w:rPr>
          <w:color w:val="auto"/>
          <w:highlight w:val="none"/>
        </w:rPr>
        <w:br w:type="page"/>
      </w:r>
    </w:p>
    <w:p w14:paraId="7CD0A1D9">
      <w:pPr>
        <w:pStyle w:val="4"/>
        <w:spacing w:before="0" w:line="360" w:lineRule="auto"/>
        <w:jc w:val="center"/>
        <w:rPr>
          <w:rFonts w:ascii="宋体" w:hAnsi="宋体"/>
          <w:b w:val="0"/>
          <w:color w:val="auto"/>
          <w:highlight w:val="none"/>
        </w:rPr>
      </w:pPr>
      <w:bookmarkStart w:id="383" w:name="_Toc12573"/>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383"/>
    </w:p>
    <w:p w14:paraId="7A5B9D75">
      <w:pPr>
        <w:rPr>
          <w:rFonts w:ascii="宋体" w:hAnsi="宋体"/>
          <w:b/>
          <w:color w:val="auto"/>
          <w:highlight w:val="none"/>
        </w:rPr>
      </w:pPr>
    </w:p>
    <w:p w14:paraId="78B0AFA7">
      <w:pPr>
        <w:pStyle w:val="18"/>
        <w:rPr>
          <w:rFonts w:ascii="宋体" w:hAnsi="宋体"/>
          <w:b/>
          <w:color w:val="auto"/>
          <w:highlight w:val="none"/>
        </w:rPr>
      </w:pPr>
    </w:p>
    <w:p w14:paraId="20DBCE6B">
      <w:pPr>
        <w:rPr>
          <w:rFonts w:ascii="宋体" w:hAnsi="宋体"/>
          <w:b/>
          <w:color w:val="auto"/>
          <w:highlight w:val="none"/>
        </w:rPr>
      </w:pPr>
    </w:p>
    <w:p w14:paraId="28225F3F">
      <w:pPr>
        <w:rPr>
          <w:rFonts w:ascii="宋体" w:hAnsi="宋体"/>
          <w:b/>
          <w:color w:val="auto"/>
          <w:highlight w:val="none"/>
        </w:rPr>
      </w:pPr>
    </w:p>
    <w:p w14:paraId="572900A5">
      <w:pPr>
        <w:rPr>
          <w:rFonts w:hint="eastAsia"/>
          <w:color w:val="auto"/>
          <w:highlight w:val="none"/>
          <w:lang w:val="en-US" w:eastAsia="zh-CN"/>
        </w:rPr>
      </w:pPr>
      <w:r>
        <w:rPr>
          <w:rFonts w:hint="eastAsia"/>
          <w:color w:val="auto"/>
          <w:highlight w:val="none"/>
          <w:lang w:val="en-US" w:eastAsia="zh-CN"/>
        </w:rPr>
        <w:br w:type="page"/>
      </w:r>
    </w:p>
    <w:p w14:paraId="7EB4B232">
      <w:pPr>
        <w:jc w:val="left"/>
        <w:rPr>
          <w:rFonts w:hint="eastAsia"/>
          <w:color w:val="auto"/>
          <w:highlight w:val="none"/>
          <w:lang w:val="en-US" w:eastAsia="zh-CN"/>
        </w:rPr>
      </w:pPr>
      <w:r>
        <w:rPr>
          <w:rFonts w:hint="eastAsia"/>
          <w:color w:val="auto"/>
          <w:highlight w:val="none"/>
          <w:lang w:val="en-US" w:eastAsia="zh-CN"/>
        </w:rPr>
        <w:t>附：</w:t>
      </w:r>
    </w:p>
    <w:p w14:paraId="0A38A0F5">
      <w:pPr>
        <w:jc w:val="center"/>
        <w:rPr>
          <w:rFonts w:hint="eastAsia" w:eastAsia="黑体"/>
          <w:b/>
          <w:bCs/>
          <w:color w:val="auto"/>
          <w:sz w:val="44"/>
          <w:szCs w:val="44"/>
          <w:highlight w:val="none"/>
          <w:lang w:val="en-US" w:eastAsia="zh-CN"/>
        </w:rPr>
      </w:pPr>
      <w:r>
        <w:rPr>
          <w:rFonts w:hint="eastAsia" w:eastAsia="黑体"/>
          <w:b/>
          <w:bCs/>
          <w:color w:val="auto"/>
          <w:sz w:val="44"/>
          <w:szCs w:val="44"/>
          <w:highlight w:val="none"/>
          <w:lang w:val="en-US" w:eastAsia="zh-CN"/>
        </w:rPr>
        <w:t>比选文件发售登记表</w:t>
      </w:r>
    </w:p>
    <w:p w14:paraId="7B126FA8">
      <w:pPr>
        <w:pStyle w:val="18"/>
        <w:rPr>
          <w:color w:val="auto"/>
          <w:highlight w:val="none"/>
        </w:rPr>
      </w:pPr>
    </w:p>
    <w:tbl>
      <w:tblPr>
        <w:tblStyle w:val="4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030"/>
        <w:gridCol w:w="1015"/>
        <w:gridCol w:w="3476"/>
      </w:tblGrid>
      <w:tr w14:paraId="2FD5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39" w:type="dxa"/>
            <w:vAlign w:val="center"/>
          </w:tcPr>
          <w:p w14:paraId="61A27D72">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报名时间</w:t>
            </w:r>
          </w:p>
        </w:tc>
        <w:tc>
          <w:tcPr>
            <w:tcW w:w="6521" w:type="dxa"/>
            <w:gridSpan w:val="3"/>
            <w:vAlign w:val="center"/>
          </w:tcPr>
          <w:p w14:paraId="5AC96AFE">
            <w:pPr>
              <w:jc w:val="center"/>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年    月    日</w:t>
            </w:r>
          </w:p>
        </w:tc>
      </w:tr>
      <w:tr w14:paraId="21EA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139" w:type="dxa"/>
            <w:vAlign w:val="center"/>
          </w:tcPr>
          <w:p w14:paraId="7ECA316B">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项目名称</w:t>
            </w:r>
          </w:p>
        </w:tc>
        <w:tc>
          <w:tcPr>
            <w:tcW w:w="6521" w:type="dxa"/>
            <w:gridSpan w:val="3"/>
            <w:vAlign w:val="center"/>
          </w:tcPr>
          <w:p w14:paraId="346637C0">
            <w:pPr>
              <w:jc w:val="center"/>
              <w:rPr>
                <w:rFonts w:ascii="宋体" w:hAnsi="宋体" w:eastAsia="宋体"/>
                <w:color w:val="auto"/>
                <w:sz w:val="28"/>
                <w:szCs w:val="28"/>
                <w:highlight w:val="none"/>
              </w:rPr>
            </w:pPr>
          </w:p>
        </w:tc>
      </w:tr>
      <w:tr w14:paraId="1421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139" w:type="dxa"/>
            <w:vAlign w:val="center"/>
          </w:tcPr>
          <w:p w14:paraId="0D4B6FBB">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单位名称</w:t>
            </w:r>
          </w:p>
        </w:tc>
        <w:tc>
          <w:tcPr>
            <w:tcW w:w="6521" w:type="dxa"/>
            <w:gridSpan w:val="3"/>
            <w:vAlign w:val="bottom"/>
          </w:tcPr>
          <w:p w14:paraId="68CFF09A">
            <w:pPr>
              <w:jc w:val="right"/>
              <w:rPr>
                <w:rFonts w:ascii="宋体" w:hAnsi="宋体" w:eastAsia="宋体"/>
                <w:color w:val="auto"/>
                <w:sz w:val="28"/>
                <w:szCs w:val="28"/>
                <w:highlight w:val="none"/>
              </w:rPr>
            </w:pPr>
            <w:r>
              <w:rPr>
                <w:rFonts w:hint="eastAsia" w:ascii="宋体" w:hAnsi="宋体" w:eastAsia="宋体"/>
                <w:color w:val="auto"/>
                <w:sz w:val="28"/>
                <w:szCs w:val="28"/>
                <w:highlight w:val="none"/>
              </w:rPr>
              <w:t>（公章）</w:t>
            </w:r>
          </w:p>
        </w:tc>
      </w:tr>
      <w:tr w14:paraId="3287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0474072F">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联系人</w:t>
            </w:r>
          </w:p>
        </w:tc>
        <w:tc>
          <w:tcPr>
            <w:tcW w:w="2030" w:type="dxa"/>
            <w:vAlign w:val="center"/>
          </w:tcPr>
          <w:p w14:paraId="61E2E076">
            <w:pPr>
              <w:jc w:val="left"/>
              <w:rPr>
                <w:rFonts w:ascii="宋体" w:hAnsi="宋体" w:eastAsia="宋体"/>
                <w:color w:val="auto"/>
                <w:sz w:val="28"/>
                <w:szCs w:val="28"/>
                <w:highlight w:val="none"/>
              </w:rPr>
            </w:pPr>
          </w:p>
        </w:tc>
        <w:tc>
          <w:tcPr>
            <w:tcW w:w="1015" w:type="dxa"/>
            <w:vAlign w:val="center"/>
          </w:tcPr>
          <w:p w14:paraId="44652F32">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手机</w:t>
            </w:r>
          </w:p>
        </w:tc>
        <w:tc>
          <w:tcPr>
            <w:tcW w:w="3476" w:type="dxa"/>
            <w:vAlign w:val="center"/>
          </w:tcPr>
          <w:p w14:paraId="196C1478">
            <w:pPr>
              <w:jc w:val="left"/>
              <w:rPr>
                <w:rFonts w:ascii="宋体" w:hAnsi="宋体" w:eastAsia="宋体"/>
                <w:color w:val="auto"/>
                <w:sz w:val="28"/>
                <w:szCs w:val="28"/>
                <w:highlight w:val="none"/>
              </w:rPr>
            </w:pPr>
          </w:p>
        </w:tc>
      </w:tr>
      <w:tr w14:paraId="16E1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369C5991">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办公电话</w:t>
            </w:r>
          </w:p>
        </w:tc>
        <w:tc>
          <w:tcPr>
            <w:tcW w:w="2030" w:type="dxa"/>
            <w:vAlign w:val="center"/>
          </w:tcPr>
          <w:p w14:paraId="2C353BAE">
            <w:pPr>
              <w:jc w:val="left"/>
              <w:rPr>
                <w:rFonts w:ascii="宋体" w:hAnsi="宋体" w:eastAsia="宋体"/>
                <w:color w:val="auto"/>
                <w:sz w:val="28"/>
                <w:szCs w:val="28"/>
                <w:highlight w:val="none"/>
              </w:rPr>
            </w:pPr>
          </w:p>
        </w:tc>
        <w:tc>
          <w:tcPr>
            <w:tcW w:w="1015" w:type="dxa"/>
            <w:vAlign w:val="center"/>
          </w:tcPr>
          <w:p w14:paraId="42DB3A0B">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传真</w:t>
            </w:r>
          </w:p>
        </w:tc>
        <w:tc>
          <w:tcPr>
            <w:tcW w:w="3476" w:type="dxa"/>
            <w:vAlign w:val="center"/>
          </w:tcPr>
          <w:p w14:paraId="4A0FEBE3">
            <w:pPr>
              <w:jc w:val="left"/>
              <w:rPr>
                <w:rFonts w:ascii="宋体" w:hAnsi="宋体" w:eastAsia="宋体"/>
                <w:color w:val="auto"/>
                <w:sz w:val="28"/>
                <w:szCs w:val="28"/>
                <w:highlight w:val="none"/>
              </w:rPr>
            </w:pPr>
          </w:p>
        </w:tc>
      </w:tr>
      <w:tr w14:paraId="1B98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139" w:type="dxa"/>
            <w:vAlign w:val="center"/>
          </w:tcPr>
          <w:p w14:paraId="48C65ECD">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E-mail</w:t>
            </w:r>
          </w:p>
        </w:tc>
        <w:tc>
          <w:tcPr>
            <w:tcW w:w="6521" w:type="dxa"/>
            <w:gridSpan w:val="3"/>
            <w:vAlign w:val="center"/>
          </w:tcPr>
          <w:p w14:paraId="5F6047ED">
            <w:pPr>
              <w:jc w:val="left"/>
              <w:rPr>
                <w:rFonts w:ascii="宋体" w:hAnsi="宋体" w:eastAsia="宋体"/>
                <w:color w:val="auto"/>
                <w:sz w:val="28"/>
                <w:szCs w:val="28"/>
                <w:highlight w:val="none"/>
              </w:rPr>
            </w:pPr>
          </w:p>
        </w:tc>
      </w:tr>
      <w:tr w14:paraId="6EF7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39" w:type="dxa"/>
            <w:vAlign w:val="center"/>
          </w:tcPr>
          <w:p w14:paraId="4D63171E">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单位地址</w:t>
            </w:r>
          </w:p>
        </w:tc>
        <w:tc>
          <w:tcPr>
            <w:tcW w:w="6521" w:type="dxa"/>
            <w:gridSpan w:val="3"/>
            <w:vAlign w:val="center"/>
          </w:tcPr>
          <w:p w14:paraId="6C8E1B76">
            <w:pPr>
              <w:jc w:val="left"/>
              <w:rPr>
                <w:rFonts w:ascii="宋体" w:hAnsi="宋体" w:eastAsia="宋体"/>
                <w:color w:val="auto"/>
                <w:sz w:val="28"/>
                <w:szCs w:val="28"/>
                <w:highlight w:val="none"/>
              </w:rPr>
            </w:pPr>
          </w:p>
        </w:tc>
      </w:tr>
      <w:tr w14:paraId="6C5D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660" w:type="dxa"/>
            <w:gridSpan w:val="4"/>
            <w:vAlign w:val="center"/>
          </w:tcPr>
          <w:p w14:paraId="740CFCDD">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备注：</w:t>
            </w:r>
          </w:p>
        </w:tc>
      </w:tr>
    </w:tbl>
    <w:p w14:paraId="1D903A0C">
      <w:pPr>
        <w:spacing w:line="48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说明：在</w:t>
      </w:r>
      <w:r>
        <w:rPr>
          <w:rFonts w:hint="eastAsia" w:ascii="宋体" w:hAnsi="宋体"/>
          <w:b/>
          <w:color w:val="auto"/>
          <w:sz w:val="24"/>
          <w:highlight w:val="none"/>
          <w:lang w:eastAsia="zh-CN"/>
        </w:rPr>
        <w:t>规定时间内</w:t>
      </w:r>
      <w:r>
        <w:rPr>
          <w:rFonts w:hint="eastAsia" w:ascii="宋体" w:hAnsi="宋体"/>
          <w:b/>
          <w:color w:val="auto"/>
          <w:sz w:val="24"/>
          <w:highlight w:val="none"/>
          <w:lang w:val="en-US" w:eastAsia="zh-CN"/>
        </w:rPr>
        <w:t>报名</w:t>
      </w:r>
      <w:r>
        <w:rPr>
          <w:rFonts w:hint="eastAsia" w:ascii="宋体" w:hAnsi="宋体"/>
          <w:b/>
          <w:color w:val="auto"/>
          <w:sz w:val="24"/>
          <w:highlight w:val="none"/>
          <w:lang w:eastAsia="zh-CN"/>
        </w:rPr>
        <w:t>的竞标人，其竞标文件才被接收。</w:t>
      </w:r>
    </w:p>
    <w:p w14:paraId="20751F9A">
      <w:pPr>
        <w:rPr>
          <w:rFonts w:ascii="宋体" w:hAnsi="宋体"/>
          <w:b/>
          <w:color w:val="auto"/>
          <w:highlight w:val="none"/>
        </w:rPr>
      </w:pPr>
    </w:p>
    <w:sectPr>
      <w:headerReference r:id="rId6" w:type="default"/>
      <w:footerReference r:id="rId7"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0F55">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- 2 -</w:t>
    </w:r>
    <w:r>
      <w:fldChar w:fldCharType="end"/>
    </w:r>
  </w:p>
  <w:p w14:paraId="3CB6FEB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386B">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4E9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6F4E9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9AAC">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000F">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C588">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75E64"/>
    <w:multiLevelType w:val="singleLevel"/>
    <w:tmpl w:val="A7875E64"/>
    <w:lvl w:ilvl="0" w:tentative="0">
      <w:start w:val="3"/>
      <w:numFmt w:val="decimal"/>
      <w:suff w:val="nothing"/>
      <w:lvlText w:val="%1、"/>
      <w:lvlJc w:val="left"/>
    </w:lvl>
  </w:abstractNum>
  <w:abstractNum w:abstractNumId="1">
    <w:nsid w:val="245818AB"/>
    <w:multiLevelType w:val="singleLevel"/>
    <w:tmpl w:val="245818AB"/>
    <w:lvl w:ilvl="0" w:tentative="0">
      <w:start w:val="6"/>
      <w:numFmt w:val="chineseCounting"/>
      <w:suff w:val="space"/>
      <w:lvlText w:val="第%1章"/>
      <w:lvlJc w:val="left"/>
      <w:rPr>
        <w:rFonts w:hint="eastAsia"/>
      </w:rPr>
    </w:lvl>
  </w:abstractNum>
  <w:abstractNum w:abstractNumId="2">
    <w:nsid w:val="69D18A9E"/>
    <w:multiLevelType w:val="singleLevel"/>
    <w:tmpl w:val="69D18A9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440"/>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0512"/>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1B9E"/>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C7618"/>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EB5"/>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6E9E"/>
    <w:rsid w:val="001A77C4"/>
    <w:rsid w:val="001A7BE0"/>
    <w:rsid w:val="001B15C6"/>
    <w:rsid w:val="001B17D1"/>
    <w:rsid w:val="001B229E"/>
    <w:rsid w:val="001B2B2F"/>
    <w:rsid w:val="001B2DEF"/>
    <w:rsid w:val="001B3B8F"/>
    <w:rsid w:val="001B412E"/>
    <w:rsid w:val="001B48E0"/>
    <w:rsid w:val="001B4A7A"/>
    <w:rsid w:val="001B4B2D"/>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3100"/>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64F"/>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132D"/>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8B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38C8"/>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627"/>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5C82"/>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77718"/>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948"/>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773"/>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286"/>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06EBF"/>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5DF0"/>
    <w:rsid w:val="00756C7E"/>
    <w:rsid w:val="007604FB"/>
    <w:rsid w:val="007615EF"/>
    <w:rsid w:val="00761B67"/>
    <w:rsid w:val="00762375"/>
    <w:rsid w:val="00763440"/>
    <w:rsid w:val="0076352C"/>
    <w:rsid w:val="00763A24"/>
    <w:rsid w:val="00763A72"/>
    <w:rsid w:val="00764085"/>
    <w:rsid w:val="0076426C"/>
    <w:rsid w:val="00767B35"/>
    <w:rsid w:val="007706B0"/>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26D1"/>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49E"/>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033"/>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5CB5"/>
    <w:rsid w:val="00A27A0B"/>
    <w:rsid w:val="00A27BCB"/>
    <w:rsid w:val="00A304D0"/>
    <w:rsid w:val="00A30ED2"/>
    <w:rsid w:val="00A345A7"/>
    <w:rsid w:val="00A364B9"/>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62A"/>
    <w:rsid w:val="00A75C0F"/>
    <w:rsid w:val="00A760F3"/>
    <w:rsid w:val="00A776C2"/>
    <w:rsid w:val="00A776D1"/>
    <w:rsid w:val="00A77E09"/>
    <w:rsid w:val="00A812E1"/>
    <w:rsid w:val="00A816AF"/>
    <w:rsid w:val="00A81720"/>
    <w:rsid w:val="00A818E4"/>
    <w:rsid w:val="00A81E5C"/>
    <w:rsid w:val="00A82B19"/>
    <w:rsid w:val="00A83ED1"/>
    <w:rsid w:val="00A84DE6"/>
    <w:rsid w:val="00A85372"/>
    <w:rsid w:val="00A853D0"/>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3E10"/>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D9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E0C"/>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887"/>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9D4"/>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3C10"/>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7B8"/>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79D"/>
    <w:rsid w:val="00E97CAF"/>
    <w:rsid w:val="00EA02C5"/>
    <w:rsid w:val="00EA0800"/>
    <w:rsid w:val="00EA0B57"/>
    <w:rsid w:val="00EA1013"/>
    <w:rsid w:val="00EA1072"/>
    <w:rsid w:val="00EA2AE8"/>
    <w:rsid w:val="00EA415F"/>
    <w:rsid w:val="00EA46E3"/>
    <w:rsid w:val="00EA513C"/>
    <w:rsid w:val="00EA576B"/>
    <w:rsid w:val="00EA5B39"/>
    <w:rsid w:val="00EA5D05"/>
    <w:rsid w:val="00EA7670"/>
    <w:rsid w:val="00EB072E"/>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85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263"/>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49F7"/>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0AE5"/>
    <w:rsid w:val="012422F1"/>
    <w:rsid w:val="012F41F1"/>
    <w:rsid w:val="013F4369"/>
    <w:rsid w:val="01541EA9"/>
    <w:rsid w:val="015A390A"/>
    <w:rsid w:val="015E4AD6"/>
    <w:rsid w:val="01762077"/>
    <w:rsid w:val="01D31020"/>
    <w:rsid w:val="01D77F38"/>
    <w:rsid w:val="02197498"/>
    <w:rsid w:val="021F4265"/>
    <w:rsid w:val="022C24DE"/>
    <w:rsid w:val="022C33BC"/>
    <w:rsid w:val="02445A7A"/>
    <w:rsid w:val="024A0BB7"/>
    <w:rsid w:val="02533F0F"/>
    <w:rsid w:val="02691984"/>
    <w:rsid w:val="02750329"/>
    <w:rsid w:val="02810A7C"/>
    <w:rsid w:val="02950DC4"/>
    <w:rsid w:val="029B0168"/>
    <w:rsid w:val="029B6737"/>
    <w:rsid w:val="029E16D8"/>
    <w:rsid w:val="02D3433D"/>
    <w:rsid w:val="02DE2EF8"/>
    <w:rsid w:val="02E7478A"/>
    <w:rsid w:val="02F46BC4"/>
    <w:rsid w:val="03000A08"/>
    <w:rsid w:val="03303212"/>
    <w:rsid w:val="03304250"/>
    <w:rsid w:val="033C3C2D"/>
    <w:rsid w:val="03454DED"/>
    <w:rsid w:val="03467196"/>
    <w:rsid w:val="03661A20"/>
    <w:rsid w:val="03681C3C"/>
    <w:rsid w:val="03781995"/>
    <w:rsid w:val="038C76D9"/>
    <w:rsid w:val="03962305"/>
    <w:rsid w:val="03AD3AF7"/>
    <w:rsid w:val="03C07382"/>
    <w:rsid w:val="03C545D6"/>
    <w:rsid w:val="03DD7F34"/>
    <w:rsid w:val="03F842E2"/>
    <w:rsid w:val="040C3B6D"/>
    <w:rsid w:val="041031C6"/>
    <w:rsid w:val="04273D3A"/>
    <w:rsid w:val="04455AD9"/>
    <w:rsid w:val="04510922"/>
    <w:rsid w:val="04673CA2"/>
    <w:rsid w:val="046D5737"/>
    <w:rsid w:val="04717E20"/>
    <w:rsid w:val="049D3B67"/>
    <w:rsid w:val="04BD04CB"/>
    <w:rsid w:val="04C41803"/>
    <w:rsid w:val="04DC7F02"/>
    <w:rsid w:val="05201FDF"/>
    <w:rsid w:val="05220AC4"/>
    <w:rsid w:val="05241B93"/>
    <w:rsid w:val="0530236C"/>
    <w:rsid w:val="057C6BB8"/>
    <w:rsid w:val="057F3208"/>
    <w:rsid w:val="05880374"/>
    <w:rsid w:val="05993309"/>
    <w:rsid w:val="05AB059E"/>
    <w:rsid w:val="05CC64B2"/>
    <w:rsid w:val="05CF7D50"/>
    <w:rsid w:val="05DC71B6"/>
    <w:rsid w:val="05E337FC"/>
    <w:rsid w:val="05E7509A"/>
    <w:rsid w:val="06147E59"/>
    <w:rsid w:val="06186459"/>
    <w:rsid w:val="061B781D"/>
    <w:rsid w:val="062906E7"/>
    <w:rsid w:val="064047AA"/>
    <w:rsid w:val="06420522"/>
    <w:rsid w:val="064E7CD8"/>
    <w:rsid w:val="0662770E"/>
    <w:rsid w:val="06665122"/>
    <w:rsid w:val="066B5CCB"/>
    <w:rsid w:val="06893196"/>
    <w:rsid w:val="068E5516"/>
    <w:rsid w:val="06A50AB1"/>
    <w:rsid w:val="06B61737"/>
    <w:rsid w:val="06C13B3D"/>
    <w:rsid w:val="06C43DE0"/>
    <w:rsid w:val="06C64491"/>
    <w:rsid w:val="06D526B8"/>
    <w:rsid w:val="07006739"/>
    <w:rsid w:val="07043A2A"/>
    <w:rsid w:val="073836D3"/>
    <w:rsid w:val="07464042"/>
    <w:rsid w:val="074A1D85"/>
    <w:rsid w:val="074A1FE5"/>
    <w:rsid w:val="077305E3"/>
    <w:rsid w:val="078D3A1F"/>
    <w:rsid w:val="07BA233A"/>
    <w:rsid w:val="07CF228A"/>
    <w:rsid w:val="07D72EEC"/>
    <w:rsid w:val="07DB2C0D"/>
    <w:rsid w:val="08033CE1"/>
    <w:rsid w:val="080A52B6"/>
    <w:rsid w:val="081417E0"/>
    <w:rsid w:val="083E11BD"/>
    <w:rsid w:val="085602B5"/>
    <w:rsid w:val="087E5E6D"/>
    <w:rsid w:val="08AD688E"/>
    <w:rsid w:val="08C05228"/>
    <w:rsid w:val="08E91129"/>
    <w:rsid w:val="09045F63"/>
    <w:rsid w:val="090C6F76"/>
    <w:rsid w:val="095A3DD5"/>
    <w:rsid w:val="09612984"/>
    <w:rsid w:val="09684744"/>
    <w:rsid w:val="0979376D"/>
    <w:rsid w:val="097A3797"/>
    <w:rsid w:val="09AE2F67"/>
    <w:rsid w:val="09E54A69"/>
    <w:rsid w:val="09E57B43"/>
    <w:rsid w:val="0A0106F5"/>
    <w:rsid w:val="0A2A37A7"/>
    <w:rsid w:val="0A6A374B"/>
    <w:rsid w:val="0A6A44EC"/>
    <w:rsid w:val="0A93506B"/>
    <w:rsid w:val="0A9B54A0"/>
    <w:rsid w:val="0AA51080"/>
    <w:rsid w:val="0AA70CB3"/>
    <w:rsid w:val="0AC05EBA"/>
    <w:rsid w:val="0AC92FC0"/>
    <w:rsid w:val="0AD11E75"/>
    <w:rsid w:val="0AEC4F01"/>
    <w:rsid w:val="0AEC5712"/>
    <w:rsid w:val="0AFD6936"/>
    <w:rsid w:val="0B133596"/>
    <w:rsid w:val="0B1D3CDA"/>
    <w:rsid w:val="0B4E1717"/>
    <w:rsid w:val="0B7F5D75"/>
    <w:rsid w:val="0B862E5F"/>
    <w:rsid w:val="0B8C1164"/>
    <w:rsid w:val="0B9E48FD"/>
    <w:rsid w:val="0BB04180"/>
    <w:rsid w:val="0BB622A7"/>
    <w:rsid w:val="0BCC389B"/>
    <w:rsid w:val="0BCF6B5B"/>
    <w:rsid w:val="0BD87233"/>
    <w:rsid w:val="0BD97DE4"/>
    <w:rsid w:val="0BE877E8"/>
    <w:rsid w:val="0BEC77B0"/>
    <w:rsid w:val="0C1B3AFB"/>
    <w:rsid w:val="0C1C35C4"/>
    <w:rsid w:val="0C3E42BE"/>
    <w:rsid w:val="0C5C5076"/>
    <w:rsid w:val="0C607954"/>
    <w:rsid w:val="0C6311F3"/>
    <w:rsid w:val="0C966FE2"/>
    <w:rsid w:val="0CA75583"/>
    <w:rsid w:val="0CB3217A"/>
    <w:rsid w:val="0CBD0903"/>
    <w:rsid w:val="0CCC48E0"/>
    <w:rsid w:val="0CD30459"/>
    <w:rsid w:val="0CDF2F6F"/>
    <w:rsid w:val="0CE75980"/>
    <w:rsid w:val="0CEA6115"/>
    <w:rsid w:val="0CEB1914"/>
    <w:rsid w:val="0D044784"/>
    <w:rsid w:val="0D053ED9"/>
    <w:rsid w:val="0D0C4024"/>
    <w:rsid w:val="0D1E3B0E"/>
    <w:rsid w:val="0D2941EA"/>
    <w:rsid w:val="0D312155"/>
    <w:rsid w:val="0D3861DB"/>
    <w:rsid w:val="0D3B51DE"/>
    <w:rsid w:val="0D4806BF"/>
    <w:rsid w:val="0D5154EF"/>
    <w:rsid w:val="0DBE0DD6"/>
    <w:rsid w:val="0DC21F49"/>
    <w:rsid w:val="0DC70C42"/>
    <w:rsid w:val="0DD87787"/>
    <w:rsid w:val="0DD979BE"/>
    <w:rsid w:val="0E024D74"/>
    <w:rsid w:val="0E0B0A7A"/>
    <w:rsid w:val="0E285928"/>
    <w:rsid w:val="0E3C619F"/>
    <w:rsid w:val="0E484301"/>
    <w:rsid w:val="0E4D5CB6"/>
    <w:rsid w:val="0E5C05EF"/>
    <w:rsid w:val="0E5F1249"/>
    <w:rsid w:val="0E7476E7"/>
    <w:rsid w:val="0E843362"/>
    <w:rsid w:val="0EA025EA"/>
    <w:rsid w:val="0EA93835"/>
    <w:rsid w:val="0EAF6971"/>
    <w:rsid w:val="0EBE0962"/>
    <w:rsid w:val="0EC145B8"/>
    <w:rsid w:val="0ECB7EDB"/>
    <w:rsid w:val="0ED85EC8"/>
    <w:rsid w:val="0EDC7874"/>
    <w:rsid w:val="0EF32D02"/>
    <w:rsid w:val="0EFA4090"/>
    <w:rsid w:val="0F021F7C"/>
    <w:rsid w:val="0F2E7521"/>
    <w:rsid w:val="0F5615D4"/>
    <w:rsid w:val="0F59068B"/>
    <w:rsid w:val="0F5E547E"/>
    <w:rsid w:val="0F6566EC"/>
    <w:rsid w:val="0F665DED"/>
    <w:rsid w:val="0F841BAC"/>
    <w:rsid w:val="0F84395A"/>
    <w:rsid w:val="0F9B03FB"/>
    <w:rsid w:val="0FA638D0"/>
    <w:rsid w:val="0FC91CB4"/>
    <w:rsid w:val="0FD60A0D"/>
    <w:rsid w:val="0FD83CA6"/>
    <w:rsid w:val="0FE4089C"/>
    <w:rsid w:val="1008458B"/>
    <w:rsid w:val="100E1475"/>
    <w:rsid w:val="101D6023"/>
    <w:rsid w:val="102B5AE8"/>
    <w:rsid w:val="10611A0A"/>
    <w:rsid w:val="109B1928"/>
    <w:rsid w:val="10AC5059"/>
    <w:rsid w:val="10BB784F"/>
    <w:rsid w:val="10E70644"/>
    <w:rsid w:val="10F670C6"/>
    <w:rsid w:val="11000A34"/>
    <w:rsid w:val="1119049E"/>
    <w:rsid w:val="11472E91"/>
    <w:rsid w:val="116D0F4A"/>
    <w:rsid w:val="117556CB"/>
    <w:rsid w:val="11910609"/>
    <w:rsid w:val="11C646FD"/>
    <w:rsid w:val="12152F8F"/>
    <w:rsid w:val="121E62E8"/>
    <w:rsid w:val="12301B77"/>
    <w:rsid w:val="12403C8F"/>
    <w:rsid w:val="124C6787"/>
    <w:rsid w:val="12631F4C"/>
    <w:rsid w:val="12705F50"/>
    <w:rsid w:val="127A292F"/>
    <w:rsid w:val="127A7296"/>
    <w:rsid w:val="1282121E"/>
    <w:rsid w:val="12AC38F3"/>
    <w:rsid w:val="13012641"/>
    <w:rsid w:val="13076D7C"/>
    <w:rsid w:val="1313230D"/>
    <w:rsid w:val="131B2827"/>
    <w:rsid w:val="1324792E"/>
    <w:rsid w:val="132C67E2"/>
    <w:rsid w:val="134504D8"/>
    <w:rsid w:val="135246AF"/>
    <w:rsid w:val="13585D28"/>
    <w:rsid w:val="13741F37"/>
    <w:rsid w:val="13960100"/>
    <w:rsid w:val="13A16058"/>
    <w:rsid w:val="13A4281C"/>
    <w:rsid w:val="13B11791"/>
    <w:rsid w:val="13BB1914"/>
    <w:rsid w:val="13FD7A4B"/>
    <w:rsid w:val="141D612B"/>
    <w:rsid w:val="143376FC"/>
    <w:rsid w:val="144813FA"/>
    <w:rsid w:val="14533375"/>
    <w:rsid w:val="146E3E3D"/>
    <w:rsid w:val="147541B9"/>
    <w:rsid w:val="14817F29"/>
    <w:rsid w:val="14A15A72"/>
    <w:rsid w:val="14A8633C"/>
    <w:rsid w:val="14BA41A5"/>
    <w:rsid w:val="14C50C9C"/>
    <w:rsid w:val="14C52821"/>
    <w:rsid w:val="14CC75EE"/>
    <w:rsid w:val="14D83A9F"/>
    <w:rsid w:val="14DC6FEA"/>
    <w:rsid w:val="14FB646C"/>
    <w:rsid w:val="1514053F"/>
    <w:rsid w:val="151614F8"/>
    <w:rsid w:val="15205A5A"/>
    <w:rsid w:val="15265371"/>
    <w:rsid w:val="152C1182"/>
    <w:rsid w:val="152F2422"/>
    <w:rsid w:val="154D2A40"/>
    <w:rsid w:val="15745B33"/>
    <w:rsid w:val="158051BA"/>
    <w:rsid w:val="15883A78"/>
    <w:rsid w:val="158933D1"/>
    <w:rsid w:val="158E6BC9"/>
    <w:rsid w:val="15931F5D"/>
    <w:rsid w:val="15C74668"/>
    <w:rsid w:val="15D77B87"/>
    <w:rsid w:val="15F36B10"/>
    <w:rsid w:val="15F67B8F"/>
    <w:rsid w:val="15F87315"/>
    <w:rsid w:val="15F873A5"/>
    <w:rsid w:val="160457F4"/>
    <w:rsid w:val="160550C9"/>
    <w:rsid w:val="160E6673"/>
    <w:rsid w:val="162A44F8"/>
    <w:rsid w:val="163008E4"/>
    <w:rsid w:val="164B69CD"/>
    <w:rsid w:val="166041CE"/>
    <w:rsid w:val="16B32D77"/>
    <w:rsid w:val="16B832B1"/>
    <w:rsid w:val="16CD33F4"/>
    <w:rsid w:val="16D0271B"/>
    <w:rsid w:val="16E1457B"/>
    <w:rsid w:val="16F26FDC"/>
    <w:rsid w:val="16FA41E7"/>
    <w:rsid w:val="170B78DA"/>
    <w:rsid w:val="170F61FF"/>
    <w:rsid w:val="172F064F"/>
    <w:rsid w:val="17342109"/>
    <w:rsid w:val="17367C2F"/>
    <w:rsid w:val="17374372"/>
    <w:rsid w:val="17432CA3"/>
    <w:rsid w:val="17721137"/>
    <w:rsid w:val="17791815"/>
    <w:rsid w:val="17A50911"/>
    <w:rsid w:val="17AB365B"/>
    <w:rsid w:val="17B437C0"/>
    <w:rsid w:val="17BB2379"/>
    <w:rsid w:val="17E75995"/>
    <w:rsid w:val="17FB162F"/>
    <w:rsid w:val="180E6167"/>
    <w:rsid w:val="18226406"/>
    <w:rsid w:val="183A54FD"/>
    <w:rsid w:val="184E4CAC"/>
    <w:rsid w:val="18585984"/>
    <w:rsid w:val="18610CDC"/>
    <w:rsid w:val="18673E19"/>
    <w:rsid w:val="18735851"/>
    <w:rsid w:val="18736C61"/>
    <w:rsid w:val="18921FDE"/>
    <w:rsid w:val="18B5797C"/>
    <w:rsid w:val="18B72869"/>
    <w:rsid w:val="18CC42F2"/>
    <w:rsid w:val="18DF42F7"/>
    <w:rsid w:val="18E831AB"/>
    <w:rsid w:val="19006747"/>
    <w:rsid w:val="192A750C"/>
    <w:rsid w:val="192D5062"/>
    <w:rsid w:val="19450E59"/>
    <w:rsid w:val="194859F8"/>
    <w:rsid w:val="195271C6"/>
    <w:rsid w:val="19600F94"/>
    <w:rsid w:val="19810F0A"/>
    <w:rsid w:val="19813FB0"/>
    <w:rsid w:val="1A0069EE"/>
    <w:rsid w:val="1A0F29BA"/>
    <w:rsid w:val="1A293CB1"/>
    <w:rsid w:val="1A3D4C07"/>
    <w:rsid w:val="1A750A6F"/>
    <w:rsid w:val="1AAC5DFB"/>
    <w:rsid w:val="1AB97981"/>
    <w:rsid w:val="1AC7726A"/>
    <w:rsid w:val="1AD934C1"/>
    <w:rsid w:val="1AF01042"/>
    <w:rsid w:val="1AFF390B"/>
    <w:rsid w:val="1AFF4613"/>
    <w:rsid w:val="1B140288"/>
    <w:rsid w:val="1B2474CF"/>
    <w:rsid w:val="1B281F85"/>
    <w:rsid w:val="1B3E3557"/>
    <w:rsid w:val="1B55264E"/>
    <w:rsid w:val="1B5A4D98"/>
    <w:rsid w:val="1B610368"/>
    <w:rsid w:val="1B62610C"/>
    <w:rsid w:val="1B62623E"/>
    <w:rsid w:val="1B765E86"/>
    <w:rsid w:val="1B840C15"/>
    <w:rsid w:val="1B850A80"/>
    <w:rsid w:val="1BA17641"/>
    <w:rsid w:val="1BA96B88"/>
    <w:rsid w:val="1BB235FD"/>
    <w:rsid w:val="1BB67591"/>
    <w:rsid w:val="1BC05D1A"/>
    <w:rsid w:val="1BC11A92"/>
    <w:rsid w:val="1BC31CAE"/>
    <w:rsid w:val="1BD6793F"/>
    <w:rsid w:val="1C0A1B81"/>
    <w:rsid w:val="1C136791"/>
    <w:rsid w:val="1C417161"/>
    <w:rsid w:val="1C60574F"/>
    <w:rsid w:val="1C6074FD"/>
    <w:rsid w:val="1C6A496F"/>
    <w:rsid w:val="1C783C72"/>
    <w:rsid w:val="1C874A89"/>
    <w:rsid w:val="1C927A29"/>
    <w:rsid w:val="1C995197"/>
    <w:rsid w:val="1CC17F9B"/>
    <w:rsid w:val="1CC27CF4"/>
    <w:rsid w:val="1CD001DE"/>
    <w:rsid w:val="1CE26164"/>
    <w:rsid w:val="1CEE024A"/>
    <w:rsid w:val="1D266050"/>
    <w:rsid w:val="1D291FE4"/>
    <w:rsid w:val="1D3C1D18"/>
    <w:rsid w:val="1D434E54"/>
    <w:rsid w:val="1D4674EB"/>
    <w:rsid w:val="1D5424EE"/>
    <w:rsid w:val="1DAF24EA"/>
    <w:rsid w:val="1DBE44DB"/>
    <w:rsid w:val="1DC00253"/>
    <w:rsid w:val="1DC13FCB"/>
    <w:rsid w:val="1DCF66E8"/>
    <w:rsid w:val="1DD063A3"/>
    <w:rsid w:val="1DD1244F"/>
    <w:rsid w:val="1DDA537B"/>
    <w:rsid w:val="1DEA5DCF"/>
    <w:rsid w:val="1E047C52"/>
    <w:rsid w:val="1E0D5462"/>
    <w:rsid w:val="1E162569"/>
    <w:rsid w:val="1E254BAE"/>
    <w:rsid w:val="1E3C0273"/>
    <w:rsid w:val="1E42797B"/>
    <w:rsid w:val="1E816D2D"/>
    <w:rsid w:val="1EA06969"/>
    <w:rsid w:val="1EA731C1"/>
    <w:rsid w:val="1EB853CE"/>
    <w:rsid w:val="1EDD7E07"/>
    <w:rsid w:val="1EFD7285"/>
    <w:rsid w:val="1F096272"/>
    <w:rsid w:val="1F125176"/>
    <w:rsid w:val="1F374DC3"/>
    <w:rsid w:val="1F83778A"/>
    <w:rsid w:val="1F884DA0"/>
    <w:rsid w:val="1FB33873"/>
    <w:rsid w:val="1FC23AE2"/>
    <w:rsid w:val="1FFE6BEE"/>
    <w:rsid w:val="200B63A3"/>
    <w:rsid w:val="2039200A"/>
    <w:rsid w:val="203D202F"/>
    <w:rsid w:val="2054789A"/>
    <w:rsid w:val="206477DC"/>
    <w:rsid w:val="20765541"/>
    <w:rsid w:val="20825C93"/>
    <w:rsid w:val="208512E0"/>
    <w:rsid w:val="209D5B61"/>
    <w:rsid w:val="20BA340F"/>
    <w:rsid w:val="20D81D57"/>
    <w:rsid w:val="21026DD4"/>
    <w:rsid w:val="21073363"/>
    <w:rsid w:val="210E1A59"/>
    <w:rsid w:val="212925B3"/>
    <w:rsid w:val="213A051B"/>
    <w:rsid w:val="21575EA1"/>
    <w:rsid w:val="215E44A7"/>
    <w:rsid w:val="21661111"/>
    <w:rsid w:val="216F7993"/>
    <w:rsid w:val="21701F90"/>
    <w:rsid w:val="21703D3E"/>
    <w:rsid w:val="21825E03"/>
    <w:rsid w:val="218C4119"/>
    <w:rsid w:val="21A77E4B"/>
    <w:rsid w:val="21BB220E"/>
    <w:rsid w:val="21C1376B"/>
    <w:rsid w:val="21C916A0"/>
    <w:rsid w:val="21DE339D"/>
    <w:rsid w:val="221D5633"/>
    <w:rsid w:val="223C3B60"/>
    <w:rsid w:val="2265586D"/>
    <w:rsid w:val="227453DF"/>
    <w:rsid w:val="227B4222"/>
    <w:rsid w:val="22873A35"/>
    <w:rsid w:val="2288155B"/>
    <w:rsid w:val="22A719E1"/>
    <w:rsid w:val="22B37412"/>
    <w:rsid w:val="22B673C3"/>
    <w:rsid w:val="22B91715"/>
    <w:rsid w:val="22B9629C"/>
    <w:rsid w:val="22D629CA"/>
    <w:rsid w:val="22EA5D72"/>
    <w:rsid w:val="22F15352"/>
    <w:rsid w:val="22FD5AA5"/>
    <w:rsid w:val="2322550C"/>
    <w:rsid w:val="232758FC"/>
    <w:rsid w:val="23297026"/>
    <w:rsid w:val="232E3EB1"/>
    <w:rsid w:val="235D69C1"/>
    <w:rsid w:val="2393729C"/>
    <w:rsid w:val="23A128D5"/>
    <w:rsid w:val="23BA5744"/>
    <w:rsid w:val="23D31501"/>
    <w:rsid w:val="23DA5DE6"/>
    <w:rsid w:val="24172B97"/>
    <w:rsid w:val="24362041"/>
    <w:rsid w:val="243674C1"/>
    <w:rsid w:val="244558F0"/>
    <w:rsid w:val="244D504C"/>
    <w:rsid w:val="246A716A"/>
    <w:rsid w:val="24985092"/>
    <w:rsid w:val="249C4E4A"/>
    <w:rsid w:val="24A10DF8"/>
    <w:rsid w:val="24BB2C14"/>
    <w:rsid w:val="24C645E0"/>
    <w:rsid w:val="24CA50C6"/>
    <w:rsid w:val="24D223DD"/>
    <w:rsid w:val="24EB0995"/>
    <w:rsid w:val="250B04B9"/>
    <w:rsid w:val="250F386E"/>
    <w:rsid w:val="25140E84"/>
    <w:rsid w:val="252523ED"/>
    <w:rsid w:val="252C0529"/>
    <w:rsid w:val="252E63EA"/>
    <w:rsid w:val="252F613E"/>
    <w:rsid w:val="253146FA"/>
    <w:rsid w:val="2533755C"/>
    <w:rsid w:val="254944BC"/>
    <w:rsid w:val="2570107C"/>
    <w:rsid w:val="25AD2640"/>
    <w:rsid w:val="25C8595C"/>
    <w:rsid w:val="25D30D3F"/>
    <w:rsid w:val="25D6510D"/>
    <w:rsid w:val="25DA20CE"/>
    <w:rsid w:val="25F62749"/>
    <w:rsid w:val="260053A6"/>
    <w:rsid w:val="2608197C"/>
    <w:rsid w:val="263135A5"/>
    <w:rsid w:val="26487037"/>
    <w:rsid w:val="265A05A4"/>
    <w:rsid w:val="265F25D3"/>
    <w:rsid w:val="26712A32"/>
    <w:rsid w:val="267825D1"/>
    <w:rsid w:val="267C332F"/>
    <w:rsid w:val="267F67D1"/>
    <w:rsid w:val="26812549"/>
    <w:rsid w:val="269A3640"/>
    <w:rsid w:val="26B80661"/>
    <w:rsid w:val="26C171CB"/>
    <w:rsid w:val="26C80178"/>
    <w:rsid w:val="26DD391D"/>
    <w:rsid w:val="26FE3B9A"/>
    <w:rsid w:val="270D202F"/>
    <w:rsid w:val="271C4A6F"/>
    <w:rsid w:val="272829C1"/>
    <w:rsid w:val="275550C0"/>
    <w:rsid w:val="2762006E"/>
    <w:rsid w:val="276E0D20"/>
    <w:rsid w:val="27D25752"/>
    <w:rsid w:val="27F16519"/>
    <w:rsid w:val="27FD6D84"/>
    <w:rsid w:val="27FE6547"/>
    <w:rsid w:val="2805374C"/>
    <w:rsid w:val="28054429"/>
    <w:rsid w:val="280751E1"/>
    <w:rsid w:val="281178FD"/>
    <w:rsid w:val="28213FE4"/>
    <w:rsid w:val="285A1251"/>
    <w:rsid w:val="285A3E82"/>
    <w:rsid w:val="285B27AE"/>
    <w:rsid w:val="28610884"/>
    <w:rsid w:val="286D7229"/>
    <w:rsid w:val="286E52FC"/>
    <w:rsid w:val="287A79C9"/>
    <w:rsid w:val="28812CD5"/>
    <w:rsid w:val="2893284B"/>
    <w:rsid w:val="28936238"/>
    <w:rsid w:val="2893630E"/>
    <w:rsid w:val="289C74AE"/>
    <w:rsid w:val="289C7B0E"/>
    <w:rsid w:val="28A6098D"/>
    <w:rsid w:val="28C50F38"/>
    <w:rsid w:val="28D769F2"/>
    <w:rsid w:val="29226266"/>
    <w:rsid w:val="29345F99"/>
    <w:rsid w:val="29477A7A"/>
    <w:rsid w:val="2953641F"/>
    <w:rsid w:val="295F5243"/>
    <w:rsid w:val="296A5695"/>
    <w:rsid w:val="298F4F7D"/>
    <w:rsid w:val="29BB5D72"/>
    <w:rsid w:val="29BF5862"/>
    <w:rsid w:val="29DC2957"/>
    <w:rsid w:val="29EE17E2"/>
    <w:rsid w:val="2A321881"/>
    <w:rsid w:val="2A4B4255"/>
    <w:rsid w:val="2A555D5C"/>
    <w:rsid w:val="2A6D09C5"/>
    <w:rsid w:val="2A791CF4"/>
    <w:rsid w:val="2A8E3487"/>
    <w:rsid w:val="2A9A1E2C"/>
    <w:rsid w:val="2ABB7DF2"/>
    <w:rsid w:val="2AC7306D"/>
    <w:rsid w:val="2ADC1FC3"/>
    <w:rsid w:val="2ADE448E"/>
    <w:rsid w:val="2AEF3F25"/>
    <w:rsid w:val="2AF37417"/>
    <w:rsid w:val="2AF561AC"/>
    <w:rsid w:val="2AF61758"/>
    <w:rsid w:val="2B065713"/>
    <w:rsid w:val="2B1A7FB8"/>
    <w:rsid w:val="2B1B11BE"/>
    <w:rsid w:val="2B22254D"/>
    <w:rsid w:val="2B2362C5"/>
    <w:rsid w:val="2B3D33A5"/>
    <w:rsid w:val="2B463685"/>
    <w:rsid w:val="2B4A3852"/>
    <w:rsid w:val="2B5B000B"/>
    <w:rsid w:val="2B6F55CF"/>
    <w:rsid w:val="2B7B63D1"/>
    <w:rsid w:val="2B8B1489"/>
    <w:rsid w:val="2B911481"/>
    <w:rsid w:val="2BD902EC"/>
    <w:rsid w:val="2BFB4B4C"/>
    <w:rsid w:val="2C106B48"/>
    <w:rsid w:val="2C17411D"/>
    <w:rsid w:val="2C3D5164"/>
    <w:rsid w:val="2C540104"/>
    <w:rsid w:val="2C7A3CC3"/>
    <w:rsid w:val="2C7F752B"/>
    <w:rsid w:val="2C9E37D8"/>
    <w:rsid w:val="2CA62D0A"/>
    <w:rsid w:val="2CAE7C0A"/>
    <w:rsid w:val="2CBA67B5"/>
    <w:rsid w:val="2CC3566A"/>
    <w:rsid w:val="2CC94095"/>
    <w:rsid w:val="2CCD69B1"/>
    <w:rsid w:val="2CD45AC9"/>
    <w:rsid w:val="2CED6B8B"/>
    <w:rsid w:val="2CF87289"/>
    <w:rsid w:val="2D041A59"/>
    <w:rsid w:val="2D266A1B"/>
    <w:rsid w:val="2D2D2C93"/>
    <w:rsid w:val="2D39592C"/>
    <w:rsid w:val="2D8469EC"/>
    <w:rsid w:val="2DCA2A28"/>
    <w:rsid w:val="2DD9710F"/>
    <w:rsid w:val="2DEE2BBA"/>
    <w:rsid w:val="2DF0542C"/>
    <w:rsid w:val="2E135BB8"/>
    <w:rsid w:val="2E2170F9"/>
    <w:rsid w:val="2E25631E"/>
    <w:rsid w:val="2E2A1A6C"/>
    <w:rsid w:val="2E343BD8"/>
    <w:rsid w:val="2E386092"/>
    <w:rsid w:val="2E756E38"/>
    <w:rsid w:val="2E7B5944"/>
    <w:rsid w:val="2E7F7CB6"/>
    <w:rsid w:val="2E8D0988"/>
    <w:rsid w:val="2E903C71"/>
    <w:rsid w:val="2EA27D60"/>
    <w:rsid w:val="2EDC6EB7"/>
    <w:rsid w:val="2EE248F4"/>
    <w:rsid w:val="2EE737A0"/>
    <w:rsid w:val="2EF21CAB"/>
    <w:rsid w:val="2F1729C2"/>
    <w:rsid w:val="2F25085E"/>
    <w:rsid w:val="2F261EE0"/>
    <w:rsid w:val="2F3841ED"/>
    <w:rsid w:val="2F3960B7"/>
    <w:rsid w:val="2F58187C"/>
    <w:rsid w:val="2F6E5FB6"/>
    <w:rsid w:val="2F792957"/>
    <w:rsid w:val="2F93178D"/>
    <w:rsid w:val="2FB614B6"/>
    <w:rsid w:val="2FB958F6"/>
    <w:rsid w:val="2FCE1F78"/>
    <w:rsid w:val="2FD61B58"/>
    <w:rsid w:val="2FE37DD1"/>
    <w:rsid w:val="2FF16992"/>
    <w:rsid w:val="2FFB7875"/>
    <w:rsid w:val="301D1535"/>
    <w:rsid w:val="30234671"/>
    <w:rsid w:val="303A0D36"/>
    <w:rsid w:val="3057108A"/>
    <w:rsid w:val="309C1849"/>
    <w:rsid w:val="309C4B4F"/>
    <w:rsid w:val="30B1408E"/>
    <w:rsid w:val="30B87993"/>
    <w:rsid w:val="30BD6874"/>
    <w:rsid w:val="30C57FF6"/>
    <w:rsid w:val="30CE71F9"/>
    <w:rsid w:val="30EF67E5"/>
    <w:rsid w:val="30F77FD8"/>
    <w:rsid w:val="30FC196D"/>
    <w:rsid w:val="310311E3"/>
    <w:rsid w:val="311D51E8"/>
    <w:rsid w:val="31527E83"/>
    <w:rsid w:val="31552F50"/>
    <w:rsid w:val="31554CFE"/>
    <w:rsid w:val="315905C8"/>
    <w:rsid w:val="316244E8"/>
    <w:rsid w:val="318850D4"/>
    <w:rsid w:val="31A26361"/>
    <w:rsid w:val="31CD6F8B"/>
    <w:rsid w:val="31DB3455"/>
    <w:rsid w:val="31F4722E"/>
    <w:rsid w:val="31F97D80"/>
    <w:rsid w:val="32210E64"/>
    <w:rsid w:val="322E1E8E"/>
    <w:rsid w:val="325D41F6"/>
    <w:rsid w:val="32714935"/>
    <w:rsid w:val="32794A1C"/>
    <w:rsid w:val="327B2543"/>
    <w:rsid w:val="3283371F"/>
    <w:rsid w:val="328D7DE2"/>
    <w:rsid w:val="32A85455"/>
    <w:rsid w:val="32B06982"/>
    <w:rsid w:val="32B51DFE"/>
    <w:rsid w:val="32BA571C"/>
    <w:rsid w:val="32CC0FF0"/>
    <w:rsid w:val="32D57EA5"/>
    <w:rsid w:val="32EE6C13"/>
    <w:rsid w:val="330469DC"/>
    <w:rsid w:val="33233306"/>
    <w:rsid w:val="33264BA4"/>
    <w:rsid w:val="3332273D"/>
    <w:rsid w:val="33770F5C"/>
    <w:rsid w:val="337A6C9E"/>
    <w:rsid w:val="33A146B4"/>
    <w:rsid w:val="33B0446E"/>
    <w:rsid w:val="33DD3064"/>
    <w:rsid w:val="33E67E90"/>
    <w:rsid w:val="340B78F6"/>
    <w:rsid w:val="34157E83"/>
    <w:rsid w:val="34374461"/>
    <w:rsid w:val="344D3544"/>
    <w:rsid w:val="3450087A"/>
    <w:rsid w:val="345453E4"/>
    <w:rsid w:val="34627E5E"/>
    <w:rsid w:val="346A286F"/>
    <w:rsid w:val="34790D04"/>
    <w:rsid w:val="348320CD"/>
    <w:rsid w:val="349A1157"/>
    <w:rsid w:val="34D101A4"/>
    <w:rsid w:val="34D66156"/>
    <w:rsid w:val="34DE7D3B"/>
    <w:rsid w:val="34F82570"/>
    <w:rsid w:val="34FB796B"/>
    <w:rsid w:val="356B689E"/>
    <w:rsid w:val="35AD5174"/>
    <w:rsid w:val="35B06287"/>
    <w:rsid w:val="35CB558F"/>
    <w:rsid w:val="35DB1C68"/>
    <w:rsid w:val="35E1263E"/>
    <w:rsid w:val="35EC697A"/>
    <w:rsid w:val="35F40894"/>
    <w:rsid w:val="35F745D6"/>
    <w:rsid w:val="36214281"/>
    <w:rsid w:val="365A4BD6"/>
    <w:rsid w:val="366C6C7C"/>
    <w:rsid w:val="367750F1"/>
    <w:rsid w:val="367B012D"/>
    <w:rsid w:val="36806379"/>
    <w:rsid w:val="36B14785"/>
    <w:rsid w:val="36C73FA8"/>
    <w:rsid w:val="36C812F7"/>
    <w:rsid w:val="36C87829"/>
    <w:rsid w:val="36CA1CEB"/>
    <w:rsid w:val="36DF5796"/>
    <w:rsid w:val="36E7289C"/>
    <w:rsid w:val="36E74BCF"/>
    <w:rsid w:val="36F4767F"/>
    <w:rsid w:val="36F6663C"/>
    <w:rsid w:val="3715740A"/>
    <w:rsid w:val="371D675E"/>
    <w:rsid w:val="371E2613"/>
    <w:rsid w:val="373D2A8F"/>
    <w:rsid w:val="37575A24"/>
    <w:rsid w:val="37774E31"/>
    <w:rsid w:val="377F2AD5"/>
    <w:rsid w:val="378418A7"/>
    <w:rsid w:val="3784633D"/>
    <w:rsid w:val="379442C9"/>
    <w:rsid w:val="37AF3154"/>
    <w:rsid w:val="37C116E8"/>
    <w:rsid w:val="37C36E66"/>
    <w:rsid w:val="37EB1F18"/>
    <w:rsid w:val="37ED7A3F"/>
    <w:rsid w:val="37F82BA8"/>
    <w:rsid w:val="3805122C"/>
    <w:rsid w:val="38172D0E"/>
    <w:rsid w:val="381D762F"/>
    <w:rsid w:val="38270896"/>
    <w:rsid w:val="383C102E"/>
    <w:rsid w:val="384444B5"/>
    <w:rsid w:val="384A4E91"/>
    <w:rsid w:val="386709AA"/>
    <w:rsid w:val="387168C2"/>
    <w:rsid w:val="387D642F"/>
    <w:rsid w:val="38860B0E"/>
    <w:rsid w:val="38871C41"/>
    <w:rsid w:val="388A34DF"/>
    <w:rsid w:val="38A345A1"/>
    <w:rsid w:val="38C6103F"/>
    <w:rsid w:val="38C6627D"/>
    <w:rsid w:val="38D86C09"/>
    <w:rsid w:val="38DE1A7D"/>
    <w:rsid w:val="38F65019"/>
    <w:rsid w:val="38FD63A7"/>
    <w:rsid w:val="3919772A"/>
    <w:rsid w:val="3923007A"/>
    <w:rsid w:val="39370BE1"/>
    <w:rsid w:val="394A2C6F"/>
    <w:rsid w:val="39564FA9"/>
    <w:rsid w:val="397718FE"/>
    <w:rsid w:val="39904B26"/>
    <w:rsid w:val="39930ABA"/>
    <w:rsid w:val="39B32F0A"/>
    <w:rsid w:val="39B90520"/>
    <w:rsid w:val="39EF3F42"/>
    <w:rsid w:val="3A033549"/>
    <w:rsid w:val="3A1C0AAF"/>
    <w:rsid w:val="3A274209"/>
    <w:rsid w:val="3A2A0555"/>
    <w:rsid w:val="3A310809"/>
    <w:rsid w:val="3A39340F"/>
    <w:rsid w:val="3A437DEA"/>
    <w:rsid w:val="3A7645E5"/>
    <w:rsid w:val="3A8543E9"/>
    <w:rsid w:val="3AA01AB2"/>
    <w:rsid w:val="3AC16F61"/>
    <w:rsid w:val="3AC705C2"/>
    <w:rsid w:val="3AD60C5E"/>
    <w:rsid w:val="3AFC57B7"/>
    <w:rsid w:val="3B057795"/>
    <w:rsid w:val="3B07350D"/>
    <w:rsid w:val="3B182CC7"/>
    <w:rsid w:val="3B2A6D61"/>
    <w:rsid w:val="3B2F3B39"/>
    <w:rsid w:val="3B3339E2"/>
    <w:rsid w:val="3B3855C2"/>
    <w:rsid w:val="3B4130B9"/>
    <w:rsid w:val="3B7346FF"/>
    <w:rsid w:val="3B9067A7"/>
    <w:rsid w:val="3B9C1EA7"/>
    <w:rsid w:val="3BB27559"/>
    <w:rsid w:val="3BB323D3"/>
    <w:rsid w:val="3BBF0327"/>
    <w:rsid w:val="3BBF395E"/>
    <w:rsid w:val="3BC907C3"/>
    <w:rsid w:val="3BDF14CC"/>
    <w:rsid w:val="3BED2703"/>
    <w:rsid w:val="3C044687"/>
    <w:rsid w:val="3C0838C1"/>
    <w:rsid w:val="3C1E41B5"/>
    <w:rsid w:val="3C20015F"/>
    <w:rsid w:val="3C2109FD"/>
    <w:rsid w:val="3C3245BA"/>
    <w:rsid w:val="3C3E2B2A"/>
    <w:rsid w:val="3C5938F5"/>
    <w:rsid w:val="3CB274A9"/>
    <w:rsid w:val="3CCE6E7F"/>
    <w:rsid w:val="3CE67D07"/>
    <w:rsid w:val="3CE84C78"/>
    <w:rsid w:val="3CF1691A"/>
    <w:rsid w:val="3D090124"/>
    <w:rsid w:val="3D3A5CC1"/>
    <w:rsid w:val="3D4027C3"/>
    <w:rsid w:val="3DA02485"/>
    <w:rsid w:val="3DAD1CC3"/>
    <w:rsid w:val="3DB35286"/>
    <w:rsid w:val="3DB46376"/>
    <w:rsid w:val="3DC56D68"/>
    <w:rsid w:val="3DC92CFC"/>
    <w:rsid w:val="3DD11BB1"/>
    <w:rsid w:val="3DFB39FD"/>
    <w:rsid w:val="3E041161"/>
    <w:rsid w:val="3E105A20"/>
    <w:rsid w:val="3E287CA5"/>
    <w:rsid w:val="3E497999"/>
    <w:rsid w:val="3E4E6154"/>
    <w:rsid w:val="3E594D47"/>
    <w:rsid w:val="3E6A1E9A"/>
    <w:rsid w:val="3E6B790F"/>
    <w:rsid w:val="3E6C6A4F"/>
    <w:rsid w:val="3E864749"/>
    <w:rsid w:val="3E8F1850"/>
    <w:rsid w:val="3E971150"/>
    <w:rsid w:val="3EAF3CA0"/>
    <w:rsid w:val="3EB00951"/>
    <w:rsid w:val="3EB44211"/>
    <w:rsid w:val="3EB62267"/>
    <w:rsid w:val="3ED16F9F"/>
    <w:rsid w:val="3ED95EA9"/>
    <w:rsid w:val="3EEA117C"/>
    <w:rsid w:val="3EFA5B90"/>
    <w:rsid w:val="3EFE309E"/>
    <w:rsid w:val="3F19514F"/>
    <w:rsid w:val="3F2517DA"/>
    <w:rsid w:val="3F2F6B8F"/>
    <w:rsid w:val="3F512870"/>
    <w:rsid w:val="3F5600D8"/>
    <w:rsid w:val="3F6236D0"/>
    <w:rsid w:val="3F6C6941"/>
    <w:rsid w:val="3F94702A"/>
    <w:rsid w:val="3FA7706D"/>
    <w:rsid w:val="3FD15E98"/>
    <w:rsid w:val="3FE06D3B"/>
    <w:rsid w:val="3FE2521F"/>
    <w:rsid w:val="400225A3"/>
    <w:rsid w:val="4004626D"/>
    <w:rsid w:val="401E6742"/>
    <w:rsid w:val="40210BCD"/>
    <w:rsid w:val="4024246B"/>
    <w:rsid w:val="402F6D46"/>
    <w:rsid w:val="40477F08"/>
    <w:rsid w:val="40520D87"/>
    <w:rsid w:val="4061546E"/>
    <w:rsid w:val="406805AA"/>
    <w:rsid w:val="406D32BA"/>
    <w:rsid w:val="407927B7"/>
    <w:rsid w:val="408B2822"/>
    <w:rsid w:val="40956EC5"/>
    <w:rsid w:val="40B97058"/>
    <w:rsid w:val="40C003E6"/>
    <w:rsid w:val="40D309FB"/>
    <w:rsid w:val="40E579E4"/>
    <w:rsid w:val="40E85247"/>
    <w:rsid w:val="40F40090"/>
    <w:rsid w:val="41546D80"/>
    <w:rsid w:val="415D3E87"/>
    <w:rsid w:val="417E1DE6"/>
    <w:rsid w:val="41A37FB5"/>
    <w:rsid w:val="41CC6917"/>
    <w:rsid w:val="41D71CA1"/>
    <w:rsid w:val="41E77978"/>
    <w:rsid w:val="41EA60CB"/>
    <w:rsid w:val="42022339"/>
    <w:rsid w:val="42132798"/>
    <w:rsid w:val="42134546"/>
    <w:rsid w:val="4233454F"/>
    <w:rsid w:val="425E2B56"/>
    <w:rsid w:val="42846AE2"/>
    <w:rsid w:val="42985759"/>
    <w:rsid w:val="42A67168"/>
    <w:rsid w:val="42A77BCB"/>
    <w:rsid w:val="42B775C7"/>
    <w:rsid w:val="42D737C5"/>
    <w:rsid w:val="42F468B7"/>
    <w:rsid w:val="42F51FEF"/>
    <w:rsid w:val="43527DA5"/>
    <w:rsid w:val="438E4A94"/>
    <w:rsid w:val="439A3786"/>
    <w:rsid w:val="439C240B"/>
    <w:rsid w:val="43A63197"/>
    <w:rsid w:val="43BE7E30"/>
    <w:rsid w:val="43D9531B"/>
    <w:rsid w:val="43F32881"/>
    <w:rsid w:val="4404683C"/>
    <w:rsid w:val="44103433"/>
    <w:rsid w:val="44213273"/>
    <w:rsid w:val="446454B9"/>
    <w:rsid w:val="447F2366"/>
    <w:rsid w:val="449F04D4"/>
    <w:rsid w:val="44B8597F"/>
    <w:rsid w:val="44E4567B"/>
    <w:rsid w:val="44E6503E"/>
    <w:rsid w:val="44EF539B"/>
    <w:rsid w:val="45093CD4"/>
    <w:rsid w:val="450E5498"/>
    <w:rsid w:val="451A3E3D"/>
    <w:rsid w:val="451C6BEA"/>
    <w:rsid w:val="45333E01"/>
    <w:rsid w:val="454D7023"/>
    <w:rsid w:val="45594965"/>
    <w:rsid w:val="456C1406"/>
    <w:rsid w:val="457160ED"/>
    <w:rsid w:val="45756A0A"/>
    <w:rsid w:val="458D460F"/>
    <w:rsid w:val="45C427BE"/>
    <w:rsid w:val="45C92BAA"/>
    <w:rsid w:val="45F85457"/>
    <w:rsid w:val="45FC0CDF"/>
    <w:rsid w:val="460A0A48"/>
    <w:rsid w:val="46131F38"/>
    <w:rsid w:val="46226C7C"/>
    <w:rsid w:val="464320EC"/>
    <w:rsid w:val="46641814"/>
    <w:rsid w:val="46733805"/>
    <w:rsid w:val="467B2000"/>
    <w:rsid w:val="4688711B"/>
    <w:rsid w:val="468B4FF2"/>
    <w:rsid w:val="46A82CD0"/>
    <w:rsid w:val="46D52711"/>
    <w:rsid w:val="46D536D2"/>
    <w:rsid w:val="46DA3884"/>
    <w:rsid w:val="46DF0E9A"/>
    <w:rsid w:val="46DF70EC"/>
    <w:rsid w:val="46F07AD6"/>
    <w:rsid w:val="470B1C8F"/>
    <w:rsid w:val="474B4782"/>
    <w:rsid w:val="47525B10"/>
    <w:rsid w:val="47876C52"/>
    <w:rsid w:val="479B5ECC"/>
    <w:rsid w:val="47AC3472"/>
    <w:rsid w:val="47CD5197"/>
    <w:rsid w:val="47E726FC"/>
    <w:rsid w:val="481D3EC7"/>
    <w:rsid w:val="482B34F2"/>
    <w:rsid w:val="48435459"/>
    <w:rsid w:val="486D24D6"/>
    <w:rsid w:val="48742B93"/>
    <w:rsid w:val="48826C2D"/>
    <w:rsid w:val="488937B4"/>
    <w:rsid w:val="488C32A4"/>
    <w:rsid w:val="488D6991"/>
    <w:rsid w:val="489573EB"/>
    <w:rsid w:val="48BE395E"/>
    <w:rsid w:val="48BE3CBF"/>
    <w:rsid w:val="48D34A2F"/>
    <w:rsid w:val="491A265E"/>
    <w:rsid w:val="493C6A78"/>
    <w:rsid w:val="4968645B"/>
    <w:rsid w:val="49885819"/>
    <w:rsid w:val="49BE748D"/>
    <w:rsid w:val="49CF100D"/>
    <w:rsid w:val="4A0A0924"/>
    <w:rsid w:val="4A2F3EE7"/>
    <w:rsid w:val="4A4645C7"/>
    <w:rsid w:val="4A507877"/>
    <w:rsid w:val="4A622B2A"/>
    <w:rsid w:val="4A767D68"/>
    <w:rsid w:val="4A871F75"/>
    <w:rsid w:val="4AE72A13"/>
    <w:rsid w:val="4AF83480"/>
    <w:rsid w:val="4B166E55"/>
    <w:rsid w:val="4B2D5FDE"/>
    <w:rsid w:val="4B36139E"/>
    <w:rsid w:val="4B4B6C02"/>
    <w:rsid w:val="4B4E4840"/>
    <w:rsid w:val="4B581BEE"/>
    <w:rsid w:val="4B5A1229"/>
    <w:rsid w:val="4B5F2840"/>
    <w:rsid w:val="4B85051F"/>
    <w:rsid w:val="4BA40904"/>
    <w:rsid w:val="4BA51A38"/>
    <w:rsid w:val="4BC04BF0"/>
    <w:rsid w:val="4BCF5981"/>
    <w:rsid w:val="4BF47196"/>
    <w:rsid w:val="4C207F8B"/>
    <w:rsid w:val="4C3C324E"/>
    <w:rsid w:val="4C454C01"/>
    <w:rsid w:val="4C561124"/>
    <w:rsid w:val="4C5D5B32"/>
    <w:rsid w:val="4C697E15"/>
    <w:rsid w:val="4C765DFD"/>
    <w:rsid w:val="4C806421"/>
    <w:rsid w:val="4CA0475B"/>
    <w:rsid w:val="4CA9593B"/>
    <w:rsid w:val="4CBE5A86"/>
    <w:rsid w:val="4CC21042"/>
    <w:rsid w:val="4CD3324F"/>
    <w:rsid w:val="4CDF4A30"/>
    <w:rsid w:val="4D0E1A0D"/>
    <w:rsid w:val="4D17314A"/>
    <w:rsid w:val="4D2C295F"/>
    <w:rsid w:val="4D3D2DBF"/>
    <w:rsid w:val="4D3F2693"/>
    <w:rsid w:val="4D450A84"/>
    <w:rsid w:val="4D4C0AEC"/>
    <w:rsid w:val="4D533318"/>
    <w:rsid w:val="4D7A7C67"/>
    <w:rsid w:val="4D8C33FE"/>
    <w:rsid w:val="4D8E361A"/>
    <w:rsid w:val="4D940915"/>
    <w:rsid w:val="4D9C68C9"/>
    <w:rsid w:val="4DB95442"/>
    <w:rsid w:val="4DD9086C"/>
    <w:rsid w:val="4DFB11F6"/>
    <w:rsid w:val="4DFC0584"/>
    <w:rsid w:val="4DFF2958"/>
    <w:rsid w:val="4E265601"/>
    <w:rsid w:val="4E2F0959"/>
    <w:rsid w:val="4E774DAA"/>
    <w:rsid w:val="4E9155FD"/>
    <w:rsid w:val="4EA50C1B"/>
    <w:rsid w:val="4EB33338"/>
    <w:rsid w:val="4EC15329"/>
    <w:rsid w:val="4ECF0241"/>
    <w:rsid w:val="4EE00D0F"/>
    <w:rsid w:val="4EF13B48"/>
    <w:rsid w:val="4F5368C9"/>
    <w:rsid w:val="4F61335F"/>
    <w:rsid w:val="4F634F3A"/>
    <w:rsid w:val="4F6F1F1D"/>
    <w:rsid w:val="4F770D88"/>
    <w:rsid w:val="4FB76013"/>
    <w:rsid w:val="4FB86591"/>
    <w:rsid w:val="4FBA4253"/>
    <w:rsid w:val="4FC81DBA"/>
    <w:rsid w:val="4FCA0E8E"/>
    <w:rsid w:val="4FD01CC8"/>
    <w:rsid w:val="4FE52E29"/>
    <w:rsid w:val="4FEB6B02"/>
    <w:rsid w:val="4FF21C3E"/>
    <w:rsid w:val="4FFB7568"/>
    <w:rsid w:val="50047BC4"/>
    <w:rsid w:val="500C2E3A"/>
    <w:rsid w:val="5032028D"/>
    <w:rsid w:val="50593A6B"/>
    <w:rsid w:val="50664363"/>
    <w:rsid w:val="5089456A"/>
    <w:rsid w:val="50D650BC"/>
    <w:rsid w:val="50EB36A6"/>
    <w:rsid w:val="50ED0AB6"/>
    <w:rsid w:val="50ED3F31"/>
    <w:rsid w:val="51273B6A"/>
    <w:rsid w:val="513918A9"/>
    <w:rsid w:val="516052CE"/>
    <w:rsid w:val="517B4996"/>
    <w:rsid w:val="51842D6A"/>
    <w:rsid w:val="51846EC9"/>
    <w:rsid w:val="518C1C1F"/>
    <w:rsid w:val="51B66C9C"/>
    <w:rsid w:val="51D07D5D"/>
    <w:rsid w:val="51D6733E"/>
    <w:rsid w:val="521A3F9A"/>
    <w:rsid w:val="52655659"/>
    <w:rsid w:val="52951AB7"/>
    <w:rsid w:val="52B64958"/>
    <w:rsid w:val="52CA1D4B"/>
    <w:rsid w:val="52D80BEE"/>
    <w:rsid w:val="530C3017"/>
    <w:rsid w:val="5314011E"/>
    <w:rsid w:val="53216E56"/>
    <w:rsid w:val="53420DCF"/>
    <w:rsid w:val="534700CF"/>
    <w:rsid w:val="53513120"/>
    <w:rsid w:val="53631B2A"/>
    <w:rsid w:val="537C336B"/>
    <w:rsid w:val="538928D5"/>
    <w:rsid w:val="539F20DD"/>
    <w:rsid w:val="539F21DB"/>
    <w:rsid w:val="53BD2563"/>
    <w:rsid w:val="53D007F5"/>
    <w:rsid w:val="53F254B5"/>
    <w:rsid w:val="54086684"/>
    <w:rsid w:val="540A3C5A"/>
    <w:rsid w:val="54124A42"/>
    <w:rsid w:val="54261E03"/>
    <w:rsid w:val="544057FD"/>
    <w:rsid w:val="54436F0C"/>
    <w:rsid w:val="5449726B"/>
    <w:rsid w:val="544A7F16"/>
    <w:rsid w:val="545509EE"/>
    <w:rsid w:val="546A2608"/>
    <w:rsid w:val="546B6E19"/>
    <w:rsid w:val="54715343"/>
    <w:rsid w:val="547370C6"/>
    <w:rsid w:val="5475533D"/>
    <w:rsid w:val="54803934"/>
    <w:rsid w:val="548254F0"/>
    <w:rsid w:val="5485514F"/>
    <w:rsid w:val="548D558B"/>
    <w:rsid w:val="549A6C2B"/>
    <w:rsid w:val="54A8538E"/>
    <w:rsid w:val="54AC51AF"/>
    <w:rsid w:val="54AE00FE"/>
    <w:rsid w:val="54BA4CF5"/>
    <w:rsid w:val="54C36344"/>
    <w:rsid w:val="55082A65"/>
    <w:rsid w:val="5523747A"/>
    <w:rsid w:val="55346855"/>
    <w:rsid w:val="553625CD"/>
    <w:rsid w:val="554A7ADE"/>
    <w:rsid w:val="556C5E8F"/>
    <w:rsid w:val="5587082F"/>
    <w:rsid w:val="55911302"/>
    <w:rsid w:val="55985036"/>
    <w:rsid w:val="559F4616"/>
    <w:rsid w:val="55B856D8"/>
    <w:rsid w:val="55B950FF"/>
    <w:rsid w:val="55C53EA6"/>
    <w:rsid w:val="55D32512"/>
    <w:rsid w:val="55E83909"/>
    <w:rsid w:val="55FD6573"/>
    <w:rsid w:val="561F7505"/>
    <w:rsid w:val="564D7C03"/>
    <w:rsid w:val="56525419"/>
    <w:rsid w:val="565B7FD3"/>
    <w:rsid w:val="567809C3"/>
    <w:rsid w:val="56B23ED5"/>
    <w:rsid w:val="56CE1DB8"/>
    <w:rsid w:val="56F52014"/>
    <w:rsid w:val="57007C70"/>
    <w:rsid w:val="57377952"/>
    <w:rsid w:val="574C6E0F"/>
    <w:rsid w:val="576C40CA"/>
    <w:rsid w:val="576F174B"/>
    <w:rsid w:val="579D2DD8"/>
    <w:rsid w:val="57D4668D"/>
    <w:rsid w:val="57D77E09"/>
    <w:rsid w:val="57DF609E"/>
    <w:rsid w:val="57ED4E4E"/>
    <w:rsid w:val="58005114"/>
    <w:rsid w:val="58263B5F"/>
    <w:rsid w:val="582C415B"/>
    <w:rsid w:val="584F5295"/>
    <w:rsid w:val="58515ED5"/>
    <w:rsid w:val="58574B26"/>
    <w:rsid w:val="585F3F16"/>
    <w:rsid w:val="586503D5"/>
    <w:rsid w:val="58BC728D"/>
    <w:rsid w:val="58C3686E"/>
    <w:rsid w:val="58D053E0"/>
    <w:rsid w:val="58E34992"/>
    <w:rsid w:val="58E705F6"/>
    <w:rsid w:val="58EC5D3C"/>
    <w:rsid w:val="59016536"/>
    <w:rsid w:val="590C29FE"/>
    <w:rsid w:val="59237CED"/>
    <w:rsid w:val="592E4385"/>
    <w:rsid w:val="59382F53"/>
    <w:rsid w:val="593C29B5"/>
    <w:rsid w:val="59513E7A"/>
    <w:rsid w:val="595B2265"/>
    <w:rsid w:val="59613991"/>
    <w:rsid w:val="596D67DA"/>
    <w:rsid w:val="59822285"/>
    <w:rsid w:val="59965D30"/>
    <w:rsid w:val="59A537CB"/>
    <w:rsid w:val="59B83EF9"/>
    <w:rsid w:val="59C87461"/>
    <w:rsid w:val="59C9625C"/>
    <w:rsid w:val="59CF4D9E"/>
    <w:rsid w:val="59E9690A"/>
    <w:rsid w:val="59EF2443"/>
    <w:rsid w:val="59F26FCA"/>
    <w:rsid w:val="5A2450EA"/>
    <w:rsid w:val="5A2B7E5E"/>
    <w:rsid w:val="5A3C754B"/>
    <w:rsid w:val="5A4B6B1B"/>
    <w:rsid w:val="5A581238"/>
    <w:rsid w:val="5A6C75D8"/>
    <w:rsid w:val="5A70032F"/>
    <w:rsid w:val="5A702DFA"/>
    <w:rsid w:val="5A821E11"/>
    <w:rsid w:val="5A8D6E0C"/>
    <w:rsid w:val="5A9009D2"/>
    <w:rsid w:val="5AA07F40"/>
    <w:rsid w:val="5ABB5323"/>
    <w:rsid w:val="5ABE7E1B"/>
    <w:rsid w:val="5AD1185B"/>
    <w:rsid w:val="5AD76600"/>
    <w:rsid w:val="5AE67E70"/>
    <w:rsid w:val="5AE900E2"/>
    <w:rsid w:val="5B071AB3"/>
    <w:rsid w:val="5B28184F"/>
    <w:rsid w:val="5B31425D"/>
    <w:rsid w:val="5B3E042E"/>
    <w:rsid w:val="5B433C96"/>
    <w:rsid w:val="5B644A23"/>
    <w:rsid w:val="5B650D9F"/>
    <w:rsid w:val="5B70610D"/>
    <w:rsid w:val="5B7C4A30"/>
    <w:rsid w:val="5B8D6CBF"/>
    <w:rsid w:val="5B94782C"/>
    <w:rsid w:val="5B9B5880"/>
    <w:rsid w:val="5BB10BFF"/>
    <w:rsid w:val="5BD963A8"/>
    <w:rsid w:val="5BDE0537"/>
    <w:rsid w:val="5BED4D57"/>
    <w:rsid w:val="5C0D2396"/>
    <w:rsid w:val="5C2A578C"/>
    <w:rsid w:val="5C34586C"/>
    <w:rsid w:val="5C3A1D29"/>
    <w:rsid w:val="5C5D30F4"/>
    <w:rsid w:val="5C817072"/>
    <w:rsid w:val="5C9304DA"/>
    <w:rsid w:val="5CB564CD"/>
    <w:rsid w:val="5CC606DB"/>
    <w:rsid w:val="5CC7539F"/>
    <w:rsid w:val="5D35760E"/>
    <w:rsid w:val="5D3A50DF"/>
    <w:rsid w:val="5D4D387D"/>
    <w:rsid w:val="5D50269A"/>
    <w:rsid w:val="5D577585"/>
    <w:rsid w:val="5D623A6C"/>
    <w:rsid w:val="5D646797"/>
    <w:rsid w:val="5D6851F5"/>
    <w:rsid w:val="5D861C18"/>
    <w:rsid w:val="5D924A61"/>
    <w:rsid w:val="5DB619E8"/>
    <w:rsid w:val="5E2254EE"/>
    <w:rsid w:val="5E3C677A"/>
    <w:rsid w:val="5E3E24F3"/>
    <w:rsid w:val="5E442CB7"/>
    <w:rsid w:val="5E531B97"/>
    <w:rsid w:val="5E6B54B1"/>
    <w:rsid w:val="5E8D2F3A"/>
    <w:rsid w:val="5EB379E0"/>
    <w:rsid w:val="5EBD7285"/>
    <w:rsid w:val="5EC85701"/>
    <w:rsid w:val="5ED77613"/>
    <w:rsid w:val="5EF43590"/>
    <w:rsid w:val="5EFA0A12"/>
    <w:rsid w:val="5F0337AE"/>
    <w:rsid w:val="5F144DEA"/>
    <w:rsid w:val="5F317957"/>
    <w:rsid w:val="5F5F4E16"/>
    <w:rsid w:val="5F776C17"/>
    <w:rsid w:val="5F7E3018"/>
    <w:rsid w:val="5F8E1258"/>
    <w:rsid w:val="5FFC4413"/>
    <w:rsid w:val="60243AEA"/>
    <w:rsid w:val="60402552"/>
    <w:rsid w:val="60455DBA"/>
    <w:rsid w:val="60554E30"/>
    <w:rsid w:val="60803296"/>
    <w:rsid w:val="60844B35"/>
    <w:rsid w:val="608A5EC3"/>
    <w:rsid w:val="60941DC3"/>
    <w:rsid w:val="60A01243"/>
    <w:rsid w:val="60A461F2"/>
    <w:rsid w:val="60AE3960"/>
    <w:rsid w:val="60C531B3"/>
    <w:rsid w:val="60DD4A82"/>
    <w:rsid w:val="60EB4BB4"/>
    <w:rsid w:val="60F1388E"/>
    <w:rsid w:val="60FA4DF7"/>
    <w:rsid w:val="60FB7781"/>
    <w:rsid w:val="610E08A2"/>
    <w:rsid w:val="61214226"/>
    <w:rsid w:val="61333E65"/>
    <w:rsid w:val="61342A4A"/>
    <w:rsid w:val="6151253D"/>
    <w:rsid w:val="616B02CD"/>
    <w:rsid w:val="61A134C4"/>
    <w:rsid w:val="61A77079"/>
    <w:rsid w:val="61DA61FE"/>
    <w:rsid w:val="61EA6C19"/>
    <w:rsid w:val="61EE5FDE"/>
    <w:rsid w:val="62600C89"/>
    <w:rsid w:val="626F0699"/>
    <w:rsid w:val="62816F83"/>
    <w:rsid w:val="628506F0"/>
    <w:rsid w:val="628C1A7E"/>
    <w:rsid w:val="62A35517"/>
    <w:rsid w:val="62A41BB4"/>
    <w:rsid w:val="62A96AD4"/>
    <w:rsid w:val="62B92A90"/>
    <w:rsid w:val="62BE1E54"/>
    <w:rsid w:val="62D653F0"/>
    <w:rsid w:val="62D6732E"/>
    <w:rsid w:val="62F4609A"/>
    <w:rsid w:val="63041F5D"/>
    <w:rsid w:val="630B32EB"/>
    <w:rsid w:val="635527B8"/>
    <w:rsid w:val="635C0E45"/>
    <w:rsid w:val="636659DA"/>
    <w:rsid w:val="6367377F"/>
    <w:rsid w:val="63750765"/>
    <w:rsid w:val="638279B4"/>
    <w:rsid w:val="639473F3"/>
    <w:rsid w:val="639C64A0"/>
    <w:rsid w:val="63A17090"/>
    <w:rsid w:val="63C54BC1"/>
    <w:rsid w:val="63DD6563"/>
    <w:rsid w:val="640D3ADF"/>
    <w:rsid w:val="641235FA"/>
    <w:rsid w:val="64124205"/>
    <w:rsid w:val="641B438D"/>
    <w:rsid w:val="641F5EA8"/>
    <w:rsid w:val="642372D3"/>
    <w:rsid w:val="643028DD"/>
    <w:rsid w:val="643D56FD"/>
    <w:rsid w:val="646C0914"/>
    <w:rsid w:val="64852C29"/>
    <w:rsid w:val="64B03C3F"/>
    <w:rsid w:val="64BD7D3B"/>
    <w:rsid w:val="64BE25DF"/>
    <w:rsid w:val="64E10FFC"/>
    <w:rsid w:val="64FA236A"/>
    <w:rsid w:val="65000502"/>
    <w:rsid w:val="651708B8"/>
    <w:rsid w:val="65181CEF"/>
    <w:rsid w:val="651A1369"/>
    <w:rsid w:val="65454382"/>
    <w:rsid w:val="65532D27"/>
    <w:rsid w:val="655D5954"/>
    <w:rsid w:val="655D7FBE"/>
    <w:rsid w:val="65911D40"/>
    <w:rsid w:val="65B65064"/>
    <w:rsid w:val="65C14135"/>
    <w:rsid w:val="65E6594A"/>
    <w:rsid w:val="65F24568"/>
    <w:rsid w:val="65F97079"/>
    <w:rsid w:val="65FF1E91"/>
    <w:rsid w:val="66140709"/>
    <w:rsid w:val="66154481"/>
    <w:rsid w:val="664A6492"/>
    <w:rsid w:val="66522FDF"/>
    <w:rsid w:val="665705F5"/>
    <w:rsid w:val="6672630C"/>
    <w:rsid w:val="667F4F0E"/>
    <w:rsid w:val="669B46E7"/>
    <w:rsid w:val="66D41C46"/>
    <w:rsid w:val="66F75934"/>
    <w:rsid w:val="66F928BE"/>
    <w:rsid w:val="67236729"/>
    <w:rsid w:val="674212A6"/>
    <w:rsid w:val="6751773B"/>
    <w:rsid w:val="677B0314"/>
    <w:rsid w:val="67917B37"/>
    <w:rsid w:val="67A55390"/>
    <w:rsid w:val="67B657F0"/>
    <w:rsid w:val="67C40077"/>
    <w:rsid w:val="67CF52F1"/>
    <w:rsid w:val="67E81E4D"/>
    <w:rsid w:val="682F27E3"/>
    <w:rsid w:val="68727968"/>
    <w:rsid w:val="68792AA5"/>
    <w:rsid w:val="68882CE8"/>
    <w:rsid w:val="68BB4E93"/>
    <w:rsid w:val="68C86C1E"/>
    <w:rsid w:val="68C966C7"/>
    <w:rsid w:val="68D66149"/>
    <w:rsid w:val="68F70246"/>
    <w:rsid w:val="690507DD"/>
    <w:rsid w:val="69143F32"/>
    <w:rsid w:val="69286279"/>
    <w:rsid w:val="693764BC"/>
    <w:rsid w:val="693E3CEF"/>
    <w:rsid w:val="6959602B"/>
    <w:rsid w:val="697C0F04"/>
    <w:rsid w:val="69A77179"/>
    <w:rsid w:val="69DA3A17"/>
    <w:rsid w:val="69E45686"/>
    <w:rsid w:val="69F767C2"/>
    <w:rsid w:val="6A2922A9"/>
    <w:rsid w:val="6A3D7B02"/>
    <w:rsid w:val="6A5512F0"/>
    <w:rsid w:val="6A750417"/>
    <w:rsid w:val="6A7A0B7A"/>
    <w:rsid w:val="6A7B2288"/>
    <w:rsid w:val="6A9F17ED"/>
    <w:rsid w:val="6ABD617F"/>
    <w:rsid w:val="6AC25622"/>
    <w:rsid w:val="6AEC3960"/>
    <w:rsid w:val="6B122D3D"/>
    <w:rsid w:val="6B3E7FD6"/>
    <w:rsid w:val="6B57195A"/>
    <w:rsid w:val="6B680BAF"/>
    <w:rsid w:val="6B715CB5"/>
    <w:rsid w:val="6B7D2E5E"/>
    <w:rsid w:val="6B8320C0"/>
    <w:rsid w:val="6BAF2C82"/>
    <w:rsid w:val="6BD154CC"/>
    <w:rsid w:val="6BDF4621"/>
    <w:rsid w:val="6BE10B92"/>
    <w:rsid w:val="6BE446D9"/>
    <w:rsid w:val="6BEC7A32"/>
    <w:rsid w:val="6C305C8F"/>
    <w:rsid w:val="6C5D26DE"/>
    <w:rsid w:val="6C6905AE"/>
    <w:rsid w:val="6CA72432"/>
    <w:rsid w:val="6CAF2C3A"/>
    <w:rsid w:val="6CB5251A"/>
    <w:rsid w:val="6CBC7404"/>
    <w:rsid w:val="6CC92D08"/>
    <w:rsid w:val="6CE16E6B"/>
    <w:rsid w:val="6CF84AFB"/>
    <w:rsid w:val="6D101F46"/>
    <w:rsid w:val="6D317DF2"/>
    <w:rsid w:val="6D54506F"/>
    <w:rsid w:val="6D805845"/>
    <w:rsid w:val="6D8343C6"/>
    <w:rsid w:val="6E032E11"/>
    <w:rsid w:val="6E071562"/>
    <w:rsid w:val="6E0E5A3E"/>
    <w:rsid w:val="6E165BD9"/>
    <w:rsid w:val="6E1967BA"/>
    <w:rsid w:val="6E3556C0"/>
    <w:rsid w:val="6E3A43B9"/>
    <w:rsid w:val="6E4B0A38"/>
    <w:rsid w:val="6E906D9A"/>
    <w:rsid w:val="6E9D5013"/>
    <w:rsid w:val="6EA445F4"/>
    <w:rsid w:val="6EB56801"/>
    <w:rsid w:val="6EBC7B8F"/>
    <w:rsid w:val="6EE028B7"/>
    <w:rsid w:val="6EE721AB"/>
    <w:rsid w:val="6F0143B1"/>
    <w:rsid w:val="6F083740"/>
    <w:rsid w:val="6F143527"/>
    <w:rsid w:val="6F172914"/>
    <w:rsid w:val="6F1A6664"/>
    <w:rsid w:val="6F4B0F13"/>
    <w:rsid w:val="6F4D07E7"/>
    <w:rsid w:val="6F9E7295"/>
    <w:rsid w:val="6FAD1286"/>
    <w:rsid w:val="6FD63CDD"/>
    <w:rsid w:val="6FE105F2"/>
    <w:rsid w:val="6FEA0792"/>
    <w:rsid w:val="6FEE03BB"/>
    <w:rsid w:val="6FFF26AD"/>
    <w:rsid w:val="70051ADB"/>
    <w:rsid w:val="706202C3"/>
    <w:rsid w:val="708727AC"/>
    <w:rsid w:val="7089584F"/>
    <w:rsid w:val="70950698"/>
    <w:rsid w:val="70955915"/>
    <w:rsid w:val="709F3E68"/>
    <w:rsid w:val="70C04FE9"/>
    <w:rsid w:val="70C31D6B"/>
    <w:rsid w:val="70C525FF"/>
    <w:rsid w:val="70F74CDB"/>
    <w:rsid w:val="712210AB"/>
    <w:rsid w:val="712D491D"/>
    <w:rsid w:val="71630796"/>
    <w:rsid w:val="71680632"/>
    <w:rsid w:val="717C53B4"/>
    <w:rsid w:val="71904B0C"/>
    <w:rsid w:val="71A010A2"/>
    <w:rsid w:val="71C73801"/>
    <w:rsid w:val="71CD0CB1"/>
    <w:rsid w:val="71DC40A5"/>
    <w:rsid w:val="71DC5E53"/>
    <w:rsid w:val="71E51B16"/>
    <w:rsid w:val="71E847F7"/>
    <w:rsid w:val="71F92460"/>
    <w:rsid w:val="721E268A"/>
    <w:rsid w:val="722E5429"/>
    <w:rsid w:val="7233601F"/>
    <w:rsid w:val="72347A17"/>
    <w:rsid w:val="724C122A"/>
    <w:rsid w:val="726F6CC7"/>
    <w:rsid w:val="728B5CD6"/>
    <w:rsid w:val="72BD7A32"/>
    <w:rsid w:val="72D134DE"/>
    <w:rsid w:val="72D80D10"/>
    <w:rsid w:val="731735E6"/>
    <w:rsid w:val="73262214"/>
    <w:rsid w:val="73307239"/>
    <w:rsid w:val="733A67CD"/>
    <w:rsid w:val="736F095A"/>
    <w:rsid w:val="7375030D"/>
    <w:rsid w:val="739E1612"/>
    <w:rsid w:val="73B52DFF"/>
    <w:rsid w:val="73C05DEA"/>
    <w:rsid w:val="73C13552"/>
    <w:rsid w:val="73DE78B6"/>
    <w:rsid w:val="73E11791"/>
    <w:rsid w:val="73E8397D"/>
    <w:rsid w:val="73F15E96"/>
    <w:rsid w:val="73F166B8"/>
    <w:rsid w:val="74033665"/>
    <w:rsid w:val="740D2781"/>
    <w:rsid w:val="74123DAE"/>
    <w:rsid w:val="74343D24"/>
    <w:rsid w:val="744C0E93"/>
    <w:rsid w:val="74533F62"/>
    <w:rsid w:val="745374F7"/>
    <w:rsid w:val="74891E24"/>
    <w:rsid w:val="74C01A5C"/>
    <w:rsid w:val="74D177C5"/>
    <w:rsid w:val="74D6302D"/>
    <w:rsid w:val="74EF066E"/>
    <w:rsid w:val="74F87447"/>
    <w:rsid w:val="75243D99"/>
    <w:rsid w:val="7548217D"/>
    <w:rsid w:val="75492412"/>
    <w:rsid w:val="75631015"/>
    <w:rsid w:val="75886F8B"/>
    <w:rsid w:val="75BE243F"/>
    <w:rsid w:val="75CB6EB8"/>
    <w:rsid w:val="75F23E97"/>
    <w:rsid w:val="75F6664F"/>
    <w:rsid w:val="765C57B4"/>
    <w:rsid w:val="76612DCA"/>
    <w:rsid w:val="76724FD8"/>
    <w:rsid w:val="76A342F7"/>
    <w:rsid w:val="76B61368"/>
    <w:rsid w:val="76BD44A5"/>
    <w:rsid w:val="76C667BC"/>
    <w:rsid w:val="76D75E34"/>
    <w:rsid w:val="76E2215D"/>
    <w:rsid w:val="76EB0BA9"/>
    <w:rsid w:val="77212C85"/>
    <w:rsid w:val="774A27DE"/>
    <w:rsid w:val="77646FC0"/>
    <w:rsid w:val="776F0CF3"/>
    <w:rsid w:val="77732DB5"/>
    <w:rsid w:val="777A09CC"/>
    <w:rsid w:val="77840F6C"/>
    <w:rsid w:val="77876861"/>
    <w:rsid w:val="778F5FCB"/>
    <w:rsid w:val="77A2161B"/>
    <w:rsid w:val="77A621AC"/>
    <w:rsid w:val="77B353F1"/>
    <w:rsid w:val="77CD4BBB"/>
    <w:rsid w:val="780B56E4"/>
    <w:rsid w:val="7826722D"/>
    <w:rsid w:val="782D7408"/>
    <w:rsid w:val="78405FDD"/>
    <w:rsid w:val="785D5BF2"/>
    <w:rsid w:val="786C7F30"/>
    <w:rsid w:val="789E20B4"/>
    <w:rsid w:val="78C338C8"/>
    <w:rsid w:val="78D750E8"/>
    <w:rsid w:val="78DB67FF"/>
    <w:rsid w:val="78E026CC"/>
    <w:rsid w:val="79565B55"/>
    <w:rsid w:val="797057FE"/>
    <w:rsid w:val="79B25E17"/>
    <w:rsid w:val="79CD0EA3"/>
    <w:rsid w:val="79E9735F"/>
    <w:rsid w:val="79FE79DA"/>
    <w:rsid w:val="7A127B9E"/>
    <w:rsid w:val="7A252A8D"/>
    <w:rsid w:val="7A291E51"/>
    <w:rsid w:val="7A2F56B9"/>
    <w:rsid w:val="7A304F8E"/>
    <w:rsid w:val="7A342CD0"/>
    <w:rsid w:val="7A3F3423"/>
    <w:rsid w:val="7A4C797B"/>
    <w:rsid w:val="7A515AA2"/>
    <w:rsid w:val="7A665F33"/>
    <w:rsid w:val="7A735C17"/>
    <w:rsid w:val="7A87102F"/>
    <w:rsid w:val="7A887546"/>
    <w:rsid w:val="7A9719D9"/>
    <w:rsid w:val="7A99244D"/>
    <w:rsid w:val="7AA71D7C"/>
    <w:rsid w:val="7AA94B13"/>
    <w:rsid w:val="7AAD5FEE"/>
    <w:rsid w:val="7ABA3AA8"/>
    <w:rsid w:val="7B191EC6"/>
    <w:rsid w:val="7B2B25BE"/>
    <w:rsid w:val="7B3B008E"/>
    <w:rsid w:val="7B4C6168"/>
    <w:rsid w:val="7B6F1AE6"/>
    <w:rsid w:val="7B737828"/>
    <w:rsid w:val="7B9638E8"/>
    <w:rsid w:val="7B9A223B"/>
    <w:rsid w:val="7BAB4C32"/>
    <w:rsid w:val="7BAE260E"/>
    <w:rsid w:val="7BCB4AE2"/>
    <w:rsid w:val="7BCE2CB0"/>
    <w:rsid w:val="7BDC53CD"/>
    <w:rsid w:val="7BEB5610"/>
    <w:rsid w:val="7BF06666"/>
    <w:rsid w:val="7BF9402F"/>
    <w:rsid w:val="7C044924"/>
    <w:rsid w:val="7C0900EB"/>
    <w:rsid w:val="7C2A29F8"/>
    <w:rsid w:val="7C3340C7"/>
    <w:rsid w:val="7C492337"/>
    <w:rsid w:val="7C4D4974"/>
    <w:rsid w:val="7C5A2180"/>
    <w:rsid w:val="7C5B09E8"/>
    <w:rsid w:val="7CAD66A6"/>
    <w:rsid w:val="7CB15915"/>
    <w:rsid w:val="7CE309DD"/>
    <w:rsid w:val="7CF312BE"/>
    <w:rsid w:val="7D133397"/>
    <w:rsid w:val="7D287CAD"/>
    <w:rsid w:val="7D382289"/>
    <w:rsid w:val="7D9120E2"/>
    <w:rsid w:val="7DCF4ABD"/>
    <w:rsid w:val="7DF2712A"/>
    <w:rsid w:val="7E3A6EB0"/>
    <w:rsid w:val="7E4A6546"/>
    <w:rsid w:val="7E5C0A47"/>
    <w:rsid w:val="7E695E0F"/>
    <w:rsid w:val="7E7421DD"/>
    <w:rsid w:val="7E910D86"/>
    <w:rsid w:val="7E951ADF"/>
    <w:rsid w:val="7EA85C77"/>
    <w:rsid w:val="7ED54355"/>
    <w:rsid w:val="7EDA0885"/>
    <w:rsid w:val="7EF46ED2"/>
    <w:rsid w:val="7F1629A4"/>
    <w:rsid w:val="7F2552DD"/>
    <w:rsid w:val="7F385010"/>
    <w:rsid w:val="7F800765"/>
    <w:rsid w:val="7F991773"/>
    <w:rsid w:val="7FD003CD"/>
    <w:rsid w:val="7FD16703"/>
    <w:rsid w:val="7FE629AD"/>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7"/>
    <w:qFormat/>
    <w:uiPriority w:val="0"/>
    <w:pPr>
      <w:keepNext/>
      <w:keepLines/>
      <w:spacing w:before="260" w:after="260" w:line="416" w:lineRule="auto"/>
      <w:outlineLvl w:val="2"/>
    </w:pPr>
    <w:rPr>
      <w:b/>
      <w:bCs/>
      <w:sz w:val="32"/>
      <w:szCs w:val="32"/>
    </w:rPr>
  </w:style>
  <w:style w:type="paragraph" w:styleId="5">
    <w:name w:val="heading 4"/>
    <w:basedOn w:val="1"/>
    <w:next w:val="1"/>
    <w:link w:val="190"/>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30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6"/>
    <w:qFormat/>
    <w:uiPriority w:val="0"/>
    <w:pPr>
      <w:keepNext/>
      <w:keepLines/>
      <w:ind w:firstLine="200" w:firstLineChars="200"/>
      <w:outlineLvl w:val="5"/>
    </w:pPr>
    <w:rPr>
      <w:rFonts w:hAnsi="Arial"/>
    </w:rPr>
  </w:style>
  <w:style w:type="paragraph" w:styleId="9">
    <w:name w:val="heading 7"/>
    <w:basedOn w:val="1"/>
    <w:next w:val="1"/>
    <w:link w:val="28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List 3"/>
    <w:basedOn w:val="1"/>
    <w:next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5"/>
    <w:qFormat/>
    <w:uiPriority w:val="0"/>
    <w:pPr>
      <w:shd w:val="clear" w:color="auto" w:fill="000080"/>
    </w:pPr>
  </w:style>
  <w:style w:type="paragraph" w:styleId="16">
    <w:name w:val="annotation text"/>
    <w:basedOn w:val="1"/>
    <w:link w:val="299"/>
    <w:qFormat/>
    <w:uiPriority w:val="99"/>
    <w:pPr>
      <w:jc w:val="left"/>
    </w:pPr>
  </w:style>
  <w:style w:type="paragraph" w:styleId="17">
    <w:name w:val="Body Text 3"/>
    <w:basedOn w:val="1"/>
    <w:link w:val="318"/>
    <w:qFormat/>
    <w:uiPriority w:val="0"/>
    <w:pPr>
      <w:spacing w:after="120"/>
    </w:pPr>
    <w:rPr>
      <w:sz w:val="16"/>
      <w:szCs w:val="16"/>
    </w:rPr>
  </w:style>
  <w:style w:type="paragraph" w:styleId="18">
    <w:name w:val="Body Text"/>
    <w:basedOn w:val="1"/>
    <w:next w:val="1"/>
    <w:link w:val="225"/>
    <w:qFormat/>
    <w:uiPriority w:val="0"/>
    <w:pPr>
      <w:spacing w:after="120"/>
    </w:pPr>
  </w:style>
  <w:style w:type="paragraph" w:styleId="19">
    <w:name w:val="Body Text Indent"/>
    <w:basedOn w:val="1"/>
    <w:link w:val="27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1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9"/>
    <w:qFormat/>
    <w:uiPriority w:val="0"/>
    <w:pPr>
      <w:ind w:left="100" w:leftChars="2500"/>
    </w:pPr>
  </w:style>
  <w:style w:type="paragraph" w:styleId="27">
    <w:name w:val="Body Text Indent 2"/>
    <w:basedOn w:val="1"/>
    <w:link w:val="281"/>
    <w:qFormat/>
    <w:uiPriority w:val="0"/>
    <w:pPr>
      <w:widowControl/>
      <w:spacing w:line="480" w:lineRule="auto"/>
      <w:ind w:firstLine="560"/>
      <w:jc w:val="left"/>
    </w:pPr>
    <w:rPr>
      <w:kern w:val="0"/>
      <w:sz w:val="28"/>
    </w:rPr>
  </w:style>
  <w:style w:type="paragraph" w:styleId="28">
    <w:name w:val="endnote text"/>
    <w:basedOn w:val="1"/>
    <w:link w:val="192"/>
    <w:qFormat/>
    <w:uiPriority w:val="0"/>
    <w:pPr>
      <w:widowControl/>
      <w:snapToGrid w:val="0"/>
      <w:jc w:val="left"/>
    </w:pPr>
    <w:rPr>
      <w:rFonts w:ascii="Arial" w:hAnsi="Arial" w:cs="Arial"/>
      <w:kern w:val="0"/>
      <w:sz w:val="20"/>
      <w:lang w:eastAsia="en-US"/>
    </w:rPr>
  </w:style>
  <w:style w:type="paragraph" w:styleId="29">
    <w:name w:val="Balloon Text"/>
    <w:basedOn w:val="1"/>
    <w:link w:val="219"/>
    <w:qFormat/>
    <w:uiPriority w:val="0"/>
    <w:rPr>
      <w:sz w:val="18"/>
      <w:szCs w:val="18"/>
    </w:rPr>
  </w:style>
  <w:style w:type="paragraph" w:styleId="30">
    <w:name w:val="footer"/>
    <w:basedOn w:val="1"/>
    <w:link w:val="207"/>
    <w:qFormat/>
    <w:uiPriority w:val="0"/>
    <w:pPr>
      <w:tabs>
        <w:tab w:val="center" w:pos="4153"/>
        <w:tab w:val="right" w:pos="8306"/>
      </w:tabs>
      <w:snapToGrid w:val="0"/>
      <w:jc w:val="left"/>
    </w:pPr>
    <w:rPr>
      <w:sz w:val="18"/>
      <w:szCs w:val="18"/>
    </w:rPr>
  </w:style>
  <w:style w:type="paragraph" w:styleId="31">
    <w:name w:val="header"/>
    <w:basedOn w:val="1"/>
    <w:link w:val="24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1"/>
    <w:qFormat/>
    <w:uiPriority w:val="0"/>
    <w:pPr>
      <w:widowControl/>
      <w:jc w:val="center"/>
    </w:pPr>
    <w:rPr>
      <w:kern w:val="0"/>
      <w:sz w:val="20"/>
      <w:u w:val="single"/>
      <w:lang w:eastAsia="en-US"/>
    </w:rPr>
  </w:style>
  <w:style w:type="paragraph" w:styleId="35">
    <w:name w:val="footnote text"/>
    <w:basedOn w:val="1"/>
    <w:link w:val="227"/>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4"/>
    <w:qFormat/>
    <w:uiPriority w:val="0"/>
    <w:rPr>
      <w:i/>
      <w:iCs/>
      <w:sz w:val="26"/>
    </w:rPr>
  </w:style>
  <w:style w:type="paragraph" w:styleId="41">
    <w:name w:val="HTML Preformatted"/>
    <w:basedOn w:val="1"/>
    <w:link w:val="1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22"/>
    <w:qFormat/>
    <w:uiPriority w:val="0"/>
    <w:pPr>
      <w:widowControl/>
      <w:jc w:val="center"/>
    </w:pPr>
    <w:rPr>
      <w:kern w:val="0"/>
      <w:sz w:val="20"/>
      <w:u w:val="single"/>
      <w:lang w:eastAsia="en-US"/>
    </w:rPr>
  </w:style>
  <w:style w:type="paragraph" w:styleId="45">
    <w:name w:val="annotation subject"/>
    <w:basedOn w:val="16"/>
    <w:next w:val="16"/>
    <w:link w:val="273"/>
    <w:qFormat/>
    <w:uiPriority w:val="0"/>
    <w:rPr>
      <w:b/>
      <w:bCs/>
    </w:rPr>
  </w:style>
  <w:style w:type="paragraph" w:styleId="46">
    <w:name w:val="Body Text First Indent"/>
    <w:basedOn w:val="1"/>
    <w:next w:val="12"/>
    <w:qFormat/>
    <w:uiPriority w:val="0"/>
    <w:pPr>
      <w:spacing w:line="360" w:lineRule="auto"/>
      <w:ind w:firstLine="420"/>
    </w:pPr>
    <w:rPr>
      <w:rFonts w:ascii="宋体" w:hAnsi="宋体"/>
      <w:sz w:val="24"/>
    </w:rPr>
  </w:style>
  <w:style w:type="paragraph" w:styleId="47">
    <w:name w:val="Body Text First Indent 2"/>
    <w:basedOn w:val="19"/>
    <w:unhideWhenUsed/>
    <w:qFormat/>
    <w:uiPriority w:val="99"/>
    <w:pPr>
      <w:spacing w:after="120"/>
      <w:ind w:left="20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qFormat/>
    <w:uiPriority w:val="99"/>
    <w:rPr>
      <w:color w:val="0000FF"/>
      <w:u w:val="single"/>
    </w:rPr>
  </w:style>
  <w:style w:type="character" w:styleId="61">
    <w:name w:val="HTML Code"/>
    <w:basedOn w:val="50"/>
    <w:qFormat/>
    <w:uiPriority w:val="0"/>
    <w:rPr>
      <w:rFonts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hint="default"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character" w:customStyle="1" w:styleId="67">
    <w:name w:val="标题 1 Char"/>
    <w:qFormat/>
    <w:uiPriority w:val="0"/>
    <w:rPr>
      <w:rFonts w:ascii="Times New Roman" w:hAnsi="Times New Roman" w:eastAsia="宋体" w:cs="Times New Roman"/>
      <w:b/>
      <w:bCs/>
      <w:kern w:val="44"/>
      <w:sz w:val="44"/>
      <w:szCs w:val="44"/>
    </w:rPr>
  </w:style>
  <w:style w:type="character" w:customStyle="1" w:styleId="68">
    <w:name w:val="标题 2 Char"/>
    <w:qFormat/>
    <w:uiPriority w:val="0"/>
    <w:rPr>
      <w:rFonts w:ascii="仿宋_GB2312" w:hAnsi="Calibri" w:eastAsia="仿宋_GB2312" w:cs="Times New Roman"/>
      <w:b/>
      <w:spacing w:val="1"/>
      <w:w w:val="99"/>
      <w:kern w:val="0"/>
      <w:sz w:val="28"/>
      <w:szCs w:val="32"/>
    </w:rPr>
  </w:style>
  <w:style w:type="paragraph" w:customStyle="1" w:styleId="6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0">
    <w:name w:val="_Style 101"/>
    <w:basedOn w:val="1"/>
    <w:qFormat/>
    <w:uiPriority w:val="99"/>
    <w:pPr>
      <w:ind w:firstLine="420" w:firstLineChars="200"/>
    </w:pPr>
    <w:rPr>
      <w:sz w:val="28"/>
      <w:szCs w:val="28"/>
    </w:rPr>
  </w:style>
  <w:style w:type="paragraph" w:customStyle="1" w:styleId="71">
    <w:name w:val="表格标题"/>
    <w:basedOn w:val="72"/>
    <w:qFormat/>
    <w:uiPriority w:val="0"/>
  </w:style>
  <w:style w:type="paragraph" w:customStyle="1" w:styleId="72">
    <w:name w:val="表格内容"/>
    <w:basedOn w:val="1"/>
    <w:qFormat/>
    <w:uiPriority w:val="0"/>
    <w:pPr>
      <w:suppressLineNumbers/>
      <w:suppressAutoHyphens/>
    </w:pPr>
  </w:style>
  <w:style w:type="paragraph" w:customStyle="1" w:styleId="7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4">
    <w:name w:val="修订1"/>
    <w:qFormat/>
    <w:uiPriority w:val="0"/>
    <w:rPr>
      <w:rFonts w:ascii="Times New Roman" w:hAnsi="Times New Roman" w:eastAsia="宋体" w:cs="Times New Roman"/>
      <w:kern w:val="2"/>
      <w:sz w:val="21"/>
      <w:szCs w:val="24"/>
      <w:lang w:val="en-US" w:eastAsia="zh-CN" w:bidi="ar-SA"/>
    </w:rPr>
  </w:style>
  <w:style w:type="paragraph" w:customStyle="1" w:styleId="75">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6">
    <w:name w:val="标准样式1"/>
    <w:basedOn w:val="1"/>
    <w:qFormat/>
    <w:uiPriority w:val="0"/>
    <w:pPr>
      <w:spacing w:line="600" w:lineRule="exact"/>
      <w:ind w:firstLine="567"/>
    </w:pPr>
    <w:rPr>
      <w:rFonts w:ascii="Calibri" w:hAnsi="Calibri"/>
      <w:sz w:val="28"/>
    </w:rPr>
  </w:style>
  <w:style w:type="paragraph" w:customStyle="1" w:styleId="77">
    <w:name w:val="列出段落11"/>
    <w:basedOn w:val="1"/>
    <w:qFormat/>
    <w:uiPriority w:val="0"/>
    <w:pPr>
      <w:ind w:firstLine="420" w:firstLineChars="200"/>
    </w:pPr>
    <w:rPr>
      <w:sz w:val="28"/>
      <w:szCs w:val="28"/>
    </w:rPr>
  </w:style>
  <w:style w:type="paragraph" w:customStyle="1" w:styleId="7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9">
    <w:name w:val="WW-表格标题"/>
    <w:basedOn w:val="80"/>
    <w:qFormat/>
    <w:uiPriority w:val="0"/>
  </w:style>
  <w:style w:type="paragraph" w:customStyle="1" w:styleId="80">
    <w:name w:val="WW-表格内容"/>
    <w:basedOn w:val="1"/>
    <w:qFormat/>
    <w:uiPriority w:val="0"/>
    <w:pPr>
      <w:suppressLineNumbers/>
      <w:suppressAutoHyphens/>
    </w:pPr>
  </w:style>
  <w:style w:type="paragraph" w:customStyle="1" w:styleId="81">
    <w:name w:val="引用2"/>
    <w:basedOn w:val="1"/>
    <w:next w:val="1"/>
    <w:link w:val="310"/>
    <w:qFormat/>
    <w:uiPriority w:val="0"/>
    <w:rPr>
      <w:i/>
      <w:iCs/>
      <w:color w:val="000000"/>
    </w:rPr>
  </w:style>
  <w:style w:type="paragraph" w:customStyle="1" w:styleId="82">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4">
    <w:name w:val="Char Char Char Char"/>
    <w:basedOn w:val="15"/>
    <w:qFormat/>
    <w:uiPriority w:val="0"/>
    <w:pPr>
      <w:spacing w:line="360" w:lineRule="auto"/>
      <w:ind w:firstLine="200" w:firstLineChars="200"/>
    </w:pPr>
    <w:rPr>
      <w:rFonts w:ascii="Tahoma" w:hAnsi="Tahoma"/>
      <w:sz w:val="24"/>
    </w:rPr>
  </w:style>
  <w:style w:type="paragraph" w:customStyle="1" w:styleId="8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列出段落1"/>
    <w:basedOn w:val="1"/>
    <w:qFormat/>
    <w:uiPriority w:val="0"/>
    <w:pPr>
      <w:ind w:firstLine="420" w:firstLineChars="200"/>
    </w:pPr>
    <w:rPr>
      <w:sz w:val="28"/>
      <w:szCs w:val="28"/>
    </w:rPr>
  </w:style>
  <w:style w:type="paragraph" w:customStyle="1" w:styleId="89">
    <w:name w:val="样式1"/>
    <w:basedOn w:val="1"/>
    <w:next w:val="5"/>
    <w:qFormat/>
    <w:uiPriority w:val="0"/>
    <w:pPr>
      <w:spacing w:line="360" w:lineRule="auto"/>
      <w:ind w:firstLine="420" w:firstLineChars="200"/>
    </w:pPr>
    <w:rPr>
      <w:rFonts w:ascii="宋体" w:hAnsi="宋体"/>
      <w:szCs w:val="21"/>
    </w:rPr>
  </w:style>
  <w:style w:type="paragraph" w:customStyle="1" w:styleId="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1">
    <w:name w:val="Char9 Char Char Char Char Char Char"/>
    <w:basedOn w:val="15"/>
    <w:qFormat/>
    <w:uiPriority w:val="0"/>
    <w:pPr>
      <w:spacing w:line="360" w:lineRule="auto"/>
      <w:ind w:firstLine="200" w:firstLineChars="200"/>
    </w:pPr>
    <w:rPr>
      <w:rFonts w:ascii="Tahoma" w:hAnsi="Tahoma"/>
      <w:sz w:val="24"/>
    </w:rPr>
  </w:style>
  <w:style w:type="paragraph" w:customStyle="1" w:styleId="9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93">
    <w:name w:val="引用1"/>
    <w:basedOn w:val="1"/>
    <w:next w:val="1"/>
    <w:link w:val="162"/>
    <w:qFormat/>
    <w:uiPriority w:val="29"/>
    <w:rPr>
      <w:i/>
      <w:iCs/>
      <w:color w:val="000000"/>
      <w:szCs w:val="20"/>
    </w:rPr>
  </w:style>
  <w:style w:type="paragraph" w:customStyle="1" w:styleId="94">
    <w:name w:val="表格文字"/>
    <w:basedOn w:val="1"/>
    <w:qFormat/>
    <w:uiPriority w:val="0"/>
    <w:pPr>
      <w:adjustRightInd w:val="0"/>
      <w:spacing w:line="420" w:lineRule="atLeast"/>
      <w:jc w:val="left"/>
      <w:textAlignment w:val="baseline"/>
    </w:pPr>
    <w:rPr>
      <w:kern w:val="0"/>
      <w:szCs w:val="20"/>
    </w:rPr>
  </w:style>
  <w:style w:type="paragraph" w:customStyle="1" w:styleId="95">
    <w:name w:val="_Style 96"/>
    <w:semiHidden/>
    <w:qFormat/>
    <w:uiPriority w:val="99"/>
    <w:rPr>
      <w:rFonts w:ascii="Calibri" w:hAnsi="Calibri" w:eastAsia="宋体" w:cs="Times New Roman"/>
      <w:kern w:val="2"/>
      <w:sz w:val="21"/>
      <w:szCs w:val="24"/>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7">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8">
    <w:name w:val="正  文"/>
    <w:basedOn w:val="1"/>
    <w:qFormat/>
    <w:uiPriority w:val="0"/>
    <w:pPr>
      <w:spacing w:line="360" w:lineRule="auto"/>
      <w:ind w:firstLine="200" w:firstLineChars="200"/>
    </w:pPr>
    <w:rPr>
      <w:rFonts w:ascii="宋体" w:hAnsi="Calibri"/>
      <w:sz w:val="24"/>
    </w:rPr>
  </w:style>
  <w:style w:type="paragraph" w:customStyle="1" w:styleId="99">
    <w:name w:val="标题4"/>
    <w:basedOn w:val="3"/>
    <w:next w:val="21"/>
    <w:link w:val="254"/>
    <w:qFormat/>
    <w:uiPriority w:val="0"/>
    <w:pPr>
      <w:spacing w:line="413" w:lineRule="auto"/>
    </w:pPr>
    <w:rPr>
      <w:rFonts w:ascii="Arial" w:hAnsi="Arial"/>
      <w:kern w:val="0"/>
      <w:sz w:val="24"/>
    </w:rPr>
  </w:style>
  <w:style w:type="paragraph" w:customStyle="1" w:styleId="100">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7">
    <w:name w:val="1 Char"/>
    <w:basedOn w:val="1"/>
    <w:qFormat/>
    <w:uiPriority w:val="0"/>
    <w:pPr>
      <w:widowControl/>
      <w:spacing w:after="160" w:line="240" w:lineRule="exact"/>
      <w:jc w:val="left"/>
    </w:pPr>
    <w:rPr>
      <w:rFonts w:ascii="Calibri" w:hAnsi="Calibri"/>
      <w:szCs w:val="20"/>
    </w:rPr>
  </w:style>
  <w:style w:type="paragraph" w:customStyle="1" w:styleId="10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9">
    <w:name w:val="pa-34"/>
    <w:basedOn w:val="1"/>
    <w:qFormat/>
    <w:uiPriority w:val="0"/>
    <w:pPr>
      <w:widowControl/>
      <w:spacing w:line="360" w:lineRule="atLeast"/>
      <w:ind w:firstLine="420"/>
      <w:jc w:val="left"/>
    </w:pPr>
    <w:rPr>
      <w:rFonts w:ascii="宋体" w:hAnsi="宋体" w:cs="宋体"/>
      <w:kern w:val="0"/>
      <w:sz w:val="24"/>
    </w:rPr>
  </w:style>
  <w:style w:type="paragraph" w:customStyle="1" w:styleId="110">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1">
    <w:name w:val="p15"/>
    <w:basedOn w:val="1"/>
    <w:qFormat/>
    <w:uiPriority w:val="0"/>
    <w:pPr>
      <w:widowControl/>
      <w:spacing w:after="120"/>
    </w:pPr>
    <w:rPr>
      <w:kern w:val="0"/>
      <w:szCs w:val="21"/>
    </w:rPr>
  </w:style>
  <w:style w:type="paragraph" w:customStyle="1" w:styleId="1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14">
    <w:name w:val="_Style 124"/>
    <w:basedOn w:val="1"/>
    <w:next w:val="1"/>
    <w:link w:val="208"/>
    <w:qFormat/>
    <w:uiPriority w:val="0"/>
    <w:rPr>
      <w:i/>
      <w:iCs/>
      <w:color w:val="000000"/>
      <w:szCs w:val="22"/>
    </w:rPr>
  </w:style>
  <w:style w:type="paragraph" w:customStyle="1" w:styleId="115">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7">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pa-27"/>
    <w:basedOn w:val="1"/>
    <w:qFormat/>
    <w:uiPriority w:val="0"/>
    <w:pPr>
      <w:widowControl/>
      <w:spacing w:line="360" w:lineRule="atLeast"/>
      <w:ind w:firstLine="420"/>
    </w:pPr>
    <w:rPr>
      <w:rFonts w:ascii="宋体" w:hAnsi="宋体" w:cs="宋体"/>
      <w:kern w:val="0"/>
      <w:sz w:val="24"/>
    </w:rPr>
  </w:style>
  <w:style w:type="paragraph" w:customStyle="1" w:styleId="12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2">
    <w:name w:val="表格"/>
    <w:basedOn w:val="1"/>
    <w:qFormat/>
    <w:uiPriority w:val="0"/>
    <w:pPr>
      <w:jc w:val="center"/>
      <w:textAlignment w:val="center"/>
    </w:pPr>
    <w:rPr>
      <w:rFonts w:ascii="华文细黑" w:hAnsi="华文细黑"/>
      <w:kern w:val="0"/>
      <w:szCs w:val="20"/>
    </w:rPr>
  </w:style>
  <w:style w:type="paragraph" w:customStyle="1" w:styleId="123">
    <w:name w:val="明显引用1"/>
    <w:basedOn w:val="1"/>
    <w:next w:val="1"/>
    <w:link w:val="308"/>
    <w:qFormat/>
    <w:uiPriority w:val="30"/>
    <w:pPr>
      <w:pBdr>
        <w:bottom w:val="single" w:color="4F81BD" w:sz="4" w:space="4"/>
      </w:pBdr>
      <w:spacing w:before="200" w:after="280"/>
      <w:ind w:left="936" w:right="936"/>
    </w:pPr>
    <w:rPr>
      <w:b/>
      <w:bCs/>
      <w:i/>
      <w:iCs/>
      <w:color w:val="4F81BD"/>
      <w:szCs w:val="20"/>
    </w:rPr>
  </w:style>
  <w:style w:type="paragraph" w:customStyle="1" w:styleId="124">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5">
    <w:name w:val="TOC 标题2"/>
    <w:basedOn w:val="2"/>
    <w:next w:val="1"/>
    <w:unhideWhenUsed/>
    <w:qFormat/>
    <w:uiPriority w:val="0"/>
    <w:pPr>
      <w:outlineLvl w:val="9"/>
    </w:pPr>
    <w:rPr>
      <w:rFonts w:ascii="Calibri" w:hAnsi="Calibri"/>
    </w:rPr>
  </w:style>
  <w:style w:type="paragraph" w:customStyle="1" w:styleId="12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标题5"/>
    <w:basedOn w:val="4"/>
    <w:link w:val="176"/>
    <w:qFormat/>
    <w:uiPriority w:val="0"/>
    <w:pPr>
      <w:spacing w:line="413" w:lineRule="auto"/>
    </w:pPr>
    <w:rPr>
      <w:rFonts w:ascii="Arial" w:hAnsi="Arial"/>
      <w:kern w:val="0"/>
      <w:sz w:val="24"/>
    </w:rPr>
  </w:style>
  <w:style w:type="paragraph" w:customStyle="1" w:styleId="12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30">
    <w:name w:val="_Style 64"/>
    <w:basedOn w:val="1"/>
    <w:next w:val="1"/>
    <w:link w:val="307"/>
    <w:qFormat/>
    <w:uiPriority w:val="0"/>
    <w:pPr>
      <w:pBdr>
        <w:bottom w:val="single" w:color="4F81BD" w:sz="4" w:space="4"/>
      </w:pBdr>
      <w:spacing w:before="200" w:after="280"/>
      <w:ind w:left="936" w:right="936"/>
    </w:pPr>
    <w:rPr>
      <w:b/>
      <w:bCs/>
      <w:i/>
      <w:iCs/>
      <w:color w:val="4F81BD"/>
      <w:szCs w:val="22"/>
    </w:rPr>
  </w:style>
  <w:style w:type="paragraph" w:customStyle="1" w:styleId="131">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2">
    <w:name w:val="Char2"/>
    <w:basedOn w:val="1"/>
    <w:qFormat/>
    <w:uiPriority w:val="0"/>
    <w:rPr>
      <w:rFonts w:ascii="Calibri" w:hAnsi="Calibri"/>
    </w:rPr>
  </w:style>
  <w:style w:type="paragraph" w:customStyle="1" w:styleId="133">
    <w:name w:val="_Style 87"/>
    <w:basedOn w:val="1"/>
    <w:qFormat/>
    <w:uiPriority w:val="99"/>
    <w:pPr>
      <w:ind w:firstLine="420" w:firstLineChars="200"/>
    </w:pPr>
    <w:rPr>
      <w:rFonts w:ascii="Calibri" w:hAnsi="Calibri"/>
      <w:sz w:val="28"/>
      <w:szCs w:val="28"/>
    </w:rPr>
  </w:style>
  <w:style w:type="paragraph" w:customStyle="1" w:styleId="134">
    <w:name w:val="自定样式1"/>
    <w:basedOn w:val="1"/>
    <w:qFormat/>
    <w:uiPriority w:val="0"/>
    <w:pPr>
      <w:suppressAutoHyphens/>
      <w:jc w:val="center"/>
    </w:pPr>
    <w:rPr>
      <w:rFonts w:ascii="宋体" w:hAnsi="宋体"/>
      <w:color w:val="000000"/>
      <w:sz w:val="18"/>
    </w:rPr>
  </w:style>
  <w:style w:type="paragraph" w:customStyle="1" w:styleId="135">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Char"/>
    <w:basedOn w:val="1"/>
    <w:qFormat/>
    <w:uiPriority w:val="0"/>
  </w:style>
  <w:style w:type="paragraph" w:customStyle="1" w:styleId="137">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列表段落1"/>
    <w:basedOn w:val="1"/>
    <w:qFormat/>
    <w:uiPriority w:val="34"/>
    <w:pPr>
      <w:ind w:firstLine="420" w:firstLineChars="200"/>
    </w:pPr>
    <w:rPr>
      <w:rFonts w:ascii="Calibri" w:hAnsi="Calibri"/>
    </w:rPr>
  </w:style>
  <w:style w:type="paragraph" w:customStyle="1" w:styleId="13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0">
    <w:name w:val="表体"/>
    <w:basedOn w:val="1"/>
    <w:next w:val="1"/>
    <w:qFormat/>
    <w:uiPriority w:val="0"/>
    <w:pPr>
      <w:spacing w:line="0" w:lineRule="atLeast"/>
    </w:pPr>
    <w:rPr>
      <w:rFonts w:ascii="Calibri" w:hAnsi="Calibri"/>
      <w:b/>
      <w:snapToGrid w:val="0"/>
      <w:szCs w:val="20"/>
    </w:rPr>
  </w:style>
  <w:style w:type="paragraph" w:customStyle="1" w:styleId="14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43">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4">
    <w:name w:val="Char11"/>
    <w:basedOn w:val="1"/>
    <w:qFormat/>
    <w:uiPriority w:val="0"/>
  </w:style>
  <w:style w:type="paragraph" w:customStyle="1" w:styleId="14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6">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7">
    <w:name w:val="_Style 86"/>
    <w:qFormat/>
    <w:uiPriority w:val="0"/>
    <w:rPr>
      <w:rFonts w:ascii="Times New Roman" w:hAnsi="Times New Roman" w:eastAsia="宋体" w:cs="Times New Roman"/>
      <w:kern w:val="2"/>
      <w:sz w:val="21"/>
      <w:szCs w:val="24"/>
      <w:lang w:val="en-US" w:eastAsia="zh-CN" w:bidi="ar-SA"/>
    </w:rPr>
  </w:style>
  <w:style w:type="paragraph" w:customStyle="1" w:styleId="148">
    <w:name w:val="Char1"/>
    <w:basedOn w:val="1"/>
    <w:qFormat/>
    <w:uiPriority w:val="0"/>
  </w:style>
  <w:style w:type="paragraph" w:customStyle="1" w:styleId="14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4">
    <w:name w:val="正文文本 Char2"/>
    <w:qFormat/>
    <w:uiPriority w:val="99"/>
    <w:rPr>
      <w:kern w:val="2"/>
      <w:sz w:val="21"/>
      <w:szCs w:val="24"/>
    </w:rPr>
  </w:style>
  <w:style w:type="character" w:customStyle="1" w:styleId="155">
    <w:name w:val="尾注文本 Char1"/>
    <w:qFormat/>
    <w:uiPriority w:val="0"/>
    <w:rPr>
      <w:rFonts w:ascii="Arial" w:hAnsi="Arial" w:cs="Arial"/>
      <w:szCs w:val="24"/>
      <w:lang w:eastAsia="en-US"/>
    </w:rPr>
  </w:style>
  <w:style w:type="character" w:customStyle="1" w:styleId="156">
    <w:name w:val="脚注文本 Char"/>
    <w:qFormat/>
    <w:uiPriority w:val="0"/>
    <w:rPr>
      <w:rFonts w:ascii="Arial" w:hAnsi="Arial" w:eastAsia="宋体" w:cs="Arial"/>
      <w:sz w:val="18"/>
      <w:szCs w:val="18"/>
      <w:lang w:eastAsia="en-US"/>
    </w:rPr>
  </w:style>
  <w:style w:type="character" w:customStyle="1" w:styleId="157">
    <w:name w:val="Char Char17"/>
    <w:qFormat/>
    <w:uiPriority w:val="0"/>
    <w:rPr>
      <w:kern w:val="2"/>
      <w:sz w:val="26"/>
      <w:szCs w:val="24"/>
    </w:rPr>
  </w:style>
  <w:style w:type="character" w:customStyle="1" w:styleId="158">
    <w:name w:val="副标题 Char1"/>
    <w:qFormat/>
    <w:uiPriority w:val="0"/>
    <w:rPr>
      <w:szCs w:val="24"/>
      <w:u w:val="single"/>
      <w:lang w:eastAsia="en-US"/>
    </w:rPr>
  </w:style>
  <w:style w:type="character" w:customStyle="1" w:styleId="159">
    <w:name w:val="标题 Char1"/>
    <w:qFormat/>
    <w:uiPriority w:val="10"/>
    <w:rPr>
      <w:szCs w:val="24"/>
      <w:u w:val="single"/>
      <w:lang w:eastAsia="en-US"/>
    </w:rPr>
  </w:style>
  <w:style w:type="character" w:customStyle="1" w:styleId="160">
    <w:name w:val="Char Char24"/>
    <w:qFormat/>
    <w:uiPriority w:val="0"/>
    <w:rPr>
      <w:b/>
      <w:bCs/>
      <w:kern w:val="44"/>
      <w:sz w:val="44"/>
      <w:szCs w:val="44"/>
    </w:rPr>
  </w:style>
  <w:style w:type="character" w:customStyle="1" w:styleId="161">
    <w:name w:val="批注主题 Char"/>
    <w:qFormat/>
    <w:uiPriority w:val="0"/>
    <w:rPr>
      <w:rFonts w:ascii="宋体" w:hAnsi="宋体" w:eastAsia="宋体"/>
      <w:kern w:val="2"/>
      <w:sz w:val="24"/>
      <w:szCs w:val="28"/>
      <w:lang w:val="en-US" w:eastAsia="zh-CN" w:bidi="ar-SA"/>
    </w:rPr>
  </w:style>
  <w:style w:type="character" w:customStyle="1" w:styleId="162">
    <w:name w:val="引用 Char1"/>
    <w:link w:val="93"/>
    <w:qFormat/>
    <w:uiPriority w:val="29"/>
    <w:rPr>
      <w:i/>
      <w:iCs/>
      <w:color w:val="000000"/>
      <w:kern w:val="2"/>
      <w:sz w:val="21"/>
    </w:rPr>
  </w:style>
  <w:style w:type="character" w:customStyle="1" w:styleId="163">
    <w:name w:val="Char Char23"/>
    <w:qFormat/>
    <w:uiPriority w:val="0"/>
    <w:rPr>
      <w:rFonts w:ascii="Cambria" w:hAnsi="Cambria" w:eastAsia="宋体" w:cs="Times New Roman"/>
      <w:b/>
      <w:bCs/>
      <w:kern w:val="2"/>
      <w:sz w:val="32"/>
      <w:szCs w:val="32"/>
    </w:rPr>
  </w:style>
  <w:style w:type="character" w:customStyle="1" w:styleId="164">
    <w:name w:val="ITTHEADER2 Char"/>
    <w:qFormat/>
    <w:uiPriority w:val="0"/>
    <w:rPr>
      <w:rFonts w:ascii="仿宋_GB2312" w:eastAsia="仿宋_GB2312" w:cs="MingLiU"/>
      <w:b/>
      <w:spacing w:val="1"/>
      <w:w w:val="99"/>
      <w:sz w:val="28"/>
      <w:szCs w:val="32"/>
      <w:lang w:val="en-US" w:eastAsia="zh-CN" w:bidi="ar-SA"/>
    </w:rPr>
  </w:style>
  <w:style w:type="character" w:customStyle="1" w:styleId="165">
    <w:name w:val="标题 9 Char1"/>
    <w:qFormat/>
    <w:uiPriority w:val="0"/>
    <w:rPr>
      <w:rFonts w:ascii="Times New Roman" w:hAnsi="Times New Roman" w:eastAsia="仿宋_GB2312" w:cs="Times New Roman"/>
      <w:sz w:val="30"/>
      <w:szCs w:val="20"/>
    </w:rPr>
  </w:style>
  <w:style w:type="character" w:customStyle="1" w:styleId="166">
    <w:name w:val="正文文本 Char1"/>
    <w:qFormat/>
    <w:uiPriority w:val="0"/>
    <w:rPr>
      <w:kern w:val="2"/>
      <w:sz w:val="21"/>
      <w:szCs w:val="22"/>
    </w:rPr>
  </w:style>
  <w:style w:type="character" w:customStyle="1" w:styleId="167">
    <w:name w:val="引用 Char2"/>
    <w:qFormat/>
    <w:uiPriority w:val="99"/>
    <w:rPr>
      <w:i/>
      <w:iCs/>
      <w:color w:val="000000"/>
      <w:kern w:val="2"/>
      <w:sz w:val="21"/>
      <w:szCs w:val="24"/>
    </w:rPr>
  </w:style>
  <w:style w:type="character" w:customStyle="1" w:styleId="168">
    <w:name w:val="正文文本 Char3"/>
    <w:semiHidden/>
    <w:qFormat/>
    <w:uiPriority w:val="99"/>
    <w:rPr>
      <w:rFonts w:ascii="Calibri" w:hAnsi="Calibri" w:eastAsia="宋体" w:cs="Times New Roman"/>
      <w:szCs w:val="24"/>
    </w:rPr>
  </w:style>
  <w:style w:type="character" w:customStyle="1" w:styleId="169">
    <w:name w:val="日期 字符"/>
    <w:link w:val="26"/>
    <w:qFormat/>
    <w:uiPriority w:val="0"/>
    <w:rPr>
      <w:rFonts w:eastAsia="宋体"/>
      <w:kern w:val="2"/>
      <w:sz w:val="21"/>
      <w:szCs w:val="24"/>
      <w:lang w:val="en-US" w:eastAsia="zh-CN" w:bidi="ar-SA"/>
    </w:rPr>
  </w:style>
  <w:style w:type="character" w:customStyle="1" w:styleId="170">
    <w:name w:val="标题 7 Char"/>
    <w:qFormat/>
    <w:uiPriority w:val="0"/>
    <w:rPr>
      <w:rFonts w:ascii="Calibri" w:hAnsi="Calibri" w:eastAsia="宋体" w:cs="Times New Roman"/>
      <w:b/>
      <w:bCs/>
      <w:sz w:val="24"/>
      <w:szCs w:val="24"/>
    </w:rPr>
  </w:style>
  <w:style w:type="character" w:customStyle="1" w:styleId="171">
    <w:name w:val="批注框文本 Char1"/>
    <w:qFormat/>
    <w:uiPriority w:val="0"/>
    <w:rPr>
      <w:kern w:val="2"/>
      <w:sz w:val="18"/>
      <w:szCs w:val="18"/>
    </w:rPr>
  </w:style>
  <w:style w:type="character" w:customStyle="1" w:styleId="172">
    <w:name w:val="日期 Char1"/>
    <w:qFormat/>
    <w:uiPriority w:val="0"/>
    <w:rPr>
      <w:kern w:val="2"/>
      <w:sz w:val="21"/>
      <w:szCs w:val="22"/>
    </w:rPr>
  </w:style>
  <w:style w:type="character" w:customStyle="1" w:styleId="173">
    <w:name w:val="_Style 171"/>
    <w:qFormat/>
    <w:uiPriority w:val="0"/>
    <w:rPr>
      <w:b/>
      <w:bCs/>
      <w:i/>
      <w:iCs/>
      <w:color w:val="4F81BD"/>
    </w:rPr>
  </w:style>
  <w:style w:type="character" w:customStyle="1" w:styleId="174">
    <w:name w:val="Char Char22"/>
    <w:qFormat/>
    <w:uiPriority w:val="0"/>
    <w:rPr>
      <w:b/>
      <w:bCs/>
      <w:kern w:val="2"/>
      <w:sz w:val="32"/>
      <w:szCs w:val="32"/>
    </w:rPr>
  </w:style>
  <w:style w:type="character" w:customStyle="1" w:styleId="175">
    <w:name w:val="标题 6 Char1"/>
    <w:qFormat/>
    <w:uiPriority w:val="0"/>
    <w:rPr>
      <w:rFonts w:ascii="Times New Roman" w:hAnsi="Arial" w:eastAsia="仿宋_GB2312" w:cs="Times New Roman"/>
      <w:sz w:val="30"/>
      <w:szCs w:val="20"/>
    </w:rPr>
  </w:style>
  <w:style w:type="character" w:customStyle="1" w:styleId="176">
    <w:name w:val="标题5 Char Char"/>
    <w:link w:val="128"/>
    <w:qFormat/>
    <w:uiPriority w:val="0"/>
    <w:rPr>
      <w:rFonts w:ascii="Arial" w:hAnsi="Arial"/>
      <w:b/>
      <w:bCs/>
      <w:sz w:val="24"/>
      <w:szCs w:val="32"/>
      <w:lang w:bidi="ar-SA"/>
    </w:rPr>
  </w:style>
  <w:style w:type="character" w:customStyle="1" w:styleId="177">
    <w:name w:val="正文文本缩进 Char1"/>
    <w:qFormat/>
    <w:uiPriority w:val="0"/>
    <w:rPr>
      <w:kern w:val="2"/>
      <w:sz w:val="21"/>
      <w:szCs w:val="24"/>
    </w:rPr>
  </w:style>
  <w:style w:type="character" w:customStyle="1" w:styleId="178">
    <w:name w:val="标题 4 Char1"/>
    <w:qFormat/>
    <w:uiPriority w:val="0"/>
    <w:rPr>
      <w:rFonts w:ascii="宋体" w:hAnsi="宋体" w:eastAsia="宋体" w:cs="宋体"/>
      <w:b/>
      <w:bCs/>
      <w:sz w:val="24"/>
      <w:szCs w:val="24"/>
    </w:rPr>
  </w:style>
  <w:style w:type="character" w:customStyle="1" w:styleId="179">
    <w:name w:val="尾注文本 Char"/>
    <w:qFormat/>
    <w:uiPriority w:val="0"/>
    <w:rPr>
      <w:kern w:val="2"/>
      <w:sz w:val="21"/>
      <w:szCs w:val="24"/>
    </w:rPr>
  </w:style>
  <w:style w:type="character" w:customStyle="1" w:styleId="180">
    <w:name w:val="HTML 预设格式 字符"/>
    <w:link w:val="41"/>
    <w:qFormat/>
    <w:uiPriority w:val="0"/>
    <w:rPr>
      <w:rFonts w:ascii="宋体" w:hAnsi="宋体" w:eastAsia="宋体" w:cs="宋体"/>
      <w:color w:val="000000"/>
      <w:sz w:val="24"/>
      <w:szCs w:val="24"/>
      <w:lang w:val="en-US" w:eastAsia="zh-CN" w:bidi="ar-SA"/>
    </w:rPr>
  </w:style>
  <w:style w:type="character" w:customStyle="1" w:styleId="181">
    <w:name w:val="尾注文本 Char2"/>
    <w:semiHidden/>
    <w:qFormat/>
    <w:uiPriority w:val="99"/>
    <w:rPr>
      <w:rFonts w:ascii="Calibri" w:hAnsi="Calibri" w:eastAsia="宋体" w:cs="Times New Roman"/>
      <w:szCs w:val="24"/>
    </w:rPr>
  </w:style>
  <w:style w:type="character" w:customStyle="1" w:styleId="182">
    <w:name w:val="明显强调1"/>
    <w:qFormat/>
    <w:uiPriority w:val="0"/>
    <w:rPr>
      <w:b/>
      <w:bCs/>
      <w:i/>
      <w:iCs/>
      <w:color w:val="4F81BD"/>
    </w:rPr>
  </w:style>
  <w:style w:type="character" w:customStyle="1" w:styleId="183">
    <w:name w:val="正文文本 Char"/>
    <w:qFormat/>
    <w:uiPriority w:val="0"/>
    <w:rPr>
      <w:sz w:val="26"/>
      <w:szCs w:val="24"/>
    </w:rPr>
  </w:style>
  <w:style w:type="character" w:customStyle="1" w:styleId="184">
    <w:name w:val="脚注文本 Char2"/>
    <w:semiHidden/>
    <w:qFormat/>
    <w:uiPriority w:val="99"/>
    <w:rPr>
      <w:rFonts w:ascii="Calibri" w:hAnsi="Calibri" w:eastAsia="宋体" w:cs="Times New Roman"/>
      <w:sz w:val="18"/>
      <w:szCs w:val="18"/>
    </w:rPr>
  </w:style>
  <w:style w:type="character" w:customStyle="1" w:styleId="185">
    <w:name w:val="正文文本 2 Char1"/>
    <w:semiHidden/>
    <w:qFormat/>
    <w:uiPriority w:val="99"/>
    <w:rPr>
      <w:rFonts w:ascii="Calibri" w:hAnsi="Calibri" w:eastAsia="宋体" w:cs="Times New Roman"/>
      <w:szCs w:val="24"/>
    </w:rPr>
  </w:style>
  <w:style w:type="character" w:customStyle="1" w:styleId="186">
    <w:name w:val="_Style 248"/>
    <w:qFormat/>
    <w:uiPriority w:val="0"/>
    <w:rPr>
      <w:b/>
      <w:bCs/>
      <w:smallCaps/>
      <w:spacing w:val="5"/>
    </w:rPr>
  </w:style>
  <w:style w:type="character" w:customStyle="1" w:styleId="187">
    <w:name w:val="明显引用 Char3"/>
    <w:qFormat/>
    <w:uiPriority w:val="30"/>
    <w:rPr>
      <w:rFonts w:ascii="Calibri" w:hAnsi="Calibri" w:eastAsia="宋体" w:cs="Times New Roman"/>
      <w:b/>
      <w:bCs/>
      <w:i/>
      <w:iCs/>
      <w:color w:val="4F81BD"/>
      <w:szCs w:val="24"/>
    </w:rPr>
  </w:style>
  <w:style w:type="character" w:customStyle="1" w:styleId="188">
    <w:name w:val="_Style 254"/>
    <w:qFormat/>
    <w:uiPriority w:val="0"/>
    <w:rPr>
      <w:b/>
      <w:bCs/>
      <w:smallCaps/>
      <w:color w:val="C0504D"/>
      <w:spacing w:val="5"/>
      <w:u w:val="single"/>
    </w:rPr>
  </w:style>
  <w:style w:type="character" w:customStyle="1" w:styleId="189">
    <w:name w:val="正文文本缩进 Char2"/>
    <w:semiHidden/>
    <w:qFormat/>
    <w:uiPriority w:val="99"/>
    <w:rPr>
      <w:rFonts w:ascii="Calibri" w:hAnsi="Calibri" w:eastAsia="宋体" w:cs="Times New Roman"/>
      <w:szCs w:val="24"/>
    </w:rPr>
  </w:style>
  <w:style w:type="character" w:customStyle="1" w:styleId="190">
    <w:name w:val="标题 4 字符"/>
    <w:link w:val="5"/>
    <w:qFormat/>
    <w:uiPriority w:val="0"/>
    <w:rPr>
      <w:rFonts w:ascii="宋体" w:hAnsi="宋体" w:eastAsia="宋体" w:cs="宋体"/>
      <w:b/>
      <w:bCs/>
      <w:sz w:val="24"/>
      <w:szCs w:val="24"/>
      <w:lang w:val="en-US" w:eastAsia="zh-CN" w:bidi="ar-SA"/>
    </w:rPr>
  </w:style>
  <w:style w:type="character" w:customStyle="1" w:styleId="191">
    <w:name w:val="正文文本缩进 3 Char"/>
    <w:qFormat/>
    <w:uiPriority w:val="0"/>
    <w:rPr>
      <w:kern w:val="2"/>
      <w:sz w:val="16"/>
      <w:szCs w:val="16"/>
    </w:rPr>
  </w:style>
  <w:style w:type="character" w:customStyle="1" w:styleId="192">
    <w:name w:val="尾注文本 字符"/>
    <w:link w:val="28"/>
    <w:qFormat/>
    <w:uiPriority w:val="0"/>
    <w:rPr>
      <w:rFonts w:ascii="Arial" w:hAnsi="Arial" w:eastAsia="宋体" w:cs="Arial"/>
      <w:szCs w:val="24"/>
      <w:lang w:val="en-US" w:eastAsia="en-US" w:bidi="ar-SA"/>
    </w:rPr>
  </w:style>
  <w:style w:type="character" w:customStyle="1" w:styleId="193">
    <w:name w:val="引用 Char3"/>
    <w:qFormat/>
    <w:uiPriority w:val="29"/>
    <w:rPr>
      <w:rFonts w:ascii="Calibri" w:hAnsi="Calibri" w:eastAsia="宋体" w:cs="Times New Roman"/>
      <w:i/>
      <w:iCs/>
      <w:color w:val="000000"/>
      <w:szCs w:val="24"/>
    </w:rPr>
  </w:style>
  <w:style w:type="character" w:customStyle="1" w:styleId="194">
    <w:name w:val="Char Char32"/>
    <w:qFormat/>
    <w:uiPriority w:val="0"/>
    <w:rPr>
      <w:rFonts w:ascii="仿宋_GB2312" w:eastAsia="仿宋_GB2312" w:cs="MingLiU"/>
      <w:b/>
      <w:spacing w:val="1"/>
      <w:w w:val="99"/>
      <w:sz w:val="28"/>
      <w:szCs w:val="32"/>
    </w:rPr>
  </w:style>
  <w:style w:type="character" w:customStyle="1" w:styleId="195">
    <w:name w:val="日期 Char"/>
    <w:qFormat/>
    <w:uiPriority w:val="0"/>
    <w:rPr>
      <w:rFonts w:eastAsia="宋体"/>
      <w:szCs w:val="24"/>
    </w:rPr>
  </w:style>
  <w:style w:type="character" w:customStyle="1" w:styleId="196">
    <w:name w:val="页脚 Char"/>
    <w:qFormat/>
    <w:uiPriority w:val="0"/>
    <w:rPr>
      <w:sz w:val="18"/>
      <w:szCs w:val="18"/>
    </w:rPr>
  </w:style>
  <w:style w:type="character" w:customStyle="1" w:styleId="197">
    <w:name w:val="style121"/>
    <w:qFormat/>
    <w:uiPriority w:val="0"/>
    <w:rPr>
      <w:rFonts w:hint="eastAsia" w:ascii="宋体" w:hAnsi="宋体" w:eastAsia="宋体"/>
      <w:sz w:val="18"/>
      <w:szCs w:val="18"/>
    </w:rPr>
  </w:style>
  <w:style w:type="character" w:customStyle="1" w:styleId="198">
    <w:name w:val="ss16"/>
    <w:qFormat/>
    <w:uiPriority w:val="0"/>
    <w:rPr>
      <w:rFonts w:hint="eastAsia" w:ascii="宋体" w:hAnsi="宋体" w:eastAsia="宋体"/>
      <w:color w:val="000000"/>
      <w:sz w:val="9"/>
      <w:szCs w:val="9"/>
    </w:rPr>
  </w:style>
  <w:style w:type="character" w:customStyle="1" w:styleId="199">
    <w:name w:val="textcontents"/>
    <w:qFormat/>
    <w:uiPriority w:val="0"/>
    <w:rPr>
      <w:rFonts w:cs="Times New Roman"/>
    </w:rPr>
  </w:style>
  <w:style w:type="character" w:customStyle="1" w:styleId="200">
    <w:name w:val="14t1"/>
    <w:qFormat/>
    <w:uiPriority w:val="0"/>
    <w:rPr>
      <w:rFonts w:hint="eastAsia" w:ascii="宋体" w:hAnsi="宋体" w:eastAsia="宋体"/>
      <w:sz w:val="11"/>
      <w:szCs w:val="11"/>
    </w:rPr>
  </w:style>
  <w:style w:type="character" w:customStyle="1" w:styleId="201">
    <w:name w:val="不明显参考1"/>
    <w:qFormat/>
    <w:uiPriority w:val="0"/>
    <w:rPr>
      <w:smallCaps/>
      <w:color w:val="C0504D"/>
      <w:u w:val="single"/>
    </w:rPr>
  </w:style>
  <w:style w:type="character" w:customStyle="1" w:styleId="202">
    <w:name w:val="unnamed1"/>
    <w:basedOn w:val="50"/>
    <w:qFormat/>
    <w:uiPriority w:val="0"/>
  </w:style>
  <w:style w:type="character" w:customStyle="1" w:styleId="203">
    <w:name w:val="批注主题 Char3"/>
    <w:semiHidden/>
    <w:qFormat/>
    <w:uiPriority w:val="99"/>
    <w:rPr>
      <w:rFonts w:ascii="Calibri" w:hAnsi="Calibri" w:eastAsia="宋体" w:cs="Times New Roman"/>
      <w:b/>
      <w:bCs/>
      <w:szCs w:val="24"/>
    </w:rPr>
  </w:style>
  <w:style w:type="character" w:customStyle="1" w:styleId="204">
    <w:name w:val="标题 3 字符"/>
    <w:link w:val="4"/>
    <w:qFormat/>
    <w:uiPriority w:val="0"/>
    <w:rPr>
      <w:rFonts w:eastAsia="宋体"/>
      <w:b/>
      <w:bCs/>
      <w:kern w:val="2"/>
      <w:sz w:val="32"/>
      <w:szCs w:val="32"/>
      <w:lang w:val="en-US" w:eastAsia="zh-CN" w:bidi="ar-SA"/>
    </w:rPr>
  </w:style>
  <w:style w:type="character" w:customStyle="1" w:styleId="205">
    <w:name w:val="标题 2 字符"/>
    <w:link w:val="3"/>
    <w:qFormat/>
    <w:uiPriority w:val="0"/>
    <w:rPr>
      <w:rFonts w:ascii="Cambria" w:hAnsi="Cambria" w:eastAsia="宋体"/>
      <w:b/>
      <w:bCs/>
      <w:kern w:val="2"/>
      <w:sz w:val="32"/>
      <w:szCs w:val="32"/>
      <w:lang w:val="en-US" w:eastAsia="zh-CN" w:bidi="ar-SA"/>
    </w:rPr>
  </w:style>
  <w:style w:type="character" w:customStyle="1" w:styleId="206">
    <w:name w:val="标题 6 字符"/>
    <w:link w:val="7"/>
    <w:qFormat/>
    <w:uiPriority w:val="0"/>
    <w:rPr>
      <w:rFonts w:hAnsi="Arial" w:eastAsia="仿宋_GB2312"/>
      <w:sz w:val="30"/>
      <w:lang w:val="en-US" w:eastAsia="zh-CN" w:bidi="ar-SA"/>
    </w:rPr>
  </w:style>
  <w:style w:type="character" w:customStyle="1" w:styleId="207">
    <w:name w:val="页脚 字符"/>
    <w:link w:val="30"/>
    <w:qFormat/>
    <w:uiPriority w:val="0"/>
    <w:rPr>
      <w:rFonts w:eastAsia="宋体"/>
      <w:kern w:val="2"/>
      <w:sz w:val="18"/>
      <w:szCs w:val="18"/>
      <w:lang w:val="en-US" w:eastAsia="zh-CN" w:bidi="ar-SA"/>
    </w:rPr>
  </w:style>
  <w:style w:type="character" w:customStyle="1" w:styleId="208">
    <w:name w:val="引用 Char4"/>
    <w:link w:val="114"/>
    <w:qFormat/>
    <w:uiPriority w:val="0"/>
    <w:rPr>
      <w:i/>
      <w:iCs/>
      <w:color w:val="000000"/>
      <w:kern w:val="2"/>
      <w:sz w:val="21"/>
      <w:szCs w:val="22"/>
      <w:lang w:bidi="ar-SA"/>
    </w:rPr>
  </w:style>
  <w:style w:type="character" w:customStyle="1" w:styleId="209">
    <w:name w:val="标题 9 字符"/>
    <w:link w:val="11"/>
    <w:qFormat/>
    <w:uiPriority w:val="0"/>
    <w:rPr>
      <w:rFonts w:eastAsia="仿宋_GB2312"/>
      <w:sz w:val="30"/>
      <w:lang w:val="en-US" w:eastAsia="zh-CN" w:bidi="ar-SA"/>
    </w:rPr>
  </w:style>
  <w:style w:type="character" w:customStyle="1" w:styleId="210">
    <w:name w:val="标题 3 Char"/>
    <w:qFormat/>
    <w:uiPriority w:val="0"/>
    <w:rPr>
      <w:rFonts w:ascii="仿宋_GB2312" w:hAnsi="Calibri" w:eastAsia="仿宋_GB2312" w:cs="Times New Roman"/>
      <w:b/>
      <w:kern w:val="0"/>
      <w:sz w:val="24"/>
      <w:szCs w:val="28"/>
    </w:rPr>
  </w:style>
  <w:style w:type="character" w:customStyle="1" w:styleId="211">
    <w:name w:val="批注文字 Char2"/>
    <w:qFormat/>
    <w:uiPriority w:val="0"/>
    <w:rPr>
      <w:rFonts w:ascii="Calibri" w:hAnsi="Calibri" w:eastAsia="宋体" w:cs="Times New Roman"/>
      <w:szCs w:val="24"/>
    </w:rPr>
  </w:style>
  <w:style w:type="character" w:customStyle="1" w:styleId="212">
    <w:name w:val="normaltext1"/>
    <w:qFormat/>
    <w:uiPriority w:val="0"/>
    <w:rPr>
      <w:rFonts w:hint="default" w:ascii="ˎ̥" w:hAnsi="ˎ̥"/>
      <w:sz w:val="9"/>
      <w:szCs w:val="9"/>
    </w:rPr>
  </w:style>
  <w:style w:type="character" w:customStyle="1" w:styleId="213">
    <w:name w:val="ca-141"/>
    <w:qFormat/>
    <w:uiPriority w:val="0"/>
    <w:rPr>
      <w:rFonts w:hint="eastAsia" w:ascii="仿宋_GB2312" w:eastAsia="仿宋_GB2312"/>
      <w:sz w:val="21"/>
      <w:szCs w:val="21"/>
    </w:rPr>
  </w:style>
  <w:style w:type="character" w:customStyle="1" w:styleId="214">
    <w:name w:val="main_tdbg_7601"/>
    <w:qFormat/>
    <w:uiPriority w:val="0"/>
    <w:rPr>
      <w:sz w:val="14"/>
      <w:szCs w:val="14"/>
    </w:rPr>
  </w:style>
  <w:style w:type="character" w:customStyle="1" w:styleId="215">
    <w:name w:val="文档结构图 字符"/>
    <w:link w:val="15"/>
    <w:qFormat/>
    <w:uiPriority w:val="0"/>
    <w:rPr>
      <w:rFonts w:eastAsia="宋体"/>
      <w:kern w:val="2"/>
      <w:sz w:val="21"/>
      <w:szCs w:val="24"/>
      <w:lang w:val="en-US" w:eastAsia="zh-CN" w:bidi="ar-SA"/>
    </w:rPr>
  </w:style>
  <w:style w:type="character" w:customStyle="1" w:styleId="216">
    <w:name w:val="批注框文本 Char3"/>
    <w:semiHidden/>
    <w:qFormat/>
    <w:uiPriority w:val="99"/>
    <w:rPr>
      <w:rFonts w:ascii="Calibri" w:hAnsi="Calibri" w:eastAsia="宋体" w:cs="Times New Roman"/>
      <w:sz w:val="18"/>
      <w:szCs w:val="18"/>
    </w:rPr>
  </w:style>
  <w:style w:type="character" w:customStyle="1" w:styleId="217">
    <w:name w:val="Char Char9"/>
    <w:qFormat/>
    <w:locked/>
    <w:uiPriority w:val="0"/>
    <w:rPr>
      <w:rFonts w:ascii="仿宋_GB2312" w:eastAsia="仿宋_GB2312" w:cs="MingLiU"/>
      <w:b/>
      <w:sz w:val="24"/>
      <w:szCs w:val="28"/>
      <w:lang w:val="en-US" w:eastAsia="zh-CN" w:bidi="ar-SA"/>
    </w:rPr>
  </w:style>
  <w:style w:type="character" w:customStyle="1" w:styleId="218">
    <w:name w:val="title11"/>
    <w:qFormat/>
    <w:uiPriority w:val="0"/>
    <w:rPr>
      <w:b/>
      <w:bCs/>
      <w:color w:val="FFFFFF"/>
      <w:sz w:val="11"/>
      <w:szCs w:val="11"/>
    </w:rPr>
  </w:style>
  <w:style w:type="character" w:customStyle="1" w:styleId="219">
    <w:name w:val="批注框文本 字符"/>
    <w:link w:val="29"/>
    <w:qFormat/>
    <w:uiPriority w:val="0"/>
    <w:rPr>
      <w:rFonts w:eastAsia="宋体"/>
      <w:kern w:val="2"/>
      <w:sz w:val="18"/>
      <w:szCs w:val="18"/>
      <w:lang w:val="en-US" w:eastAsia="zh-CN" w:bidi="ar-SA"/>
    </w:rPr>
  </w:style>
  <w:style w:type="character" w:customStyle="1" w:styleId="220">
    <w:name w:val="标题 8 Char1"/>
    <w:qFormat/>
    <w:uiPriority w:val="0"/>
    <w:rPr>
      <w:rFonts w:ascii="Times New Roman" w:hAnsi="Arial" w:eastAsia="仿宋_GB2312" w:cs="Times New Roman"/>
      <w:sz w:val="30"/>
      <w:szCs w:val="20"/>
    </w:rPr>
  </w:style>
  <w:style w:type="character" w:customStyle="1" w:styleId="221">
    <w:name w:val="标题 Char2"/>
    <w:qFormat/>
    <w:uiPriority w:val="10"/>
    <w:rPr>
      <w:rFonts w:ascii="Cambria" w:hAnsi="Cambria" w:eastAsia="宋体" w:cs="Times New Roman"/>
      <w:b/>
      <w:bCs/>
      <w:sz w:val="32"/>
      <w:szCs w:val="32"/>
    </w:rPr>
  </w:style>
  <w:style w:type="character" w:customStyle="1" w:styleId="222">
    <w:name w:val="标题 字符"/>
    <w:link w:val="44"/>
    <w:qFormat/>
    <w:uiPriority w:val="0"/>
    <w:rPr>
      <w:rFonts w:eastAsia="宋体"/>
      <w:szCs w:val="24"/>
      <w:u w:val="single"/>
      <w:lang w:val="en-US" w:eastAsia="en-US" w:bidi="ar-SA"/>
    </w:rPr>
  </w:style>
  <w:style w:type="character" w:customStyle="1" w:styleId="223">
    <w:name w:val="批注主题 Char1"/>
    <w:qFormat/>
    <w:uiPriority w:val="0"/>
    <w:rPr>
      <w:b/>
      <w:bCs/>
      <w:kern w:val="2"/>
      <w:sz w:val="21"/>
      <w:szCs w:val="22"/>
    </w:rPr>
  </w:style>
  <w:style w:type="character" w:customStyle="1" w:styleId="224">
    <w:name w:val="副标题 Char"/>
    <w:qFormat/>
    <w:uiPriority w:val="0"/>
    <w:rPr>
      <w:rFonts w:ascii="Cambria" w:hAnsi="Cambria" w:eastAsia="宋体" w:cs="Times New Roman"/>
      <w:b/>
      <w:bCs/>
      <w:kern w:val="28"/>
      <w:sz w:val="32"/>
      <w:szCs w:val="32"/>
    </w:rPr>
  </w:style>
  <w:style w:type="character" w:customStyle="1" w:styleId="225">
    <w:name w:val="正文文本 字符"/>
    <w:link w:val="18"/>
    <w:qFormat/>
    <w:uiPriority w:val="0"/>
    <w:rPr>
      <w:rFonts w:eastAsia="宋体"/>
      <w:kern w:val="2"/>
      <w:sz w:val="21"/>
      <w:szCs w:val="24"/>
      <w:lang w:val="en-US" w:eastAsia="zh-CN" w:bidi="ar-SA"/>
    </w:rPr>
  </w:style>
  <w:style w:type="character" w:customStyle="1" w:styleId="226">
    <w:name w:val="纯文本 Char1"/>
    <w:qFormat/>
    <w:uiPriority w:val="0"/>
    <w:rPr>
      <w:rFonts w:ascii="宋体" w:hAnsi="Courier New" w:cs="Courier New"/>
      <w:kern w:val="2"/>
      <w:sz w:val="21"/>
      <w:szCs w:val="21"/>
    </w:rPr>
  </w:style>
  <w:style w:type="character" w:customStyle="1" w:styleId="227">
    <w:name w:val="脚注文本 字符"/>
    <w:link w:val="35"/>
    <w:qFormat/>
    <w:uiPriority w:val="0"/>
    <w:rPr>
      <w:rFonts w:ascii="Arial" w:hAnsi="Arial" w:eastAsia="宋体" w:cs="Arial"/>
      <w:sz w:val="18"/>
      <w:szCs w:val="18"/>
      <w:lang w:val="en-US" w:eastAsia="en-US" w:bidi="ar-SA"/>
    </w:rPr>
  </w:style>
  <w:style w:type="character" w:customStyle="1" w:styleId="228">
    <w:name w:val="标题 2 Char1"/>
    <w:qFormat/>
    <w:uiPriority w:val="0"/>
    <w:rPr>
      <w:rFonts w:ascii="Cambria" w:hAnsi="Cambria" w:eastAsia="宋体" w:cs="Times New Roman"/>
      <w:b/>
      <w:bCs/>
      <w:kern w:val="2"/>
      <w:sz w:val="32"/>
      <w:szCs w:val="32"/>
    </w:rPr>
  </w:style>
  <w:style w:type="character" w:customStyle="1" w:styleId="229">
    <w:name w:val="脚注文本 Char1"/>
    <w:qFormat/>
    <w:uiPriority w:val="0"/>
    <w:rPr>
      <w:rFonts w:ascii="Arial" w:hAnsi="Arial" w:cs="Arial"/>
      <w:sz w:val="18"/>
      <w:szCs w:val="18"/>
      <w:lang w:eastAsia="en-US"/>
    </w:rPr>
  </w:style>
  <w:style w:type="character" w:customStyle="1" w:styleId="230">
    <w:name w:val="HTML 预设格式 Char2"/>
    <w:semiHidden/>
    <w:qFormat/>
    <w:uiPriority w:val="99"/>
    <w:rPr>
      <w:rFonts w:ascii="Courier New" w:hAnsi="Courier New" w:eastAsia="宋体" w:cs="Courier New"/>
      <w:sz w:val="20"/>
      <w:szCs w:val="20"/>
    </w:rPr>
  </w:style>
  <w:style w:type="character" w:customStyle="1" w:styleId="231">
    <w:name w:val="标题 8 Char"/>
    <w:qFormat/>
    <w:uiPriority w:val="0"/>
    <w:rPr>
      <w:rFonts w:ascii="Arial" w:hAnsi="Arial" w:eastAsia="黑体" w:cs="Times New Roman"/>
      <w:sz w:val="24"/>
      <w:szCs w:val="24"/>
    </w:rPr>
  </w:style>
  <w:style w:type="character" w:customStyle="1" w:styleId="232">
    <w:name w:val="s3"/>
    <w:qFormat/>
    <w:uiPriority w:val="0"/>
  </w:style>
  <w:style w:type="character" w:customStyle="1" w:styleId="233">
    <w:name w:val="标题 4 Char"/>
    <w:qFormat/>
    <w:uiPriority w:val="0"/>
    <w:rPr>
      <w:rFonts w:ascii="仿宋_GB2312" w:hAnsi="Calibri" w:eastAsia="仿宋_GB2312" w:cs="Times New Roman"/>
      <w:b/>
      <w:kern w:val="0"/>
      <w:sz w:val="24"/>
      <w:szCs w:val="28"/>
    </w:rPr>
  </w:style>
  <w:style w:type="character" w:customStyle="1" w:styleId="234">
    <w:name w:val="正文文本缩进 2 Char"/>
    <w:qFormat/>
    <w:uiPriority w:val="0"/>
    <w:rPr>
      <w:kern w:val="2"/>
      <w:sz w:val="21"/>
      <w:szCs w:val="24"/>
    </w:rPr>
  </w:style>
  <w:style w:type="character" w:customStyle="1" w:styleId="235">
    <w:name w:val="style21"/>
    <w:qFormat/>
    <w:uiPriority w:val="0"/>
    <w:rPr>
      <w:b/>
      <w:bCs/>
      <w:sz w:val="28"/>
      <w:szCs w:val="28"/>
    </w:rPr>
  </w:style>
  <w:style w:type="character" w:customStyle="1" w:styleId="236">
    <w:name w:val="正文文本缩进 2 Char2"/>
    <w:semiHidden/>
    <w:qFormat/>
    <w:uiPriority w:val="99"/>
    <w:rPr>
      <w:rFonts w:ascii="Calibri" w:hAnsi="Calibri" w:eastAsia="宋体" w:cs="Times New Roman"/>
      <w:szCs w:val="24"/>
    </w:rPr>
  </w:style>
  <w:style w:type="character" w:customStyle="1" w:styleId="237">
    <w:name w:val="ht1"/>
    <w:qFormat/>
    <w:uiPriority w:val="0"/>
    <w:rPr>
      <w:rFonts w:ascii="黑体" w:eastAsia="黑体"/>
      <w:b/>
      <w:bCs/>
    </w:rPr>
  </w:style>
  <w:style w:type="character" w:customStyle="1" w:styleId="238">
    <w:name w:val="文档结构图 Char3"/>
    <w:semiHidden/>
    <w:qFormat/>
    <w:uiPriority w:val="99"/>
    <w:rPr>
      <w:rFonts w:ascii="宋体" w:hAnsi="Calibri" w:eastAsia="宋体" w:cs="Times New Roman"/>
      <w:sz w:val="18"/>
      <w:szCs w:val="18"/>
    </w:rPr>
  </w:style>
  <w:style w:type="character" w:customStyle="1" w:styleId="239">
    <w:name w:val="书籍标题1"/>
    <w:qFormat/>
    <w:uiPriority w:val="0"/>
    <w:rPr>
      <w:b/>
      <w:bCs/>
      <w:smallCaps/>
      <w:spacing w:val="5"/>
    </w:rPr>
  </w:style>
  <w:style w:type="character" w:customStyle="1" w:styleId="240">
    <w:name w:val="标题 7 Char1"/>
    <w:qFormat/>
    <w:uiPriority w:val="0"/>
    <w:rPr>
      <w:rFonts w:ascii="Times New Roman" w:hAnsi="Times New Roman" w:eastAsia="仿宋_GB2312" w:cs="Times New Roman"/>
      <w:sz w:val="30"/>
      <w:szCs w:val="20"/>
    </w:rPr>
  </w:style>
  <w:style w:type="character" w:customStyle="1" w:styleId="241">
    <w:name w:val="明显引用 Char2"/>
    <w:qFormat/>
    <w:uiPriority w:val="99"/>
    <w:rPr>
      <w:b/>
      <w:bCs/>
      <w:i/>
      <w:iCs/>
      <w:color w:val="4F81BD"/>
      <w:kern w:val="2"/>
      <w:sz w:val="21"/>
      <w:szCs w:val="24"/>
    </w:rPr>
  </w:style>
  <w:style w:type="character" w:customStyle="1" w:styleId="242">
    <w:name w:val="不明显强调1"/>
    <w:qFormat/>
    <w:uiPriority w:val="0"/>
    <w:rPr>
      <w:i/>
      <w:iCs/>
      <w:color w:val="808080"/>
    </w:rPr>
  </w:style>
  <w:style w:type="character" w:customStyle="1" w:styleId="243">
    <w:name w:val="普通文字 Char Char2"/>
    <w:qFormat/>
    <w:uiPriority w:val="0"/>
    <w:rPr>
      <w:rFonts w:ascii="宋体" w:hAnsi="Courier New"/>
      <w:kern w:val="2"/>
      <w:sz w:val="28"/>
      <w:szCs w:val="28"/>
    </w:rPr>
  </w:style>
  <w:style w:type="character" w:customStyle="1" w:styleId="244">
    <w:name w:val="标题 6 Char"/>
    <w:qFormat/>
    <w:uiPriority w:val="0"/>
    <w:rPr>
      <w:rFonts w:ascii="Arial" w:hAnsi="Arial" w:eastAsia="黑体" w:cs="Times New Roman"/>
      <w:b/>
      <w:bCs/>
      <w:sz w:val="24"/>
      <w:szCs w:val="24"/>
    </w:rPr>
  </w:style>
  <w:style w:type="character" w:customStyle="1" w:styleId="245">
    <w:name w:val="l1"/>
    <w:basedOn w:val="50"/>
    <w:qFormat/>
    <w:uiPriority w:val="0"/>
  </w:style>
  <w:style w:type="character" w:customStyle="1" w:styleId="246">
    <w:name w:val="未处理的提及1"/>
    <w:unhideWhenUsed/>
    <w:qFormat/>
    <w:uiPriority w:val="99"/>
    <w:rPr>
      <w:color w:val="808080"/>
      <w:shd w:val="clear" w:color="auto" w:fill="E6E6E6"/>
    </w:rPr>
  </w:style>
  <w:style w:type="character" w:customStyle="1" w:styleId="247">
    <w:name w:val="页眉 字符"/>
    <w:link w:val="31"/>
    <w:qFormat/>
    <w:uiPriority w:val="0"/>
    <w:rPr>
      <w:rFonts w:eastAsia="宋体"/>
      <w:kern w:val="2"/>
      <w:sz w:val="18"/>
      <w:szCs w:val="18"/>
      <w:lang w:val="en-US" w:eastAsia="zh-CN" w:bidi="ar-SA"/>
    </w:rPr>
  </w:style>
  <w:style w:type="character" w:customStyle="1" w:styleId="248">
    <w:name w:val="Char Char35"/>
    <w:qFormat/>
    <w:uiPriority w:val="0"/>
    <w:rPr>
      <w:rFonts w:ascii="仿宋_GB2312" w:eastAsia="仿宋_GB2312" w:cs="MingLiU"/>
      <w:b/>
      <w:sz w:val="24"/>
      <w:szCs w:val="28"/>
    </w:rPr>
  </w:style>
  <w:style w:type="character" w:customStyle="1" w:styleId="249">
    <w:name w:val="Char Char11"/>
    <w:qFormat/>
    <w:locked/>
    <w:uiPriority w:val="0"/>
    <w:rPr>
      <w:rFonts w:eastAsia="黑体"/>
      <w:kern w:val="2"/>
      <w:sz w:val="44"/>
      <w:szCs w:val="44"/>
      <w:lang w:val="en-US" w:eastAsia="zh-CN" w:bidi="ar-SA"/>
    </w:rPr>
  </w:style>
  <w:style w:type="character" w:customStyle="1" w:styleId="250">
    <w:name w:val="style31"/>
    <w:qFormat/>
    <w:uiPriority w:val="0"/>
    <w:rPr>
      <w:sz w:val="10"/>
      <w:szCs w:val="10"/>
    </w:rPr>
  </w:style>
  <w:style w:type="character" w:customStyle="1" w:styleId="251">
    <w:name w:val="0d1471"/>
    <w:qFormat/>
    <w:uiPriority w:val="0"/>
    <w:rPr>
      <w:color w:val="000000"/>
      <w:sz w:val="11"/>
      <w:szCs w:val="11"/>
      <w:u w:val="none"/>
    </w:rPr>
  </w:style>
  <w:style w:type="character" w:customStyle="1" w:styleId="252">
    <w:name w:val="标题 9 Char"/>
    <w:qFormat/>
    <w:uiPriority w:val="0"/>
    <w:rPr>
      <w:rFonts w:ascii="Arial" w:hAnsi="Arial" w:eastAsia="黑体" w:cs="Times New Roman"/>
      <w:szCs w:val="21"/>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4 Char Char"/>
    <w:link w:val="99"/>
    <w:qFormat/>
    <w:uiPriority w:val="0"/>
    <w:rPr>
      <w:rFonts w:ascii="Arial" w:hAnsi="Arial"/>
      <w:b/>
      <w:bCs/>
      <w:sz w:val="24"/>
      <w:szCs w:val="32"/>
      <w:lang w:bidi="ar-SA"/>
    </w:rPr>
  </w:style>
  <w:style w:type="character" w:customStyle="1" w:styleId="255">
    <w:name w:val="标题 5 Char1"/>
    <w:qFormat/>
    <w:uiPriority w:val="0"/>
    <w:rPr>
      <w:rFonts w:ascii="宋体" w:hAnsi="宋体" w:eastAsia="宋体" w:cs="宋体"/>
      <w:b/>
      <w:bCs/>
      <w:sz w:val="20"/>
      <w:szCs w:val="20"/>
    </w:rPr>
  </w:style>
  <w:style w:type="character" w:customStyle="1" w:styleId="256">
    <w:name w:val="正文文本缩进 3 Char1"/>
    <w:qFormat/>
    <w:uiPriority w:val="0"/>
    <w:rPr>
      <w:rFonts w:ascii="宋体" w:hAnsi="宋体"/>
      <w:kern w:val="2"/>
      <w:sz w:val="28"/>
      <w:szCs w:val="28"/>
    </w:rPr>
  </w:style>
  <w:style w:type="character" w:customStyle="1" w:styleId="257">
    <w:name w:val="Char Char33"/>
    <w:qFormat/>
    <w:uiPriority w:val="0"/>
    <w:rPr>
      <w:rFonts w:ascii="仿宋_GB2312" w:eastAsia="仿宋_GB2312" w:cs="MingLiU"/>
      <w:b/>
      <w:sz w:val="24"/>
      <w:szCs w:val="28"/>
    </w:rPr>
  </w:style>
  <w:style w:type="character" w:customStyle="1" w:styleId="258">
    <w:name w:val="批注文字 Char1"/>
    <w:qFormat/>
    <w:uiPriority w:val="99"/>
    <w:rPr>
      <w:rFonts w:ascii="Times New Roman" w:hAnsi="Times New Roman" w:eastAsia="宋体" w:cs="Times New Roman"/>
      <w:szCs w:val="24"/>
    </w:rPr>
  </w:style>
  <w:style w:type="character" w:customStyle="1" w:styleId="259">
    <w:name w:val="正文文本 3 Char1"/>
    <w:qFormat/>
    <w:uiPriority w:val="0"/>
    <w:rPr>
      <w:kern w:val="2"/>
      <w:sz w:val="16"/>
      <w:szCs w:val="16"/>
    </w:rPr>
  </w:style>
  <w:style w:type="character" w:customStyle="1" w:styleId="260">
    <w:name w:val="页眉 Char"/>
    <w:qFormat/>
    <w:uiPriority w:val="0"/>
    <w:rPr>
      <w:sz w:val="18"/>
      <w:szCs w:val="18"/>
    </w:rPr>
  </w:style>
  <w:style w:type="character" w:customStyle="1" w:styleId="261">
    <w:name w:val="明显引用 Char"/>
    <w:qFormat/>
    <w:uiPriority w:val="0"/>
    <w:rPr>
      <w:rFonts w:ascii="Times New Roman" w:hAnsi="Times New Roman" w:eastAsia="宋体" w:cs="Times New Roman"/>
      <w:b/>
      <w:bCs/>
      <w:i/>
      <w:iCs/>
      <w:color w:val="4F81BD"/>
      <w:kern w:val="2"/>
      <w:sz w:val="21"/>
      <w:szCs w:val="24"/>
    </w:rPr>
  </w:style>
  <w:style w:type="character" w:customStyle="1" w:styleId="262">
    <w:name w:val="color_red1"/>
    <w:qFormat/>
    <w:uiPriority w:val="0"/>
    <w:rPr>
      <w:color w:val="FA0004"/>
    </w:rPr>
  </w:style>
  <w:style w:type="character" w:customStyle="1" w:styleId="263">
    <w:name w:val="批注主题 Char2"/>
    <w:qFormat/>
    <w:uiPriority w:val="99"/>
    <w:rPr>
      <w:b/>
      <w:bCs/>
      <w:kern w:val="2"/>
      <w:sz w:val="21"/>
      <w:szCs w:val="24"/>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basedOn w:val="50"/>
    <w:qFormat/>
    <w:uiPriority w:val="0"/>
  </w:style>
  <w:style w:type="character" w:customStyle="1" w:styleId="266">
    <w:name w:val="正文文本 3 Char"/>
    <w:qFormat/>
    <w:uiPriority w:val="0"/>
    <w:rPr>
      <w:kern w:val="2"/>
      <w:sz w:val="16"/>
      <w:szCs w:val="16"/>
    </w:rPr>
  </w:style>
  <w:style w:type="character" w:customStyle="1" w:styleId="267">
    <w:name w:val="标题 5 Char"/>
    <w:qFormat/>
    <w:uiPriority w:val="0"/>
    <w:rPr>
      <w:rFonts w:ascii="Calibri" w:hAnsi="Calibri" w:eastAsia="宋体" w:cs="Times New Roman"/>
      <w:b/>
      <w:bCs/>
      <w:sz w:val="28"/>
      <w:szCs w:val="28"/>
    </w:rPr>
  </w:style>
  <w:style w:type="character" w:customStyle="1" w:styleId="268">
    <w:name w:val="style161"/>
    <w:qFormat/>
    <w:uiPriority w:val="0"/>
    <w:rPr>
      <w:b/>
      <w:bCs/>
      <w:color w:val="333333"/>
    </w:rPr>
  </w:style>
  <w:style w:type="character" w:customStyle="1" w:styleId="269">
    <w:name w:val="文档结构图 Char2"/>
    <w:qFormat/>
    <w:uiPriority w:val="99"/>
    <w:rPr>
      <w:kern w:val="2"/>
      <w:sz w:val="21"/>
      <w:szCs w:val="24"/>
      <w:shd w:val="clear" w:color="auto" w:fill="000080"/>
    </w:rPr>
  </w:style>
  <w:style w:type="character" w:customStyle="1" w:styleId="270">
    <w:name w:val="页脚 Char1"/>
    <w:semiHidden/>
    <w:qFormat/>
    <w:uiPriority w:val="99"/>
    <w:rPr>
      <w:kern w:val="2"/>
      <w:sz w:val="18"/>
      <w:szCs w:val="18"/>
    </w:rPr>
  </w:style>
  <w:style w:type="character" w:customStyle="1" w:styleId="271">
    <w:name w:val="日期 Char2"/>
    <w:qFormat/>
    <w:uiPriority w:val="99"/>
    <w:rPr>
      <w:kern w:val="2"/>
      <w:sz w:val="21"/>
      <w:szCs w:val="24"/>
    </w:rPr>
  </w:style>
  <w:style w:type="character" w:customStyle="1" w:styleId="272">
    <w:name w:val="HTML 预设格式 Char"/>
    <w:qFormat/>
    <w:uiPriority w:val="0"/>
    <w:rPr>
      <w:rFonts w:ascii="宋体" w:hAnsi="宋体" w:eastAsia="宋体" w:cs="宋体"/>
      <w:color w:val="000000"/>
      <w:sz w:val="24"/>
      <w:szCs w:val="24"/>
    </w:rPr>
  </w:style>
  <w:style w:type="character" w:customStyle="1" w:styleId="273">
    <w:name w:val="批注主题 字符"/>
    <w:link w:val="45"/>
    <w:qFormat/>
    <w:uiPriority w:val="0"/>
    <w:rPr>
      <w:rFonts w:eastAsia="宋体"/>
      <w:b/>
      <w:bCs/>
      <w:kern w:val="2"/>
      <w:sz w:val="21"/>
      <w:szCs w:val="24"/>
      <w:lang w:val="en-US" w:eastAsia="zh-CN" w:bidi="ar-SA"/>
    </w:rPr>
  </w:style>
  <w:style w:type="character" w:customStyle="1" w:styleId="274">
    <w:name w:val="正文文本 2 字符"/>
    <w:link w:val="40"/>
    <w:qFormat/>
    <w:uiPriority w:val="0"/>
    <w:rPr>
      <w:i/>
      <w:iCs/>
      <w:kern w:val="2"/>
      <w:sz w:val="26"/>
      <w:szCs w:val="24"/>
    </w:rPr>
  </w:style>
  <w:style w:type="character" w:customStyle="1" w:styleId="275">
    <w:name w:val="批注框文本 Char"/>
    <w:qFormat/>
    <w:uiPriority w:val="0"/>
    <w:rPr>
      <w:sz w:val="18"/>
      <w:szCs w:val="18"/>
    </w:rPr>
  </w:style>
  <w:style w:type="character" w:customStyle="1" w:styleId="276">
    <w:name w:val="文档结构图 Char"/>
    <w:qFormat/>
    <w:uiPriority w:val="0"/>
    <w:rPr>
      <w:rFonts w:ascii="宋体"/>
      <w:kern w:val="2"/>
      <w:sz w:val="18"/>
      <w:szCs w:val="18"/>
    </w:rPr>
  </w:style>
  <w:style w:type="character" w:customStyle="1" w:styleId="277">
    <w:name w:val="标题 8 字符"/>
    <w:link w:val="10"/>
    <w:qFormat/>
    <w:uiPriority w:val="0"/>
    <w:rPr>
      <w:rFonts w:hAnsi="Arial" w:eastAsia="仿宋_GB2312"/>
      <w:sz w:val="30"/>
      <w:lang w:val="en-US" w:eastAsia="zh-CN" w:bidi="ar-SA"/>
    </w:rPr>
  </w:style>
  <w:style w:type="character" w:customStyle="1" w:styleId="278">
    <w:name w:val="正文文本缩进 3 字符"/>
    <w:link w:val="37"/>
    <w:qFormat/>
    <w:uiPriority w:val="0"/>
    <w:rPr>
      <w:rFonts w:ascii="宋体" w:hAnsi="宋体" w:eastAsia="宋体"/>
      <w:kern w:val="2"/>
      <w:sz w:val="28"/>
      <w:szCs w:val="28"/>
      <w:lang w:val="en-US" w:eastAsia="zh-CN" w:bidi="ar-SA"/>
    </w:rPr>
  </w:style>
  <w:style w:type="character" w:customStyle="1" w:styleId="279">
    <w:name w:val="正文文本缩进 字符"/>
    <w:link w:val="19"/>
    <w:qFormat/>
    <w:uiPriority w:val="0"/>
    <w:rPr>
      <w:rFonts w:eastAsia="宋体"/>
      <w:kern w:val="2"/>
      <w:sz w:val="21"/>
      <w:szCs w:val="24"/>
      <w:lang w:val="en-US" w:eastAsia="zh-CN" w:bidi="ar-SA"/>
    </w:rPr>
  </w:style>
  <w:style w:type="character" w:customStyle="1" w:styleId="280">
    <w:name w:val="_Style 196"/>
    <w:qFormat/>
    <w:uiPriority w:val="0"/>
    <w:rPr>
      <w:i/>
      <w:iCs/>
      <w:color w:val="808080"/>
    </w:rPr>
  </w:style>
  <w:style w:type="character" w:customStyle="1" w:styleId="281">
    <w:name w:val="正文文本缩进 2 字符"/>
    <w:link w:val="27"/>
    <w:qFormat/>
    <w:uiPriority w:val="0"/>
    <w:rPr>
      <w:rFonts w:eastAsia="宋体"/>
      <w:sz w:val="28"/>
      <w:szCs w:val="24"/>
      <w:lang w:val="en-US" w:eastAsia="zh-CN" w:bidi="ar-SA"/>
    </w:rPr>
  </w:style>
  <w:style w:type="character" w:customStyle="1" w:styleId="282">
    <w:name w:val="标题 7 字符"/>
    <w:link w:val="9"/>
    <w:qFormat/>
    <w:uiPriority w:val="0"/>
    <w:rPr>
      <w:rFonts w:eastAsia="仿宋_GB2312"/>
      <w:sz w:val="30"/>
      <w:lang w:val="en-US" w:eastAsia="zh-CN" w:bidi="ar-SA"/>
    </w:rPr>
  </w:style>
  <w:style w:type="character" w:customStyle="1" w:styleId="283">
    <w:name w:val="Char Char13"/>
    <w:qFormat/>
    <w:uiPriority w:val="0"/>
    <w:rPr>
      <w:kern w:val="2"/>
      <w:sz w:val="18"/>
      <w:szCs w:val="18"/>
    </w:rPr>
  </w:style>
  <w:style w:type="character" w:customStyle="1" w:styleId="284">
    <w:name w:val="正文文本缩进 2 Char1"/>
    <w:qFormat/>
    <w:uiPriority w:val="0"/>
    <w:rPr>
      <w:sz w:val="28"/>
      <w:szCs w:val="24"/>
    </w:rPr>
  </w:style>
  <w:style w:type="character" w:customStyle="1" w:styleId="285">
    <w:name w:val="Char Char21"/>
    <w:qFormat/>
    <w:uiPriority w:val="0"/>
    <w:rPr>
      <w:rFonts w:ascii="宋体" w:hAnsi="宋体" w:cs="宋体"/>
      <w:b/>
      <w:bCs/>
      <w:sz w:val="24"/>
      <w:szCs w:val="24"/>
    </w:rPr>
  </w:style>
  <w:style w:type="character" w:customStyle="1" w:styleId="286">
    <w:name w:val="文档结构图 Char1"/>
    <w:qFormat/>
    <w:uiPriority w:val="0"/>
    <w:rPr>
      <w:rFonts w:ascii="宋体"/>
      <w:kern w:val="2"/>
      <w:sz w:val="18"/>
      <w:szCs w:val="18"/>
    </w:rPr>
  </w:style>
  <w:style w:type="character" w:customStyle="1" w:styleId="287">
    <w:name w:val="标题 Char"/>
    <w:qFormat/>
    <w:uiPriority w:val="0"/>
    <w:rPr>
      <w:rFonts w:ascii="Cambria" w:hAnsi="Cambria" w:eastAsia="宋体" w:cs="Times New Roman"/>
      <w:b/>
      <w:bCs/>
      <w:kern w:val="2"/>
      <w:sz w:val="32"/>
      <w:szCs w:val="32"/>
    </w:rPr>
  </w:style>
  <w:style w:type="character" w:customStyle="1" w:styleId="288">
    <w:name w:val="_Style 275"/>
    <w:qFormat/>
    <w:uiPriority w:val="0"/>
    <w:rPr>
      <w:smallCaps/>
      <w:color w:val="C0504D"/>
      <w:u w:val="single"/>
    </w:rPr>
  </w:style>
  <w:style w:type="character" w:customStyle="1" w:styleId="289">
    <w:name w:val="Char Char12"/>
    <w:qFormat/>
    <w:uiPriority w:val="0"/>
    <w:rPr>
      <w:rFonts w:eastAsia="黑体"/>
      <w:kern w:val="2"/>
      <w:sz w:val="44"/>
      <w:szCs w:val="44"/>
      <w:lang w:val="en-US" w:eastAsia="zh-CN" w:bidi="ar-SA"/>
    </w:rPr>
  </w:style>
  <w:style w:type="character" w:customStyle="1" w:styleId="290">
    <w:name w:val="明显参考1"/>
    <w:qFormat/>
    <w:uiPriority w:val="0"/>
    <w:rPr>
      <w:b/>
      <w:bCs/>
      <w:smallCaps/>
      <w:color w:val="C0504D"/>
      <w:spacing w:val="5"/>
      <w:u w:val="single"/>
    </w:rPr>
  </w:style>
  <w:style w:type="character" w:customStyle="1" w:styleId="291">
    <w:name w:val="Char Char36"/>
    <w:qFormat/>
    <w:uiPriority w:val="0"/>
    <w:rPr>
      <w:rFonts w:ascii="仿宋_GB2312" w:eastAsia="仿宋_GB2312" w:cs="MingLiU"/>
      <w:b/>
      <w:sz w:val="24"/>
      <w:szCs w:val="28"/>
    </w:rPr>
  </w:style>
  <w:style w:type="character" w:customStyle="1" w:styleId="292">
    <w:name w:val="批注框文本 Char2"/>
    <w:qFormat/>
    <w:uiPriority w:val="99"/>
    <w:rPr>
      <w:kern w:val="2"/>
      <w:sz w:val="18"/>
      <w:szCs w:val="18"/>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正文文本缩进 3 Char2"/>
    <w:semiHidden/>
    <w:qFormat/>
    <w:uiPriority w:val="99"/>
    <w:rPr>
      <w:rFonts w:ascii="Calibri" w:hAnsi="Calibri" w:eastAsia="宋体" w:cs="Times New Roman"/>
      <w:sz w:val="16"/>
      <w:szCs w:val="16"/>
    </w:rPr>
  </w:style>
  <w:style w:type="character" w:customStyle="1" w:styleId="295">
    <w:name w:val="纯文本 Char"/>
    <w:qFormat/>
    <w:uiPriority w:val="0"/>
    <w:rPr>
      <w:rFonts w:ascii="宋体" w:hAnsi="Courier New"/>
      <w:sz w:val="28"/>
      <w:szCs w:val="28"/>
    </w:rPr>
  </w:style>
  <w:style w:type="character" w:customStyle="1" w:styleId="296">
    <w:name w:val="纯文本 Char2"/>
    <w:semiHidden/>
    <w:qFormat/>
    <w:uiPriority w:val="99"/>
    <w:rPr>
      <w:rFonts w:ascii="宋体" w:hAnsi="Courier New" w:eastAsia="宋体" w:cs="Courier New"/>
      <w:szCs w:val="21"/>
    </w:rPr>
  </w:style>
  <w:style w:type="character" w:customStyle="1" w:styleId="297">
    <w:name w:val="页眉 Char1"/>
    <w:semiHidden/>
    <w:qFormat/>
    <w:uiPriority w:val="99"/>
    <w:rPr>
      <w:kern w:val="2"/>
      <w:sz w:val="18"/>
      <w:szCs w:val="18"/>
    </w:rPr>
  </w:style>
  <w:style w:type="character" w:customStyle="1" w:styleId="298">
    <w:name w:val="Char Char14"/>
    <w:qFormat/>
    <w:uiPriority w:val="0"/>
    <w:rPr>
      <w:kern w:val="2"/>
      <w:sz w:val="18"/>
      <w:szCs w:val="18"/>
    </w:rPr>
  </w:style>
  <w:style w:type="character" w:customStyle="1" w:styleId="299">
    <w:name w:val="批注文字 字符"/>
    <w:link w:val="16"/>
    <w:qFormat/>
    <w:uiPriority w:val="99"/>
    <w:rPr>
      <w:rFonts w:eastAsia="宋体"/>
      <w:kern w:val="2"/>
      <w:sz w:val="21"/>
      <w:szCs w:val="24"/>
      <w:lang w:val="en-US" w:eastAsia="zh-CN" w:bidi="ar-SA"/>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标题 1 Char1"/>
    <w:qFormat/>
    <w:uiPriority w:val="0"/>
    <w:rPr>
      <w:rFonts w:ascii="Times New Roman" w:hAnsi="Times New Roman" w:eastAsia="宋体" w:cs="Times New Roman"/>
      <w:b/>
      <w:bCs/>
      <w:kern w:val="44"/>
      <w:sz w:val="44"/>
      <w:szCs w:val="44"/>
    </w:rPr>
  </w:style>
  <w:style w:type="character" w:customStyle="1" w:styleId="302">
    <w:name w:val="标题 5 字符"/>
    <w:link w:val="6"/>
    <w:qFormat/>
    <w:uiPriority w:val="0"/>
    <w:rPr>
      <w:rFonts w:ascii="宋体" w:hAnsi="宋体" w:eastAsia="宋体" w:cs="宋体"/>
      <w:b/>
      <w:bCs/>
      <w:lang w:val="en-US" w:eastAsia="zh-CN" w:bidi="ar-SA"/>
    </w:rPr>
  </w:style>
  <w:style w:type="character" w:customStyle="1" w:styleId="303">
    <w:name w:val="手改 Char Char"/>
    <w:qFormat/>
    <w:uiPriority w:val="0"/>
    <w:rPr>
      <w:kern w:val="2"/>
      <w:sz w:val="21"/>
      <w:szCs w:val="24"/>
    </w:rPr>
  </w:style>
  <w:style w:type="character" w:customStyle="1" w:styleId="304">
    <w:name w:val="标题 1 字符"/>
    <w:link w:val="2"/>
    <w:qFormat/>
    <w:uiPriority w:val="0"/>
    <w:rPr>
      <w:rFonts w:eastAsia="宋体"/>
      <w:b/>
      <w:bCs/>
      <w:kern w:val="44"/>
      <w:sz w:val="44"/>
      <w:szCs w:val="44"/>
      <w:lang w:val="en-US" w:eastAsia="zh-CN" w:bidi="ar-SA"/>
    </w:rPr>
  </w:style>
  <w:style w:type="character" w:customStyle="1" w:styleId="305">
    <w:name w:val="intel3"/>
    <w:basedOn w:val="50"/>
    <w:qFormat/>
    <w:uiPriority w:val="0"/>
  </w:style>
  <w:style w:type="character" w:customStyle="1" w:styleId="306">
    <w:name w:val="副标题 Char2"/>
    <w:qFormat/>
    <w:uiPriority w:val="11"/>
    <w:rPr>
      <w:rFonts w:ascii="Cambria" w:hAnsi="Cambria" w:eastAsia="宋体" w:cs="Times New Roman"/>
      <w:b/>
      <w:bCs/>
      <w:kern w:val="28"/>
      <w:sz w:val="32"/>
      <w:szCs w:val="32"/>
    </w:rPr>
  </w:style>
  <w:style w:type="character" w:customStyle="1" w:styleId="307">
    <w:name w:val="明显引用 Char4"/>
    <w:link w:val="130"/>
    <w:qFormat/>
    <w:uiPriority w:val="0"/>
    <w:rPr>
      <w:b/>
      <w:bCs/>
      <w:i/>
      <w:iCs/>
      <w:color w:val="4F81BD"/>
      <w:kern w:val="2"/>
      <w:sz w:val="21"/>
      <w:szCs w:val="22"/>
      <w:lang w:bidi="ar-SA"/>
    </w:rPr>
  </w:style>
  <w:style w:type="character" w:customStyle="1" w:styleId="308">
    <w:name w:val="明显引用 Char1"/>
    <w:link w:val="123"/>
    <w:qFormat/>
    <w:uiPriority w:val="30"/>
    <w:rPr>
      <w:b/>
      <w:bCs/>
      <w:i/>
      <w:iCs/>
      <w:color w:val="4F81BD"/>
      <w:kern w:val="2"/>
      <w:sz w:val="21"/>
    </w:rPr>
  </w:style>
  <w:style w:type="character" w:customStyle="1" w:styleId="309">
    <w:name w:val="HTML 预设格式 Char1"/>
    <w:qFormat/>
    <w:uiPriority w:val="0"/>
    <w:rPr>
      <w:rFonts w:ascii="宋体" w:hAnsi="宋体" w:cs="宋体"/>
      <w:color w:val="000000"/>
      <w:sz w:val="24"/>
      <w:szCs w:val="24"/>
    </w:rPr>
  </w:style>
  <w:style w:type="character" w:customStyle="1" w:styleId="310">
    <w:name w:val="引用 Char"/>
    <w:link w:val="81"/>
    <w:qFormat/>
    <w:uiPriority w:val="0"/>
    <w:rPr>
      <w:rFonts w:ascii="Times New Roman" w:hAnsi="Times New Roman" w:eastAsia="宋体" w:cs="Times New Roman"/>
      <w:i/>
      <w:iCs/>
      <w:color w:val="000000"/>
      <w:kern w:val="2"/>
      <w:sz w:val="21"/>
      <w:szCs w:val="24"/>
    </w:rPr>
  </w:style>
  <w:style w:type="character" w:customStyle="1" w:styleId="311">
    <w:name w:val="副标题 字符"/>
    <w:link w:val="34"/>
    <w:qFormat/>
    <w:uiPriority w:val="0"/>
    <w:rPr>
      <w:rFonts w:eastAsia="宋体"/>
      <w:szCs w:val="24"/>
      <w:u w:val="single"/>
      <w:lang w:val="en-US" w:eastAsia="en-US" w:bidi="ar-SA"/>
    </w:rPr>
  </w:style>
  <w:style w:type="character" w:customStyle="1" w:styleId="312">
    <w:name w:val="ITTHEADER1 Char"/>
    <w:qFormat/>
    <w:uiPriority w:val="0"/>
    <w:rPr>
      <w:rFonts w:eastAsia="黑体"/>
      <w:kern w:val="2"/>
      <w:sz w:val="44"/>
      <w:szCs w:val="44"/>
      <w:lang w:val="en-US" w:eastAsia="zh-CN" w:bidi="ar-SA"/>
    </w:rPr>
  </w:style>
  <w:style w:type="character" w:customStyle="1" w:styleId="313">
    <w:name w:val="日期 Char3"/>
    <w:semiHidden/>
    <w:qFormat/>
    <w:uiPriority w:val="99"/>
    <w:rPr>
      <w:rFonts w:ascii="Calibri" w:hAnsi="Calibri" w:eastAsia="宋体" w:cs="Times New Roman"/>
      <w:szCs w:val="24"/>
    </w:rPr>
  </w:style>
  <w:style w:type="character" w:customStyle="1" w:styleId="314">
    <w:name w:val="纯文本 字符"/>
    <w:link w:val="24"/>
    <w:qFormat/>
    <w:uiPriority w:val="0"/>
    <w:rPr>
      <w:rFonts w:ascii="宋体" w:hAnsi="Courier New" w:eastAsia="宋体" w:cs="Courier New"/>
      <w:kern w:val="2"/>
      <w:sz w:val="21"/>
      <w:szCs w:val="21"/>
      <w:lang w:val="en-US" w:eastAsia="zh-CN" w:bidi="ar-SA"/>
    </w:rPr>
  </w:style>
  <w:style w:type="character" w:customStyle="1" w:styleId="315">
    <w:name w:val="批注文字 Char"/>
    <w:qFormat/>
    <w:uiPriority w:val="0"/>
    <w:rPr>
      <w:rFonts w:ascii="Times New Roman" w:hAnsi="Times New Roman" w:eastAsia="宋体" w:cs="Times New Roman"/>
      <w:kern w:val="2"/>
      <w:sz w:val="21"/>
      <w:szCs w:val="24"/>
    </w:rPr>
  </w:style>
  <w:style w:type="character" w:customStyle="1" w:styleId="316">
    <w:name w:val="Section Char"/>
    <w:qFormat/>
    <w:uiPriority w:val="0"/>
    <w:rPr>
      <w:rFonts w:ascii="仿宋_GB2312" w:eastAsia="仿宋_GB2312" w:cs="MingLiU"/>
      <w:b/>
      <w:sz w:val="24"/>
      <w:szCs w:val="28"/>
      <w:lang w:val="en-US" w:eastAsia="zh-CN" w:bidi="ar-SA"/>
    </w:rPr>
  </w:style>
  <w:style w:type="character" w:customStyle="1" w:styleId="317">
    <w:name w:val="正文文本 3 Char2"/>
    <w:semiHidden/>
    <w:qFormat/>
    <w:uiPriority w:val="99"/>
    <w:rPr>
      <w:rFonts w:ascii="Calibri" w:hAnsi="Calibri" w:eastAsia="宋体" w:cs="Times New Roman"/>
      <w:sz w:val="16"/>
      <w:szCs w:val="16"/>
    </w:rPr>
  </w:style>
  <w:style w:type="character" w:customStyle="1" w:styleId="318">
    <w:name w:val="正文文本 3 字符"/>
    <w:link w:val="17"/>
    <w:qFormat/>
    <w:uiPriority w:val="0"/>
    <w:rPr>
      <w:rFonts w:eastAsia="宋体"/>
      <w:kern w:val="2"/>
      <w:sz w:val="16"/>
      <w:szCs w:val="16"/>
      <w:lang w:val="en-US" w:eastAsia="zh-CN" w:bidi="ar-SA"/>
    </w:rPr>
  </w:style>
  <w:style w:type="character" w:customStyle="1" w:styleId="319">
    <w:name w:val="普通文字 Char Char1"/>
    <w:qFormat/>
    <w:uiPriority w:val="0"/>
    <w:rPr>
      <w:rFonts w:ascii="宋体" w:hAnsi="Courier New"/>
      <w:kern w:val="2"/>
      <w:sz w:val="28"/>
      <w:szCs w:val="28"/>
    </w:rPr>
  </w:style>
  <w:style w:type="character" w:customStyle="1" w:styleId="320">
    <w:name w:val="正文文本缩进 Char"/>
    <w:qFormat/>
    <w:uiPriority w:val="0"/>
    <w:rPr>
      <w:rFonts w:ascii="黑体" w:hAnsi="宋体" w:eastAsia="黑体"/>
      <w:color w:val="000000"/>
      <w:sz w:val="28"/>
      <w:szCs w:val="32"/>
    </w:rPr>
  </w:style>
  <w:style w:type="character" w:customStyle="1" w:styleId="321">
    <w:name w:val="font161"/>
    <w:qFormat/>
    <w:uiPriority w:val="0"/>
    <w:rPr>
      <w:b/>
      <w:bCs/>
      <w:sz w:val="32"/>
      <w:szCs w:val="32"/>
    </w:rPr>
  </w:style>
  <w:style w:type="paragraph" w:customStyle="1" w:styleId="322">
    <w:name w:val="列出段落2"/>
    <w:basedOn w:val="1"/>
    <w:qFormat/>
    <w:uiPriority w:val="99"/>
    <w:pPr>
      <w:ind w:firstLine="420" w:firstLineChars="200"/>
    </w:pPr>
    <w:rPr>
      <w:sz w:val="28"/>
      <w:szCs w:val="28"/>
    </w:rPr>
  </w:style>
  <w:style w:type="paragraph" w:customStyle="1" w:styleId="3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4">
    <w:name w:val="正文(缩进)"/>
    <w:basedOn w:val="1"/>
    <w:qFormat/>
    <w:uiPriority w:val="0"/>
    <w:pPr>
      <w:ind w:left="57" w:firstLine="200" w:firstLineChars="200"/>
    </w:pPr>
    <w:rPr>
      <w:rFonts w:ascii="Calibri" w:hAnsi="Calibri"/>
      <w:sz w:val="24"/>
    </w:rPr>
  </w:style>
  <w:style w:type="table" w:customStyle="1" w:styleId="325">
    <w:name w:val="Table Normal"/>
    <w:semiHidden/>
    <w:unhideWhenUsed/>
    <w:qFormat/>
    <w:uiPriority w:val="0"/>
    <w:tblPr>
      <w:tblCellMar>
        <w:top w:w="0" w:type="dxa"/>
        <w:left w:w="0" w:type="dxa"/>
        <w:bottom w:w="0" w:type="dxa"/>
        <w:right w:w="0" w:type="dxa"/>
      </w:tblCellMar>
    </w:tblPr>
  </w:style>
  <w:style w:type="paragraph" w:customStyle="1" w:styleId="326">
    <w:name w:val="目录 53"/>
    <w:next w:val="1"/>
    <w:qFormat/>
    <w:uiPriority w:val="99"/>
    <w:pPr>
      <w:wordWrap w:val="0"/>
      <w:ind w:left="1275"/>
      <w:jc w:val="both"/>
    </w:pPr>
    <w:rPr>
      <w:rFonts w:ascii="Calibri" w:hAnsi="Calibri" w:eastAsia="宋体" w:cs="Times New Roman"/>
      <w:sz w:val="21"/>
      <w:lang w:val="en-US" w:eastAsia="zh-CN" w:bidi="ar-SA"/>
    </w:rPr>
  </w:style>
  <w:style w:type="character" w:customStyle="1" w:styleId="327">
    <w:name w:val="标题 3 Char2"/>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14360</Words>
  <Characters>15389</Characters>
  <Lines>489</Lines>
  <Paragraphs>137</Paragraphs>
  <TotalTime>30</TotalTime>
  <ScaleCrop>false</ScaleCrop>
  <LinksUpToDate>false</LinksUpToDate>
  <CharactersWithSpaces>16092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深海寻人</cp:lastModifiedBy>
  <cp:lastPrinted>2023-04-26T03:35:00Z</cp:lastPrinted>
  <dcterms:modified xsi:type="dcterms:W3CDTF">2025-12-16T09:23:20Z</dcterms:modified>
  <dc:title>第一卷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D30B526B4F90498399242ED6132A1653_13</vt:lpwstr>
  </property>
  <property fmtid="{D5CDD505-2E9C-101B-9397-08002B2CF9AE}" pid="4" name="KSOTemplateDocerSaveRecord">
    <vt:lpwstr>eyJoZGlkIjoiNDFhMjY0Y2RkNWExOGEzYTYwYjdhY2FkODY4NWZlZTciLCJ1c2VySWQiOiIzNjUxNTg0MTEifQ==</vt:lpwstr>
  </property>
</Properties>
</file>