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9C3D9">
      <w:pPr>
        <w:pStyle w:val="3"/>
        <w:jc w:val="center"/>
        <w:rPr>
          <w:rFonts w:hint="default"/>
          <w:color w:val="auto"/>
          <w:sz w:val="44"/>
          <w:szCs w:val="22"/>
        </w:rPr>
      </w:pPr>
      <w:r>
        <w:rPr>
          <w:rFonts w:hint="eastAsia"/>
          <w:color w:val="auto"/>
          <w:sz w:val="44"/>
          <w:szCs w:val="22"/>
        </w:rPr>
        <w:t>比选公告</w:t>
      </w:r>
    </w:p>
    <w:p w14:paraId="3AE3117E">
      <w:pPr>
        <w:spacing w:beforeLines="0" w:afterLines="0" w:line="420" w:lineRule="exact"/>
        <w:jc w:val="center"/>
        <w:rPr>
          <w:rFonts w:hint="default" w:hAnsi="宋体" w:cs="宋体"/>
          <w:b/>
          <w:color w:val="auto"/>
          <w:sz w:val="21"/>
          <w:szCs w:val="28"/>
        </w:rPr>
      </w:pPr>
      <w:r>
        <w:rPr>
          <w:rFonts w:hint="eastAsia" w:hAnsi="宋体" w:cs="宋体"/>
          <w:b/>
          <w:color w:val="auto"/>
          <w:sz w:val="21"/>
          <w:szCs w:val="28"/>
        </w:rPr>
        <w:t>重庆市大川国际地面改造项目（第二次）施工比选公告</w:t>
      </w:r>
    </w:p>
    <w:p w14:paraId="678930DE">
      <w:pPr>
        <w:spacing w:beforeLines="0" w:afterLines="0" w:line="420" w:lineRule="exact"/>
        <w:rPr>
          <w:rFonts w:hint="eastAsia" w:ascii="宋体" w:hAnsi="宋体" w:cs="宋体"/>
          <w:color w:val="auto"/>
          <w:sz w:val="21"/>
          <w:szCs w:val="21"/>
        </w:rPr>
      </w:pPr>
      <w:bookmarkStart w:id="0" w:name="_Toc428518712"/>
      <w:bookmarkStart w:id="1" w:name="_Toc20882"/>
      <w:bookmarkStart w:id="2" w:name="_Toc25655"/>
      <w:bookmarkStart w:id="3" w:name="_Toc2611"/>
      <w:bookmarkStart w:id="4" w:name="_Toc430185947"/>
      <w:bookmarkStart w:id="5" w:name="_Toc419974469"/>
      <w:bookmarkStart w:id="6" w:name="_Toc428172716"/>
      <w:bookmarkStart w:id="7" w:name="_Toc430184663"/>
      <w:bookmarkStart w:id="8" w:name="_Toc419977253"/>
      <w:bookmarkStart w:id="9" w:name="_Toc15370"/>
      <w:bookmarkStart w:id="10" w:name="_Toc430185949"/>
      <w:bookmarkStart w:id="11" w:name="_Toc419977255"/>
      <w:bookmarkStart w:id="12" w:name="_Toc419974471"/>
      <w:bookmarkStart w:id="13" w:name="_Toc428518714"/>
      <w:bookmarkStart w:id="14" w:name="_Toc428172718"/>
      <w:bookmarkStart w:id="15" w:name="_Toc430184665"/>
      <w:r>
        <w:rPr>
          <w:rFonts w:hint="eastAsia" w:ascii="宋体" w:hAnsi="宋体" w:cs="宋体"/>
          <w:b/>
          <w:color w:val="auto"/>
          <w:sz w:val="21"/>
          <w:szCs w:val="21"/>
        </w:rPr>
        <w:t>1.比选条件</w:t>
      </w:r>
      <w:bookmarkEnd w:id="0"/>
      <w:bookmarkEnd w:id="1"/>
      <w:bookmarkEnd w:id="2"/>
      <w:bookmarkEnd w:id="3"/>
      <w:bookmarkEnd w:id="4"/>
      <w:bookmarkEnd w:id="5"/>
      <w:bookmarkEnd w:id="6"/>
      <w:bookmarkEnd w:id="7"/>
      <w:bookmarkEnd w:id="8"/>
      <w:bookmarkEnd w:id="9"/>
    </w:p>
    <w:p w14:paraId="3AAAEF44">
      <w:pPr>
        <w:spacing w:beforeLines="0" w:afterLines="0" w:line="420" w:lineRule="exact"/>
        <w:ind w:firstLine="420" w:firstLineChars="200"/>
        <w:rPr>
          <w:rFonts w:hint="eastAsia" w:ascii="宋体" w:hAnsi="宋体" w:cs="宋体"/>
          <w:color w:val="auto"/>
          <w:sz w:val="21"/>
          <w:szCs w:val="21"/>
        </w:rPr>
      </w:pPr>
      <w:bookmarkStart w:id="16" w:name="_Toc32555"/>
      <w:bookmarkStart w:id="17" w:name="_Toc23180"/>
      <w:bookmarkStart w:id="18" w:name="_Toc430185948"/>
      <w:bookmarkStart w:id="19" w:name="_Toc14803"/>
      <w:bookmarkStart w:id="20" w:name="_Toc428518713"/>
      <w:bookmarkStart w:id="21" w:name="_Toc430184664"/>
      <w:bookmarkStart w:id="22" w:name="_Toc419974470"/>
      <w:bookmarkStart w:id="23" w:name="_Toc428172717"/>
      <w:bookmarkStart w:id="24" w:name="_Toc419977254"/>
      <w:r>
        <w:rPr>
          <w:rFonts w:hint="eastAsia" w:ascii="宋体" w:hAnsi="宋体" w:cs="宋体"/>
          <w:color w:val="auto"/>
          <w:sz w:val="21"/>
          <w:szCs w:val="21"/>
        </w:rPr>
        <w:t>本比选项目</w:t>
      </w:r>
      <w:bookmarkStart w:id="25" w:name="_Toc287620668"/>
      <w:r>
        <w:rPr>
          <w:rFonts w:hint="eastAsia" w:ascii="宋体" w:hAnsi="宋体" w:cs="宋体"/>
          <w:color w:val="auto"/>
          <w:sz w:val="21"/>
          <w:szCs w:val="21"/>
          <w:u w:val="single"/>
        </w:rPr>
        <w:t>重庆市大川国际地面改造项目（第二次）</w:t>
      </w:r>
      <w:r>
        <w:rPr>
          <w:rFonts w:hint="eastAsia" w:ascii="宋体" w:hAnsi="宋体" w:cs="宋体"/>
          <w:color w:val="auto"/>
          <w:sz w:val="21"/>
          <w:szCs w:val="21"/>
        </w:rPr>
        <w:t>已由上级主管部门批准建设</w:t>
      </w:r>
      <w:bookmarkEnd w:id="25"/>
      <w:r>
        <w:rPr>
          <w:rFonts w:hint="eastAsia" w:ascii="宋体" w:hAnsi="宋体" w:cs="宋体"/>
          <w:color w:val="auto"/>
          <w:sz w:val="21"/>
          <w:szCs w:val="21"/>
        </w:rPr>
        <w:t>，建设资金来自公区收益,项目出资比例为100%，比选人为重庆丰洲物业管理有限公司。项目已具备比选条件， 项目已具备比选条件，现对该项目的施工进行</w:t>
      </w:r>
      <w:r>
        <w:rPr>
          <w:rFonts w:hint="eastAsia" w:ascii="宋体" w:hAnsi="宋体"/>
          <w:snapToGrid w:val="0"/>
          <w:color w:val="auto"/>
          <w:sz w:val="21"/>
          <w:szCs w:val="21"/>
        </w:rPr>
        <w:t>竞争性比选</w:t>
      </w:r>
      <w:r>
        <w:rPr>
          <w:rFonts w:hint="eastAsia" w:ascii="宋体" w:hAnsi="宋体" w:cs="宋体"/>
          <w:color w:val="auto"/>
          <w:sz w:val="21"/>
          <w:szCs w:val="21"/>
        </w:rPr>
        <w:t xml:space="preserve">。 </w:t>
      </w:r>
    </w:p>
    <w:p w14:paraId="7F52C8D9">
      <w:pPr>
        <w:spacing w:beforeLines="0" w:afterLines="0" w:line="420" w:lineRule="exact"/>
        <w:rPr>
          <w:rFonts w:hint="eastAsia" w:ascii="宋体" w:hAnsi="宋体" w:cs="宋体"/>
          <w:b/>
          <w:color w:val="auto"/>
          <w:sz w:val="21"/>
          <w:szCs w:val="21"/>
        </w:rPr>
      </w:pPr>
      <w:bookmarkStart w:id="26" w:name="_Toc29186"/>
      <w:r>
        <w:rPr>
          <w:rFonts w:hint="eastAsia" w:ascii="宋体" w:hAnsi="宋体" w:cs="宋体"/>
          <w:b/>
          <w:color w:val="auto"/>
          <w:sz w:val="21"/>
          <w:szCs w:val="21"/>
        </w:rPr>
        <w:t>2.项目概况与比选范围</w:t>
      </w:r>
      <w:bookmarkEnd w:id="16"/>
      <w:bookmarkEnd w:id="17"/>
      <w:bookmarkEnd w:id="18"/>
      <w:bookmarkEnd w:id="19"/>
      <w:bookmarkEnd w:id="20"/>
      <w:bookmarkEnd w:id="21"/>
      <w:bookmarkEnd w:id="22"/>
      <w:bookmarkEnd w:id="23"/>
      <w:bookmarkEnd w:id="24"/>
      <w:bookmarkEnd w:id="26"/>
    </w:p>
    <w:bookmarkEnd w:id="10"/>
    <w:bookmarkEnd w:id="11"/>
    <w:bookmarkEnd w:id="12"/>
    <w:bookmarkEnd w:id="13"/>
    <w:bookmarkEnd w:id="14"/>
    <w:bookmarkEnd w:id="15"/>
    <w:p w14:paraId="128E72DA">
      <w:pPr>
        <w:widowControl/>
        <w:snapToGrid w:val="0"/>
        <w:spacing w:line="360" w:lineRule="auto"/>
        <w:ind w:firstLine="420" w:firstLineChars="200"/>
        <w:jc w:val="left"/>
        <w:rPr>
          <w:rFonts w:hint="eastAsia" w:ascii="宋体" w:hAnsi="宋体" w:cs="宋体"/>
          <w:sz w:val="21"/>
          <w:szCs w:val="21"/>
        </w:rPr>
      </w:pPr>
      <w:bookmarkStart w:id="27" w:name="_Toc1066"/>
      <w:bookmarkStart w:id="28" w:name="_Toc9364"/>
      <w:bookmarkStart w:id="29" w:name="_Toc3068"/>
      <w:bookmarkStart w:id="30" w:name="_Toc428172719"/>
      <w:bookmarkStart w:id="31" w:name="_Toc419977256"/>
      <w:bookmarkStart w:id="32" w:name="_Toc428518715"/>
      <w:bookmarkStart w:id="33" w:name="_Toc419974472"/>
      <w:r>
        <w:rPr>
          <w:rFonts w:hint="eastAsia" w:ascii="宋体" w:hAnsi="宋体" w:cs="宋体"/>
          <w:sz w:val="21"/>
          <w:szCs w:val="21"/>
        </w:rPr>
        <w:t>2.1建设地点：重庆市九龙坡区凤凰路9号大川国际小区。</w:t>
      </w:r>
    </w:p>
    <w:p w14:paraId="2F904AAC">
      <w:pPr>
        <w:widowControl/>
        <w:snapToGrid w:val="0"/>
        <w:spacing w:line="360" w:lineRule="auto"/>
        <w:ind w:firstLine="420" w:firstLineChars="200"/>
        <w:jc w:val="left"/>
        <w:rPr>
          <w:rFonts w:hint="eastAsia" w:ascii="宋体" w:hAnsi="宋体" w:cs="宋体"/>
          <w:sz w:val="21"/>
          <w:szCs w:val="21"/>
        </w:rPr>
      </w:pPr>
      <w:bookmarkStart w:id="34" w:name="OLE_LINK7"/>
      <w:r>
        <w:rPr>
          <w:rFonts w:hint="eastAsia" w:ascii="宋体" w:hAnsi="宋体" w:cs="宋体"/>
          <w:sz w:val="21"/>
          <w:szCs w:val="21"/>
        </w:rPr>
        <w:t>2.2建设规模：对大川国际地面、篮球场改造、羽毛球场、儿童游乐园、中庭（休闲座椅、指示牌、垃圾站）、新建摩托车停车场及其他等项目进行改造施工，工程费约</w:t>
      </w:r>
      <w:r>
        <w:rPr>
          <w:rFonts w:hint="eastAsia" w:ascii="宋体" w:hAnsi="宋体" w:cs="宋体"/>
          <w:sz w:val="21"/>
          <w:szCs w:val="21"/>
          <w:u w:val="single"/>
        </w:rPr>
        <w:t>40.6</w:t>
      </w:r>
      <w:r>
        <w:rPr>
          <w:rFonts w:hint="eastAsia" w:ascii="宋体" w:hAnsi="宋体" w:cs="宋体"/>
          <w:sz w:val="21"/>
          <w:szCs w:val="21"/>
        </w:rPr>
        <w:t>万元。</w:t>
      </w:r>
    </w:p>
    <w:p w14:paraId="63C36937">
      <w:pPr>
        <w:widowControl/>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2.3工期要求：</w:t>
      </w:r>
      <w:r>
        <w:rPr>
          <w:rFonts w:hint="eastAsia" w:ascii="宋体" w:hAnsi="宋体" w:cs="宋体"/>
          <w:sz w:val="21"/>
          <w:szCs w:val="21"/>
          <w:u w:val="single"/>
        </w:rPr>
        <w:t>90</w:t>
      </w:r>
      <w:r>
        <w:rPr>
          <w:rFonts w:hint="eastAsia" w:ascii="宋体" w:hAnsi="宋体" w:cs="宋体"/>
          <w:sz w:val="21"/>
          <w:szCs w:val="21"/>
        </w:rPr>
        <w:t>日历天；缺陷责任期要求：24 个月。</w:t>
      </w:r>
    </w:p>
    <w:p w14:paraId="712D0F62">
      <w:pPr>
        <w:widowControl/>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2.4 比选范围：</w:t>
      </w:r>
      <w:bookmarkEnd w:id="34"/>
      <w:r>
        <w:rPr>
          <w:rFonts w:hint="eastAsia" w:ascii="宋体" w:hAnsi="宋体" w:cs="宋体"/>
          <w:sz w:val="21"/>
          <w:szCs w:val="21"/>
        </w:rPr>
        <w:t>本项目工程量清单所示的全部工作内容（具体以比选人发布的工程量清单为准）。</w:t>
      </w:r>
    </w:p>
    <w:p w14:paraId="26B45D0B">
      <w:pPr>
        <w:spacing w:line="360" w:lineRule="auto"/>
        <w:rPr>
          <w:rFonts w:hint="eastAsia" w:ascii="宋体" w:hAnsi="宋体" w:cs="宋体"/>
          <w:b/>
          <w:sz w:val="21"/>
          <w:szCs w:val="21"/>
        </w:rPr>
      </w:pPr>
      <w:bookmarkStart w:id="35" w:name="_Toc26452"/>
      <w:r>
        <w:rPr>
          <w:rFonts w:hint="eastAsia" w:ascii="宋体" w:hAnsi="宋体" w:cs="宋体"/>
          <w:b/>
          <w:sz w:val="21"/>
          <w:szCs w:val="21"/>
        </w:rPr>
        <w:t>3.供应商资格要求</w:t>
      </w:r>
      <w:bookmarkEnd w:id="27"/>
      <w:bookmarkEnd w:id="28"/>
      <w:bookmarkEnd w:id="29"/>
      <w:bookmarkEnd w:id="35"/>
    </w:p>
    <w:p w14:paraId="40F71120">
      <w:pPr>
        <w:autoSpaceDE w:val="0"/>
        <w:autoSpaceDN w:val="0"/>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3.1本次比选实行资格后审，要求供应商须具备以下条件：</w:t>
      </w:r>
    </w:p>
    <w:p w14:paraId="49EAC642">
      <w:pPr>
        <w:autoSpaceDE w:val="0"/>
        <w:autoSpaceDN w:val="0"/>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3.1.1本次比选要求供应商须具备有效的施工劳务不分等级（备案）资质，且成立满三年的建设工程施工企业，在人员、设备、资金等方面具有相应的施工能力。</w:t>
      </w:r>
    </w:p>
    <w:p w14:paraId="585CE6E5">
      <w:pPr>
        <w:spacing w:line="360" w:lineRule="auto"/>
        <w:ind w:firstLine="420" w:firstLineChars="200"/>
        <w:rPr>
          <w:rFonts w:hint="default"/>
          <w:color w:val="auto"/>
          <w:sz w:val="21"/>
          <w:szCs w:val="22"/>
        </w:rPr>
      </w:pPr>
      <w:r>
        <w:rPr>
          <w:rFonts w:hint="eastAsia" w:ascii="宋体" w:hAnsi="宋体" w:cs="宋体"/>
          <w:sz w:val="21"/>
          <w:szCs w:val="21"/>
        </w:rPr>
        <w:t xml:space="preserve">3.1.2 </w:t>
      </w:r>
      <w:r>
        <w:rPr>
          <w:rFonts w:hint="eastAsia" w:ascii="宋体" w:hAnsi="宋体" w:cs="宋体"/>
          <w:snapToGrid w:val="0"/>
          <w:sz w:val="21"/>
          <w:szCs w:val="21"/>
        </w:rPr>
        <w:t>本次比选不接受联合体竞选。</w:t>
      </w:r>
    </w:p>
    <w:p w14:paraId="36C41732">
      <w:pPr>
        <w:spacing w:beforeLines="0" w:afterLines="0" w:line="420" w:lineRule="exact"/>
        <w:rPr>
          <w:rFonts w:hint="eastAsia" w:ascii="宋体" w:hAnsi="宋体" w:cs="宋体"/>
          <w:b/>
          <w:color w:val="auto"/>
          <w:sz w:val="21"/>
          <w:szCs w:val="21"/>
        </w:rPr>
      </w:pPr>
      <w:bookmarkStart w:id="36" w:name="_Toc10962"/>
      <w:bookmarkStart w:id="37" w:name="_Toc3107"/>
      <w:bookmarkStart w:id="38" w:name="_Toc15612"/>
      <w:bookmarkStart w:id="39" w:name="_Toc430185950"/>
      <w:bookmarkStart w:id="40" w:name="_Toc32409"/>
      <w:bookmarkStart w:id="41" w:name="_Toc430184666"/>
      <w:r>
        <w:rPr>
          <w:rFonts w:hint="eastAsia" w:ascii="宋体" w:hAnsi="宋体" w:cs="宋体"/>
          <w:b/>
          <w:color w:val="auto"/>
          <w:sz w:val="21"/>
          <w:szCs w:val="21"/>
        </w:rPr>
        <w:t>4.比选文件</w:t>
      </w:r>
      <w:bookmarkEnd w:id="30"/>
      <w:bookmarkEnd w:id="31"/>
      <w:bookmarkEnd w:id="32"/>
      <w:bookmarkEnd w:id="33"/>
      <w:bookmarkEnd w:id="36"/>
      <w:bookmarkEnd w:id="37"/>
      <w:bookmarkEnd w:id="38"/>
      <w:bookmarkEnd w:id="39"/>
      <w:bookmarkEnd w:id="40"/>
      <w:bookmarkEnd w:id="41"/>
      <w:r>
        <w:rPr>
          <w:rFonts w:hint="eastAsia" w:ascii="宋体" w:hAnsi="宋体" w:cs="宋体"/>
          <w:b/>
          <w:color w:val="auto"/>
          <w:sz w:val="21"/>
          <w:szCs w:val="21"/>
        </w:rPr>
        <w:t>有关说明</w:t>
      </w:r>
    </w:p>
    <w:p w14:paraId="720A4C79">
      <w:pPr>
        <w:spacing w:beforeLines="0" w:afterLines="0" w:line="420" w:lineRule="exact"/>
        <w:ind w:firstLine="420"/>
        <w:rPr>
          <w:rFonts w:hint="eastAsia" w:ascii="宋体" w:hAnsi="宋体" w:cs="宋体"/>
          <w:color w:val="auto"/>
          <w:kern w:val="2"/>
          <w:sz w:val="21"/>
          <w:szCs w:val="21"/>
        </w:rPr>
      </w:pPr>
      <w:bookmarkStart w:id="42" w:name="_Toc419977257"/>
      <w:bookmarkStart w:id="43" w:name="_Toc430184667"/>
      <w:bookmarkStart w:id="44" w:name="_Toc10118"/>
      <w:bookmarkStart w:id="45" w:name="_Toc19105"/>
      <w:bookmarkStart w:id="46" w:name="_Toc14571"/>
      <w:bookmarkStart w:id="47" w:name="_Toc419974473"/>
      <w:bookmarkStart w:id="48" w:name="_Toc23607"/>
      <w:bookmarkStart w:id="49" w:name="_Toc428172720"/>
      <w:bookmarkStart w:id="50" w:name="_Toc428518716"/>
      <w:bookmarkStart w:id="51" w:name="_Toc430185951"/>
      <w:r>
        <w:rPr>
          <w:rFonts w:hint="eastAsia" w:ascii="宋体" w:hAnsi="宋体" w:cs="宋体"/>
          <w:color w:val="auto"/>
          <w:kern w:val="2"/>
          <w:sz w:val="21"/>
          <w:szCs w:val="21"/>
        </w:rPr>
        <w:t>4.1凡有意参加比选的供应商，必须在“ 行采家 ”服务平台注册，成为正式供应商。供应商请于公告发布之日起至响应文件递交截止时间之前，在“行采家”（https://www.gec123.com/）上下载本项目比选文件以及补遗等比选前公布的所有项目资料，无论供应商下载与否，均视为已知晓所有比选实质性要求内容。</w:t>
      </w:r>
    </w:p>
    <w:p w14:paraId="0CE2F27B">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4.2报名及比选文件发售</w:t>
      </w:r>
    </w:p>
    <w:p w14:paraId="4E27B0F1">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color w:val="auto"/>
          <w:kern w:val="2"/>
          <w:sz w:val="21"/>
          <w:szCs w:val="21"/>
        </w:rPr>
        <w:t>（1)报名期限和比选文件发售期：</w:t>
      </w:r>
      <w:r>
        <w:rPr>
          <w:rFonts w:hint="eastAsia" w:ascii="宋体" w:hAnsi="宋体" w:cs="宋体"/>
          <w:b/>
          <w:color w:val="auto"/>
          <w:kern w:val="2"/>
          <w:sz w:val="21"/>
          <w:szCs w:val="21"/>
        </w:rPr>
        <w:t>公告发布之日（2025年09月23日）起至2025年09月  27日17时00分止。</w:t>
      </w:r>
    </w:p>
    <w:p w14:paraId="1C223D61">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(2)比选文件售价：人民币</w:t>
      </w:r>
      <w:r>
        <w:rPr>
          <w:rFonts w:hint="eastAsia" w:ascii="宋体" w:hAnsi="宋体" w:cs="宋体"/>
          <w:color w:val="auto"/>
          <w:kern w:val="2"/>
          <w:sz w:val="21"/>
          <w:szCs w:val="21"/>
          <w:u w:val="single"/>
        </w:rPr>
        <w:t>500</w:t>
      </w:r>
      <w:r>
        <w:rPr>
          <w:rFonts w:hint="eastAsia" w:ascii="宋体" w:hAnsi="宋体" w:cs="宋体"/>
          <w:color w:val="auto"/>
          <w:kern w:val="2"/>
          <w:sz w:val="21"/>
          <w:szCs w:val="21"/>
        </w:rPr>
        <w:t>元/份（售后不退）。</w:t>
      </w:r>
    </w:p>
    <w:p w14:paraId="5194E069">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(3)报名方式：在报名期限和比选文件发售期内，供应商将比选文件购买费用汇至以下账户（汇款时备注：</w:t>
      </w:r>
      <w:r>
        <w:rPr>
          <w:rFonts w:hint="eastAsia" w:ascii="宋体" w:hAnsi="宋体" w:cs="宋体"/>
          <w:color w:val="auto"/>
          <w:kern w:val="2"/>
          <w:sz w:val="21"/>
          <w:szCs w:val="21"/>
        </w:rPr>
        <w:fldChar w:fldCharType="begin"/>
      </w:r>
      <w:r>
        <w:rPr>
          <w:rFonts w:hint="eastAsia" w:ascii="宋体" w:hAnsi="宋体" w:cs="宋体"/>
          <w:color w:val="auto"/>
          <w:kern w:val="2"/>
          <w:sz w:val="21"/>
          <w:szCs w:val="21"/>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rFonts w:hint="eastAsia" w:ascii="宋体" w:hAnsi="宋体" w:cs="宋体"/>
          <w:color w:val="auto"/>
          <w:kern w:val="2"/>
          <w:sz w:val="21"/>
          <w:szCs w:val="21"/>
        </w:rPr>
        <w:fldChar w:fldCharType="separate"/>
      </w:r>
      <w:r>
        <w:rPr>
          <w:rFonts w:hint="eastAsia" w:ascii="宋体" w:hAnsi="宋体" w:cs="宋体"/>
          <w:b/>
          <w:color w:val="auto"/>
          <w:kern w:val="2"/>
          <w:sz w:val="21"/>
          <w:szCs w:val="21"/>
        </w:rPr>
        <w:t>供应商简称+大川国际文件费文件费</w:t>
      </w:r>
      <w:r>
        <w:rPr>
          <w:rFonts w:hint="eastAsia" w:ascii="宋体" w:hAnsi="宋体" w:cs="宋体"/>
          <w:color w:val="auto"/>
          <w:kern w:val="2"/>
          <w:sz w:val="21"/>
          <w:szCs w:val="21"/>
        </w:rPr>
        <w:t>），同时将填写完善</w:t>
      </w:r>
      <w:bookmarkStart w:id="72" w:name="_GoBack"/>
      <w:bookmarkEnd w:id="72"/>
      <w:r>
        <w:rPr>
          <w:rFonts w:hint="eastAsia" w:ascii="宋体" w:hAnsi="宋体" w:cs="宋体"/>
          <w:color w:val="auto"/>
          <w:kern w:val="2"/>
          <w:sz w:val="21"/>
          <w:szCs w:val="21"/>
        </w:rPr>
        <w:t>的《报名登记表》（格式详见本章比选公告附件）加盖供应商公章扫描后发送至</w:t>
      </w:r>
      <w:r>
        <w:rPr>
          <w:rFonts w:hint="eastAsia" w:ascii="宋体" w:hAnsi="宋体" w:cs="宋体"/>
          <w:b/>
          <w:color w:val="auto"/>
          <w:kern w:val="2"/>
          <w:sz w:val="21"/>
          <w:szCs w:val="21"/>
          <w:u w:val="single"/>
        </w:rPr>
        <w:t>215206226</w:t>
      </w:r>
      <w:r>
        <w:rPr>
          <w:rFonts w:hint="eastAsia" w:ascii="宋体" w:hAnsi="宋体" w:cs="宋体"/>
          <w:b/>
          <w:color w:val="auto"/>
          <w:kern w:val="2"/>
          <w:sz w:val="21"/>
          <w:szCs w:val="21"/>
        </w:rPr>
        <w:t>@qq.com（电子邮箱）</w:t>
      </w:r>
      <w:r>
        <w:rPr>
          <w:rFonts w:hint="eastAsia" w:ascii="宋体" w:hAnsi="宋体" w:cs="宋体"/>
          <w:color w:val="auto"/>
          <w:kern w:val="2"/>
          <w:sz w:val="21"/>
          <w:szCs w:val="21"/>
        </w:rPr>
        <w:t>或到采购代理机构处现场缴纳文件费并递交《报名登记表》报名，在比选文件发售期内报名的供应商，其响应文件才能被接收。</w:t>
      </w:r>
      <w:r>
        <w:rPr>
          <w:rFonts w:hint="eastAsia" w:ascii="宋体" w:hAnsi="宋体" w:cs="宋体"/>
          <w:color w:val="auto"/>
          <w:kern w:val="2"/>
          <w:sz w:val="21"/>
          <w:szCs w:val="21"/>
        </w:rPr>
        <w:fldChar w:fldCharType="end"/>
      </w:r>
    </w:p>
    <w:p w14:paraId="459C9196">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户  名：重庆靖正恒悦项目管理有限公司</w:t>
      </w:r>
    </w:p>
    <w:p w14:paraId="4C98A817">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开户行：浙商银行重庆沙坪坝支行</w:t>
      </w:r>
    </w:p>
    <w:p w14:paraId="3FD47E1F">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账  号：6530000810120100049709</w:t>
      </w:r>
    </w:p>
    <w:p w14:paraId="185D0158">
      <w:pPr>
        <w:numPr>
          <w:ilvl w:val="0"/>
          <w:numId w:val="0"/>
        </w:num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4.3本项目采用线上+线下相结合的投标方式，请各供应商按如下要求进行投标：</w:t>
      </w:r>
    </w:p>
    <w:p w14:paraId="1C28A8EA">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(1)线上报价及上传响应文件电子文档</w:t>
      </w:r>
    </w:p>
    <w:p w14:paraId="672258FA">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color w:val="auto"/>
          <w:kern w:val="2"/>
          <w:sz w:val="21"/>
          <w:szCs w:val="21"/>
        </w:rPr>
        <w:t>线上报价时间：</w:t>
      </w:r>
      <w:r>
        <w:rPr>
          <w:rFonts w:hint="eastAsia" w:ascii="宋体" w:hAnsi="宋体" w:cs="宋体"/>
          <w:b/>
          <w:color w:val="auto"/>
          <w:kern w:val="2"/>
          <w:sz w:val="21"/>
          <w:szCs w:val="21"/>
        </w:rPr>
        <w:t>2025年 09月30日11时30分至2025年09月30日14时30分。</w:t>
      </w:r>
    </w:p>
    <w:p w14:paraId="4C97652C">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101104D1">
      <w:pPr>
        <w:pStyle w:val="2"/>
        <w:spacing w:beforeLines="0" w:afterLines="0" w:line="420" w:lineRule="exact"/>
        <w:ind w:firstLine="420"/>
        <w:rPr>
          <w:rFonts w:hint="default"/>
          <w:b/>
          <w:color w:val="auto"/>
          <w:sz w:val="21"/>
          <w:szCs w:val="22"/>
        </w:rPr>
      </w:pPr>
      <w:r>
        <w:rPr>
          <w:rFonts w:hint="eastAsia" w:ascii="宋体" w:hAnsi="宋体" w:cs="宋体"/>
          <w:b/>
          <w:color w:val="auto"/>
          <w:kern w:val="2"/>
          <w:sz w:val="21"/>
          <w:szCs w:val="21"/>
        </w:rPr>
        <w:t>注：响应文件电子文档（PDF格式）原则上扫描压缩为1个文档后上传行采家平台。</w:t>
      </w:r>
    </w:p>
    <w:p w14:paraId="7E1369BA">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(2)线下递交纸质响应文件</w:t>
      </w:r>
    </w:p>
    <w:p w14:paraId="465AC692">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color w:val="auto"/>
          <w:kern w:val="2"/>
          <w:sz w:val="21"/>
          <w:szCs w:val="21"/>
        </w:rPr>
        <w:t>线下递交纸质响应文件开始时间：</w:t>
      </w:r>
      <w:r>
        <w:rPr>
          <w:rFonts w:hint="eastAsia" w:ascii="宋体" w:hAnsi="宋体" w:cs="宋体"/>
          <w:b/>
          <w:color w:val="auto"/>
          <w:kern w:val="2"/>
          <w:sz w:val="21"/>
          <w:szCs w:val="21"/>
        </w:rPr>
        <w:t>2025年 09月30日14时00分。</w:t>
      </w:r>
    </w:p>
    <w:p w14:paraId="3CF14964">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color w:val="auto"/>
          <w:kern w:val="2"/>
          <w:sz w:val="21"/>
          <w:szCs w:val="21"/>
        </w:rPr>
        <w:t>线下递交纸质响应文件截止时间：</w:t>
      </w:r>
      <w:r>
        <w:rPr>
          <w:rFonts w:hint="eastAsia" w:ascii="宋体" w:hAnsi="宋体" w:cs="宋体"/>
          <w:b/>
          <w:color w:val="auto"/>
          <w:kern w:val="2"/>
          <w:sz w:val="21"/>
          <w:szCs w:val="21"/>
        </w:rPr>
        <w:t>2025年 09月30日14时30分。</w:t>
      </w:r>
    </w:p>
    <w:p w14:paraId="12BF70D3">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线下递交纸质响应文件地点：大川国际小区物业办公室【具体会议室以现场安排为准】。逾期送达的或者未送达指定地点的响应文件，比选人不予受理。</w:t>
      </w:r>
    </w:p>
    <w:p w14:paraId="4226DF02">
      <w:pPr>
        <w:numPr>
          <w:ilvl w:val="0"/>
          <w:numId w:val="0"/>
        </w:numPr>
        <w:spacing w:beforeLines="0" w:afterLines="0" w:line="420" w:lineRule="exact"/>
        <w:ind w:firstLine="420"/>
        <w:rPr>
          <w:rFonts w:hint="eastAsia" w:ascii="宋体" w:hAnsi="宋体" w:cs="宋体"/>
          <w:color w:val="auto"/>
          <w:kern w:val="2"/>
          <w:sz w:val="21"/>
          <w:szCs w:val="21"/>
        </w:rPr>
      </w:pPr>
      <w:r>
        <w:rPr>
          <w:rFonts w:hint="eastAsia" w:ascii="宋体" w:hAnsi="宋体" w:cs="宋体"/>
          <w:b/>
          <w:color w:val="auto"/>
          <w:kern w:val="2"/>
          <w:sz w:val="21"/>
          <w:szCs w:val="21"/>
        </w:rPr>
        <w:t>(3)开标时间：</w:t>
      </w:r>
      <w:r>
        <w:rPr>
          <w:rFonts w:hint="eastAsia" w:ascii="宋体" w:hAnsi="宋体" w:cs="宋体"/>
          <w:color w:val="auto"/>
          <w:kern w:val="2"/>
          <w:sz w:val="21"/>
          <w:szCs w:val="21"/>
        </w:rPr>
        <w:t>同线下递交纸质响应文件截止时间。</w:t>
      </w:r>
    </w:p>
    <w:p w14:paraId="452B0D6A">
      <w:pPr>
        <w:spacing w:beforeLines="0" w:afterLines="0" w:line="420" w:lineRule="exact"/>
        <w:ind w:firstLine="420"/>
        <w:rPr>
          <w:rFonts w:hint="eastAsia" w:ascii="宋体" w:hAnsi="宋体" w:cs="宋体"/>
          <w:color w:val="auto"/>
          <w:kern w:val="2"/>
          <w:sz w:val="21"/>
          <w:szCs w:val="21"/>
        </w:rPr>
      </w:pPr>
      <w:r>
        <w:rPr>
          <w:rFonts w:hint="eastAsia" w:ascii="宋体" w:hAnsi="宋体" w:cs="宋体"/>
          <w:b/>
          <w:color w:val="auto"/>
          <w:kern w:val="2"/>
          <w:sz w:val="21"/>
          <w:szCs w:val="21"/>
        </w:rPr>
        <w:t>(4)开标地点：</w:t>
      </w:r>
      <w:r>
        <w:rPr>
          <w:rFonts w:hint="eastAsia" w:ascii="宋体" w:hAnsi="宋体" w:cs="宋体"/>
          <w:color w:val="auto"/>
          <w:kern w:val="2"/>
          <w:sz w:val="21"/>
          <w:szCs w:val="21"/>
        </w:rPr>
        <w:t>同线下递交纸质响应文件地点。</w:t>
      </w:r>
    </w:p>
    <w:p w14:paraId="2D955E31">
      <w:pPr>
        <w:spacing w:beforeLines="0" w:afterLines="0" w:line="420" w:lineRule="exact"/>
        <w:ind w:firstLine="420"/>
        <w:rPr>
          <w:rFonts w:hint="eastAsia" w:ascii="宋体" w:hAnsi="宋体" w:cs="宋体"/>
          <w:b/>
          <w:color w:val="auto"/>
          <w:kern w:val="2"/>
          <w:sz w:val="21"/>
          <w:szCs w:val="21"/>
        </w:rPr>
      </w:pPr>
      <w:r>
        <w:rPr>
          <w:rFonts w:hint="eastAsia" w:ascii="宋体" w:hAnsi="宋体" w:cs="宋体"/>
          <w:b/>
          <w:color w:val="auto"/>
          <w:kern w:val="2"/>
          <w:sz w:val="21"/>
          <w:szCs w:val="21"/>
        </w:rPr>
        <w:t>(5)供应商须满足以下要件，其响应文件才被接受：</w:t>
      </w:r>
    </w:p>
    <w:p w14:paraId="4B1FBCC2">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①按时在行采家（https://www.gec123.com/）进行线上报价并上传签字盖章齐全的pdf格式的响应文件电子文档。</w:t>
      </w:r>
    </w:p>
    <w:p w14:paraId="19EB9994">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②按时线下递交纸质响应文件。</w:t>
      </w:r>
    </w:p>
    <w:p w14:paraId="66F547D3">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③按时报名签到并按时缴纳投标保证金。</w:t>
      </w:r>
    </w:p>
    <w:p w14:paraId="50F1B73F">
      <w:pPr>
        <w:spacing w:beforeLines="0" w:afterLines="0" w:line="420" w:lineRule="exact"/>
        <w:rPr>
          <w:rFonts w:hint="eastAsia" w:ascii="宋体" w:hAnsi="宋体" w:cs="宋体"/>
          <w:b/>
          <w:color w:val="auto"/>
          <w:kern w:val="2"/>
          <w:sz w:val="21"/>
          <w:szCs w:val="21"/>
        </w:rPr>
      </w:pPr>
      <w:r>
        <w:rPr>
          <w:rFonts w:hint="eastAsia" w:ascii="宋体" w:hAnsi="宋体" w:cs="宋体"/>
          <w:b/>
          <w:color w:val="auto"/>
          <w:sz w:val="21"/>
          <w:szCs w:val="21"/>
        </w:rPr>
        <w:t>5.</w:t>
      </w:r>
      <w:bookmarkEnd w:id="42"/>
      <w:bookmarkEnd w:id="43"/>
      <w:bookmarkEnd w:id="44"/>
      <w:bookmarkEnd w:id="45"/>
      <w:bookmarkEnd w:id="46"/>
      <w:bookmarkEnd w:id="47"/>
      <w:bookmarkEnd w:id="48"/>
      <w:bookmarkEnd w:id="49"/>
      <w:bookmarkEnd w:id="50"/>
      <w:bookmarkEnd w:id="51"/>
      <w:r>
        <w:rPr>
          <w:rFonts w:hint="eastAsia" w:ascii="宋体" w:hAnsi="宋体" w:cs="宋体"/>
          <w:b/>
          <w:color w:val="auto"/>
          <w:sz w:val="21"/>
          <w:szCs w:val="21"/>
        </w:rPr>
        <w:t>质疑及澄清时间</w:t>
      </w:r>
    </w:p>
    <w:p w14:paraId="72F8238E">
      <w:pPr>
        <w:spacing w:beforeLines="0" w:afterLines="0" w:line="420" w:lineRule="exact"/>
        <w:ind w:firstLine="422" w:firstLineChars="200"/>
        <w:rPr>
          <w:rFonts w:hint="eastAsia" w:ascii="宋体" w:hAnsi="宋体" w:cs="宋体"/>
          <w:color w:val="auto"/>
          <w:sz w:val="21"/>
          <w:szCs w:val="21"/>
        </w:rPr>
      </w:pPr>
      <w:r>
        <w:rPr>
          <w:rFonts w:hint="eastAsia" w:ascii="宋体" w:hAnsi="宋体" w:cs="宋体"/>
          <w:b/>
          <w:color w:val="auto"/>
          <w:sz w:val="21"/>
          <w:szCs w:val="21"/>
        </w:rPr>
        <w:t>5</w:t>
      </w:r>
      <w:r>
        <w:rPr>
          <w:rFonts w:hint="eastAsia" w:ascii="宋体" w:hAnsi="宋体" w:cs="宋体"/>
          <w:color w:val="auto"/>
          <w:sz w:val="21"/>
          <w:szCs w:val="21"/>
        </w:rPr>
        <w:t>.1竞选质疑截止时间：</w:t>
      </w:r>
      <w:r>
        <w:rPr>
          <w:rFonts w:hint="eastAsia" w:ascii="宋体" w:hAnsi="宋体" w:cs="宋体"/>
          <w:b/>
          <w:color w:val="auto"/>
          <w:kern w:val="2"/>
          <w:sz w:val="21"/>
          <w:szCs w:val="21"/>
        </w:rPr>
        <w:t>2025年09月28日</w:t>
      </w:r>
      <w:r>
        <w:rPr>
          <w:rFonts w:hint="eastAsia" w:ascii="宋体" w:hAnsi="宋体" w:cs="宋体"/>
          <w:b/>
          <w:color w:val="auto"/>
          <w:sz w:val="21"/>
          <w:szCs w:val="21"/>
        </w:rPr>
        <w:t xml:space="preserve"> 10时00分之前</w:t>
      </w:r>
      <w:r>
        <w:rPr>
          <w:rFonts w:hint="eastAsia" w:ascii="宋体" w:hAnsi="宋体" w:cs="宋体"/>
          <w:color w:val="auto"/>
          <w:sz w:val="21"/>
          <w:szCs w:val="21"/>
        </w:rPr>
        <w:t>，过期不再受理。</w:t>
      </w:r>
    </w:p>
    <w:p w14:paraId="17670DEA">
      <w:pPr>
        <w:spacing w:beforeLines="0" w:afterLines="0"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5.2竞选答疑或澄清时间：</w:t>
      </w:r>
      <w:r>
        <w:rPr>
          <w:rFonts w:hint="eastAsia" w:ascii="宋体" w:hAnsi="宋体" w:cs="宋体"/>
          <w:b/>
          <w:color w:val="auto"/>
          <w:kern w:val="2"/>
          <w:sz w:val="21"/>
          <w:szCs w:val="21"/>
        </w:rPr>
        <w:t>2025年09月28日</w:t>
      </w:r>
      <w:r>
        <w:rPr>
          <w:rFonts w:hint="eastAsia" w:ascii="宋体" w:hAnsi="宋体" w:cs="宋体"/>
          <w:b/>
          <w:color w:val="auto"/>
          <w:sz w:val="21"/>
          <w:szCs w:val="21"/>
        </w:rPr>
        <w:t xml:space="preserve"> 18时00分之前</w:t>
      </w:r>
      <w:r>
        <w:rPr>
          <w:rFonts w:hint="eastAsia" w:ascii="宋体" w:hAnsi="宋体" w:cs="宋体"/>
          <w:color w:val="auto"/>
          <w:sz w:val="21"/>
          <w:szCs w:val="21"/>
        </w:rPr>
        <w:t>，比选代理机构将在行采家网站发布和大川国际</w:t>
      </w:r>
      <w:r>
        <w:rPr>
          <w:rFonts w:hint="eastAsia" w:ascii="宋体" w:hAnsi="宋体"/>
          <w:color w:val="auto"/>
          <w:sz w:val="21"/>
          <w:szCs w:val="21"/>
        </w:rPr>
        <w:t>公示栏</w:t>
      </w:r>
      <w:r>
        <w:rPr>
          <w:rFonts w:hint="eastAsia" w:ascii="宋体" w:hAnsi="宋体" w:cs="宋体"/>
          <w:color w:val="auto"/>
          <w:sz w:val="21"/>
          <w:szCs w:val="21"/>
        </w:rPr>
        <w:t>上张贴（如有）。</w:t>
      </w:r>
    </w:p>
    <w:p w14:paraId="6290C129">
      <w:pPr>
        <w:spacing w:beforeLines="0" w:afterLines="0" w:line="420" w:lineRule="exact"/>
        <w:rPr>
          <w:rFonts w:hint="eastAsia" w:ascii="宋体" w:hAnsi="宋体" w:cs="宋体"/>
          <w:b/>
          <w:color w:val="auto"/>
          <w:sz w:val="21"/>
          <w:szCs w:val="21"/>
        </w:rPr>
      </w:pPr>
      <w:bookmarkStart w:id="52" w:name="_Toc419977258"/>
      <w:bookmarkStart w:id="53" w:name="_Toc9114"/>
      <w:bookmarkStart w:id="54" w:name="_Toc430184668"/>
      <w:bookmarkStart w:id="55" w:name="_Toc419974474"/>
      <w:bookmarkStart w:id="56" w:name="_Toc7439"/>
      <w:bookmarkStart w:id="57" w:name="_Toc31762"/>
      <w:bookmarkStart w:id="58" w:name="_Toc428172721"/>
      <w:bookmarkStart w:id="59" w:name="_Toc430185952"/>
      <w:bookmarkStart w:id="60" w:name="_Toc428518717"/>
      <w:bookmarkStart w:id="61" w:name="_Toc4342"/>
      <w:r>
        <w:rPr>
          <w:rFonts w:hint="eastAsia" w:ascii="宋体" w:hAnsi="宋体" w:cs="宋体"/>
          <w:b/>
          <w:color w:val="auto"/>
          <w:sz w:val="21"/>
          <w:szCs w:val="21"/>
        </w:rPr>
        <w:t>6.发布公告的媒介</w:t>
      </w:r>
      <w:bookmarkEnd w:id="52"/>
      <w:bookmarkEnd w:id="53"/>
      <w:bookmarkEnd w:id="54"/>
      <w:bookmarkEnd w:id="55"/>
      <w:bookmarkEnd w:id="56"/>
      <w:bookmarkEnd w:id="57"/>
      <w:bookmarkEnd w:id="58"/>
      <w:bookmarkEnd w:id="59"/>
      <w:bookmarkEnd w:id="60"/>
      <w:bookmarkEnd w:id="61"/>
    </w:p>
    <w:p w14:paraId="5CA300F0">
      <w:pPr>
        <w:spacing w:beforeLines="0" w:afterLines="0" w:line="420" w:lineRule="exact"/>
        <w:ind w:firstLine="422" w:firstLineChars="200"/>
        <w:rPr>
          <w:rFonts w:hint="eastAsia" w:ascii="宋体" w:hAnsi="宋体" w:cs="宋体"/>
          <w:b/>
          <w:color w:val="auto"/>
          <w:sz w:val="21"/>
          <w:szCs w:val="21"/>
        </w:rPr>
      </w:pPr>
      <w:r>
        <w:rPr>
          <w:rFonts w:hint="eastAsia" w:ascii="宋体" w:hAnsi="宋体" w:cs="宋体"/>
          <w:b/>
          <w:color w:val="auto"/>
          <w:sz w:val="21"/>
          <w:szCs w:val="21"/>
        </w:rPr>
        <w:t>本次比选公告在行采家网站发布和大川国际</w:t>
      </w:r>
      <w:r>
        <w:rPr>
          <w:rFonts w:hint="eastAsia" w:ascii="宋体" w:hAnsi="宋体"/>
          <w:b/>
          <w:color w:val="auto"/>
          <w:sz w:val="21"/>
          <w:szCs w:val="21"/>
        </w:rPr>
        <w:t>公示栏</w:t>
      </w:r>
      <w:r>
        <w:rPr>
          <w:rFonts w:hint="eastAsia" w:ascii="宋体" w:hAnsi="宋体" w:cs="宋体"/>
          <w:b/>
          <w:color w:val="auto"/>
          <w:sz w:val="21"/>
          <w:szCs w:val="21"/>
        </w:rPr>
        <w:t>上张贴。</w:t>
      </w:r>
      <w:bookmarkStart w:id="62" w:name="_Toc428518718"/>
      <w:bookmarkStart w:id="63" w:name="_Toc19509"/>
      <w:bookmarkStart w:id="64" w:name="_Toc428172722"/>
      <w:bookmarkStart w:id="65" w:name="_Toc7992"/>
      <w:bookmarkStart w:id="66" w:name="_Toc430184669"/>
      <w:bookmarkStart w:id="67" w:name="_Toc21664"/>
      <w:bookmarkStart w:id="68" w:name="_Toc419974475"/>
      <w:bookmarkStart w:id="69" w:name="_Toc430185953"/>
      <w:bookmarkStart w:id="70" w:name="_Toc419977259"/>
    </w:p>
    <w:p w14:paraId="266BCD02">
      <w:pPr>
        <w:pStyle w:val="2"/>
        <w:numPr>
          <w:ilvl w:val="0"/>
          <w:numId w:val="1"/>
        </w:numPr>
        <w:spacing w:beforeLines="0" w:afterLines="0"/>
        <w:rPr>
          <w:rFonts w:hint="eastAsia" w:ascii="宋体" w:hAnsi="宋体" w:cs="宋体"/>
          <w:b/>
          <w:color w:val="auto"/>
          <w:sz w:val="21"/>
          <w:szCs w:val="21"/>
        </w:rPr>
      </w:pPr>
      <w:r>
        <w:rPr>
          <w:rFonts w:hint="eastAsia" w:ascii="宋体" w:hAnsi="宋体" w:cs="宋体"/>
          <w:b/>
          <w:color w:val="auto"/>
          <w:sz w:val="21"/>
          <w:szCs w:val="21"/>
        </w:rPr>
        <w:t>现场踏勘</w:t>
      </w:r>
    </w:p>
    <w:p w14:paraId="55FCAE9E">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7.1招标人将组织潜在投标人进行现场踏勘。踏勘集中时间：2025年09月28日10时，集中地点：大川国际小区。</w:t>
      </w:r>
    </w:p>
    <w:p w14:paraId="1C2A9487">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7.2投标人踏勘现场发生的费用自理。</w:t>
      </w:r>
    </w:p>
    <w:p w14:paraId="72C1CA6C">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7.3投标人自行负责在踏勘现场中所发生的人员伤亡和财产损失。</w:t>
      </w:r>
    </w:p>
    <w:p w14:paraId="4FA5F449">
      <w:pPr>
        <w:spacing w:beforeLines="0" w:afterLines="0" w:line="420" w:lineRule="exact"/>
        <w:ind w:firstLine="420"/>
        <w:rPr>
          <w:rFonts w:hint="eastAsia" w:ascii="宋体" w:hAnsi="宋体" w:cs="宋体"/>
          <w:color w:val="auto"/>
          <w:kern w:val="2"/>
          <w:sz w:val="21"/>
          <w:szCs w:val="21"/>
        </w:rPr>
      </w:pPr>
      <w:r>
        <w:rPr>
          <w:rFonts w:hint="eastAsia" w:ascii="宋体" w:hAnsi="宋体" w:cs="宋体"/>
          <w:color w:val="auto"/>
          <w:kern w:val="2"/>
          <w:sz w:val="21"/>
          <w:szCs w:val="21"/>
        </w:rPr>
        <w:t>7.4招标人在踏勘现场中介绍的项目场地和相关的周边环境情况，供投标人在编制投标文件时参考，招标人不对投标人据此作出的判断和决策负责。</w:t>
      </w:r>
    </w:p>
    <w:p w14:paraId="7A4D1A4A">
      <w:pPr>
        <w:spacing w:beforeLines="0" w:afterLines="0" w:line="420" w:lineRule="exact"/>
        <w:rPr>
          <w:rFonts w:hint="eastAsia" w:ascii="宋体" w:hAnsi="宋体" w:cs="宋体"/>
          <w:color w:val="auto"/>
          <w:sz w:val="21"/>
          <w:szCs w:val="21"/>
        </w:rPr>
      </w:pPr>
      <w:bookmarkStart w:id="71" w:name="_Toc17586"/>
      <w:r>
        <w:rPr>
          <w:rFonts w:hint="eastAsia" w:ascii="宋体" w:hAnsi="宋体" w:cs="宋体"/>
          <w:b/>
          <w:color w:val="auto"/>
          <w:sz w:val="21"/>
          <w:szCs w:val="21"/>
        </w:rPr>
        <w:t>8.联系方式</w:t>
      </w:r>
      <w:bookmarkEnd w:id="62"/>
      <w:bookmarkEnd w:id="63"/>
      <w:bookmarkEnd w:id="64"/>
      <w:bookmarkEnd w:id="65"/>
      <w:bookmarkEnd w:id="66"/>
      <w:bookmarkEnd w:id="67"/>
      <w:bookmarkEnd w:id="68"/>
      <w:bookmarkEnd w:id="69"/>
      <w:bookmarkEnd w:id="70"/>
      <w:bookmarkEnd w:id="71"/>
      <w:r>
        <w:rPr>
          <w:rFonts w:hint="eastAsia" w:ascii="宋体" w:hAnsi="宋体" w:cs="宋体"/>
          <w:b/>
          <w:color w:val="auto"/>
          <w:sz w:val="21"/>
          <w:szCs w:val="21"/>
        </w:rPr>
        <w:t xml:space="preserve">    </w:t>
      </w:r>
      <w:r>
        <w:rPr>
          <w:rFonts w:hint="eastAsia" w:ascii="宋体" w:hAnsi="宋体" w:cs="宋体"/>
          <w:color w:val="auto"/>
          <w:sz w:val="21"/>
          <w:szCs w:val="21"/>
        </w:rPr>
        <w:t xml:space="preserve">      </w:t>
      </w:r>
    </w:p>
    <w:p w14:paraId="3F6721A9">
      <w:pPr>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 xml:space="preserve">比选人：重庆丰洲物业管理有限公司   </w:t>
      </w:r>
    </w:p>
    <w:p w14:paraId="253E6C43">
      <w:pPr>
        <w:autoSpaceDE w:val="0"/>
        <w:autoSpaceDN w:val="0"/>
        <w:adjustRightInd w:val="0"/>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地  址：</w:t>
      </w:r>
      <w:r>
        <w:rPr>
          <w:rFonts w:hint="eastAsia" w:ascii="宋体" w:hAnsi="宋体" w:cs="宋体"/>
          <w:color w:val="auto"/>
          <w:sz w:val="21"/>
          <w:szCs w:val="21"/>
        </w:rPr>
        <w:t>重庆市九龙坡区二郎街道凤凰路大川国际物业办公室</w:t>
      </w:r>
      <w:r>
        <w:rPr>
          <w:rFonts w:hint="eastAsia" w:ascii="宋体" w:hAnsi="宋体"/>
          <w:color w:val="auto"/>
          <w:sz w:val="21"/>
          <w:szCs w:val="21"/>
        </w:rPr>
        <w:t xml:space="preserve">     </w:t>
      </w:r>
    </w:p>
    <w:p w14:paraId="45BE4422">
      <w:pPr>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 xml:space="preserve">联系人：冯老师 </w:t>
      </w:r>
    </w:p>
    <w:p w14:paraId="6ED4EE82">
      <w:pPr>
        <w:spacing w:beforeLines="0" w:afterLines="0" w:line="420" w:lineRule="exact"/>
        <w:ind w:firstLine="420" w:firstLineChars="200"/>
        <w:jc w:val="left"/>
        <w:rPr>
          <w:rFonts w:hint="eastAsia" w:ascii="宋体" w:hAnsi="宋体" w:cs="宋体"/>
          <w:color w:val="auto"/>
          <w:sz w:val="21"/>
          <w:szCs w:val="21"/>
        </w:rPr>
      </w:pPr>
      <w:r>
        <w:rPr>
          <w:rFonts w:hint="eastAsia" w:ascii="宋体" w:hAnsi="宋体"/>
          <w:color w:val="auto"/>
          <w:sz w:val="21"/>
          <w:szCs w:val="21"/>
        </w:rPr>
        <w:t>电  话：15823497597</w:t>
      </w:r>
    </w:p>
    <w:p w14:paraId="6950BD75">
      <w:pPr>
        <w:spacing w:beforeLines="0" w:afterLines="0" w:line="420" w:lineRule="exact"/>
        <w:rPr>
          <w:rFonts w:hint="default"/>
          <w:color w:val="auto"/>
          <w:sz w:val="21"/>
          <w:szCs w:val="22"/>
        </w:rPr>
      </w:pPr>
    </w:p>
    <w:p w14:paraId="33B48CDC">
      <w:pPr>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比选代理机构： 重庆靖正恒悦项目管理有限公司</w:t>
      </w:r>
    </w:p>
    <w:p w14:paraId="64223BB2">
      <w:pPr>
        <w:autoSpaceDE w:val="0"/>
        <w:autoSpaceDN w:val="0"/>
        <w:adjustRightInd w:val="0"/>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地  址：</w:t>
      </w:r>
      <w:r>
        <w:rPr>
          <w:rFonts w:hint="eastAsia"/>
          <w:color w:val="auto"/>
          <w:sz w:val="21"/>
          <w:szCs w:val="22"/>
        </w:rPr>
        <w:t>重庆市江北区渝澳大道爱丁·新甸双鱼A座1406</w:t>
      </w:r>
      <w:r>
        <w:rPr>
          <w:rFonts w:hint="eastAsia" w:ascii="宋体" w:hAnsi="宋体"/>
          <w:color w:val="auto"/>
          <w:sz w:val="21"/>
          <w:szCs w:val="21"/>
        </w:rPr>
        <w:t xml:space="preserve">     </w:t>
      </w:r>
    </w:p>
    <w:p w14:paraId="4473878A">
      <w:pPr>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联系人：吕老师</w:t>
      </w:r>
    </w:p>
    <w:p w14:paraId="44E8080B">
      <w:pPr>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电  话：023-67786983</w:t>
      </w:r>
    </w:p>
    <w:p w14:paraId="6CD14C82">
      <w:pPr>
        <w:spacing w:beforeLines="0" w:afterLines="0" w:line="420" w:lineRule="exact"/>
        <w:ind w:firstLine="420" w:firstLineChars="200"/>
        <w:jc w:val="left"/>
        <w:rPr>
          <w:rFonts w:hint="eastAsia" w:ascii="宋体" w:hAnsi="宋体"/>
          <w:color w:val="auto"/>
          <w:sz w:val="21"/>
          <w:szCs w:val="21"/>
        </w:rPr>
      </w:pPr>
      <w:r>
        <w:rPr>
          <w:rFonts w:hint="eastAsia" w:ascii="宋体" w:hAnsi="宋体"/>
          <w:color w:val="auto"/>
          <w:sz w:val="21"/>
          <w:szCs w:val="21"/>
        </w:rPr>
        <w:t xml:space="preserve">电子邮箱：215206226@qq.com </w:t>
      </w:r>
    </w:p>
    <w:p w14:paraId="48ECA293">
      <w:pPr>
        <w:pStyle w:val="2"/>
        <w:spacing w:beforeLines="0" w:afterLines="0"/>
        <w:rPr>
          <w:rFonts w:hint="eastAsia" w:ascii="宋体" w:hAnsi="宋体"/>
          <w:color w:val="auto"/>
          <w:sz w:val="21"/>
          <w:szCs w:val="21"/>
        </w:rPr>
      </w:pPr>
      <w:r>
        <w:rPr>
          <w:rFonts w:hint="eastAsia" w:ascii="宋体" w:hAnsi="宋体"/>
          <w:color w:val="auto"/>
          <w:sz w:val="21"/>
          <w:szCs w:val="21"/>
        </w:rPr>
        <w:t xml:space="preserve">           </w:t>
      </w:r>
    </w:p>
    <w:p w14:paraId="15C400F6">
      <w:pPr>
        <w:pStyle w:val="2"/>
        <w:spacing w:beforeLines="0" w:afterLines="0"/>
        <w:rPr>
          <w:rFonts w:hint="eastAsia" w:ascii="宋体" w:hAnsi="宋体"/>
          <w:color w:val="auto"/>
          <w:sz w:val="21"/>
          <w:szCs w:val="21"/>
        </w:rPr>
      </w:pPr>
      <w:r>
        <w:rPr>
          <w:rFonts w:hint="eastAsia" w:ascii="宋体" w:hAnsi="宋体"/>
          <w:color w:val="auto"/>
          <w:sz w:val="21"/>
          <w:szCs w:val="21"/>
        </w:rPr>
        <w:t>附件：</w:t>
      </w:r>
    </w:p>
    <w:p w14:paraId="3F7FE861">
      <w:pPr>
        <w:pStyle w:val="2"/>
        <w:spacing w:beforeLines="0" w:afterLines="0"/>
        <w:jc w:val="center"/>
        <w:rPr>
          <w:rFonts w:hint="eastAsia" w:ascii="宋体" w:hAnsi="宋体" w:cs="宋体"/>
          <w:color w:val="auto"/>
          <w:sz w:val="28"/>
          <w:szCs w:val="28"/>
        </w:rPr>
      </w:pPr>
      <w:r>
        <w:rPr>
          <w:rFonts w:hint="eastAsia" w:ascii="宋体" w:hAnsi="宋体" w:cs="宋体"/>
          <w:color w:val="auto"/>
          <w:sz w:val="28"/>
          <w:szCs w:val="28"/>
        </w:rPr>
        <w:t>《报名登记表》</w:t>
      </w:r>
    </w:p>
    <w:tbl>
      <w:tblPr>
        <w:tblStyle w:val="6"/>
        <w:tblW w:w="92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568"/>
        <w:gridCol w:w="1796"/>
        <w:gridCol w:w="2678"/>
      </w:tblGrid>
      <w:tr w14:paraId="1AB5D4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8" w:hRule="exact"/>
        </w:trPr>
        <w:tc>
          <w:tcPr>
            <w:tcW w:w="2237" w:type="dxa"/>
            <w:tcBorders>
              <w:top w:val="double" w:color="auto" w:sz="4" w:space="0"/>
              <w:left w:val="double" w:color="auto" w:sz="4" w:space="0"/>
              <w:bottom w:val="single" w:color="auto" w:sz="4" w:space="0"/>
              <w:right w:val="single" w:color="auto" w:sz="4" w:space="0"/>
              <w:tl2br w:val="nil"/>
              <w:tr2bl w:val="nil"/>
            </w:tcBorders>
            <w:noWrap w:val="0"/>
            <w:vAlign w:val="center"/>
          </w:tcPr>
          <w:p w14:paraId="1B58B976">
            <w:pPr>
              <w:spacing w:beforeLines="0" w:afterLines="0"/>
              <w:jc w:val="center"/>
              <w:rPr>
                <w:rFonts w:hint="eastAsia" w:ascii="宋体" w:hAnsi="宋体"/>
                <w:color w:val="auto"/>
                <w:sz w:val="21"/>
                <w:szCs w:val="21"/>
              </w:rPr>
            </w:pPr>
            <w:r>
              <w:rPr>
                <w:rFonts w:hint="eastAsia" w:ascii="宋体" w:hAnsi="宋体"/>
                <w:color w:val="auto"/>
                <w:sz w:val="21"/>
                <w:szCs w:val="21"/>
              </w:rPr>
              <w:t>项目名称</w:t>
            </w:r>
          </w:p>
        </w:tc>
        <w:tc>
          <w:tcPr>
            <w:tcW w:w="7042" w:type="dxa"/>
            <w:gridSpan w:val="3"/>
            <w:tcBorders>
              <w:top w:val="double" w:color="auto" w:sz="4" w:space="0"/>
              <w:left w:val="single" w:color="auto" w:sz="4" w:space="0"/>
              <w:bottom w:val="single" w:color="auto" w:sz="4" w:space="0"/>
              <w:right w:val="double" w:color="auto" w:sz="4" w:space="0"/>
              <w:tl2br w:val="nil"/>
              <w:tr2bl w:val="nil"/>
            </w:tcBorders>
            <w:noWrap w:val="0"/>
            <w:vAlign w:val="center"/>
          </w:tcPr>
          <w:p w14:paraId="0D95873F">
            <w:pPr>
              <w:spacing w:beforeLines="0" w:afterLines="0"/>
              <w:jc w:val="center"/>
              <w:rPr>
                <w:rFonts w:hint="eastAsia" w:ascii="宋体" w:hAnsi="宋体"/>
                <w:color w:val="auto"/>
                <w:sz w:val="21"/>
                <w:szCs w:val="21"/>
              </w:rPr>
            </w:pPr>
          </w:p>
        </w:tc>
      </w:tr>
      <w:tr w14:paraId="62976B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8" w:hRule="exact"/>
        </w:trPr>
        <w:tc>
          <w:tcPr>
            <w:tcW w:w="2237" w:type="dxa"/>
            <w:tcBorders>
              <w:top w:val="single" w:color="auto" w:sz="4" w:space="0"/>
              <w:left w:val="double" w:color="auto" w:sz="4" w:space="0"/>
              <w:bottom w:val="single" w:color="auto" w:sz="4" w:space="0"/>
              <w:right w:val="single" w:color="auto" w:sz="4" w:space="0"/>
              <w:tl2br w:val="nil"/>
              <w:tr2bl w:val="nil"/>
            </w:tcBorders>
            <w:noWrap w:val="0"/>
            <w:vAlign w:val="center"/>
          </w:tcPr>
          <w:p w14:paraId="162868BE">
            <w:pPr>
              <w:spacing w:beforeLines="0" w:afterLines="0"/>
              <w:jc w:val="center"/>
              <w:rPr>
                <w:rFonts w:hint="eastAsia" w:ascii="宋体" w:hAnsi="宋体"/>
                <w:color w:val="auto"/>
                <w:sz w:val="21"/>
                <w:szCs w:val="21"/>
              </w:rPr>
            </w:pPr>
            <w:r>
              <w:rPr>
                <w:rFonts w:hint="eastAsia" w:ascii="宋体" w:hAnsi="宋体"/>
                <w:color w:val="auto"/>
                <w:sz w:val="21"/>
                <w:szCs w:val="21"/>
              </w:rPr>
              <w:t>供应商名称</w:t>
            </w:r>
          </w:p>
        </w:tc>
        <w:tc>
          <w:tcPr>
            <w:tcW w:w="7042" w:type="dxa"/>
            <w:gridSpan w:val="3"/>
            <w:tcBorders>
              <w:top w:val="single" w:color="auto" w:sz="4" w:space="0"/>
              <w:left w:val="single" w:color="auto" w:sz="4" w:space="0"/>
              <w:bottom w:val="single" w:color="auto" w:sz="4" w:space="0"/>
              <w:right w:val="double" w:color="auto" w:sz="4" w:space="0"/>
              <w:tl2br w:val="nil"/>
              <w:tr2bl w:val="nil"/>
            </w:tcBorders>
            <w:noWrap w:val="0"/>
            <w:vAlign w:val="bottom"/>
          </w:tcPr>
          <w:p w14:paraId="70E3607A">
            <w:pPr>
              <w:spacing w:beforeLines="0" w:afterLines="0"/>
              <w:jc w:val="center"/>
              <w:rPr>
                <w:rFonts w:hint="eastAsia" w:ascii="宋体" w:hAnsi="宋体"/>
                <w:color w:val="auto"/>
                <w:sz w:val="21"/>
                <w:szCs w:val="21"/>
              </w:rPr>
            </w:pPr>
            <w:r>
              <w:rPr>
                <w:rFonts w:hint="eastAsia" w:ascii="宋体" w:hAnsi="宋体"/>
                <w:color w:val="auto"/>
                <w:sz w:val="21"/>
                <w:szCs w:val="21"/>
              </w:rPr>
              <w:t xml:space="preserve">                                       （供应商公章）</w:t>
            </w:r>
          </w:p>
        </w:tc>
      </w:tr>
      <w:tr w14:paraId="7BC798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8" w:hRule="exact"/>
        </w:trPr>
        <w:tc>
          <w:tcPr>
            <w:tcW w:w="2237" w:type="dxa"/>
            <w:tcBorders>
              <w:top w:val="single" w:color="auto" w:sz="4" w:space="0"/>
              <w:left w:val="double" w:color="auto" w:sz="4" w:space="0"/>
              <w:bottom w:val="single" w:color="auto" w:sz="4" w:space="0"/>
              <w:right w:val="single" w:color="auto" w:sz="4" w:space="0"/>
              <w:tl2br w:val="nil"/>
              <w:tr2bl w:val="nil"/>
            </w:tcBorders>
            <w:noWrap w:val="0"/>
            <w:vAlign w:val="center"/>
          </w:tcPr>
          <w:p w14:paraId="78714473">
            <w:pPr>
              <w:spacing w:beforeLines="0" w:afterLines="0"/>
              <w:jc w:val="center"/>
              <w:rPr>
                <w:rFonts w:hint="eastAsia" w:ascii="宋体" w:hAnsi="宋体"/>
                <w:color w:val="auto"/>
                <w:sz w:val="21"/>
                <w:szCs w:val="21"/>
              </w:rPr>
            </w:pPr>
            <w:r>
              <w:rPr>
                <w:rFonts w:hint="eastAsia" w:ascii="宋体" w:hAnsi="宋体"/>
                <w:color w:val="auto"/>
                <w:sz w:val="21"/>
                <w:szCs w:val="21"/>
              </w:rPr>
              <w:t>供应商联系人</w:t>
            </w:r>
          </w:p>
        </w:tc>
        <w:tc>
          <w:tcPr>
            <w:tcW w:w="2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1D2BB">
            <w:pPr>
              <w:spacing w:beforeLines="0" w:afterLines="0"/>
              <w:jc w:val="center"/>
              <w:rPr>
                <w:rFonts w:hint="eastAsia" w:ascii="宋体" w:hAnsi="宋体"/>
                <w:color w:val="auto"/>
                <w:sz w:val="21"/>
                <w:szCs w:val="21"/>
              </w:rPr>
            </w:pPr>
          </w:p>
        </w:tc>
        <w:tc>
          <w:tcPr>
            <w:tcW w:w="17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C1F82">
            <w:pPr>
              <w:spacing w:beforeLines="0" w:afterLines="0"/>
              <w:jc w:val="center"/>
              <w:rPr>
                <w:rFonts w:hint="eastAsia" w:ascii="宋体" w:hAnsi="宋体"/>
                <w:color w:val="auto"/>
                <w:sz w:val="21"/>
                <w:szCs w:val="21"/>
              </w:rPr>
            </w:pPr>
            <w:r>
              <w:rPr>
                <w:rFonts w:hint="eastAsia" w:ascii="宋体" w:hAnsi="宋体"/>
                <w:color w:val="auto"/>
                <w:sz w:val="21"/>
                <w:szCs w:val="21"/>
              </w:rPr>
              <w:t>手机</w:t>
            </w:r>
          </w:p>
        </w:tc>
        <w:tc>
          <w:tcPr>
            <w:tcW w:w="2678" w:type="dxa"/>
            <w:tcBorders>
              <w:top w:val="single" w:color="auto" w:sz="4" w:space="0"/>
              <w:left w:val="single" w:color="auto" w:sz="4" w:space="0"/>
              <w:bottom w:val="single" w:color="auto" w:sz="4" w:space="0"/>
              <w:right w:val="double" w:color="auto" w:sz="4" w:space="0"/>
              <w:tl2br w:val="nil"/>
              <w:tr2bl w:val="nil"/>
            </w:tcBorders>
            <w:noWrap w:val="0"/>
            <w:vAlign w:val="center"/>
          </w:tcPr>
          <w:p w14:paraId="3E6A8308">
            <w:pPr>
              <w:spacing w:beforeLines="0" w:afterLines="0"/>
              <w:jc w:val="center"/>
              <w:rPr>
                <w:rFonts w:hint="eastAsia" w:ascii="宋体" w:hAnsi="宋体"/>
                <w:color w:val="auto"/>
                <w:sz w:val="21"/>
                <w:szCs w:val="21"/>
              </w:rPr>
            </w:pPr>
          </w:p>
        </w:tc>
      </w:tr>
      <w:tr w14:paraId="2FB31D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8" w:hRule="exact"/>
        </w:trPr>
        <w:tc>
          <w:tcPr>
            <w:tcW w:w="2237" w:type="dxa"/>
            <w:tcBorders>
              <w:top w:val="single" w:color="auto" w:sz="4" w:space="0"/>
              <w:left w:val="double" w:color="auto" w:sz="4" w:space="0"/>
              <w:bottom w:val="single" w:color="auto" w:sz="4" w:space="0"/>
              <w:right w:val="single" w:color="auto" w:sz="4" w:space="0"/>
              <w:tl2br w:val="nil"/>
              <w:tr2bl w:val="nil"/>
            </w:tcBorders>
            <w:noWrap w:val="0"/>
            <w:vAlign w:val="center"/>
          </w:tcPr>
          <w:p w14:paraId="513EA2B6">
            <w:pPr>
              <w:spacing w:beforeLines="0" w:afterLines="0"/>
              <w:jc w:val="center"/>
              <w:rPr>
                <w:rFonts w:hint="eastAsia" w:ascii="宋体" w:hAnsi="宋体"/>
                <w:color w:val="auto"/>
                <w:sz w:val="21"/>
                <w:szCs w:val="21"/>
              </w:rPr>
            </w:pPr>
            <w:r>
              <w:rPr>
                <w:rFonts w:hint="eastAsia" w:ascii="宋体" w:hAnsi="宋体"/>
                <w:color w:val="auto"/>
                <w:sz w:val="21"/>
                <w:szCs w:val="21"/>
              </w:rPr>
              <w:t>供应商电子邮箱</w:t>
            </w:r>
          </w:p>
        </w:tc>
        <w:tc>
          <w:tcPr>
            <w:tcW w:w="7042" w:type="dxa"/>
            <w:gridSpan w:val="3"/>
            <w:tcBorders>
              <w:top w:val="single" w:color="auto" w:sz="4" w:space="0"/>
              <w:left w:val="single" w:color="auto" w:sz="4" w:space="0"/>
              <w:bottom w:val="single" w:color="auto" w:sz="4" w:space="0"/>
              <w:right w:val="double" w:color="auto" w:sz="4" w:space="0"/>
              <w:tl2br w:val="nil"/>
              <w:tr2bl w:val="nil"/>
            </w:tcBorders>
            <w:noWrap w:val="0"/>
            <w:vAlign w:val="center"/>
          </w:tcPr>
          <w:p w14:paraId="79D889EE">
            <w:pPr>
              <w:spacing w:beforeLines="0" w:afterLines="0"/>
              <w:jc w:val="center"/>
              <w:rPr>
                <w:rFonts w:hint="eastAsia" w:ascii="宋体" w:hAnsi="宋体"/>
                <w:color w:val="auto"/>
                <w:sz w:val="21"/>
                <w:szCs w:val="21"/>
              </w:rPr>
            </w:pPr>
          </w:p>
        </w:tc>
      </w:tr>
      <w:tr w14:paraId="741EF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8" w:hRule="exact"/>
        </w:trPr>
        <w:tc>
          <w:tcPr>
            <w:tcW w:w="2237" w:type="dxa"/>
            <w:tcBorders>
              <w:top w:val="single" w:color="auto" w:sz="4" w:space="0"/>
              <w:left w:val="double" w:color="auto" w:sz="4" w:space="0"/>
              <w:bottom w:val="single" w:color="auto" w:sz="4" w:space="0"/>
              <w:right w:val="single" w:color="auto" w:sz="4" w:space="0"/>
              <w:tl2br w:val="nil"/>
              <w:tr2bl w:val="nil"/>
            </w:tcBorders>
            <w:noWrap w:val="0"/>
            <w:vAlign w:val="center"/>
          </w:tcPr>
          <w:p w14:paraId="49AAFFF2">
            <w:pPr>
              <w:spacing w:beforeLines="0" w:afterLines="0"/>
              <w:jc w:val="center"/>
              <w:rPr>
                <w:rFonts w:hint="eastAsia" w:ascii="宋体" w:hAnsi="宋体"/>
                <w:color w:val="auto"/>
                <w:sz w:val="21"/>
                <w:szCs w:val="21"/>
              </w:rPr>
            </w:pPr>
            <w:r>
              <w:rPr>
                <w:rFonts w:hint="eastAsia" w:ascii="宋体" w:hAnsi="宋体"/>
                <w:color w:val="auto"/>
                <w:sz w:val="21"/>
                <w:szCs w:val="21"/>
              </w:rPr>
              <w:t>供应商地址</w:t>
            </w:r>
          </w:p>
        </w:tc>
        <w:tc>
          <w:tcPr>
            <w:tcW w:w="7042" w:type="dxa"/>
            <w:gridSpan w:val="3"/>
            <w:tcBorders>
              <w:top w:val="single" w:color="auto" w:sz="4" w:space="0"/>
              <w:left w:val="single" w:color="auto" w:sz="4" w:space="0"/>
              <w:bottom w:val="single" w:color="auto" w:sz="4" w:space="0"/>
              <w:right w:val="double" w:color="auto" w:sz="4" w:space="0"/>
              <w:tl2br w:val="nil"/>
              <w:tr2bl w:val="nil"/>
            </w:tcBorders>
            <w:noWrap w:val="0"/>
            <w:vAlign w:val="center"/>
          </w:tcPr>
          <w:p w14:paraId="6C38F688">
            <w:pPr>
              <w:spacing w:beforeLines="0" w:afterLines="0"/>
              <w:jc w:val="center"/>
              <w:rPr>
                <w:rFonts w:hint="eastAsia" w:ascii="宋体" w:hAnsi="宋体"/>
                <w:color w:val="auto"/>
                <w:sz w:val="21"/>
                <w:szCs w:val="21"/>
              </w:rPr>
            </w:pPr>
          </w:p>
        </w:tc>
      </w:tr>
      <w:tr w14:paraId="68E47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7" w:hRule="exact"/>
        </w:trPr>
        <w:tc>
          <w:tcPr>
            <w:tcW w:w="9279" w:type="dxa"/>
            <w:gridSpan w:val="4"/>
            <w:tcBorders>
              <w:top w:val="single" w:color="auto" w:sz="4" w:space="0"/>
              <w:left w:val="double" w:color="auto" w:sz="4" w:space="0"/>
              <w:bottom w:val="double" w:color="auto" w:sz="4" w:space="0"/>
              <w:right w:val="double" w:color="auto" w:sz="4" w:space="0"/>
              <w:tl2br w:val="nil"/>
              <w:tr2bl w:val="nil"/>
            </w:tcBorders>
            <w:noWrap w:val="0"/>
            <w:vAlign w:val="center"/>
          </w:tcPr>
          <w:p w14:paraId="16501C69">
            <w:pPr>
              <w:spacing w:beforeLines="0" w:afterLines="0"/>
              <w:jc w:val="right"/>
              <w:rPr>
                <w:rFonts w:hint="eastAsia" w:ascii="宋体" w:hAnsi="宋体"/>
                <w:color w:val="auto"/>
                <w:sz w:val="21"/>
                <w:szCs w:val="21"/>
              </w:rPr>
            </w:pPr>
            <w:r>
              <w:rPr>
                <w:rFonts w:hint="eastAsia" w:ascii="宋体" w:hAnsi="宋体"/>
                <w:color w:val="auto"/>
                <w:sz w:val="21"/>
                <w:szCs w:val="21"/>
              </w:rPr>
              <w:t>报名日期：     年    月    日</w:t>
            </w:r>
          </w:p>
        </w:tc>
      </w:tr>
    </w:tbl>
    <w:p w14:paraId="26CEF13F"/>
    <w:sectPr>
      <w:footerReference r:id="rId4" w:type="default"/>
      <w:pgSz w:w="12240" w:h="15840"/>
      <w:pgMar w:top="1213" w:right="1800" w:bottom="1213"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98A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4C32F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4C32F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E066"/>
    <w:multiLevelType w:val="multilevel"/>
    <w:tmpl w:val="8AE7E066"/>
    <w:lvl w:ilvl="0" w:tentative="0">
      <w:start w:val="7"/>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52569D"/>
    <w:rsid w:val="23A42FE3"/>
    <w:rsid w:val="7F77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sz w:val="21"/>
      <w:szCs w:val="22"/>
      <w:lang w:val="en-US" w:eastAsia="zh-CN" w:bidi="ar-SA"/>
    </w:rPr>
  </w:style>
  <w:style w:type="paragraph" w:styleId="3">
    <w:name w:val="heading 1"/>
    <w:basedOn w:val="1"/>
    <w:next w:val="1"/>
    <w:unhideWhenUsed/>
    <w:qFormat/>
    <w:uiPriority w:val="0"/>
    <w:pPr>
      <w:keepNext/>
      <w:keepLines/>
      <w:spacing w:before="340" w:after="330" w:line="576" w:lineRule="auto"/>
      <w:outlineLvl w:val="0"/>
    </w:pPr>
    <w:rPr>
      <w:rFonts w:hint="default"/>
      <w:b/>
      <w:kern w:val="44"/>
      <w:sz w:val="44"/>
      <w:szCs w:val="2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2024-09-18T00:02:00Z</dcterms:created>
  <dc:creator>Administrator</dc:creator>
  <cp:lastModifiedBy>LJ</cp:lastModifiedBy>
  <dcterms:modified xsi:type="dcterms:W3CDTF">2025-09-23T03:52:58Z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D507838C0B014DEF86C616F4AFCD0F2F_12</vt:lpwstr>
  </property>
  <property fmtid="{D5CDD505-2E9C-101B-9397-08002B2CF9AE}" pid="4" name="KSOTemplateDocerSaveRecord">
    <vt:lpwstr>eyJoZGlkIjoiYmRhYjZmODE3MWRjYzc5YmI3MDQxNmFiOWViMWUzM2IiLCJ1c2VySWQiOiIxMjE4MzEzMjQyIn0=</vt:lpwstr>
  </property>
</Properties>
</file>